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160029" w:rsidRDefault="00824B99" w:rsidP="00597B4F">
      <w:pPr>
        <w:pStyle w:val="Heading1"/>
        <w:ind w:left="1440" w:hanging="1440"/>
        <w:jc w:val="both"/>
        <w:rPr>
          <w:rFonts w:ascii="Bookman Old Style" w:hAnsi="Bookman Old Style"/>
          <w:sz w:val="48"/>
          <w:szCs w:val="48"/>
          <w:lang w:val="en-AU"/>
        </w:rPr>
      </w:pPr>
      <w:bookmarkStart w:id="0" w:name="_GoBack"/>
      <w:bookmarkEnd w:id="0"/>
      <w:r w:rsidRPr="00160029">
        <w:rPr>
          <w:rFonts w:ascii="Bookman Old Style" w:hAnsi="Bookman Old Style"/>
          <w:noProof/>
          <w:sz w:val="48"/>
          <w:szCs w:val="48"/>
          <w:lang w:val="en-AU" w:eastAsia="en-AU"/>
        </w:rPr>
        <w:drawing>
          <wp:anchor distT="0" distB="0" distL="114300" distR="114300" simplePos="0" relativeHeight="251659264" behindDoc="1" locked="0" layoutInCell="1" allowOverlap="1" wp14:anchorId="55A4A145" wp14:editId="27CBA4FE">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160029">
        <w:rPr>
          <w:rFonts w:ascii="Bookman Old Style" w:hAnsi="Bookman Old Style"/>
          <w:sz w:val="48"/>
          <w:szCs w:val="48"/>
          <w:lang w:val="en-AU"/>
        </w:rPr>
        <w:t>On the Radar</w:t>
      </w:r>
    </w:p>
    <w:p w:rsidR="00B160EF" w:rsidRPr="00160029" w:rsidRDefault="00715F47" w:rsidP="00B160EF">
      <w:pPr>
        <w:rPr>
          <w:rFonts w:ascii="Garamond" w:hAnsi="Garamond"/>
          <w:color w:val="000000"/>
          <w:lang w:val="en-AU"/>
        </w:rPr>
      </w:pPr>
      <w:r w:rsidRPr="00160029">
        <w:rPr>
          <w:rFonts w:ascii="Garamond" w:hAnsi="Garamond"/>
          <w:color w:val="000000"/>
          <w:lang w:val="en-AU"/>
        </w:rPr>
        <w:t xml:space="preserve">Issue </w:t>
      </w:r>
      <w:r w:rsidR="00D341CD">
        <w:rPr>
          <w:rFonts w:ascii="Garamond" w:hAnsi="Garamond"/>
          <w:color w:val="000000"/>
          <w:lang w:val="en-AU"/>
        </w:rPr>
        <w:t>311</w:t>
      </w:r>
    </w:p>
    <w:p w:rsidR="00755242" w:rsidRPr="00160029" w:rsidRDefault="00D341CD" w:rsidP="00B160EF">
      <w:pPr>
        <w:rPr>
          <w:rFonts w:ascii="Garamond" w:hAnsi="Garamond"/>
          <w:lang w:val="en-AU"/>
        </w:rPr>
      </w:pPr>
      <w:r>
        <w:rPr>
          <w:rFonts w:ascii="Garamond" w:hAnsi="Garamond"/>
          <w:lang w:val="en-AU"/>
        </w:rPr>
        <w:t>20</w:t>
      </w:r>
      <w:r w:rsidR="00AF20FE">
        <w:rPr>
          <w:rFonts w:ascii="Garamond" w:hAnsi="Garamond"/>
          <w:lang w:val="en-AU"/>
        </w:rPr>
        <w:t xml:space="preserve"> Febr</w:t>
      </w:r>
      <w:r w:rsidR="00F74A58" w:rsidRPr="00160029">
        <w:rPr>
          <w:rFonts w:ascii="Garamond" w:hAnsi="Garamond"/>
          <w:lang w:val="en-AU"/>
        </w:rPr>
        <w:t>uary</w:t>
      </w:r>
      <w:r w:rsidR="00650ACA" w:rsidRPr="00160029">
        <w:rPr>
          <w:rFonts w:ascii="Garamond" w:hAnsi="Garamond"/>
          <w:lang w:val="en-AU"/>
        </w:rPr>
        <w:t xml:space="preserve"> </w:t>
      </w:r>
      <w:r w:rsidR="00F74A58" w:rsidRPr="00160029">
        <w:rPr>
          <w:rFonts w:ascii="Garamond" w:hAnsi="Garamond"/>
          <w:lang w:val="en-AU"/>
        </w:rPr>
        <w:t>2017</w:t>
      </w:r>
    </w:p>
    <w:p w:rsidR="00566895" w:rsidRPr="00160029" w:rsidRDefault="00566895" w:rsidP="00B160EF">
      <w:pPr>
        <w:rPr>
          <w:rFonts w:ascii="Garamond" w:hAnsi="Garamond"/>
          <w:lang w:val="en-AU"/>
        </w:rPr>
      </w:pPr>
    </w:p>
    <w:p w:rsidR="00B160EF" w:rsidRPr="00160029" w:rsidRDefault="00B160EF" w:rsidP="00B160EF">
      <w:pPr>
        <w:rPr>
          <w:rFonts w:ascii="Garamond" w:hAnsi="Garamond"/>
          <w:b/>
          <w:lang w:val="en-AU"/>
        </w:rPr>
      </w:pPr>
      <w:r w:rsidRPr="00160029">
        <w:rPr>
          <w:rFonts w:ascii="Garamond" w:hAnsi="Garamond"/>
          <w:i/>
          <w:lang w:val="en-AU"/>
        </w:rPr>
        <w:t>On the Radar</w:t>
      </w:r>
      <w:r w:rsidRPr="00160029">
        <w:rPr>
          <w:rFonts w:ascii="Garamond" w:hAnsi="Garamond"/>
          <w:lang w:val="en-AU"/>
        </w:rPr>
        <w:t xml:space="preserve"> is a summary of some of the recent publications in </w:t>
      </w:r>
      <w:r w:rsidR="000025DB" w:rsidRPr="00160029">
        <w:rPr>
          <w:rFonts w:ascii="Garamond" w:hAnsi="Garamond"/>
          <w:lang w:val="en-AU"/>
        </w:rPr>
        <w:t>the</w:t>
      </w:r>
      <w:r w:rsidRPr="00160029">
        <w:rPr>
          <w:rFonts w:ascii="Garamond" w:hAnsi="Garamond"/>
          <w:lang w:val="en-AU"/>
        </w:rPr>
        <w:t xml:space="preserve"> areas of safety and quality in health care. Inclusion in this document is not an endorsement or recommendation of any publication or provider.</w:t>
      </w:r>
      <w:r w:rsidR="00594E21" w:rsidRPr="00160029">
        <w:rPr>
          <w:rFonts w:ascii="Garamond" w:hAnsi="Garamond"/>
          <w:lang w:val="en-AU"/>
        </w:rPr>
        <w:t xml:space="preserve"> </w:t>
      </w:r>
      <w:r w:rsidRPr="00160029">
        <w:rPr>
          <w:rFonts w:ascii="Garamond" w:hAnsi="Garamond"/>
          <w:lang w:val="en-AU"/>
        </w:rPr>
        <w:t>Access to particular documents may depend on whether they are Open Access or not, and/or your individual or institutional access to subscription sites/services.</w:t>
      </w:r>
      <w:r w:rsidR="00F460A7" w:rsidRPr="00160029">
        <w:rPr>
          <w:rFonts w:ascii="Garamond" w:hAnsi="Garamond"/>
          <w:lang w:val="en-AU"/>
        </w:rPr>
        <w:t xml:space="preserve"> Material that may require subscription is included as it is considered relevant.</w:t>
      </w:r>
    </w:p>
    <w:p w:rsidR="00B160EF" w:rsidRPr="00160029" w:rsidRDefault="00B160EF" w:rsidP="00B160EF">
      <w:pPr>
        <w:rPr>
          <w:rFonts w:ascii="Garamond" w:hAnsi="Garamond"/>
          <w:lang w:val="en-AU"/>
        </w:rPr>
      </w:pPr>
    </w:p>
    <w:p w:rsidR="00230D83" w:rsidRPr="00160029" w:rsidRDefault="00B160EF" w:rsidP="0045757F">
      <w:pPr>
        <w:autoSpaceDE w:val="0"/>
        <w:rPr>
          <w:rFonts w:ascii="Garamond" w:hAnsi="Garamond"/>
          <w:lang w:val="en-AU"/>
        </w:rPr>
      </w:pPr>
      <w:r w:rsidRPr="00160029">
        <w:rPr>
          <w:rFonts w:ascii="Garamond" w:hAnsi="Garamond"/>
          <w:i/>
          <w:lang w:val="en-AU"/>
        </w:rPr>
        <w:t>On the Radar</w:t>
      </w:r>
      <w:r w:rsidRPr="00160029">
        <w:rPr>
          <w:rFonts w:ascii="Garamond" w:hAnsi="Garamond"/>
          <w:lang w:val="en-AU"/>
        </w:rPr>
        <w:t xml:space="preserve"> is available </w:t>
      </w:r>
      <w:r w:rsidR="003D1E7A" w:rsidRPr="00160029">
        <w:rPr>
          <w:rFonts w:ascii="Garamond" w:hAnsi="Garamond"/>
          <w:lang w:val="en-AU"/>
        </w:rPr>
        <w:t xml:space="preserve">online, </w:t>
      </w:r>
      <w:r w:rsidRPr="00160029">
        <w:rPr>
          <w:rFonts w:ascii="Garamond" w:hAnsi="Garamond"/>
          <w:lang w:val="en-AU"/>
        </w:rPr>
        <w:t xml:space="preserve">via email or as a PDF </w:t>
      </w:r>
      <w:r w:rsidR="006F34BB" w:rsidRPr="00160029">
        <w:rPr>
          <w:rFonts w:ascii="Garamond" w:hAnsi="Garamond"/>
          <w:lang w:val="en-AU"/>
        </w:rPr>
        <w:t xml:space="preserve">or Word </w:t>
      </w:r>
      <w:r w:rsidRPr="00160029">
        <w:rPr>
          <w:rFonts w:ascii="Garamond" w:hAnsi="Garamond"/>
          <w:lang w:val="en-AU"/>
        </w:rPr>
        <w:t xml:space="preserve">document from </w:t>
      </w:r>
      <w:hyperlink r:id="rId10" w:history="1">
        <w:r w:rsidR="00230D83" w:rsidRPr="00160029">
          <w:rPr>
            <w:rStyle w:val="Hyperlink"/>
            <w:rFonts w:ascii="Garamond" w:hAnsi="Garamond"/>
            <w:lang w:val="en-AU"/>
          </w:rPr>
          <w:t>http://www.safetyandquality.gov.au/publications-resources/on-the-radar/</w:t>
        </w:r>
      </w:hyperlink>
    </w:p>
    <w:p w:rsidR="0090536C" w:rsidRPr="00160029" w:rsidRDefault="0090536C" w:rsidP="0045757F">
      <w:pPr>
        <w:autoSpaceDE w:val="0"/>
        <w:rPr>
          <w:rFonts w:ascii="Garamond" w:hAnsi="Garamond"/>
          <w:lang w:val="en-AU"/>
        </w:rPr>
      </w:pPr>
    </w:p>
    <w:p w:rsidR="00B160EF" w:rsidRPr="00160029" w:rsidRDefault="00B160EF" w:rsidP="0045757F">
      <w:pPr>
        <w:autoSpaceDE w:val="0"/>
        <w:rPr>
          <w:rFonts w:ascii="Garamond" w:hAnsi="Garamond"/>
          <w:lang w:val="en-AU"/>
        </w:rPr>
      </w:pPr>
      <w:r w:rsidRPr="00160029">
        <w:rPr>
          <w:rFonts w:ascii="Garamond" w:hAnsi="Garamond"/>
          <w:lang w:val="en-AU"/>
        </w:rPr>
        <w:t xml:space="preserve">If you would like to receive </w:t>
      </w:r>
      <w:r w:rsidRPr="00160029">
        <w:rPr>
          <w:rFonts w:ascii="Garamond" w:hAnsi="Garamond"/>
          <w:i/>
          <w:lang w:val="en-AU"/>
        </w:rPr>
        <w:t>On the Radar</w:t>
      </w:r>
      <w:r w:rsidRPr="00160029">
        <w:rPr>
          <w:rFonts w:ascii="Garamond" w:hAnsi="Garamond"/>
          <w:lang w:val="en-AU"/>
        </w:rPr>
        <w:t xml:space="preserve"> via email</w:t>
      </w:r>
      <w:r w:rsidR="003D7B9E" w:rsidRPr="00160029">
        <w:rPr>
          <w:rFonts w:ascii="Garamond" w:hAnsi="Garamond"/>
          <w:lang w:val="en-AU"/>
        </w:rPr>
        <w:t>, you can</w:t>
      </w:r>
      <w:r w:rsidR="00F24F60" w:rsidRPr="00160029">
        <w:rPr>
          <w:rFonts w:ascii="Garamond" w:hAnsi="Garamond"/>
          <w:lang w:val="en-AU"/>
        </w:rPr>
        <w:t xml:space="preserve"> subscribe on our website </w:t>
      </w:r>
      <w:hyperlink r:id="rId11" w:history="1">
        <w:r w:rsidR="00F24F60" w:rsidRPr="00160029">
          <w:rPr>
            <w:rStyle w:val="Hyperlink"/>
            <w:rFonts w:ascii="Garamond" w:hAnsi="Garamond"/>
            <w:lang w:val="en-AU"/>
          </w:rPr>
          <w:t>http://www.safetyandquality.gov.au/</w:t>
        </w:r>
      </w:hyperlink>
      <w:r w:rsidR="003D7B9E" w:rsidRPr="00160029">
        <w:rPr>
          <w:rFonts w:ascii="Garamond" w:hAnsi="Garamond"/>
          <w:lang w:val="en-AU"/>
        </w:rPr>
        <w:t xml:space="preserve"> or by emailing us at </w:t>
      </w:r>
      <w:r w:rsidR="003D7B9E" w:rsidRPr="00160029">
        <w:rPr>
          <w:rFonts w:ascii="Garamond" w:hAnsi="Garamond" w:cs="ZWAdobeF"/>
          <w:sz w:val="2"/>
          <w:szCs w:val="2"/>
          <w:lang w:val="en-AU"/>
        </w:rPr>
        <w:t>H</w:t>
      </w:r>
      <w:hyperlink r:id="rId12" w:history="1">
        <w:r w:rsidR="003D7B9E" w:rsidRPr="00160029">
          <w:rPr>
            <w:rFonts w:ascii="Garamond" w:hAnsi="Garamond" w:cs="ZWAdobeF"/>
            <w:sz w:val="2"/>
            <w:szCs w:val="2"/>
            <w:lang w:val="en-AU"/>
          </w:rPr>
          <w:t>U</w:t>
        </w:r>
        <w:r w:rsidR="003D7B9E" w:rsidRPr="00160029">
          <w:rPr>
            <w:rStyle w:val="Hyperlink"/>
            <w:rFonts w:ascii="Garamond" w:hAnsi="Garamond"/>
            <w:lang w:val="en-AU"/>
          </w:rPr>
          <w:t>mail@safetyandquality.gov.au</w:t>
        </w:r>
        <w:r w:rsidR="003D7B9E" w:rsidRPr="00160029">
          <w:rPr>
            <w:rStyle w:val="Hyperlink"/>
            <w:rFonts w:ascii="Garamond" w:hAnsi="Garamond" w:cs="ZWAdobeF"/>
            <w:color w:val="auto"/>
            <w:sz w:val="2"/>
            <w:szCs w:val="2"/>
            <w:u w:val="none"/>
            <w:lang w:val="en-AU"/>
          </w:rPr>
          <w:t>U</w:t>
        </w:r>
      </w:hyperlink>
      <w:r w:rsidR="003D7B9E" w:rsidRPr="00160029">
        <w:rPr>
          <w:rFonts w:ascii="Garamond" w:hAnsi="Garamond"/>
          <w:lang w:val="en-AU"/>
        </w:rPr>
        <w:t xml:space="preserve">. </w:t>
      </w:r>
      <w:r w:rsidR="00E51D23" w:rsidRPr="00160029">
        <w:rPr>
          <w:rFonts w:ascii="Garamond" w:hAnsi="Garamond"/>
          <w:lang w:val="en-AU"/>
        </w:rPr>
        <w:br/>
      </w:r>
      <w:r w:rsidR="003D7B9E" w:rsidRPr="00160029">
        <w:rPr>
          <w:rFonts w:ascii="Garamond" w:hAnsi="Garamond"/>
          <w:lang w:val="en-AU"/>
        </w:rPr>
        <w:t xml:space="preserve">You can also send feedback and comments to </w:t>
      </w:r>
      <w:r w:rsidR="003D7B9E" w:rsidRPr="00160029">
        <w:rPr>
          <w:rFonts w:ascii="Garamond" w:hAnsi="Garamond" w:cs="ZWAdobeF"/>
          <w:sz w:val="2"/>
          <w:szCs w:val="2"/>
          <w:lang w:val="en-AU"/>
        </w:rPr>
        <w:t>H</w:t>
      </w:r>
      <w:hyperlink r:id="rId13" w:history="1">
        <w:r w:rsidR="003D7B9E" w:rsidRPr="00160029">
          <w:rPr>
            <w:rFonts w:ascii="Garamond" w:hAnsi="Garamond" w:cs="ZWAdobeF"/>
            <w:sz w:val="2"/>
            <w:szCs w:val="2"/>
            <w:lang w:val="en-AU"/>
          </w:rPr>
          <w:t>U</w:t>
        </w:r>
        <w:r w:rsidR="003D7B9E" w:rsidRPr="00160029">
          <w:rPr>
            <w:rStyle w:val="Hyperlink"/>
            <w:rFonts w:ascii="Garamond" w:hAnsi="Garamond"/>
            <w:lang w:val="en-AU"/>
          </w:rPr>
          <w:t>mail@safetyandquality.gov.au</w:t>
        </w:r>
        <w:r w:rsidR="003D7B9E" w:rsidRPr="00160029">
          <w:rPr>
            <w:rStyle w:val="Hyperlink"/>
            <w:rFonts w:ascii="Garamond" w:hAnsi="Garamond" w:cs="ZWAdobeF"/>
            <w:color w:val="auto"/>
            <w:sz w:val="2"/>
            <w:szCs w:val="2"/>
            <w:u w:val="none"/>
            <w:lang w:val="en-AU"/>
          </w:rPr>
          <w:t>U</w:t>
        </w:r>
      </w:hyperlink>
      <w:r w:rsidR="003D7B9E" w:rsidRPr="00160029">
        <w:rPr>
          <w:rFonts w:ascii="Garamond" w:hAnsi="Garamond"/>
          <w:lang w:val="en-AU"/>
        </w:rPr>
        <w:t>.</w:t>
      </w:r>
    </w:p>
    <w:p w:rsidR="00B160EF" w:rsidRPr="00160029" w:rsidRDefault="00B160EF" w:rsidP="00837FC4">
      <w:pPr>
        <w:tabs>
          <w:tab w:val="left" w:pos="7773"/>
        </w:tabs>
        <w:rPr>
          <w:rFonts w:ascii="Garamond" w:hAnsi="Garamond"/>
          <w:lang w:val="en-AU"/>
        </w:rPr>
      </w:pPr>
    </w:p>
    <w:p w:rsidR="00837FC4" w:rsidRPr="00160029" w:rsidRDefault="00B160EF" w:rsidP="004554DB">
      <w:pPr>
        <w:autoSpaceDE w:val="0"/>
        <w:rPr>
          <w:rFonts w:ascii="Garamond" w:hAnsi="Garamond"/>
          <w:lang w:val="en-AU"/>
        </w:rPr>
      </w:pPr>
      <w:bookmarkStart w:id="1" w:name="OLE_LINK1"/>
      <w:r w:rsidRPr="00160029">
        <w:rPr>
          <w:rFonts w:ascii="Garamond" w:hAnsi="Garamond"/>
          <w:lang w:val="en-AU"/>
        </w:rPr>
        <w:t xml:space="preserve">For information about the Commission and its programs and publications, please visit </w:t>
      </w:r>
      <w:hyperlink r:id="rId14" w:history="1">
        <w:r w:rsidR="00837FC4" w:rsidRPr="00160029">
          <w:rPr>
            <w:rStyle w:val="Hyperlink"/>
            <w:rFonts w:ascii="Garamond" w:hAnsi="Garamond"/>
            <w:lang w:val="en-AU"/>
          </w:rPr>
          <w:t>http://www.safetyandquality.gov.au</w:t>
        </w:r>
      </w:hyperlink>
    </w:p>
    <w:p w:rsidR="0054703F" w:rsidRPr="00160029" w:rsidRDefault="004554DB" w:rsidP="004554DB">
      <w:pPr>
        <w:autoSpaceDE w:val="0"/>
        <w:rPr>
          <w:rFonts w:ascii="Garamond" w:hAnsi="Garamond"/>
          <w:lang w:val="en-AU"/>
        </w:rPr>
      </w:pPr>
      <w:r w:rsidRPr="00160029">
        <w:rPr>
          <w:rFonts w:ascii="Garamond" w:hAnsi="Garamond"/>
          <w:lang w:val="en-AU"/>
        </w:rPr>
        <w:t>You can also follow us on Twitter @ACSQHC.</w:t>
      </w:r>
    </w:p>
    <w:p w:rsidR="00210235" w:rsidRPr="00160029" w:rsidRDefault="00210235" w:rsidP="00210235">
      <w:pPr>
        <w:keepNext/>
        <w:pBdr>
          <w:top w:val="single" w:sz="4" w:space="1" w:color="auto"/>
        </w:pBdr>
        <w:rPr>
          <w:rFonts w:ascii="Garamond" w:hAnsi="Garamond"/>
          <w:b/>
          <w:lang w:val="en-AU"/>
        </w:rPr>
      </w:pPr>
      <w:r w:rsidRPr="00160029">
        <w:rPr>
          <w:rFonts w:ascii="Garamond" w:hAnsi="Garamond"/>
          <w:b/>
          <w:lang w:val="en-AU"/>
        </w:rPr>
        <w:t>On the Radar</w:t>
      </w:r>
    </w:p>
    <w:p w:rsidR="00340157" w:rsidRPr="00160029" w:rsidRDefault="00340157" w:rsidP="00210235">
      <w:pPr>
        <w:keepNext/>
        <w:pBdr>
          <w:top w:val="single" w:sz="4" w:space="1" w:color="auto"/>
        </w:pBdr>
        <w:rPr>
          <w:rFonts w:ascii="Garamond" w:hAnsi="Garamond"/>
          <w:bCs/>
          <w:lang w:val="en-AU"/>
        </w:rPr>
      </w:pPr>
      <w:r w:rsidRPr="00160029">
        <w:rPr>
          <w:rFonts w:ascii="Garamond" w:hAnsi="Garamond"/>
          <w:bCs/>
          <w:lang w:val="en-AU"/>
        </w:rPr>
        <w:t xml:space="preserve">Editor: </w:t>
      </w:r>
      <w:r w:rsidR="00C8085B" w:rsidRPr="00160029">
        <w:rPr>
          <w:rFonts w:ascii="Garamond" w:hAnsi="Garamond"/>
          <w:bCs/>
          <w:lang w:val="en-AU"/>
        </w:rPr>
        <w:t xml:space="preserve">Dr </w:t>
      </w:r>
      <w:r w:rsidRPr="00160029">
        <w:rPr>
          <w:rFonts w:ascii="Garamond" w:hAnsi="Garamond"/>
          <w:bCs/>
          <w:lang w:val="en-AU"/>
        </w:rPr>
        <w:t xml:space="preserve">Niall Johnson </w:t>
      </w:r>
      <w:hyperlink r:id="rId15" w:history="1">
        <w:r w:rsidRPr="00160029">
          <w:rPr>
            <w:rStyle w:val="Hyperlink"/>
            <w:rFonts w:ascii="Garamond" w:hAnsi="Garamond"/>
            <w:bCs/>
            <w:lang w:val="en-AU"/>
          </w:rPr>
          <w:t>niall.johnson@safetyandquality.gov.au</w:t>
        </w:r>
      </w:hyperlink>
    </w:p>
    <w:p w:rsidR="009A35BE" w:rsidRPr="00160029" w:rsidRDefault="00210235" w:rsidP="00A8296D">
      <w:pPr>
        <w:keepNext/>
        <w:pBdr>
          <w:top w:val="single" w:sz="4" w:space="1" w:color="auto"/>
        </w:pBdr>
        <w:rPr>
          <w:rFonts w:ascii="Garamond" w:hAnsi="Garamond"/>
          <w:shd w:val="clear" w:color="auto" w:fill="FFFFFF"/>
          <w:lang w:val="en-AU"/>
        </w:rPr>
      </w:pPr>
      <w:r w:rsidRPr="00160029">
        <w:rPr>
          <w:rFonts w:ascii="Garamond" w:hAnsi="Garamond"/>
          <w:bCs/>
          <w:lang w:val="en-AU"/>
        </w:rPr>
        <w:t xml:space="preserve">Contributors: </w:t>
      </w:r>
      <w:r w:rsidR="0056339A" w:rsidRPr="00160029">
        <w:rPr>
          <w:rFonts w:ascii="Garamond" w:hAnsi="Garamond"/>
          <w:bCs/>
          <w:lang w:val="en-AU"/>
        </w:rPr>
        <w:t>Niall Johnson</w:t>
      </w:r>
      <w:bookmarkEnd w:id="1"/>
    </w:p>
    <w:p w:rsidR="0059425E" w:rsidRPr="00160029" w:rsidRDefault="0059425E" w:rsidP="00691DE3">
      <w:pPr>
        <w:keepLines/>
        <w:autoSpaceDE w:val="0"/>
        <w:autoSpaceDN w:val="0"/>
        <w:adjustRightInd w:val="0"/>
        <w:rPr>
          <w:rFonts w:ascii="Garamond" w:hAnsi="Garamond"/>
          <w:lang w:val="en-AU"/>
        </w:rPr>
      </w:pPr>
    </w:p>
    <w:p w:rsidR="00D341CD" w:rsidRDefault="00D341CD" w:rsidP="000D0AC4">
      <w:pPr>
        <w:keepNext/>
        <w:rPr>
          <w:rFonts w:ascii="Garamond" w:hAnsi="Garamond"/>
          <w:b/>
          <w:lang w:val="en-AU"/>
        </w:rPr>
      </w:pPr>
      <w:r>
        <w:rPr>
          <w:rFonts w:ascii="Garamond" w:hAnsi="Garamond"/>
          <w:b/>
          <w:lang w:val="en-AU"/>
        </w:rPr>
        <w:t>Reports</w:t>
      </w:r>
    </w:p>
    <w:p w:rsidR="00D341CD" w:rsidRDefault="00D341CD" w:rsidP="00D341CD">
      <w:pPr>
        <w:keepNext/>
        <w:rPr>
          <w:rFonts w:ascii="Garamond" w:hAnsi="Garamond"/>
          <w:lang w:val="en-AU"/>
        </w:rPr>
      </w:pPr>
    </w:p>
    <w:p w:rsidR="00D341CD" w:rsidRPr="00D278D5" w:rsidRDefault="00D278D5" w:rsidP="00D341CD">
      <w:pPr>
        <w:keepNext/>
        <w:rPr>
          <w:rFonts w:ascii="Garamond" w:hAnsi="Garamond"/>
          <w:i/>
          <w:lang w:val="en-AU"/>
        </w:rPr>
      </w:pPr>
      <w:r w:rsidRPr="00D278D5">
        <w:rPr>
          <w:rFonts w:ascii="Garamond" w:hAnsi="Garamond"/>
          <w:i/>
          <w:lang w:val="en-AU"/>
        </w:rPr>
        <w:t>National guidelines for on-screen presentation of discharge summaries</w:t>
      </w:r>
    </w:p>
    <w:p w:rsidR="00D278D5" w:rsidRDefault="00D278D5" w:rsidP="00D341CD">
      <w:pPr>
        <w:keepNext/>
        <w:rPr>
          <w:rFonts w:ascii="Garamond" w:hAnsi="Garamond"/>
          <w:lang w:val="en-AU"/>
        </w:rPr>
      </w:pPr>
      <w:r w:rsidRPr="00D278D5">
        <w:rPr>
          <w:rFonts w:ascii="Garamond" w:hAnsi="Garamond"/>
          <w:lang w:val="en-AU"/>
        </w:rPr>
        <w:t>Australian Commission on Safety and Quality in Health Care</w:t>
      </w:r>
    </w:p>
    <w:p w:rsidR="00D278D5" w:rsidRDefault="00D278D5" w:rsidP="00D341CD">
      <w:pPr>
        <w:keepNext/>
        <w:rPr>
          <w:rFonts w:ascii="Garamond" w:hAnsi="Garamond"/>
          <w:lang w:val="en-AU"/>
        </w:rPr>
      </w:pPr>
      <w:r w:rsidRPr="00D278D5">
        <w:rPr>
          <w:rFonts w:ascii="Garamond" w:hAnsi="Garamond"/>
          <w:lang w:val="en-AU"/>
        </w:rPr>
        <w:t xml:space="preserve">Sydney: ACSHQC; 2016. </w:t>
      </w:r>
      <w:proofErr w:type="gramStart"/>
      <w:r w:rsidRPr="00D278D5">
        <w:rPr>
          <w:rFonts w:ascii="Garamond" w:hAnsi="Garamond"/>
          <w:lang w:val="en-AU"/>
        </w:rPr>
        <w:t>56 p.</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D341CD" w:rsidRPr="00160029" w:rsidTr="00AD596C">
        <w:tc>
          <w:tcPr>
            <w:tcW w:w="1080" w:type="dxa"/>
            <w:tcBorders>
              <w:top w:val="single" w:sz="4" w:space="0" w:color="auto"/>
              <w:left w:val="single" w:sz="4" w:space="0" w:color="auto"/>
              <w:bottom w:val="single" w:sz="4" w:space="0" w:color="auto"/>
              <w:right w:val="single" w:sz="4" w:space="0" w:color="auto"/>
            </w:tcBorders>
            <w:vAlign w:val="center"/>
          </w:tcPr>
          <w:p w:rsidR="00D341CD" w:rsidRPr="00160029" w:rsidRDefault="00D341CD" w:rsidP="00AD596C">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341CD" w:rsidRPr="00160029" w:rsidRDefault="00AD2F42" w:rsidP="00D278D5">
            <w:pPr>
              <w:rPr>
                <w:rStyle w:val="Hyperlink"/>
                <w:rFonts w:ascii="Garamond" w:hAnsi="Garamond"/>
                <w:color w:val="auto"/>
                <w:u w:val="none"/>
                <w:lang w:val="en-AU"/>
              </w:rPr>
            </w:pPr>
            <w:hyperlink r:id="rId16" w:history="1">
              <w:r w:rsidR="00D278D5" w:rsidRPr="001446ED">
                <w:rPr>
                  <w:rStyle w:val="Hyperlink"/>
                  <w:rFonts w:ascii="Garamond" w:hAnsi="Garamond"/>
                  <w:lang w:val="en-AU"/>
                </w:rPr>
                <w:t>https://www.safetyandquality.gov.au/publications/national-guidelines-for-on-screen-presentation-of-discharge-summaries/</w:t>
              </w:r>
            </w:hyperlink>
          </w:p>
        </w:tc>
      </w:tr>
      <w:tr w:rsidR="00D341CD" w:rsidRPr="00160029" w:rsidTr="00AD596C">
        <w:tc>
          <w:tcPr>
            <w:tcW w:w="1080" w:type="dxa"/>
            <w:tcBorders>
              <w:top w:val="single" w:sz="4" w:space="0" w:color="auto"/>
              <w:left w:val="single" w:sz="4" w:space="0" w:color="auto"/>
              <w:bottom w:val="single" w:sz="4" w:space="0" w:color="auto"/>
              <w:right w:val="single" w:sz="4" w:space="0" w:color="auto"/>
            </w:tcBorders>
            <w:vAlign w:val="center"/>
          </w:tcPr>
          <w:p w:rsidR="00D341CD" w:rsidRPr="00160029" w:rsidRDefault="00D341CD" w:rsidP="00AD596C">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87F78" w:rsidRPr="00160029" w:rsidRDefault="00AB1539" w:rsidP="00AB1539">
            <w:pPr>
              <w:rPr>
                <w:rFonts w:ascii="Garamond" w:hAnsi="Garamond"/>
                <w:lang w:val="en-AU"/>
              </w:rPr>
            </w:pPr>
            <w:r>
              <w:rPr>
                <w:rFonts w:ascii="Garamond" w:hAnsi="Garamond"/>
                <w:noProof/>
                <w:lang w:val="en-AU" w:eastAsia="en-AU"/>
              </w:rPr>
              <w:drawing>
                <wp:anchor distT="0" distB="0" distL="114300" distR="114300" simplePos="0" relativeHeight="251660288" behindDoc="1" locked="0" layoutInCell="1" allowOverlap="1" wp14:anchorId="2BA9CF81" wp14:editId="2C8A61DB">
                  <wp:simplePos x="0" y="0"/>
                  <wp:positionH relativeFrom="column">
                    <wp:posOffset>3289935</wp:posOffset>
                  </wp:positionH>
                  <wp:positionV relativeFrom="paragraph">
                    <wp:posOffset>-5715</wp:posOffset>
                  </wp:positionV>
                  <wp:extent cx="1854835" cy="2627630"/>
                  <wp:effectExtent l="0" t="0" r="0" b="1270"/>
                  <wp:wrapTight wrapText="bothSides">
                    <wp:wrapPolygon edited="0">
                      <wp:start x="0" y="0"/>
                      <wp:lineTo x="0" y="21454"/>
                      <wp:lineTo x="21297" y="21454"/>
                      <wp:lineTo x="212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elines 2017-02-17_14-21-55.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54835" cy="2627630"/>
                          </a:xfrm>
                          <a:prstGeom prst="rect">
                            <a:avLst/>
                          </a:prstGeom>
                        </pic:spPr>
                      </pic:pic>
                    </a:graphicData>
                  </a:graphic>
                  <wp14:sizeRelH relativeFrom="page">
                    <wp14:pctWidth>0</wp14:pctWidth>
                  </wp14:sizeRelH>
                  <wp14:sizeRelV relativeFrom="page">
                    <wp14:pctHeight>0</wp14:pctHeight>
                  </wp14:sizeRelV>
                </wp:anchor>
              </w:drawing>
            </w:r>
            <w:r w:rsidR="00D278D5" w:rsidRPr="00D278D5">
              <w:rPr>
                <w:rFonts w:ascii="Garamond" w:hAnsi="Garamond"/>
                <w:lang w:val="en-AU"/>
              </w:rPr>
              <w:t xml:space="preserve">The </w:t>
            </w:r>
            <w:r w:rsidR="00D278D5" w:rsidRPr="00D278D5">
              <w:rPr>
                <w:rFonts w:ascii="Garamond" w:hAnsi="Garamond"/>
                <w:i/>
                <w:lang w:val="en-AU"/>
              </w:rPr>
              <w:t>National guidelines for on-screen presentation of discharge summaries</w:t>
            </w:r>
            <w:r w:rsidR="00D278D5" w:rsidRPr="00D278D5">
              <w:rPr>
                <w:rFonts w:ascii="Garamond" w:hAnsi="Garamond"/>
                <w:lang w:val="en-AU"/>
              </w:rPr>
              <w:t xml:space="preserve"> specify the sequence, layout and format of the core elements of hospital discharge summaries, as displayed in clinical information systems.</w:t>
            </w:r>
            <w:r w:rsidR="00D278D5">
              <w:rPr>
                <w:rFonts w:ascii="Garamond" w:hAnsi="Garamond"/>
                <w:lang w:val="en-AU"/>
              </w:rPr>
              <w:t xml:space="preserve"> </w:t>
            </w:r>
            <w:r w:rsidR="00D278D5" w:rsidRPr="00D278D5">
              <w:rPr>
                <w:rFonts w:ascii="Garamond" w:hAnsi="Garamond"/>
                <w:lang w:val="en-AU"/>
              </w:rPr>
              <w:t>The guidelines were developed through extensive research, consultation and iterative testing with more than 70 clinicians.</w:t>
            </w:r>
            <w:r w:rsidR="00D278D5">
              <w:rPr>
                <w:rFonts w:ascii="Garamond" w:hAnsi="Garamond"/>
                <w:lang w:val="en-AU"/>
              </w:rPr>
              <w:t xml:space="preserve"> </w:t>
            </w:r>
            <w:r w:rsidR="00D278D5" w:rsidRPr="00D278D5">
              <w:rPr>
                <w:rFonts w:ascii="Garamond" w:hAnsi="Garamond"/>
                <w:lang w:val="en-AU"/>
              </w:rPr>
              <w:t>The guidelines are intended to be adopted by vendors of medical software, and health services which procure and implement systems which generate and present discharge summaries.</w:t>
            </w:r>
          </w:p>
        </w:tc>
      </w:tr>
    </w:tbl>
    <w:p w:rsidR="00BF1006" w:rsidRPr="00160029" w:rsidRDefault="005F52C2" w:rsidP="000D0AC4">
      <w:pPr>
        <w:keepNext/>
        <w:rPr>
          <w:rFonts w:ascii="Garamond" w:hAnsi="Garamond"/>
          <w:b/>
          <w:lang w:val="en-AU"/>
        </w:rPr>
      </w:pPr>
      <w:r w:rsidRPr="00160029">
        <w:rPr>
          <w:rFonts w:ascii="Garamond" w:hAnsi="Garamond"/>
          <w:b/>
          <w:lang w:val="en-AU"/>
        </w:rPr>
        <w:lastRenderedPageBreak/>
        <w:t>Journal articles</w:t>
      </w:r>
    </w:p>
    <w:p w:rsidR="00732505" w:rsidRDefault="00732505" w:rsidP="000D0AC4">
      <w:pPr>
        <w:keepNext/>
        <w:rPr>
          <w:rFonts w:ascii="Garamond" w:hAnsi="Garamond"/>
          <w:lang w:val="en-AU"/>
        </w:rPr>
      </w:pPr>
    </w:p>
    <w:p w:rsidR="00D278D5" w:rsidRPr="00D278D5" w:rsidRDefault="00D278D5" w:rsidP="00D278D5">
      <w:pPr>
        <w:keepNext/>
        <w:rPr>
          <w:rFonts w:ascii="Garamond" w:hAnsi="Garamond"/>
          <w:i/>
          <w:lang w:val="en-AU"/>
        </w:rPr>
      </w:pPr>
      <w:r w:rsidRPr="00D278D5">
        <w:rPr>
          <w:rFonts w:ascii="Garamond" w:hAnsi="Garamond"/>
          <w:i/>
          <w:lang w:val="en-AU"/>
        </w:rPr>
        <w:t>Exploring the roots of unintended safety threats associated with the introduction of hospital ePrescribing systems and candidate avoidance and/or mitigation strategies: a qualitative study</w:t>
      </w:r>
    </w:p>
    <w:p w:rsidR="00D278D5" w:rsidRDefault="00D278D5" w:rsidP="006F53DA">
      <w:pPr>
        <w:keepNext/>
        <w:rPr>
          <w:rFonts w:ascii="Garamond" w:hAnsi="Garamond"/>
          <w:lang w:val="en-AU"/>
        </w:rPr>
      </w:pPr>
      <w:r w:rsidRPr="00D278D5">
        <w:rPr>
          <w:rFonts w:ascii="Garamond" w:hAnsi="Garamond"/>
          <w:lang w:val="en-AU"/>
        </w:rPr>
        <w:t>Mozaffar H, Cresswell KM, Williams R, Bates DW, Sheikh A</w:t>
      </w:r>
    </w:p>
    <w:p w:rsidR="006F53DA" w:rsidRPr="00160029" w:rsidRDefault="00D278D5" w:rsidP="006F53DA">
      <w:pPr>
        <w:keepNext/>
        <w:rPr>
          <w:rFonts w:ascii="Garamond" w:hAnsi="Garamond"/>
          <w:lang w:val="en-AU"/>
        </w:rPr>
      </w:pPr>
      <w:proofErr w:type="gramStart"/>
      <w:r w:rsidRPr="00D278D5">
        <w:rPr>
          <w:rFonts w:ascii="Garamond" w:hAnsi="Garamond"/>
          <w:lang w:val="en-AU"/>
        </w:rPr>
        <w:t>BMJ Quality &amp; Safety.</w:t>
      </w:r>
      <w:proofErr w:type="gramEnd"/>
      <w:r w:rsidRPr="00D278D5">
        <w:rPr>
          <w:rFonts w:ascii="Garamond" w:hAnsi="Garamond"/>
          <w:lang w:val="en-AU"/>
        </w:rPr>
        <w:t xml:space="preserve"> </w:t>
      </w:r>
      <w:proofErr w:type="gramStart"/>
      <w:r w:rsidRPr="00D278D5">
        <w:rPr>
          <w:rFonts w:ascii="Garamond" w:hAnsi="Garamond"/>
          <w:lang w:val="en-AU"/>
        </w:rPr>
        <w:t>2017</w:t>
      </w:r>
      <w:r>
        <w:rPr>
          <w:rFonts w:ascii="Garamond" w:hAnsi="Garamond"/>
          <w:lang w:val="en-AU"/>
        </w:rPr>
        <w:t xml:space="preserve"> [epub]</w:t>
      </w:r>
      <w:r w:rsidRPr="00D278D5">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6F53DA" w:rsidRPr="00160029" w:rsidTr="001A0E08">
        <w:tc>
          <w:tcPr>
            <w:tcW w:w="1080" w:type="dxa"/>
            <w:tcBorders>
              <w:top w:val="single" w:sz="4" w:space="0" w:color="auto"/>
              <w:left w:val="single" w:sz="4" w:space="0" w:color="auto"/>
              <w:bottom w:val="single" w:sz="4" w:space="0" w:color="auto"/>
              <w:right w:val="single" w:sz="4" w:space="0" w:color="auto"/>
            </w:tcBorders>
            <w:vAlign w:val="center"/>
          </w:tcPr>
          <w:p w:rsidR="006F53DA" w:rsidRPr="00160029" w:rsidRDefault="006F53DA" w:rsidP="001A0E08">
            <w:pPr>
              <w:rPr>
                <w:rStyle w:val="Hyperlink"/>
                <w:rFonts w:ascii="Garamond" w:hAnsi="Garamond"/>
                <w:lang w:val="en-AU"/>
              </w:rPr>
            </w:pPr>
            <w:r w:rsidRPr="00160029">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F53DA" w:rsidRPr="00160029" w:rsidRDefault="00AD2F42" w:rsidP="001A0E08">
            <w:pPr>
              <w:rPr>
                <w:rStyle w:val="Hyperlink"/>
                <w:rFonts w:ascii="Garamond" w:hAnsi="Garamond"/>
                <w:color w:val="auto"/>
                <w:u w:val="none"/>
                <w:lang w:val="en-AU"/>
              </w:rPr>
            </w:pPr>
            <w:hyperlink r:id="rId18" w:history="1">
              <w:r w:rsidR="00D278D5" w:rsidRPr="001446ED">
                <w:rPr>
                  <w:rStyle w:val="Hyperlink"/>
                  <w:rFonts w:ascii="Garamond" w:hAnsi="Garamond"/>
                  <w:lang w:val="en-AU"/>
                </w:rPr>
                <w:t>http://dx.doi.org/10.1136/bmjqs-2016-005879</w:t>
              </w:r>
            </w:hyperlink>
          </w:p>
        </w:tc>
      </w:tr>
      <w:tr w:rsidR="006F53DA" w:rsidRPr="00160029" w:rsidTr="001A0E08">
        <w:tc>
          <w:tcPr>
            <w:tcW w:w="1080" w:type="dxa"/>
            <w:tcBorders>
              <w:top w:val="single" w:sz="4" w:space="0" w:color="auto"/>
              <w:left w:val="single" w:sz="4" w:space="0" w:color="auto"/>
              <w:bottom w:val="single" w:sz="4" w:space="0" w:color="auto"/>
              <w:right w:val="single" w:sz="4" w:space="0" w:color="auto"/>
            </w:tcBorders>
            <w:vAlign w:val="center"/>
          </w:tcPr>
          <w:p w:rsidR="006F53DA" w:rsidRPr="00160029" w:rsidRDefault="006F53DA" w:rsidP="001A0E08">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F53DA" w:rsidRDefault="00BE0100" w:rsidP="00BE0100">
            <w:pPr>
              <w:rPr>
                <w:rFonts w:ascii="Garamond" w:hAnsi="Garamond"/>
                <w:lang w:val="en-AU"/>
              </w:rPr>
            </w:pPr>
            <w:r>
              <w:rPr>
                <w:rFonts w:ascii="Garamond" w:hAnsi="Garamond"/>
                <w:lang w:val="en-AU"/>
              </w:rPr>
              <w:t>Paper describing a number of the types of safety issues that can arise from the implementation and adoption of hospital ePrescribing systems and some possible technological and organisational strategies. Based on studies of the implementation and adoption of such systems in six English hospitals that included 214 interviews, 24 observations and a range of documents, the authors categorised the factors underlying unintended safety threats into various categories:</w:t>
            </w:r>
          </w:p>
          <w:p w:rsidR="00BE0100" w:rsidRPr="00BE0100" w:rsidRDefault="00BE0100" w:rsidP="00BE0100">
            <w:pPr>
              <w:pStyle w:val="ListParagraph"/>
              <w:numPr>
                <w:ilvl w:val="0"/>
                <w:numId w:val="28"/>
              </w:numPr>
              <w:rPr>
                <w:rFonts w:ascii="Garamond" w:hAnsi="Garamond"/>
                <w:lang w:val="en-AU"/>
              </w:rPr>
            </w:pPr>
            <w:r w:rsidRPr="00BE0100">
              <w:rPr>
                <w:rFonts w:ascii="Garamond" w:hAnsi="Garamond"/>
                <w:b/>
                <w:lang w:val="en-AU"/>
              </w:rPr>
              <w:t>suboptimal system design</w:t>
            </w:r>
            <w:r w:rsidRPr="00BE0100">
              <w:rPr>
                <w:rFonts w:ascii="Garamond" w:hAnsi="Garamond"/>
                <w:lang w:val="en-AU"/>
              </w:rPr>
              <w:t>, including lack of support for complex medication administration regimens, lack of effective integration between different systems, and lack of effective automated decision support tools;</w:t>
            </w:r>
          </w:p>
          <w:p w:rsidR="00BE0100" w:rsidRPr="00BE0100" w:rsidRDefault="00BE0100" w:rsidP="00BE0100">
            <w:pPr>
              <w:pStyle w:val="ListParagraph"/>
              <w:numPr>
                <w:ilvl w:val="0"/>
                <w:numId w:val="28"/>
              </w:numPr>
              <w:rPr>
                <w:rFonts w:ascii="Garamond" w:hAnsi="Garamond"/>
                <w:lang w:val="en-AU"/>
              </w:rPr>
            </w:pPr>
            <w:r w:rsidRPr="00BE0100">
              <w:rPr>
                <w:rFonts w:ascii="Garamond" w:hAnsi="Garamond"/>
                <w:b/>
                <w:lang w:val="en-AU"/>
              </w:rPr>
              <w:t>inappropriate use of systems</w:t>
            </w:r>
            <w:r w:rsidRPr="00BE0100">
              <w:rPr>
                <w:rFonts w:ascii="Garamond" w:hAnsi="Garamond"/>
                <w:lang w:val="en-AU"/>
              </w:rPr>
              <w:t xml:space="preserve">—in particular, too much reliance on the system and introduction of workarounds; and </w:t>
            </w:r>
          </w:p>
          <w:p w:rsidR="00BE0100" w:rsidRPr="00BE0100" w:rsidRDefault="00BE0100" w:rsidP="00BE0100">
            <w:pPr>
              <w:pStyle w:val="ListParagraph"/>
              <w:numPr>
                <w:ilvl w:val="0"/>
                <w:numId w:val="28"/>
              </w:numPr>
              <w:rPr>
                <w:rFonts w:ascii="Garamond" w:hAnsi="Garamond"/>
                <w:lang w:val="en-AU"/>
              </w:rPr>
            </w:pPr>
            <w:proofErr w:type="gramStart"/>
            <w:r w:rsidRPr="00BE0100">
              <w:rPr>
                <w:rFonts w:ascii="Garamond" w:hAnsi="Garamond"/>
                <w:b/>
                <w:lang w:val="en-AU"/>
              </w:rPr>
              <w:t>suboptimal</w:t>
            </w:r>
            <w:proofErr w:type="gramEnd"/>
            <w:r w:rsidRPr="00BE0100">
              <w:rPr>
                <w:rFonts w:ascii="Garamond" w:hAnsi="Garamond"/>
                <w:b/>
                <w:lang w:val="en-AU"/>
              </w:rPr>
              <w:t xml:space="preserve"> implementation strategies</w:t>
            </w:r>
            <w:r w:rsidRPr="00BE0100">
              <w:rPr>
                <w:rFonts w:ascii="Garamond" w:hAnsi="Garamond"/>
                <w:lang w:val="en-AU"/>
              </w:rPr>
              <w:t xml:space="preserve"> resulting from partial roll-outs/dual systems and lack of appropriate training.</w:t>
            </w:r>
          </w:p>
        </w:tc>
      </w:tr>
    </w:tbl>
    <w:p w:rsidR="00D278D5" w:rsidRDefault="00D278D5" w:rsidP="006F53DA">
      <w:pPr>
        <w:rPr>
          <w:rFonts w:ascii="Garamond" w:hAnsi="Garamond"/>
          <w:lang w:val="en-AU" w:eastAsia="en-AU"/>
        </w:rPr>
      </w:pPr>
    </w:p>
    <w:p w:rsidR="006F53DA" w:rsidRDefault="00D278D5" w:rsidP="006F53DA">
      <w:pPr>
        <w:rPr>
          <w:rFonts w:ascii="Garamond" w:hAnsi="Garamond"/>
          <w:lang w:val="en-AU" w:eastAsia="en-AU"/>
        </w:rPr>
      </w:pPr>
      <w:r w:rsidRPr="00160029">
        <w:rPr>
          <w:rFonts w:ascii="Garamond" w:hAnsi="Garamond"/>
          <w:lang w:val="en-AU" w:eastAsia="en-AU"/>
        </w:rPr>
        <w:t>For information about the Commission’s work on</w:t>
      </w:r>
      <w:r>
        <w:rPr>
          <w:rFonts w:ascii="Garamond" w:hAnsi="Garamond"/>
          <w:lang w:val="en-AU" w:eastAsia="en-AU"/>
        </w:rPr>
        <w:t xml:space="preserve"> safety in e-health, including e</w:t>
      </w:r>
      <w:r w:rsidRPr="00D278D5">
        <w:rPr>
          <w:rFonts w:ascii="Garamond" w:hAnsi="Garamond"/>
          <w:lang w:val="en-AU" w:eastAsia="en-AU"/>
        </w:rPr>
        <w:t xml:space="preserve">lectronic </w:t>
      </w:r>
      <w:r>
        <w:rPr>
          <w:rFonts w:ascii="Garamond" w:hAnsi="Garamond"/>
          <w:lang w:val="en-AU" w:eastAsia="en-AU"/>
        </w:rPr>
        <w:t>m</w:t>
      </w:r>
      <w:r w:rsidRPr="00D278D5">
        <w:rPr>
          <w:rFonts w:ascii="Garamond" w:hAnsi="Garamond"/>
          <w:lang w:val="en-AU" w:eastAsia="en-AU"/>
        </w:rPr>
        <w:t xml:space="preserve">edication </w:t>
      </w:r>
      <w:r>
        <w:rPr>
          <w:rFonts w:ascii="Garamond" w:hAnsi="Garamond"/>
          <w:lang w:val="en-AU" w:eastAsia="en-AU"/>
        </w:rPr>
        <w:t>m</w:t>
      </w:r>
      <w:r w:rsidRPr="00D278D5">
        <w:rPr>
          <w:rFonts w:ascii="Garamond" w:hAnsi="Garamond"/>
          <w:lang w:val="en-AU" w:eastAsia="en-AU"/>
        </w:rPr>
        <w:t xml:space="preserve">anagement </w:t>
      </w:r>
      <w:r>
        <w:rPr>
          <w:rFonts w:ascii="Garamond" w:hAnsi="Garamond"/>
          <w:lang w:val="en-AU" w:eastAsia="en-AU"/>
        </w:rPr>
        <w:t>s</w:t>
      </w:r>
      <w:r w:rsidRPr="00D278D5">
        <w:rPr>
          <w:rFonts w:ascii="Garamond" w:hAnsi="Garamond"/>
          <w:lang w:val="en-AU" w:eastAsia="en-AU"/>
        </w:rPr>
        <w:t xml:space="preserve">ystems in </w:t>
      </w:r>
      <w:r>
        <w:rPr>
          <w:rFonts w:ascii="Garamond" w:hAnsi="Garamond"/>
          <w:lang w:val="en-AU" w:eastAsia="en-AU"/>
        </w:rPr>
        <w:t>h</w:t>
      </w:r>
      <w:r w:rsidRPr="00D278D5">
        <w:rPr>
          <w:rFonts w:ascii="Garamond" w:hAnsi="Garamond"/>
          <w:lang w:val="en-AU" w:eastAsia="en-AU"/>
        </w:rPr>
        <w:t>ospitals</w:t>
      </w:r>
      <w:r>
        <w:rPr>
          <w:rFonts w:ascii="Garamond" w:hAnsi="Garamond"/>
          <w:lang w:val="en-AU" w:eastAsia="en-AU"/>
        </w:rPr>
        <w:t xml:space="preserve">, see </w:t>
      </w:r>
      <w:hyperlink r:id="rId19" w:history="1">
        <w:r w:rsidRPr="001446ED">
          <w:rPr>
            <w:rStyle w:val="Hyperlink"/>
            <w:rFonts w:ascii="Garamond" w:hAnsi="Garamond"/>
            <w:lang w:val="en-AU" w:eastAsia="en-AU"/>
          </w:rPr>
          <w:t>https://www.safetyandquality.gov.au/our-work/safety-in-e-health/</w:t>
        </w:r>
      </w:hyperlink>
    </w:p>
    <w:p w:rsidR="00D278D5" w:rsidRDefault="00D278D5" w:rsidP="006F53DA">
      <w:pPr>
        <w:rPr>
          <w:rFonts w:ascii="Garamond" w:hAnsi="Garamond"/>
          <w:lang w:val="en-AU" w:eastAsia="en-AU"/>
        </w:rPr>
      </w:pPr>
    </w:p>
    <w:p w:rsidR="007E0274" w:rsidRPr="007E0274" w:rsidRDefault="007E0274" w:rsidP="007E0274">
      <w:pPr>
        <w:keepNext/>
        <w:rPr>
          <w:rFonts w:ascii="Garamond" w:hAnsi="Garamond"/>
          <w:i/>
          <w:lang w:val="en-AU"/>
        </w:rPr>
      </w:pPr>
      <w:r w:rsidRPr="007E0274">
        <w:rPr>
          <w:rFonts w:ascii="Garamond" w:hAnsi="Garamond"/>
          <w:i/>
          <w:lang w:val="en-AU"/>
        </w:rPr>
        <w:t>Integrated Approach to Reduce Perinatal Adverse Events: Standardized Processes, Interdisciplinary Teamwork Training, and Performance Feedback</w:t>
      </w:r>
    </w:p>
    <w:p w:rsidR="007E0274" w:rsidRDefault="007E0274" w:rsidP="00D341CD">
      <w:pPr>
        <w:keepNext/>
        <w:rPr>
          <w:rFonts w:ascii="Garamond" w:hAnsi="Garamond"/>
          <w:lang w:val="en-AU"/>
        </w:rPr>
      </w:pPr>
      <w:r w:rsidRPr="007E0274">
        <w:rPr>
          <w:rFonts w:ascii="Garamond" w:hAnsi="Garamond"/>
          <w:lang w:val="en-AU"/>
        </w:rPr>
        <w:t xml:space="preserve">Riley W, Begun JW, Meredith L, Miller KK, Connolly K, Price R, et al. </w:t>
      </w:r>
    </w:p>
    <w:p w:rsidR="00D341CD" w:rsidRPr="00160029" w:rsidRDefault="007E0274" w:rsidP="00D341CD">
      <w:pPr>
        <w:keepNext/>
        <w:rPr>
          <w:rFonts w:ascii="Garamond" w:hAnsi="Garamond"/>
          <w:lang w:val="en-AU"/>
        </w:rPr>
      </w:pPr>
      <w:proofErr w:type="gramStart"/>
      <w:r w:rsidRPr="007E0274">
        <w:rPr>
          <w:rFonts w:ascii="Garamond" w:hAnsi="Garamond"/>
          <w:lang w:val="en-AU"/>
        </w:rPr>
        <w:t>Health Services Research.</w:t>
      </w:r>
      <w:proofErr w:type="gramEnd"/>
      <w:r w:rsidRPr="007E0274">
        <w:rPr>
          <w:rFonts w:ascii="Garamond" w:hAnsi="Garamond"/>
          <w:lang w:val="en-AU"/>
        </w:rPr>
        <w:t xml:space="preserve"> 2016</w:t>
      </w:r>
      <w:proofErr w:type="gramStart"/>
      <w:r w:rsidRPr="007E0274">
        <w:rPr>
          <w:rFonts w:ascii="Garamond" w:hAnsi="Garamond"/>
          <w:lang w:val="en-AU"/>
        </w:rPr>
        <w:t>;51:2431</w:t>
      </w:r>
      <w:proofErr w:type="gramEnd"/>
      <w:r w:rsidRPr="007E0274">
        <w:rPr>
          <w:rFonts w:ascii="Garamond" w:hAnsi="Garamond"/>
          <w:lang w:val="en-AU"/>
        </w:rPr>
        <w:t>-52.</w:t>
      </w:r>
    </w:p>
    <w:tbl>
      <w:tblPr>
        <w:tblStyle w:val="TableGrid"/>
        <w:tblW w:w="0" w:type="auto"/>
        <w:tblInd w:w="288" w:type="dxa"/>
        <w:tblLayout w:type="fixed"/>
        <w:tblLook w:val="01E0" w:firstRow="1" w:lastRow="1" w:firstColumn="1" w:lastColumn="1" w:noHBand="0" w:noVBand="0"/>
      </w:tblPr>
      <w:tblGrid>
        <w:gridCol w:w="1080"/>
        <w:gridCol w:w="8280"/>
      </w:tblGrid>
      <w:tr w:rsidR="00D341CD" w:rsidRPr="00160029" w:rsidTr="00AD596C">
        <w:tc>
          <w:tcPr>
            <w:tcW w:w="1080" w:type="dxa"/>
            <w:tcBorders>
              <w:top w:val="single" w:sz="4" w:space="0" w:color="auto"/>
              <w:left w:val="single" w:sz="4" w:space="0" w:color="auto"/>
              <w:bottom w:val="single" w:sz="4" w:space="0" w:color="auto"/>
              <w:right w:val="single" w:sz="4" w:space="0" w:color="auto"/>
            </w:tcBorders>
            <w:vAlign w:val="center"/>
          </w:tcPr>
          <w:p w:rsidR="00D341CD" w:rsidRPr="00160029" w:rsidRDefault="00D341CD" w:rsidP="00AD596C">
            <w:pPr>
              <w:rPr>
                <w:rStyle w:val="Hyperlink"/>
                <w:rFonts w:ascii="Garamond" w:hAnsi="Garamond"/>
                <w:lang w:val="en-AU"/>
              </w:rPr>
            </w:pPr>
            <w:r w:rsidRPr="00160029">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341CD" w:rsidRPr="00160029" w:rsidRDefault="007E0274" w:rsidP="00AD596C">
            <w:pPr>
              <w:rPr>
                <w:rStyle w:val="Hyperlink"/>
                <w:rFonts w:ascii="Garamond" w:hAnsi="Garamond"/>
                <w:color w:val="auto"/>
                <w:u w:val="none"/>
                <w:lang w:val="en-AU"/>
              </w:rPr>
            </w:pPr>
            <w:hyperlink r:id="rId20" w:history="1">
              <w:r w:rsidRPr="00317EDD">
                <w:rPr>
                  <w:rStyle w:val="Hyperlink"/>
                  <w:rFonts w:ascii="Garamond" w:hAnsi="Garamond"/>
                  <w:lang w:val="en-AU"/>
                </w:rPr>
                <w:t>http://dx.doi.org/10.1111/1475-6773.12592</w:t>
              </w:r>
            </w:hyperlink>
          </w:p>
        </w:tc>
      </w:tr>
      <w:tr w:rsidR="00D341CD" w:rsidRPr="00160029" w:rsidTr="00AD596C">
        <w:tc>
          <w:tcPr>
            <w:tcW w:w="1080" w:type="dxa"/>
            <w:tcBorders>
              <w:top w:val="single" w:sz="4" w:space="0" w:color="auto"/>
              <w:left w:val="single" w:sz="4" w:space="0" w:color="auto"/>
              <w:bottom w:val="single" w:sz="4" w:space="0" w:color="auto"/>
              <w:right w:val="single" w:sz="4" w:space="0" w:color="auto"/>
            </w:tcBorders>
            <w:vAlign w:val="center"/>
          </w:tcPr>
          <w:p w:rsidR="00D341CD" w:rsidRPr="00160029" w:rsidRDefault="00D341CD" w:rsidP="00AD596C">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341CD" w:rsidRPr="00160029" w:rsidRDefault="007E0274" w:rsidP="007E0274">
            <w:pPr>
              <w:rPr>
                <w:rFonts w:ascii="Garamond" w:hAnsi="Garamond"/>
                <w:lang w:val="en-AU"/>
              </w:rPr>
            </w:pPr>
            <w:r>
              <w:rPr>
                <w:rFonts w:ascii="Garamond" w:hAnsi="Garamond"/>
                <w:lang w:val="en-AU"/>
              </w:rPr>
              <w:t>This paper reports on a study that examined the impact of an intervention aimed at improving safety practices and reducing</w:t>
            </w:r>
            <w:r w:rsidRPr="007E0274">
              <w:rPr>
                <w:rFonts w:ascii="Garamond" w:hAnsi="Garamond"/>
                <w:lang w:val="en-AU"/>
              </w:rPr>
              <w:t xml:space="preserve"> adverse events in perinatal units</w:t>
            </w:r>
            <w:r>
              <w:rPr>
                <w:rFonts w:ascii="Garamond" w:hAnsi="Garamond"/>
                <w:lang w:val="en-AU"/>
              </w:rPr>
              <w:t>. The study used data from p</w:t>
            </w:r>
            <w:r w:rsidRPr="007E0274">
              <w:rPr>
                <w:rFonts w:ascii="Garamond" w:hAnsi="Garamond"/>
                <w:lang w:val="en-AU"/>
              </w:rPr>
              <w:t>erinatal units of 14 hospitals participating in the intervention between 2008 and 2012</w:t>
            </w:r>
            <w:r>
              <w:rPr>
                <w:rFonts w:ascii="Garamond" w:hAnsi="Garamond"/>
                <w:lang w:val="en-AU"/>
              </w:rPr>
              <w:t xml:space="preserve"> </w:t>
            </w:r>
            <w:r w:rsidRPr="007E0274">
              <w:rPr>
                <w:rFonts w:ascii="Garamond" w:hAnsi="Garamond"/>
                <w:lang w:val="en-AU"/>
              </w:rPr>
              <w:t xml:space="preserve">involving 342,754 deliveries </w:t>
            </w:r>
            <w:r>
              <w:rPr>
                <w:rFonts w:ascii="Garamond" w:hAnsi="Garamond"/>
                <w:lang w:val="en-AU"/>
              </w:rPr>
              <w:t xml:space="preserve">to examine the </w:t>
            </w:r>
            <w:r w:rsidRPr="007E0274">
              <w:rPr>
                <w:rFonts w:ascii="Garamond" w:hAnsi="Garamond"/>
                <w:lang w:val="en-AU"/>
              </w:rPr>
              <w:t>quality improvement collaborative that supported three primary interventions. Primary measures include adoption of three standardized care processes and four measures of outcomes.</w:t>
            </w:r>
            <w:r>
              <w:rPr>
                <w:rFonts w:ascii="Garamond" w:hAnsi="Garamond"/>
                <w:lang w:val="en-AU"/>
              </w:rPr>
              <w:t xml:space="preserve"> The </w:t>
            </w:r>
            <w:r w:rsidRPr="007E0274">
              <w:rPr>
                <w:rFonts w:ascii="Garamond" w:hAnsi="Garamond"/>
                <w:lang w:val="en-AU"/>
              </w:rPr>
              <w:t>perinatal units increased use of all three care processes</w:t>
            </w:r>
            <w:r>
              <w:rPr>
                <w:rFonts w:ascii="Garamond" w:hAnsi="Garamond"/>
                <w:lang w:val="en-AU"/>
              </w:rPr>
              <w:t>, while h</w:t>
            </w:r>
            <w:r w:rsidRPr="007E0274">
              <w:rPr>
                <w:rFonts w:ascii="Garamond" w:hAnsi="Garamond"/>
                <w:lang w:val="en-AU"/>
              </w:rPr>
              <w:t>arms measured by the Adverse Outcome Index decreased 14 percent</w:t>
            </w:r>
            <w:r>
              <w:rPr>
                <w:rFonts w:ascii="Garamond" w:hAnsi="Garamond"/>
                <w:lang w:val="en-AU"/>
              </w:rPr>
              <w:t xml:space="preserve">. </w:t>
            </w:r>
          </w:p>
        </w:tc>
      </w:tr>
    </w:tbl>
    <w:p w:rsidR="00D341CD" w:rsidRDefault="00D341CD" w:rsidP="00D341CD">
      <w:pPr>
        <w:rPr>
          <w:rFonts w:ascii="Garamond" w:hAnsi="Garamond"/>
          <w:lang w:val="en-AU" w:eastAsia="en-AU"/>
        </w:rPr>
      </w:pPr>
    </w:p>
    <w:p w:rsidR="00F87F78" w:rsidRPr="00F87F78" w:rsidRDefault="00F87F78" w:rsidP="00F87F78">
      <w:pPr>
        <w:keepNext/>
        <w:rPr>
          <w:rFonts w:ascii="Garamond" w:hAnsi="Garamond"/>
          <w:i/>
          <w:lang w:val="en-AU"/>
        </w:rPr>
      </w:pPr>
      <w:r w:rsidRPr="00F87F78">
        <w:rPr>
          <w:rFonts w:ascii="Garamond" w:hAnsi="Garamond"/>
          <w:i/>
          <w:lang w:val="en-AU"/>
        </w:rPr>
        <w:t>Patient safety in community dementia services: what can we learn from the experiences of caregivers and healthcare professionals?</w:t>
      </w:r>
    </w:p>
    <w:p w:rsidR="00F87F78" w:rsidRDefault="00F87F78" w:rsidP="00D341CD">
      <w:pPr>
        <w:keepNext/>
        <w:rPr>
          <w:rFonts w:ascii="Garamond" w:hAnsi="Garamond"/>
          <w:lang w:val="en-AU"/>
        </w:rPr>
      </w:pPr>
      <w:r w:rsidRPr="00F87F78">
        <w:rPr>
          <w:rFonts w:ascii="Garamond" w:hAnsi="Garamond"/>
          <w:lang w:val="en-AU"/>
        </w:rPr>
        <w:t>Behrman S, Wilkinson P, Lloyd H, Vincent C</w:t>
      </w:r>
    </w:p>
    <w:p w:rsidR="00D341CD" w:rsidRPr="00160029" w:rsidRDefault="00F87F78" w:rsidP="00D341CD">
      <w:pPr>
        <w:keepNext/>
        <w:rPr>
          <w:rFonts w:ascii="Garamond" w:hAnsi="Garamond"/>
          <w:lang w:val="en-AU"/>
        </w:rPr>
      </w:pPr>
      <w:proofErr w:type="gramStart"/>
      <w:r w:rsidRPr="00F87F78">
        <w:rPr>
          <w:rFonts w:ascii="Garamond" w:hAnsi="Garamond"/>
          <w:lang w:val="en-AU"/>
        </w:rPr>
        <w:t>Age and Ageing</w:t>
      </w:r>
      <w:r>
        <w:rPr>
          <w:rFonts w:ascii="Garamond" w:hAnsi="Garamond"/>
          <w:lang w:val="en-AU"/>
        </w:rPr>
        <w:t xml:space="preserve"> [epub]</w:t>
      </w:r>
      <w:r w:rsidRPr="00F87F78">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D341CD" w:rsidRPr="00160029" w:rsidTr="00AD596C">
        <w:tc>
          <w:tcPr>
            <w:tcW w:w="1080" w:type="dxa"/>
            <w:tcBorders>
              <w:top w:val="single" w:sz="4" w:space="0" w:color="auto"/>
              <w:left w:val="single" w:sz="4" w:space="0" w:color="auto"/>
              <w:bottom w:val="single" w:sz="4" w:space="0" w:color="auto"/>
              <w:right w:val="single" w:sz="4" w:space="0" w:color="auto"/>
            </w:tcBorders>
            <w:vAlign w:val="center"/>
          </w:tcPr>
          <w:p w:rsidR="00D341CD" w:rsidRPr="00160029" w:rsidRDefault="00D341CD" w:rsidP="00AD596C">
            <w:pPr>
              <w:rPr>
                <w:rStyle w:val="Hyperlink"/>
                <w:rFonts w:ascii="Garamond" w:hAnsi="Garamond"/>
                <w:lang w:val="en-AU"/>
              </w:rPr>
            </w:pPr>
            <w:r w:rsidRPr="00160029">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341CD" w:rsidRPr="00160029" w:rsidRDefault="00F87F78" w:rsidP="00F87F78">
            <w:pPr>
              <w:rPr>
                <w:rStyle w:val="Hyperlink"/>
                <w:rFonts w:ascii="Garamond" w:hAnsi="Garamond"/>
                <w:color w:val="auto"/>
                <w:u w:val="none"/>
                <w:lang w:val="en-AU"/>
              </w:rPr>
            </w:pPr>
            <w:hyperlink r:id="rId21" w:history="1">
              <w:r w:rsidRPr="00317EDD">
                <w:rPr>
                  <w:rStyle w:val="Hyperlink"/>
                  <w:rFonts w:ascii="Garamond" w:hAnsi="Garamond"/>
                  <w:lang w:val="en-AU"/>
                </w:rPr>
                <w:t>https://doi.org/10.1093/ageing/afw220</w:t>
              </w:r>
            </w:hyperlink>
          </w:p>
        </w:tc>
      </w:tr>
      <w:tr w:rsidR="00D341CD" w:rsidRPr="00160029" w:rsidTr="00AD596C">
        <w:tc>
          <w:tcPr>
            <w:tcW w:w="1080" w:type="dxa"/>
            <w:tcBorders>
              <w:top w:val="single" w:sz="4" w:space="0" w:color="auto"/>
              <w:left w:val="single" w:sz="4" w:space="0" w:color="auto"/>
              <w:bottom w:val="single" w:sz="4" w:space="0" w:color="auto"/>
              <w:right w:val="single" w:sz="4" w:space="0" w:color="auto"/>
            </w:tcBorders>
            <w:vAlign w:val="center"/>
          </w:tcPr>
          <w:p w:rsidR="00D341CD" w:rsidRPr="00160029" w:rsidRDefault="00D341CD" w:rsidP="00AD596C">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341CD" w:rsidRPr="00160029" w:rsidRDefault="00F87F78" w:rsidP="00F87F78">
            <w:pPr>
              <w:rPr>
                <w:rFonts w:ascii="Garamond" w:hAnsi="Garamond"/>
                <w:lang w:val="en-AU"/>
              </w:rPr>
            </w:pPr>
            <w:r>
              <w:rPr>
                <w:rFonts w:ascii="Garamond" w:hAnsi="Garamond"/>
                <w:lang w:val="en-AU"/>
              </w:rPr>
              <w:t xml:space="preserve">Safety and quality issues can affect any patients. However, some patients may be more vulnerable. One such group may be patients with dementia. That paper reports on a </w:t>
            </w:r>
            <w:r w:rsidRPr="00F87F78">
              <w:rPr>
                <w:rFonts w:ascii="Garamond" w:hAnsi="Garamond"/>
                <w:lang w:val="en-AU"/>
              </w:rPr>
              <w:t xml:space="preserve">qualitative study </w:t>
            </w:r>
            <w:r>
              <w:rPr>
                <w:rFonts w:ascii="Garamond" w:hAnsi="Garamond"/>
                <w:lang w:val="en-AU"/>
              </w:rPr>
              <w:t xml:space="preserve">that interviewed 20 </w:t>
            </w:r>
            <w:r w:rsidRPr="00F87F78">
              <w:rPr>
                <w:rFonts w:ascii="Garamond" w:hAnsi="Garamond"/>
                <w:lang w:val="en-AU"/>
              </w:rPr>
              <w:t>caregivers and</w:t>
            </w:r>
            <w:r>
              <w:rPr>
                <w:rFonts w:ascii="Garamond" w:hAnsi="Garamond"/>
                <w:lang w:val="en-AU"/>
              </w:rPr>
              <w:t xml:space="preserve"> health care workers. These interviews </w:t>
            </w:r>
            <w:r w:rsidRPr="00F87F78">
              <w:rPr>
                <w:rFonts w:ascii="Garamond" w:hAnsi="Garamond"/>
                <w:lang w:val="en-AU"/>
              </w:rPr>
              <w:t xml:space="preserve">identified a range of issues including medication errors, miscommunication between professionals, unclear service pathways and the effects of stress on caregivers’ behaviour. </w:t>
            </w:r>
            <w:r>
              <w:rPr>
                <w:rFonts w:ascii="Garamond" w:hAnsi="Garamond"/>
                <w:lang w:val="en-AU"/>
              </w:rPr>
              <w:t>The authors noted that c</w:t>
            </w:r>
            <w:r w:rsidRPr="00F87F78">
              <w:rPr>
                <w:rFonts w:ascii="Garamond" w:hAnsi="Garamond"/>
                <w:lang w:val="en-AU"/>
              </w:rPr>
              <w:t>aregivers and professionals differed in their attitudes to balancing safety with patient autonomy and who is responsible for managing safety.</w:t>
            </w:r>
          </w:p>
        </w:tc>
      </w:tr>
    </w:tbl>
    <w:p w:rsidR="00AB1539" w:rsidRPr="00041C22" w:rsidRDefault="00AB1539" w:rsidP="00AB1539">
      <w:pPr>
        <w:keepNext/>
        <w:rPr>
          <w:rFonts w:ascii="Garamond" w:hAnsi="Garamond"/>
          <w:i/>
          <w:lang w:val="en-AU"/>
        </w:rPr>
      </w:pPr>
      <w:r w:rsidRPr="00041C22">
        <w:rPr>
          <w:rFonts w:ascii="Garamond" w:hAnsi="Garamond"/>
          <w:i/>
          <w:lang w:val="en-AU"/>
        </w:rPr>
        <w:lastRenderedPageBreak/>
        <w:t>A randomized trial to determine the impact of a 5 moments for patient hand hygiene educational intervention on patient hand hygiene</w:t>
      </w:r>
    </w:p>
    <w:p w:rsidR="00AB1539" w:rsidRDefault="00AB1539" w:rsidP="00AB1539">
      <w:pPr>
        <w:keepNext/>
        <w:rPr>
          <w:rFonts w:ascii="Garamond" w:hAnsi="Garamond"/>
          <w:lang w:val="en-AU"/>
        </w:rPr>
      </w:pPr>
      <w:r w:rsidRPr="00041C22">
        <w:rPr>
          <w:rFonts w:ascii="Garamond" w:hAnsi="Garamond"/>
          <w:lang w:val="en-AU"/>
        </w:rPr>
        <w:t>Rai H, Knighton S, Zabarsky TF, Donskey CJ</w:t>
      </w:r>
    </w:p>
    <w:p w:rsidR="00AB1539" w:rsidRPr="00160029" w:rsidRDefault="00AB1539" w:rsidP="00AB1539">
      <w:pPr>
        <w:keepNext/>
        <w:rPr>
          <w:rFonts w:ascii="Garamond" w:hAnsi="Garamond"/>
          <w:lang w:val="en-AU"/>
        </w:rPr>
      </w:pPr>
      <w:proofErr w:type="gramStart"/>
      <w:r w:rsidRPr="00041C22">
        <w:rPr>
          <w:rFonts w:ascii="Garamond" w:hAnsi="Garamond"/>
          <w:lang w:val="en-AU"/>
        </w:rPr>
        <w:t>American Journal of Infection Control.</w:t>
      </w:r>
      <w:proofErr w:type="gramEnd"/>
      <w:r w:rsidRPr="00041C22">
        <w:rPr>
          <w:rFonts w:ascii="Garamond" w:hAnsi="Garamond"/>
          <w:lang w:val="en-AU"/>
        </w:rPr>
        <w:t xml:space="preserve"> </w:t>
      </w:r>
      <w:proofErr w:type="gramStart"/>
      <w:r w:rsidRPr="00041C22">
        <w:rPr>
          <w:rFonts w:ascii="Garamond" w:hAnsi="Garamond"/>
          <w:lang w:val="en-AU"/>
        </w:rPr>
        <w:t>2017</w:t>
      </w:r>
      <w:r>
        <w:rPr>
          <w:rFonts w:ascii="Garamond" w:hAnsi="Garamond"/>
          <w:lang w:val="en-AU"/>
        </w:rPr>
        <w:t xml:space="preserve"> [epub]</w:t>
      </w:r>
      <w:r w:rsidRPr="00041C22">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AB1539" w:rsidRPr="00160029" w:rsidTr="007D0D43">
        <w:tc>
          <w:tcPr>
            <w:tcW w:w="1080" w:type="dxa"/>
            <w:tcBorders>
              <w:top w:val="single" w:sz="4" w:space="0" w:color="auto"/>
              <w:left w:val="single" w:sz="4" w:space="0" w:color="auto"/>
              <w:bottom w:val="single" w:sz="4" w:space="0" w:color="auto"/>
              <w:right w:val="single" w:sz="4" w:space="0" w:color="auto"/>
            </w:tcBorders>
            <w:vAlign w:val="center"/>
          </w:tcPr>
          <w:p w:rsidR="00AB1539" w:rsidRPr="00160029" w:rsidRDefault="00AB1539" w:rsidP="007D0D43">
            <w:pPr>
              <w:rPr>
                <w:rStyle w:val="Hyperlink"/>
                <w:rFonts w:ascii="Garamond" w:hAnsi="Garamond"/>
                <w:lang w:val="en-AU"/>
              </w:rPr>
            </w:pPr>
            <w:r w:rsidRPr="00160029">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B1539" w:rsidRPr="00160029" w:rsidRDefault="00AB1539" w:rsidP="007D0D43">
            <w:pPr>
              <w:rPr>
                <w:rStyle w:val="Hyperlink"/>
                <w:rFonts w:ascii="Garamond" w:hAnsi="Garamond"/>
                <w:color w:val="auto"/>
                <w:u w:val="none"/>
                <w:lang w:val="en-AU"/>
              </w:rPr>
            </w:pPr>
            <w:hyperlink r:id="rId22" w:history="1">
              <w:r w:rsidRPr="00317EDD">
                <w:rPr>
                  <w:rStyle w:val="Hyperlink"/>
                  <w:rFonts w:ascii="Garamond" w:hAnsi="Garamond"/>
                  <w:lang w:val="en-AU"/>
                </w:rPr>
                <w:t>http://dx.doi.org/10.1016/j.ajic.2016.12.022</w:t>
              </w:r>
            </w:hyperlink>
          </w:p>
        </w:tc>
      </w:tr>
      <w:tr w:rsidR="00AB1539" w:rsidRPr="00160029" w:rsidTr="007D0D43">
        <w:tc>
          <w:tcPr>
            <w:tcW w:w="1080" w:type="dxa"/>
            <w:tcBorders>
              <w:top w:val="single" w:sz="4" w:space="0" w:color="auto"/>
              <w:left w:val="single" w:sz="4" w:space="0" w:color="auto"/>
              <w:bottom w:val="single" w:sz="4" w:space="0" w:color="auto"/>
              <w:right w:val="single" w:sz="4" w:space="0" w:color="auto"/>
            </w:tcBorders>
            <w:vAlign w:val="center"/>
          </w:tcPr>
          <w:p w:rsidR="00AB1539" w:rsidRPr="00160029" w:rsidRDefault="00AB1539" w:rsidP="007D0D43">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B1539" w:rsidRPr="00160029" w:rsidRDefault="00AB1539" w:rsidP="007D0D43">
            <w:pPr>
              <w:rPr>
                <w:rFonts w:ascii="Garamond" w:hAnsi="Garamond"/>
                <w:lang w:val="en-AU"/>
              </w:rPr>
            </w:pPr>
            <w:r>
              <w:rPr>
                <w:rFonts w:ascii="Garamond" w:hAnsi="Garamond"/>
                <w:lang w:val="en-AU"/>
              </w:rPr>
              <w:t xml:space="preserve">The 5 Moments for Hand Hygiene has been used to encourage and promote effective hand hygiene by clinicians. This paper describes a study that looked at a </w:t>
            </w:r>
            <w:r w:rsidRPr="00041C22">
              <w:rPr>
                <w:rFonts w:ascii="Garamond" w:hAnsi="Garamond"/>
                <w:lang w:val="en-AU"/>
              </w:rPr>
              <w:t xml:space="preserve">5 moments for hand hygiene </w:t>
            </w:r>
            <w:r>
              <w:rPr>
                <w:rFonts w:ascii="Garamond" w:hAnsi="Garamond"/>
                <w:lang w:val="en-AU"/>
              </w:rPr>
              <w:t>for patients. The authors suggest that their intervention led to “</w:t>
            </w:r>
            <w:r w:rsidRPr="007E0274">
              <w:rPr>
                <w:rFonts w:ascii="Garamond" w:hAnsi="Garamond"/>
                <w:lang w:val="en-AU"/>
              </w:rPr>
              <w:t>a significant increase in patient hand hygiene.</w:t>
            </w:r>
            <w:r>
              <w:rPr>
                <w:rFonts w:ascii="Garamond" w:hAnsi="Garamond"/>
                <w:lang w:val="en-AU"/>
              </w:rPr>
              <w:t>”</w:t>
            </w:r>
          </w:p>
        </w:tc>
      </w:tr>
    </w:tbl>
    <w:p w:rsidR="00AB1539" w:rsidRDefault="00AB1539" w:rsidP="00AB1539">
      <w:pPr>
        <w:rPr>
          <w:rFonts w:ascii="Garamond" w:hAnsi="Garamond"/>
          <w:lang w:val="en-AU" w:eastAsia="en-AU"/>
        </w:rPr>
      </w:pPr>
    </w:p>
    <w:p w:rsidR="00AB1539" w:rsidRDefault="00AB1539" w:rsidP="00AB1539">
      <w:pPr>
        <w:rPr>
          <w:rFonts w:ascii="Garamond" w:hAnsi="Garamond"/>
          <w:lang w:val="en-AU" w:eastAsia="en-AU"/>
        </w:rPr>
      </w:pPr>
      <w:r w:rsidRPr="00160029">
        <w:rPr>
          <w:rFonts w:ascii="Garamond" w:hAnsi="Garamond"/>
          <w:lang w:val="en-AU" w:eastAsia="en-AU"/>
        </w:rPr>
        <w:t>For information about the Commission’s work on</w:t>
      </w:r>
      <w:r>
        <w:rPr>
          <w:rFonts w:ascii="Garamond" w:hAnsi="Garamond"/>
          <w:lang w:val="en-AU" w:eastAsia="en-AU"/>
        </w:rPr>
        <w:t xml:space="preserve"> healthcare associate infections, including the National Hand Hygiene Initiative, see </w:t>
      </w:r>
      <w:hyperlink r:id="rId23" w:history="1">
        <w:r w:rsidRPr="00317EDD">
          <w:rPr>
            <w:rStyle w:val="Hyperlink"/>
            <w:rFonts w:ascii="Garamond" w:hAnsi="Garamond"/>
            <w:lang w:val="en-AU" w:eastAsia="en-AU"/>
          </w:rPr>
          <w:t>https://www.safetyandquality.gov.au/our-work/healthcare-associated-infection/</w:t>
        </w:r>
      </w:hyperlink>
    </w:p>
    <w:p w:rsidR="00AB1539" w:rsidRDefault="00AB1539" w:rsidP="00AB1539">
      <w:pPr>
        <w:rPr>
          <w:rFonts w:ascii="Garamond" w:hAnsi="Garamond"/>
          <w:lang w:val="en-AU" w:eastAsia="en-AU"/>
        </w:rPr>
      </w:pPr>
    </w:p>
    <w:p w:rsidR="006E4013" w:rsidRPr="00EB0FFF" w:rsidRDefault="006E4013" w:rsidP="006E4013">
      <w:pPr>
        <w:keepNext/>
        <w:keepLines/>
        <w:autoSpaceDE w:val="0"/>
        <w:autoSpaceDN w:val="0"/>
        <w:adjustRightInd w:val="0"/>
        <w:rPr>
          <w:rFonts w:ascii="Garamond" w:hAnsi="Garamond"/>
          <w:i/>
          <w:lang w:val="en-AU"/>
        </w:rPr>
      </w:pPr>
      <w:r w:rsidRPr="00EB0FFF">
        <w:rPr>
          <w:rFonts w:ascii="Garamond" w:hAnsi="Garamond"/>
          <w:i/>
          <w:lang w:val="en-AU"/>
        </w:rPr>
        <w:t>Public Health Research &amp; Practice</w:t>
      </w:r>
    </w:p>
    <w:p w:rsidR="006E4013" w:rsidRPr="00EB0FFF" w:rsidRDefault="006E4013" w:rsidP="006E4013">
      <w:pPr>
        <w:keepNext/>
        <w:keepLines/>
        <w:autoSpaceDE w:val="0"/>
        <w:autoSpaceDN w:val="0"/>
        <w:adjustRightInd w:val="0"/>
        <w:rPr>
          <w:rFonts w:ascii="Garamond" w:hAnsi="Garamond"/>
          <w:lang w:val="en-AU"/>
        </w:rPr>
      </w:pPr>
      <w:r w:rsidRPr="006E4013">
        <w:rPr>
          <w:rFonts w:ascii="Garamond" w:hAnsi="Garamond"/>
          <w:lang w:val="en-AU"/>
        </w:rPr>
        <w:t>February 2017, Volume 27, Issue 1</w:t>
      </w:r>
    </w:p>
    <w:tbl>
      <w:tblPr>
        <w:tblStyle w:val="TableGrid"/>
        <w:tblW w:w="0" w:type="auto"/>
        <w:tblInd w:w="288" w:type="dxa"/>
        <w:tblLayout w:type="fixed"/>
        <w:tblLook w:val="01E0" w:firstRow="1" w:lastRow="1" w:firstColumn="1" w:lastColumn="1" w:noHBand="0" w:noVBand="0"/>
      </w:tblPr>
      <w:tblGrid>
        <w:gridCol w:w="1080"/>
        <w:gridCol w:w="8280"/>
      </w:tblGrid>
      <w:tr w:rsidR="006E4013" w:rsidRPr="00EB0FFF" w:rsidTr="00E37BEB">
        <w:tc>
          <w:tcPr>
            <w:tcW w:w="1080" w:type="dxa"/>
            <w:tcBorders>
              <w:top w:val="single" w:sz="4" w:space="0" w:color="auto"/>
              <w:left w:val="single" w:sz="4" w:space="0" w:color="auto"/>
              <w:bottom w:val="single" w:sz="4" w:space="0" w:color="auto"/>
              <w:right w:val="single" w:sz="4" w:space="0" w:color="auto"/>
            </w:tcBorders>
            <w:vAlign w:val="center"/>
          </w:tcPr>
          <w:p w:rsidR="006E4013" w:rsidRPr="00EB0FFF" w:rsidRDefault="006E4013" w:rsidP="00E37BEB">
            <w:pPr>
              <w:rPr>
                <w:rFonts w:ascii="Garamond" w:hAnsi="Garamond"/>
                <w:lang w:val="en-AU"/>
              </w:rPr>
            </w:pPr>
            <w:r w:rsidRPr="00EB0FFF">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E4013" w:rsidRPr="006E4013" w:rsidRDefault="00AD2F42" w:rsidP="00E37BEB">
            <w:hyperlink r:id="rId24" w:history="1">
              <w:r w:rsidR="006E4013" w:rsidRPr="00B90EFF">
                <w:rPr>
                  <w:rStyle w:val="Hyperlink"/>
                </w:rPr>
                <w:t>http://www.phrp.com.au/issues/february-2017-volume-27-issue-1-2/</w:t>
              </w:r>
            </w:hyperlink>
          </w:p>
        </w:tc>
      </w:tr>
      <w:tr w:rsidR="006E4013" w:rsidRPr="00EB0FFF" w:rsidTr="00E37BEB">
        <w:tc>
          <w:tcPr>
            <w:tcW w:w="1080" w:type="dxa"/>
            <w:tcBorders>
              <w:top w:val="single" w:sz="4" w:space="0" w:color="auto"/>
              <w:left w:val="single" w:sz="4" w:space="0" w:color="auto"/>
              <w:bottom w:val="single" w:sz="4" w:space="0" w:color="auto"/>
              <w:right w:val="single" w:sz="4" w:space="0" w:color="auto"/>
            </w:tcBorders>
            <w:vAlign w:val="center"/>
          </w:tcPr>
          <w:p w:rsidR="006E4013" w:rsidRPr="00EB0FFF" w:rsidRDefault="006E4013" w:rsidP="00E37BEB">
            <w:pPr>
              <w:rPr>
                <w:rFonts w:ascii="Garamond" w:hAnsi="Garamond"/>
                <w:lang w:val="en-AU"/>
              </w:rPr>
            </w:pPr>
            <w:r w:rsidRPr="00EB0FFF">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E4013" w:rsidRPr="00EB0FFF" w:rsidRDefault="006E4013" w:rsidP="006E4013">
            <w:pPr>
              <w:rPr>
                <w:rFonts w:ascii="Garamond" w:hAnsi="Garamond"/>
                <w:lang w:val="en-AU" w:eastAsia="en-AU"/>
              </w:rPr>
            </w:pPr>
            <w:r w:rsidRPr="00EB0FFF">
              <w:rPr>
                <w:rFonts w:ascii="Garamond" w:hAnsi="Garamond"/>
                <w:lang w:val="en-AU" w:eastAsia="en-AU"/>
              </w:rPr>
              <w:t xml:space="preserve">A new issue of </w:t>
            </w:r>
            <w:r w:rsidRPr="00EB0FFF">
              <w:rPr>
                <w:rFonts w:ascii="Garamond" w:hAnsi="Garamond"/>
                <w:i/>
                <w:lang w:val="en-AU"/>
              </w:rPr>
              <w:t>Public Health Research &amp; Practice</w:t>
            </w:r>
            <w:r w:rsidRPr="00EB0FFF">
              <w:rPr>
                <w:rFonts w:ascii="Garamond" w:hAnsi="Garamond"/>
                <w:i/>
                <w:lang w:val="en-AU" w:eastAsia="en-AU"/>
              </w:rPr>
              <w:t xml:space="preserve"> </w:t>
            </w:r>
            <w:r>
              <w:rPr>
                <w:rFonts w:ascii="Garamond" w:hAnsi="Garamond"/>
                <w:lang w:val="en-AU" w:eastAsia="en-AU"/>
              </w:rPr>
              <w:t xml:space="preserve">has been published. This issue is a </w:t>
            </w:r>
            <w:r w:rsidRPr="006E4013">
              <w:rPr>
                <w:rFonts w:ascii="Garamond" w:hAnsi="Garamond"/>
                <w:lang w:val="en-AU" w:eastAsia="en-AU"/>
              </w:rPr>
              <w:t>special edition examining the theme of knowledge translation to support public health policy and practice.</w:t>
            </w:r>
            <w:r w:rsidRPr="00EB0FFF">
              <w:rPr>
                <w:rFonts w:ascii="Garamond" w:hAnsi="Garamond"/>
                <w:lang w:val="en-AU" w:eastAsia="en-AU"/>
              </w:rPr>
              <w:t xml:space="preserve"> Articles in this issue of </w:t>
            </w:r>
            <w:r w:rsidRPr="00EB0FFF">
              <w:rPr>
                <w:rFonts w:ascii="Garamond" w:hAnsi="Garamond"/>
                <w:i/>
                <w:lang w:val="en-AU"/>
              </w:rPr>
              <w:t>Public Health Research &amp; Practice</w:t>
            </w:r>
            <w:r w:rsidRPr="00EB0FFF">
              <w:rPr>
                <w:rFonts w:ascii="Garamond" w:hAnsi="Garamond"/>
                <w:lang w:val="en-AU" w:eastAsia="en-AU"/>
              </w:rPr>
              <w:t xml:space="preserve"> include:</w:t>
            </w:r>
          </w:p>
          <w:p w:rsidR="006E4013" w:rsidRPr="006E4013" w:rsidRDefault="006E4013" w:rsidP="006E4013">
            <w:pPr>
              <w:pStyle w:val="ListParagraph"/>
              <w:numPr>
                <w:ilvl w:val="0"/>
                <w:numId w:val="27"/>
              </w:numPr>
              <w:rPr>
                <w:rFonts w:ascii="Garamond" w:hAnsi="Garamond"/>
                <w:lang w:val="en-AU" w:eastAsia="en-AU"/>
              </w:rPr>
            </w:pPr>
            <w:r w:rsidRPr="006E4013">
              <w:rPr>
                <w:rFonts w:ascii="Garamond" w:hAnsi="Garamond"/>
                <w:lang w:val="en-AU" w:eastAsia="en-AU"/>
              </w:rPr>
              <w:t xml:space="preserve">Editorial: </w:t>
            </w:r>
            <w:r w:rsidRPr="006E4013">
              <w:rPr>
                <w:rFonts w:ascii="Garamond" w:hAnsi="Garamond"/>
                <w:b/>
                <w:lang w:val="en-AU" w:eastAsia="en-AU"/>
              </w:rPr>
              <w:t>Knowledge translation</w:t>
            </w:r>
            <w:r w:rsidRPr="006E4013">
              <w:rPr>
                <w:rFonts w:ascii="Garamond" w:hAnsi="Garamond"/>
                <w:lang w:val="en-AU" w:eastAsia="en-AU"/>
              </w:rPr>
              <w:t xml:space="preserve"> – evidence into action (Don Nutbeam and Andrew J Milat</w:t>
            </w:r>
            <w:r>
              <w:rPr>
                <w:rFonts w:ascii="Garamond" w:hAnsi="Garamond"/>
                <w:lang w:val="en-AU" w:eastAsia="en-AU"/>
              </w:rPr>
              <w:t>)</w:t>
            </w:r>
          </w:p>
          <w:p w:rsidR="006E4013" w:rsidRPr="006E4013" w:rsidRDefault="006E4013" w:rsidP="006E4013">
            <w:pPr>
              <w:pStyle w:val="ListParagraph"/>
              <w:numPr>
                <w:ilvl w:val="0"/>
                <w:numId w:val="27"/>
              </w:numPr>
              <w:rPr>
                <w:rFonts w:ascii="Garamond" w:hAnsi="Garamond"/>
                <w:lang w:val="en-AU" w:eastAsia="en-AU"/>
              </w:rPr>
            </w:pPr>
            <w:r w:rsidRPr="006E4013">
              <w:rPr>
                <w:rFonts w:ascii="Garamond" w:hAnsi="Garamond"/>
                <w:lang w:val="en-AU" w:eastAsia="en-AU"/>
              </w:rPr>
              <w:t xml:space="preserve">Interview with the Hon. Nicola Roxon: getting </w:t>
            </w:r>
            <w:r w:rsidRPr="006E4013">
              <w:rPr>
                <w:rFonts w:ascii="Garamond" w:hAnsi="Garamond"/>
                <w:b/>
                <w:lang w:val="en-AU" w:eastAsia="en-AU"/>
              </w:rPr>
              <w:t>evidence into health policy</w:t>
            </w:r>
            <w:r w:rsidRPr="006E4013">
              <w:rPr>
                <w:rFonts w:ascii="Garamond" w:hAnsi="Garamond"/>
                <w:lang w:val="en-AU" w:eastAsia="en-AU"/>
              </w:rPr>
              <w:t xml:space="preserve"> (Nicola Roxon</w:t>
            </w:r>
            <w:r>
              <w:rPr>
                <w:rFonts w:ascii="Garamond" w:hAnsi="Garamond"/>
                <w:lang w:val="en-AU" w:eastAsia="en-AU"/>
              </w:rPr>
              <w:t>)</w:t>
            </w:r>
          </w:p>
          <w:p w:rsidR="006E4013" w:rsidRPr="006E4013" w:rsidRDefault="006E4013" w:rsidP="006E4013">
            <w:pPr>
              <w:pStyle w:val="ListParagraph"/>
              <w:numPr>
                <w:ilvl w:val="0"/>
                <w:numId w:val="27"/>
              </w:numPr>
              <w:rPr>
                <w:rFonts w:ascii="Garamond" w:hAnsi="Garamond"/>
                <w:lang w:val="en-AU" w:eastAsia="en-AU"/>
              </w:rPr>
            </w:pPr>
            <w:r w:rsidRPr="006E4013">
              <w:rPr>
                <w:rFonts w:ascii="Garamond" w:hAnsi="Garamond"/>
                <w:lang w:val="en-AU" w:eastAsia="en-AU"/>
              </w:rPr>
              <w:t xml:space="preserve">A long-term, strategic approach to </w:t>
            </w:r>
            <w:r w:rsidRPr="006E4013">
              <w:rPr>
                <w:rFonts w:ascii="Garamond" w:hAnsi="Garamond"/>
                <w:b/>
                <w:lang w:val="en-AU" w:eastAsia="en-AU"/>
              </w:rPr>
              <w:t>evidence generation and knowledge translation</w:t>
            </w:r>
            <w:r w:rsidRPr="006E4013">
              <w:rPr>
                <w:rFonts w:ascii="Garamond" w:hAnsi="Garamond"/>
                <w:lang w:val="en-AU" w:eastAsia="en-AU"/>
              </w:rPr>
              <w:t xml:space="preserve"> in NSW, Australia (Sarah Thackway, Danielle Campbell, Tina Loppacher</w:t>
            </w:r>
            <w:r>
              <w:rPr>
                <w:rFonts w:ascii="Garamond" w:hAnsi="Garamond"/>
                <w:lang w:val="en-AU" w:eastAsia="en-AU"/>
              </w:rPr>
              <w:t>)</w:t>
            </w:r>
          </w:p>
          <w:p w:rsidR="006E4013" w:rsidRPr="006E4013" w:rsidRDefault="006E4013" w:rsidP="006E4013">
            <w:pPr>
              <w:pStyle w:val="ListParagraph"/>
              <w:numPr>
                <w:ilvl w:val="0"/>
                <w:numId w:val="27"/>
              </w:numPr>
              <w:rPr>
                <w:rFonts w:ascii="Garamond" w:hAnsi="Garamond"/>
                <w:lang w:val="en-AU" w:eastAsia="en-AU"/>
              </w:rPr>
            </w:pPr>
            <w:r w:rsidRPr="006E4013">
              <w:rPr>
                <w:rFonts w:ascii="Garamond" w:hAnsi="Garamond"/>
                <w:b/>
                <w:lang w:val="en-AU" w:eastAsia="en-AU"/>
              </w:rPr>
              <w:t>Alliance for Health Policy and Systems Research</w:t>
            </w:r>
            <w:r w:rsidRPr="006E4013">
              <w:rPr>
                <w:rFonts w:ascii="Garamond" w:hAnsi="Garamond"/>
                <w:lang w:val="en-AU" w:eastAsia="en-AU"/>
              </w:rPr>
              <w:t>: aims, achievements and ambitions (Adbul Ghaffar, NhanTran, Etienne Langlois, Z Shroff, D Javadi</w:t>
            </w:r>
            <w:r>
              <w:rPr>
                <w:rFonts w:ascii="Garamond" w:hAnsi="Garamond"/>
                <w:lang w:val="en-AU" w:eastAsia="en-AU"/>
              </w:rPr>
              <w:t>)</w:t>
            </w:r>
          </w:p>
          <w:p w:rsidR="006E4013" w:rsidRPr="006E4013" w:rsidRDefault="006E4013" w:rsidP="006E4013">
            <w:pPr>
              <w:pStyle w:val="ListParagraph"/>
              <w:numPr>
                <w:ilvl w:val="0"/>
                <w:numId w:val="27"/>
              </w:numPr>
              <w:rPr>
                <w:rFonts w:ascii="Garamond" w:hAnsi="Garamond"/>
                <w:lang w:val="en-AU" w:eastAsia="en-AU"/>
              </w:rPr>
            </w:pPr>
            <w:r w:rsidRPr="006E4013">
              <w:rPr>
                <w:rFonts w:ascii="Garamond" w:hAnsi="Garamond"/>
                <w:lang w:val="en-AU" w:eastAsia="en-AU"/>
              </w:rPr>
              <w:t xml:space="preserve">Narrative review of frameworks for </w:t>
            </w:r>
            <w:r w:rsidRPr="006E4013">
              <w:rPr>
                <w:rFonts w:ascii="Garamond" w:hAnsi="Garamond"/>
                <w:b/>
                <w:lang w:val="en-AU" w:eastAsia="en-AU"/>
              </w:rPr>
              <w:t>translating research evidence into policy and practice</w:t>
            </w:r>
            <w:r w:rsidRPr="006E4013">
              <w:rPr>
                <w:rFonts w:ascii="Garamond" w:hAnsi="Garamond"/>
                <w:lang w:val="en-AU" w:eastAsia="en-AU"/>
              </w:rPr>
              <w:t xml:space="preserve"> (Andrew Milat, Ben Li</w:t>
            </w:r>
            <w:r>
              <w:rPr>
                <w:rFonts w:ascii="Garamond" w:hAnsi="Garamond"/>
                <w:lang w:val="en-AU" w:eastAsia="en-AU"/>
              </w:rPr>
              <w:t>)</w:t>
            </w:r>
          </w:p>
          <w:p w:rsidR="006E4013" w:rsidRPr="006E4013" w:rsidRDefault="006E4013" w:rsidP="006E4013">
            <w:pPr>
              <w:pStyle w:val="ListParagraph"/>
              <w:numPr>
                <w:ilvl w:val="0"/>
                <w:numId w:val="27"/>
              </w:numPr>
              <w:rPr>
                <w:rFonts w:ascii="Garamond" w:hAnsi="Garamond"/>
                <w:lang w:val="en-AU" w:eastAsia="en-AU"/>
              </w:rPr>
            </w:pPr>
            <w:r w:rsidRPr="006E4013">
              <w:rPr>
                <w:rFonts w:ascii="Garamond" w:hAnsi="Garamond"/>
                <w:lang w:val="en-AU" w:eastAsia="en-AU"/>
              </w:rPr>
              <w:t xml:space="preserve">Qualitative investigation of the reasons behind opposition to </w:t>
            </w:r>
            <w:r w:rsidRPr="006E4013">
              <w:rPr>
                <w:rFonts w:ascii="Garamond" w:hAnsi="Garamond"/>
                <w:b/>
                <w:lang w:val="en-AU" w:eastAsia="en-AU"/>
              </w:rPr>
              <w:t>water fluoridation</w:t>
            </w:r>
            <w:r w:rsidRPr="006E4013">
              <w:rPr>
                <w:rFonts w:ascii="Garamond" w:hAnsi="Garamond"/>
                <w:lang w:val="en-AU" w:eastAsia="en-AU"/>
              </w:rPr>
              <w:t xml:space="preserve"> in regional NSW, Australia (Matthew C Knox, Alexander Garner, Alan Dyason, Thomas Pearson, Sabrina W Pit</w:t>
            </w:r>
            <w:r>
              <w:rPr>
                <w:rFonts w:ascii="Garamond" w:hAnsi="Garamond"/>
                <w:lang w:val="en-AU" w:eastAsia="en-AU"/>
              </w:rPr>
              <w:t>)</w:t>
            </w:r>
          </w:p>
          <w:p w:rsidR="006E4013" w:rsidRPr="006E4013" w:rsidRDefault="006E4013" w:rsidP="006E4013">
            <w:pPr>
              <w:pStyle w:val="ListParagraph"/>
              <w:numPr>
                <w:ilvl w:val="0"/>
                <w:numId w:val="27"/>
              </w:numPr>
              <w:rPr>
                <w:rFonts w:ascii="Garamond" w:hAnsi="Garamond"/>
                <w:lang w:val="en-AU" w:eastAsia="en-AU"/>
              </w:rPr>
            </w:pPr>
            <w:r w:rsidRPr="006E4013">
              <w:rPr>
                <w:rFonts w:ascii="Garamond" w:hAnsi="Garamond"/>
                <w:lang w:val="en-AU" w:eastAsia="en-AU"/>
              </w:rPr>
              <w:t xml:space="preserve">A new model of </w:t>
            </w:r>
            <w:r w:rsidRPr="006E4013">
              <w:rPr>
                <w:rFonts w:ascii="Garamond" w:hAnsi="Garamond"/>
                <w:b/>
                <w:lang w:val="en-AU" w:eastAsia="en-AU"/>
              </w:rPr>
              <w:t>collaborative research</w:t>
            </w:r>
            <w:r w:rsidRPr="006E4013">
              <w:rPr>
                <w:rFonts w:ascii="Garamond" w:hAnsi="Garamond"/>
                <w:lang w:val="en-AU" w:eastAsia="en-AU"/>
              </w:rPr>
              <w:t xml:space="preserve">: experiences from one of Australia’s </w:t>
            </w:r>
            <w:r w:rsidRPr="006E4013">
              <w:rPr>
                <w:rFonts w:ascii="Garamond" w:hAnsi="Garamond"/>
                <w:b/>
                <w:lang w:val="en-AU" w:eastAsia="en-AU"/>
              </w:rPr>
              <w:t>NHMRC Partnership Centres for Better Health</w:t>
            </w:r>
            <w:r w:rsidRPr="006E4013">
              <w:rPr>
                <w:rFonts w:ascii="Garamond" w:hAnsi="Garamond"/>
                <w:lang w:val="en-AU" w:eastAsia="en-AU"/>
              </w:rPr>
              <w:t xml:space="preserve"> (Sonia Wutzke, Sally Redman, Adrian Bauman, Penelope Hawe, Alan Shiell, S Thackway, A Wilson</w:t>
            </w:r>
            <w:r>
              <w:rPr>
                <w:rFonts w:ascii="Garamond" w:hAnsi="Garamond"/>
                <w:lang w:val="en-AU" w:eastAsia="en-AU"/>
              </w:rPr>
              <w:t>)</w:t>
            </w:r>
          </w:p>
          <w:p w:rsidR="006E4013" w:rsidRPr="006E4013" w:rsidRDefault="006E4013" w:rsidP="006E4013">
            <w:pPr>
              <w:pStyle w:val="ListParagraph"/>
              <w:numPr>
                <w:ilvl w:val="0"/>
                <w:numId w:val="27"/>
              </w:numPr>
              <w:rPr>
                <w:rFonts w:ascii="Garamond" w:hAnsi="Garamond"/>
                <w:lang w:val="en-AU" w:eastAsia="en-AU"/>
              </w:rPr>
            </w:pPr>
            <w:r w:rsidRPr="006E4013">
              <w:rPr>
                <w:rFonts w:ascii="Garamond" w:hAnsi="Garamond"/>
                <w:b/>
                <w:lang w:val="en-AU" w:eastAsia="en-AU"/>
              </w:rPr>
              <w:t>Dynamic simulation modelling of policy responses</w:t>
            </w:r>
            <w:r w:rsidRPr="006E4013">
              <w:rPr>
                <w:rFonts w:ascii="Garamond" w:hAnsi="Garamond"/>
                <w:lang w:val="en-AU" w:eastAsia="en-AU"/>
              </w:rPr>
              <w:t xml:space="preserve"> to reduce alcohol-related harms: rationale and procedure for a participatory approach (Jo-An Atkinson, Eloise O’Donnell, John Wiggers, Geoff McDonnel, Jo Mitchell, Louise Freebairn, Devon Indig, Lucie Rychetnik</w:t>
            </w:r>
            <w:r>
              <w:rPr>
                <w:rFonts w:ascii="Garamond" w:hAnsi="Garamond"/>
                <w:lang w:val="en-AU" w:eastAsia="en-AU"/>
              </w:rPr>
              <w:t>)</w:t>
            </w:r>
          </w:p>
          <w:p w:rsidR="006E4013" w:rsidRPr="006E4013" w:rsidRDefault="006E4013" w:rsidP="006E4013">
            <w:pPr>
              <w:pStyle w:val="ListParagraph"/>
              <w:numPr>
                <w:ilvl w:val="0"/>
                <w:numId w:val="27"/>
              </w:numPr>
              <w:rPr>
                <w:rFonts w:ascii="Garamond" w:hAnsi="Garamond"/>
                <w:lang w:val="en-AU" w:eastAsia="en-AU"/>
              </w:rPr>
            </w:pPr>
            <w:r w:rsidRPr="006E4013">
              <w:rPr>
                <w:rFonts w:ascii="Garamond" w:hAnsi="Garamond"/>
                <w:lang w:val="en-AU" w:eastAsia="en-AU"/>
              </w:rPr>
              <w:t xml:space="preserve">The use of </w:t>
            </w:r>
            <w:r w:rsidRPr="006E4013">
              <w:rPr>
                <w:rFonts w:ascii="Garamond" w:hAnsi="Garamond"/>
                <w:b/>
                <w:lang w:val="en-AU" w:eastAsia="en-AU"/>
              </w:rPr>
              <w:t>secondments</w:t>
            </w:r>
            <w:r w:rsidRPr="006E4013">
              <w:rPr>
                <w:rFonts w:ascii="Garamond" w:hAnsi="Garamond"/>
                <w:lang w:val="en-AU" w:eastAsia="en-AU"/>
              </w:rPr>
              <w:t xml:space="preserve"> as a tool to increase </w:t>
            </w:r>
            <w:r w:rsidRPr="006E4013">
              <w:rPr>
                <w:rFonts w:ascii="Garamond" w:hAnsi="Garamond"/>
                <w:b/>
                <w:lang w:val="en-AU" w:eastAsia="en-AU"/>
              </w:rPr>
              <w:t>knowledge translation</w:t>
            </w:r>
            <w:r w:rsidRPr="006E4013">
              <w:rPr>
                <w:rFonts w:ascii="Garamond" w:hAnsi="Garamond"/>
                <w:lang w:val="en-AU" w:eastAsia="en-AU"/>
              </w:rPr>
              <w:t xml:space="preserve"> (Lily O’Donoughue Jenkins, Kaarin Anstey</w:t>
            </w:r>
            <w:r>
              <w:rPr>
                <w:rFonts w:ascii="Garamond" w:hAnsi="Garamond"/>
                <w:lang w:val="en-AU" w:eastAsia="en-AU"/>
              </w:rPr>
              <w:t>)</w:t>
            </w:r>
          </w:p>
          <w:p w:rsidR="006E4013" w:rsidRPr="006E4013" w:rsidRDefault="006E4013" w:rsidP="006E4013">
            <w:pPr>
              <w:pStyle w:val="ListParagraph"/>
              <w:numPr>
                <w:ilvl w:val="0"/>
                <w:numId w:val="27"/>
              </w:numPr>
              <w:rPr>
                <w:rFonts w:ascii="Garamond" w:hAnsi="Garamond"/>
                <w:lang w:val="en-AU" w:eastAsia="en-AU"/>
              </w:rPr>
            </w:pPr>
            <w:r w:rsidRPr="006E4013">
              <w:rPr>
                <w:rFonts w:ascii="Garamond" w:hAnsi="Garamond"/>
                <w:b/>
                <w:lang w:val="en-AU" w:eastAsia="en-AU"/>
              </w:rPr>
              <w:t>Communicating about risk</w:t>
            </w:r>
            <w:r w:rsidRPr="006E4013">
              <w:rPr>
                <w:rFonts w:ascii="Garamond" w:hAnsi="Garamond"/>
                <w:lang w:val="en-AU" w:eastAsia="en-AU"/>
              </w:rPr>
              <w:t>: strategies for situations where public concern is high but the risk is low (Claire Hooker, Adam Capon, Julie Leask</w:t>
            </w:r>
            <w:r>
              <w:rPr>
                <w:rFonts w:ascii="Garamond" w:hAnsi="Garamond"/>
                <w:lang w:val="en-AU" w:eastAsia="en-AU"/>
              </w:rPr>
              <w:t>)</w:t>
            </w:r>
          </w:p>
        </w:tc>
      </w:tr>
    </w:tbl>
    <w:p w:rsidR="006E4013" w:rsidRDefault="006E4013" w:rsidP="006F53DA">
      <w:pPr>
        <w:keepNext/>
        <w:rPr>
          <w:rFonts w:ascii="Garamond" w:hAnsi="Garamond"/>
          <w:lang w:val="en-AU"/>
        </w:rPr>
      </w:pPr>
    </w:p>
    <w:p w:rsidR="00AB1539" w:rsidRDefault="00AB1539">
      <w:pPr>
        <w:rPr>
          <w:rFonts w:ascii="Garamond" w:hAnsi="Garamond"/>
          <w:i/>
          <w:lang w:val="en-AU"/>
        </w:rPr>
      </w:pPr>
      <w:r>
        <w:rPr>
          <w:rFonts w:ascii="Garamond" w:hAnsi="Garamond"/>
          <w:i/>
          <w:lang w:val="en-AU"/>
        </w:rPr>
        <w:br w:type="page"/>
      </w:r>
    </w:p>
    <w:p w:rsidR="00AF20FE" w:rsidRPr="00160029" w:rsidRDefault="00AF20FE" w:rsidP="00AF20FE">
      <w:pPr>
        <w:keepNext/>
        <w:rPr>
          <w:rFonts w:ascii="Garamond" w:hAnsi="Garamond"/>
          <w:lang w:val="en-AU"/>
        </w:rPr>
      </w:pPr>
      <w:r w:rsidRPr="00160029">
        <w:rPr>
          <w:rFonts w:ascii="Garamond" w:hAnsi="Garamond"/>
          <w:i/>
          <w:lang w:val="en-AU"/>
        </w:rPr>
        <w:lastRenderedPageBreak/>
        <w:t xml:space="preserve">International Journal for Quality in Health Care </w:t>
      </w:r>
      <w:r w:rsidRPr="00160029">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F20FE" w:rsidRPr="00160029" w:rsidTr="00B13BAF">
        <w:tc>
          <w:tcPr>
            <w:tcW w:w="1080" w:type="dxa"/>
            <w:tcBorders>
              <w:top w:val="single" w:sz="4" w:space="0" w:color="auto"/>
              <w:left w:val="single" w:sz="4" w:space="0" w:color="auto"/>
              <w:bottom w:val="single" w:sz="4" w:space="0" w:color="auto"/>
              <w:right w:val="single" w:sz="4" w:space="0" w:color="auto"/>
            </w:tcBorders>
            <w:vAlign w:val="center"/>
          </w:tcPr>
          <w:p w:rsidR="00AF20FE" w:rsidRPr="00160029" w:rsidRDefault="00AF20FE" w:rsidP="00B13BAF">
            <w:pPr>
              <w:keepNext/>
              <w:rPr>
                <w:rFonts w:ascii="Garamond" w:hAnsi="Garamond"/>
                <w:lang w:val="en-AU"/>
              </w:rPr>
            </w:pPr>
            <w:r w:rsidRPr="00160029">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20FE" w:rsidRPr="00160029" w:rsidRDefault="00AD2F42" w:rsidP="00B13BAF">
            <w:pPr>
              <w:keepNext/>
              <w:rPr>
                <w:rFonts w:ascii="Garamond" w:hAnsi="Garamond"/>
                <w:lang w:val="en-AU"/>
              </w:rPr>
            </w:pPr>
            <w:hyperlink r:id="rId25" w:history="1">
              <w:r w:rsidR="00AF20FE" w:rsidRPr="00160029">
                <w:rPr>
                  <w:rStyle w:val="Hyperlink"/>
                  <w:rFonts w:ascii="Garamond" w:hAnsi="Garamond"/>
                  <w:lang w:val="en-AU"/>
                </w:rPr>
                <w:t>http://intqhc.oxfordjournals.org/content/early/recent?papetoc</w:t>
              </w:r>
            </w:hyperlink>
          </w:p>
        </w:tc>
      </w:tr>
      <w:tr w:rsidR="00AF20FE" w:rsidRPr="00160029" w:rsidTr="00B13BAF">
        <w:tc>
          <w:tcPr>
            <w:tcW w:w="1080" w:type="dxa"/>
            <w:tcBorders>
              <w:top w:val="single" w:sz="4" w:space="0" w:color="auto"/>
              <w:left w:val="single" w:sz="4" w:space="0" w:color="auto"/>
              <w:bottom w:val="single" w:sz="4" w:space="0" w:color="auto"/>
              <w:right w:val="single" w:sz="4" w:space="0" w:color="auto"/>
            </w:tcBorders>
            <w:vAlign w:val="center"/>
          </w:tcPr>
          <w:p w:rsidR="00AF20FE" w:rsidRPr="00160029" w:rsidRDefault="00AF20FE" w:rsidP="00B13BAF">
            <w:pPr>
              <w:rPr>
                <w:rFonts w:ascii="Garamond" w:hAnsi="Garamond"/>
                <w:lang w:val="en-AU"/>
              </w:rPr>
            </w:pPr>
            <w:r w:rsidRPr="00160029">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20FE" w:rsidRPr="00160029" w:rsidRDefault="00AF20FE" w:rsidP="00B13BAF">
            <w:pPr>
              <w:rPr>
                <w:rFonts w:ascii="Garamond" w:hAnsi="Garamond"/>
                <w:lang w:val="en-AU"/>
              </w:rPr>
            </w:pPr>
            <w:r w:rsidRPr="00160029">
              <w:rPr>
                <w:rFonts w:ascii="Garamond" w:hAnsi="Garamond"/>
                <w:i/>
                <w:lang w:val="en-AU"/>
              </w:rPr>
              <w:t xml:space="preserve">International Journal for Quality in Health Care </w:t>
            </w:r>
            <w:r w:rsidRPr="00160029">
              <w:rPr>
                <w:rFonts w:ascii="Garamond" w:hAnsi="Garamond"/>
                <w:lang w:val="en-AU"/>
              </w:rPr>
              <w:t>has published a number of ‘online first’ articles, including:</w:t>
            </w:r>
          </w:p>
          <w:p w:rsidR="00EE6CFC" w:rsidRPr="00EE6CFC" w:rsidRDefault="00EE6CFC" w:rsidP="00EE6CFC">
            <w:pPr>
              <w:pStyle w:val="ListParagraph"/>
              <w:numPr>
                <w:ilvl w:val="0"/>
                <w:numId w:val="14"/>
              </w:numPr>
              <w:rPr>
                <w:rFonts w:ascii="Garamond" w:hAnsi="Garamond"/>
                <w:lang w:val="en-AU"/>
              </w:rPr>
            </w:pPr>
            <w:r w:rsidRPr="00EE6CFC">
              <w:rPr>
                <w:rFonts w:ascii="Garamond" w:hAnsi="Garamond"/>
                <w:lang w:val="en-AU"/>
              </w:rPr>
              <w:t xml:space="preserve">Examining the nature of </w:t>
            </w:r>
            <w:r w:rsidRPr="00EE6CFC">
              <w:rPr>
                <w:rFonts w:ascii="Garamond" w:hAnsi="Garamond"/>
                <w:b/>
                <w:lang w:val="en-AU"/>
              </w:rPr>
              <w:t>interprofessional interventions</w:t>
            </w:r>
            <w:r w:rsidRPr="00EE6CFC">
              <w:rPr>
                <w:rFonts w:ascii="Garamond" w:hAnsi="Garamond"/>
                <w:lang w:val="en-AU"/>
              </w:rPr>
              <w:t xml:space="preserve"> designed to promote </w:t>
            </w:r>
            <w:r w:rsidRPr="00EE6CFC">
              <w:rPr>
                <w:rFonts w:ascii="Garamond" w:hAnsi="Garamond"/>
                <w:b/>
                <w:lang w:val="en-AU"/>
              </w:rPr>
              <w:t>patient safety</w:t>
            </w:r>
            <w:r w:rsidRPr="00EE6CFC">
              <w:rPr>
                <w:rFonts w:ascii="Garamond" w:hAnsi="Garamond"/>
                <w:lang w:val="en-AU"/>
              </w:rPr>
              <w:t xml:space="preserve">: a narrative review </w:t>
            </w:r>
            <w:r w:rsidRPr="00EE6CFC">
              <w:rPr>
                <w:rFonts w:ascii="Garamond" w:hAnsi="Garamond"/>
                <w:lang w:val="en-AU"/>
              </w:rPr>
              <w:t>(</w:t>
            </w:r>
            <w:r w:rsidRPr="00EE6CFC">
              <w:rPr>
                <w:rFonts w:ascii="Garamond" w:hAnsi="Garamond"/>
                <w:lang w:val="en-AU"/>
              </w:rPr>
              <w:t>Scott Reeves; Emma Clark; Sally Lawton; Melissa Ream; Fiona Ross</w:t>
            </w:r>
            <w:r>
              <w:rPr>
                <w:rFonts w:ascii="Garamond" w:hAnsi="Garamond"/>
                <w:lang w:val="en-AU"/>
              </w:rPr>
              <w:t>)</w:t>
            </w:r>
          </w:p>
          <w:p w:rsidR="00AF20FE" w:rsidRDefault="00D278D5" w:rsidP="00D278D5">
            <w:pPr>
              <w:pStyle w:val="ListParagraph"/>
              <w:numPr>
                <w:ilvl w:val="0"/>
                <w:numId w:val="14"/>
              </w:numPr>
              <w:rPr>
                <w:rFonts w:ascii="Garamond" w:hAnsi="Garamond"/>
                <w:lang w:val="en-AU"/>
              </w:rPr>
            </w:pPr>
            <w:r w:rsidRPr="00D278D5">
              <w:rPr>
                <w:rFonts w:ascii="Garamond" w:hAnsi="Garamond"/>
                <w:lang w:val="en-AU"/>
              </w:rPr>
              <w:t xml:space="preserve">Factors constraining </w:t>
            </w:r>
            <w:r w:rsidRPr="00D278D5">
              <w:rPr>
                <w:rFonts w:ascii="Garamond" w:hAnsi="Garamond"/>
                <w:b/>
                <w:lang w:val="en-AU"/>
              </w:rPr>
              <w:t>patient engagement</w:t>
            </w:r>
            <w:r w:rsidRPr="00D278D5">
              <w:rPr>
                <w:rFonts w:ascii="Garamond" w:hAnsi="Garamond"/>
                <w:lang w:val="en-AU"/>
              </w:rPr>
              <w:t xml:space="preserve"> in implantable medical device discussions and </w:t>
            </w:r>
            <w:r w:rsidRPr="00D278D5">
              <w:rPr>
                <w:rFonts w:ascii="Garamond" w:hAnsi="Garamond"/>
                <w:b/>
                <w:lang w:val="en-AU"/>
              </w:rPr>
              <w:t>decisions</w:t>
            </w:r>
            <w:r w:rsidRPr="00D278D5">
              <w:rPr>
                <w:rFonts w:ascii="Garamond" w:hAnsi="Garamond"/>
                <w:lang w:val="en-AU"/>
              </w:rPr>
              <w:t xml:space="preserve">: interviews with physicians </w:t>
            </w:r>
            <w:r>
              <w:rPr>
                <w:rFonts w:ascii="Garamond" w:hAnsi="Garamond"/>
                <w:lang w:val="en-AU"/>
              </w:rPr>
              <w:t>(</w:t>
            </w:r>
            <w:r w:rsidRPr="00D278D5">
              <w:rPr>
                <w:rFonts w:ascii="Garamond" w:hAnsi="Garamond"/>
                <w:lang w:val="en-AU"/>
              </w:rPr>
              <w:t>Anna R Gagliardi</w:t>
            </w:r>
            <w:r>
              <w:rPr>
                <w:rFonts w:ascii="Garamond" w:hAnsi="Garamond"/>
                <w:lang w:val="en-AU"/>
              </w:rPr>
              <w:t>,</w:t>
            </w:r>
            <w:r w:rsidRPr="00D278D5">
              <w:rPr>
                <w:rFonts w:ascii="Garamond" w:hAnsi="Garamond"/>
                <w:lang w:val="en-AU"/>
              </w:rPr>
              <w:t xml:space="preserve"> Pascale Lehoux</w:t>
            </w:r>
            <w:r>
              <w:rPr>
                <w:rFonts w:ascii="Garamond" w:hAnsi="Garamond"/>
                <w:lang w:val="en-AU"/>
              </w:rPr>
              <w:t>,</w:t>
            </w:r>
            <w:r w:rsidRPr="00D278D5">
              <w:rPr>
                <w:rFonts w:ascii="Garamond" w:hAnsi="Garamond"/>
                <w:lang w:val="en-AU"/>
              </w:rPr>
              <w:t xml:space="preserve"> Ariel Ducey</w:t>
            </w:r>
            <w:r>
              <w:rPr>
                <w:rFonts w:ascii="Garamond" w:hAnsi="Garamond"/>
                <w:lang w:val="en-AU"/>
              </w:rPr>
              <w:t xml:space="preserve">, </w:t>
            </w:r>
            <w:r w:rsidRPr="00D278D5">
              <w:rPr>
                <w:rFonts w:ascii="Garamond" w:hAnsi="Garamond"/>
                <w:lang w:val="en-AU"/>
              </w:rPr>
              <w:t>Anthony Easty</w:t>
            </w:r>
            <w:r>
              <w:rPr>
                <w:rFonts w:ascii="Garamond" w:hAnsi="Garamond"/>
                <w:lang w:val="en-AU"/>
              </w:rPr>
              <w:t>,</w:t>
            </w:r>
            <w:r w:rsidRPr="00D278D5">
              <w:rPr>
                <w:rFonts w:ascii="Garamond" w:hAnsi="Garamond"/>
                <w:lang w:val="en-AU"/>
              </w:rPr>
              <w:t xml:space="preserve"> Sue Ross</w:t>
            </w:r>
            <w:r>
              <w:rPr>
                <w:rFonts w:ascii="Garamond" w:hAnsi="Garamond"/>
                <w:lang w:val="en-AU"/>
              </w:rPr>
              <w:t>,</w:t>
            </w:r>
            <w:r w:rsidRPr="00D278D5">
              <w:rPr>
                <w:rFonts w:ascii="Garamond" w:hAnsi="Garamond"/>
                <w:lang w:val="en-AU"/>
              </w:rPr>
              <w:t xml:space="preserve"> Chaim M Bell</w:t>
            </w:r>
            <w:r>
              <w:rPr>
                <w:rFonts w:ascii="Garamond" w:hAnsi="Garamond"/>
                <w:lang w:val="en-AU"/>
              </w:rPr>
              <w:t>,</w:t>
            </w:r>
            <w:r w:rsidRPr="00D278D5">
              <w:rPr>
                <w:rFonts w:ascii="Garamond" w:hAnsi="Garamond"/>
                <w:lang w:val="en-AU"/>
              </w:rPr>
              <w:t xml:space="preserve"> Patricia Trbovich</w:t>
            </w:r>
            <w:r>
              <w:rPr>
                <w:rFonts w:ascii="Garamond" w:hAnsi="Garamond"/>
                <w:lang w:val="en-AU"/>
              </w:rPr>
              <w:t>,</w:t>
            </w:r>
            <w:r w:rsidRPr="00D278D5">
              <w:rPr>
                <w:rFonts w:ascii="Garamond" w:hAnsi="Garamond"/>
                <w:lang w:val="en-AU"/>
              </w:rPr>
              <w:t xml:space="preserve"> Julie Takata </w:t>
            </w:r>
            <w:r>
              <w:rPr>
                <w:rFonts w:ascii="Garamond" w:hAnsi="Garamond"/>
                <w:lang w:val="en-AU"/>
              </w:rPr>
              <w:t xml:space="preserve">and </w:t>
            </w:r>
            <w:r w:rsidRPr="00D278D5">
              <w:rPr>
                <w:rFonts w:ascii="Garamond" w:hAnsi="Garamond"/>
                <w:lang w:val="en-AU"/>
              </w:rPr>
              <w:t>David R Urbach</w:t>
            </w:r>
            <w:r>
              <w:rPr>
                <w:rFonts w:ascii="Garamond" w:hAnsi="Garamond"/>
                <w:lang w:val="en-AU"/>
              </w:rPr>
              <w:t>)</w:t>
            </w:r>
          </w:p>
          <w:p w:rsidR="00EE6CFC" w:rsidRPr="00160029" w:rsidRDefault="00EE6CFC" w:rsidP="00EE6CFC">
            <w:pPr>
              <w:pStyle w:val="ListParagraph"/>
              <w:numPr>
                <w:ilvl w:val="0"/>
                <w:numId w:val="14"/>
              </w:numPr>
              <w:rPr>
                <w:rFonts w:ascii="Garamond" w:hAnsi="Garamond"/>
                <w:lang w:val="en-AU"/>
              </w:rPr>
            </w:pPr>
            <w:r w:rsidRPr="00EE6CFC">
              <w:rPr>
                <w:rFonts w:ascii="Garamond" w:hAnsi="Garamond"/>
                <w:lang w:val="en-AU"/>
              </w:rPr>
              <w:t xml:space="preserve">Experimenting the hospital survey on </w:t>
            </w:r>
            <w:r w:rsidRPr="00EE6CFC">
              <w:rPr>
                <w:rFonts w:ascii="Garamond" w:hAnsi="Garamond"/>
                <w:b/>
                <w:lang w:val="en-AU"/>
              </w:rPr>
              <w:t>patient safety culture</w:t>
            </w:r>
            <w:r w:rsidRPr="00EE6CFC">
              <w:rPr>
                <w:rFonts w:ascii="Garamond" w:hAnsi="Garamond"/>
                <w:lang w:val="en-AU"/>
              </w:rPr>
              <w:t xml:space="preserve"> in prevention facilities in Italy: psychometric properties</w:t>
            </w:r>
            <w:r>
              <w:rPr>
                <w:rFonts w:ascii="Garamond" w:hAnsi="Garamond"/>
                <w:lang w:val="en-AU"/>
              </w:rPr>
              <w:t xml:space="preserve"> (</w:t>
            </w:r>
            <w:r w:rsidRPr="00EE6CFC">
              <w:rPr>
                <w:rFonts w:ascii="Garamond" w:hAnsi="Garamond"/>
                <w:lang w:val="en-AU"/>
              </w:rPr>
              <w:t>Carmen Tereanu</w:t>
            </w:r>
            <w:r>
              <w:rPr>
                <w:rFonts w:ascii="Garamond" w:hAnsi="Garamond"/>
                <w:lang w:val="en-AU"/>
              </w:rPr>
              <w:t>;</w:t>
            </w:r>
            <w:r w:rsidRPr="00EE6CFC">
              <w:rPr>
                <w:rFonts w:ascii="Garamond" w:hAnsi="Garamond"/>
                <w:lang w:val="en-AU"/>
              </w:rPr>
              <w:t xml:space="preserve"> Scott A Smith</w:t>
            </w:r>
            <w:r>
              <w:rPr>
                <w:rFonts w:ascii="Garamond" w:hAnsi="Garamond"/>
                <w:lang w:val="en-AU"/>
              </w:rPr>
              <w:t>;</w:t>
            </w:r>
            <w:r w:rsidRPr="00EE6CFC">
              <w:rPr>
                <w:rFonts w:ascii="Garamond" w:hAnsi="Garamond"/>
                <w:lang w:val="en-AU"/>
              </w:rPr>
              <w:t xml:space="preserve"> Giuseppe Sampietro</w:t>
            </w:r>
            <w:r>
              <w:rPr>
                <w:rFonts w:ascii="Garamond" w:hAnsi="Garamond"/>
                <w:lang w:val="en-AU"/>
              </w:rPr>
              <w:t>;</w:t>
            </w:r>
            <w:r w:rsidRPr="00EE6CFC">
              <w:rPr>
                <w:rFonts w:ascii="Garamond" w:hAnsi="Garamond"/>
                <w:lang w:val="en-AU"/>
              </w:rPr>
              <w:t xml:space="preserve"> Francesco Sarnataro</w:t>
            </w:r>
            <w:r>
              <w:rPr>
                <w:rFonts w:ascii="Garamond" w:hAnsi="Garamond"/>
                <w:lang w:val="en-AU"/>
              </w:rPr>
              <w:t>;</w:t>
            </w:r>
            <w:r w:rsidRPr="00EE6CFC">
              <w:rPr>
                <w:rFonts w:ascii="Garamond" w:hAnsi="Garamond"/>
                <w:lang w:val="en-AU"/>
              </w:rPr>
              <w:t xml:space="preserve"> Giuliana Mazzoleni</w:t>
            </w:r>
            <w:r>
              <w:rPr>
                <w:rFonts w:ascii="Garamond" w:hAnsi="Garamond"/>
                <w:lang w:val="en-AU"/>
              </w:rPr>
              <w:t xml:space="preserve">; </w:t>
            </w:r>
            <w:r w:rsidRPr="00EE6CFC">
              <w:rPr>
                <w:rFonts w:ascii="Garamond" w:hAnsi="Garamond"/>
                <w:lang w:val="en-AU"/>
              </w:rPr>
              <w:t>Bruno Pesenti</w:t>
            </w:r>
            <w:r>
              <w:rPr>
                <w:rFonts w:ascii="Garamond" w:hAnsi="Garamond"/>
                <w:lang w:val="en-AU"/>
              </w:rPr>
              <w:t>;</w:t>
            </w:r>
            <w:r w:rsidRPr="00EE6CFC">
              <w:rPr>
                <w:rFonts w:ascii="Garamond" w:hAnsi="Garamond"/>
                <w:lang w:val="en-AU"/>
              </w:rPr>
              <w:t xml:space="preserve"> Luca C Sala</w:t>
            </w:r>
            <w:r>
              <w:rPr>
                <w:rFonts w:ascii="Garamond" w:hAnsi="Garamond"/>
                <w:lang w:val="en-AU"/>
              </w:rPr>
              <w:t>;</w:t>
            </w:r>
            <w:r w:rsidRPr="00EE6CFC">
              <w:rPr>
                <w:rFonts w:ascii="Garamond" w:hAnsi="Garamond"/>
                <w:lang w:val="en-AU"/>
              </w:rPr>
              <w:t xml:space="preserve"> Roberto Cecchetti</w:t>
            </w:r>
            <w:r>
              <w:rPr>
                <w:rFonts w:ascii="Garamond" w:hAnsi="Garamond"/>
                <w:lang w:val="en-AU"/>
              </w:rPr>
              <w:t>;</w:t>
            </w:r>
            <w:r w:rsidRPr="00EE6CFC">
              <w:rPr>
                <w:rFonts w:ascii="Garamond" w:hAnsi="Garamond"/>
                <w:lang w:val="en-AU"/>
              </w:rPr>
              <w:t xml:space="preserve"> Massimo Arvati</w:t>
            </w:r>
            <w:r>
              <w:rPr>
                <w:rFonts w:ascii="Garamond" w:hAnsi="Garamond"/>
                <w:lang w:val="en-AU"/>
              </w:rPr>
              <w:t>;</w:t>
            </w:r>
            <w:r w:rsidRPr="00EE6CFC">
              <w:rPr>
                <w:rFonts w:ascii="Garamond" w:hAnsi="Garamond"/>
                <w:lang w:val="en-AU"/>
              </w:rPr>
              <w:t xml:space="preserve"> Dania Brioschi</w:t>
            </w:r>
            <w:r>
              <w:rPr>
                <w:rFonts w:ascii="Garamond" w:hAnsi="Garamond"/>
                <w:lang w:val="en-AU"/>
              </w:rPr>
              <w:t>;</w:t>
            </w:r>
            <w:r w:rsidRPr="00EE6CFC">
              <w:rPr>
                <w:rFonts w:ascii="Garamond" w:hAnsi="Garamond"/>
                <w:lang w:val="en-AU"/>
              </w:rPr>
              <w:t xml:space="preserve"> Michela Viscardi</w:t>
            </w:r>
            <w:r>
              <w:rPr>
                <w:rFonts w:ascii="Garamond" w:hAnsi="Garamond"/>
                <w:lang w:val="en-AU"/>
              </w:rPr>
              <w:t>;</w:t>
            </w:r>
            <w:r w:rsidRPr="00EE6CFC">
              <w:rPr>
                <w:rFonts w:ascii="Garamond" w:hAnsi="Garamond"/>
                <w:lang w:val="en-AU"/>
              </w:rPr>
              <w:t xml:space="preserve"> Chiara Prati</w:t>
            </w:r>
            <w:r>
              <w:rPr>
                <w:rFonts w:ascii="Garamond" w:hAnsi="Garamond"/>
                <w:lang w:val="en-AU"/>
              </w:rPr>
              <w:t>; Giorgio G</w:t>
            </w:r>
            <w:r w:rsidRPr="00EE6CFC">
              <w:rPr>
                <w:rFonts w:ascii="Garamond" w:hAnsi="Garamond"/>
                <w:lang w:val="en-AU"/>
              </w:rPr>
              <w:t xml:space="preserve"> Barbaglio</w:t>
            </w:r>
            <w:r>
              <w:rPr>
                <w:rFonts w:ascii="Garamond" w:hAnsi="Garamond"/>
                <w:lang w:val="en-AU"/>
              </w:rPr>
              <w:t>)</w:t>
            </w:r>
          </w:p>
        </w:tc>
      </w:tr>
    </w:tbl>
    <w:p w:rsidR="00AF20FE" w:rsidRPr="00160029" w:rsidRDefault="00AF20FE" w:rsidP="00AF20FE">
      <w:pPr>
        <w:rPr>
          <w:rFonts w:ascii="Garamond" w:hAnsi="Garamond"/>
          <w:lang w:val="en-AU"/>
        </w:rPr>
      </w:pPr>
    </w:p>
    <w:p w:rsidR="00AF20FE" w:rsidRPr="00160029" w:rsidRDefault="00AF20FE" w:rsidP="00714DD7">
      <w:pPr>
        <w:rPr>
          <w:rFonts w:ascii="Garamond" w:hAnsi="Garamond"/>
          <w:lang w:val="en-AU" w:eastAsia="en-AU"/>
        </w:rPr>
      </w:pPr>
    </w:p>
    <w:p w:rsidR="00B02F6E" w:rsidRPr="00160029" w:rsidRDefault="00B02F6E" w:rsidP="001C6360">
      <w:pPr>
        <w:keepNext/>
        <w:rPr>
          <w:rFonts w:ascii="Garamond" w:hAnsi="Garamond"/>
          <w:b/>
          <w:lang w:val="en-AU"/>
        </w:rPr>
      </w:pPr>
      <w:r w:rsidRPr="00160029">
        <w:rPr>
          <w:rFonts w:ascii="Garamond" w:hAnsi="Garamond"/>
          <w:b/>
          <w:lang w:val="en-AU"/>
        </w:rPr>
        <w:t>Online resources</w:t>
      </w:r>
    </w:p>
    <w:p w:rsidR="00BB12F9" w:rsidRDefault="00BB12F9" w:rsidP="001C6360">
      <w:pPr>
        <w:keepNext/>
        <w:rPr>
          <w:rFonts w:ascii="Garamond" w:hAnsi="Garamond"/>
          <w:i/>
          <w:lang w:val="en-AU"/>
        </w:rPr>
      </w:pPr>
    </w:p>
    <w:p w:rsidR="006150E9" w:rsidRPr="00160029" w:rsidRDefault="006150E9" w:rsidP="006150E9">
      <w:pPr>
        <w:keepNext/>
        <w:keepLines/>
        <w:rPr>
          <w:rFonts w:ascii="Garamond" w:hAnsi="Garamond"/>
          <w:i/>
          <w:lang w:val="en-AU"/>
        </w:rPr>
      </w:pPr>
      <w:r w:rsidRPr="00160029">
        <w:rPr>
          <w:rFonts w:ascii="Garamond" w:hAnsi="Garamond"/>
          <w:i/>
          <w:lang w:val="en-AU"/>
        </w:rPr>
        <w:t>[UK] NICE Guidelines and Quality Standards</w:t>
      </w:r>
    </w:p>
    <w:p w:rsidR="006150E9" w:rsidRPr="00160029" w:rsidRDefault="00AD2F42" w:rsidP="006150E9">
      <w:pPr>
        <w:keepNext/>
        <w:keepLines/>
        <w:rPr>
          <w:rFonts w:ascii="Garamond" w:hAnsi="Garamond"/>
          <w:u w:val="single"/>
          <w:lang w:val="en-AU"/>
        </w:rPr>
      </w:pPr>
      <w:hyperlink r:id="rId26" w:history="1">
        <w:r w:rsidR="006150E9" w:rsidRPr="00160029">
          <w:rPr>
            <w:rStyle w:val="Hyperlink"/>
            <w:rFonts w:ascii="Garamond" w:hAnsi="Garamond"/>
            <w:lang w:val="en-AU"/>
          </w:rPr>
          <w:t>http://www.nice.org.uk</w:t>
        </w:r>
      </w:hyperlink>
    </w:p>
    <w:p w:rsidR="006150E9" w:rsidRPr="00160029" w:rsidRDefault="006150E9" w:rsidP="006150E9">
      <w:pPr>
        <w:keepNext/>
        <w:keepLines/>
        <w:rPr>
          <w:rFonts w:ascii="Garamond" w:hAnsi="Garamond"/>
          <w:lang w:val="en-AU"/>
        </w:rPr>
      </w:pPr>
      <w:r w:rsidRPr="00160029">
        <w:rPr>
          <w:rFonts w:ascii="Garamond" w:hAnsi="Garamond"/>
          <w:lang w:val="en-AU"/>
        </w:rPr>
        <w:t>The UK’s National Institute for Health and Care Excellence (NICE) has published new (or updated) guidelines and quality standards. The latest updates are:</w:t>
      </w:r>
    </w:p>
    <w:p w:rsidR="00D341CD" w:rsidRDefault="00437320" w:rsidP="00437320">
      <w:pPr>
        <w:pStyle w:val="ListParagraph"/>
        <w:keepLines/>
        <w:numPr>
          <w:ilvl w:val="0"/>
          <w:numId w:val="14"/>
        </w:numPr>
        <w:rPr>
          <w:rFonts w:ascii="Garamond" w:hAnsi="Garamond"/>
          <w:lang w:val="en-AU"/>
        </w:rPr>
      </w:pPr>
      <w:r>
        <w:rPr>
          <w:rFonts w:ascii="Garamond" w:hAnsi="Garamond"/>
          <w:lang w:val="en-AU"/>
        </w:rPr>
        <w:t xml:space="preserve">Clinical Guideline CG74 </w:t>
      </w:r>
      <w:r w:rsidRPr="00437320">
        <w:rPr>
          <w:rFonts w:ascii="Garamond" w:hAnsi="Garamond"/>
          <w:b/>
          <w:i/>
          <w:lang w:val="en-AU"/>
        </w:rPr>
        <w:t>Surgical site infections</w:t>
      </w:r>
      <w:r w:rsidRPr="00437320">
        <w:rPr>
          <w:rFonts w:ascii="Garamond" w:hAnsi="Garamond"/>
          <w:i/>
          <w:lang w:val="en-AU"/>
        </w:rPr>
        <w:t>: prevention and treatment</w:t>
      </w:r>
      <w:r>
        <w:rPr>
          <w:rFonts w:ascii="Garamond" w:hAnsi="Garamond"/>
          <w:lang w:val="en-AU"/>
        </w:rPr>
        <w:t xml:space="preserve"> </w:t>
      </w:r>
      <w:hyperlink r:id="rId27" w:history="1">
        <w:r w:rsidRPr="00317EDD">
          <w:rPr>
            <w:rStyle w:val="Hyperlink"/>
            <w:rFonts w:ascii="Garamond" w:hAnsi="Garamond"/>
            <w:lang w:val="en-AU"/>
          </w:rPr>
          <w:t>https://www.nice.org.uk/guidance/cg74</w:t>
        </w:r>
      </w:hyperlink>
      <w:r>
        <w:rPr>
          <w:rFonts w:ascii="Garamond" w:hAnsi="Garamond"/>
          <w:lang w:val="en-AU"/>
        </w:rPr>
        <w:t xml:space="preserve"> </w:t>
      </w:r>
    </w:p>
    <w:p w:rsidR="00437320" w:rsidRDefault="00437320" w:rsidP="00437320">
      <w:pPr>
        <w:pStyle w:val="ListParagraph"/>
        <w:keepLines/>
        <w:numPr>
          <w:ilvl w:val="0"/>
          <w:numId w:val="14"/>
        </w:numPr>
        <w:rPr>
          <w:rFonts w:ascii="Garamond" w:hAnsi="Garamond"/>
          <w:lang w:val="en-AU"/>
        </w:rPr>
      </w:pPr>
      <w:r>
        <w:rPr>
          <w:rFonts w:ascii="Garamond" w:hAnsi="Garamond"/>
          <w:lang w:val="en-AU"/>
        </w:rPr>
        <w:t xml:space="preserve">Clinical Guideline CG139 </w:t>
      </w:r>
      <w:r w:rsidRPr="00437320">
        <w:rPr>
          <w:rFonts w:ascii="Garamond" w:hAnsi="Garamond"/>
          <w:b/>
          <w:i/>
          <w:lang w:val="en-AU"/>
        </w:rPr>
        <w:t>Healthcare-associated infections</w:t>
      </w:r>
      <w:r w:rsidRPr="00437320">
        <w:rPr>
          <w:rFonts w:ascii="Garamond" w:hAnsi="Garamond"/>
          <w:i/>
          <w:lang w:val="en-AU"/>
        </w:rPr>
        <w:t>: prevention and control in primary and community care</w:t>
      </w:r>
      <w:r>
        <w:rPr>
          <w:rFonts w:ascii="Garamond" w:hAnsi="Garamond"/>
          <w:lang w:val="en-AU"/>
        </w:rPr>
        <w:t xml:space="preserve"> </w:t>
      </w:r>
      <w:hyperlink r:id="rId28" w:history="1">
        <w:r w:rsidRPr="00317EDD">
          <w:rPr>
            <w:rStyle w:val="Hyperlink"/>
            <w:rFonts w:ascii="Garamond" w:hAnsi="Garamond"/>
            <w:lang w:val="en-AU"/>
          </w:rPr>
          <w:t>https://www.nice.org.uk/guidance/cg139</w:t>
        </w:r>
      </w:hyperlink>
    </w:p>
    <w:p w:rsidR="00D83DB6" w:rsidRDefault="00D83DB6" w:rsidP="00B47E3A">
      <w:pPr>
        <w:keepLines/>
        <w:rPr>
          <w:rFonts w:ascii="Garamond" w:hAnsi="Garamond"/>
          <w:lang w:val="en-AU"/>
        </w:rPr>
      </w:pPr>
    </w:p>
    <w:p w:rsidR="008165C5" w:rsidRPr="00160029" w:rsidRDefault="008165C5" w:rsidP="00B47E3A">
      <w:pPr>
        <w:keepLines/>
        <w:rPr>
          <w:rFonts w:ascii="Garamond" w:hAnsi="Garamond"/>
          <w:lang w:val="en-AU"/>
        </w:rPr>
      </w:pPr>
    </w:p>
    <w:p w:rsidR="00B02F6E" w:rsidRPr="00160029" w:rsidRDefault="00B02F6E" w:rsidP="00B02F6E">
      <w:pPr>
        <w:keepNext/>
        <w:pBdr>
          <w:top w:val="single" w:sz="4" w:space="1" w:color="auto"/>
        </w:pBdr>
        <w:rPr>
          <w:rFonts w:ascii="Garamond" w:hAnsi="Garamond"/>
          <w:b/>
          <w:lang w:val="en-AU"/>
        </w:rPr>
      </w:pPr>
      <w:r w:rsidRPr="00160029">
        <w:rPr>
          <w:rFonts w:ascii="Garamond" w:hAnsi="Garamond"/>
          <w:b/>
          <w:lang w:val="en-AU"/>
        </w:rPr>
        <w:t>Disclaimer</w:t>
      </w:r>
    </w:p>
    <w:p w:rsidR="00B02F6E" w:rsidRPr="00160029" w:rsidRDefault="00B02F6E" w:rsidP="00B17406">
      <w:pPr>
        <w:rPr>
          <w:rFonts w:ascii="Garamond" w:hAnsi="Garamond"/>
          <w:lang w:val="en-AU"/>
        </w:rPr>
      </w:pPr>
      <w:r w:rsidRPr="00160029">
        <w:rPr>
          <w:rFonts w:ascii="Garamond" w:hAnsi="Garamond"/>
          <w:i/>
          <w:lang w:val="en-AU"/>
        </w:rPr>
        <w:t>On the Radar</w:t>
      </w:r>
      <w:r w:rsidRPr="00160029">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160029">
        <w:rPr>
          <w:rFonts w:ascii="Garamond" w:hAnsi="Garamond"/>
          <w:lang w:val="en-AU"/>
        </w:rPr>
        <w:fldChar w:fldCharType="begin"/>
      </w:r>
      <w:r w:rsidRPr="00160029">
        <w:rPr>
          <w:rFonts w:ascii="Garamond" w:hAnsi="Garamond"/>
          <w:lang w:val="en-AU"/>
        </w:rPr>
        <w:instrText xml:space="preserve"> ADDIN </w:instrText>
      </w:r>
      <w:r w:rsidRPr="00160029">
        <w:rPr>
          <w:rFonts w:ascii="Garamond" w:hAnsi="Garamond"/>
          <w:lang w:val="en-AU"/>
        </w:rPr>
        <w:fldChar w:fldCharType="end"/>
      </w:r>
      <w:r w:rsidRPr="00160029">
        <w:rPr>
          <w:rFonts w:ascii="Garamond" w:hAnsi="Garamond"/>
          <w:lang w:val="en-AU"/>
        </w:rPr>
        <w:fldChar w:fldCharType="begin"/>
      </w:r>
      <w:r w:rsidRPr="00160029">
        <w:rPr>
          <w:rFonts w:ascii="Garamond" w:hAnsi="Garamond"/>
          <w:lang w:val="en-AU"/>
        </w:rPr>
        <w:instrText xml:space="preserve"> ADDIN </w:instrText>
      </w:r>
      <w:r w:rsidRPr="00160029">
        <w:rPr>
          <w:rFonts w:ascii="Garamond" w:hAnsi="Garamond"/>
          <w:lang w:val="en-AU"/>
        </w:rPr>
        <w:fldChar w:fldCharType="end"/>
      </w:r>
    </w:p>
    <w:sectPr w:rsidR="00B02F6E" w:rsidRPr="00160029" w:rsidSect="005C5ABC">
      <w:headerReference w:type="even" r:id="rId29"/>
      <w:headerReference w:type="default" r:id="rId30"/>
      <w:footerReference w:type="even" r:id="rId31"/>
      <w:footerReference w:type="default" r:id="rId32"/>
      <w:headerReference w:type="first" r:id="rId33"/>
      <w:footerReference w:type="first" r:id="rId3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625" w:rsidRDefault="00696625">
      <w:r>
        <w:separator/>
      </w:r>
    </w:p>
  </w:endnote>
  <w:endnote w:type="continuationSeparator" w:id="0">
    <w:p w:rsidR="00696625" w:rsidRDefault="0069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Default="0020765C"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05889">
      <w:rPr>
        <w:rStyle w:val="PageNumber"/>
        <w:noProof/>
      </w:rPr>
      <w:t>2</w:t>
    </w:r>
    <w:r>
      <w:rPr>
        <w:rStyle w:val="PageNumber"/>
      </w:rPr>
      <w:fldChar w:fldCharType="end"/>
    </w:r>
  </w:p>
  <w:p w:rsidR="0020765C" w:rsidRPr="001E78F0" w:rsidRDefault="0020765C"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EF2ABD">
      <w:rPr>
        <w:rFonts w:ascii="Garamond" w:hAnsi="Garamond"/>
      </w:rPr>
      <w:t xml:space="preserve"> Issue </w:t>
    </w:r>
    <w:r w:rsidR="00CF1DAF">
      <w:rPr>
        <w:rFonts w:ascii="Garamond" w:hAnsi="Garamond"/>
      </w:rPr>
      <w:t>3</w:t>
    </w:r>
    <w:r w:rsidR="00B1140D">
      <w:rPr>
        <w:rFonts w:ascii="Garamond" w:hAnsi="Garamond"/>
      </w:rPr>
      <w:t>1</w:t>
    </w:r>
    <w:r w:rsidR="00D341CD">
      <w:rPr>
        <w:rFonts w:ascii="Garamond" w:hAnsi="Garamond"/>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Pr="001E78F0" w:rsidRDefault="0020765C"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105889">
      <w:rPr>
        <w:rStyle w:val="PageNumber"/>
        <w:rFonts w:ascii="Garamond" w:hAnsi="Garamond"/>
        <w:noProof/>
      </w:rPr>
      <w:t>1</w:t>
    </w:r>
    <w:r w:rsidRPr="001E78F0">
      <w:rPr>
        <w:rStyle w:val="PageNumber"/>
        <w:rFonts w:ascii="Garamond" w:hAnsi="Garamond"/>
      </w:rPr>
      <w:fldChar w:fldCharType="end"/>
    </w:r>
  </w:p>
  <w:p w:rsidR="0020765C" w:rsidRPr="001E78F0" w:rsidRDefault="0020765C"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6150E9">
      <w:rPr>
        <w:rFonts w:ascii="Garamond" w:hAnsi="Garamond"/>
      </w:rPr>
      <w:t xml:space="preserve"> Issue 3</w:t>
    </w:r>
    <w:r w:rsidR="00B1140D">
      <w:rPr>
        <w:rFonts w:ascii="Garamond" w:hAnsi="Garamond"/>
      </w:rPr>
      <w:t>1</w:t>
    </w:r>
    <w:r w:rsidR="00D341CD">
      <w:rPr>
        <w:rFonts w:ascii="Garamond" w:hAnsi="Garamond"/>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CD" w:rsidRDefault="00D341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625" w:rsidRDefault="00696625">
      <w:r>
        <w:separator/>
      </w:r>
    </w:p>
  </w:footnote>
  <w:footnote w:type="continuationSeparator" w:id="0">
    <w:p w:rsidR="00696625" w:rsidRDefault="00696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CD" w:rsidRDefault="00D341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CD" w:rsidRDefault="00D341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CD" w:rsidRDefault="00D341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47EF5"/>
    <w:multiLevelType w:val="hybridMultilevel"/>
    <w:tmpl w:val="B1B04B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0F3730C"/>
    <w:multiLevelType w:val="hybridMultilevel"/>
    <w:tmpl w:val="C93C9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EAB2C5E"/>
    <w:multiLevelType w:val="hybridMultilevel"/>
    <w:tmpl w:val="841EF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3120E1"/>
    <w:multiLevelType w:val="hybridMultilevel"/>
    <w:tmpl w:val="FC1E904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8C9459F"/>
    <w:multiLevelType w:val="hybridMultilevel"/>
    <w:tmpl w:val="4C1635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A5B05F2"/>
    <w:multiLevelType w:val="hybridMultilevel"/>
    <w:tmpl w:val="671AC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BF63F5"/>
    <w:multiLevelType w:val="hybridMultilevel"/>
    <w:tmpl w:val="01D0E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A491047"/>
    <w:multiLevelType w:val="hybridMultilevel"/>
    <w:tmpl w:val="56AEA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B0D7EB8"/>
    <w:multiLevelType w:val="hybridMultilevel"/>
    <w:tmpl w:val="79D66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7076EFC"/>
    <w:multiLevelType w:val="hybridMultilevel"/>
    <w:tmpl w:val="23BEB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C514BD7"/>
    <w:multiLevelType w:val="hybridMultilevel"/>
    <w:tmpl w:val="68389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F5B1662"/>
    <w:multiLevelType w:val="hybridMultilevel"/>
    <w:tmpl w:val="E19A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8"/>
  </w:num>
  <w:num w:numId="15">
    <w:abstractNumId w:val="27"/>
  </w:num>
  <w:num w:numId="16">
    <w:abstractNumId w:val="23"/>
  </w:num>
  <w:num w:numId="17">
    <w:abstractNumId w:val="14"/>
  </w:num>
  <w:num w:numId="18">
    <w:abstractNumId w:val="10"/>
  </w:num>
  <w:num w:numId="19">
    <w:abstractNumId w:val="26"/>
  </w:num>
  <w:num w:numId="20">
    <w:abstractNumId w:val="11"/>
  </w:num>
  <w:num w:numId="21">
    <w:abstractNumId w:val="21"/>
  </w:num>
  <w:num w:numId="22">
    <w:abstractNumId w:val="24"/>
  </w:num>
  <w:num w:numId="23">
    <w:abstractNumId w:val="13"/>
  </w:num>
  <w:num w:numId="24">
    <w:abstractNumId w:val="19"/>
  </w:num>
  <w:num w:numId="25">
    <w:abstractNumId w:val="16"/>
  </w:num>
  <w:num w:numId="26">
    <w:abstractNumId w:val="20"/>
  </w:num>
  <w:num w:numId="27">
    <w:abstractNumId w:val="12"/>
  </w:num>
  <w:num w:numId="2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2"/>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32E1"/>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5A30"/>
    <w:rsid w:val="000360AA"/>
    <w:rsid w:val="000362FA"/>
    <w:rsid w:val="00036543"/>
    <w:rsid w:val="00036565"/>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9AF"/>
    <w:rsid w:val="00070FDA"/>
    <w:rsid w:val="00071527"/>
    <w:rsid w:val="00071BDA"/>
    <w:rsid w:val="00071CD2"/>
    <w:rsid w:val="00071D44"/>
    <w:rsid w:val="00071E75"/>
    <w:rsid w:val="000720E2"/>
    <w:rsid w:val="00072770"/>
    <w:rsid w:val="000729A4"/>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5C9"/>
    <w:rsid w:val="000D6A05"/>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B33"/>
    <w:rsid w:val="000E6105"/>
    <w:rsid w:val="000E6504"/>
    <w:rsid w:val="000E66C3"/>
    <w:rsid w:val="000E6807"/>
    <w:rsid w:val="000E6AE4"/>
    <w:rsid w:val="000E6AED"/>
    <w:rsid w:val="000E6B15"/>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72F"/>
    <w:rsid w:val="00105741"/>
    <w:rsid w:val="001057FA"/>
    <w:rsid w:val="00105889"/>
    <w:rsid w:val="0010599B"/>
    <w:rsid w:val="00105BF3"/>
    <w:rsid w:val="00106291"/>
    <w:rsid w:val="00106390"/>
    <w:rsid w:val="001066E9"/>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96D"/>
    <w:rsid w:val="001579B2"/>
    <w:rsid w:val="00157C50"/>
    <w:rsid w:val="00157F4A"/>
    <w:rsid w:val="00160029"/>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2B1"/>
    <w:rsid w:val="00174592"/>
    <w:rsid w:val="00174939"/>
    <w:rsid w:val="00174A6D"/>
    <w:rsid w:val="00174D91"/>
    <w:rsid w:val="00175016"/>
    <w:rsid w:val="00175059"/>
    <w:rsid w:val="00175165"/>
    <w:rsid w:val="0017551B"/>
    <w:rsid w:val="0017579C"/>
    <w:rsid w:val="00175F6F"/>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0CD"/>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4AF"/>
    <w:rsid w:val="0019756A"/>
    <w:rsid w:val="001977C7"/>
    <w:rsid w:val="00197B04"/>
    <w:rsid w:val="00197CE1"/>
    <w:rsid w:val="00197D27"/>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0A8"/>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995"/>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DEF"/>
    <w:rsid w:val="00250054"/>
    <w:rsid w:val="00250100"/>
    <w:rsid w:val="0025015B"/>
    <w:rsid w:val="0025022E"/>
    <w:rsid w:val="002502B2"/>
    <w:rsid w:val="002502E6"/>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08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2C3"/>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672"/>
    <w:rsid w:val="002A3907"/>
    <w:rsid w:val="002A3F69"/>
    <w:rsid w:val="002A40BF"/>
    <w:rsid w:val="002A41AF"/>
    <w:rsid w:val="002A4627"/>
    <w:rsid w:val="002A46C4"/>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853"/>
    <w:rsid w:val="002B2A44"/>
    <w:rsid w:val="002B2AFC"/>
    <w:rsid w:val="002B2BD1"/>
    <w:rsid w:val="002B2C23"/>
    <w:rsid w:val="002B38B5"/>
    <w:rsid w:val="002B38D2"/>
    <w:rsid w:val="002B3C53"/>
    <w:rsid w:val="002B3CAE"/>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30B"/>
    <w:rsid w:val="002B792B"/>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B67"/>
    <w:rsid w:val="00313DF7"/>
    <w:rsid w:val="00313EBC"/>
    <w:rsid w:val="0031406B"/>
    <w:rsid w:val="003141F5"/>
    <w:rsid w:val="0031450E"/>
    <w:rsid w:val="003145C5"/>
    <w:rsid w:val="003146AC"/>
    <w:rsid w:val="003147B8"/>
    <w:rsid w:val="003148D1"/>
    <w:rsid w:val="00314D2B"/>
    <w:rsid w:val="00314E49"/>
    <w:rsid w:val="00314EC1"/>
    <w:rsid w:val="00314FB0"/>
    <w:rsid w:val="00315229"/>
    <w:rsid w:val="003155B4"/>
    <w:rsid w:val="00315B49"/>
    <w:rsid w:val="00315CFA"/>
    <w:rsid w:val="00315EDE"/>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061"/>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59"/>
    <w:rsid w:val="003A1FD3"/>
    <w:rsid w:val="003A241F"/>
    <w:rsid w:val="003A26CC"/>
    <w:rsid w:val="003A28B8"/>
    <w:rsid w:val="003A2947"/>
    <w:rsid w:val="003A2CFD"/>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172"/>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30015"/>
    <w:rsid w:val="00430D53"/>
    <w:rsid w:val="00430DC7"/>
    <w:rsid w:val="004311E6"/>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AB"/>
    <w:rsid w:val="00462050"/>
    <w:rsid w:val="004626A2"/>
    <w:rsid w:val="004628FE"/>
    <w:rsid w:val="00462A50"/>
    <w:rsid w:val="0046310C"/>
    <w:rsid w:val="00463614"/>
    <w:rsid w:val="00463B5C"/>
    <w:rsid w:val="00464123"/>
    <w:rsid w:val="00464614"/>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247"/>
    <w:rsid w:val="004E73C1"/>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A9"/>
    <w:rsid w:val="004F169A"/>
    <w:rsid w:val="004F17AE"/>
    <w:rsid w:val="004F197F"/>
    <w:rsid w:val="004F1F7F"/>
    <w:rsid w:val="004F20CF"/>
    <w:rsid w:val="004F2165"/>
    <w:rsid w:val="004F2242"/>
    <w:rsid w:val="004F2499"/>
    <w:rsid w:val="004F24FB"/>
    <w:rsid w:val="004F25C1"/>
    <w:rsid w:val="004F2617"/>
    <w:rsid w:val="004F283D"/>
    <w:rsid w:val="004F2CD0"/>
    <w:rsid w:val="004F2D39"/>
    <w:rsid w:val="004F2EC0"/>
    <w:rsid w:val="004F3550"/>
    <w:rsid w:val="004F35E5"/>
    <w:rsid w:val="004F3886"/>
    <w:rsid w:val="004F3C8A"/>
    <w:rsid w:val="004F3F9A"/>
    <w:rsid w:val="004F47AC"/>
    <w:rsid w:val="004F4BFC"/>
    <w:rsid w:val="004F4E38"/>
    <w:rsid w:val="004F544B"/>
    <w:rsid w:val="004F55A6"/>
    <w:rsid w:val="004F57FF"/>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6FD"/>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4FA7"/>
    <w:rsid w:val="0054523A"/>
    <w:rsid w:val="00545355"/>
    <w:rsid w:val="00545392"/>
    <w:rsid w:val="005454A2"/>
    <w:rsid w:val="0054557C"/>
    <w:rsid w:val="00545602"/>
    <w:rsid w:val="00545C1D"/>
    <w:rsid w:val="00545C51"/>
    <w:rsid w:val="00545CE9"/>
    <w:rsid w:val="005463D3"/>
    <w:rsid w:val="0054640D"/>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4DD3"/>
    <w:rsid w:val="005B4E5C"/>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C6"/>
    <w:rsid w:val="005C2F42"/>
    <w:rsid w:val="005C35FD"/>
    <w:rsid w:val="005C3B2B"/>
    <w:rsid w:val="005C3C33"/>
    <w:rsid w:val="005C3C51"/>
    <w:rsid w:val="005C3EA8"/>
    <w:rsid w:val="005C3F6F"/>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246"/>
    <w:rsid w:val="005E2547"/>
    <w:rsid w:val="005E26A5"/>
    <w:rsid w:val="005E29FC"/>
    <w:rsid w:val="005E2B16"/>
    <w:rsid w:val="005E2B33"/>
    <w:rsid w:val="005E2F9C"/>
    <w:rsid w:val="005E30A9"/>
    <w:rsid w:val="005E3F7E"/>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E9"/>
    <w:rsid w:val="00615CB5"/>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5E"/>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546"/>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87C"/>
    <w:rsid w:val="0068699E"/>
    <w:rsid w:val="006869CE"/>
    <w:rsid w:val="00686AB2"/>
    <w:rsid w:val="00686B8D"/>
    <w:rsid w:val="00686E35"/>
    <w:rsid w:val="0068733F"/>
    <w:rsid w:val="00687473"/>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A7F"/>
    <w:rsid w:val="00693D73"/>
    <w:rsid w:val="00693E10"/>
    <w:rsid w:val="006941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0E6"/>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2F21"/>
    <w:rsid w:val="006F3051"/>
    <w:rsid w:val="006F309D"/>
    <w:rsid w:val="006F3121"/>
    <w:rsid w:val="006F32D8"/>
    <w:rsid w:val="006F344C"/>
    <w:rsid w:val="006F34BB"/>
    <w:rsid w:val="006F36F8"/>
    <w:rsid w:val="006F3AF2"/>
    <w:rsid w:val="006F3B13"/>
    <w:rsid w:val="006F406D"/>
    <w:rsid w:val="006F4076"/>
    <w:rsid w:val="006F42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D44"/>
    <w:rsid w:val="00727DBF"/>
    <w:rsid w:val="00727DF4"/>
    <w:rsid w:val="00727EE0"/>
    <w:rsid w:val="007300A8"/>
    <w:rsid w:val="00730233"/>
    <w:rsid w:val="007305EA"/>
    <w:rsid w:val="00730C09"/>
    <w:rsid w:val="00730D21"/>
    <w:rsid w:val="0073113F"/>
    <w:rsid w:val="00731427"/>
    <w:rsid w:val="0073184C"/>
    <w:rsid w:val="00731B6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D8"/>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75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3B"/>
    <w:rsid w:val="00826342"/>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503"/>
    <w:rsid w:val="008536C5"/>
    <w:rsid w:val="008538D0"/>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08B"/>
    <w:rsid w:val="00863381"/>
    <w:rsid w:val="0086341E"/>
    <w:rsid w:val="00863EB0"/>
    <w:rsid w:val="00864587"/>
    <w:rsid w:val="008645B1"/>
    <w:rsid w:val="00864614"/>
    <w:rsid w:val="008649C7"/>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BD6"/>
    <w:rsid w:val="008A7F70"/>
    <w:rsid w:val="008A7F82"/>
    <w:rsid w:val="008A7FAF"/>
    <w:rsid w:val="008B0367"/>
    <w:rsid w:val="008B0588"/>
    <w:rsid w:val="008B0B00"/>
    <w:rsid w:val="008B0C05"/>
    <w:rsid w:val="008B0FE8"/>
    <w:rsid w:val="008B1313"/>
    <w:rsid w:val="008B1513"/>
    <w:rsid w:val="008B16E6"/>
    <w:rsid w:val="008B19AF"/>
    <w:rsid w:val="008B1D08"/>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9C6"/>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719"/>
    <w:rsid w:val="009443D5"/>
    <w:rsid w:val="00944BA8"/>
    <w:rsid w:val="00944E82"/>
    <w:rsid w:val="00945130"/>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A1C"/>
    <w:rsid w:val="00986A37"/>
    <w:rsid w:val="00986EE7"/>
    <w:rsid w:val="00987026"/>
    <w:rsid w:val="009870A1"/>
    <w:rsid w:val="009870AA"/>
    <w:rsid w:val="0098726E"/>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81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DE7"/>
    <w:rsid w:val="009E615D"/>
    <w:rsid w:val="009E66F3"/>
    <w:rsid w:val="009E66FB"/>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7B"/>
    <w:rsid w:val="00A30315"/>
    <w:rsid w:val="00A30400"/>
    <w:rsid w:val="00A305A9"/>
    <w:rsid w:val="00A306F1"/>
    <w:rsid w:val="00A30946"/>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A5"/>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00"/>
    <w:rsid w:val="00A76B8A"/>
    <w:rsid w:val="00A76BD3"/>
    <w:rsid w:val="00A76CD2"/>
    <w:rsid w:val="00A76CF4"/>
    <w:rsid w:val="00A76FA6"/>
    <w:rsid w:val="00A76FEA"/>
    <w:rsid w:val="00A77247"/>
    <w:rsid w:val="00A77728"/>
    <w:rsid w:val="00A77B7F"/>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53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6DF"/>
    <w:rsid w:val="00AE57CA"/>
    <w:rsid w:val="00AE57D9"/>
    <w:rsid w:val="00AE601D"/>
    <w:rsid w:val="00AE6095"/>
    <w:rsid w:val="00AE60EB"/>
    <w:rsid w:val="00AE626B"/>
    <w:rsid w:val="00AE6A2F"/>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8B"/>
    <w:rsid w:val="00B146EA"/>
    <w:rsid w:val="00B14FF2"/>
    <w:rsid w:val="00B154F7"/>
    <w:rsid w:val="00B15600"/>
    <w:rsid w:val="00B1581E"/>
    <w:rsid w:val="00B15D05"/>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4CDB"/>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3C2E"/>
    <w:rsid w:val="00B440F1"/>
    <w:rsid w:val="00B44195"/>
    <w:rsid w:val="00B444A5"/>
    <w:rsid w:val="00B4485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C5C"/>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A1F"/>
    <w:rsid w:val="00BB0CD0"/>
    <w:rsid w:val="00BB0D36"/>
    <w:rsid w:val="00BB1130"/>
    <w:rsid w:val="00BB12F9"/>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D7F14"/>
    <w:rsid w:val="00BE0100"/>
    <w:rsid w:val="00BE027C"/>
    <w:rsid w:val="00BE06B4"/>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1BB"/>
    <w:rsid w:val="00BF64BA"/>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749"/>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5DA"/>
    <w:rsid w:val="00C54970"/>
    <w:rsid w:val="00C54BE2"/>
    <w:rsid w:val="00C551D1"/>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57D38"/>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7D0E"/>
    <w:rsid w:val="00CC7DB9"/>
    <w:rsid w:val="00CC7E06"/>
    <w:rsid w:val="00CD011D"/>
    <w:rsid w:val="00CD09CD"/>
    <w:rsid w:val="00CD0A32"/>
    <w:rsid w:val="00CD0BDE"/>
    <w:rsid w:val="00CD0F1A"/>
    <w:rsid w:val="00CD1473"/>
    <w:rsid w:val="00CD178D"/>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F57"/>
    <w:rsid w:val="00CF50D1"/>
    <w:rsid w:val="00CF52CB"/>
    <w:rsid w:val="00CF5302"/>
    <w:rsid w:val="00CF5623"/>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987"/>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D"/>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4A4A"/>
    <w:rsid w:val="00D6558C"/>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685"/>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D06"/>
    <w:rsid w:val="00DC6EE1"/>
    <w:rsid w:val="00DC70FC"/>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30B"/>
    <w:rsid w:val="00DD4609"/>
    <w:rsid w:val="00DD4DDE"/>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85"/>
    <w:rsid w:val="00E25D97"/>
    <w:rsid w:val="00E25DBC"/>
    <w:rsid w:val="00E26882"/>
    <w:rsid w:val="00E26945"/>
    <w:rsid w:val="00E26A89"/>
    <w:rsid w:val="00E26BBF"/>
    <w:rsid w:val="00E26FDC"/>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26"/>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45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54D"/>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ABD"/>
    <w:rsid w:val="00EF2D1B"/>
    <w:rsid w:val="00EF3096"/>
    <w:rsid w:val="00EF30C9"/>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F48"/>
    <w:rsid w:val="00F232A1"/>
    <w:rsid w:val="00F232E6"/>
    <w:rsid w:val="00F233CB"/>
    <w:rsid w:val="00F234EF"/>
    <w:rsid w:val="00F2350D"/>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7F2"/>
    <w:rsid w:val="00F34AE1"/>
    <w:rsid w:val="00F34D09"/>
    <w:rsid w:val="00F35009"/>
    <w:rsid w:val="00F35015"/>
    <w:rsid w:val="00F350C0"/>
    <w:rsid w:val="00F35313"/>
    <w:rsid w:val="00F354A9"/>
    <w:rsid w:val="00F354E7"/>
    <w:rsid w:val="00F356F8"/>
    <w:rsid w:val="00F35799"/>
    <w:rsid w:val="00F36B17"/>
    <w:rsid w:val="00F36D01"/>
    <w:rsid w:val="00F36DF7"/>
    <w:rsid w:val="00F37074"/>
    <w:rsid w:val="00F37597"/>
    <w:rsid w:val="00F37C74"/>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6FEB"/>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C94"/>
    <w:rsid w:val="00F76FA4"/>
    <w:rsid w:val="00F7737B"/>
    <w:rsid w:val="00F7757D"/>
    <w:rsid w:val="00F77747"/>
    <w:rsid w:val="00F806E4"/>
    <w:rsid w:val="00F808DB"/>
    <w:rsid w:val="00F808F5"/>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66A"/>
    <w:rsid w:val="00F85AD5"/>
    <w:rsid w:val="00F85E64"/>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B79"/>
    <w:rsid w:val="00FE1EC3"/>
    <w:rsid w:val="00FE226C"/>
    <w:rsid w:val="00FE242A"/>
    <w:rsid w:val="00FE29C2"/>
    <w:rsid w:val="00FE2B09"/>
    <w:rsid w:val="00FE2C0F"/>
    <w:rsid w:val="00FE2D27"/>
    <w:rsid w:val="00FE2D2F"/>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136/bmjqs-2016-005879" TargetMode="External"/><Relationship Id="rId26" Type="http://schemas.openxmlformats.org/officeDocument/2006/relationships/hyperlink" Target="http://www.nice.org.uk" TargetMode="External"/><Relationship Id="rId3" Type="http://schemas.openxmlformats.org/officeDocument/2006/relationships/styles" Target="styles.xml"/><Relationship Id="rId21" Type="http://schemas.openxmlformats.org/officeDocument/2006/relationships/hyperlink" Target="https://doi.org/10.1093/ageing/afw220"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intqhc.oxfordjournals.org/content/early/recent?papetoc"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safetyandquality.gov.au/publications/national-guidelines-for-on-screen-presentation-of-discharge-summaries/" TargetMode="External"/><Relationship Id="rId20" Type="http://schemas.openxmlformats.org/officeDocument/2006/relationships/hyperlink" Target="http://dx.doi.org/10.1111/1475-6773.1259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phrp.com.au/issues/february-2017-volume-27-issue-1-2/"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our-work/healthcare-associated-infection/" TargetMode="External"/><Relationship Id="rId28" Type="http://schemas.openxmlformats.org/officeDocument/2006/relationships/hyperlink" Target="https://www.nice.org.uk/guidance/cg139" TargetMode="External"/><Relationship Id="rId36" Type="http://schemas.openxmlformats.org/officeDocument/2006/relationships/theme" Target="theme/theme1.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s://www.safetyandquality.gov.au/our-work/safety-in-e-health/"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016/j.ajic.2016.12.022" TargetMode="External"/><Relationship Id="rId27" Type="http://schemas.openxmlformats.org/officeDocument/2006/relationships/hyperlink" Target="https://www.nice.org.uk/guidance/cg74"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0FA50-A3F3-40B9-A6D0-5B512B2B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11283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2017-02-10T03:01:00Z</cp:lastPrinted>
  <dcterms:created xsi:type="dcterms:W3CDTF">2017-02-17T03:47:00Z</dcterms:created>
  <dcterms:modified xsi:type="dcterms:W3CDTF">2017-02-17T03:47:00Z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