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160029" w:rsidRDefault="00824B99" w:rsidP="00597B4F">
      <w:pPr>
        <w:pStyle w:val="Heading1"/>
        <w:ind w:left="1440" w:hanging="1440"/>
        <w:jc w:val="both"/>
        <w:rPr>
          <w:rFonts w:ascii="Bookman Old Style" w:hAnsi="Bookman Old Style"/>
          <w:sz w:val="48"/>
          <w:szCs w:val="48"/>
          <w:lang w:val="en-AU"/>
        </w:rPr>
      </w:pPr>
      <w:bookmarkStart w:id="0" w:name="_GoBack"/>
      <w:bookmarkEnd w:id="0"/>
      <w:r w:rsidRPr="00160029">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5A4A145" wp14:editId="27CBA4FE">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160029">
        <w:rPr>
          <w:rFonts w:ascii="Bookman Old Style" w:hAnsi="Bookman Old Style"/>
          <w:sz w:val="48"/>
          <w:szCs w:val="48"/>
          <w:lang w:val="en-AU"/>
        </w:rPr>
        <w:t>On the Radar</w:t>
      </w:r>
    </w:p>
    <w:p w:rsidR="00B160EF" w:rsidRPr="00160029" w:rsidRDefault="00715F47" w:rsidP="00B160EF">
      <w:pPr>
        <w:rPr>
          <w:rFonts w:ascii="Garamond" w:hAnsi="Garamond"/>
          <w:color w:val="000000"/>
          <w:lang w:val="en-AU"/>
        </w:rPr>
      </w:pPr>
      <w:r w:rsidRPr="00160029">
        <w:rPr>
          <w:rFonts w:ascii="Garamond" w:hAnsi="Garamond"/>
          <w:color w:val="000000"/>
          <w:lang w:val="en-AU"/>
        </w:rPr>
        <w:t xml:space="preserve">Issue </w:t>
      </w:r>
      <w:r w:rsidR="00C27820">
        <w:rPr>
          <w:rFonts w:ascii="Garamond" w:hAnsi="Garamond"/>
          <w:color w:val="000000"/>
          <w:lang w:val="en-AU"/>
        </w:rPr>
        <w:t>313</w:t>
      </w:r>
    </w:p>
    <w:p w:rsidR="00755242" w:rsidRPr="00160029" w:rsidRDefault="00C27820" w:rsidP="00B160EF">
      <w:pPr>
        <w:rPr>
          <w:rFonts w:ascii="Garamond" w:hAnsi="Garamond"/>
          <w:lang w:val="en-AU"/>
        </w:rPr>
      </w:pPr>
      <w:r>
        <w:rPr>
          <w:rFonts w:ascii="Garamond" w:hAnsi="Garamond"/>
          <w:lang w:val="en-AU"/>
        </w:rPr>
        <w:t>6 March</w:t>
      </w:r>
      <w:r w:rsidR="00650ACA" w:rsidRPr="00160029">
        <w:rPr>
          <w:rFonts w:ascii="Garamond" w:hAnsi="Garamond"/>
          <w:lang w:val="en-AU"/>
        </w:rPr>
        <w:t xml:space="preserve"> </w:t>
      </w:r>
      <w:r w:rsidR="00F74A58" w:rsidRPr="00160029">
        <w:rPr>
          <w:rFonts w:ascii="Garamond" w:hAnsi="Garamond"/>
          <w:lang w:val="en-AU"/>
        </w:rPr>
        <w:t>2017</w:t>
      </w:r>
    </w:p>
    <w:p w:rsidR="00566895" w:rsidRPr="00160029" w:rsidRDefault="00566895" w:rsidP="00B160EF">
      <w:pPr>
        <w:rPr>
          <w:rFonts w:ascii="Garamond" w:hAnsi="Garamond"/>
          <w:lang w:val="en-AU"/>
        </w:rPr>
      </w:pPr>
    </w:p>
    <w:p w:rsidR="00B160EF" w:rsidRPr="00160029" w:rsidRDefault="00B160EF" w:rsidP="00B160EF">
      <w:pPr>
        <w:rPr>
          <w:rFonts w:ascii="Garamond" w:hAnsi="Garamond"/>
          <w:b/>
          <w:lang w:val="en-AU"/>
        </w:rPr>
      </w:pPr>
      <w:r w:rsidRPr="00160029">
        <w:rPr>
          <w:rFonts w:ascii="Garamond" w:hAnsi="Garamond"/>
          <w:i/>
          <w:lang w:val="en-AU"/>
        </w:rPr>
        <w:t>On the Radar</w:t>
      </w:r>
      <w:r w:rsidRPr="00160029">
        <w:rPr>
          <w:rFonts w:ascii="Garamond" w:hAnsi="Garamond"/>
          <w:lang w:val="en-AU"/>
        </w:rPr>
        <w:t xml:space="preserve"> is a summary of some of the recent publications in </w:t>
      </w:r>
      <w:r w:rsidR="000025DB" w:rsidRPr="00160029">
        <w:rPr>
          <w:rFonts w:ascii="Garamond" w:hAnsi="Garamond"/>
          <w:lang w:val="en-AU"/>
        </w:rPr>
        <w:t>the</w:t>
      </w:r>
      <w:r w:rsidRPr="00160029">
        <w:rPr>
          <w:rFonts w:ascii="Garamond" w:hAnsi="Garamond"/>
          <w:lang w:val="en-AU"/>
        </w:rPr>
        <w:t xml:space="preserve"> areas of safety and quality in health care. Inclusion in this document is not an endorsement or recommendation of any publication or provider.</w:t>
      </w:r>
      <w:r w:rsidR="00594E21" w:rsidRPr="00160029">
        <w:rPr>
          <w:rFonts w:ascii="Garamond" w:hAnsi="Garamond"/>
          <w:lang w:val="en-AU"/>
        </w:rPr>
        <w:t xml:space="preserve"> </w:t>
      </w:r>
      <w:r w:rsidRPr="00160029">
        <w:rPr>
          <w:rFonts w:ascii="Garamond" w:hAnsi="Garamond"/>
          <w:lang w:val="en-AU"/>
        </w:rPr>
        <w:t>Access to particular documents may depend on whether they are Open Access or not, and/or your individual or institutional access to subscription sites/services.</w:t>
      </w:r>
      <w:r w:rsidR="00F460A7" w:rsidRPr="00160029">
        <w:rPr>
          <w:rFonts w:ascii="Garamond" w:hAnsi="Garamond"/>
          <w:lang w:val="en-AU"/>
        </w:rPr>
        <w:t xml:space="preserve"> Material that may require subscription is included as it is considered relevant.</w:t>
      </w:r>
    </w:p>
    <w:p w:rsidR="00B160EF" w:rsidRPr="00160029" w:rsidRDefault="00B160EF" w:rsidP="00B160EF">
      <w:pPr>
        <w:rPr>
          <w:rFonts w:ascii="Garamond" w:hAnsi="Garamond"/>
          <w:lang w:val="en-AU"/>
        </w:rPr>
      </w:pPr>
    </w:p>
    <w:p w:rsidR="00230D83" w:rsidRPr="00160029" w:rsidRDefault="00B160EF" w:rsidP="0045757F">
      <w:pPr>
        <w:autoSpaceDE w:val="0"/>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available </w:t>
      </w:r>
      <w:r w:rsidR="003D1E7A" w:rsidRPr="00160029">
        <w:rPr>
          <w:rFonts w:ascii="Garamond" w:hAnsi="Garamond"/>
          <w:lang w:val="en-AU"/>
        </w:rPr>
        <w:t xml:space="preserve">online, </w:t>
      </w:r>
      <w:r w:rsidRPr="00160029">
        <w:rPr>
          <w:rFonts w:ascii="Garamond" w:hAnsi="Garamond"/>
          <w:lang w:val="en-AU"/>
        </w:rPr>
        <w:t xml:space="preserve">via email or as a PDF </w:t>
      </w:r>
      <w:r w:rsidR="006F34BB" w:rsidRPr="00160029">
        <w:rPr>
          <w:rFonts w:ascii="Garamond" w:hAnsi="Garamond"/>
          <w:lang w:val="en-AU"/>
        </w:rPr>
        <w:t xml:space="preserve">or Word </w:t>
      </w:r>
      <w:r w:rsidRPr="00160029">
        <w:rPr>
          <w:rFonts w:ascii="Garamond" w:hAnsi="Garamond"/>
          <w:lang w:val="en-AU"/>
        </w:rPr>
        <w:t xml:space="preserve">document from </w:t>
      </w:r>
      <w:hyperlink r:id="rId10" w:history="1">
        <w:r w:rsidR="00230D83" w:rsidRPr="00160029">
          <w:rPr>
            <w:rStyle w:val="Hyperlink"/>
            <w:rFonts w:ascii="Garamond" w:hAnsi="Garamond"/>
            <w:lang w:val="en-AU"/>
          </w:rPr>
          <w:t>http://www.safetyandquality.gov.au/publications-resources/on-the-radar/</w:t>
        </w:r>
      </w:hyperlink>
    </w:p>
    <w:p w:rsidR="0090536C" w:rsidRPr="00160029" w:rsidRDefault="0090536C" w:rsidP="0045757F">
      <w:pPr>
        <w:autoSpaceDE w:val="0"/>
        <w:rPr>
          <w:rFonts w:ascii="Garamond" w:hAnsi="Garamond"/>
          <w:lang w:val="en-AU"/>
        </w:rPr>
      </w:pPr>
    </w:p>
    <w:p w:rsidR="00B160EF" w:rsidRPr="00160029" w:rsidRDefault="00B160EF" w:rsidP="0045757F">
      <w:pPr>
        <w:autoSpaceDE w:val="0"/>
        <w:rPr>
          <w:rFonts w:ascii="Garamond" w:hAnsi="Garamond"/>
          <w:lang w:val="en-AU"/>
        </w:rPr>
      </w:pPr>
      <w:r w:rsidRPr="00160029">
        <w:rPr>
          <w:rFonts w:ascii="Garamond" w:hAnsi="Garamond"/>
          <w:lang w:val="en-AU"/>
        </w:rPr>
        <w:t xml:space="preserve">If you would like to receive </w:t>
      </w:r>
      <w:r w:rsidRPr="00160029">
        <w:rPr>
          <w:rFonts w:ascii="Garamond" w:hAnsi="Garamond"/>
          <w:i/>
          <w:lang w:val="en-AU"/>
        </w:rPr>
        <w:t>On the Radar</w:t>
      </w:r>
      <w:r w:rsidRPr="00160029">
        <w:rPr>
          <w:rFonts w:ascii="Garamond" w:hAnsi="Garamond"/>
          <w:lang w:val="en-AU"/>
        </w:rPr>
        <w:t xml:space="preserve"> via email</w:t>
      </w:r>
      <w:r w:rsidR="003D7B9E" w:rsidRPr="00160029">
        <w:rPr>
          <w:rFonts w:ascii="Garamond" w:hAnsi="Garamond"/>
          <w:lang w:val="en-AU"/>
        </w:rPr>
        <w:t>, you can</w:t>
      </w:r>
      <w:r w:rsidR="00F24F60" w:rsidRPr="00160029">
        <w:rPr>
          <w:rFonts w:ascii="Garamond" w:hAnsi="Garamond"/>
          <w:lang w:val="en-AU"/>
        </w:rPr>
        <w:t xml:space="preserve"> subscribe on our website </w:t>
      </w:r>
      <w:hyperlink r:id="rId11" w:history="1">
        <w:r w:rsidR="00F24F60" w:rsidRPr="00160029">
          <w:rPr>
            <w:rStyle w:val="Hyperlink"/>
            <w:rFonts w:ascii="Garamond" w:hAnsi="Garamond"/>
            <w:lang w:val="en-AU"/>
          </w:rPr>
          <w:t>http://www.safetyandquality.gov.au/</w:t>
        </w:r>
      </w:hyperlink>
      <w:r w:rsidR="003D7B9E" w:rsidRPr="00160029">
        <w:rPr>
          <w:rFonts w:ascii="Garamond" w:hAnsi="Garamond"/>
          <w:lang w:val="en-AU"/>
        </w:rPr>
        <w:t xml:space="preserve"> or by emailing us at </w:t>
      </w:r>
      <w:r w:rsidR="003D7B9E" w:rsidRPr="00160029">
        <w:rPr>
          <w:rFonts w:ascii="Garamond" w:hAnsi="Garamond" w:cs="ZWAdobeF"/>
          <w:sz w:val="2"/>
          <w:szCs w:val="2"/>
          <w:lang w:val="en-AU"/>
        </w:rPr>
        <w:t>H</w:t>
      </w:r>
      <w:hyperlink r:id="rId12"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 xml:space="preserve">. </w:t>
      </w:r>
      <w:r w:rsidR="00E51D23" w:rsidRPr="00160029">
        <w:rPr>
          <w:rFonts w:ascii="Garamond" w:hAnsi="Garamond"/>
          <w:lang w:val="en-AU"/>
        </w:rPr>
        <w:br/>
      </w:r>
      <w:r w:rsidR="003D7B9E" w:rsidRPr="00160029">
        <w:rPr>
          <w:rFonts w:ascii="Garamond" w:hAnsi="Garamond"/>
          <w:lang w:val="en-AU"/>
        </w:rPr>
        <w:t xml:space="preserve">You can also send feedback and comments to </w:t>
      </w:r>
      <w:r w:rsidR="003D7B9E" w:rsidRPr="00160029">
        <w:rPr>
          <w:rFonts w:ascii="Garamond" w:hAnsi="Garamond" w:cs="ZWAdobeF"/>
          <w:sz w:val="2"/>
          <w:szCs w:val="2"/>
          <w:lang w:val="en-AU"/>
        </w:rPr>
        <w:t>H</w:t>
      </w:r>
      <w:hyperlink r:id="rId13" w:history="1">
        <w:r w:rsidR="003D7B9E" w:rsidRPr="00160029">
          <w:rPr>
            <w:rFonts w:ascii="Garamond" w:hAnsi="Garamond" w:cs="ZWAdobeF"/>
            <w:sz w:val="2"/>
            <w:szCs w:val="2"/>
            <w:lang w:val="en-AU"/>
          </w:rPr>
          <w:t>U</w:t>
        </w:r>
        <w:r w:rsidR="003D7B9E" w:rsidRPr="00160029">
          <w:rPr>
            <w:rStyle w:val="Hyperlink"/>
            <w:rFonts w:ascii="Garamond" w:hAnsi="Garamond"/>
            <w:lang w:val="en-AU"/>
          </w:rPr>
          <w:t>mail@safetyandquality.gov.au</w:t>
        </w:r>
        <w:r w:rsidR="003D7B9E" w:rsidRPr="00160029">
          <w:rPr>
            <w:rStyle w:val="Hyperlink"/>
            <w:rFonts w:ascii="Garamond" w:hAnsi="Garamond" w:cs="ZWAdobeF"/>
            <w:color w:val="auto"/>
            <w:sz w:val="2"/>
            <w:szCs w:val="2"/>
            <w:u w:val="none"/>
            <w:lang w:val="en-AU"/>
          </w:rPr>
          <w:t>U</w:t>
        </w:r>
      </w:hyperlink>
      <w:r w:rsidR="003D7B9E" w:rsidRPr="00160029">
        <w:rPr>
          <w:rFonts w:ascii="Garamond" w:hAnsi="Garamond"/>
          <w:lang w:val="en-AU"/>
        </w:rPr>
        <w:t>.</w:t>
      </w:r>
    </w:p>
    <w:p w:rsidR="00B160EF" w:rsidRPr="00160029" w:rsidRDefault="00B160EF" w:rsidP="00837FC4">
      <w:pPr>
        <w:tabs>
          <w:tab w:val="left" w:pos="7773"/>
        </w:tabs>
        <w:rPr>
          <w:rFonts w:ascii="Garamond" w:hAnsi="Garamond"/>
          <w:lang w:val="en-AU"/>
        </w:rPr>
      </w:pPr>
    </w:p>
    <w:p w:rsidR="00837FC4" w:rsidRPr="00160029" w:rsidRDefault="00B160EF" w:rsidP="004554DB">
      <w:pPr>
        <w:autoSpaceDE w:val="0"/>
        <w:rPr>
          <w:rFonts w:ascii="Garamond" w:hAnsi="Garamond"/>
          <w:lang w:val="en-AU"/>
        </w:rPr>
      </w:pPr>
      <w:bookmarkStart w:id="1" w:name="OLE_LINK1"/>
      <w:r w:rsidRPr="00160029">
        <w:rPr>
          <w:rFonts w:ascii="Garamond" w:hAnsi="Garamond"/>
          <w:lang w:val="en-AU"/>
        </w:rPr>
        <w:t xml:space="preserve">For information about the Commission and its programs and publications, please visit </w:t>
      </w:r>
      <w:hyperlink r:id="rId14" w:history="1">
        <w:r w:rsidR="00837FC4" w:rsidRPr="00160029">
          <w:rPr>
            <w:rStyle w:val="Hyperlink"/>
            <w:rFonts w:ascii="Garamond" w:hAnsi="Garamond"/>
            <w:lang w:val="en-AU"/>
          </w:rPr>
          <w:t>http://www.safetyandquality.gov.au</w:t>
        </w:r>
      </w:hyperlink>
    </w:p>
    <w:p w:rsidR="0054703F" w:rsidRPr="00160029" w:rsidRDefault="004554DB" w:rsidP="004554DB">
      <w:pPr>
        <w:autoSpaceDE w:val="0"/>
        <w:rPr>
          <w:rFonts w:ascii="Garamond" w:hAnsi="Garamond"/>
          <w:lang w:val="en-AU"/>
        </w:rPr>
      </w:pPr>
      <w:r w:rsidRPr="00160029">
        <w:rPr>
          <w:rFonts w:ascii="Garamond" w:hAnsi="Garamond"/>
          <w:lang w:val="en-AU"/>
        </w:rPr>
        <w:t>You can also follow us on Twitter @ACSQHC.</w:t>
      </w:r>
    </w:p>
    <w:p w:rsidR="00210235" w:rsidRPr="00160029" w:rsidRDefault="00210235" w:rsidP="00210235">
      <w:pPr>
        <w:keepNext/>
        <w:pBdr>
          <w:top w:val="single" w:sz="4" w:space="1" w:color="auto"/>
        </w:pBdr>
        <w:rPr>
          <w:rFonts w:ascii="Garamond" w:hAnsi="Garamond"/>
          <w:b/>
          <w:lang w:val="en-AU"/>
        </w:rPr>
      </w:pPr>
      <w:r w:rsidRPr="00160029">
        <w:rPr>
          <w:rFonts w:ascii="Garamond" w:hAnsi="Garamond"/>
          <w:b/>
          <w:lang w:val="en-AU"/>
        </w:rPr>
        <w:t>On the Radar</w:t>
      </w:r>
    </w:p>
    <w:p w:rsidR="00340157" w:rsidRPr="00160029" w:rsidRDefault="00340157" w:rsidP="00210235">
      <w:pPr>
        <w:keepNext/>
        <w:pBdr>
          <w:top w:val="single" w:sz="4" w:space="1" w:color="auto"/>
        </w:pBdr>
        <w:rPr>
          <w:rFonts w:ascii="Garamond" w:hAnsi="Garamond"/>
          <w:bCs/>
          <w:lang w:val="en-AU"/>
        </w:rPr>
      </w:pPr>
      <w:r w:rsidRPr="00160029">
        <w:rPr>
          <w:rFonts w:ascii="Garamond" w:hAnsi="Garamond"/>
          <w:bCs/>
          <w:lang w:val="en-AU"/>
        </w:rPr>
        <w:t xml:space="preserve">Editor: </w:t>
      </w:r>
      <w:r w:rsidR="00C8085B" w:rsidRPr="00160029">
        <w:rPr>
          <w:rFonts w:ascii="Garamond" w:hAnsi="Garamond"/>
          <w:bCs/>
          <w:lang w:val="en-AU"/>
        </w:rPr>
        <w:t xml:space="preserve">Dr </w:t>
      </w:r>
      <w:r w:rsidRPr="00160029">
        <w:rPr>
          <w:rFonts w:ascii="Garamond" w:hAnsi="Garamond"/>
          <w:bCs/>
          <w:lang w:val="en-AU"/>
        </w:rPr>
        <w:t xml:space="preserve">Niall Johnson </w:t>
      </w:r>
      <w:hyperlink r:id="rId15" w:history="1">
        <w:r w:rsidRPr="00160029">
          <w:rPr>
            <w:rStyle w:val="Hyperlink"/>
            <w:rFonts w:ascii="Garamond" w:hAnsi="Garamond"/>
            <w:bCs/>
            <w:lang w:val="en-AU"/>
          </w:rPr>
          <w:t>niall.johnson@safetyandquality.gov.au</w:t>
        </w:r>
      </w:hyperlink>
    </w:p>
    <w:p w:rsidR="009A35BE" w:rsidRPr="00160029" w:rsidRDefault="00210235" w:rsidP="00A8296D">
      <w:pPr>
        <w:keepNext/>
        <w:pBdr>
          <w:top w:val="single" w:sz="4" w:space="1" w:color="auto"/>
        </w:pBdr>
        <w:rPr>
          <w:rFonts w:ascii="Garamond" w:hAnsi="Garamond"/>
          <w:shd w:val="clear" w:color="auto" w:fill="FFFFFF"/>
          <w:lang w:val="en-AU"/>
        </w:rPr>
      </w:pPr>
      <w:r w:rsidRPr="00160029">
        <w:rPr>
          <w:rFonts w:ascii="Garamond" w:hAnsi="Garamond"/>
          <w:bCs/>
          <w:lang w:val="en-AU"/>
        </w:rPr>
        <w:t xml:space="preserve">Contributors: </w:t>
      </w:r>
      <w:r w:rsidR="0056339A" w:rsidRPr="00160029">
        <w:rPr>
          <w:rFonts w:ascii="Garamond" w:hAnsi="Garamond"/>
          <w:bCs/>
          <w:lang w:val="en-AU"/>
        </w:rPr>
        <w:t>Niall Johnson</w:t>
      </w:r>
      <w:bookmarkEnd w:id="1"/>
    </w:p>
    <w:p w:rsidR="0059425E" w:rsidRPr="00160029" w:rsidRDefault="0059425E" w:rsidP="00691DE3">
      <w:pPr>
        <w:keepLines/>
        <w:autoSpaceDE w:val="0"/>
        <w:autoSpaceDN w:val="0"/>
        <w:adjustRightInd w:val="0"/>
        <w:rPr>
          <w:rFonts w:ascii="Garamond" w:hAnsi="Garamond"/>
          <w:lang w:val="en-AU"/>
        </w:rPr>
      </w:pPr>
    </w:p>
    <w:p w:rsidR="005735BA" w:rsidRPr="005735BA" w:rsidRDefault="005735BA" w:rsidP="000D0AC4">
      <w:pPr>
        <w:keepNext/>
        <w:rPr>
          <w:rFonts w:ascii="Garamond" w:hAnsi="Garamond"/>
          <w:lang w:val="en-AU"/>
        </w:rPr>
      </w:pPr>
    </w:p>
    <w:p w:rsidR="00BF1006" w:rsidRPr="00160029" w:rsidRDefault="005F52C2" w:rsidP="000D0AC4">
      <w:pPr>
        <w:keepNext/>
        <w:rPr>
          <w:rFonts w:ascii="Garamond" w:hAnsi="Garamond"/>
          <w:b/>
          <w:lang w:val="en-AU"/>
        </w:rPr>
      </w:pPr>
      <w:r w:rsidRPr="00160029">
        <w:rPr>
          <w:rFonts w:ascii="Garamond" w:hAnsi="Garamond"/>
          <w:b/>
          <w:lang w:val="en-AU"/>
        </w:rPr>
        <w:t>Journal articles</w:t>
      </w:r>
    </w:p>
    <w:p w:rsidR="00732505" w:rsidRDefault="00732505" w:rsidP="000D0AC4">
      <w:pPr>
        <w:keepNext/>
        <w:rPr>
          <w:rFonts w:ascii="Garamond" w:hAnsi="Garamond"/>
          <w:lang w:val="en-AU"/>
        </w:rPr>
      </w:pPr>
    </w:p>
    <w:p w:rsidR="00F769C1" w:rsidRPr="00F769C1" w:rsidRDefault="00F769C1" w:rsidP="00F769C1">
      <w:pPr>
        <w:keepNext/>
        <w:rPr>
          <w:rFonts w:ascii="Garamond" w:hAnsi="Garamond"/>
          <w:i/>
          <w:lang w:val="en-AU"/>
        </w:rPr>
      </w:pPr>
      <w:r w:rsidRPr="00F769C1">
        <w:rPr>
          <w:rFonts w:ascii="Garamond" w:hAnsi="Garamond"/>
          <w:i/>
          <w:lang w:val="en-AU"/>
        </w:rPr>
        <w:t xml:space="preserve">Eight years of decreased methicillin-resistant </w:t>
      </w:r>
      <w:r w:rsidRPr="00F769C1">
        <w:rPr>
          <w:rFonts w:ascii="Garamond" w:hAnsi="Garamond"/>
          <w:lang w:val="en-AU"/>
        </w:rPr>
        <w:t>Staphylococcus aureus</w:t>
      </w:r>
      <w:r w:rsidRPr="00F769C1">
        <w:rPr>
          <w:rFonts w:ascii="Garamond" w:hAnsi="Garamond"/>
          <w:i/>
          <w:lang w:val="en-AU"/>
        </w:rPr>
        <w:t xml:space="preserve"> health care-associated infections associated with a Veterans Affairs prevention initiative</w:t>
      </w:r>
    </w:p>
    <w:p w:rsidR="00F769C1" w:rsidRDefault="00F769C1" w:rsidP="001137F8">
      <w:pPr>
        <w:keepNext/>
        <w:rPr>
          <w:rFonts w:ascii="Garamond" w:hAnsi="Garamond"/>
          <w:lang w:val="en-AU"/>
        </w:rPr>
      </w:pPr>
      <w:r w:rsidRPr="00F769C1">
        <w:rPr>
          <w:rFonts w:ascii="Garamond" w:hAnsi="Garamond"/>
          <w:lang w:val="en-AU"/>
        </w:rPr>
        <w:t xml:space="preserve">Evans ME, </w:t>
      </w:r>
      <w:proofErr w:type="spellStart"/>
      <w:r w:rsidRPr="00F769C1">
        <w:rPr>
          <w:rFonts w:ascii="Garamond" w:hAnsi="Garamond"/>
          <w:lang w:val="en-AU"/>
        </w:rPr>
        <w:t>Kralovic</w:t>
      </w:r>
      <w:proofErr w:type="spellEnd"/>
      <w:r w:rsidRPr="00F769C1">
        <w:rPr>
          <w:rFonts w:ascii="Garamond" w:hAnsi="Garamond"/>
          <w:lang w:val="en-AU"/>
        </w:rPr>
        <w:t xml:space="preserve"> SM, </w:t>
      </w:r>
      <w:proofErr w:type="spellStart"/>
      <w:r w:rsidRPr="00F769C1">
        <w:rPr>
          <w:rFonts w:ascii="Garamond" w:hAnsi="Garamond"/>
          <w:lang w:val="en-AU"/>
        </w:rPr>
        <w:t>Simbartl</w:t>
      </w:r>
      <w:proofErr w:type="spellEnd"/>
      <w:r w:rsidRPr="00F769C1">
        <w:rPr>
          <w:rFonts w:ascii="Garamond" w:hAnsi="Garamond"/>
          <w:lang w:val="en-AU"/>
        </w:rPr>
        <w:t xml:space="preserve"> LA, Jain R, Roselle GA</w:t>
      </w:r>
    </w:p>
    <w:p w:rsidR="001137F8" w:rsidRPr="00160029" w:rsidRDefault="00F769C1" w:rsidP="001137F8">
      <w:pPr>
        <w:keepNext/>
        <w:rPr>
          <w:rFonts w:ascii="Garamond" w:hAnsi="Garamond"/>
          <w:lang w:val="en-AU"/>
        </w:rPr>
      </w:pPr>
      <w:proofErr w:type="gramStart"/>
      <w:r w:rsidRPr="00F769C1">
        <w:rPr>
          <w:rFonts w:ascii="Garamond" w:hAnsi="Garamond"/>
          <w:lang w:val="en-AU"/>
        </w:rPr>
        <w:t>American Journal of Infection Control.</w:t>
      </w:r>
      <w:proofErr w:type="gramEnd"/>
      <w:r w:rsidRPr="00F769C1">
        <w:rPr>
          <w:rFonts w:ascii="Garamond" w:hAnsi="Garamond"/>
          <w:lang w:val="en-AU"/>
        </w:rPr>
        <w:t xml:space="preserve"> 2017</w:t>
      </w:r>
      <w:proofErr w:type="gramStart"/>
      <w:r w:rsidRPr="00F769C1">
        <w:rPr>
          <w:rFonts w:ascii="Garamond" w:hAnsi="Garamond"/>
          <w:lang w:val="en-AU"/>
        </w:rPr>
        <w:t>;45</w:t>
      </w:r>
      <w:proofErr w:type="gramEnd"/>
      <w:r w:rsidRPr="00F769C1">
        <w:rPr>
          <w:rFonts w:ascii="Garamond" w:hAnsi="Garamond"/>
          <w:lang w:val="en-AU"/>
        </w:rPr>
        <w:t>(1):13-6.</w:t>
      </w:r>
    </w:p>
    <w:tbl>
      <w:tblPr>
        <w:tblStyle w:val="TableGrid"/>
        <w:tblW w:w="0" w:type="auto"/>
        <w:tblInd w:w="288" w:type="dxa"/>
        <w:tblLayout w:type="fixed"/>
        <w:tblLook w:val="01E0" w:firstRow="1" w:lastRow="1" w:firstColumn="1" w:lastColumn="1" w:noHBand="0" w:noVBand="0"/>
      </w:tblPr>
      <w:tblGrid>
        <w:gridCol w:w="1080"/>
        <w:gridCol w:w="8280"/>
      </w:tblGrid>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137F8" w:rsidRPr="00160029" w:rsidRDefault="00F769C1" w:rsidP="00425D88">
            <w:pPr>
              <w:rPr>
                <w:rStyle w:val="Hyperlink"/>
                <w:rFonts w:ascii="Garamond" w:hAnsi="Garamond"/>
                <w:color w:val="auto"/>
                <w:u w:val="none"/>
                <w:lang w:val="en-AU"/>
              </w:rPr>
            </w:pPr>
            <w:hyperlink r:id="rId16" w:history="1">
              <w:r w:rsidRPr="005F4A3D">
                <w:rPr>
                  <w:rStyle w:val="Hyperlink"/>
                  <w:rFonts w:ascii="Garamond" w:hAnsi="Garamond"/>
                  <w:lang w:val="en-AU"/>
                </w:rPr>
                <w:t>http://dx.doi.org/10.1016/j.ajic.2016.08.010</w:t>
              </w:r>
            </w:hyperlink>
          </w:p>
        </w:tc>
      </w:tr>
      <w:tr w:rsidR="001137F8" w:rsidRPr="00160029" w:rsidTr="00425D88">
        <w:tc>
          <w:tcPr>
            <w:tcW w:w="1080" w:type="dxa"/>
            <w:tcBorders>
              <w:top w:val="single" w:sz="4" w:space="0" w:color="auto"/>
              <w:left w:val="single" w:sz="4" w:space="0" w:color="auto"/>
              <w:bottom w:val="single" w:sz="4" w:space="0" w:color="auto"/>
              <w:right w:val="single" w:sz="4" w:space="0" w:color="auto"/>
            </w:tcBorders>
            <w:vAlign w:val="center"/>
          </w:tcPr>
          <w:p w:rsidR="001137F8" w:rsidRPr="00160029" w:rsidRDefault="001137F8" w:rsidP="00425D88">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5925" w:rsidRPr="001137F8" w:rsidRDefault="00F769C1" w:rsidP="00395925">
            <w:pPr>
              <w:rPr>
                <w:rFonts w:ascii="Garamond" w:hAnsi="Garamond"/>
                <w:lang w:val="en-AU"/>
              </w:rPr>
            </w:pPr>
            <w:r>
              <w:rPr>
                <w:rFonts w:ascii="Garamond" w:hAnsi="Garamond"/>
                <w:lang w:val="en-AU"/>
              </w:rPr>
              <w:t xml:space="preserve">A number of interventions have become quite well-known due to their (initial) impact. This paper updates and extends the story on how an initiative in the US Veterans Affairs health system has had a sustained impact on rates of </w:t>
            </w:r>
            <w:r w:rsidRPr="00F769C1">
              <w:rPr>
                <w:rFonts w:ascii="Garamond" w:hAnsi="Garamond"/>
                <w:lang w:val="en-AU"/>
              </w:rPr>
              <w:t xml:space="preserve">methicillin-resistant </w:t>
            </w:r>
            <w:r w:rsidRPr="00F769C1">
              <w:rPr>
                <w:rFonts w:ascii="Garamond" w:hAnsi="Garamond"/>
                <w:i/>
                <w:lang w:val="en-AU"/>
              </w:rPr>
              <w:t>Staphylococcus aureus</w:t>
            </w:r>
            <w:r w:rsidRPr="00F769C1">
              <w:rPr>
                <w:rFonts w:ascii="Garamond" w:hAnsi="Garamond"/>
                <w:lang w:val="en-AU"/>
              </w:rPr>
              <w:t xml:space="preserve"> </w:t>
            </w:r>
            <w:r>
              <w:rPr>
                <w:rFonts w:ascii="Garamond" w:hAnsi="Garamond"/>
                <w:lang w:val="en-AU"/>
              </w:rPr>
              <w:t xml:space="preserve">(MRSA) </w:t>
            </w:r>
            <w:r w:rsidRPr="00F769C1">
              <w:rPr>
                <w:rFonts w:ascii="Garamond" w:hAnsi="Garamond"/>
                <w:lang w:val="en-AU"/>
              </w:rPr>
              <w:t>infection</w:t>
            </w:r>
            <w:r>
              <w:rPr>
                <w:rFonts w:ascii="Garamond" w:hAnsi="Garamond"/>
                <w:lang w:val="en-AU"/>
              </w:rPr>
              <w:t xml:space="preserve">. This study used monthly data </w:t>
            </w:r>
            <w:r w:rsidRPr="00F769C1">
              <w:rPr>
                <w:rFonts w:ascii="Garamond" w:hAnsi="Garamond"/>
                <w:lang w:val="en-AU"/>
              </w:rPr>
              <w:t xml:space="preserve">from 127 acute care facilities, 22 spinal cord injury </w:t>
            </w:r>
            <w:r>
              <w:rPr>
                <w:rFonts w:ascii="Garamond" w:hAnsi="Garamond"/>
                <w:lang w:val="en-AU"/>
              </w:rPr>
              <w:t>units (</w:t>
            </w:r>
            <w:r w:rsidRPr="00F769C1">
              <w:rPr>
                <w:rFonts w:ascii="Garamond" w:hAnsi="Garamond"/>
                <w:lang w:val="en-AU"/>
              </w:rPr>
              <w:t>SCIUs</w:t>
            </w:r>
            <w:r>
              <w:rPr>
                <w:rFonts w:ascii="Garamond" w:hAnsi="Garamond"/>
                <w:lang w:val="en-AU"/>
              </w:rPr>
              <w:t>)</w:t>
            </w:r>
            <w:r w:rsidRPr="00F769C1">
              <w:rPr>
                <w:rFonts w:ascii="Garamond" w:hAnsi="Garamond"/>
                <w:lang w:val="en-AU"/>
              </w:rPr>
              <w:t xml:space="preserve">, and 133 long-term-care facilities </w:t>
            </w:r>
            <w:r>
              <w:rPr>
                <w:rFonts w:ascii="Garamond" w:hAnsi="Garamond"/>
                <w:lang w:val="en-AU"/>
              </w:rPr>
              <w:t>(</w:t>
            </w:r>
            <w:r w:rsidRPr="00F769C1">
              <w:rPr>
                <w:rFonts w:ascii="Garamond" w:hAnsi="Garamond"/>
                <w:lang w:val="en-AU"/>
              </w:rPr>
              <w:t>LTCFs</w:t>
            </w:r>
            <w:r>
              <w:rPr>
                <w:rFonts w:ascii="Garamond" w:hAnsi="Garamond"/>
                <w:lang w:val="en-AU"/>
              </w:rPr>
              <w:t xml:space="preserve">) covering </w:t>
            </w:r>
            <w:r w:rsidRPr="00F769C1">
              <w:rPr>
                <w:rFonts w:ascii="Garamond" w:hAnsi="Garamond"/>
                <w:lang w:val="en-AU"/>
              </w:rPr>
              <w:t>23,153,240 intensive care unit (ICU) and non-ICU, and 1,794,234 SCIU patient-days from October 2007-September 2015, and 22,262,605 LTCF resident-days from July 2009-September 2015</w:t>
            </w:r>
            <w:r w:rsidR="00395925">
              <w:rPr>
                <w:rFonts w:ascii="Garamond" w:hAnsi="Garamond"/>
                <w:lang w:val="en-AU"/>
              </w:rPr>
              <w:t xml:space="preserve">. </w:t>
            </w:r>
            <w:r w:rsidR="00395925" w:rsidRPr="00395925">
              <w:rPr>
                <w:rFonts w:ascii="Garamond" w:hAnsi="Garamond"/>
                <w:lang w:val="en-AU"/>
              </w:rPr>
              <w:t xml:space="preserve">Monthly </w:t>
            </w:r>
            <w:r w:rsidR="00395925" w:rsidRPr="00395925">
              <w:rPr>
                <w:rFonts w:ascii="Garamond" w:hAnsi="Garamond"/>
                <w:lang w:val="en-AU"/>
              </w:rPr>
              <w:t xml:space="preserve">health care-associated infections </w:t>
            </w:r>
            <w:r w:rsidR="00395925">
              <w:rPr>
                <w:rFonts w:ascii="Garamond" w:hAnsi="Garamond"/>
                <w:lang w:val="en-AU"/>
              </w:rPr>
              <w:t>(</w:t>
            </w:r>
            <w:r w:rsidR="00395925" w:rsidRPr="00395925">
              <w:rPr>
                <w:rFonts w:ascii="Garamond" w:hAnsi="Garamond"/>
                <w:lang w:val="en-AU"/>
              </w:rPr>
              <w:t>HAI</w:t>
            </w:r>
            <w:r w:rsidR="00395925">
              <w:rPr>
                <w:rFonts w:ascii="Garamond" w:hAnsi="Garamond"/>
                <w:lang w:val="en-AU"/>
              </w:rPr>
              <w:t>)</w:t>
            </w:r>
            <w:r w:rsidR="00395925" w:rsidRPr="00395925">
              <w:rPr>
                <w:rFonts w:ascii="Garamond" w:hAnsi="Garamond"/>
                <w:lang w:val="en-AU"/>
              </w:rPr>
              <w:t xml:space="preserve"> rates fell 87.0% in intensive care units (ICUs) and 80.1% in non-ICUs</w:t>
            </w:r>
            <w:r w:rsidR="00395925">
              <w:rPr>
                <w:rFonts w:ascii="Garamond" w:hAnsi="Garamond"/>
                <w:lang w:val="en-AU"/>
              </w:rPr>
              <w:t xml:space="preserve"> while </w:t>
            </w:r>
            <w:r w:rsidR="00395925" w:rsidRPr="00395925">
              <w:rPr>
                <w:rFonts w:ascii="Garamond" w:hAnsi="Garamond"/>
                <w:lang w:val="en-AU"/>
              </w:rPr>
              <w:t>MRSA HAI rates fell 80.9% in spinal cord injury units and 49.4% in long-term care.</w:t>
            </w:r>
          </w:p>
        </w:tc>
      </w:tr>
    </w:tbl>
    <w:p w:rsidR="001137F8" w:rsidRDefault="001137F8" w:rsidP="001137F8">
      <w:pPr>
        <w:rPr>
          <w:rFonts w:ascii="Garamond" w:hAnsi="Garamond"/>
          <w:lang w:val="en-AU" w:eastAsia="en-AU"/>
        </w:rPr>
      </w:pPr>
    </w:p>
    <w:p w:rsidR="00395925" w:rsidRDefault="00395925" w:rsidP="001137F8">
      <w:pPr>
        <w:rPr>
          <w:rFonts w:ascii="Garamond" w:hAnsi="Garamond"/>
          <w:lang w:val="en-AU" w:eastAsia="en-AU"/>
        </w:rPr>
      </w:pPr>
      <w:r>
        <w:rPr>
          <w:rFonts w:ascii="Garamond" w:hAnsi="Garamond"/>
          <w:lang w:val="en-AU"/>
        </w:rPr>
        <w:t xml:space="preserve">For information on the Commission’s work on </w:t>
      </w:r>
      <w:r>
        <w:rPr>
          <w:rFonts w:ascii="Garamond" w:hAnsi="Garamond"/>
          <w:lang w:val="en-AU"/>
        </w:rPr>
        <w:t xml:space="preserve">healthcare associated infection, see </w:t>
      </w:r>
      <w:hyperlink r:id="rId17" w:history="1">
        <w:r w:rsidRPr="005F4A3D">
          <w:rPr>
            <w:rStyle w:val="Hyperlink"/>
            <w:rFonts w:ascii="Garamond" w:hAnsi="Garamond"/>
            <w:lang w:val="en-AU"/>
          </w:rPr>
          <w:t>https://www.safetyandquality.gov.au/our-work/healthcare-associated-infection/</w:t>
        </w:r>
      </w:hyperlink>
    </w:p>
    <w:p w:rsidR="009E2985" w:rsidRPr="009E2985" w:rsidRDefault="009E2985" w:rsidP="009E2985">
      <w:pPr>
        <w:keepNext/>
        <w:rPr>
          <w:rFonts w:ascii="Garamond" w:hAnsi="Garamond"/>
          <w:i/>
          <w:lang w:val="en-AU"/>
        </w:rPr>
      </w:pPr>
      <w:r w:rsidRPr="009E2985">
        <w:rPr>
          <w:rFonts w:ascii="Garamond" w:hAnsi="Garamond"/>
          <w:i/>
          <w:lang w:val="en-AU"/>
        </w:rPr>
        <w:lastRenderedPageBreak/>
        <w:t>Identifying patient-centred recommendations for improving patient safety in General Practices in England: a qualitative content analysis of free-text responses using the Patient Reported Experiences and Outcomes of Safety in Primary Care (PREOS-PC) questionnaire</w:t>
      </w:r>
    </w:p>
    <w:p w:rsidR="009E2985" w:rsidRDefault="009E2985" w:rsidP="00C27820">
      <w:pPr>
        <w:keepNext/>
        <w:rPr>
          <w:rFonts w:ascii="Garamond" w:hAnsi="Garamond"/>
          <w:lang w:val="en-AU"/>
        </w:rPr>
      </w:pPr>
      <w:r w:rsidRPr="009E2985">
        <w:rPr>
          <w:rFonts w:ascii="Garamond" w:hAnsi="Garamond"/>
          <w:lang w:val="en-AU"/>
        </w:rPr>
        <w:t xml:space="preserve">Ricci-Cabello I, </w:t>
      </w:r>
      <w:proofErr w:type="spellStart"/>
      <w:r w:rsidRPr="009E2985">
        <w:rPr>
          <w:rFonts w:ascii="Garamond" w:hAnsi="Garamond"/>
          <w:lang w:val="en-AU"/>
        </w:rPr>
        <w:t>Saletti</w:t>
      </w:r>
      <w:proofErr w:type="spellEnd"/>
      <w:r w:rsidRPr="009E2985">
        <w:rPr>
          <w:rFonts w:ascii="Garamond" w:hAnsi="Garamond"/>
          <w:lang w:val="en-AU"/>
        </w:rPr>
        <w:t xml:space="preserve">-Cuesta L, Slight SP, </w:t>
      </w:r>
      <w:proofErr w:type="spellStart"/>
      <w:r w:rsidRPr="009E2985">
        <w:rPr>
          <w:rFonts w:ascii="Garamond" w:hAnsi="Garamond"/>
          <w:lang w:val="en-AU"/>
        </w:rPr>
        <w:t>Valderas</w:t>
      </w:r>
      <w:proofErr w:type="spellEnd"/>
      <w:r w:rsidRPr="009E2985">
        <w:rPr>
          <w:rFonts w:ascii="Garamond" w:hAnsi="Garamond"/>
          <w:lang w:val="en-AU"/>
        </w:rPr>
        <w:t xml:space="preserve"> JM</w:t>
      </w:r>
    </w:p>
    <w:p w:rsidR="00395925" w:rsidRPr="00160029" w:rsidRDefault="009E2985" w:rsidP="00C27820">
      <w:pPr>
        <w:keepNext/>
        <w:rPr>
          <w:rFonts w:ascii="Garamond" w:hAnsi="Garamond"/>
          <w:lang w:val="en-AU"/>
        </w:rPr>
      </w:pPr>
      <w:proofErr w:type="gramStart"/>
      <w:r w:rsidRPr="009E2985">
        <w:rPr>
          <w:rFonts w:ascii="Garamond" w:hAnsi="Garamond"/>
          <w:lang w:val="en-AU"/>
        </w:rPr>
        <w:t>Health Expectations.</w:t>
      </w:r>
      <w:proofErr w:type="gramEnd"/>
      <w:r w:rsidRPr="009E2985">
        <w:rPr>
          <w:rFonts w:ascii="Garamond" w:hAnsi="Garamond"/>
          <w:lang w:val="en-AU"/>
        </w:rPr>
        <w:t xml:space="preserve"> </w:t>
      </w:r>
      <w:proofErr w:type="gramStart"/>
      <w:r w:rsidRPr="009E2985">
        <w:rPr>
          <w:rFonts w:ascii="Garamond" w:hAnsi="Garamond"/>
          <w:lang w:val="en-AU"/>
        </w:rPr>
        <w:t>2017</w:t>
      </w:r>
      <w:r>
        <w:rPr>
          <w:rFonts w:ascii="Garamond" w:hAnsi="Garamond"/>
          <w:lang w:val="en-AU"/>
        </w:rPr>
        <w:t xml:space="preserve"> [epub]</w:t>
      </w:r>
      <w:r w:rsidRPr="009E298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Pr="00160029" w:rsidRDefault="009E2985" w:rsidP="00B25B2D">
            <w:pPr>
              <w:rPr>
                <w:rStyle w:val="Hyperlink"/>
                <w:rFonts w:ascii="Garamond" w:hAnsi="Garamond"/>
                <w:color w:val="auto"/>
                <w:u w:val="none"/>
                <w:lang w:val="en-AU"/>
              </w:rPr>
            </w:pPr>
            <w:hyperlink r:id="rId18" w:history="1">
              <w:r w:rsidRPr="005F4A3D">
                <w:rPr>
                  <w:rStyle w:val="Hyperlink"/>
                  <w:rFonts w:ascii="Garamond" w:hAnsi="Garamond"/>
                  <w:lang w:val="en-AU"/>
                </w:rPr>
                <w:t>http://dx.doi.org/10.1111/hex.12537</w:t>
              </w:r>
            </w:hyperlink>
          </w:p>
        </w:tc>
      </w:tr>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2985" w:rsidRDefault="009E2985" w:rsidP="009E2985">
            <w:pPr>
              <w:rPr>
                <w:rFonts w:ascii="Garamond" w:hAnsi="Garamond"/>
                <w:lang w:val="en-AU"/>
              </w:rPr>
            </w:pPr>
            <w:r>
              <w:rPr>
                <w:rFonts w:ascii="Garamond" w:hAnsi="Garamond"/>
                <w:lang w:val="en-AU"/>
              </w:rPr>
              <w:t>Paper reporting on a survey of English general practice patients that sought to e</w:t>
            </w:r>
            <w:r w:rsidRPr="009E2985">
              <w:rPr>
                <w:rFonts w:ascii="Garamond" w:hAnsi="Garamond"/>
                <w:lang w:val="en-AU"/>
              </w:rPr>
              <w:t>xplore patients’ experiences and perceptions of patient safety</w:t>
            </w:r>
            <w:r>
              <w:rPr>
                <w:rFonts w:ascii="Garamond" w:hAnsi="Garamond"/>
                <w:lang w:val="en-AU"/>
              </w:rPr>
              <w:t>. The authors report that two main themes emerged:</w:t>
            </w:r>
          </w:p>
          <w:p w:rsidR="009E2985" w:rsidRPr="00AF5DDD" w:rsidRDefault="009E2985" w:rsidP="00AF5DDD">
            <w:pPr>
              <w:pStyle w:val="ListParagraph"/>
              <w:numPr>
                <w:ilvl w:val="0"/>
                <w:numId w:val="36"/>
              </w:numPr>
              <w:rPr>
                <w:rFonts w:ascii="Garamond" w:hAnsi="Garamond"/>
                <w:lang w:val="en-AU"/>
              </w:rPr>
            </w:pPr>
            <w:r w:rsidRPr="00AF5DDD">
              <w:rPr>
                <w:rFonts w:ascii="Garamond" w:hAnsi="Garamond"/>
                <w:lang w:val="en-AU"/>
              </w:rPr>
              <w:t xml:space="preserve">experiences of safety problems – and </w:t>
            </w:r>
          </w:p>
          <w:p w:rsidR="009E2985" w:rsidRPr="00AF5DDD" w:rsidRDefault="009E2985" w:rsidP="00AF5DDD">
            <w:pPr>
              <w:pStyle w:val="ListParagraph"/>
              <w:numPr>
                <w:ilvl w:val="0"/>
                <w:numId w:val="36"/>
              </w:numPr>
              <w:rPr>
                <w:rFonts w:ascii="Garamond" w:hAnsi="Garamond"/>
                <w:lang w:val="en-AU"/>
              </w:rPr>
            </w:pPr>
            <w:proofErr w:type="gramStart"/>
            <w:r w:rsidRPr="00AF5DDD">
              <w:rPr>
                <w:rFonts w:ascii="Garamond" w:hAnsi="Garamond"/>
                <w:lang w:val="en-AU"/>
              </w:rPr>
              <w:t>good</w:t>
            </w:r>
            <w:proofErr w:type="gramEnd"/>
            <w:r w:rsidRPr="00AF5DDD">
              <w:rPr>
                <w:rFonts w:ascii="Garamond" w:hAnsi="Garamond"/>
                <w:lang w:val="en-AU"/>
              </w:rPr>
              <w:t xml:space="preserve"> practices and recommendations to improve patient safety in primary care. </w:t>
            </w:r>
          </w:p>
          <w:p w:rsidR="009E2985" w:rsidRPr="001137F8" w:rsidRDefault="009E2985" w:rsidP="009E2985">
            <w:pPr>
              <w:rPr>
                <w:rFonts w:ascii="Garamond" w:hAnsi="Garamond"/>
                <w:lang w:val="en-AU"/>
              </w:rPr>
            </w:pPr>
            <w:r>
              <w:rPr>
                <w:rFonts w:ascii="Garamond" w:hAnsi="Garamond"/>
                <w:lang w:val="en-AU"/>
              </w:rPr>
              <w:t>They noted that the “m</w:t>
            </w:r>
            <w:r w:rsidRPr="009E2985">
              <w:rPr>
                <w:rFonts w:ascii="Garamond" w:hAnsi="Garamond"/>
                <w:lang w:val="en-AU"/>
              </w:rPr>
              <w:t>ost frequent</w:t>
            </w:r>
            <w:r>
              <w:rPr>
                <w:rFonts w:ascii="Garamond" w:hAnsi="Garamond"/>
                <w:lang w:val="en-AU"/>
              </w:rPr>
              <w:t>ly reported</w:t>
            </w:r>
            <w:r w:rsidRPr="009E2985">
              <w:rPr>
                <w:rFonts w:ascii="Garamond" w:hAnsi="Garamond"/>
                <w:lang w:val="en-AU"/>
              </w:rPr>
              <w:t xml:space="preserve"> experiences of safety problems were related to </w:t>
            </w:r>
            <w:r w:rsidRPr="009E2985">
              <w:rPr>
                <w:rFonts w:ascii="Garamond" w:hAnsi="Garamond"/>
                <w:b/>
                <w:lang w:val="en-AU"/>
              </w:rPr>
              <w:t>appointments</w:t>
            </w:r>
            <w:r w:rsidRPr="009E2985">
              <w:rPr>
                <w:rFonts w:ascii="Garamond" w:hAnsi="Garamond"/>
                <w:lang w:val="en-AU"/>
              </w:rPr>
              <w:t xml:space="preserve">, </w:t>
            </w:r>
            <w:r w:rsidRPr="009E2985">
              <w:rPr>
                <w:rFonts w:ascii="Garamond" w:hAnsi="Garamond"/>
                <w:b/>
                <w:lang w:val="en-AU"/>
              </w:rPr>
              <w:t>coordination</w:t>
            </w:r>
            <w:r w:rsidRPr="009E2985">
              <w:rPr>
                <w:rFonts w:ascii="Garamond" w:hAnsi="Garamond"/>
                <w:lang w:val="en-AU"/>
              </w:rPr>
              <w:t xml:space="preserve"> between providers, </w:t>
            </w:r>
            <w:r w:rsidRPr="009E2985">
              <w:rPr>
                <w:rFonts w:ascii="Garamond" w:hAnsi="Garamond"/>
                <w:b/>
                <w:lang w:val="en-AU"/>
              </w:rPr>
              <w:t>tests</w:t>
            </w:r>
            <w:r w:rsidRPr="009E2985">
              <w:rPr>
                <w:rFonts w:ascii="Garamond" w:hAnsi="Garamond"/>
                <w:lang w:val="en-AU"/>
              </w:rPr>
              <w:t xml:space="preserve">, </w:t>
            </w:r>
            <w:r w:rsidRPr="009E2985">
              <w:rPr>
                <w:rFonts w:ascii="Garamond" w:hAnsi="Garamond"/>
                <w:b/>
                <w:lang w:val="en-AU"/>
              </w:rPr>
              <w:t>medication</w:t>
            </w:r>
            <w:r w:rsidRPr="009E2985">
              <w:rPr>
                <w:rFonts w:ascii="Garamond" w:hAnsi="Garamond"/>
                <w:lang w:val="en-AU"/>
              </w:rPr>
              <w:t xml:space="preserve"> and </w:t>
            </w:r>
            <w:r w:rsidRPr="009E2985">
              <w:rPr>
                <w:rFonts w:ascii="Garamond" w:hAnsi="Garamond"/>
                <w:b/>
                <w:lang w:val="en-AU"/>
              </w:rPr>
              <w:t>diagnosis</w:t>
            </w:r>
            <w:r w:rsidRPr="009E2985">
              <w:rPr>
                <w:rFonts w:ascii="Garamond" w:hAnsi="Garamond"/>
                <w:lang w:val="en-AU"/>
              </w:rPr>
              <w:t xml:space="preserve">. Patients’ responses to these problems included increased </w:t>
            </w:r>
            <w:r w:rsidRPr="009E2985">
              <w:rPr>
                <w:rFonts w:ascii="Garamond" w:hAnsi="Garamond"/>
                <w:b/>
                <w:lang w:val="en-AU"/>
              </w:rPr>
              <w:t>patient activation</w:t>
            </w:r>
            <w:r w:rsidRPr="009E2985">
              <w:rPr>
                <w:rFonts w:ascii="Garamond" w:hAnsi="Garamond"/>
                <w:lang w:val="en-AU"/>
              </w:rPr>
              <w:t xml:space="preserve"> (</w:t>
            </w:r>
            <w:proofErr w:type="spellStart"/>
            <w:r w:rsidRPr="009E2985">
              <w:rPr>
                <w:rFonts w:ascii="Garamond" w:hAnsi="Garamond"/>
                <w:lang w:val="en-AU"/>
              </w:rPr>
              <w:t>eg</w:t>
            </w:r>
            <w:proofErr w:type="spellEnd"/>
            <w:r w:rsidRPr="009E2985">
              <w:rPr>
                <w:rFonts w:ascii="Garamond" w:hAnsi="Garamond"/>
                <w:lang w:val="en-AU"/>
              </w:rPr>
              <w:t xml:space="preserve"> speaking up about concerns with their health care) and </w:t>
            </w:r>
            <w:r w:rsidRPr="009E2985">
              <w:rPr>
                <w:rFonts w:ascii="Garamond" w:hAnsi="Garamond"/>
                <w:b/>
                <w:lang w:val="en-AU"/>
              </w:rPr>
              <w:t>avoidance of unnecessary health care</w:t>
            </w:r>
            <w:r w:rsidRPr="009E2985">
              <w:rPr>
                <w:rFonts w:ascii="Garamond" w:hAnsi="Garamond"/>
                <w:lang w:val="en-AU"/>
              </w:rPr>
              <w:t xml:space="preserve">. Recommendations for safer health care included improvements in </w:t>
            </w:r>
            <w:r w:rsidRPr="009E2985">
              <w:rPr>
                <w:rFonts w:ascii="Garamond" w:hAnsi="Garamond"/>
                <w:b/>
                <w:lang w:val="en-AU"/>
              </w:rPr>
              <w:t>patient-centred communication</w:t>
            </w:r>
            <w:r w:rsidRPr="009E2985">
              <w:rPr>
                <w:rFonts w:ascii="Garamond" w:hAnsi="Garamond"/>
                <w:lang w:val="en-AU"/>
              </w:rPr>
              <w:t xml:space="preserve">, </w:t>
            </w:r>
            <w:r w:rsidRPr="009E2985">
              <w:rPr>
                <w:rFonts w:ascii="Garamond" w:hAnsi="Garamond"/>
                <w:b/>
                <w:lang w:val="en-AU"/>
              </w:rPr>
              <w:t>continuity of care</w:t>
            </w:r>
            <w:r w:rsidRPr="009E2985">
              <w:rPr>
                <w:rFonts w:ascii="Garamond" w:hAnsi="Garamond"/>
                <w:lang w:val="en-AU"/>
              </w:rPr>
              <w:t xml:space="preserve">, </w:t>
            </w:r>
            <w:r w:rsidRPr="009E2985">
              <w:rPr>
                <w:rFonts w:ascii="Garamond" w:hAnsi="Garamond"/>
                <w:b/>
                <w:lang w:val="en-AU"/>
              </w:rPr>
              <w:t>timely appointments</w:t>
            </w:r>
            <w:r w:rsidRPr="009E2985">
              <w:rPr>
                <w:rFonts w:ascii="Garamond" w:hAnsi="Garamond"/>
                <w:lang w:val="en-AU"/>
              </w:rPr>
              <w:t xml:space="preserve">, </w:t>
            </w:r>
            <w:proofErr w:type="gramStart"/>
            <w:r w:rsidRPr="009E2985">
              <w:rPr>
                <w:rFonts w:ascii="Garamond" w:hAnsi="Garamond"/>
                <w:lang w:val="en-AU"/>
              </w:rPr>
              <w:t>technical</w:t>
            </w:r>
            <w:proofErr w:type="gramEnd"/>
            <w:r w:rsidRPr="009E2985">
              <w:rPr>
                <w:rFonts w:ascii="Garamond" w:hAnsi="Garamond"/>
                <w:lang w:val="en-AU"/>
              </w:rPr>
              <w:t xml:space="preserve"> </w:t>
            </w:r>
            <w:r w:rsidRPr="009E2985">
              <w:rPr>
                <w:rFonts w:ascii="Garamond" w:hAnsi="Garamond"/>
                <w:b/>
                <w:lang w:val="en-AU"/>
              </w:rPr>
              <w:t>quality</w:t>
            </w:r>
            <w:r w:rsidRPr="009E2985">
              <w:rPr>
                <w:rFonts w:ascii="Garamond" w:hAnsi="Garamond"/>
                <w:lang w:val="en-AU"/>
              </w:rPr>
              <w:t xml:space="preserve"> of care, active </w:t>
            </w:r>
            <w:r w:rsidRPr="009E2985">
              <w:rPr>
                <w:rFonts w:ascii="Garamond" w:hAnsi="Garamond"/>
                <w:b/>
                <w:lang w:val="en-AU"/>
              </w:rPr>
              <w:t>monitoring</w:t>
            </w:r>
            <w:r w:rsidRPr="009E2985">
              <w:rPr>
                <w:rFonts w:ascii="Garamond" w:hAnsi="Garamond"/>
                <w:lang w:val="en-AU"/>
              </w:rPr>
              <w:t xml:space="preserve">, </w:t>
            </w:r>
            <w:r w:rsidRPr="009E2985">
              <w:rPr>
                <w:rFonts w:ascii="Garamond" w:hAnsi="Garamond"/>
                <w:b/>
                <w:lang w:val="en-AU"/>
              </w:rPr>
              <w:t>teamwork</w:t>
            </w:r>
            <w:r w:rsidRPr="009E2985">
              <w:rPr>
                <w:rFonts w:ascii="Garamond" w:hAnsi="Garamond"/>
                <w:lang w:val="en-AU"/>
              </w:rPr>
              <w:t xml:space="preserve">, </w:t>
            </w:r>
            <w:r w:rsidRPr="009E2985">
              <w:rPr>
                <w:rFonts w:ascii="Garamond" w:hAnsi="Garamond"/>
                <w:b/>
                <w:lang w:val="en-AU"/>
              </w:rPr>
              <w:t>health records</w:t>
            </w:r>
            <w:r w:rsidRPr="009E2985">
              <w:rPr>
                <w:rFonts w:ascii="Garamond" w:hAnsi="Garamond"/>
                <w:lang w:val="en-AU"/>
              </w:rPr>
              <w:t xml:space="preserve"> and </w:t>
            </w:r>
            <w:r w:rsidRPr="009E2985">
              <w:rPr>
                <w:rFonts w:ascii="Garamond" w:hAnsi="Garamond"/>
                <w:b/>
                <w:lang w:val="en-AU"/>
              </w:rPr>
              <w:t>practice environment</w:t>
            </w:r>
            <w:r w:rsidRPr="009E2985">
              <w:rPr>
                <w:rFonts w:ascii="Garamond" w:hAnsi="Garamond"/>
                <w:lang w:val="en-AU"/>
              </w:rPr>
              <w:t>.</w:t>
            </w:r>
            <w:r>
              <w:rPr>
                <w:rFonts w:ascii="Garamond" w:hAnsi="Garamond"/>
                <w:lang w:val="en-AU"/>
              </w:rPr>
              <w:t>”</w:t>
            </w:r>
          </w:p>
        </w:tc>
      </w:tr>
    </w:tbl>
    <w:p w:rsidR="00C27820" w:rsidRDefault="00C27820" w:rsidP="00C27820">
      <w:pPr>
        <w:rPr>
          <w:rFonts w:ascii="Garamond" w:hAnsi="Garamond"/>
          <w:lang w:val="en-AU" w:eastAsia="en-AU"/>
        </w:rPr>
      </w:pPr>
    </w:p>
    <w:p w:rsidR="009E2985" w:rsidRDefault="009E2985" w:rsidP="00C27820">
      <w:pPr>
        <w:rPr>
          <w:rFonts w:ascii="Garamond" w:hAnsi="Garamond"/>
          <w:lang w:val="en-AU" w:eastAsia="en-AU"/>
        </w:rPr>
      </w:pPr>
      <w:r>
        <w:rPr>
          <w:rFonts w:ascii="Garamond" w:hAnsi="Garamond"/>
          <w:lang w:val="en-AU"/>
        </w:rPr>
        <w:t>For information on the Commission’s work on</w:t>
      </w:r>
      <w:r>
        <w:rPr>
          <w:rFonts w:ascii="Garamond" w:hAnsi="Garamond"/>
          <w:lang w:val="en-AU"/>
        </w:rPr>
        <w:t xml:space="preserve"> patient and consumer centred care, see </w:t>
      </w:r>
      <w:hyperlink r:id="rId19" w:history="1">
        <w:r w:rsidRPr="005F4A3D">
          <w:rPr>
            <w:rStyle w:val="Hyperlink"/>
            <w:rFonts w:ascii="Garamond" w:hAnsi="Garamond"/>
            <w:lang w:val="en-AU"/>
          </w:rPr>
          <w:t>https://www.safetyandquality.gov.au/our-work/patient-and-consumer-centred-care/</w:t>
        </w:r>
      </w:hyperlink>
    </w:p>
    <w:p w:rsidR="00C27820" w:rsidRDefault="00C27820" w:rsidP="00C27820">
      <w:pPr>
        <w:keepNext/>
        <w:rPr>
          <w:rFonts w:ascii="Garamond" w:hAnsi="Garamond"/>
          <w:lang w:val="en-AU"/>
        </w:rPr>
      </w:pPr>
    </w:p>
    <w:p w:rsidR="00AF5DDD" w:rsidRDefault="00AF5DDD" w:rsidP="00C27820">
      <w:pPr>
        <w:keepNext/>
        <w:rPr>
          <w:rFonts w:ascii="Garamond" w:hAnsi="Garamond"/>
          <w:lang w:val="en-AU"/>
        </w:rPr>
      </w:pPr>
    </w:p>
    <w:p w:rsidR="00483F73" w:rsidRPr="00483F73" w:rsidRDefault="00483F73" w:rsidP="00483F73">
      <w:pPr>
        <w:keepNext/>
        <w:rPr>
          <w:rFonts w:ascii="Garamond" w:hAnsi="Garamond"/>
          <w:i/>
          <w:lang w:val="en-AU"/>
        </w:rPr>
      </w:pPr>
      <w:r w:rsidRPr="00483F73">
        <w:rPr>
          <w:rFonts w:ascii="Garamond" w:hAnsi="Garamond"/>
          <w:i/>
          <w:lang w:val="en-AU"/>
        </w:rPr>
        <w:t>From Board to Bedside: How the Application of Financial Structures to Safety and Quality Can Drive Accountability in a Large Health Care System</w:t>
      </w:r>
    </w:p>
    <w:p w:rsidR="00483F73" w:rsidRDefault="00483F73" w:rsidP="00C27820">
      <w:pPr>
        <w:keepNext/>
        <w:rPr>
          <w:rFonts w:ascii="Garamond" w:hAnsi="Garamond"/>
          <w:lang w:val="en-AU"/>
        </w:rPr>
      </w:pPr>
      <w:r w:rsidRPr="00483F73">
        <w:rPr>
          <w:rFonts w:ascii="Garamond" w:hAnsi="Garamond"/>
          <w:lang w:val="en-AU"/>
        </w:rPr>
        <w:t xml:space="preserve">Austin JM, </w:t>
      </w:r>
      <w:proofErr w:type="spellStart"/>
      <w:r w:rsidRPr="00483F73">
        <w:rPr>
          <w:rFonts w:ascii="Garamond" w:hAnsi="Garamond"/>
          <w:lang w:val="en-AU"/>
        </w:rPr>
        <w:t>Demski</w:t>
      </w:r>
      <w:proofErr w:type="spellEnd"/>
      <w:r w:rsidRPr="00483F73">
        <w:rPr>
          <w:rFonts w:ascii="Garamond" w:hAnsi="Garamond"/>
          <w:lang w:val="en-AU"/>
        </w:rPr>
        <w:t xml:space="preserve"> R, </w:t>
      </w:r>
      <w:proofErr w:type="spellStart"/>
      <w:r w:rsidRPr="00483F73">
        <w:rPr>
          <w:rFonts w:ascii="Garamond" w:hAnsi="Garamond"/>
          <w:lang w:val="en-AU"/>
        </w:rPr>
        <w:t>Callender</w:t>
      </w:r>
      <w:proofErr w:type="spellEnd"/>
      <w:r w:rsidRPr="00483F73">
        <w:rPr>
          <w:rFonts w:ascii="Garamond" w:hAnsi="Garamond"/>
          <w:lang w:val="en-AU"/>
        </w:rPr>
        <w:t xml:space="preserve"> T, Lee KHK, Hoffman A, Allen L, et al</w:t>
      </w:r>
    </w:p>
    <w:p w:rsidR="009E2985" w:rsidRPr="00160029" w:rsidRDefault="00483F73" w:rsidP="00C27820">
      <w:pPr>
        <w:keepNext/>
        <w:rPr>
          <w:rFonts w:ascii="Garamond" w:hAnsi="Garamond"/>
          <w:lang w:val="en-AU"/>
        </w:rPr>
      </w:pPr>
      <w:proofErr w:type="gramStart"/>
      <w:r w:rsidRPr="00483F73">
        <w:rPr>
          <w:rFonts w:ascii="Garamond" w:hAnsi="Garamond"/>
          <w:lang w:val="en-AU"/>
        </w:rPr>
        <w:t>Joint Commission Journal on Quality and Patient Safety.</w:t>
      </w:r>
      <w:proofErr w:type="gramEnd"/>
      <w:r w:rsidRPr="00483F73">
        <w:rPr>
          <w:rFonts w:ascii="Garamond" w:hAnsi="Garamond"/>
          <w:lang w:val="en-AU"/>
        </w:rPr>
        <w:t xml:space="preserve"> </w:t>
      </w:r>
      <w:proofErr w:type="gramStart"/>
      <w:r w:rsidRPr="00483F73">
        <w:rPr>
          <w:rFonts w:ascii="Garamond" w:hAnsi="Garamond"/>
          <w:lang w:val="en-AU"/>
        </w:rPr>
        <w:t>2017</w:t>
      </w:r>
      <w:r>
        <w:rPr>
          <w:rFonts w:ascii="Garamond" w:hAnsi="Garamond"/>
          <w:lang w:val="en-AU"/>
        </w:rPr>
        <w:t xml:space="preserve"> [epub]</w:t>
      </w:r>
      <w:r w:rsidRPr="00483F73">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Style w:val="Hyperlink"/>
                <w:rFonts w:ascii="Garamond" w:hAnsi="Garamond"/>
                <w:lang w:val="en-AU"/>
              </w:rPr>
            </w:pPr>
            <w:r w:rsidRPr="00160029">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7820" w:rsidRPr="00160029" w:rsidRDefault="00483F73" w:rsidP="00483F73">
            <w:pPr>
              <w:rPr>
                <w:rStyle w:val="Hyperlink"/>
                <w:rFonts w:ascii="Garamond" w:hAnsi="Garamond"/>
                <w:color w:val="auto"/>
                <w:u w:val="none"/>
                <w:lang w:val="en-AU"/>
              </w:rPr>
            </w:pPr>
            <w:hyperlink r:id="rId20" w:history="1">
              <w:r w:rsidRPr="005F4A3D">
                <w:rPr>
                  <w:rStyle w:val="Hyperlink"/>
                  <w:rFonts w:ascii="Garamond" w:hAnsi="Garamond"/>
                  <w:lang w:val="en-AU"/>
                </w:rPr>
                <w:t>http://dx.doi.org/10.1016/j.jcjq.2017.01.001</w:t>
              </w:r>
            </w:hyperlink>
          </w:p>
        </w:tc>
      </w:tr>
      <w:tr w:rsidR="00C27820" w:rsidRPr="00160029" w:rsidTr="00B25B2D">
        <w:tc>
          <w:tcPr>
            <w:tcW w:w="1080" w:type="dxa"/>
            <w:tcBorders>
              <w:top w:val="single" w:sz="4" w:space="0" w:color="auto"/>
              <w:left w:val="single" w:sz="4" w:space="0" w:color="auto"/>
              <w:bottom w:val="single" w:sz="4" w:space="0" w:color="auto"/>
              <w:right w:val="single" w:sz="4" w:space="0" w:color="auto"/>
            </w:tcBorders>
            <w:vAlign w:val="center"/>
          </w:tcPr>
          <w:p w:rsidR="00C27820" w:rsidRPr="00160029" w:rsidRDefault="00C27820" w:rsidP="00B25B2D">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3F73" w:rsidRDefault="00483F73" w:rsidP="00B25B2D">
            <w:pPr>
              <w:rPr>
                <w:rFonts w:ascii="Garamond" w:hAnsi="Garamond"/>
                <w:lang w:val="en-AU"/>
              </w:rPr>
            </w:pPr>
            <w:r>
              <w:rPr>
                <w:rFonts w:ascii="Garamond" w:hAnsi="Garamond"/>
                <w:lang w:val="en-AU"/>
              </w:rPr>
              <w:t xml:space="preserve">Paper describing the structures established at Johns Hopkins Medicine that aim to ensure the prioritisation of </w:t>
            </w:r>
            <w:r w:rsidRPr="00483F73">
              <w:rPr>
                <w:rFonts w:ascii="Garamond" w:hAnsi="Garamond"/>
                <w:lang w:val="en-AU"/>
              </w:rPr>
              <w:t>improving quality, safety, and value</w:t>
            </w:r>
            <w:r>
              <w:rPr>
                <w:rFonts w:ascii="Garamond" w:hAnsi="Garamond"/>
                <w:lang w:val="en-AU"/>
              </w:rPr>
              <w:t>. A</w:t>
            </w:r>
            <w:r w:rsidRPr="00483F73">
              <w:rPr>
                <w:rFonts w:ascii="Garamond" w:hAnsi="Garamond"/>
                <w:lang w:val="en-AU"/>
              </w:rPr>
              <w:t xml:space="preserve"> reporting and oversight framework </w:t>
            </w:r>
            <w:r>
              <w:rPr>
                <w:rFonts w:ascii="Garamond" w:hAnsi="Garamond"/>
                <w:lang w:val="en-AU"/>
              </w:rPr>
              <w:t xml:space="preserve">based on four components of </w:t>
            </w:r>
            <w:r w:rsidRPr="00483F73">
              <w:rPr>
                <w:rFonts w:ascii="Garamond" w:hAnsi="Garamond"/>
                <w:b/>
                <w:lang w:val="en-AU"/>
              </w:rPr>
              <w:t>governance</w:t>
            </w:r>
            <w:r w:rsidRPr="00483F73">
              <w:rPr>
                <w:rFonts w:ascii="Garamond" w:hAnsi="Garamond"/>
                <w:lang w:val="en-AU"/>
              </w:rPr>
              <w:t xml:space="preserve">, </w:t>
            </w:r>
            <w:r w:rsidRPr="00483F73">
              <w:rPr>
                <w:rFonts w:ascii="Garamond" w:hAnsi="Garamond"/>
                <w:b/>
                <w:lang w:val="en-AU"/>
              </w:rPr>
              <w:t>accountability</w:t>
            </w:r>
            <w:r w:rsidRPr="00483F73">
              <w:rPr>
                <w:rFonts w:ascii="Garamond" w:hAnsi="Garamond"/>
                <w:lang w:val="en-AU"/>
              </w:rPr>
              <w:t xml:space="preserve">, </w:t>
            </w:r>
            <w:r w:rsidRPr="00483F73">
              <w:rPr>
                <w:rFonts w:ascii="Garamond" w:hAnsi="Garamond"/>
                <w:b/>
                <w:lang w:val="en-AU"/>
              </w:rPr>
              <w:t>reporting</w:t>
            </w:r>
            <w:r w:rsidRPr="00483F73">
              <w:rPr>
                <w:rFonts w:ascii="Garamond" w:hAnsi="Garamond"/>
                <w:lang w:val="en-AU"/>
              </w:rPr>
              <w:t xml:space="preserve"> of consolidated quality performance statements, and </w:t>
            </w:r>
            <w:r w:rsidRPr="00483F73">
              <w:rPr>
                <w:rFonts w:ascii="Garamond" w:hAnsi="Garamond"/>
                <w:b/>
                <w:lang w:val="en-AU"/>
              </w:rPr>
              <w:t>auditing</w:t>
            </w:r>
            <w:r w:rsidRPr="00483F73">
              <w:rPr>
                <w:rFonts w:ascii="Garamond" w:hAnsi="Garamond"/>
                <w:lang w:val="en-AU"/>
              </w:rPr>
              <w:t>.</w:t>
            </w:r>
          </w:p>
          <w:p w:rsidR="00483F73" w:rsidRDefault="00483F73" w:rsidP="00483F73">
            <w:pPr>
              <w:rPr>
                <w:rFonts w:ascii="Garamond" w:hAnsi="Garamond"/>
                <w:lang w:val="en-AU"/>
              </w:rPr>
            </w:pPr>
            <w:r w:rsidRPr="00483F73">
              <w:rPr>
                <w:rFonts w:ascii="Garamond" w:hAnsi="Garamond"/>
                <w:lang w:val="en-AU"/>
              </w:rPr>
              <w:t xml:space="preserve">Governance </w:t>
            </w:r>
            <w:r>
              <w:rPr>
                <w:rFonts w:ascii="Garamond" w:hAnsi="Garamond"/>
                <w:lang w:val="en-AU"/>
              </w:rPr>
              <w:t xml:space="preserve">from a </w:t>
            </w:r>
            <w:r>
              <w:rPr>
                <w:rFonts w:ascii="Garamond" w:hAnsi="Garamond"/>
                <w:lang w:val="en-AU"/>
              </w:rPr>
              <w:t xml:space="preserve">dedicated </w:t>
            </w:r>
            <w:r w:rsidRPr="00483F73">
              <w:rPr>
                <w:rFonts w:ascii="Garamond" w:hAnsi="Garamond"/>
                <w:lang w:val="en-AU"/>
              </w:rPr>
              <w:t>Patient Safety and Quality Board Committee</w:t>
            </w:r>
            <w:r>
              <w:rPr>
                <w:rFonts w:ascii="Garamond" w:hAnsi="Garamond"/>
                <w:lang w:val="en-AU"/>
              </w:rPr>
              <w:t xml:space="preserve">. </w:t>
            </w:r>
          </w:p>
          <w:p w:rsidR="00483F73" w:rsidRDefault="00483F73" w:rsidP="00B25B2D">
            <w:pPr>
              <w:rPr>
                <w:rFonts w:ascii="Garamond" w:hAnsi="Garamond"/>
                <w:lang w:val="en-AU"/>
              </w:rPr>
            </w:pPr>
            <w:r>
              <w:rPr>
                <w:rFonts w:ascii="Garamond" w:hAnsi="Garamond"/>
                <w:lang w:val="en-AU"/>
              </w:rPr>
              <w:t xml:space="preserve">Accountability of leaders to that Board Committee and with </w:t>
            </w:r>
            <w:r w:rsidRPr="00483F73">
              <w:rPr>
                <w:rFonts w:ascii="Garamond" w:hAnsi="Garamond"/>
                <w:lang w:val="en-AU"/>
              </w:rPr>
              <w:t>shared accountability between the board and clinical leadership</w:t>
            </w:r>
            <w:r>
              <w:rPr>
                <w:rFonts w:ascii="Garamond" w:hAnsi="Garamond"/>
                <w:lang w:val="en-AU"/>
              </w:rPr>
              <w:t>.</w:t>
            </w:r>
          </w:p>
          <w:p w:rsidR="00483F73" w:rsidRDefault="00483F73" w:rsidP="00B25B2D">
            <w:pPr>
              <w:rPr>
                <w:rFonts w:ascii="Garamond" w:hAnsi="Garamond"/>
                <w:lang w:val="en-AU"/>
              </w:rPr>
            </w:pPr>
            <w:r>
              <w:rPr>
                <w:rFonts w:ascii="Garamond" w:hAnsi="Garamond"/>
                <w:lang w:val="en-AU"/>
              </w:rPr>
              <w:t xml:space="preserve">The </w:t>
            </w:r>
            <w:r w:rsidRPr="00483F73">
              <w:rPr>
                <w:rFonts w:ascii="Garamond" w:hAnsi="Garamond"/>
                <w:lang w:val="en-AU"/>
              </w:rPr>
              <w:t>consolidated quality performance statement to ensure transparency around goals and priorities</w:t>
            </w:r>
            <w:r>
              <w:rPr>
                <w:rFonts w:ascii="Garamond" w:hAnsi="Garamond"/>
                <w:lang w:val="en-AU"/>
              </w:rPr>
              <w:t xml:space="preserve"> and inform leadership and the Board Committee.</w:t>
            </w:r>
          </w:p>
          <w:p w:rsidR="00483F73" w:rsidRPr="001137F8" w:rsidRDefault="00483F73" w:rsidP="00483F73">
            <w:pPr>
              <w:rPr>
                <w:rFonts w:ascii="Garamond" w:hAnsi="Garamond"/>
                <w:lang w:val="en-AU"/>
              </w:rPr>
            </w:pPr>
            <w:r>
              <w:rPr>
                <w:rFonts w:ascii="Garamond" w:hAnsi="Garamond"/>
                <w:lang w:val="en-AU"/>
              </w:rPr>
              <w:t>I</w:t>
            </w:r>
            <w:r w:rsidRPr="00483F73">
              <w:rPr>
                <w:rFonts w:ascii="Garamond" w:hAnsi="Garamond"/>
                <w:lang w:val="en-AU"/>
              </w:rPr>
              <w:t xml:space="preserve">nternal audits </w:t>
            </w:r>
            <w:r>
              <w:rPr>
                <w:rFonts w:ascii="Garamond" w:hAnsi="Garamond"/>
                <w:lang w:val="en-AU"/>
              </w:rPr>
              <w:t xml:space="preserve">into the </w:t>
            </w:r>
            <w:r w:rsidRPr="00483F73">
              <w:rPr>
                <w:rFonts w:ascii="Garamond" w:hAnsi="Garamond"/>
                <w:lang w:val="en-AU"/>
              </w:rPr>
              <w:t>efficiency and effectiveness of processes for data collection, validation, and storage, as to ensure the accuracy and completeness of quality measure reporting.</w:t>
            </w:r>
          </w:p>
        </w:tc>
      </w:tr>
    </w:tbl>
    <w:p w:rsidR="00C07E64" w:rsidRDefault="00C07E64" w:rsidP="001137F8">
      <w:pPr>
        <w:rPr>
          <w:rFonts w:ascii="Garamond" w:hAnsi="Garamond"/>
          <w:lang w:val="en-AU" w:eastAsia="en-AU"/>
        </w:rPr>
      </w:pPr>
    </w:p>
    <w:p w:rsidR="00AF5DDD" w:rsidRDefault="00AF5DDD" w:rsidP="001137F8">
      <w:pPr>
        <w:rPr>
          <w:rFonts w:ascii="Garamond" w:hAnsi="Garamond"/>
          <w:lang w:val="en-AU" w:eastAsia="en-AU"/>
        </w:rPr>
      </w:pPr>
    </w:p>
    <w:p w:rsidR="00AF20FE" w:rsidRPr="00160029" w:rsidRDefault="00AF20FE" w:rsidP="00AF20FE">
      <w:pPr>
        <w:keepNext/>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keepNext/>
              <w:rPr>
                <w:rFonts w:ascii="Garamond" w:hAnsi="Garamond"/>
                <w:lang w:val="en-AU"/>
              </w:rPr>
            </w:pPr>
            <w:r w:rsidRPr="00160029">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BC06A4" w:rsidP="009E5A41">
            <w:pPr>
              <w:keepNext/>
              <w:rPr>
                <w:rFonts w:ascii="Garamond" w:hAnsi="Garamond"/>
                <w:lang w:val="en-AU"/>
              </w:rPr>
            </w:pPr>
            <w:hyperlink r:id="rId21" w:history="1">
              <w:r w:rsidR="009E5A41" w:rsidRPr="003253C9">
                <w:rPr>
                  <w:rStyle w:val="Hyperlink"/>
                </w:rPr>
                <w:t>https://academic.oup.com/intqhc/advance-access?papetoc</w:t>
              </w:r>
            </w:hyperlink>
          </w:p>
        </w:tc>
      </w:tr>
      <w:tr w:rsidR="00AF20FE" w:rsidRPr="00160029"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160029" w:rsidRDefault="00AF20FE" w:rsidP="00B13BAF">
            <w:pPr>
              <w:rPr>
                <w:rFonts w:ascii="Garamond" w:hAnsi="Garamond"/>
                <w:lang w:val="en-AU"/>
              </w:rPr>
            </w:pPr>
            <w:r w:rsidRPr="00160029">
              <w:rPr>
                <w:rFonts w:ascii="Garamond" w:hAnsi="Garamond"/>
                <w:i/>
                <w:lang w:val="en-AU"/>
              </w:rPr>
              <w:t xml:space="preserve">International Journal for Quality in Health Care </w:t>
            </w:r>
            <w:r w:rsidRPr="00160029">
              <w:rPr>
                <w:rFonts w:ascii="Garamond" w:hAnsi="Garamond"/>
                <w:lang w:val="en-AU"/>
              </w:rPr>
              <w:t>has published a number of ‘online first’ articles, including:</w:t>
            </w:r>
          </w:p>
          <w:p w:rsidR="00F769C1" w:rsidRPr="00F769C1" w:rsidRDefault="00F769C1" w:rsidP="00F769C1">
            <w:pPr>
              <w:pStyle w:val="ListParagraph"/>
              <w:numPr>
                <w:ilvl w:val="0"/>
                <w:numId w:val="14"/>
              </w:numPr>
              <w:rPr>
                <w:rFonts w:ascii="Garamond" w:hAnsi="Garamond"/>
                <w:lang w:val="en-AU"/>
              </w:rPr>
            </w:pPr>
            <w:r w:rsidRPr="00F769C1">
              <w:rPr>
                <w:rFonts w:ascii="Garamond" w:hAnsi="Garamond"/>
                <w:b/>
                <w:lang w:val="en-AU"/>
              </w:rPr>
              <w:t>Improving the quality of radiological examinations</w:t>
            </w:r>
            <w:r w:rsidRPr="00F769C1">
              <w:rPr>
                <w:rFonts w:ascii="Garamond" w:hAnsi="Garamond"/>
                <w:lang w:val="en-AU"/>
              </w:rPr>
              <w:t xml:space="preserve">: effectiveness of an internal participatory approach </w:t>
            </w:r>
            <w:r w:rsidRPr="00F769C1">
              <w:rPr>
                <w:rFonts w:ascii="Garamond" w:hAnsi="Garamond"/>
                <w:lang w:val="en-AU"/>
              </w:rPr>
              <w:t>(</w:t>
            </w:r>
            <w:r w:rsidRPr="00F769C1">
              <w:rPr>
                <w:rFonts w:ascii="Garamond" w:hAnsi="Garamond"/>
                <w:lang w:val="en-AU"/>
              </w:rPr>
              <w:t xml:space="preserve">Francisco Manuel Batista </w:t>
            </w:r>
            <w:proofErr w:type="spellStart"/>
            <w:r w:rsidRPr="00F769C1">
              <w:rPr>
                <w:rFonts w:ascii="Garamond" w:hAnsi="Garamond"/>
                <w:lang w:val="en-AU"/>
              </w:rPr>
              <w:t>Mamede</w:t>
            </w:r>
            <w:proofErr w:type="spellEnd"/>
            <w:r w:rsidRPr="00F769C1">
              <w:rPr>
                <w:rFonts w:ascii="Garamond" w:hAnsi="Garamond"/>
                <w:lang w:val="en-AU"/>
              </w:rPr>
              <w:t xml:space="preserve">; </w:t>
            </w:r>
            <w:proofErr w:type="spellStart"/>
            <w:r w:rsidRPr="00F769C1">
              <w:rPr>
                <w:rFonts w:ascii="Garamond" w:hAnsi="Garamond"/>
                <w:lang w:val="en-AU"/>
              </w:rPr>
              <w:t>Zenewton</w:t>
            </w:r>
            <w:proofErr w:type="spellEnd"/>
            <w:r w:rsidRPr="00F769C1">
              <w:rPr>
                <w:rFonts w:ascii="Garamond" w:hAnsi="Garamond"/>
                <w:lang w:val="en-AU"/>
              </w:rPr>
              <w:t xml:space="preserve"> André da Silva Gama; Pedro Jesus </w:t>
            </w:r>
            <w:proofErr w:type="spellStart"/>
            <w:r w:rsidRPr="00F769C1">
              <w:rPr>
                <w:rFonts w:ascii="Garamond" w:hAnsi="Garamond"/>
                <w:lang w:val="en-AU"/>
              </w:rPr>
              <w:t>Saturno</w:t>
            </w:r>
            <w:proofErr w:type="spellEnd"/>
            <w:r w:rsidRPr="00F769C1">
              <w:rPr>
                <w:rFonts w:ascii="Garamond" w:hAnsi="Garamond"/>
                <w:lang w:val="en-AU"/>
              </w:rPr>
              <w:t>-Hernández</w:t>
            </w:r>
            <w:r>
              <w:rPr>
                <w:rFonts w:ascii="Garamond" w:hAnsi="Garamond"/>
                <w:lang w:val="en-AU"/>
              </w:rPr>
              <w:t>)</w:t>
            </w:r>
          </w:p>
          <w:p w:rsidR="00EE6CFC" w:rsidRPr="00160029" w:rsidRDefault="00F769C1" w:rsidP="00F769C1">
            <w:pPr>
              <w:pStyle w:val="ListParagraph"/>
              <w:numPr>
                <w:ilvl w:val="0"/>
                <w:numId w:val="14"/>
              </w:numPr>
              <w:rPr>
                <w:rFonts w:ascii="Garamond" w:hAnsi="Garamond"/>
                <w:lang w:val="en-AU"/>
              </w:rPr>
            </w:pPr>
            <w:r w:rsidRPr="00F769C1">
              <w:rPr>
                <w:rFonts w:ascii="Garamond" w:hAnsi="Garamond"/>
                <w:lang w:val="en-AU"/>
              </w:rPr>
              <w:lastRenderedPageBreak/>
              <w:t xml:space="preserve">Measuring patient experience: a systematic review to evaluate psychometric properties of </w:t>
            </w:r>
            <w:r w:rsidRPr="00F769C1">
              <w:rPr>
                <w:rFonts w:ascii="Garamond" w:hAnsi="Garamond"/>
                <w:b/>
                <w:lang w:val="en-AU"/>
              </w:rPr>
              <w:t>patient reported experience measures (PREMs)</w:t>
            </w:r>
            <w:r w:rsidRPr="00F769C1">
              <w:rPr>
                <w:rFonts w:ascii="Garamond" w:hAnsi="Garamond"/>
                <w:lang w:val="en-AU"/>
              </w:rPr>
              <w:t xml:space="preserve"> for emergency care service provision </w:t>
            </w:r>
            <w:r>
              <w:rPr>
                <w:rFonts w:ascii="Garamond" w:hAnsi="Garamond"/>
                <w:lang w:val="en-AU"/>
              </w:rPr>
              <w:t>(</w:t>
            </w:r>
            <w:r w:rsidRPr="00F769C1">
              <w:rPr>
                <w:rFonts w:ascii="Garamond" w:hAnsi="Garamond"/>
                <w:lang w:val="en-AU"/>
              </w:rPr>
              <w:t xml:space="preserve">Leanne Male; Adam Noble; Jessica Atkinson; Tony </w:t>
            </w:r>
            <w:proofErr w:type="spellStart"/>
            <w:r w:rsidRPr="00F769C1">
              <w:rPr>
                <w:rFonts w:ascii="Garamond" w:hAnsi="Garamond"/>
                <w:lang w:val="en-AU"/>
              </w:rPr>
              <w:t>Marson</w:t>
            </w:r>
            <w:proofErr w:type="spellEnd"/>
            <w:r>
              <w:rPr>
                <w:rFonts w:ascii="Garamond" w:hAnsi="Garamond"/>
                <w:lang w:val="en-AU"/>
              </w:rPr>
              <w:t>)</w:t>
            </w:r>
          </w:p>
        </w:tc>
      </w:tr>
    </w:tbl>
    <w:p w:rsidR="00AF20FE" w:rsidRDefault="00AF20FE" w:rsidP="00AF20FE">
      <w:pPr>
        <w:rPr>
          <w:rFonts w:ascii="Garamond" w:hAnsi="Garamond"/>
          <w:lang w:val="en-AU"/>
        </w:rPr>
      </w:pPr>
    </w:p>
    <w:p w:rsidR="00AF5DDD" w:rsidRDefault="00AF5DDD" w:rsidP="00AF5DDD">
      <w:pPr>
        <w:keepNext/>
        <w:rPr>
          <w:rFonts w:ascii="Garamond" w:hAnsi="Garamond"/>
          <w:b/>
          <w:lang w:val="en-AU"/>
        </w:rPr>
      </w:pPr>
      <w:r>
        <w:rPr>
          <w:rFonts w:ascii="Garamond" w:hAnsi="Garamond"/>
          <w:b/>
          <w:lang w:val="en-AU"/>
        </w:rPr>
        <w:t>Reports</w:t>
      </w:r>
    </w:p>
    <w:p w:rsidR="00AF5DDD" w:rsidRDefault="00AF5DDD" w:rsidP="00AF5DDD">
      <w:pPr>
        <w:keepNext/>
        <w:rPr>
          <w:rFonts w:ascii="Garamond" w:hAnsi="Garamond"/>
          <w:i/>
          <w:lang w:val="en-AU"/>
        </w:rPr>
      </w:pPr>
    </w:p>
    <w:p w:rsidR="00AF5DDD" w:rsidRPr="0098724F" w:rsidRDefault="00AF5DDD" w:rsidP="00AF5DDD">
      <w:pPr>
        <w:keepNext/>
        <w:rPr>
          <w:rFonts w:ascii="Garamond" w:hAnsi="Garamond"/>
          <w:i/>
          <w:lang w:val="en-AU"/>
        </w:rPr>
      </w:pPr>
      <w:r w:rsidRPr="0098724F">
        <w:rPr>
          <w:rFonts w:ascii="Garamond" w:hAnsi="Garamond"/>
          <w:i/>
          <w:lang w:val="en-AU"/>
        </w:rPr>
        <w:t>Recommendations to OECD Ministers of Health from the High Level Reflection Group on the Future of Health Statistics: Strengthening the international comparison of health system performance through patient-reported indicators</w:t>
      </w:r>
    </w:p>
    <w:p w:rsidR="00AF5DDD" w:rsidRDefault="00AF5DDD" w:rsidP="00AF5DDD">
      <w:pPr>
        <w:keepNext/>
        <w:rPr>
          <w:rFonts w:ascii="Garamond" w:hAnsi="Garamond"/>
          <w:lang w:val="en-AU"/>
        </w:rPr>
      </w:pPr>
      <w:r w:rsidRPr="0098724F">
        <w:rPr>
          <w:rFonts w:ascii="Garamond" w:hAnsi="Garamond"/>
          <w:lang w:val="en-AU"/>
        </w:rPr>
        <w:t>OECD</w:t>
      </w:r>
    </w:p>
    <w:p w:rsidR="00AF5DDD" w:rsidRDefault="00AF5DDD" w:rsidP="00AF5DDD">
      <w:pPr>
        <w:keepNext/>
        <w:rPr>
          <w:rFonts w:ascii="Garamond" w:hAnsi="Garamond"/>
          <w:lang w:val="en-AU"/>
        </w:rPr>
      </w:pPr>
      <w:r w:rsidRPr="0098724F">
        <w:rPr>
          <w:rFonts w:ascii="Garamond" w:hAnsi="Garamond"/>
          <w:lang w:val="en-AU"/>
        </w:rPr>
        <w:t xml:space="preserve">Paris: OECD; 2017. </w:t>
      </w:r>
      <w:proofErr w:type="gramStart"/>
      <w:r w:rsidRPr="0098724F">
        <w:rPr>
          <w:rFonts w:ascii="Garamond" w:hAnsi="Garamond"/>
          <w:lang w:val="en-AU"/>
        </w:rPr>
        <w:t>p. 89.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F5DDD" w:rsidRPr="00160029" w:rsidTr="004B4CEF">
        <w:tc>
          <w:tcPr>
            <w:tcW w:w="1080" w:type="dxa"/>
            <w:tcBorders>
              <w:top w:val="single" w:sz="4" w:space="0" w:color="auto"/>
              <w:left w:val="single" w:sz="4" w:space="0" w:color="auto"/>
              <w:bottom w:val="single" w:sz="4" w:space="0" w:color="auto"/>
              <w:right w:val="single" w:sz="4" w:space="0" w:color="auto"/>
            </w:tcBorders>
            <w:vAlign w:val="center"/>
          </w:tcPr>
          <w:p w:rsidR="00AF5DDD" w:rsidRPr="00160029" w:rsidRDefault="00AF5DDD" w:rsidP="004B4CE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5DDD" w:rsidRPr="00160029" w:rsidRDefault="00AF5DDD" w:rsidP="004B4CEF">
            <w:pPr>
              <w:rPr>
                <w:rStyle w:val="Hyperlink"/>
                <w:rFonts w:ascii="Garamond" w:hAnsi="Garamond"/>
                <w:color w:val="auto"/>
                <w:u w:val="none"/>
                <w:lang w:val="en-AU"/>
              </w:rPr>
            </w:pPr>
            <w:hyperlink r:id="rId22" w:history="1">
              <w:r w:rsidRPr="009045E0">
                <w:rPr>
                  <w:rStyle w:val="Hyperlink"/>
                  <w:rFonts w:ascii="Garamond" w:hAnsi="Garamond"/>
                  <w:lang w:val="en-AU"/>
                </w:rPr>
                <w:t>https://www.oecd.org/els/health-systems/Recommendations-from-high-level-reflection-group-on-the-future-of-health-statistics.pdf</w:t>
              </w:r>
            </w:hyperlink>
          </w:p>
        </w:tc>
      </w:tr>
      <w:tr w:rsidR="00AF5DDD" w:rsidRPr="00160029" w:rsidTr="004B4CEF">
        <w:tc>
          <w:tcPr>
            <w:tcW w:w="1080" w:type="dxa"/>
            <w:tcBorders>
              <w:top w:val="single" w:sz="4" w:space="0" w:color="auto"/>
              <w:left w:val="single" w:sz="4" w:space="0" w:color="auto"/>
              <w:bottom w:val="single" w:sz="4" w:space="0" w:color="auto"/>
              <w:right w:val="single" w:sz="4" w:space="0" w:color="auto"/>
            </w:tcBorders>
            <w:vAlign w:val="center"/>
          </w:tcPr>
          <w:p w:rsidR="00AF5DDD" w:rsidRPr="00160029" w:rsidRDefault="00AF5DDD" w:rsidP="004B4CEF">
            <w:pPr>
              <w:rPr>
                <w:rFonts w:ascii="Garamond" w:hAnsi="Garamond"/>
                <w:lang w:val="en-AU" w:eastAsia="en-AU"/>
              </w:rPr>
            </w:pPr>
            <w:r w:rsidRPr="00160029">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5DDD" w:rsidRPr="001137F8" w:rsidRDefault="00AF5DDD" w:rsidP="004B4CEF">
            <w:pPr>
              <w:rPr>
                <w:rFonts w:ascii="Garamond" w:hAnsi="Garamond"/>
                <w:lang w:val="en-AU"/>
              </w:rPr>
            </w:pPr>
            <w:r>
              <w:rPr>
                <w:rFonts w:ascii="Garamond" w:hAnsi="Garamond"/>
                <w:lang w:val="en-AU"/>
              </w:rPr>
              <w:t xml:space="preserve">In some versions of last week’s issue of </w:t>
            </w:r>
            <w:r w:rsidRPr="009E5A41">
              <w:rPr>
                <w:rFonts w:ascii="Garamond" w:hAnsi="Garamond"/>
                <w:i/>
                <w:lang w:val="en-AU"/>
              </w:rPr>
              <w:t>On the Radar</w:t>
            </w:r>
            <w:r>
              <w:rPr>
                <w:rFonts w:ascii="Garamond" w:hAnsi="Garamond"/>
                <w:lang w:val="en-AU"/>
              </w:rPr>
              <w:t>, the URL for this report was incorrect.</w:t>
            </w:r>
          </w:p>
        </w:tc>
      </w:tr>
    </w:tbl>
    <w:p w:rsidR="00F04CBA" w:rsidRDefault="00F04CBA" w:rsidP="00AF5DDD">
      <w:pPr>
        <w:keepNext/>
        <w:rPr>
          <w:rFonts w:ascii="Garamond" w:hAnsi="Garamond"/>
          <w:lang w:val="en-AU"/>
        </w:rPr>
      </w:pPr>
    </w:p>
    <w:p w:rsidR="00AF5DDD" w:rsidRDefault="00AF5DDD" w:rsidP="00AF5DDD">
      <w:pPr>
        <w:keepNext/>
        <w:rPr>
          <w:rFonts w:ascii="Garamond" w:hAnsi="Garamond"/>
          <w:lang w:val="en-AU"/>
        </w:rPr>
      </w:pPr>
      <w:r>
        <w:rPr>
          <w:rFonts w:ascii="Garamond" w:hAnsi="Garamond"/>
          <w:lang w:val="en-AU"/>
        </w:rPr>
        <w:t>For information on the Commission’s work on PROMS, see</w:t>
      </w:r>
      <w:r w:rsidRPr="005735BA">
        <w:rPr>
          <w:rFonts w:ascii="Garamond" w:hAnsi="Garamond"/>
          <w:lang w:val="en-AU"/>
        </w:rPr>
        <w:t xml:space="preserve"> </w:t>
      </w:r>
      <w:hyperlink r:id="rId23" w:history="1">
        <w:r w:rsidRPr="009045E0">
          <w:rPr>
            <w:rStyle w:val="Hyperlink"/>
            <w:rFonts w:ascii="Garamond" w:hAnsi="Garamond"/>
            <w:lang w:val="en-AU"/>
          </w:rPr>
          <w:t>https://www.safetyandquality.gov.au/our-work/information-strategy/indicators/patient-reported-outcome-measures/</w:t>
        </w:r>
      </w:hyperlink>
    </w:p>
    <w:p w:rsidR="00AF5DDD" w:rsidRPr="00160029" w:rsidRDefault="00AF5DDD" w:rsidP="00AF20FE">
      <w:pPr>
        <w:rPr>
          <w:rFonts w:ascii="Garamond" w:hAnsi="Garamond"/>
          <w:lang w:val="en-AU"/>
        </w:rPr>
      </w:pPr>
    </w:p>
    <w:p w:rsidR="00AF20FE" w:rsidRPr="00160029" w:rsidRDefault="00AF20FE" w:rsidP="00714DD7">
      <w:pPr>
        <w:rPr>
          <w:rFonts w:ascii="Garamond" w:hAnsi="Garamond"/>
          <w:lang w:val="en-AU" w:eastAsia="en-AU"/>
        </w:rPr>
      </w:pPr>
    </w:p>
    <w:p w:rsidR="00B02F6E" w:rsidRPr="00160029" w:rsidRDefault="00B02F6E" w:rsidP="001C6360">
      <w:pPr>
        <w:keepNext/>
        <w:rPr>
          <w:rFonts w:ascii="Garamond" w:hAnsi="Garamond"/>
          <w:b/>
          <w:lang w:val="en-AU"/>
        </w:rPr>
      </w:pPr>
      <w:r w:rsidRPr="00160029">
        <w:rPr>
          <w:rFonts w:ascii="Garamond" w:hAnsi="Garamond"/>
          <w:b/>
          <w:lang w:val="en-AU"/>
        </w:rPr>
        <w:t>Online resources</w:t>
      </w:r>
    </w:p>
    <w:p w:rsidR="00BB12F9" w:rsidRDefault="00BB12F9" w:rsidP="001C6360">
      <w:pPr>
        <w:keepNext/>
        <w:rPr>
          <w:rFonts w:ascii="Garamond" w:hAnsi="Garamond"/>
          <w:i/>
          <w:lang w:val="en-AU"/>
        </w:rPr>
      </w:pPr>
    </w:p>
    <w:p w:rsidR="007256C8" w:rsidRDefault="007256C8" w:rsidP="007256C8">
      <w:pPr>
        <w:keepNext/>
        <w:rPr>
          <w:rFonts w:ascii="Garamond" w:hAnsi="Garamond"/>
          <w:i/>
          <w:lang w:val="en-AU"/>
        </w:rPr>
      </w:pPr>
      <w:r w:rsidRPr="00F643B2">
        <w:rPr>
          <w:rFonts w:ascii="Garamond" w:hAnsi="Garamond"/>
          <w:i/>
          <w:lang w:val="en-AU"/>
        </w:rPr>
        <w:t>Medical Devices Safety Update</w:t>
      </w:r>
    </w:p>
    <w:p w:rsidR="007256C8" w:rsidRPr="007256C8" w:rsidRDefault="00BC06A4" w:rsidP="007256C8">
      <w:pPr>
        <w:keepNext/>
        <w:rPr>
          <w:rFonts w:ascii="Garamond" w:hAnsi="Garamond"/>
          <w:lang w:val="en-AU"/>
        </w:rPr>
      </w:pPr>
      <w:hyperlink r:id="rId24" w:history="1">
        <w:r w:rsidR="007256C8" w:rsidRPr="003253C9">
          <w:rPr>
            <w:rStyle w:val="Hyperlink"/>
            <w:rFonts w:ascii="Garamond" w:hAnsi="Garamond"/>
            <w:lang w:val="en-AU"/>
          </w:rPr>
          <w:t>http://www.tga.gov.au/publication-issue/medical-devices-safety-update-volume-5-number-2-march-2017</w:t>
        </w:r>
      </w:hyperlink>
    </w:p>
    <w:p w:rsidR="007256C8" w:rsidRPr="00315EDE" w:rsidRDefault="007256C8" w:rsidP="007256C8">
      <w:pPr>
        <w:keepNext/>
        <w:rPr>
          <w:rFonts w:ascii="Garamond" w:hAnsi="Garamond"/>
          <w:lang w:val="en-AU"/>
        </w:rPr>
      </w:pPr>
      <w:r w:rsidRPr="00315EDE">
        <w:rPr>
          <w:rFonts w:ascii="Garamond" w:hAnsi="Garamond"/>
          <w:lang w:val="en-AU"/>
        </w:rPr>
        <w:t xml:space="preserve">Volume 5, Number </w:t>
      </w:r>
      <w:r>
        <w:rPr>
          <w:rFonts w:ascii="Garamond" w:hAnsi="Garamond"/>
          <w:lang w:val="en-AU"/>
        </w:rPr>
        <w:t>2</w:t>
      </w:r>
      <w:r w:rsidRPr="00315EDE">
        <w:rPr>
          <w:rFonts w:ascii="Garamond" w:hAnsi="Garamond"/>
          <w:lang w:val="en-AU"/>
        </w:rPr>
        <w:t xml:space="preserve">, </w:t>
      </w:r>
      <w:r>
        <w:rPr>
          <w:rFonts w:ascii="Garamond" w:hAnsi="Garamond"/>
          <w:lang w:val="en-AU"/>
        </w:rPr>
        <w:t>March</w:t>
      </w:r>
      <w:r w:rsidRPr="00315EDE">
        <w:rPr>
          <w:rFonts w:ascii="Garamond" w:hAnsi="Garamond"/>
          <w:lang w:val="en-AU"/>
        </w:rPr>
        <w:t xml:space="preserve"> 2017</w:t>
      </w:r>
    </w:p>
    <w:p w:rsidR="007256C8" w:rsidRPr="00F643B2" w:rsidRDefault="007256C8" w:rsidP="007256C8">
      <w:pPr>
        <w:rPr>
          <w:rFonts w:ascii="Garamond" w:hAnsi="Garamond"/>
          <w:lang w:val="en-AU"/>
        </w:rPr>
      </w:pPr>
      <w:r w:rsidRPr="00F643B2">
        <w:rPr>
          <w:rFonts w:ascii="Garamond" w:hAnsi="Garamond"/>
          <w:lang w:val="en-AU"/>
        </w:rPr>
        <w:t>The Therapeutic Goods Administration (TGA) has released the latest edition of its medical device safety bulletin. Topics covered in this issue include:</w:t>
      </w:r>
    </w:p>
    <w:p w:rsidR="007256C8" w:rsidRPr="007256C8" w:rsidRDefault="007256C8" w:rsidP="007256C8">
      <w:pPr>
        <w:pStyle w:val="ListParagraph"/>
        <w:numPr>
          <w:ilvl w:val="0"/>
          <w:numId w:val="19"/>
        </w:numPr>
        <w:rPr>
          <w:rFonts w:ascii="Garamond" w:hAnsi="Garamond"/>
          <w:lang w:val="en-AU"/>
        </w:rPr>
      </w:pPr>
      <w:r w:rsidRPr="007256C8">
        <w:rPr>
          <w:rFonts w:ascii="Garamond" w:hAnsi="Garamond"/>
          <w:lang w:val="en-AU"/>
        </w:rPr>
        <w:t xml:space="preserve">Documentation vital if </w:t>
      </w:r>
      <w:r w:rsidRPr="007256C8">
        <w:rPr>
          <w:rFonts w:ascii="Garamond" w:hAnsi="Garamond"/>
          <w:b/>
          <w:lang w:val="en-AU"/>
        </w:rPr>
        <w:t>recalls</w:t>
      </w:r>
      <w:r w:rsidRPr="007256C8">
        <w:rPr>
          <w:rFonts w:ascii="Garamond" w:hAnsi="Garamond"/>
          <w:lang w:val="en-AU"/>
        </w:rPr>
        <w:t xml:space="preserve"> not complete</w:t>
      </w:r>
      <w:r>
        <w:rPr>
          <w:rFonts w:ascii="Garamond" w:hAnsi="Garamond"/>
          <w:lang w:val="en-AU"/>
        </w:rPr>
        <w:t xml:space="preserve"> – h</w:t>
      </w:r>
      <w:r w:rsidRPr="007256C8">
        <w:rPr>
          <w:rFonts w:ascii="Garamond" w:hAnsi="Garamond"/>
          <w:lang w:val="en-AU"/>
        </w:rPr>
        <w:t>ealth facilities may have justifiable reasons for not following advice given by a medical device sponsor during a product recall, but it is important to document the risk assessment leading up to the decision.</w:t>
      </w:r>
    </w:p>
    <w:p w:rsidR="007256C8" w:rsidRPr="007256C8" w:rsidRDefault="007256C8" w:rsidP="007256C8">
      <w:pPr>
        <w:pStyle w:val="ListParagraph"/>
        <w:numPr>
          <w:ilvl w:val="0"/>
          <w:numId w:val="19"/>
        </w:numPr>
        <w:rPr>
          <w:rFonts w:ascii="Garamond" w:hAnsi="Garamond"/>
          <w:lang w:val="en-AU"/>
        </w:rPr>
      </w:pPr>
      <w:r w:rsidRPr="007256C8">
        <w:rPr>
          <w:rFonts w:ascii="Garamond" w:hAnsi="Garamond"/>
          <w:lang w:val="en-AU"/>
        </w:rPr>
        <w:t xml:space="preserve">Practice points: </w:t>
      </w:r>
      <w:r w:rsidRPr="007256C8">
        <w:rPr>
          <w:rFonts w:ascii="Garamond" w:hAnsi="Garamond"/>
          <w:b/>
          <w:lang w:val="en-AU"/>
        </w:rPr>
        <w:t>Topical creams</w:t>
      </w:r>
      <w:r w:rsidRPr="007256C8">
        <w:rPr>
          <w:rFonts w:ascii="Garamond" w:hAnsi="Garamond"/>
          <w:lang w:val="en-AU"/>
        </w:rPr>
        <w:t xml:space="preserve"> as devices</w:t>
      </w:r>
      <w:r>
        <w:rPr>
          <w:rFonts w:ascii="Garamond" w:hAnsi="Garamond"/>
          <w:lang w:val="en-AU"/>
        </w:rPr>
        <w:t xml:space="preserve"> – </w:t>
      </w:r>
      <w:r w:rsidRPr="007256C8">
        <w:rPr>
          <w:rFonts w:ascii="Garamond" w:hAnsi="Garamond"/>
          <w:lang w:val="en-AU"/>
        </w:rPr>
        <w:t xml:space="preserve">some topical creams are classed as medical devices, while others </w:t>
      </w:r>
      <w:r>
        <w:rPr>
          <w:rFonts w:ascii="Garamond" w:hAnsi="Garamond"/>
          <w:lang w:val="en-AU"/>
        </w:rPr>
        <w:t>are classed as medicines.</w:t>
      </w:r>
    </w:p>
    <w:p w:rsidR="007256C8" w:rsidRPr="007256C8" w:rsidRDefault="007256C8" w:rsidP="007256C8">
      <w:pPr>
        <w:pStyle w:val="ListParagraph"/>
        <w:numPr>
          <w:ilvl w:val="0"/>
          <w:numId w:val="19"/>
        </w:numPr>
        <w:rPr>
          <w:rFonts w:ascii="Garamond" w:hAnsi="Garamond"/>
          <w:lang w:val="en-AU"/>
        </w:rPr>
      </w:pPr>
      <w:r w:rsidRPr="007256C8">
        <w:rPr>
          <w:rFonts w:ascii="Garamond" w:hAnsi="Garamond"/>
          <w:lang w:val="en-AU"/>
        </w:rPr>
        <w:t xml:space="preserve">New committee takes over from </w:t>
      </w:r>
      <w:r w:rsidRPr="007256C8">
        <w:rPr>
          <w:rFonts w:ascii="Garamond" w:hAnsi="Garamond"/>
          <w:b/>
          <w:lang w:val="en-AU"/>
        </w:rPr>
        <w:t>Advisory Committee on the Safety of Medical Devices</w:t>
      </w:r>
      <w:r>
        <w:rPr>
          <w:rFonts w:ascii="Garamond" w:hAnsi="Garamond"/>
          <w:lang w:val="en-AU"/>
        </w:rPr>
        <w:t xml:space="preserve"> – </w:t>
      </w:r>
      <w:r w:rsidRPr="007256C8">
        <w:rPr>
          <w:rFonts w:ascii="Garamond" w:hAnsi="Garamond"/>
          <w:lang w:val="en-AU"/>
        </w:rPr>
        <w:t>functions of the Advisory Committee on the Safety of Medical Devices (ACSMD) have been incorporated into the Advisory Committee on Medical Devices</w:t>
      </w:r>
    </w:p>
    <w:p w:rsidR="007256C8" w:rsidRDefault="007256C8" w:rsidP="007256C8">
      <w:pPr>
        <w:pStyle w:val="ListParagraph"/>
        <w:numPr>
          <w:ilvl w:val="0"/>
          <w:numId w:val="19"/>
        </w:numPr>
        <w:rPr>
          <w:rFonts w:ascii="Garamond" w:hAnsi="Garamond"/>
          <w:lang w:val="en-AU"/>
        </w:rPr>
      </w:pPr>
      <w:r w:rsidRPr="007256C8">
        <w:rPr>
          <w:rFonts w:ascii="Garamond" w:hAnsi="Garamond"/>
          <w:lang w:val="en-AU"/>
        </w:rPr>
        <w:t xml:space="preserve">What to report? Please </w:t>
      </w:r>
      <w:r w:rsidRPr="007256C8">
        <w:rPr>
          <w:rFonts w:ascii="Garamond" w:hAnsi="Garamond"/>
          <w:b/>
          <w:lang w:val="en-AU"/>
        </w:rPr>
        <w:t>report adverse events</w:t>
      </w:r>
      <w:r w:rsidRPr="007256C8">
        <w:rPr>
          <w:rFonts w:ascii="Garamond" w:hAnsi="Garamond"/>
          <w:lang w:val="en-AU"/>
        </w:rPr>
        <w:t xml:space="preserve">, as well as </w:t>
      </w:r>
      <w:r w:rsidRPr="007256C8">
        <w:rPr>
          <w:rFonts w:ascii="Garamond" w:hAnsi="Garamond"/>
          <w:b/>
          <w:lang w:val="en-AU"/>
        </w:rPr>
        <w:t>near misses</w:t>
      </w:r>
    </w:p>
    <w:p w:rsidR="007256C8" w:rsidRDefault="007256C8" w:rsidP="001C6360">
      <w:pPr>
        <w:keepNext/>
        <w:rPr>
          <w:rFonts w:ascii="Garamond" w:hAnsi="Garamond"/>
          <w:i/>
          <w:lang w:val="en-AU"/>
        </w:rPr>
      </w:pPr>
    </w:p>
    <w:p w:rsidR="006150E9" w:rsidRPr="00160029" w:rsidRDefault="006150E9" w:rsidP="006150E9">
      <w:pPr>
        <w:keepNext/>
        <w:keepLines/>
        <w:rPr>
          <w:rFonts w:ascii="Garamond" w:hAnsi="Garamond"/>
          <w:i/>
          <w:lang w:val="en-AU"/>
        </w:rPr>
      </w:pPr>
      <w:r w:rsidRPr="00160029">
        <w:rPr>
          <w:rFonts w:ascii="Garamond" w:hAnsi="Garamond"/>
          <w:i/>
          <w:lang w:val="en-AU"/>
        </w:rPr>
        <w:t>[UK] NICE Guidelines and Quality Standards</w:t>
      </w:r>
    </w:p>
    <w:p w:rsidR="006150E9" w:rsidRPr="00160029" w:rsidRDefault="00BC06A4" w:rsidP="006150E9">
      <w:pPr>
        <w:keepNext/>
        <w:keepLines/>
        <w:rPr>
          <w:rFonts w:ascii="Garamond" w:hAnsi="Garamond"/>
          <w:u w:val="single"/>
          <w:lang w:val="en-AU"/>
        </w:rPr>
      </w:pPr>
      <w:hyperlink r:id="rId25" w:history="1">
        <w:r w:rsidR="006150E9" w:rsidRPr="00160029">
          <w:rPr>
            <w:rStyle w:val="Hyperlink"/>
            <w:rFonts w:ascii="Garamond" w:hAnsi="Garamond"/>
            <w:lang w:val="en-AU"/>
          </w:rPr>
          <w:t>http://www.nice.org.uk</w:t>
        </w:r>
      </w:hyperlink>
    </w:p>
    <w:p w:rsidR="006150E9" w:rsidRDefault="006150E9" w:rsidP="006150E9">
      <w:pPr>
        <w:keepNext/>
        <w:keepLines/>
        <w:rPr>
          <w:rFonts w:ascii="Garamond" w:hAnsi="Garamond"/>
          <w:lang w:val="en-AU"/>
        </w:rPr>
      </w:pPr>
      <w:r w:rsidRPr="00160029">
        <w:rPr>
          <w:rFonts w:ascii="Garamond" w:hAnsi="Garamond"/>
          <w:lang w:val="en-AU"/>
        </w:rPr>
        <w:t>The UK’s National Institute for Health and Care Excellence (NICE) has published new (or updated) guidelines and quality standards. The latest updates are:</w:t>
      </w:r>
    </w:p>
    <w:p w:rsidR="00932DB3" w:rsidRDefault="00932DB3" w:rsidP="00932DB3">
      <w:pPr>
        <w:pStyle w:val="ListParagraph"/>
        <w:keepNext/>
        <w:keepLines/>
        <w:numPr>
          <w:ilvl w:val="0"/>
          <w:numId w:val="14"/>
        </w:numPr>
        <w:rPr>
          <w:rFonts w:ascii="Garamond" w:hAnsi="Garamond"/>
          <w:lang w:val="en-AU"/>
        </w:rPr>
      </w:pPr>
      <w:r>
        <w:rPr>
          <w:rFonts w:ascii="Garamond" w:hAnsi="Garamond"/>
          <w:lang w:val="en-AU"/>
        </w:rPr>
        <w:t>Quality Standard QS</w:t>
      </w:r>
      <w:r>
        <w:rPr>
          <w:rFonts w:ascii="Garamond" w:hAnsi="Garamond"/>
          <w:lang w:val="en-AU"/>
        </w:rPr>
        <w:t xml:space="preserve">144 </w:t>
      </w:r>
      <w:r w:rsidRPr="00932DB3">
        <w:rPr>
          <w:rFonts w:ascii="Garamond" w:hAnsi="Garamond"/>
          <w:b/>
          <w:i/>
          <w:lang w:val="en-AU"/>
        </w:rPr>
        <w:t>Care of dying adults</w:t>
      </w:r>
      <w:r w:rsidRPr="00932DB3">
        <w:rPr>
          <w:rFonts w:ascii="Garamond" w:hAnsi="Garamond"/>
          <w:i/>
          <w:lang w:val="en-AU"/>
        </w:rPr>
        <w:t xml:space="preserve"> in the last days of life</w:t>
      </w:r>
      <w:r>
        <w:rPr>
          <w:rFonts w:ascii="Garamond" w:hAnsi="Garamond"/>
          <w:lang w:val="en-AU"/>
        </w:rPr>
        <w:t xml:space="preserve"> </w:t>
      </w:r>
      <w:hyperlink r:id="rId26" w:history="1">
        <w:r w:rsidRPr="005F4A3D">
          <w:rPr>
            <w:rStyle w:val="Hyperlink"/>
            <w:rFonts w:ascii="Garamond" w:hAnsi="Garamond"/>
            <w:lang w:val="en-AU"/>
          </w:rPr>
          <w:t>https://www.nice.org.uk/guidance/qs144</w:t>
        </w:r>
      </w:hyperlink>
    </w:p>
    <w:p w:rsidR="00932DB3" w:rsidRDefault="00932DB3" w:rsidP="00932DB3">
      <w:pPr>
        <w:pStyle w:val="ListParagraph"/>
        <w:keepNext/>
        <w:keepLines/>
        <w:numPr>
          <w:ilvl w:val="0"/>
          <w:numId w:val="14"/>
        </w:numPr>
        <w:rPr>
          <w:rFonts w:ascii="Garamond" w:hAnsi="Garamond"/>
          <w:lang w:val="en-AU"/>
        </w:rPr>
      </w:pPr>
      <w:r>
        <w:rPr>
          <w:rFonts w:ascii="Garamond" w:hAnsi="Garamond"/>
          <w:lang w:val="en-AU"/>
        </w:rPr>
        <w:t>Quality Standard QS</w:t>
      </w:r>
      <w:r>
        <w:rPr>
          <w:rFonts w:ascii="Garamond" w:hAnsi="Garamond"/>
          <w:lang w:val="en-AU"/>
        </w:rPr>
        <w:t xml:space="preserve">145 </w:t>
      </w:r>
      <w:r w:rsidRPr="00F04CBA">
        <w:rPr>
          <w:rFonts w:ascii="Garamond" w:hAnsi="Garamond"/>
          <w:b/>
          <w:i/>
          <w:lang w:val="en-AU"/>
        </w:rPr>
        <w:t>Vaccine uptake</w:t>
      </w:r>
      <w:r w:rsidRPr="00932DB3">
        <w:rPr>
          <w:rFonts w:ascii="Garamond" w:hAnsi="Garamond"/>
          <w:i/>
          <w:lang w:val="en-AU"/>
        </w:rPr>
        <w:t xml:space="preserve"> in under 19s</w:t>
      </w:r>
      <w:r>
        <w:rPr>
          <w:rFonts w:ascii="Garamond" w:hAnsi="Garamond"/>
          <w:lang w:val="en-AU"/>
        </w:rPr>
        <w:t xml:space="preserve"> </w:t>
      </w:r>
      <w:hyperlink r:id="rId27" w:history="1">
        <w:r w:rsidRPr="005F4A3D">
          <w:rPr>
            <w:rStyle w:val="Hyperlink"/>
            <w:rFonts w:ascii="Garamond" w:hAnsi="Garamond"/>
            <w:lang w:val="en-AU"/>
          </w:rPr>
          <w:t>https://www.nice.org.uk/guidance/qs145</w:t>
        </w:r>
      </w:hyperlink>
    </w:p>
    <w:p w:rsidR="009E5A41" w:rsidRPr="009E5A41" w:rsidRDefault="009E5A41" w:rsidP="009E5A41">
      <w:pPr>
        <w:pStyle w:val="ListParagraph"/>
        <w:keepNext/>
        <w:keepLines/>
        <w:numPr>
          <w:ilvl w:val="0"/>
          <w:numId w:val="14"/>
        </w:numPr>
        <w:rPr>
          <w:rFonts w:ascii="Garamond" w:hAnsi="Garamond"/>
          <w:lang w:val="en-AU"/>
        </w:rPr>
      </w:pPr>
      <w:r>
        <w:rPr>
          <w:rFonts w:ascii="Garamond" w:hAnsi="Garamond"/>
          <w:lang w:val="en-AU"/>
        </w:rPr>
        <w:t xml:space="preserve">NICE Guideline NG65 </w:t>
      </w:r>
      <w:proofErr w:type="spellStart"/>
      <w:r w:rsidRPr="009E5A41">
        <w:rPr>
          <w:rFonts w:ascii="Garamond" w:hAnsi="Garamond"/>
          <w:b/>
          <w:i/>
          <w:lang w:val="en-AU"/>
        </w:rPr>
        <w:t>Spondyloarthritis</w:t>
      </w:r>
      <w:proofErr w:type="spellEnd"/>
      <w:r w:rsidRPr="009E5A41">
        <w:rPr>
          <w:rFonts w:ascii="Garamond" w:hAnsi="Garamond"/>
          <w:i/>
          <w:lang w:val="en-AU"/>
        </w:rPr>
        <w:t xml:space="preserve"> in over 16s: diagnosis and management</w:t>
      </w:r>
      <w:r>
        <w:rPr>
          <w:rFonts w:ascii="Garamond" w:hAnsi="Garamond"/>
          <w:i/>
          <w:lang w:val="en-AU"/>
        </w:rPr>
        <w:t xml:space="preserve"> </w:t>
      </w:r>
      <w:hyperlink r:id="rId28" w:history="1">
        <w:r w:rsidRPr="003253C9">
          <w:rPr>
            <w:rStyle w:val="Hyperlink"/>
            <w:rFonts w:ascii="Garamond" w:hAnsi="Garamond"/>
            <w:lang w:val="en-AU"/>
          </w:rPr>
          <w:t>https://www.nice.org.uk/guidance/ng65</w:t>
        </w:r>
      </w:hyperlink>
    </w:p>
    <w:p w:rsidR="00C27820" w:rsidRDefault="009E5A41" w:rsidP="009E5A41">
      <w:pPr>
        <w:pStyle w:val="ListParagraph"/>
        <w:keepNext/>
        <w:keepLines/>
        <w:numPr>
          <w:ilvl w:val="0"/>
          <w:numId w:val="14"/>
        </w:numPr>
        <w:rPr>
          <w:rFonts w:ascii="Garamond" w:hAnsi="Garamond"/>
          <w:lang w:val="en-AU"/>
        </w:rPr>
      </w:pPr>
      <w:r>
        <w:rPr>
          <w:rFonts w:ascii="Garamond" w:hAnsi="Garamond"/>
          <w:lang w:val="en-AU"/>
        </w:rPr>
        <w:t xml:space="preserve">Quality Standard QS105 </w:t>
      </w:r>
      <w:proofErr w:type="spellStart"/>
      <w:r w:rsidRPr="009E5A41">
        <w:rPr>
          <w:rFonts w:ascii="Garamond" w:hAnsi="Garamond"/>
          <w:b/>
          <w:i/>
          <w:lang w:val="en-AU"/>
        </w:rPr>
        <w:t>Intrapartum</w:t>
      </w:r>
      <w:proofErr w:type="spellEnd"/>
      <w:r w:rsidRPr="009E5A41">
        <w:rPr>
          <w:rFonts w:ascii="Garamond" w:hAnsi="Garamond"/>
          <w:b/>
          <w:i/>
          <w:lang w:val="en-AU"/>
        </w:rPr>
        <w:t xml:space="preserve"> care</w:t>
      </w:r>
      <w:r>
        <w:rPr>
          <w:rFonts w:ascii="Garamond" w:hAnsi="Garamond"/>
          <w:lang w:val="en-AU"/>
        </w:rPr>
        <w:t xml:space="preserve"> </w:t>
      </w:r>
      <w:hyperlink r:id="rId29" w:history="1">
        <w:r w:rsidRPr="003253C9">
          <w:rPr>
            <w:rStyle w:val="Hyperlink"/>
            <w:rFonts w:ascii="Garamond" w:hAnsi="Garamond"/>
            <w:lang w:val="en-AU"/>
          </w:rPr>
          <w:t>https://www.nice.org.uk/guidance/qs105</w:t>
        </w:r>
      </w:hyperlink>
    </w:p>
    <w:p w:rsidR="007964C2" w:rsidRDefault="007964C2" w:rsidP="00B47E3A">
      <w:pPr>
        <w:keepLines/>
        <w:rPr>
          <w:rFonts w:ascii="Garamond" w:hAnsi="Garamond"/>
          <w:lang w:val="en-AU"/>
        </w:rPr>
      </w:pPr>
    </w:p>
    <w:p w:rsidR="007256C8" w:rsidRPr="007A47A8" w:rsidRDefault="007256C8" w:rsidP="007256C8">
      <w:pPr>
        <w:keepNext/>
        <w:keepLines/>
        <w:rPr>
          <w:rFonts w:ascii="Garamond" w:hAnsi="Garamond"/>
          <w:i/>
          <w:lang w:val="en-AU"/>
        </w:rPr>
      </w:pPr>
      <w:r w:rsidRPr="007A47A8">
        <w:rPr>
          <w:rFonts w:ascii="Garamond" w:hAnsi="Garamond"/>
          <w:i/>
          <w:lang w:val="en-AU"/>
        </w:rPr>
        <w:lastRenderedPageBreak/>
        <w:t>[UK] National Institute for Health Research</w:t>
      </w:r>
    </w:p>
    <w:p w:rsidR="007256C8" w:rsidRPr="007A47A8" w:rsidRDefault="00BC06A4" w:rsidP="007256C8">
      <w:pPr>
        <w:keepNext/>
        <w:keepLines/>
        <w:rPr>
          <w:rStyle w:val="Hyperlink"/>
          <w:rFonts w:ascii="Garamond" w:hAnsi="Garamond"/>
          <w:lang w:val="en-AU"/>
        </w:rPr>
      </w:pPr>
      <w:hyperlink r:id="rId30" w:history="1">
        <w:r w:rsidR="007256C8" w:rsidRPr="007A47A8">
          <w:rPr>
            <w:rStyle w:val="Hyperlink"/>
            <w:rFonts w:ascii="Garamond" w:hAnsi="Garamond"/>
            <w:lang w:val="en-AU"/>
          </w:rPr>
          <w:t>https://discover.dc.nihr.ac.uk/portal/home</w:t>
        </w:r>
      </w:hyperlink>
    </w:p>
    <w:p w:rsidR="007256C8" w:rsidRPr="007A47A8" w:rsidRDefault="007256C8" w:rsidP="007256C8">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7256C8" w:rsidRPr="007256C8" w:rsidRDefault="007256C8" w:rsidP="007256C8">
      <w:pPr>
        <w:pStyle w:val="ListParagraph"/>
        <w:keepNext/>
        <w:keepLines/>
        <w:numPr>
          <w:ilvl w:val="0"/>
          <w:numId w:val="32"/>
        </w:numPr>
        <w:rPr>
          <w:rFonts w:ascii="Garamond" w:hAnsi="Garamond"/>
          <w:lang w:val="en-AU"/>
        </w:rPr>
      </w:pPr>
      <w:r w:rsidRPr="007256C8">
        <w:rPr>
          <w:rFonts w:ascii="Garamond" w:hAnsi="Garamond"/>
          <w:lang w:val="en-AU"/>
        </w:rPr>
        <w:t xml:space="preserve">Postal invitations, even with added incentives, don’t improve NHS </w:t>
      </w:r>
      <w:r w:rsidRPr="009E5A41">
        <w:rPr>
          <w:rFonts w:ascii="Garamond" w:hAnsi="Garamond"/>
          <w:b/>
          <w:lang w:val="en-AU"/>
        </w:rPr>
        <w:t>health check attendance</w:t>
      </w:r>
    </w:p>
    <w:p w:rsidR="007256C8" w:rsidRPr="007256C8" w:rsidRDefault="007256C8" w:rsidP="007256C8">
      <w:pPr>
        <w:pStyle w:val="ListParagraph"/>
        <w:keepNext/>
        <w:keepLines/>
        <w:numPr>
          <w:ilvl w:val="0"/>
          <w:numId w:val="32"/>
        </w:numPr>
        <w:rPr>
          <w:rFonts w:ascii="Garamond" w:hAnsi="Garamond"/>
          <w:lang w:val="en-AU"/>
        </w:rPr>
      </w:pPr>
      <w:r w:rsidRPr="007256C8">
        <w:rPr>
          <w:rFonts w:ascii="Garamond" w:hAnsi="Garamond"/>
          <w:lang w:val="en-AU"/>
        </w:rPr>
        <w:t xml:space="preserve">Breastfeeding reduces </w:t>
      </w:r>
      <w:r w:rsidR="009E5A41">
        <w:rPr>
          <w:rFonts w:ascii="Garamond" w:hAnsi="Garamond"/>
          <w:lang w:val="en-AU"/>
        </w:rPr>
        <w:t xml:space="preserve">crying during </w:t>
      </w:r>
      <w:r w:rsidR="009E5A41" w:rsidRPr="009E5A41">
        <w:rPr>
          <w:rFonts w:ascii="Garamond" w:hAnsi="Garamond"/>
          <w:b/>
          <w:lang w:val="en-AU"/>
        </w:rPr>
        <w:t>baby immunisation</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Collaborative care</w:t>
      </w:r>
      <w:r w:rsidRPr="007256C8">
        <w:rPr>
          <w:rFonts w:ascii="Garamond" w:hAnsi="Garamond"/>
          <w:lang w:val="en-AU"/>
        </w:rPr>
        <w:t xml:space="preserve"> can be moderately effective at treating </w:t>
      </w:r>
      <w:r w:rsidRPr="009E5A41">
        <w:rPr>
          <w:rFonts w:ascii="Garamond" w:hAnsi="Garamond"/>
          <w:b/>
          <w:lang w:val="en-AU"/>
        </w:rPr>
        <w:t>depression</w:t>
      </w:r>
      <w:r w:rsidRPr="007256C8">
        <w:rPr>
          <w:rFonts w:ascii="Garamond" w:hAnsi="Garamond"/>
          <w:lang w:val="en-AU"/>
        </w:rPr>
        <w:t xml:space="preserve"> regardless of physical health status </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Rotavirus vaccine</w:t>
      </w:r>
      <w:r w:rsidRPr="007256C8">
        <w:rPr>
          <w:rFonts w:ascii="Garamond" w:hAnsi="Garamond"/>
          <w:lang w:val="en-AU"/>
        </w:rPr>
        <w:t xml:space="preserve"> estimated to have saved the NHS £12.5 million a year </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Antenatal corticosteroids</w:t>
      </w:r>
      <w:r w:rsidRPr="007256C8">
        <w:rPr>
          <w:rFonts w:ascii="Garamond" w:hAnsi="Garamond"/>
          <w:lang w:val="en-AU"/>
        </w:rPr>
        <w:t xml:space="preserve"> reduce breathing </w:t>
      </w:r>
      <w:r w:rsidR="009E5A41">
        <w:rPr>
          <w:rFonts w:ascii="Garamond" w:hAnsi="Garamond"/>
          <w:lang w:val="en-AU"/>
        </w:rPr>
        <w:t xml:space="preserve">problems in </w:t>
      </w:r>
      <w:r w:rsidR="009E5A41" w:rsidRPr="009E5A41">
        <w:rPr>
          <w:rFonts w:ascii="Garamond" w:hAnsi="Garamond"/>
          <w:b/>
          <w:lang w:val="en-AU"/>
        </w:rPr>
        <w:t>late preterm babies</w:t>
      </w:r>
    </w:p>
    <w:p w:rsidR="007256C8" w:rsidRPr="007256C8" w:rsidRDefault="007256C8" w:rsidP="007256C8">
      <w:pPr>
        <w:pStyle w:val="ListParagraph"/>
        <w:keepNext/>
        <w:keepLines/>
        <w:numPr>
          <w:ilvl w:val="0"/>
          <w:numId w:val="32"/>
        </w:numPr>
        <w:rPr>
          <w:rFonts w:ascii="Garamond" w:hAnsi="Garamond"/>
          <w:lang w:val="en-AU"/>
        </w:rPr>
      </w:pPr>
      <w:r w:rsidRPr="007256C8">
        <w:rPr>
          <w:rFonts w:ascii="Garamond" w:hAnsi="Garamond"/>
          <w:lang w:val="en-AU"/>
        </w:rPr>
        <w:t xml:space="preserve">Enhanced patient education improves </w:t>
      </w:r>
      <w:r w:rsidRPr="009E5A41">
        <w:rPr>
          <w:rFonts w:ascii="Garamond" w:hAnsi="Garamond"/>
          <w:b/>
          <w:lang w:val="en-AU"/>
        </w:rPr>
        <w:t>bowel preparation</w:t>
      </w:r>
      <w:r w:rsidRPr="007256C8">
        <w:rPr>
          <w:rFonts w:ascii="Garamond" w:hAnsi="Garamond"/>
          <w:lang w:val="en-AU"/>
        </w:rPr>
        <w:t xml:space="preserve"> before </w:t>
      </w:r>
      <w:r w:rsidRPr="009E5A41">
        <w:rPr>
          <w:rFonts w:ascii="Garamond" w:hAnsi="Garamond"/>
          <w:b/>
          <w:lang w:val="en-AU"/>
        </w:rPr>
        <w:t>c</w:t>
      </w:r>
      <w:r w:rsidR="009E5A41" w:rsidRPr="009E5A41">
        <w:rPr>
          <w:rFonts w:ascii="Garamond" w:hAnsi="Garamond"/>
          <w:b/>
          <w:lang w:val="en-AU"/>
        </w:rPr>
        <w:t>olonoscopy</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Corticosteroids</w:t>
      </w:r>
      <w:r w:rsidRPr="007256C8">
        <w:rPr>
          <w:rFonts w:ascii="Garamond" w:hAnsi="Garamond"/>
          <w:lang w:val="en-AU"/>
        </w:rPr>
        <w:t xml:space="preserve"> given early reduce risk of heart problems in</w:t>
      </w:r>
      <w:r w:rsidR="009E5A41">
        <w:rPr>
          <w:rFonts w:ascii="Garamond" w:hAnsi="Garamond"/>
          <w:lang w:val="en-AU"/>
        </w:rPr>
        <w:t xml:space="preserve"> children with </w:t>
      </w:r>
      <w:r w:rsidR="009E5A41" w:rsidRPr="009E5A41">
        <w:rPr>
          <w:rFonts w:ascii="Garamond" w:hAnsi="Garamond"/>
          <w:b/>
          <w:lang w:val="en-AU"/>
        </w:rPr>
        <w:t>Kawasaki disease</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Parent-focused therapy</w:t>
      </w:r>
      <w:r w:rsidRPr="007256C8">
        <w:rPr>
          <w:rFonts w:ascii="Garamond" w:hAnsi="Garamond"/>
          <w:lang w:val="en-AU"/>
        </w:rPr>
        <w:t xml:space="preserve"> has some long-term benefits for children with </w:t>
      </w:r>
      <w:r w:rsidRPr="009E5A41">
        <w:rPr>
          <w:rFonts w:ascii="Garamond" w:hAnsi="Garamond"/>
          <w:b/>
          <w:lang w:val="en-AU"/>
        </w:rPr>
        <w:t>autism</w:t>
      </w:r>
    </w:p>
    <w:p w:rsidR="007256C8" w:rsidRPr="007256C8" w:rsidRDefault="007256C8" w:rsidP="007256C8">
      <w:pPr>
        <w:pStyle w:val="ListParagraph"/>
        <w:keepNext/>
        <w:keepLines/>
        <w:numPr>
          <w:ilvl w:val="0"/>
          <w:numId w:val="32"/>
        </w:numPr>
        <w:rPr>
          <w:rFonts w:ascii="Garamond" w:hAnsi="Garamond"/>
          <w:lang w:val="en-AU"/>
        </w:rPr>
      </w:pPr>
      <w:r w:rsidRPr="009E5A41">
        <w:rPr>
          <w:rFonts w:ascii="Garamond" w:hAnsi="Garamond"/>
          <w:b/>
          <w:lang w:val="en-AU"/>
        </w:rPr>
        <w:t>Ultrasound</w:t>
      </w:r>
      <w:r w:rsidRPr="007256C8">
        <w:rPr>
          <w:rFonts w:ascii="Garamond" w:hAnsi="Garamond"/>
          <w:lang w:val="en-AU"/>
        </w:rPr>
        <w:t xml:space="preserve"> could hel</w:t>
      </w:r>
      <w:r w:rsidR="009E5A41">
        <w:rPr>
          <w:rFonts w:ascii="Garamond" w:hAnsi="Garamond"/>
          <w:lang w:val="en-AU"/>
        </w:rPr>
        <w:t xml:space="preserve">p diagnose </w:t>
      </w:r>
      <w:r w:rsidR="009E5A41" w:rsidRPr="009E5A41">
        <w:rPr>
          <w:rFonts w:ascii="Garamond" w:hAnsi="Garamond"/>
          <w:b/>
          <w:lang w:val="en-AU"/>
        </w:rPr>
        <w:t>giant cell arteritis</w:t>
      </w:r>
    </w:p>
    <w:p w:rsidR="007256C8" w:rsidRPr="007256C8" w:rsidRDefault="007256C8" w:rsidP="007256C8">
      <w:pPr>
        <w:pStyle w:val="ListParagraph"/>
        <w:keepNext/>
        <w:keepLines/>
        <w:numPr>
          <w:ilvl w:val="0"/>
          <w:numId w:val="32"/>
        </w:numPr>
        <w:rPr>
          <w:rFonts w:ascii="Garamond" w:hAnsi="Garamond"/>
          <w:lang w:val="en-AU"/>
        </w:rPr>
      </w:pPr>
      <w:r w:rsidRPr="007256C8">
        <w:rPr>
          <w:rFonts w:ascii="Garamond" w:hAnsi="Garamond"/>
          <w:lang w:val="en-AU"/>
        </w:rPr>
        <w:t xml:space="preserve">Information delivered by </w:t>
      </w:r>
      <w:r w:rsidRPr="009E5A41">
        <w:rPr>
          <w:rFonts w:ascii="Garamond" w:hAnsi="Garamond"/>
          <w:b/>
          <w:lang w:val="en-AU"/>
        </w:rPr>
        <w:t>telemedicine</w:t>
      </w:r>
      <w:r w:rsidRPr="007256C8">
        <w:rPr>
          <w:rFonts w:ascii="Garamond" w:hAnsi="Garamond"/>
          <w:lang w:val="en-AU"/>
        </w:rPr>
        <w:t xml:space="preserve"> can improve </w:t>
      </w:r>
      <w:r w:rsidRPr="009E5A41">
        <w:rPr>
          <w:rFonts w:ascii="Garamond" w:hAnsi="Garamond"/>
          <w:b/>
          <w:lang w:val="en-AU"/>
        </w:rPr>
        <w:t>diabetes control</w:t>
      </w:r>
      <w:r w:rsidR="009E5A41" w:rsidRPr="009E5A41">
        <w:rPr>
          <w:rFonts w:ascii="Garamond" w:hAnsi="Garamond"/>
          <w:lang w:val="en-AU"/>
        </w:rPr>
        <w:t>.</w:t>
      </w:r>
    </w:p>
    <w:p w:rsidR="007256C8" w:rsidRDefault="007256C8" w:rsidP="00B47E3A">
      <w:pPr>
        <w:keepLines/>
        <w:rPr>
          <w:rFonts w:ascii="Garamond" w:hAnsi="Garamond"/>
          <w:lang w:val="en-AU"/>
        </w:rPr>
      </w:pPr>
    </w:p>
    <w:p w:rsidR="00247AA0" w:rsidRPr="00160029" w:rsidRDefault="00247AA0" w:rsidP="00B47E3A">
      <w:pPr>
        <w:keepLines/>
        <w:rPr>
          <w:rFonts w:ascii="Garamond" w:hAnsi="Garamond"/>
          <w:lang w:val="en-AU"/>
        </w:rPr>
      </w:pPr>
    </w:p>
    <w:p w:rsidR="00B02F6E" w:rsidRPr="00160029" w:rsidRDefault="00B02F6E" w:rsidP="00B02F6E">
      <w:pPr>
        <w:keepNext/>
        <w:pBdr>
          <w:top w:val="single" w:sz="4" w:space="1" w:color="auto"/>
        </w:pBdr>
        <w:rPr>
          <w:rFonts w:ascii="Garamond" w:hAnsi="Garamond"/>
          <w:b/>
          <w:lang w:val="en-AU"/>
        </w:rPr>
      </w:pPr>
      <w:r w:rsidRPr="00160029">
        <w:rPr>
          <w:rFonts w:ascii="Garamond" w:hAnsi="Garamond"/>
          <w:b/>
          <w:lang w:val="en-AU"/>
        </w:rPr>
        <w:t>Disclaimer</w:t>
      </w:r>
    </w:p>
    <w:p w:rsidR="00B02F6E" w:rsidRPr="00160029" w:rsidRDefault="00B02F6E" w:rsidP="00B17406">
      <w:pPr>
        <w:rPr>
          <w:rFonts w:ascii="Garamond" w:hAnsi="Garamond"/>
          <w:lang w:val="en-AU"/>
        </w:rPr>
      </w:pPr>
      <w:r w:rsidRPr="00160029">
        <w:rPr>
          <w:rFonts w:ascii="Garamond" w:hAnsi="Garamond"/>
          <w:i/>
          <w:lang w:val="en-AU"/>
        </w:rPr>
        <w:t>On the Radar</w:t>
      </w:r>
      <w:r w:rsidRPr="00160029">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r w:rsidRPr="00160029">
        <w:rPr>
          <w:rFonts w:ascii="Garamond" w:hAnsi="Garamond"/>
          <w:lang w:val="en-AU"/>
        </w:rPr>
        <w:fldChar w:fldCharType="begin"/>
      </w:r>
      <w:r w:rsidRPr="00160029">
        <w:rPr>
          <w:rFonts w:ascii="Garamond" w:hAnsi="Garamond"/>
          <w:lang w:val="en-AU"/>
        </w:rPr>
        <w:instrText xml:space="preserve"> ADDIN </w:instrText>
      </w:r>
      <w:r w:rsidRPr="00160029">
        <w:rPr>
          <w:rFonts w:ascii="Garamond" w:hAnsi="Garamond"/>
          <w:lang w:val="en-AU"/>
        </w:rPr>
        <w:fldChar w:fldCharType="end"/>
      </w:r>
    </w:p>
    <w:sectPr w:rsidR="00B02F6E" w:rsidRPr="00160029"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04CBA">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C27820">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04CBA">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C27820">
      <w:rPr>
        <w:rFonts w:ascii="Garamond" w:hAnsi="Garamon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A8F3533"/>
    <w:multiLevelType w:val="hybridMultilevel"/>
    <w:tmpl w:val="51BAD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4A6E25"/>
    <w:multiLevelType w:val="hybridMultilevel"/>
    <w:tmpl w:val="988005B0"/>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A17728"/>
    <w:multiLevelType w:val="hybridMultilevel"/>
    <w:tmpl w:val="0A2C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9B5E8E"/>
    <w:multiLevelType w:val="hybridMultilevel"/>
    <w:tmpl w:val="7988C7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1"/>
  </w:num>
  <w:num w:numId="15">
    <w:abstractNumId w:val="35"/>
  </w:num>
  <w:num w:numId="16">
    <w:abstractNumId w:val="30"/>
  </w:num>
  <w:num w:numId="17">
    <w:abstractNumId w:val="16"/>
  </w:num>
  <w:num w:numId="18">
    <w:abstractNumId w:val="10"/>
  </w:num>
  <w:num w:numId="19">
    <w:abstractNumId w:val="34"/>
  </w:num>
  <w:num w:numId="20">
    <w:abstractNumId w:val="12"/>
  </w:num>
  <w:num w:numId="21">
    <w:abstractNumId w:val="27"/>
  </w:num>
  <w:num w:numId="22">
    <w:abstractNumId w:val="31"/>
  </w:num>
  <w:num w:numId="23">
    <w:abstractNumId w:val="14"/>
  </w:num>
  <w:num w:numId="24">
    <w:abstractNumId w:val="25"/>
  </w:num>
  <w:num w:numId="25">
    <w:abstractNumId w:val="19"/>
  </w:num>
  <w:num w:numId="26">
    <w:abstractNumId w:val="26"/>
  </w:num>
  <w:num w:numId="27">
    <w:abstractNumId w:val="13"/>
  </w:num>
  <w:num w:numId="28">
    <w:abstractNumId w:val="18"/>
  </w:num>
  <w:num w:numId="29">
    <w:abstractNumId w:val="23"/>
  </w:num>
  <w:num w:numId="30">
    <w:abstractNumId w:val="22"/>
  </w:num>
  <w:num w:numId="31">
    <w:abstractNumId w:val="32"/>
  </w:num>
  <w:num w:numId="32">
    <w:abstractNumId w:val="17"/>
  </w:num>
  <w:num w:numId="33">
    <w:abstractNumId w:val="11"/>
  </w:num>
  <w:num w:numId="34">
    <w:abstractNumId w:val="15"/>
  </w:num>
  <w:num w:numId="35">
    <w:abstractNumId w:val="24"/>
  </w:num>
  <w:num w:numId="3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C40"/>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925"/>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3F7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85"/>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5DDD"/>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957"/>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A4"/>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BA"/>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9C1"/>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11/hex.12537" TargetMode="External"/><Relationship Id="rId26" Type="http://schemas.openxmlformats.org/officeDocument/2006/relationships/hyperlink" Target="https://www.nice.org.uk/guidance/qs144" TargetMode="External"/><Relationship Id="rId3" Type="http://schemas.openxmlformats.org/officeDocument/2006/relationships/styles" Target="styles.xml"/><Relationship Id="rId21" Type="http://schemas.openxmlformats.org/officeDocument/2006/relationships/hyperlink" Target="https://academic.oup.com/intqhc/advance-access?papet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healthcare-associated-infection/" TargetMode="External"/><Relationship Id="rId25" Type="http://schemas.openxmlformats.org/officeDocument/2006/relationships/hyperlink" Target="http://www.nice.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ajic.2016.08.010" TargetMode="External"/><Relationship Id="rId20" Type="http://schemas.openxmlformats.org/officeDocument/2006/relationships/hyperlink" Target="http://dx.doi.org/10.1016/j.jcjq.2017.01.001" TargetMode="External"/><Relationship Id="rId29" Type="http://schemas.openxmlformats.org/officeDocument/2006/relationships/hyperlink" Target="https://www.nice.org.uk/guidance/qs1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tga.gov.au/publication-issue/medical-devices-safety-update-volume-5-number-2-march-2017"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information-strategy/indicators/patient-reported-outcome-measures/" TargetMode="External"/><Relationship Id="rId28" Type="http://schemas.openxmlformats.org/officeDocument/2006/relationships/hyperlink" Target="https://www.nice.org.uk/guidance/ng6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patient-and-consumer-centred-car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s://www.oecd.org/els/health-systems/Recommendations-from-high-level-reflection-group-on-the-future-of-health-statistics.pdf" TargetMode="External"/><Relationship Id="rId27" Type="http://schemas.openxmlformats.org/officeDocument/2006/relationships/hyperlink" Target="https://www.nice.org.uk/guidance/qs145" TargetMode="External"/><Relationship Id="rId30" Type="http://schemas.openxmlformats.org/officeDocument/2006/relationships/hyperlink" Target="https://discover.dc.nihr.ac.uk/porta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5B3E-FF16-462E-9F46-4ED78CCF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11212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2017-02-24T01:14:00Z</cp:lastPrinted>
  <dcterms:created xsi:type="dcterms:W3CDTF">2017-03-03T03:25:00Z</dcterms:created>
  <dcterms:modified xsi:type="dcterms:W3CDTF">2017-03-03T03:25:00Z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