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A45262" w:rsidRDefault="00715F47" w:rsidP="00B160EF">
      <w:pPr>
        <w:rPr>
          <w:rFonts w:ascii="Garamond" w:hAnsi="Garamond"/>
          <w:color w:val="000000"/>
          <w:lang w:val="en-AU"/>
        </w:rPr>
      </w:pPr>
      <w:r w:rsidRPr="00A45262">
        <w:rPr>
          <w:rFonts w:ascii="Garamond" w:hAnsi="Garamond"/>
          <w:color w:val="000000"/>
          <w:lang w:val="en-AU"/>
        </w:rPr>
        <w:t xml:space="preserve">Issue </w:t>
      </w:r>
      <w:r w:rsidR="000C6A11" w:rsidRPr="00A45262">
        <w:rPr>
          <w:rFonts w:ascii="Garamond" w:hAnsi="Garamond"/>
          <w:color w:val="000000"/>
          <w:lang w:val="en-AU"/>
        </w:rPr>
        <w:t>315</w:t>
      </w:r>
    </w:p>
    <w:p w:rsidR="00755242" w:rsidRPr="00A45262" w:rsidRDefault="000C6A11" w:rsidP="00B160EF">
      <w:pPr>
        <w:rPr>
          <w:rFonts w:ascii="Garamond" w:hAnsi="Garamond"/>
          <w:lang w:val="en-AU"/>
        </w:rPr>
      </w:pPr>
      <w:r w:rsidRPr="00A45262">
        <w:rPr>
          <w:rFonts w:ascii="Garamond" w:hAnsi="Garamond"/>
          <w:lang w:val="en-AU"/>
        </w:rPr>
        <w:t>20</w:t>
      </w:r>
      <w:r w:rsidR="00C27820" w:rsidRPr="00A45262">
        <w:rPr>
          <w:rFonts w:ascii="Garamond" w:hAnsi="Garamond"/>
          <w:lang w:val="en-AU"/>
        </w:rPr>
        <w:t xml:space="preserve"> March</w:t>
      </w:r>
      <w:r w:rsidR="00650ACA" w:rsidRPr="00A45262">
        <w:rPr>
          <w:rFonts w:ascii="Garamond" w:hAnsi="Garamond"/>
          <w:lang w:val="en-AU"/>
        </w:rPr>
        <w:t xml:space="preserve"> </w:t>
      </w:r>
      <w:r w:rsidR="00F74A58" w:rsidRPr="00A45262">
        <w:rPr>
          <w:rFonts w:ascii="Garamond" w:hAnsi="Garamond"/>
          <w:lang w:val="en-AU"/>
        </w:rPr>
        <w:t>2017</w:t>
      </w:r>
    </w:p>
    <w:p w:rsidR="00566895" w:rsidRPr="00A45262" w:rsidRDefault="00566895" w:rsidP="00B160EF">
      <w:pPr>
        <w:rPr>
          <w:rFonts w:ascii="Garamond" w:hAnsi="Garamond"/>
          <w:lang w:val="en-AU"/>
        </w:rPr>
      </w:pPr>
    </w:p>
    <w:p w:rsidR="00B160EF" w:rsidRPr="00A45262" w:rsidRDefault="00B160EF" w:rsidP="00B160EF">
      <w:pPr>
        <w:rPr>
          <w:rFonts w:ascii="Garamond" w:hAnsi="Garamond"/>
          <w:b/>
          <w:lang w:val="en-AU"/>
        </w:rPr>
      </w:pPr>
      <w:r w:rsidRPr="00A45262">
        <w:rPr>
          <w:rFonts w:ascii="Garamond" w:hAnsi="Garamond"/>
          <w:i/>
          <w:lang w:val="en-AU"/>
        </w:rPr>
        <w:t>On the Radar</w:t>
      </w:r>
      <w:r w:rsidRPr="00A45262">
        <w:rPr>
          <w:rFonts w:ascii="Garamond" w:hAnsi="Garamond"/>
          <w:lang w:val="en-AU"/>
        </w:rPr>
        <w:t xml:space="preserve"> is a summary of some of the recent publications in </w:t>
      </w:r>
      <w:r w:rsidR="000025DB" w:rsidRPr="00A45262">
        <w:rPr>
          <w:rFonts w:ascii="Garamond" w:hAnsi="Garamond"/>
          <w:lang w:val="en-AU"/>
        </w:rPr>
        <w:t>the</w:t>
      </w:r>
      <w:r w:rsidRPr="00A45262">
        <w:rPr>
          <w:rFonts w:ascii="Garamond" w:hAnsi="Garamond"/>
          <w:lang w:val="en-AU"/>
        </w:rPr>
        <w:t xml:space="preserve"> areas of safety and quality in health care. Inclusion in this document is not an endorsement or recommendation of any publication or provider.</w:t>
      </w:r>
      <w:r w:rsidR="00594E21" w:rsidRPr="00A45262">
        <w:rPr>
          <w:rFonts w:ascii="Garamond" w:hAnsi="Garamond"/>
          <w:lang w:val="en-AU"/>
        </w:rPr>
        <w:t xml:space="preserve"> </w:t>
      </w:r>
      <w:r w:rsidRPr="00A45262">
        <w:rPr>
          <w:rFonts w:ascii="Garamond" w:hAnsi="Garamond"/>
          <w:lang w:val="en-AU"/>
        </w:rPr>
        <w:t>Access to particular documents may depend on whether they are Open Access or not, and/or your individual or institutional access to subscription sites/services.</w:t>
      </w:r>
      <w:r w:rsidR="00F460A7" w:rsidRPr="00A45262">
        <w:rPr>
          <w:rFonts w:ascii="Garamond" w:hAnsi="Garamond"/>
          <w:lang w:val="en-AU"/>
        </w:rPr>
        <w:t xml:space="preserve"> Material that may require subscription is included as it is considered relevant.</w:t>
      </w:r>
    </w:p>
    <w:p w:rsidR="00B160EF" w:rsidRPr="00A45262" w:rsidRDefault="00B160EF" w:rsidP="00B160EF">
      <w:pPr>
        <w:rPr>
          <w:rFonts w:ascii="Garamond" w:hAnsi="Garamond"/>
          <w:lang w:val="en-AU"/>
        </w:rPr>
      </w:pPr>
    </w:p>
    <w:p w:rsidR="00230D83" w:rsidRPr="00A45262" w:rsidRDefault="00B160EF" w:rsidP="0045757F">
      <w:pPr>
        <w:autoSpaceDE w:val="0"/>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available </w:t>
      </w:r>
      <w:r w:rsidR="003D1E7A" w:rsidRPr="00A45262">
        <w:rPr>
          <w:rFonts w:ascii="Garamond" w:hAnsi="Garamond"/>
          <w:lang w:val="en-AU"/>
        </w:rPr>
        <w:t xml:space="preserve">online, </w:t>
      </w:r>
      <w:r w:rsidRPr="00A45262">
        <w:rPr>
          <w:rFonts w:ascii="Garamond" w:hAnsi="Garamond"/>
          <w:lang w:val="en-AU"/>
        </w:rPr>
        <w:t xml:space="preserve">via email or as a PDF </w:t>
      </w:r>
      <w:r w:rsidR="006F34BB" w:rsidRPr="00A45262">
        <w:rPr>
          <w:rFonts w:ascii="Garamond" w:hAnsi="Garamond"/>
          <w:lang w:val="en-AU"/>
        </w:rPr>
        <w:t xml:space="preserve">or Word </w:t>
      </w:r>
      <w:r w:rsidRPr="00A45262">
        <w:rPr>
          <w:rFonts w:ascii="Garamond" w:hAnsi="Garamond"/>
          <w:lang w:val="en-AU"/>
        </w:rPr>
        <w:t xml:space="preserve">document from </w:t>
      </w:r>
      <w:hyperlink r:id="rId10" w:history="1">
        <w:r w:rsidR="00230D83" w:rsidRPr="00A45262">
          <w:rPr>
            <w:rStyle w:val="Hyperlink"/>
            <w:rFonts w:ascii="Garamond" w:hAnsi="Garamond"/>
            <w:lang w:val="en-AU"/>
          </w:rPr>
          <w:t>http://www.safetyandquality.gov.au/publications-resources/on-the-radar/</w:t>
        </w:r>
      </w:hyperlink>
    </w:p>
    <w:p w:rsidR="0090536C" w:rsidRPr="00A45262" w:rsidRDefault="0090536C" w:rsidP="0045757F">
      <w:pPr>
        <w:autoSpaceDE w:val="0"/>
        <w:rPr>
          <w:rFonts w:ascii="Garamond" w:hAnsi="Garamond"/>
          <w:lang w:val="en-AU"/>
        </w:rPr>
      </w:pPr>
    </w:p>
    <w:p w:rsidR="00B160EF" w:rsidRPr="00A45262" w:rsidRDefault="00B160EF" w:rsidP="0045757F">
      <w:pPr>
        <w:autoSpaceDE w:val="0"/>
        <w:rPr>
          <w:rFonts w:ascii="Garamond" w:hAnsi="Garamond"/>
          <w:lang w:val="en-AU"/>
        </w:rPr>
      </w:pPr>
      <w:r w:rsidRPr="00A45262">
        <w:rPr>
          <w:rFonts w:ascii="Garamond" w:hAnsi="Garamond"/>
          <w:lang w:val="en-AU"/>
        </w:rPr>
        <w:t xml:space="preserve">If you would like to receive </w:t>
      </w:r>
      <w:r w:rsidRPr="00A45262">
        <w:rPr>
          <w:rFonts w:ascii="Garamond" w:hAnsi="Garamond"/>
          <w:i/>
          <w:lang w:val="en-AU"/>
        </w:rPr>
        <w:t>On the Radar</w:t>
      </w:r>
      <w:r w:rsidRPr="00A45262">
        <w:rPr>
          <w:rFonts w:ascii="Garamond" w:hAnsi="Garamond"/>
          <w:lang w:val="en-AU"/>
        </w:rPr>
        <w:t xml:space="preserve"> via email</w:t>
      </w:r>
      <w:r w:rsidR="003D7B9E" w:rsidRPr="00A45262">
        <w:rPr>
          <w:rFonts w:ascii="Garamond" w:hAnsi="Garamond"/>
          <w:lang w:val="en-AU"/>
        </w:rPr>
        <w:t>, you can</w:t>
      </w:r>
      <w:r w:rsidR="00F24F60" w:rsidRPr="00A45262">
        <w:rPr>
          <w:rFonts w:ascii="Garamond" w:hAnsi="Garamond"/>
          <w:lang w:val="en-AU"/>
        </w:rPr>
        <w:t xml:space="preserve"> subscribe on our website </w:t>
      </w:r>
      <w:hyperlink r:id="rId11" w:history="1">
        <w:r w:rsidR="00F24F60" w:rsidRPr="00A45262">
          <w:rPr>
            <w:rStyle w:val="Hyperlink"/>
            <w:rFonts w:ascii="Garamond" w:hAnsi="Garamond"/>
            <w:lang w:val="en-AU"/>
          </w:rPr>
          <w:t>http://www.safetyandquality.gov.au/</w:t>
        </w:r>
      </w:hyperlink>
      <w:r w:rsidR="003D7B9E" w:rsidRPr="00A45262">
        <w:rPr>
          <w:rFonts w:ascii="Garamond" w:hAnsi="Garamond"/>
          <w:lang w:val="en-AU"/>
        </w:rPr>
        <w:t xml:space="preserve"> or by emailing us at </w:t>
      </w:r>
      <w:r w:rsidR="003D7B9E" w:rsidRPr="00A45262">
        <w:rPr>
          <w:rFonts w:ascii="Garamond" w:hAnsi="Garamond" w:cs="ZWAdobeF"/>
          <w:sz w:val="2"/>
          <w:szCs w:val="2"/>
          <w:lang w:val="en-AU"/>
        </w:rPr>
        <w:t>H</w:t>
      </w:r>
      <w:hyperlink r:id="rId12"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 xml:space="preserve">. </w:t>
      </w:r>
      <w:r w:rsidR="00E51D23" w:rsidRPr="00A45262">
        <w:rPr>
          <w:rFonts w:ascii="Garamond" w:hAnsi="Garamond"/>
          <w:lang w:val="en-AU"/>
        </w:rPr>
        <w:br/>
      </w:r>
      <w:r w:rsidR="003D7B9E" w:rsidRPr="00A45262">
        <w:rPr>
          <w:rFonts w:ascii="Garamond" w:hAnsi="Garamond"/>
          <w:lang w:val="en-AU"/>
        </w:rPr>
        <w:t xml:space="preserve">You can also send feedback and comments to </w:t>
      </w:r>
      <w:r w:rsidR="003D7B9E" w:rsidRPr="00A45262">
        <w:rPr>
          <w:rFonts w:ascii="Garamond" w:hAnsi="Garamond" w:cs="ZWAdobeF"/>
          <w:sz w:val="2"/>
          <w:szCs w:val="2"/>
          <w:lang w:val="en-AU"/>
        </w:rPr>
        <w:t>H</w:t>
      </w:r>
      <w:hyperlink r:id="rId13"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w:t>
      </w:r>
    </w:p>
    <w:p w:rsidR="00B160EF" w:rsidRPr="00A45262" w:rsidRDefault="00B160EF" w:rsidP="00837FC4">
      <w:pPr>
        <w:tabs>
          <w:tab w:val="left" w:pos="7773"/>
        </w:tabs>
        <w:rPr>
          <w:rFonts w:ascii="Garamond" w:hAnsi="Garamond"/>
          <w:lang w:val="en-AU"/>
        </w:rPr>
      </w:pPr>
    </w:p>
    <w:p w:rsidR="00837FC4" w:rsidRPr="00A45262" w:rsidRDefault="00B160EF" w:rsidP="004554DB">
      <w:pPr>
        <w:autoSpaceDE w:val="0"/>
        <w:rPr>
          <w:rFonts w:ascii="Garamond" w:hAnsi="Garamond"/>
          <w:lang w:val="en-AU"/>
        </w:rPr>
      </w:pPr>
      <w:bookmarkStart w:id="0" w:name="OLE_LINK1"/>
      <w:r w:rsidRPr="00A45262">
        <w:rPr>
          <w:rFonts w:ascii="Garamond" w:hAnsi="Garamond"/>
          <w:lang w:val="en-AU"/>
        </w:rPr>
        <w:t xml:space="preserve">For information about the Commission and its programs and publications, please visit </w:t>
      </w:r>
      <w:hyperlink r:id="rId14" w:history="1">
        <w:r w:rsidR="00837FC4" w:rsidRPr="00A45262">
          <w:rPr>
            <w:rStyle w:val="Hyperlink"/>
            <w:rFonts w:ascii="Garamond" w:hAnsi="Garamond"/>
            <w:lang w:val="en-AU"/>
          </w:rPr>
          <w:t>http://www.safetyandquality.gov.au</w:t>
        </w:r>
      </w:hyperlink>
    </w:p>
    <w:p w:rsidR="0054703F" w:rsidRPr="00A45262" w:rsidRDefault="004554DB" w:rsidP="004554DB">
      <w:pPr>
        <w:autoSpaceDE w:val="0"/>
        <w:rPr>
          <w:rFonts w:ascii="Garamond" w:hAnsi="Garamond"/>
          <w:lang w:val="en-AU"/>
        </w:rPr>
      </w:pPr>
      <w:r w:rsidRPr="00A45262">
        <w:rPr>
          <w:rFonts w:ascii="Garamond" w:hAnsi="Garamond"/>
          <w:lang w:val="en-AU"/>
        </w:rPr>
        <w:t>You can also follow us on Twitter @ACSQHC.</w:t>
      </w:r>
    </w:p>
    <w:p w:rsidR="00A12DB6" w:rsidRPr="00A45262" w:rsidRDefault="00A12DB6" w:rsidP="00210235">
      <w:pPr>
        <w:keepNext/>
        <w:pBdr>
          <w:top w:val="single" w:sz="4" w:space="1" w:color="auto"/>
        </w:pBdr>
        <w:rPr>
          <w:rFonts w:ascii="Garamond" w:hAnsi="Garamond"/>
          <w:b/>
          <w:lang w:val="en-AU"/>
        </w:rPr>
      </w:pPr>
    </w:p>
    <w:p w:rsidR="00210235" w:rsidRPr="00A45262" w:rsidRDefault="00210235" w:rsidP="00210235">
      <w:pPr>
        <w:keepNext/>
        <w:pBdr>
          <w:top w:val="single" w:sz="4" w:space="1" w:color="auto"/>
        </w:pBdr>
        <w:rPr>
          <w:rFonts w:ascii="Garamond" w:hAnsi="Garamond"/>
          <w:b/>
          <w:lang w:val="en-AU"/>
        </w:rPr>
      </w:pPr>
      <w:r w:rsidRPr="00A45262">
        <w:rPr>
          <w:rFonts w:ascii="Garamond" w:hAnsi="Garamond"/>
          <w:b/>
          <w:lang w:val="en-AU"/>
        </w:rPr>
        <w:t>On the Radar</w:t>
      </w:r>
    </w:p>
    <w:p w:rsidR="00340157" w:rsidRPr="00A45262" w:rsidRDefault="00340157" w:rsidP="00210235">
      <w:pPr>
        <w:keepNext/>
        <w:pBdr>
          <w:top w:val="single" w:sz="4" w:space="1" w:color="auto"/>
        </w:pBdr>
        <w:rPr>
          <w:rFonts w:ascii="Garamond" w:hAnsi="Garamond"/>
          <w:bCs/>
          <w:lang w:val="en-AU"/>
        </w:rPr>
      </w:pPr>
      <w:r w:rsidRPr="00A45262">
        <w:rPr>
          <w:rFonts w:ascii="Garamond" w:hAnsi="Garamond"/>
          <w:bCs/>
          <w:lang w:val="en-AU"/>
        </w:rPr>
        <w:t xml:space="preserve">Editor: </w:t>
      </w:r>
      <w:r w:rsidR="00C8085B" w:rsidRPr="00A45262">
        <w:rPr>
          <w:rFonts w:ascii="Garamond" w:hAnsi="Garamond"/>
          <w:bCs/>
          <w:lang w:val="en-AU"/>
        </w:rPr>
        <w:t xml:space="preserve">Dr </w:t>
      </w:r>
      <w:r w:rsidRPr="00A45262">
        <w:rPr>
          <w:rFonts w:ascii="Garamond" w:hAnsi="Garamond"/>
          <w:bCs/>
          <w:lang w:val="en-AU"/>
        </w:rPr>
        <w:t xml:space="preserve">Niall Johnson </w:t>
      </w:r>
      <w:hyperlink r:id="rId15" w:history="1">
        <w:r w:rsidRPr="00A45262">
          <w:rPr>
            <w:rStyle w:val="Hyperlink"/>
            <w:rFonts w:ascii="Garamond" w:hAnsi="Garamond"/>
            <w:bCs/>
            <w:lang w:val="en-AU"/>
          </w:rPr>
          <w:t>niall.johnson@safetyandquality.gov.au</w:t>
        </w:r>
      </w:hyperlink>
    </w:p>
    <w:p w:rsidR="009A35BE" w:rsidRPr="00A45262" w:rsidRDefault="00210235" w:rsidP="00A8296D">
      <w:pPr>
        <w:keepNext/>
        <w:pBdr>
          <w:top w:val="single" w:sz="4" w:space="1" w:color="auto"/>
        </w:pBdr>
        <w:rPr>
          <w:rFonts w:ascii="Garamond" w:hAnsi="Garamond"/>
          <w:shd w:val="clear" w:color="auto" w:fill="FFFFFF"/>
          <w:lang w:val="en-AU"/>
        </w:rPr>
      </w:pPr>
      <w:r w:rsidRPr="00A45262">
        <w:rPr>
          <w:rFonts w:ascii="Garamond" w:hAnsi="Garamond"/>
          <w:bCs/>
          <w:lang w:val="en-AU"/>
        </w:rPr>
        <w:t xml:space="preserve">Contributors: </w:t>
      </w:r>
      <w:r w:rsidR="0056339A" w:rsidRPr="00A45262">
        <w:rPr>
          <w:rFonts w:ascii="Garamond" w:hAnsi="Garamond"/>
          <w:bCs/>
          <w:lang w:val="en-AU"/>
        </w:rPr>
        <w:t>Niall Johnson</w:t>
      </w:r>
      <w:bookmarkEnd w:id="0"/>
      <w:r w:rsidR="004A1C2F">
        <w:rPr>
          <w:rFonts w:ascii="Garamond" w:hAnsi="Garamond"/>
          <w:bCs/>
          <w:lang w:val="en-AU"/>
        </w:rPr>
        <w:t>, Alice Bhasale</w:t>
      </w:r>
    </w:p>
    <w:p w:rsidR="0059425E" w:rsidRPr="00A45262" w:rsidRDefault="0059425E" w:rsidP="00691DE3">
      <w:pPr>
        <w:keepLines/>
        <w:autoSpaceDE w:val="0"/>
        <w:autoSpaceDN w:val="0"/>
        <w:adjustRightInd w:val="0"/>
        <w:rPr>
          <w:rFonts w:ascii="Garamond" w:hAnsi="Garamond"/>
          <w:lang w:val="en-AU"/>
        </w:rPr>
      </w:pPr>
    </w:p>
    <w:p w:rsidR="000C6A11" w:rsidRPr="00A45262" w:rsidRDefault="000C6A11" w:rsidP="00691DE3">
      <w:pPr>
        <w:keepLines/>
        <w:autoSpaceDE w:val="0"/>
        <w:autoSpaceDN w:val="0"/>
        <w:adjustRightInd w:val="0"/>
        <w:rPr>
          <w:rFonts w:ascii="Garamond" w:hAnsi="Garamond"/>
          <w:b/>
          <w:lang w:val="en-AU"/>
        </w:rPr>
      </w:pPr>
      <w:r w:rsidRPr="00A45262">
        <w:rPr>
          <w:rFonts w:ascii="Garamond" w:hAnsi="Garamond"/>
          <w:b/>
          <w:lang w:val="en-AU"/>
        </w:rPr>
        <w:t>Reports</w:t>
      </w:r>
    </w:p>
    <w:p w:rsidR="000C6A11" w:rsidRPr="00A45262" w:rsidRDefault="000C6A11" w:rsidP="000C6A11">
      <w:pPr>
        <w:keepNext/>
        <w:rPr>
          <w:rFonts w:ascii="Garamond" w:hAnsi="Garamond"/>
          <w:lang w:val="en-AU"/>
        </w:rPr>
      </w:pPr>
    </w:p>
    <w:p w:rsidR="000C6A11" w:rsidRPr="00A45262" w:rsidRDefault="00075AAE" w:rsidP="00075AAE">
      <w:pPr>
        <w:keepNext/>
        <w:rPr>
          <w:rFonts w:ascii="Garamond" w:hAnsi="Garamond"/>
          <w:i/>
          <w:lang w:val="en-AU"/>
        </w:rPr>
      </w:pPr>
      <w:r w:rsidRPr="00A45262">
        <w:rPr>
          <w:rFonts w:ascii="Garamond" w:hAnsi="Garamond"/>
          <w:i/>
          <w:lang w:val="en-AU"/>
        </w:rPr>
        <w:t>The Economics of Patient Safety : Strengthening a value-based approach to reducing patient harm at national level</w:t>
      </w:r>
    </w:p>
    <w:p w:rsidR="00075AAE" w:rsidRPr="00A45262" w:rsidRDefault="00075AAE" w:rsidP="00075AAE">
      <w:pPr>
        <w:keepNext/>
        <w:rPr>
          <w:rFonts w:ascii="Garamond" w:hAnsi="Garamond"/>
          <w:lang w:val="en-AU"/>
        </w:rPr>
      </w:pPr>
      <w:r w:rsidRPr="00A45262">
        <w:rPr>
          <w:rFonts w:ascii="Garamond" w:hAnsi="Garamond"/>
          <w:lang w:val="en-AU"/>
        </w:rPr>
        <w:t>Slawomiriski L, Auraaen A, Klazinga N</w:t>
      </w:r>
    </w:p>
    <w:p w:rsidR="00075AAE" w:rsidRPr="00A45262" w:rsidRDefault="00075AAE" w:rsidP="00075AAE">
      <w:pPr>
        <w:keepNext/>
        <w:rPr>
          <w:rFonts w:ascii="Garamond" w:hAnsi="Garamond"/>
          <w:lang w:val="en-AU"/>
        </w:rPr>
      </w:pPr>
      <w:r w:rsidRPr="00A45262">
        <w:rPr>
          <w:rFonts w:ascii="Garamond" w:hAnsi="Garamond"/>
          <w:lang w:val="en-AU"/>
        </w:rPr>
        <w:t>Paris: OECD Publishing; 2017. p. 65.</w:t>
      </w:r>
    </w:p>
    <w:tbl>
      <w:tblPr>
        <w:tblStyle w:val="TableGrid"/>
        <w:tblW w:w="0" w:type="auto"/>
        <w:tblInd w:w="288" w:type="dxa"/>
        <w:tblLayout w:type="fixed"/>
        <w:tblLook w:val="01E0" w:firstRow="1" w:lastRow="1" w:firstColumn="1" w:lastColumn="1" w:noHBand="0" w:noVBand="0"/>
      </w:tblPr>
      <w:tblGrid>
        <w:gridCol w:w="1080"/>
        <w:gridCol w:w="8280"/>
      </w:tblGrid>
      <w:tr w:rsidR="000C6A11" w:rsidRPr="00A45262" w:rsidTr="000D508A">
        <w:tc>
          <w:tcPr>
            <w:tcW w:w="1080" w:type="dxa"/>
            <w:tcBorders>
              <w:top w:val="single" w:sz="4" w:space="0" w:color="auto"/>
              <w:left w:val="single" w:sz="4" w:space="0" w:color="auto"/>
              <w:bottom w:val="single" w:sz="4" w:space="0" w:color="auto"/>
              <w:right w:val="single" w:sz="4" w:space="0" w:color="auto"/>
            </w:tcBorders>
            <w:vAlign w:val="center"/>
          </w:tcPr>
          <w:p w:rsidR="000C6A11" w:rsidRPr="00A45262" w:rsidRDefault="000C6A11" w:rsidP="000D508A">
            <w:pPr>
              <w:rPr>
                <w:rStyle w:val="Hyperlink"/>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20C93" w:rsidRPr="00A45262" w:rsidRDefault="00EC2CA5" w:rsidP="004E6E39">
            <w:pPr>
              <w:rPr>
                <w:rStyle w:val="Hyperlink"/>
                <w:rFonts w:ascii="Garamond" w:hAnsi="Garamond"/>
                <w:color w:val="auto"/>
                <w:u w:val="none"/>
                <w:lang w:val="en-AU"/>
              </w:rPr>
            </w:pPr>
            <w:hyperlink r:id="rId16" w:history="1">
              <w:r w:rsidR="00820C93" w:rsidRPr="00A45262">
                <w:rPr>
                  <w:rStyle w:val="Hyperlink"/>
                  <w:rFonts w:ascii="Garamond" w:hAnsi="Garamond"/>
                  <w:lang w:val="en-AU"/>
                </w:rPr>
                <w:t>https://www.bundesgesundheitsministerium.de/health/patient-safety-summit-2017.html</w:t>
              </w:r>
            </w:hyperlink>
          </w:p>
        </w:tc>
      </w:tr>
      <w:tr w:rsidR="000C6A11" w:rsidRPr="00A45262" w:rsidTr="000D508A">
        <w:tc>
          <w:tcPr>
            <w:tcW w:w="1080" w:type="dxa"/>
            <w:tcBorders>
              <w:top w:val="single" w:sz="4" w:space="0" w:color="auto"/>
              <w:left w:val="single" w:sz="4" w:space="0" w:color="auto"/>
              <w:bottom w:val="single" w:sz="4" w:space="0" w:color="auto"/>
              <w:right w:val="single" w:sz="4" w:space="0" w:color="auto"/>
            </w:tcBorders>
            <w:vAlign w:val="center"/>
          </w:tcPr>
          <w:p w:rsidR="000C6A11" w:rsidRPr="00A45262" w:rsidRDefault="000C6A11" w:rsidP="000D508A">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6A11" w:rsidRDefault="00820C93" w:rsidP="000D508A">
            <w:pPr>
              <w:rPr>
                <w:rFonts w:ascii="Garamond" w:hAnsi="Garamond"/>
                <w:lang w:val="en-AU"/>
              </w:rPr>
            </w:pPr>
            <w:r w:rsidRPr="00A45262">
              <w:rPr>
                <w:rFonts w:ascii="Garamond" w:hAnsi="Garamond"/>
                <w:lang w:val="en-AU"/>
              </w:rPr>
              <w:t>This OECD-authored report was prepared for a workshop at the Second Global Ministerial Summit on Patient Safety to be held in Germany this month.</w:t>
            </w:r>
          </w:p>
          <w:p w:rsidR="004E6E39" w:rsidRDefault="004E6E39" w:rsidP="000D508A">
            <w:pPr>
              <w:rPr>
                <w:rFonts w:ascii="Garamond" w:hAnsi="Garamond"/>
                <w:lang w:val="en-AU"/>
              </w:rPr>
            </w:pPr>
            <w:r>
              <w:rPr>
                <w:rFonts w:ascii="Garamond" w:hAnsi="Garamond"/>
                <w:lang w:val="en-AU"/>
              </w:rPr>
              <w:t xml:space="preserve">The </w:t>
            </w:r>
            <w:r w:rsidRPr="004E6E39">
              <w:rPr>
                <w:rFonts w:ascii="Garamond" w:hAnsi="Garamond"/>
                <w:lang w:val="en-AU"/>
              </w:rPr>
              <w:t>report focuses on the economics of patient safety</w:t>
            </w:r>
            <w:r>
              <w:rPr>
                <w:rFonts w:ascii="Garamond" w:hAnsi="Garamond"/>
                <w:lang w:val="en-AU"/>
              </w:rPr>
              <w:t xml:space="preserve"> and has two major sections: </w:t>
            </w:r>
          </w:p>
          <w:p w:rsidR="004E6E39" w:rsidRPr="004E6E39" w:rsidRDefault="004E6E39" w:rsidP="004E6E39">
            <w:pPr>
              <w:pStyle w:val="ListParagraph"/>
              <w:numPr>
                <w:ilvl w:val="0"/>
                <w:numId w:val="41"/>
              </w:numPr>
              <w:rPr>
                <w:rFonts w:ascii="Garamond" w:hAnsi="Garamond"/>
                <w:lang w:val="en-AU"/>
              </w:rPr>
            </w:pPr>
            <w:r w:rsidRPr="004E6E39">
              <w:rPr>
                <w:rFonts w:ascii="Garamond" w:hAnsi="Garamond"/>
                <w:b/>
                <w:i/>
                <w:lang w:val="en-AU"/>
              </w:rPr>
              <w:t>The cost of failure</w:t>
            </w:r>
            <w:r w:rsidRPr="004E6E39">
              <w:rPr>
                <w:rFonts w:ascii="Garamond" w:hAnsi="Garamond"/>
                <w:lang w:val="en-AU"/>
              </w:rPr>
              <w:t xml:space="preserve">. Estimating the costs of lapses in patient safety. </w:t>
            </w:r>
          </w:p>
          <w:p w:rsidR="004E6E39" w:rsidRPr="004E6E39" w:rsidRDefault="004E6E39" w:rsidP="004E6E39">
            <w:pPr>
              <w:pStyle w:val="ListParagraph"/>
              <w:numPr>
                <w:ilvl w:val="0"/>
                <w:numId w:val="41"/>
              </w:numPr>
              <w:rPr>
                <w:rFonts w:ascii="Garamond" w:hAnsi="Garamond"/>
                <w:lang w:val="en-AU"/>
              </w:rPr>
            </w:pPr>
            <w:r w:rsidRPr="004E6E39">
              <w:rPr>
                <w:rFonts w:ascii="Garamond" w:hAnsi="Garamond"/>
                <w:b/>
                <w:i/>
                <w:lang w:val="en-AU"/>
              </w:rPr>
              <w:t>Reducing harm effectively and efficiently</w:t>
            </w:r>
            <w:r w:rsidRPr="004E6E39">
              <w:rPr>
                <w:rFonts w:ascii="Garamond" w:hAnsi="Garamond"/>
                <w:lang w:val="en-AU"/>
              </w:rPr>
              <w:t>. Exploring a value-based approach to investing in patient safety in a resource-constrained context. The relative costs and impact of various interventions (and combinations thereof) targeting patient harm across healthcare systems are estimated using a snapshot survey of international patient safety experts and policy makers.</w:t>
            </w:r>
          </w:p>
          <w:p w:rsidR="004E6E39" w:rsidRDefault="004E6E39" w:rsidP="000D508A">
            <w:pPr>
              <w:rPr>
                <w:rFonts w:ascii="Garamond" w:hAnsi="Garamond"/>
                <w:lang w:val="en-AU"/>
              </w:rPr>
            </w:pPr>
            <w:r>
              <w:rPr>
                <w:rFonts w:ascii="Garamond" w:hAnsi="Garamond"/>
                <w:lang w:val="en-AU"/>
              </w:rPr>
              <w:t>The key messages from this report include:</w:t>
            </w:r>
          </w:p>
          <w:p w:rsidR="004E6E39" w:rsidRPr="004E6E39" w:rsidRDefault="004E6E39" w:rsidP="004E6E39">
            <w:pPr>
              <w:pStyle w:val="ListParagraph"/>
              <w:numPr>
                <w:ilvl w:val="0"/>
                <w:numId w:val="40"/>
              </w:numPr>
              <w:rPr>
                <w:rFonts w:ascii="Garamond" w:hAnsi="Garamond"/>
                <w:lang w:val="en-AU"/>
              </w:rPr>
            </w:pPr>
            <w:r w:rsidRPr="004E6E39">
              <w:rPr>
                <w:rFonts w:ascii="Garamond" w:hAnsi="Garamond"/>
                <w:b/>
                <w:lang w:val="en-AU"/>
              </w:rPr>
              <w:t>Patient safety is a critical policy issue.</w:t>
            </w:r>
            <w:r w:rsidRPr="004E6E39">
              <w:rPr>
                <w:rFonts w:ascii="Garamond" w:hAnsi="Garamond"/>
                <w:lang w:val="en-AU"/>
              </w:rPr>
              <w:t xml:space="preserve"> Patient harm is estimated to be the 14th leading cause of the global disease burden. </w:t>
            </w:r>
          </w:p>
          <w:p w:rsidR="004E6E39" w:rsidRPr="004E6E39" w:rsidRDefault="004E6E39" w:rsidP="004E6E39">
            <w:pPr>
              <w:pStyle w:val="ListParagraph"/>
              <w:numPr>
                <w:ilvl w:val="0"/>
                <w:numId w:val="40"/>
              </w:numPr>
              <w:rPr>
                <w:rFonts w:ascii="Garamond" w:hAnsi="Garamond"/>
                <w:lang w:val="en-AU"/>
              </w:rPr>
            </w:pPr>
            <w:r w:rsidRPr="004E6E39">
              <w:rPr>
                <w:rFonts w:ascii="Garamond" w:hAnsi="Garamond"/>
                <w:b/>
                <w:lang w:val="en-AU"/>
              </w:rPr>
              <w:t>The cost to patients, healthcare systems and societies is considerable.</w:t>
            </w:r>
            <w:r w:rsidRPr="004E6E39">
              <w:rPr>
                <w:rFonts w:ascii="Garamond" w:hAnsi="Garamond"/>
                <w:lang w:val="en-AU"/>
              </w:rPr>
              <w:t xml:space="preserve"> Patient harm imparts a high financial cost. Overall, the available evidence </w:t>
            </w:r>
            <w:r w:rsidRPr="004E6E39">
              <w:rPr>
                <w:rFonts w:ascii="Garamond" w:hAnsi="Garamond"/>
                <w:lang w:val="en-AU"/>
              </w:rPr>
              <w:lastRenderedPageBreak/>
              <w:t xml:space="preserve">suggests that 15% of hospital expenditure and activity in OECD countries can be attributed to treating safety failures. Patient harm is felt in the broader economy through lost capacity and productivity of patients and their carers. It is estimated that the aggregate costs amount to trillions of dollars each year. </w:t>
            </w:r>
          </w:p>
          <w:p w:rsidR="004E6E39" w:rsidRPr="004E6E39" w:rsidRDefault="004E6E39" w:rsidP="004E6E39">
            <w:pPr>
              <w:pStyle w:val="ListParagraph"/>
              <w:numPr>
                <w:ilvl w:val="0"/>
                <w:numId w:val="40"/>
              </w:numPr>
              <w:rPr>
                <w:rFonts w:ascii="Garamond" w:hAnsi="Garamond"/>
                <w:lang w:val="en-AU"/>
              </w:rPr>
            </w:pPr>
            <w:r w:rsidRPr="004E6E39">
              <w:rPr>
                <w:rFonts w:ascii="Garamond" w:hAnsi="Garamond"/>
                <w:b/>
                <w:lang w:val="en-AU"/>
              </w:rPr>
              <w:t>Most of the burden is associated with a few common adverse events.</w:t>
            </w:r>
            <w:r w:rsidRPr="004E6E39">
              <w:rPr>
                <w:rFonts w:ascii="Garamond" w:hAnsi="Garamond"/>
                <w:lang w:val="en-AU"/>
              </w:rPr>
              <w:t xml:space="preserve"> The most burdensome include healthcare-associated infections (HAI), venous thromboembolism (VTE), pressure ulcers, medication error and wrong or delayed diagnosis. For example, it is estimated that every adult in the United States will experience a diagnostic error at least once during their life time. The annual cost of common adverse events in England is equivalent to 2,000 GPs or 3,500 hospital nurses</w:t>
            </w:r>
          </w:p>
          <w:p w:rsidR="004E6E39" w:rsidRPr="004E6E39" w:rsidRDefault="004E6E39" w:rsidP="004E6E39">
            <w:pPr>
              <w:pStyle w:val="ListParagraph"/>
              <w:numPr>
                <w:ilvl w:val="0"/>
                <w:numId w:val="40"/>
              </w:numPr>
              <w:rPr>
                <w:rFonts w:ascii="Garamond" w:hAnsi="Garamond"/>
                <w:lang w:val="en-AU"/>
              </w:rPr>
            </w:pPr>
            <w:r w:rsidRPr="004E6E39">
              <w:rPr>
                <w:rFonts w:ascii="Garamond" w:hAnsi="Garamond"/>
                <w:b/>
                <w:lang w:val="en-AU"/>
              </w:rPr>
              <w:t>Greater investment in prevention is justified.</w:t>
            </w:r>
            <w:r w:rsidRPr="004E6E39">
              <w:rPr>
                <w:rFonts w:ascii="Garamond" w:hAnsi="Garamond"/>
                <w:lang w:val="en-AU"/>
              </w:rPr>
              <w:t xml:space="preserve"> Many adverse events can be systematically prevented through better policy and practice, with the cost of prevention typically much lower than the cost of harm. </w:t>
            </w:r>
          </w:p>
          <w:p w:rsidR="004E6E39" w:rsidRPr="004E6E39" w:rsidRDefault="004E6E39" w:rsidP="004E6E39">
            <w:pPr>
              <w:pStyle w:val="ListParagraph"/>
              <w:numPr>
                <w:ilvl w:val="0"/>
                <w:numId w:val="40"/>
              </w:numPr>
              <w:rPr>
                <w:rFonts w:ascii="Garamond" w:hAnsi="Garamond"/>
                <w:lang w:val="en-AU"/>
              </w:rPr>
            </w:pPr>
            <w:r w:rsidRPr="004E6E39">
              <w:rPr>
                <w:rFonts w:ascii="Garamond" w:hAnsi="Garamond"/>
                <w:b/>
                <w:lang w:val="en-AU"/>
              </w:rPr>
              <w:t>Solid foundations for patient safety need to be in place.</w:t>
            </w:r>
            <w:r w:rsidRPr="004E6E39">
              <w:rPr>
                <w:rFonts w:ascii="Garamond" w:hAnsi="Garamond"/>
                <w:lang w:val="en-AU"/>
              </w:rPr>
              <w:t xml:space="preserve"> A national value-based approach – where harm is reduced using limited resources – should begin with investing in fundamental system-level initiatives such as professional education and training, safety standards and a solid information infrastructure.</w:t>
            </w:r>
          </w:p>
          <w:p w:rsidR="004E6E39" w:rsidRPr="004E6E39" w:rsidRDefault="004E6E39" w:rsidP="004E6E39">
            <w:pPr>
              <w:pStyle w:val="ListParagraph"/>
              <w:numPr>
                <w:ilvl w:val="0"/>
                <w:numId w:val="40"/>
              </w:numPr>
              <w:rPr>
                <w:rFonts w:ascii="Garamond" w:hAnsi="Garamond"/>
                <w:lang w:val="en-AU"/>
              </w:rPr>
            </w:pPr>
            <w:r w:rsidRPr="004E6E39">
              <w:rPr>
                <w:rFonts w:ascii="Garamond" w:hAnsi="Garamond"/>
                <w:b/>
                <w:lang w:val="en-AU"/>
              </w:rPr>
              <w:t>Active engagement of providers and patients is critical.</w:t>
            </w:r>
            <w:r w:rsidRPr="004E6E39">
              <w:rPr>
                <w:rFonts w:ascii="Garamond" w:hAnsi="Garamond"/>
                <w:lang w:val="en-AU"/>
              </w:rPr>
              <w:t xml:space="preserve"> Organisational-level initiatives such as clinical governance frameworks, patient–engagement and building a positive safety culture also form an important part of an integrated patient safety strategy.</w:t>
            </w:r>
          </w:p>
          <w:p w:rsidR="004E6E39" w:rsidRPr="004E6E39" w:rsidRDefault="004E6E39" w:rsidP="004E6E39">
            <w:pPr>
              <w:pStyle w:val="ListParagraph"/>
              <w:numPr>
                <w:ilvl w:val="0"/>
                <w:numId w:val="40"/>
              </w:numPr>
              <w:rPr>
                <w:rFonts w:ascii="Garamond" w:hAnsi="Garamond"/>
                <w:lang w:val="en-AU"/>
              </w:rPr>
            </w:pPr>
            <w:r w:rsidRPr="004E6E39">
              <w:rPr>
                <w:rFonts w:ascii="Garamond" w:hAnsi="Garamond"/>
                <w:b/>
                <w:lang w:val="en-AU"/>
              </w:rPr>
              <w:t>Innovation at the clinical level is enhanced through national leadership.</w:t>
            </w:r>
            <w:r w:rsidRPr="004E6E39">
              <w:rPr>
                <w:rFonts w:ascii="Garamond" w:hAnsi="Garamond"/>
                <w:lang w:val="en-AU"/>
              </w:rPr>
              <w:t xml:space="preserve"> Emphasis should broaden from safety in hospital settings to primary care and long term care. Vision and leadership at the highest levels of government is required to operationalise a systems approach to improving patient safety and ensure that healthcare is a high-reliability industry.</w:t>
            </w:r>
          </w:p>
          <w:p w:rsidR="004E6E39" w:rsidRPr="004E6E39" w:rsidRDefault="004E6E39" w:rsidP="004E6E39">
            <w:pPr>
              <w:pStyle w:val="ListParagraph"/>
              <w:numPr>
                <w:ilvl w:val="0"/>
                <w:numId w:val="40"/>
              </w:numPr>
              <w:rPr>
                <w:rFonts w:ascii="Garamond" w:hAnsi="Garamond"/>
                <w:lang w:val="en-AU"/>
              </w:rPr>
            </w:pPr>
            <w:r w:rsidRPr="004E6E39">
              <w:rPr>
                <w:rFonts w:ascii="Garamond" w:hAnsi="Garamond"/>
                <w:b/>
                <w:lang w:val="en-AU"/>
              </w:rPr>
              <w:t>Practical approaches exist to identify national priorities for action.</w:t>
            </w:r>
            <w:r w:rsidRPr="004E6E39">
              <w:rPr>
                <w:rFonts w:ascii="Garamond" w:hAnsi="Garamond"/>
                <w:lang w:val="en-AU"/>
              </w:rPr>
              <w:t xml:space="preserve"> A system-wide priority setting exercise with broad range of stakeholders can build consensus and inform safety strategies</w:t>
            </w:r>
            <w:r w:rsidR="00EB12CC">
              <w:rPr>
                <w:rFonts w:ascii="Garamond" w:hAnsi="Garamond"/>
                <w:lang w:val="en-AU"/>
              </w:rPr>
              <w:t>.</w:t>
            </w:r>
          </w:p>
        </w:tc>
      </w:tr>
    </w:tbl>
    <w:p w:rsidR="000C6A11" w:rsidRPr="00A45262" w:rsidRDefault="000C6A11" w:rsidP="000C6A11">
      <w:pPr>
        <w:rPr>
          <w:rFonts w:ascii="Garamond" w:hAnsi="Garamond"/>
          <w:lang w:val="en-AU" w:eastAsia="en-AU"/>
        </w:rPr>
      </w:pPr>
    </w:p>
    <w:p w:rsidR="000C6A11" w:rsidRPr="00A45262" w:rsidRDefault="000C6A11" w:rsidP="000C6A11">
      <w:pPr>
        <w:rPr>
          <w:rFonts w:ascii="Garamond" w:hAnsi="Garamond"/>
          <w:lang w:val="en-AU" w:eastAsia="en-AU"/>
        </w:rPr>
      </w:pPr>
    </w:p>
    <w:p w:rsidR="000C6A11" w:rsidRPr="00A45262" w:rsidRDefault="000C6A11" w:rsidP="00691DE3">
      <w:pPr>
        <w:keepLines/>
        <w:autoSpaceDE w:val="0"/>
        <w:autoSpaceDN w:val="0"/>
        <w:adjustRightInd w:val="0"/>
        <w:rPr>
          <w:rFonts w:ascii="Garamond" w:hAnsi="Garamond"/>
          <w:b/>
          <w:lang w:val="en-AU"/>
        </w:rPr>
      </w:pPr>
      <w:r w:rsidRPr="00A45262">
        <w:rPr>
          <w:rFonts w:ascii="Garamond" w:hAnsi="Garamond"/>
          <w:b/>
          <w:lang w:val="en-AU"/>
        </w:rPr>
        <w:t>Journal articles</w:t>
      </w:r>
    </w:p>
    <w:p w:rsidR="001137F8" w:rsidRPr="00A45262" w:rsidRDefault="001137F8" w:rsidP="001137F8">
      <w:pPr>
        <w:keepNext/>
        <w:rPr>
          <w:rFonts w:ascii="Garamond" w:hAnsi="Garamond"/>
          <w:lang w:val="en-AU"/>
        </w:rPr>
      </w:pPr>
    </w:p>
    <w:p w:rsidR="00D93FF8" w:rsidRPr="00D93FF8" w:rsidRDefault="00D93FF8" w:rsidP="00D93FF8">
      <w:pPr>
        <w:keepNext/>
        <w:rPr>
          <w:rFonts w:ascii="Garamond" w:hAnsi="Garamond"/>
          <w:i/>
          <w:lang w:val="en-AU"/>
        </w:rPr>
      </w:pPr>
      <w:r w:rsidRPr="00D93FF8">
        <w:rPr>
          <w:rFonts w:ascii="Garamond" w:hAnsi="Garamond"/>
          <w:i/>
          <w:lang w:val="en-AU"/>
        </w:rPr>
        <w:t>Patient safety incidents are common in primary care: A national prospective active incident reporting survey</w:t>
      </w:r>
    </w:p>
    <w:p w:rsidR="00D93FF8" w:rsidRDefault="00D93FF8" w:rsidP="00D93FF8">
      <w:pPr>
        <w:keepNext/>
        <w:rPr>
          <w:rFonts w:ascii="Garamond" w:hAnsi="Garamond"/>
          <w:lang w:val="en-AU"/>
        </w:rPr>
      </w:pPr>
      <w:r w:rsidRPr="00D93FF8">
        <w:rPr>
          <w:rFonts w:ascii="Garamond" w:hAnsi="Garamond"/>
          <w:lang w:val="en-AU"/>
        </w:rPr>
        <w:t>Michel P, Brami J, Chanelière M, Kret M, Mosnier A, Dupie I, et al</w:t>
      </w:r>
    </w:p>
    <w:p w:rsidR="00D93FF8" w:rsidRPr="00A45262" w:rsidRDefault="00D93FF8" w:rsidP="00D93FF8">
      <w:pPr>
        <w:keepNext/>
        <w:rPr>
          <w:rFonts w:ascii="Garamond" w:hAnsi="Garamond"/>
          <w:lang w:val="en-AU"/>
        </w:rPr>
      </w:pPr>
      <w:r w:rsidRPr="00D93FF8">
        <w:rPr>
          <w:rFonts w:ascii="Garamond" w:hAnsi="Garamond"/>
          <w:lang w:val="en-AU"/>
        </w:rPr>
        <w:t>PLoS ONE. 2017;12(2):e0165455.</w:t>
      </w:r>
    </w:p>
    <w:tbl>
      <w:tblPr>
        <w:tblStyle w:val="TableGrid"/>
        <w:tblW w:w="0" w:type="auto"/>
        <w:tblInd w:w="288" w:type="dxa"/>
        <w:tblLayout w:type="fixed"/>
        <w:tblLook w:val="01E0" w:firstRow="1" w:lastRow="1" w:firstColumn="1" w:lastColumn="1" w:noHBand="0" w:noVBand="0"/>
      </w:tblPr>
      <w:tblGrid>
        <w:gridCol w:w="1080"/>
        <w:gridCol w:w="8280"/>
      </w:tblGrid>
      <w:tr w:rsidR="00D93FF8" w:rsidRPr="00A45262" w:rsidTr="00D04CE3">
        <w:tc>
          <w:tcPr>
            <w:tcW w:w="1080" w:type="dxa"/>
            <w:tcBorders>
              <w:top w:val="single" w:sz="4" w:space="0" w:color="auto"/>
              <w:left w:val="single" w:sz="4" w:space="0" w:color="auto"/>
              <w:bottom w:val="single" w:sz="4" w:space="0" w:color="auto"/>
              <w:right w:val="single" w:sz="4" w:space="0" w:color="auto"/>
            </w:tcBorders>
            <w:vAlign w:val="center"/>
          </w:tcPr>
          <w:p w:rsidR="00D93FF8" w:rsidRPr="00A45262" w:rsidRDefault="00D93FF8" w:rsidP="00D04CE3">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93FF8" w:rsidRPr="00A45262" w:rsidRDefault="00EC2CA5" w:rsidP="00D04CE3">
            <w:pPr>
              <w:rPr>
                <w:rStyle w:val="Hyperlink"/>
                <w:rFonts w:ascii="Garamond" w:hAnsi="Garamond"/>
                <w:color w:val="auto"/>
                <w:u w:val="none"/>
                <w:lang w:val="en-AU"/>
              </w:rPr>
            </w:pPr>
            <w:hyperlink r:id="rId17" w:history="1">
              <w:r w:rsidR="00D93FF8" w:rsidRPr="000B513C">
                <w:rPr>
                  <w:rStyle w:val="Hyperlink"/>
                  <w:rFonts w:ascii="Garamond" w:hAnsi="Garamond"/>
                  <w:lang w:val="en-AU"/>
                </w:rPr>
                <w:t>http://dx.doi.org/10.1371/journal.pone.0165455</w:t>
              </w:r>
            </w:hyperlink>
            <w:r w:rsidR="00D93FF8">
              <w:rPr>
                <w:rStyle w:val="Hyperlink"/>
                <w:rFonts w:ascii="Garamond" w:hAnsi="Garamond"/>
                <w:color w:val="auto"/>
                <w:u w:val="none"/>
                <w:lang w:val="en-AU"/>
              </w:rPr>
              <w:t xml:space="preserve"> </w:t>
            </w:r>
          </w:p>
        </w:tc>
      </w:tr>
      <w:tr w:rsidR="00D93FF8" w:rsidRPr="00A45262" w:rsidTr="00D04CE3">
        <w:tc>
          <w:tcPr>
            <w:tcW w:w="1080" w:type="dxa"/>
            <w:tcBorders>
              <w:top w:val="single" w:sz="4" w:space="0" w:color="auto"/>
              <w:left w:val="single" w:sz="4" w:space="0" w:color="auto"/>
              <w:bottom w:val="single" w:sz="4" w:space="0" w:color="auto"/>
              <w:right w:val="single" w:sz="4" w:space="0" w:color="auto"/>
            </w:tcBorders>
            <w:vAlign w:val="center"/>
          </w:tcPr>
          <w:p w:rsidR="00D93FF8" w:rsidRPr="00A45262" w:rsidRDefault="00D93FF8" w:rsidP="00D04CE3">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93FF8" w:rsidRPr="00A45262" w:rsidRDefault="00D93FF8" w:rsidP="00D04CE3">
            <w:pPr>
              <w:rPr>
                <w:rFonts w:ascii="Garamond" w:hAnsi="Garamond"/>
                <w:lang w:val="en-AU"/>
              </w:rPr>
            </w:pPr>
            <w:r>
              <w:rPr>
                <w:rFonts w:ascii="Garamond" w:hAnsi="Garamond"/>
                <w:lang w:val="en-AU"/>
              </w:rPr>
              <w:t xml:space="preserve">Historically, much of the focus of the safety and quality movement in healthcare has been on the acute sector, the care taking place in hospitals. It has been understood that primary care – where the majority of care is undertaken – was something of an unknown for the scale and nature of safety and quality issues. This French study asked GPs to report </w:t>
            </w:r>
            <w:r w:rsidRPr="00D93FF8">
              <w:rPr>
                <w:rFonts w:ascii="Garamond" w:hAnsi="Garamond"/>
                <w:lang w:val="en-AU"/>
              </w:rPr>
              <w:t>any incidents observed each day over a one-week period between May and July 2013. An incident was an event or circumstance that could have resulted, or did result, in harm to a patient, which the GP would not wish to recur.</w:t>
            </w:r>
            <w:r>
              <w:rPr>
                <w:rFonts w:ascii="Garamond" w:hAnsi="Garamond"/>
                <w:lang w:val="en-AU"/>
              </w:rPr>
              <w:t xml:space="preserve"> The </w:t>
            </w:r>
            <w:r w:rsidRPr="00D93FF8">
              <w:rPr>
                <w:rFonts w:ascii="Garamond" w:hAnsi="Garamond"/>
                <w:lang w:val="en-AU"/>
              </w:rPr>
              <w:t xml:space="preserve">127 GPs reported </w:t>
            </w:r>
            <w:r w:rsidRPr="00D93FF8">
              <w:rPr>
                <w:rFonts w:ascii="Garamond" w:hAnsi="Garamond"/>
                <w:b/>
                <w:lang w:val="en-AU"/>
              </w:rPr>
              <w:t>317 incidents</w:t>
            </w:r>
            <w:r w:rsidRPr="00D93FF8">
              <w:rPr>
                <w:rFonts w:ascii="Garamond" w:hAnsi="Garamond"/>
                <w:lang w:val="en-AU"/>
              </w:rPr>
              <w:t xml:space="preserve"> of which 270 were deemed to be preventable, among </w:t>
            </w:r>
            <w:r w:rsidRPr="00D93FF8">
              <w:rPr>
                <w:rFonts w:ascii="Garamond" w:hAnsi="Garamond"/>
                <w:b/>
                <w:lang w:val="en-AU"/>
              </w:rPr>
              <w:t>12,348 encounters</w:t>
            </w:r>
            <w:r w:rsidRPr="00D93FF8">
              <w:rPr>
                <w:rFonts w:ascii="Garamond" w:hAnsi="Garamond"/>
                <w:lang w:val="en-AU"/>
              </w:rPr>
              <w:t xml:space="preserve">. 77% had no consequences for the patient. The incidence of reported PSIs was </w:t>
            </w:r>
            <w:r w:rsidRPr="00D93FF8">
              <w:rPr>
                <w:rFonts w:ascii="Garamond" w:hAnsi="Garamond"/>
                <w:b/>
                <w:lang w:val="en-AU"/>
              </w:rPr>
              <w:t>26 per 1000 patient encounters per week</w:t>
            </w:r>
            <w:r w:rsidRPr="00D93FF8">
              <w:rPr>
                <w:rFonts w:ascii="Garamond" w:hAnsi="Garamond"/>
                <w:lang w:val="en-AU"/>
              </w:rPr>
              <w:t>.</w:t>
            </w:r>
            <w:r>
              <w:rPr>
                <w:rFonts w:ascii="Garamond" w:hAnsi="Garamond"/>
                <w:lang w:val="en-AU"/>
              </w:rPr>
              <w:t xml:space="preserve"> The authors concluded that “</w:t>
            </w:r>
            <w:r w:rsidRPr="00D93FF8">
              <w:rPr>
                <w:rFonts w:ascii="Garamond" w:hAnsi="Garamond"/>
                <w:lang w:val="en-AU"/>
              </w:rPr>
              <w:t>Patient safety incidents (PSIs) occurred in mean once every two days in the sampled GPs and 2% of them were associated with a definite possibility for harm.</w:t>
            </w:r>
            <w:r>
              <w:rPr>
                <w:rFonts w:ascii="Garamond" w:hAnsi="Garamond"/>
                <w:lang w:val="en-AU"/>
              </w:rPr>
              <w:t>”</w:t>
            </w:r>
          </w:p>
        </w:tc>
      </w:tr>
    </w:tbl>
    <w:p w:rsidR="00845327" w:rsidRPr="00A45262" w:rsidRDefault="00845327" w:rsidP="00845327">
      <w:pPr>
        <w:keepNext/>
        <w:rPr>
          <w:rFonts w:ascii="Garamond" w:hAnsi="Garamond"/>
          <w:i/>
          <w:lang w:val="en-AU"/>
        </w:rPr>
      </w:pPr>
      <w:r w:rsidRPr="00A45262">
        <w:rPr>
          <w:rFonts w:ascii="Garamond" w:hAnsi="Garamond"/>
          <w:i/>
          <w:lang w:val="en-AU"/>
        </w:rPr>
        <w:lastRenderedPageBreak/>
        <w:t>Variation in outpatient consultant physician fees in Australia by specialty and state and territory</w:t>
      </w:r>
    </w:p>
    <w:p w:rsidR="00845327" w:rsidRPr="00A45262" w:rsidRDefault="00845327" w:rsidP="00845327">
      <w:pPr>
        <w:keepNext/>
        <w:rPr>
          <w:rFonts w:ascii="Garamond" w:hAnsi="Garamond"/>
          <w:lang w:val="en-AU"/>
        </w:rPr>
      </w:pPr>
      <w:r w:rsidRPr="00A45262">
        <w:rPr>
          <w:rFonts w:ascii="Garamond" w:hAnsi="Garamond"/>
          <w:lang w:val="en-AU"/>
        </w:rPr>
        <w:t>Freed GL, Allen AR</w:t>
      </w:r>
    </w:p>
    <w:p w:rsidR="00845327" w:rsidRPr="00A45262" w:rsidRDefault="00845327" w:rsidP="00845327">
      <w:pPr>
        <w:keepNext/>
        <w:rPr>
          <w:rFonts w:ascii="Garamond" w:hAnsi="Garamond"/>
          <w:lang w:val="en-AU"/>
        </w:rPr>
      </w:pPr>
      <w:r w:rsidRPr="00A45262">
        <w:rPr>
          <w:rFonts w:ascii="Garamond" w:hAnsi="Garamond"/>
          <w:lang w:val="en-AU"/>
        </w:rPr>
        <w:t>Medical Journal of Australia. 2017;206(4):176-80.</w:t>
      </w:r>
    </w:p>
    <w:p w:rsidR="00845327" w:rsidRPr="00A45262" w:rsidRDefault="00845327" w:rsidP="00845327">
      <w:pPr>
        <w:keepNext/>
        <w:rPr>
          <w:rFonts w:ascii="Garamond" w:hAnsi="Garamond"/>
          <w:lang w:val="en-AU"/>
        </w:rPr>
      </w:pPr>
    </w:p>
    <w:p w:rsidR="00845327" w:rsidRPr="00A45262" w:rsidRDefault="00845327" w:rsidP="00845327">
      <w:pPr>
        <w:keepNext/>
        <w:rPr>
          <w:rFonts w:ascii="Garamond" w:hAnsi="Garamond"/>
          <w:i/>
          <w:lang w:val="en-AU"/>
        </w:rPr>
      </w:pPr>
      <w:r w:rsidRPr="00A45262">
        <w:rPr>
          <w:rFonts w:ascii="Garamond" w:hAnsi="Garamond"/>
          <w:i/>
          <w:lang w:val="en-AU"/>
        </w:rPr>
        <w:t>Variation in the fees of medical specialists: problems, causes, solutions</w:t>
      </w:r>
    </w:p>
    <w:p w:rsidR="00845327" w:rsidRPr="00A45262" w:rsidRDefault="00845327" w:rsidP="00845327">
      <w:pPr>
        <w:keepNext/>
        <w:rPr>
          <w:rFonts w:ascii="Garamond" w:hAnsi="Garamond"/>
          <w:lang w:val="en-AU"/>
        </w:rPr>
      </w:pPr>
      <w:r w:rsidRPr="00A45262">
        <w:rPr>
          <w:rFonts w:ascii="Garamond" w:hAnsi="Garamond"/>
          <w:lang w:val="en-AU"/>
        </w:rPr>
        <w:t>McRae IS, van Gool KC</w:t>
      </w:r>
    </w:p>
    <w:p w:rsidR="00845327" w:rsidRPr="00A45262" w:rsidRDefault="00845327" w:rsidP="00845327">
      <w:pPr>
        <w:keepNext/>
        <w:rPr>
          <w:rFonts w:ascii="Garamond" w:hAnsi="Garamond"/>
          <w:lang w:val="en-AU"/>
        </w:rPr>
      </w:pPr>
      <w:r w:rsidRPr="00A45262">
        <w:rPr>
          <w:rFonts w:ascii="Garamond" w:hAnsi="Garamond"/>
          <w:lang w:val="en-AU"/>
        </w:rPr>
        <w:t>Medical Journal of Australia. 2017;206(4):162-3.</w:t>
      </w:r>
    </w:p>
    <w:p w:rsidR="00845327" w:rsidRPr="00A45262" w:rsidRDefault="00845327" w:rsidP="00845327">
      <w:pPr>
        <w:keepNext/>
        <w:rPr>
          <w:rFonts w:ascii="Garamond" w:hAnsi="Garamond"/>
          <w:lang w:val="en-AU"/>
        </w:rPr>
      </w:pPr>
    </w:p>
    <w:p w:rsidR="00845327" w:rsidRPr="00A45262" w:rsidRDefault="00845327" w:rsidP="00845327">
      <w:pPr>
        <w:keepNext/>
        <w:rPr>
          <w:rFonts w:ascii="Garamond" w:hAnsi="Garamond"/>
          <w:i/>
          <w:lang w:val="en-AU"/>
        </w:rPr>
      </w:pPr>
      <w:r w:rsidRPr="00A45262">
        <w:rPr>
          <w:rFonts w:ascii="Garamond" w:hAnsi="Garamond"/>
          <w:i/>
          <w:lang w:val="en-AU"/>
        </w:rPr>
        <w:t>Variation in the costs of surgery: seeking value</w:t>
      </w:r>
    </w:p>
    <w:p w:rsidR="00845327" w:rsidRPr="00A45262" w:rsidRDefault="00845327" w:rsidP="00845327">
      <w:pPr>
        <w:keepNext/>
        <w:rPr>
          <w:rFonts w:ascii="Garamond" w:hAnsi="Garamond"/>
          <w:lang w:val="en-AU"/>
        </w:rPr>
      </w:pPr>
      <w:r w:rsidRPr="00A45262">
        <w:rPr>
          <w:rFonts w:ascii="Garamond" w:hAnsi="Garamond"/>
          <w:lang w:val="en-AU"/>
        </w:rPr>
        <w:t>Hillis DJ, Watters DAK, Malisano L, Bailey N, Rankin D</w:t>
      </w:r>
    </w:p>
    <w:p w:rsidR="00845327" w:rsidRPr="00A45262" w:rsidRDefault="00845327" w:rsidP="00845327">
      <w:pPr>
        <w:keepNext/>
        <w:rPr>
          <w:rFonts w:ascii="Garamond" w:hAnsi="Garamond"/>
          <w:lang w:val="en-AU"/>
        </w:rPr>
      </w:pPr>
      <w:r w:rsidRPr="00A45262">
        <w:rPr>
          <w:rFonts w:ascii="Garamond" w:hAnsi="Garamond"/>
          <w:lang w:val="en-AU"/>
        </w:rPr>
        <w:t>Medical Journal of Australia. 2017;206(4):153-4.</w:t>
      </w:r>
    </w:p>
    <w:tbl>
      <w:tblPr>
        <w:tblStyle w:val="TableGrid"/>
        <w:tblW w:w="0" w:type="auto"/>
        <w:tblInd w:w="288" w:type="dxa"/>
        <w:tblLayout w:type="fixed"/>
        <w:tblLook w:val="01E0" w:firstRow="1" w:lastRow="1" w:firstColumn="1" w:lastColumn="1" w:noHBand="0" w:noVBand="0"/>
      </w:tblPr>
      <w:tblGrid>
        <w:gridCol w:w="1080"/>
        <w:gridCol w:w="8280"/>
      </w:tblGrid>
      <w:tr w:rsidR="00845327" w:rsidRPr="00A45262" w:rsidTr="00A80989">
        <w:tc>
          <w:tcPr>
            <w:tcW w:w="1080" w:type="dxa"/>
            <w:tcBorders>
              <w:top w:val="single" w:sz="4" w:space="0" w:color="auto"/>
              <w:left w:val="single" w:sz="4" w:space="0" w:color="auto"/>
              <w:bottom w:val="single" w:sz="4" w:space="0" w:color="auto"/>
              <w:right w:val="single" w:sz="4" w:space="0" w:color="auto"/>
            </w:tcBorders>
            <w:vAlign w:val="center"/>
          </w:tcPr>
          <w:p w:rsidR="00845327" w:rsidRPr="00A45262" w:rsidRDefault="00845327" w:rsidP="00A80989">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45327" w:rsidRPr="00A45262" w:rsidRDefault="00845327" w:rsidP="00A80989">
            <w:pPr>
              <w:rPr>
                <w:rStyle w:val="Hyperlink"/>
                <w:rFonts w:ascii="Garamond" w:hAnsi="Garamond"/>
                <w:color w:val="auto"/>
                <w:u w:val="none"/>
                <w:lang w:val="en-AU"/>
              </w:rPr>
            </w:pPr>
            <w:r w:rsidRPr="00A45262">
              <w:rPr>
                <w:rStyle w:val="Hyperlink"/>
                <w:rFonts w:ascii="Garamond" w:hAnsi="Garamond"/>
                <w:color w:val="auto"/>
                <w:u w:val="none"/>
                <w:lang w:val="en-AU"/>
              </w:rPr>
              <w:t xml:space="preserve">Freed and Allen </w:t>
            </w:r>
            <w:hyperlink r:id="rId18" w:history="1">
              <w:r w:rsidRPr="00A45262">
                <w:rPr>
                  <w:rStyle w:val="Hyperlink"/>
                  <w:rFonts w:ascii="Garamond" w:hAnsi="Garamond"/>
                  <w:lang w:val="en-AU"/>
                </w:rPr>
                <w:t>http://dx.doi.org/10.5694/mja16.00653</w:t>
              </w:r>
            </w:hyperlink>
          </w:p>
          <w:p w:rsidR="00845327" w:rsidRPr="00A45262" w:rsidRDefault="00845327" w:rsidP="00A80989">
            <w:pPr>
              <w:rPr>
                <w:rStyle w:val="Hyperlink"/>
                <w:rFonts w:ascii="Garamond" w:hAnsi="Garamond"/>
                <w:color w:val="auto"/>
                <w:u w:val="none"/>
                <w:lang w:val="en-AU"/>
              </w:rPr>
            </w:pPr>
            <w:r w:rsidRPr="00A45262">
              <w:rPr>
                <w:rStyle w:val="Hyperlink"/>
                <w:rFonts w:ascii="Garamond" w:hAnsi="Garamond"/>
                <w:color w:val="auto"/>
                <w:u w:val="none"/>
                <w:lang w:val="en-AU"/>
              </w:rPr>
              <w:t xml:space="preserve">McRae and van Gool </w:t>
            </w:r>
            <w:hyperlink r:id="rId19" w:history="1">
              <w:r w:rsidRPr="00A45262">
                <w:rPr>
                  <w:rStyle w:val="Hyperlink"/>
                  <w:rFonts w:ascii="Garamond" w:hAnsi="Garamond"/>
                  <w:lang w:val="en-AU"/>
                </w:rPr>
                <w:t>http://dx.doi.org/10.5694/mja16.01297</w:t>
              </w:r>
            </w:hyperlink>
          </w:p>
          <w:p w:rsidR="00845327" w:rsidRPr="00A45262" w:rsidRDefault="00845327" w:rsidP="00A80989">
            <w:pPr>
              <w:rPr>
                <w:rStyle w:val="Hyperlink"/>
                <w:rFonts w:ascii="Garamond" w:hAnsi="Garamond"/>
                <w:color w:val="auto"/>
                <w:u w:val="none"/>
                <w:lang w:val="en-AU"/>
              </w:rPr>
            </w:pPr>
            <w:r w:rsidRPr="00A45262">
              <w:rPr>
                <w:rStyle w:val="Hyperlink"/>
                <w:rFonts w:ascii="Garamond" w:hAnsi="Garamond"/>
                <w:color w:val="auto"/>
                <w:u w:val="none"/>
                <w:lang w:val="en-AU"/>
              </w:rPr>
              <w:t xml:space="preserve">Hillis et al </w:t>
            </w:r>
            <w:hyperlink r:id="rId20" w:history="1">
              <w:r w:rsidRPr="00A45262">
                <w:rPr>
                  <w:rStyle w:val="Hyperlink"/>
                  <w:rFonts w:ascii="Garamond" w:hAnsi="Garamond"/>
                  <w:lang w:val="en-AU"/>
                </w:rPr>
                <w:t>http://dx.doi.org/10.5694/mja16.01161</w:t>
              </w:r>
            </w:hyperlink>
          </w:p>
        </w:tc>
      </w:tr>
      <w:tr w:rsidR="00845327" w:rsidRPr="00A45262" w:rsidTr="00A80989">
        <w:tc>
          <w:tcPr>
            <w:tcW w:w="1080" w:type="dxa"/>
            <w:tcBorders>
              <w:top w:val="single" w:sz="4" w:space="0" w:color="auto"/>
              <w:left w:val="single" w:sz="4" w:space="0" w:color="auto"/>
              <w:bottom w:val="single" w:sz="4" w:space="0" w:color="auto"/>
              <w:right w:val="single" w:sz="4" w:space="0" w:color="auto"/>
            </w:tcBorders>
            <w:vAlign w:val="center"/>
          </w:tcPr>
          <w:p w:rsidR="00845327" w:rsidRPr="00A45262" w:rsidRDefault="00845327" w:rsidP="00A80989">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B2C7A" w:rsidRDefault="006B2C7A" w:rsidP="006B2C7A">
            <w:pPr>
              <w:rPr>
                <w:rFonts w:ascii="Garamond" w:hAnsi="Garamond"/>
                <w:lang w:val="en-AU"/>
              </w:rPr>
            </w:pPr>
            <w:r>
              <w:rPr>
                <w:rFonts w:ascii="Garamond" w:hAnsi="Garamond"/>
                <w:lang w:val="en-AU"/>
              </w:rPr>
              <w:t xml:space="preserve">The issue of variation has become quite prominent. </w:t>
            </w:r>
            <w:r w:rsidR="00BC7A1D">
              <w:rPr>
                <w:rFonts w:ascii="Garamond" w:hAnsi="Garamond"/>
                <w:lang w:val="en-AU"/>
              </w:rPr>
              <w:t xml:space="preserve">Three articles in the latest </w:t>
            </w:r>
            <w:r w:rsidR="00BC7A1D" w:rsidRPr="006B2C7A">
              <w:rPr>
                <w:rFonts w:ascii="Garamond" w:hAnsi="Garamond"/>
                <w:i/>
                <w:lang w:val="en-AU"/>
              </w:rPr>
              <w:t>MJA</w:t>
            </w:r>
            <w:r w:rsidR="00BC7A1D">
              <w:rPr>
                <w:rFonts w:ascii="Garamond" w:hAnsi="Garamond"/>
                <w:lang w:val="en-AU"/>
              </w:rPr>
              <w:t xml:space="preserve"> discuss the considerable variation in fees for surgery, noting the considerable out-of-pocket </w:t>
            </w:r>
            <w:r w:rsidR="003A2F9C">
              <w:rPr>
                <w:rFonts w:ascii="Garamond" w:hAnsi="Garamond"/>
                <w:lang w:val="en-AU"/>
              </w:rPr>
              <w:t>(OOP)</w:t>
            </w:r>
            <w:r>
              <w:rPr>
                <w:rFonts w:ascii="Garamond" w:hAnsi="Garamond"/>
                <w:lang w:val="en-AU"/>
              </w:rPr>
              <w:t xml:space="preserve"> </w:t>
            </w:r>
            <w:r w:rsidR="00BC7A1D">
              <w:rPr>
                <w:rFonts w:ascii="Garamond" w:hAnsi="Garamond"/>
                <w:lang w:val="en-AU"/>
              </w:rPr>
              <w:t>costs for patients</w:t>
            </w:r>
            <w:r w:rsidR="003A2F9C">
              <w:rPr>
                <w:rFonts w:ascii="Garamond" w:hAnsi="Garamond"/>
                <w:lang w:val="en-AU"/>
              </w:rPr>
              <w:t xml:space="preserve">, and the </w:t>
            </w:r>
            <w:r>
              <w:rPr>
                <w:rFonts w:ascii="Garamond" w:hAnsi="Garamond"/>
                <w:lang w:val="en-AU"/>
              </w:rPr>
              <w:t>possible consequences</w:t>
            </w:r>
            <w:r w:rsidR="003A2F9C">
              <w:rPr>
                <w:rFonts w:ascii="Garamond" w:hAnsi="Garamond"/>
                <w:lang w:val="en-AU"/>
              </w:rPr>
              <w:t xml:space="preserve"> for sustainability</w:t>
            </w:r>
            <w:r w:rsidR="00BC7A1D">
              <w:rPr>
                <w:rFonts w:ascii="Garamond" w:hAnsi="Garamond"/>
                <w:lang w:val="en-AU"/>
              </w:rPr>
              <w:t xml:space="preserve">. </w:t>
            </w:r>
          </w:p>
          <w:p w:rsidR="006B2C7A" w:rsidRDefault="00BC7A1D" w:rsidP="006B2C7A">
            <w:pPr>
              <w:rPr>
                <w:rFonts w:ascii="Garamond" w:hAnsi="Garamond"/>
                <w:lang w:val="en-AU"/>
              </w:rPr>
            </w:pPr>
            <w:r>
              <w:rPr>
                <w:rFonts w:ascii="Garamond" w:hAnsi="Garamond"/>
                <w:lang w:val="en-AU"/>
              </w:rPr>
              <w:t xml:space="preserve">Hillis et al use hip fracture surgery as an example, </w:t>
            </w:r>
            <w:r w:rsidR="003A2F9C">
              <w:rPr>
                <w:rFonts w:ascii="Garamond" w:hAnsi="Garamond"/>
                <w:lang w:val="en-AU"/>
              </w:rPr>
              <w:t xml:space="preserve">with varying costs in terms of hospital length of stay, the costs of prostheses and OOP costs. </w:t>
            </w:r>
            <w:r w:rsidR="003A2F9C" w:rsidRPr="003A2F9C">
              <w:rPr>
                <w:rFonts w:ascii="Garamond" w:hAnsi="Garamond"/>
                <w:lang w:val="en-AU"/>
              </w:rPr>
              <w:t xml:space="preserve">For the 299 surgeons who performed at least five hip replacements, 142 (47%) did not charge any OOP. The OOP charged ranged from none to $4057. </w:t>
            </w:r>
          </w:p>
          <w:p w:rsidR="006B2C7A" w:rsidRDefault="00BC7A1D" w:rsidP="006B2C7A">
            <w:pPr>
              <w:rPr>
                <w:rFonts w:ascii="Garamond" w:hAnsi="Garamond"/>
                <w:lang w:val="en-AU"/>
              </w:rPr>
            </w:pPr>
            <w:r>
              <w:rPr>
                <w:rFonts w:ascii="Garamond" w:hAnsi="Garamond"/>
                <w:lang w:val="en-AU"/>
              </w:rPr>
              <w:t xml:space="preserve">Freed </w:t>
            </w:r>
            <w:r w:rsidR="006B2C7A">
              <w:rPr>
                <w:rFonts w:ascii="Garamond" w:hAnsi="Garamond"/>
                <w:lang w:val="en-AU"/>
              </w:rPr>
              <w:t xml:space="preserve">and Allen </w:t>
            </w:r>
            <w:r>
              <w:rPr>
                <w:rFonts w:ascii="Garamond" w:hAnsi="Garamond"/>
                <w:lang w:val="en-AU"/>
              </w:rPr>
              <w:t xml:space="preserve">compare bulk-billing rates across 11 major specialties, </w:t>
            </w:r>
            <w:r w:rsidR="006B2C7A">
              <w:rPr>
                <w:rFonts w:ascii="Garamond" w:hAnsi="Garamond"/>
                <w:lang w:val="en-AU"/>
              </w:rPr>
              <w:t xml:space="preserve">finding </w:t>
            </w:r>
            <w:r>
              <w:rPr>
                <w:rFonts w:ascii="Garamond" w:hAnsi="Garamond"/>
                <w:lang w:val="en-AU"/>
              </w:rPr>
              <w:t xml:space="preserve">considerable variation, and </w:t>
            </w:r>
            <w:r w:rsidR="006B2C7A">
              <w:rPr>
                <w:rFonts w:ascii="Garamond" w:hAnsi="Garamond"/>
                <w:lang w:val="en-AU"/>
              </w:rPr>
              <w:t xml:space="preserve">that </w:t>
            </w:r>
            <w:r>
              <w:rPr>
                <w:rFonts w:ascii="Garamond" w:hAnsi="Garamond"/>
                <w:lang w:val="en-AU"/>
              </w:rPr>
              <w:t xml:space="preserve">only </w:t>
            </w:r>
            <w:r w:rsidRPr="003A2F9C">
              <w:rPr>
                <w:rFonts w:ascii="Garamond" w:hAnsi="Garamond"/>
                <w:lang w:val="en-AU"/>
              </w:rPr>
              <w:t xml:space="preserve">haematology and medical oncology </w:t>
            </w:r>
            <w:r w:rsidR="006B2C7A">
              <w:rPr>
                <w:rFonts w:ascii="Garamond" w:hAnsi="Garamond"/>
                <w:lang w:val="en-AU"/>
              </w:rPr>
              <w:t xml:space="preserve">showed </w:t>
            </w:r>
            <w:r w:rsidRPr="003A2F9C">
              <w:rPr>
                <w:rFonts w:ascii="Garamond" w:hAnsi="Garamond"/>
                <w:lang w:val="en-AU"/>
              </w:rPr>
              <w:t xml:space="preserve">bulk-billing </w:t>
            </w:r>
            <w:r w:rsidR="006B2C7A">
              <w:rPr>
                <w:rFonts w:ascii="Garamond" w:hAnsi="Garamond"/>
                <w:lang w:val="en-AU"/>
              </w:rPr>
              <w:t xml:space="preserve">for </w:t>
            </w:r>
            <w:r w:rsidRPr="003A2F9C">
              <w:rPr>
                <w:rFonts w:ascii="Garamond" w:hAnsi="Garamond"/>
                <w:lang w:val="en-AU"/>
              </w:rPr>
              <w:t>more than half of initial consultations. Out-of-pocket payments varied more than fivefold in some specialties.</w:t>
            </w:r>
          </w:p>
          <w:p w:rsidR="00845327" w:rsidRPr="00A45262" w:rsidRDefault="00BC7A1D" w:rsidP="006B2C7A">
            <w:pPr>
              <w:rPr>
                <w:rFonts w:ascii="Garamond" w:hAnsi="Garamond"/>
                <w:lang w:val="en-AU"/>
              </w:rPr>
            </w:pPr>
            <w:r>
              <w:rPr>
                <w:rFonts w:ascii="Garamond" w:hAnsi="Garamond"/>
                <w:lang w:val="en-AU"/>
              </w:rPr>
              <w:t xml:space="preserve">McRae </w:t>
            </w:r>
            <w:r w:rsidR="006B2C7A">
              <w:rPr>
                <w:rFonts w:ascii="Garamond" w:hAnsi="Garamond"/>
                <w:lang w:val="en-AU"/>
              </w:rPr>
              <w:t xml:space="preserve">and van Gool </w:t>
            </w:r>
            <w:r>
              <w:rPr>
                <w:rFonts w:ascii="Garamond" w:hAnsi="Garamond"/>
                <w:lang w:val="en-AU"/>
              </w:rPr>
              <w:t>describe causes and potential solutions, with transparency of information</w:t>
            </w:r>
            <w:r w:rsidR="003A2F9C">
              <w:rPr>
                <w:rFonts w:ascii="Garamond" w:hAnsi="Garamond"/>
                <w:lang w:val="en-AU"/>
              </w:rPr>
              <w:t xml:space="preserve"> about costs and fees</w:t>
            </w:r>
            <w:r>
              <w:rPr>
                <w:rFonts w:ascii="Garamond" w:hAnsi="Garamond"/>
                <w:lang w:val="en-AU"/>
              </w:rPr>
              <w:t xml:space="preserve"> being a key theme.</w:t>
            </w:r>
          </w:p>
        </w:tc>
      </w:tr>
    </w:tbl>
    <w:p w:rsidR="00845327" w:rsidRPr="00A45262" w:rsidRDefault="00845327" w:rsidP="00845327">
      <w:pPr>
        <w:rPr>
          <w:rFonts w:ascii="Garamond" w:hAnsi="Garamond"/>
          <w:lang w:val="en-AU" w:eastAsia="en-AU"/>
        </w:rPr>
      </w:pPr>
    </w:p>
    <w:p w:rsidR="00260A12" w:rsidRPr="00A45262" w:rsidRDefault="00260A12" w:rsidP="00260A12">
      <w:pPr>
        <w:keepNext/>
        <w:rPr>
          <w:rFonts w:ascii="Garamond" w:hAnsi="Garamond"/>
          <w:i/>
          <w:lang w:val="en-AU"/>
        </w:rPr>
      </w:pPr>
      <w:r w:rsidRPr="00A45262">
        <w:rPr>
          <w:rFonts w:ascii="Garamond" w:hAnsi="Garamond"/>
          <w:i/>
          <w:lang w:val="en-AU"/>
        </w:rPr>
        <w:t>Use of standard risk screening and assessment forms to prevent harm to older people in Australian hospitals: a mixed methods study</w:t>
      </w:r>
    </w:p>
    <w:p w:rsidR="00260A12" w:rsidRPr="00A45262" w:rsidRDefault="00260A12" w:rsidP="00820C93">
      <w:pPr>
        <w:keepNext/>
        <w:rPr>
          <w:rFonts w:ascii="Garamond" w:hAnsi="Garamond"/>
          <w:lang w:val="en-AU"/>
        </w:rPr>
      </w:pPr>
      <w:r w:rsidRPr="00A45262">
        <w:rPr>
          <w:rFonts w:ascii="Garamond" w:hAnsi="Garamond"/>
          <w:lang w:val="en-AU"/>
        </w:rPr>
        <w:t>Redley B, Raggatt M</w:t>
      </w:r>
    </w:p>
    <w:p w:rsidR="00820C93" w:rsidRPr="00A45262" w:rsidRDefault="00260A12" w:rsidP="00820C93">
      <w:pPr>
        <w:keepNext/>
        <w:rPr>
          <w:rFonts w:ascii="Garamond" w:hAnsi="Garamond"/>
          <w:lang w:val="en-AU"/>
        </w:rPr>
      </w:pPr>
      <w:r w:rsidRPr="00A45262">
        <w:rPr>
          <w:rFonts w:ascii="Garamond" w:hAnsi="Garamond"/>
          <w:lang w:val="en-AU"/>
        </w:rPr>
        <w:t>BMJ Quality &amp; Safety. 2017.</w:t>
      </w:r>
    </w:p>
    <w:tbl>
      <w:tblPr>
        <w:tblStyle w:val="TableGrid"/>
        <w:tblW w:w="0" w:type="auto"/>
        <w:tblInd w:w="288" w:type="dxa"/>
        <w:tblLayout w:type="fixed"/>
        <w:tblLook w:val="01E0" w:firstRow="1" w:lastRow="1" w:firstColumn="1" w:lastColumn="1" w:noHBand="0" w:noVBand="0"/>
      </w:tblPr>
      <w:tblGrid>
        <w:gridCol w:w="1080"/>
        <w:gridCol w:w="8280"/>
      </w:tblGrid>
      <w:tr w:rsidR="00820C93" w:rsidRPr="00A45262" w:rsidTr="000D508A">
        <w:tc>
          <w:tcPr>
            <w:tcW w:w="1080" w:type="dxa"/>
            <w:tcBorders>
              <w:top w:val="single" w:sz="4" w:space="0" w:color="auto"/>
              <w:left w:val="single" w:sz="4" w:space="0" w:color="auto"/>
              <w:bottom w:val="single" w:sz="4" w:space="0" w:color="auto"/>
              <w:right w:val="single" w:sz="4" w:space="0" w:color="auto"/>
            </w:tcBorders>
            <w:vAlign w:val="center"/>
          </w:tcPr>
          <w:p w:rsidR="00820C93" w:rsidRPr="00A45262" w:rsidRDefault="00820C93" w:rsidP="000D508A">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20C93" w:rsidRPr="00A45262" w:rsidRDefault="00EC2CA5" w:rsidP="000D508A">
            <w:pPr>
              <w:rPr>
                <w:rStyle w:val="Hyperlink"/>
                <w:rFonts w:ascii="Garamond" w:hAnsi="Garamond"/>
                <w:color w:val="auto"/>
                <w:u w:val="none"/>
                <w:lang w:val="en-AU"/>
              </w:rPr>
            </w:pPr>
            <w:hyperlink r:id="rId21" w:history="1">
              <w:r w:rsidR="00260A12" w:rsidRPr="00A45262">
                <w:rPr>
                  <w:rStyle w:val="Hyperlink"/>
                  <w:rFonts w:ascii="Garamond" w:hAnsi="Garamond"/>
                  <w:lang w:val="en-AU"/>
                </w:rPr>
                <w:t>http://dx.doi.org/10.1136/bmjqs-2016-005867</w:t>
              </w:r>
            </w:hyperlink>
          </w:p>
        </w:tc>
      </w:tr>
      <w:tr w:rsidR="00820C93" w:rsidRPr="00A45262" w:rsidTr="000D508A">
        <w:tc>
          <w:tcPr>
            <w:tcW w:w="1080" w:type="dxa"/>
            <w:tcBorders>
              <w:top w:val="single" w:sz="4" w:space="0" w:color="auto"/>
              <w:left w:val="single" w:sz="4" w:space="0" w:color="auto"/>
              <w:bottom w:val="single" w:sz="4" w:space="0" w:color="auto"/>
              <w:right w:val="single" w:sz="4" w:space="0" w:color="auto"/>
            </w:tcBorders>
            <w:vAlign w:val="center"/>
          </w:tcPr>
          <w:p w:rsidR="00820C93" w:rsidRPr="00A45262" w:rsidRDefault="00820C93" w:rsidP="000D508A">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20C93" w:rsidRPr="00A45262" w:rsidRDefault="00260A12" w:rsidP="00260A12">
            <w:pPr>
              <w:rPr>
                <w:rFonts w:ascii="Garamond" w:hAnsi="Garamond"/>
                <w:lang w:val="en-AU"/>
              </w:rPr>
            </w:pPr>
            <w:r w:rsidRPr="00A45262">
              <w:rPr>
                <w:rFonts w:ascii="Garamond" w:hAnsi="Garamond"/>
                <w:lang w:val="en-AU"/>
              </w:rPr>
              <w:t>This study of standardised patient risk screening and assessment tools in 11 Victorian health services reported finding that in this small selection of health services there were 52 standard assessment forms in use (the abstract says 152). The paper goes on to discuss many of the implications of such a range of ‘standard’ forms. These include the range of items covered (and not covered such as frailty, nutrition and cognitive impairment) by these forms, the burdens on staff and patients, the difficulty of converting information into appropriate care, poor integration with technology, and others. The author’s off</w:t>
            </w:r>
            <w:r w:rsidR="00EB12CC">
              <w:rPr>
                <w:rFonts w:ascii="Garamond" w:hAnsi="Garamond"/>
                <w:lang w:val="en-AU"/>
              </w:rPr>
              <w:t>er</w:t>
            </w:r>
            <w:r w:rsidRPr="00A45262">
              <w:rPr>
                <w:rFonts w:ascii="Garamond" w:hAnsi="Garamond"/>
                <w:lang w:val="en-AU"/>
              </w:rPr>
              <w:t xml:space="preserve"> a set of key recommendations:</w:t>
            </w:r>
          </w:p>
          <w:p w:rsidR="00260A12" w:rsidRPr="00A45262" w:rsidRDefault="00260A12" w:rsidP="00260A12">
            <w:pPr>
              <w:pStyle w:val="ListParagraph"/>
              <w:numPr>
                <w:ilvl w:val="0"/>
                <w:numId w:val="39"/>
              </w:numPr>
              <w:rPr>
                <w:rFonts w:ascii="Garamond" w:hAnsi="Garamond"/>
                <w:lang w:val="en-AU"/>
              </w:rPr>
            </w:pPr>
            <w:r w:rsidRPr="00A45262">
              <w:rPr>
                <w:rFonts w:ascii="Garamond" w:hAnsi="Garamond"/>
                <w:lang w:val="en-AU"/>
              </w:rPr>
              <w:t>Bundle interventions to address multiple risks: Explore use of global triggers and intervention bundles to address multiple risks, for example, frailty, vulnerability, cognitive impairment.</w:t>
            </w:r>
          </w:p>
          <w:p w:rsidR="00260A12" w:rsidRPr="00A45262" w:rsidRDefault="00260A12" w:rsidP="00260A12">
            <w:pPr>
              <w:pStyle w:val="ListParagraph"/>
              <w:numPr>
                <w:ilvl w:val="0"/>
                <w:numId w:val="39"/>
              </w:numPr>
              <w:rPr>
                <w:rFonts w:ascii="Garamond" w:hAnsi="Garamond"/>
                <w:lang w:val="en-AU"/>
              </w:rPr>
            </w:pPr>
            <w:r w:rsidRPr="00A45262">
              <w:rPr>
                <w:rFonts w:ascii="Garamond" w:hAnsi="Garamond"/>
                <w:lang w:val="en-AU"/>
              </w:rPr>
              <w:t>Combine and streamline assessment tools to reduce burden on patients and staff.</w:t>
            </w:r>
          </w:p>
          <w:p w:rsidR="00260A12" w:rsidRPr="00A45262" w:rsidRDefault="00260A12" w:rsidP="00260A12">
            <w:pPr>
              <w:pStyle w:val="ListParagraph"/>
              <w:numPr>
                <w:ilvl w:val="0"/>
                <w:numId w:val="39"/>
              </w:numPr>
              <w:rPr>
                <w:rFonts w:ascii="Garamond" w:hAnsi="Garamond"/>
                <w:lang w:val="en-AU"/>
              </w:rPr>
            </w:pPr>
            <w:r w:rsidRPr="00A45262">
              <w:rPr>
                <w:rFonts w:ascii="Garamond" w:hAnsi="Garamond"/>
                <w:lang w:val="en-AU"/>
              </w:rPr>
              <w:t>Support individualised care and clinical judgement in complexity: Include the patient's voice and support iterative decision-making.</w:t>
            </w:r>
          </w:p>
          <w:p w:rsidR="00260A12" w:rsidRPr="00A45262" w:rsidRDefault="00260A12" w:rsidP="00260A12">
            <w:pPr>
              <w:pStyle w:val="ListParagraph"/>
              <w:numPr>
                <w:ilvl w:val="0"/>
                <w:numId w:val="39"/>
              </w:numPr>
              <w:rPr>
                <w:rFonts w:ascii="Garamond" w:hAnsi="Garamond"/>
                <w:lang w:val="en-AU"/>
              </w:rPr>
            </w:pPr>
            <w:r w:rsidRPr="00A45262">
              <w:rPr>
                <w:rFonts w:ascii="Garamond" w:hAnsi="Garamond"/>
                <w:lang w:val="en-AU"/>
              </w:rPr>
              <w:t>Build resilience in front-line clinical governance: Shift focus of quality monitoring from error and form compliance to recognising good practice and effectiveness of patient-centred intervention.</w:t>
            </w:r>
          </w:p>
        </w:tc>
      </w:tr>
    </w:tbl>
    <w:p w:rsidR="004A1C2F" w:rsidRPr="00A45262" w:rsidRDefault="004A1C2F" w:rsidP="004A1C2F">
      <w:pPr>
        <w:keepNext/>
        <w:rPr>
          <w:rFonts w:ascii="Garamond" w:hAnsi="Garamond"/>
          <w:i/>
          <w:lang w:val="en-AU"/>
        </w:rPr>
      </w:pPr>
      <w:r w:rsidRPr="00A45262">
        <w:rPr>
          <w:rFonts w:ascii="Garamond" w:hAnsi="Garamond"/>
          <w:i/>
          <w:lang w:val="en-AU"/>
        </w:rPr>
        <w:lastRenderedPageBreak/>
        <w:t>Thirty years of the World Health Organization’s target caesarean section rate: time to move on</w:t>
      </w:r>
    </w:p>
    <w:p w:rsidR="004A1C2F" w:rsidRPr="00A45262" w:rsidRDefault="004A1C2F" w:rsidP="004A1C2F">
      <w:pPr>
        <w:keepNext/>
        <w:rPr>
          <w:rFonts w:ascii="Garamond" w:hAnsi="Garamond"/>
          <w:lang w:val="en-AU"/>
        </w:rPr>
      </w:pPr>
      <w:r w:rsidRPr="00A45262">
        <w:rPr>
          <w:rFonts w:ascii="Garamond" w:hAnsi="Garamond"/>
          <w:lang w:val="en-AU"/>
        </w:rPr>
        <w:t>Robson SJ, de Costa CM</w:t>
      </w:r>
    </w:p>
    <w:p w:rsidR="004A1C2F" w:rsidRPr="00A45262" w:rsidRDefault="004A1C2F" w:rsidP="004A1C2F">
      <w:pPr>
        <w:keepNext/>
        <w:rPr>
          <w:rFonts w:ascii="Garamond" w:hAnsi="Garamond"/>
          <w:lang w:val="en-AU"/>
        </w:rPr>
      </w:pPr>
      <w:r w:rsidRPr="00A45262">
        <w:rPr>
          <w:rFonts w:ascii="Garamond" w:hAnsi="Garamond"/>
          <w:lang w:val="en-AU"/>
        </w:rPr>
        <w:t>Medical Journal of Australia. 2017;206(4):181-5.</w:t>
      </w:r>
    </w:p>
    <w:tbl>
      <w:tblPr>
        <w:tblStyle w:val="TableGrid"/>
        <w:tblW w:w="0" w:type="auto"/>
        <w:tblInd w:w="288" w:type="dxa"/>
        <w:tblLayout w:type="fixed"/>
        <w:tblLook w:val="01E0" w:firstRow="1" w:lastRow="1" w:firstColumn="1" w:lastColumn="1" w:noHBand="0" w:noVBand="0"/>
      </w:tblPr>
      <w:tblGrid>
        <w:gridCol w:w="1080"/>
        <w:gridCol w:w="8280"/>
      </w:tblGrid>
      <w:tr w:rsidR="004A1C2F" w:rsidRPr="00A45262" w:rsidTr="00D04CE3">
        <w:tc>
          <w:tcPr>
            <w:tcW w:w="1080" w:type="dxa"/>
            <w:tcBorders>
              <w:top w:val="single" w:sz="4" w:space="0" w:color="auto"/>
              <w:left w:val="single" w:sz="4" w:space="0" w:color="auto"/>
              <w:bottom w:val="single" w:sz="4" w:space="0" w:color="auto"/>
              <w:right w:val="single" w:sz="4" w:space="0" w:color="auto"/>
            </w:tcBorders>
            <w:vAlign w:val="center"/>
          </w:tcPr>
          <w:p w:rsidR="004A1C2F" w:rsidRPr="00A45262" w:rsidRDefault="004A1C2F" w:rsidP="00D04CE3">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A1C2F" w:rsidRPr="00A45262" w:rsidRDefault="00EC2CA5" w:rsidP="00D04CE3">
            <w:pPr>
              <w:rPr>
                <w:rStyle w:val="Hyperlink"/>
                <w:rFonts w:ascii="Garamond" w:hAnsi="Garamond"/>
                <w:color w:val="auto"/>
                <w:u w:val="none"/>
                <w:lang w:val="en-AU"/>
              </w:rPr>
            </w:pPr>
            <w:hyperlink r:id="rId22" w:history="1">
              <w:r w:rsidR="004A1C2F" w:rsidRPr="00A45262">
                <w:rPr>
                  <w:rStyle w:val="Hyperlink"/>
                  <w:rFonts w:ascii="Garamond" w:hAnsi="Garamond"/>
                  <w:lang w:val="en-AU"/>
                </w:rPr>
                <w:t>http://dx.doi.org/10.5694/mja16.00832</w:t>
              </w:r>
            </w:hyperlink>
          </w:p>
        </w:tc>
      </w:tr>
      <w:tr w:rsidR="004A1C2F" w:rsidRPr="00A45262" w:rsidTr="00D04CE3">
        <w:tc>
          <w:tcPr>
            <w:tcW w:w="1080" w:type="dxa"/>
            <w:tcBorders>
              <w:top w:val="single" w:sz="4" w:space="0" w:color="auto"/>
              <w:left w:val="single" w:sz="4" w:space="0" w:color="auto"/>
              <w:bottom w:val="single" w:sz="4" w:space="0" w:color="auto"/>
              <w:right w:val="single" w:sz="4" w:space="0" w:color="auto"/>
            </w:tcBorders>
            <w:vAlign w:val="center"/>
          </w:tcPr>
          <w:p w:rsidR="004A1C2F" w:rsidRPr="00A45262" w:rsidRDefault="004A1C2F" w:rsidP="00D04CE3">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A1C2F" w:rsidRPr="00A45262" w:rsidRDefault="004A1C2F" w:rsidP="00D04CE3">
            <w:pPr>
              <w:rPr>
                <w:rFonts w:ascii="Garamond" w:hAnsi="Garamond"/>
                <w:lang w:val="en-AU"/>
              </w:rPr>
            </w:pPr>
            <w:r>
              <w:rPr>
                <w:rFonts w:ascii="Garamond" w:hAnsi="Garamond"/>
                <w:lang w:val="en-AU"/>
              </w:rPr>
              <w:t>The authors discuss the WHO’s target caesarean rate of 15% and ask whether an international rate is realistic. They describe the differences in demographics, and particularly the increasing average maternal age in Australia, as well as the long-term negative impacts of vaginal birth.</w:t>
            </w:r>
          </w:p>
        </w:tc>
      </w:tr>
    </w:tbl>
    <w:p w:rsidR="00820C93" w:rsidRDefault="00820C93" w:rsidP="00820C93">
      <w:pPr>
        <w:keepNext/>
        <w:rPr>
          <w:rFonts w:ascii="Garamond" w:hAnsi="Garamond"/>
          <w:lang w:val="en-AU"/>
        </w:rPr>
      </w:pPr>
    </w:p>
    <w:p w:rsidR="00D93FF8" w:rsidRPr="00A45262" w:rsidRDefault="00D93FF8" w:rsidP="00D93FF8">
      <w:pPr>
        <w:keepNext/>
        <w:rPr>
          <w:rFonts w:ascii="Garamond" w:hAnsi="Garamond"/>
          <w:i/>
          <w:lang w:val="en-AU"/>
        </w:rPr>
      </w:pPr>
      <w:r w:rsidRPr="00A45262">
        <w:rPr>
          <w:rFonts w:ascii="Garamond" w:hAnsi="Garamond"/>
          <w:i/>
          <w:lang w:val="en-AU"/>
        </w:rPr>
        <w:t>Understanding 30-day re-admission after hospitalisation of older patients for diabetes: identifying those at greatest risk</w:t>
      </w:r>
    </w:p>
    <w:p w:rsidR="00D93FF8" w:rsidRPr="00A45262" w:rsidRDefault="00D93FF8" w:rsidP="00D93FF8">
      <w:pPr>
        <w:keepNext/>
        <w:rPr>
          <w:rFonts w:ascii="Garamond" w:hAnsi="Garamond"/>
          <w:lang w:val="en-AU"/>
        </w:rPr>
      </w:pPr>
      <w:r w:rsidRPr="00A45262">
        <w:rPr>
          <w:rFonts w:ascii="Garamond" w:hAnsi="Garamond"/>
          <w:lang w:val="en-AU"/>
        </w:rPr>
        <w:t>Caughey GE, Pratt NL, Barratt JD, Shakib S, Kemp-Casey AR, Roughead EE</w:t>
      </w:r>
    </w:p>
    <w:p w:rsidR="00D93FF8" w:rsidRPr="00A45262" w:rsidRDefault="00D93FF8" w:rsidP="00D93FF8">
      <w:pPr>
        <w:keepNext/>
        <w:rPr>
          <w:rFonts w:ascii="Garamond" w:hAnsi="Garamond"/>
          <w:lang w:val="en-AU"/>
        </w:rPr>
      </w:pPr>
      <w:r w:rsidRPr="00A45262">
        <w:rPr>
          <w:rFonts w:ascii="Garamond" w:hAnsi="Garamond"/>
          <w:lang w:val="en-AU"/>
        </w:rPr>
        <w:t>Medical Journal of Australia. 2017;206(4):170-5.</w:t>
      </w:r>
    </w:p>
    <w:tbl>
      <w:tblPr>
        <w:tblStyle w:val="TableGrid"/>
        <w:tblW w:w="0" w:type="auto"/>
        <w:tblInd w:w="288" w:type="dxa"/>
        <w:tblLayout w:type="fixed"/>
        <w:tblLook w:val="01E0" w:firstRow="1" w:lastRow="1" w:firstColumn="1" w:lastColumn="1" w:noHBand="0" w:noVBand="0"/>
      </w:tblPr>
      <w:tblGrid>
        <w:gridCol w:w="1080"/>
        <w:gridCol w:w="8280"/>
      </w:tblGrid>
      <w:tr w:rsidR="00D93FF8" w:rsidRPr="00A45262" w:rsidTr="00D04CE3">
        <w:tc>
          <w:tcPr>
            <w:tcW w:w="1080" w:type="dxa"/>
            <w:tcBorders>
              <w:top w:val="single" w:sz="4" w:space="0" w:color="auto"/>
              <w:left w:val="single" w:sz="4" w:space="0" w:color="auto"/>
              <w:bottom w:val="single" w:sz="4" w:space="0" w:color="auto"/>
              <w:right w:val="single" w:sz="4" w:space="0" w:color="auto"/>
            </w:tcBorders>
            <w:vAlign w:val="center"/>
          </w:tcPr>
          <w:p w:rsidR="00D93FF8" w:rsidRPr="00A45262" w:rsidRDefault="00D93FF8" w:rsidP="00D04CE3">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93FF8" w:rsidRPr="00A45262" w:rsidRDefault="00EC2CA5" w:rsidP="00D04CE3">
            <w:pPr>
              <w:rPr>
                <w:rStyle w:val="Hyperlink"/>
                <w:rFonts w:ascii="Garamond" w:hAnsi="Garamond"/>
                <w:color w:val="auto"/>
                <w:u w:val="none"/>
                <w:lang w:val="en-AU"/>
              </w:rPr>
            </w:pPr>
            <w:hyperlink r:id="rId23" w:history="1">
              <w:r w:rsidR="00D93FF8" w:rsidRPr="00A45262">
                <w:rPr>
                  <w:rStyle w:val="Hyperlink"/>
                  <w:rFonts w:ascii="Garamond" w:hAnsi="Garamond"/>
                  <w:lang w:val="en-AU"/>
                </w:rPr>
                <w:t>http://dx.doi.org/10.5694/mja16.00671</w:t>
              </w:r>
            </w:hyperlink>
          </w:p>
        </w:tc>
      </w:tr>
      <w:tr w:rsidR="00D93FF8" w:rsidRPr="00A45262" w:rsidTr="00D04CE3">
        <w:tc>
          <w:tcPr>
            <w:tcW w:w="1080" w:type="dxa"/>
            <w:tcBorders>
              <w:top w:val="single" w:sz="4" w:space="0" w:color="auto"/>
              <w:left w:val="single" w:sz="4" w:space="0" w:color="auto"/>
              <w:bottom w:val="single" w:sz="4" w:space="0" w:color="auto"/>
              <w:right w:val="single" w:sz="4" w:space="0" w:color="auto"/>
            </w:tcBorders>
            <w:vAlign w:val="center"/>
          </w:tcPr>
          <w:p w:rsidR="00D93FF8" w:rsidRPr="00A45262" w:rsidRDefault="00D93FF8" w:rsidP="00D04CE3">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93FF8" w:rsidRPr="004A1C2F" w:rsidRDefault="00D93FF8" w:rsidP="00D04CE3">
            <w:pPr>
              <w:rPr>
                <w:rFonts w:ascii="Garamond" w:hAnsi="Garamond"/>
                <w:lang w:val="en-AU"/>
              </w:rPr>
            </w:pPr>
            <w:r>
              <w:rPr>
                <w:rFonts w:ascii="Garamond" w:hAnsi="Garamond"/>
                <w:lang w:val="en-AU"/>
              </w:rPr>
              <w:t xml:space="preserve">This Australian study used </w:t>
            </w:r>
            <w:r w:rsidRPr="004A1C2F">
              <w:rPr>
                <w:rFonts w:ascii="Garamond" w:hAnsi="Garamond"/>
                <w:lang w:val="en-AU"/>
              </w:rPr>
              <w:t>Department of Veterans’ Affairs administrative data for all patients hospitalised for diabetes and discharged alive during the period 1 January – 31 December 2012</w:t>
            </w:r>
            <w:r>
              <w:rPr>
                <w:rFonts w:ascii="Garamond" w:hAnsi="Garamond"/>
                <w:lang w:val="en-AU"/>
              </w:rPr>
              <w:t xml:space="preserve"> in order t</w:t>
            </w:r>
            <w:r w:rsidRPr="004A1C2F">
              <w:rPr>
                <w:rFonts w:ascii="Garamond" w:hAnsi="Garamond"/>
                <w:lang w:val="en-AU"/>
              </w:rPr>
              <w:t>o identify factors that contribute to older Australians hospital</w:t>
            </w:r>
            <w:r>
              <w:rPr>
                <w:rFonts w:ascii="Garamond" w:hAnsi="Garamond"/>
                <w:lang w:val="en-AU"/>
              </w:rPr>
              <w:t>ised</w:t>
            </w:r>
            <w:r w:rsidRPr="004A1C2F">
              <w:rPr>
                <w:rFonts w:ascii="Garamond" w:hAnsi="Garamond"/>
                <w:lang w:val="en-AU"/>
              </w:rPr>
              <w:t xml:space="preserve"> with diabetes being re-hospitalised within 30 days of discharge.</w:t>
            </w:r>
          </w:p>
          <w:p w:rsidR="00D93FF8" w:rsidRPr="004A1C2F" w:rsidRDefault="00D93FF8" w:rsidP="00D04CE3">
            <w:pPr>
              <w:rPr>
                <w:rFonts w:ascii="Garamond" w:hAnsi="Garamond"/>
                <w:lang w:val="en-AU"/>
              </w:rPr>
            </w:pPr>
            <w:r>
              <w:rPr>
                <w:rFonts w:ascii="Garamond" w:hAnsi="Garamond"/>
                <w:lang w:val="en-AU"/>
              </w:rPr>
              <w:t xml:space="preserve">The data revealed </w:t>
            </w:r>
            <w:r w:rsidRPr="004A1C2F">
              <w:rPr>
                <w:rFonts w:ascii="Garamond" w:hAnsi="Garamond"/>
                <w:lang w:val="en-AU"/>
              </w:rPr>
              <w:t>848 people hospitalised for diabetes</w:t>
            </w:r>
            <w:r>
              <w:rPr>
                <w:rFonts w:ascii="Garamond" w:hAnsi="Garamond"/>
                <w:lang w:val="en-AU"/>
              </w:rPr>
              <w:t xml:space="preserve"> (</w:t>
            </w:r>
            <w:r w:rsidRPr="004A1C2F">
              <w:rPr>
                <w:rFonts w:ascii="Garamond" w:hAnsi="Garamond"/>
                <w:lang w:val="en-AU"/>
              </w:rPr>
              <w:t>median age 87 years (interquartile range, 77–89 years) and 60% were men</w:t>
            </w:r>
            <w:r>
              <w:rPr>
                <w:rFonts w:ascii="Garamond" w:hAnsi="Garamond"/>
                <w:lang w:val="en-AU"/>
              </w:rPr>
              <w:t xml:space="preserve">) of whom </w:t>
            </w:r>
            <w:r w:rsidRPr="004A1C2F">
              <w:rPr>
                <w:rFonts w:ascii="Garamond" w:hAnsi="Garamond"/>
                <w:lang w:val="en-AU"/>
              </w:rPr>
              <w:t xml:space="preserve">209 (24.6%) were re-hospitalised within 30 days of discharge, </w:t>
            </w:r>
            <w:r>
              <w:rPr>
                <w:rFonts w:ascii="Garamond" w:hAnsi="Garamond"/>
                <w:lang w:val="en-AU"/>
              </w:rPr>
              <w:t>with most of these (</w:t>
            </w:r>
            <w:r w:rsidRPr="004A1C2F">
              <w:rPr>
                <w:rFonts w:ascii="Garamond" w:hAnsi="Garamond"/>
                <w:lang w:val="en-AU"/>
              </w:rPr>
              <w:t>77.5%</w:t>
            </w:r>
            <w:r>
              <w:rPr>
                <w:rFonts w:ascii="Garamond" w:hAnsi="Garamond"/>
                <w:lang w:val="en-AU"/>
              </w:rPr>
              <w:t xml:space="preserve">) </w:t>
            </w:r>
            <w:r w:rsidRPr="004A1C2F">
              <w:rPr>
                <w:rFonts w:ascii="Garamond" w:hAnsi="Garamond"/>
                <w:lang w:val="en-AU"/>
              </w:rPr>
              <w:t>re-admitted within 14 days of discharge</w:t>
            </w:r>
            <w:r>
              <w:rPr>
                <w:rFonts w:ascii="Garamond" w:hAnsi="Garamond"/>
                <w:lang w:val="en-AU"/>
              </w:rPr>
              <w:t>.</w:t>
            </w:r>
          </w:p>
          <w:p w:rsidR="00D93FF8" w:rsidRPr="00A45262" w:rsidRDefault="00D93FF8" w:rsidP="00D04CE3">
            <w:pPr>
              <w:rPr>
                <w:rFonts w:ascii="Garamond" w:hAnsi="Garamond"/>
                <w:lang w:val="en-AU"/>
              </w:rPr>
            </w:pPr>
            <w:r>
              <w:rPr>
                <w:rFonts w:ascii="Garamond" w:hAnsi="Garamond"/>
                <w:lang w:val="en-AU"/>
              </w:rPr>
              <w:t>The authors report that those patients with “</w:t>
            </w:r>
            <w:r w:rsidRPr="004A1C2F">
              <w:rPr>
                <w:rFonts w:ascii="Garamond" w:hAnsi="Garamond"/>
                <w:b/>
                <w:lang w:val="en-AU"/>
              </w:rPr>
              <w:t>comorbid heart failure</w:t>
            </w:r>
            <w:r w:rsidRPr="004A1C2F">
              <w:rPr>
                <w:rFonts w:ascii="Garamond" w:hAnsi="Garamond"/>
                <w:lang w:val="en-AU"/>
              </w:rPr>
              <w:t xml:space="preserve">, </w:t>
            </w:r>
            <w:r w:rsidRPr="004A1C2F">
              <w:rPr>
                <w:rFonts w:ascii="Garamond" w:hAnsi="Garamond"/>
                <w:b/>
                <w:lang w:val="en-AU"/>
              </w:rPr>
              <w:t>multiple recent hospitalisations</w:t>
            </w:r>
            <w:r w:rsidRPr="004A1C2F">
              <w:rPr>
                <w:rFonts w:ascii="Garamond" w:hAnsi="Garamond"/>
                <w:lang w:val="en-AU"/>
              </w:rPr>
              <w:t xml:space="preserve">, and </w:t>
            </w:r>
            <w:r w:rsidRPr="004A1C2F">
              <w:rPr>
                <w:rFonts w:ascii="Garamond" w:hAnsi="Garamond"/>
                <w:b/>
                <w:lang w:val="en-AU"/>
              </w:rPr>
              <w:t>multiple prescribers</w:t>
            </w:r>
            <w:r w:rsidRPr="004A1C2F">
              <w:rPr>
                <w:rFonts w:ascii="Garamond" w:hAnsi="Garamond"/>
                <w:lang w:val="en-AU"/>
              </w:rPr>
              <w:t xml:space="preserve"> involved in their care are at </w:t>
            </w:r>
            <w:r w:rsidRPr="004A1C2F">
              <w:rPr>
                <w:rFonts w:ascii="Garamond" w:hAnsi="Garamond"/>
                <w:b/>
                <w:lang w:val="en-AU"/>
              </w:rPr>
              <w:t>greatest risk of being re-admitted</w:t>
            </w:r>
            <w:r w:rsidRPr="004A1C2F">
              <w:rPr>
                <w:rFonts w:ascii="Garamond" w:hAnsi="Garamond"/>
                <w:lang w:val="en-AU"/>
              </w:rPr>
              <w:t xml:space="preserve"> to hospital within 30 days.</w:t>
            </w:r>
            <w:r>
              <w:rPr>
                <w:rFonts w:ascii="Garamond" w:hAnsi="Garamond"/>
                <w:lang w:val="en-AU"/>
              </w:rPr>
              <w:t>” They suggest that “</w:t>
            </w:r>
            <w:r w:rsidRPr="004A1C2F">
              <w:rPr>
                <w:rFonts w:ascii="Garamond" w:hAnsi="Garamond"/>
                <w:lang w:val="en-AU"/>
              </w:rPr>
              <w:t>Targeted follow-up during the initial 14 days after discharge may facilitate appropriate interventions that avert re-admission of these at-risk patients.</w:t>
            </w:r>
            <w:r>
              <w:rPr>
                <w:rFonts w:ascii="Garamond" w:hAnsi="Garamond"/>
                <w:lang w:val="en-AU"/>
              </w:rPr>
              <w:t>”</w:t>
            </w:r>
          </w:p>
        </w:tc>
      </w:tr>
    </w:tbl>
    <w:p w:rsidR="00D93FF8" w:rsidRDefault="00D93FF8" w:rsidP="00D93FF8">
      <w:pPr>
        <w:rPr>
          <w:rFonts w:ascii="Garamond" w:hAnsi="Garamond"/>
          <w:lang w:val="en-AU" w:eastAsia="en-AU"/>
        </w:rPr>
      </w:pPr>
    </w:p>
    <w:p w:rsidR="000B767C" w:rsidRPr="00A45262" w:rsidRDefault="000B767C" w:rsidP="00D93FF8">
      <w:pPr>
        <w:rPr>
          <w:rFonts w:ascii="Garamond" w:hAnsi="Garamond"/>
          <w:lang w:val="en-AU" w:eastAsia="en-AU"/>
        </w:rPr>
      </w:pPr>
    </w:p>
    <w:p w:rsidR="00470C38" w:rsidRPr="00A45262" w:rsidRDefault="00470C38" w:rsidP="00820C93">
      <w:pPr>
        <w:keepNext/>
        <w:rPr>
          <w:rFonts w:ascii="Garamond" w:hAnsi="Garamond"/>
          <w:i/>
          <w:lang w:val="en-AU"/>
        </w:rPr>
      </w:pPr>
      <w:r w:rsidRPr="00A45262">
        <w:rPr>
          <w:rFonts w:ascii="Garamond" w:hAnsi="Garamond"/>
          <w:i/>
          <w:lang w:val="en-AU"/>
        </w:rPr>
        <w:t>American Journal of Medical Quality</w:t>
      </w:r>
    </w:p>
    <w:p w:rsidR="00820C93" w:rsidRPr="00A45262" w:rsidRDefault="00470C38" w:rsidP="00820C93">
      <w:pPr>
        <w:keepNext/>
        <w:rPr>
          <w:rFonts w:ascii="Garamond" w:hAnsi="Garamond"/>
          <w:lang w:val="en-AU"/>
        </w:rPr>
      </w:pPr>
      <w:r w:rsidRPr="00A45262">
        <w:rPr>
          <w:rFonts w:ascii="Garamond" w:hAnsi="Garamond"/>
          <w:lang w:val="en-AU"/>
        </w:rPr>
        <w:t>Volume: 32, Number: 2 (March/April 2017)</w:t>
      </w:r>
    </w:p>
    <w:tbl>
      <w:tblPr>
        <w:tblStyle w:val="TableGrid"/>
        <w:tblW w:w="0" w:type="auto"/>
        <w:tblInd w:w="288" w:type="dxa"/>
        <w:tblLayout w:type="fixed"/>
        <w:tblLook w:val="01E0" w:firstRow="1" w:lastRow="1" w:firstColumn="1" w:lastColumn="1" w:noHBand="0" w:noVBand="0"/>
      </w:tblPr>
      <w:tblGrid>
        <w:gridCol w:w="1080"/>
        <w:gridCol w:w="8280"/>
      </w:tblGrid>
      <w:tr w:rsidR="00820C93" w:rsidRPr="00A45262" w:rsidTr="000D508A">
        <w:tc>
          <w:tcPr>
            <w:tcW w:w="1080" w:type="dxa"/>
            <w:tcBorders>
              <w:top w:val="single" w:sz="4" w:space="0" w:color="auto"/>
              <w:left w:val="single" w:sz="4" w:space="0" w:color="auto"/>
              <w:bottom w:val="single" w:sz="4" w:space="0" w:color="auto"/>
              <w:right w:val="single" w:sz="4" w:space="0" w:color="auto"/>
            </w:tcBorders>
            <w:vAlign w:val="center"/>
          </w:tcPr>
          <w:p w:rsidR="00820C93" w:rsidRPr="00A45262" w:rsidRDefault="00820C93" w:rsidP="000D508A">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20C93" w:rsidRPr="00A45262" w:rsidRDefault="00EC2CA5" w:rsidP="00470C38">
            <w:pPr>
              <w:rPr>
                <w:rStyle w:val="Hyperlink"/>
                <w:rFonts w:ascii="Garamond" w:hAnsi="Garamond"/>
                <w:color w:val="auto"/>
                <w:u w:val="none"/>
                <w:lang w:val="en-AU"/>
              </w:rPr>
            </w:pPr>
            <w:hyperlink r:id="rId24" w:history="1">
              <w:r w:rsidR="00470C38" w:rsidRPr="00A45262">
                <w:rPr>
                  <w:rStyle w:val="Hyperlink"/>
                  <w:rFonts w:ascii="Garamond" w:hAnsi="Garamond"/>
                  <w:lang w:val="en-AU"/>
                </w:rPr>
                <w:t>http://journals.sagepub.com/toc/ajmb/32/2</w:t>
              </w:r>
            </w:hyperlink>
          </w:p>
        </w:tc>
      </w:tr>
      <w:tr w:rsidR="00820C93" w:rsidRPr="00A45262" w:rsidTr="000D508A">
        <w:tc>
          <w:tcPr>
            <w:tcW w:w="1080" w:type="dxa"/>
            <w:tcBorders>
              <w:top w:val="single" w:sz="4" w:space="0" w:color="auto"/>
              <w:left w:val="single" w:sz="4" w:space="0" w:color="auto"/>
              <w:bottom w:val="single" w:sz="4" w:space="0" w:color="auto"/>
              <w:right w:val="single" w:sz="4" w:space="0" w:color="auto"/>
            </w:tcBorders>
            <w:vAlign w:val="center"/>
          </w:tcPr>
          <w:p w:rsidR="00820C93" w:rsidRPr="00A45262" w:rsidRDefault="00820C93" w:rsidP="000D508A">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20C93" w:rsidRPr="00A45262" w:rsidRDefault="00470C38" w:rsidP="000D508A">
            <w:pPr>
              <w:rPr>
                <w:rFonts w:ascii="Garamond" w:hAnsi="Garamond"/>
                <w:lang w:val="en-AU"/>
              </w:rPr>
            </w:pPr>
            <w:r w:rsidRPr="00A45262">
              <w:rPr>
                <w:rFonts w:ascii="Garamond" w:hAnsi="Garamond"/>
                <w:lang w:val="en-AU"/>
              </w:rPr>
              <w:t xml:space="preserve">A new issue of the </w:t>
            </w:r>
            <w:r w:rsidRPr="00A45262">
              <w:rPr>
                <w:rFonts w:ascii="Garamond" w:hAnsi="Garamond"/>
                <w:i/>
                <w:lang w:val="en-AU"/>
              </w:rPr>
              <w:t>American Journal of Medical Quality</w:t>
            </w:r>
            <w:r w:rsidRPr="00A45262">
              <w:rPr>
                <w:rFonts w:ascii="Garamond" w:hAnsi="Garamond"/>
                <w:lang w:val="en-AU"/>
              </w:rPr>
              <w:t xml:space="preserve"> has been published. Articles in this issue of the </w:t>
            </w:r>
            <w:r w:rsidRPr="00A45262">
              <w:rPr>
                <w:rFonts w:ascii="Garamond" w:hAnsi="Garamond"/>
                <w:i/>
                <w:lang w:val="en-AU"/>
              </w:rPr>
              <w:t>American Journal of Medical Quality</w:t>
            </w:r>
            <w:r w:rsidRPr="00A45262">
              <w:rPr>
                <w:rFonts w:ascii="Garamond" w:hAnsi="Garamond"/>
                <w:lang w:val="en-AU"/>
              </w:rPr>
              <w:t xml:space="preserve"> include:</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lang w:val="en-AU"/>
              </w:rPr>
              <w:t xml:space="preserve">Practical Approaches for Achieving </w:t>
            </w:r>
            <w:r w:rsidRPr="00A45262">
              <w:rPr>
                <w:rFonts w:ascii="Garamond" w:hAnsi="Garamond"/>
                <w:b/>
                <w:lang w:val="en-AU"/>
              </w:rPr>
              <w:t>Integrated Behavioral Health Care</w:t>
            </w:r>
            <w:r w:rsidRPr="00A45262">
              <w:rPr>
                <w:rFonts w:ascii="Garamond" w:hAnsi="Garamond"/>
                <w:lang w:val="en-AU"/>
              </w:rPr>
              <w:t xml:space="preserve"> in </w:t>
            </w:r>
            <w:r w:rsidRPr="00A45262">
              <w:rPr>
                <w:rFonts w:ascii="Garamond" w:hAnsi="Garamond"/>
                <w:b/>
                <w:lang w:val="en-AU"/>
              </w:rPr>
              <w:t>Primary Care</w:t>
            </w:r>
            <w:r w:rsidRPr="00A45262">
              <w:rPr>
                <w:rFonts w:ascii="Garamond" w:hAnsi="Garamond"/>
                <w:lang w:val="en-AU"/>
              </w:rPr>
              <w:t xml:space="preserve"> Settings (Anna Ratzliff, Kathryn E Phillips, Jonathan R Sugarman, Jürgen Unützer, Edward H Wagner)</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lang w:val="en-AU"/>
              </w:rPr>
              <w:t xml:space="preserve">Incorporating </w:t>
            </w:r>
            <w:r w:rsidRPr="00A45262">
              <w:rPr>
                <w:rFonts w:ascii="Garamond" w:hAnsi="Garamond"/>
                <w:b/>
                <w:lang w:val="en-AU"/>
              </w:rPr>
              <w:t>Patient Acuity</w:t>
            </w:r>
            <w:r w:rsidRPr="00A45262">
              <w:rPr>
                <w:rFonts w:ascii="Garamond" w:hAnsi="Garamond"/>
                <w:lang w:val="en-AU"/>
              </w:rPr>
              <w:t xml:space="preserve"> Rating Score Into </w:t>
            </w:r>
            <w:r w:rsidRPr="00A45262">
              <w:rPr>
                <w:rFonts w:ascii="Garamond" w:hAnsi="Garamond"/>
                <w:b/>
                <w:lang w:val="en-AU"/>
              </w:rPr>
              <w:t>Patient Handoffs</w:t>
            </w:r>
            <w:r w:rsidRPr="00A45262">
              <w:rPr>
                <w:rFonts w:ascii="Garamond" w:hAnsi="Garamond"/>
                <w:lang w:val="en-AU"/>
              </w:rPr>
              <w:t xml:space="preserve"> and the Correlation With Rapid Responses and Unexpected ICU Transfers (Christopher O’Donnell, Samantha Thomas, Crystal Johnson, Lalit Verma, Jonathan Bae, David Gallagher)</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b/>
                <w:lang w:val="en-AU"/>
              </w:rPr>
              <w:t>Patient Safety Indicators</w:t>
            </w:r>
            <w:r w:rsidRPr="00A45262">
              <w:rPr>
                <w:rFonts w:ascii="Garamond" w:hAnsi="Garamond"/>
                <w:lang w:val="en-AU"/>
              </w:rPr>
              <w:t xml:space="preserve"> for Judging </w:t>
            </w:r>
            <w:r w:rsidRPr="00A45262">
              <w:rPr>
                <w:rFonts w:ascii="Garamond" w:hAnsi="Garamond"/>
                <w:b/>
                <w:lang w:val="en-AU"/>
              </w:rPr>
              <w:t>Hospital Performance</w:t>
            </w:r>
            <w:r w:rsidRPr="00A45262">
              <w:rPr>
                <w:rFonts w:ascii="Garamond" w:hAnsi="Garamond"/>
                <w:lang w:val="en-AU"/>
              </w:rPr>
              <w:t xml:space="preserve"> (John C Kubasiak, Amanda B Francescatti, Raj Behal, Jonathan A Myers)</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b/>
                <w:lang w:val="en-AU"/>
              </w:rPr>
              <w:t>Heart Failure Readmission</w:t>
            </w:r>
            <w:r w:rsidRPr="00A45262">
              <w:rPr>
                <w:rFonts w:ascii="Garamond" w:hAnsi="Garamond"/>
                <w:lang w:val="en-AU"/>
              </w:rPr>
              <w:t xml:space="preserve"> Reduction (Joseph P Drozda, Donna A Smith, Paul C Freiman, Janet Pursley, Jeffrey A VanSlette, Timothy R Smith)</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lang w:val="en-AU"/>
              </w:rPr>
              <w:t xml:space="preserve">Adding Laboratory Data to Hospital Claims Data to Improve </w:t>
            </w:r>
            <w:r w:rsidRPr="00A45262">
              <w:rPr>
                <w:rFonts w:ascii="Garamond" w:hAnsi="Garamond"/>
                <w:b/>
                <w:lang w:val="en-AU"/>
              </w:rPr>
              <w:t>Risk Adjustment</w:t>
            </w:r>
            <w:r w:rsidRPr="00A45262">
              <w:rPr>
                <w:rFonts w:ascii="Garamond" w:hAnsi="Garamond"/>
                <w:lang w:val="en-AU"/>
              </w:rPr>
              <w:t xml:space="preserve"> of </w:t>
            </w:r>
            <w:r w:rsidRPr="00A45262">
              <w:rPr>
                <w:rFonts w:ascii="Garamond" w:hAnsi="Garamond"/>
                <w:b/>
                <w:lang w:val="en-AU"/>
              </w:rPr>
              <w:t>Inpatient/30-Day Postdischarge</w:t>
            </w:r>
            <w:r w:rsidRPr="00A45262">
              <w:rPr>
                <w:rFonts w:ascii="Garamond" w:hAnsi="Garamond"/>
                <w:lang w:val="en-AU"/>
              </w:rPr>
              <w:t xml:space="preserve"> Outcomes (Michael Pine, Donald E Fry, Edward L Hannan, James M Naessens, Kay Whitman, Agnes Reband, Feng Qian, Joseph Schindler, Mark Sonneborn, Jaclyn Roland, Linda Hyde, Barbara A Dennison)</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lang w:val="en-AU"/>
              </w:rPr>
              <w:t xml:space="preserve">An </w:t>
            </w:r>
            <w:r w:rsidRPr="00A45262">
              <w:rPr>
                <w:rFonts w:ascii="Garamond" w:hAnsi="Garamond"/>
                <w:b/>
                <w:lang w:val="en-AU"/>
              </w:rPr>
              <w:t>Organizational Learning Framework</w:t>
            </w:r>
            <w:r w:rsidRPr="00A45262">
              <w:rPr>
                <w:rFonts w:ascii="Garamond" w:hAnsi="Garamond"/>
                <w:lang w:val="en-AU"/>
              </w:rPr>
              <w:t xml:space="preserve"> for </w:t>
            </w:r>
            <w:r w:rsidRPr="00A45262">
              <w:rPr>
                <w:rFonts w:ascii="Garamond" w:hAnsi="Garamond"/>
                <w:b/>
                <w:lang w:val="en-AU"/>
              </w:rPr>
              <w:t>Patient Safety</w:t>
            </w:r>
            <w:r w:rsidRPr="00A45262">
              <w:rPr>
                <w:rFonts w:ascii="Garamond" w:hAnsi="Garamond"/>
                <w:lang w:val="en-AU"/>
              </w:rPr>
              <w:t xml:space="preserve"> (Marc T Edwards)</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lang w:val="en-AU"/>
              </w:rPr>
              <w:lastRenderedPageBreak/>
              <w:t xml:space="preserve">The Burden of </w:t>
            </w:r>
            <w:r w:rsidRPr="00A45262">
              <w:rPr>
                <w:rFonts w:ascii="Garamond" w:hAnsi="Garamond"/>
                <w:b/>
                <w:lang w:val="en-AU"/>
              </w:rPr>
              <w:t>Burnout</w:t>
            </w:r>
            <w:r w:rsidRPr="00A45262">
              <w:rPr>
                <w:rFonts w:ascii="Garamond" w:hAnsi="Garamond"/>
                <w:lang w:val="en-AU"/>
              </w:rPr>
              <w:t xml:space="preserve"> (Hany Elmariah, Samantha Thomas, Joel C Boggan, Aimee Zaas, Jonathan Bae)</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lang w:val="en-AU"/>
              </w:rPr>
              <w:t xml:space="preserve">Admission Laboratory Results to Enhance </w:t>
            </w:r>
            <w:r w:rsidRPr="00A45262">
              <w:rPr>
                <w:rFonts w:ascii="Garamond" w:hAnsi="Garamond"/>
                <w:b/>
                <w:lang w:val="en-AU"/>
              </w:rPr>
              <w:t>Prediction Models of Postdischarge Outcomes</w:t>
            </w:r>
            <w:r w:rsidRPr="00A45262">
              <w:rPr>
                <w:rFonts w:ascii="Garamond" w:hAnsi="Garamond"/>
                <w:lang w:val="en-AU"/>
              </w:rPr>
              <w:t xml:space="preserve"> in Cardiac Care (Michael Pine, Donald E Fry, Edward L Hannan, James M Naessens, Kay Whitman, Agnes Reband, Feng Qian, Joseph Schindler, Mark Sonneborn, Jaclyn Roland, Linda Hyde, Barbara A Dennison)</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b/>
                <w:lang w:val="en-AU"/>
              </w:rPr>
              <w:t>Rapid Process Optimization</w:t>
            </w:r>
            <w:r w:rsidRPr="00A45262">
              <w:rPr>
                <w:rFonts w:ascii="Garamond" w:hAnsi="Garamond"/>
                <w:lang w:val="en-AU"/>
              </w:rPr>
              <w:t xml:space="preserve"> (Jennifer L Wiler, Kelly Bookman, Derek B Birznieks, Robert Leeret, April Koehler, Shauna Planck, Richard Zane)</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lang w:val="en-AU"/>
              </w:rPr>
              <w:t xml:space="preserve">Enhancing the Safe and Effective Management of </w:t>
            </w:r>
            <w:r w:rsidRPr="00A45262">
              <w:rPr>
                <w:rFonts w:ascii="Garamond" w:hAnsi="Garamond"/>
                <w:b/>
                <w:lang w:val="en-AU"/>
              </w:rPr>
              <w:t>Chronic Pain</w:t>
            </w:r>
            <w:r w:rsidRPr="00A45262">
              <w:rPr>
                <w:rFonts w:ascii="Garamond" w:hAnsi="Garamond"/>
                <w:lang w:val="en-AU"/>
              </w:rPr>
              <w:t xml:space="preserve"> in Accountable Care Organization </w:t>
            </w:r>
            <w:r w:rsidRPr="00A45262">
              <w:rPr>
                <w:rFonts w:ascii="Garamond" w:hAnsi="Garamond"/>
                <w:b/>
                <w:lang w:val="en-AU"/>
              </w:rPr>
              <w:t>Primary Care</w:t>
            </w:r>
            <w:r w:rsidRPr="00A45262">
              <w:rPr>
                <w:rFonts w:ascii="Garamond" w:hAnsi="Garamond"/>
                <w:lang w:val="en-AU"/>
              </w:rPr>
              <w:t xml:space="preserve"> Practices in Kentucky (Selam Wubu, Laura Lee Hall, Paula Straub, Matthew J Bair, Jill A Marsteller, Yea-Jen Hsu, Doron Schneider, Gregory A Hood)</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b/>
                <w:lang w:val="en-AU"/>
              </w:rPr>
              <w:t>Handoffs</w:t>
            </w:r>
            <w:r w:rsidRPr="00A45262">
              <w:rPr>
                <w:rFonts w:ascii="Garamond" w:hAnsi="Garamond"/>
                <w:lang w:val="en-AU"/>
              </w:rPr>
              <w:t xml:space="preserve"> in the </w:t>
            </w:r>
            <w:r w:rsidRPr="00A45262">
              <w:rPr>
                <w:rFonts w:ascii="Garamond" w:hAnsi="Garamond"/>
                <w:b/>
                <w:lang w:val="en-AU"/>
              </w:rPr>
              <w:t>Intensive Care Unit</w:t>
            </w:r>
            <w:r w:rsidRPr="00A45262">
              <w:rPr>
                <w:rFonts w:ascii="Garamond" w:hAnsi="Garamond"/>
                <w:lang w:val="en-AU"/>
              </w:rPr>
              <w:t xml:space="preserve"> (Beth R Hochman, Mark E Barry, Meghan B Lane-Fall, Steven R Allen, Daniel N Holena, Brian P Smith, Lewis J Kaplan, Jose L Pascual)</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lang w:val="en-AU"/>
              </w:rPr>
              <w:t xml:space="preserve">A Plan-Do-Study-Act Approach to Improving </w:t>
            </w:r>
            <w:r w:rsidRPr="00A45262">
              <w:rPr>
                <w:rFonts w:ascii="Garamond" w:hAnsi="Garamond"/>
                <w:b/>
                <w:lang w:val="en-AU"/>
              </w:rPr>
              <w:t>Bowel Preparation</w:t>
            </w:r>
            <w:r w:rsidRPr="00A45262">
              <w:rPr>
                <w:rFonts w:ascii="Garamond" w:hAnsi="Garamond"/>
                <w:lang w:val="en-AU"/>
              </w:rPr>
              <w:t xml:space="preserve"> Quality (Audrey H Calderwood, Elaine M Mahoney, Brian C Jacobson)</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lang w:val="en-AU"/>
              </w:rPr>
              <w:t xml:space="preserve">Interrater Reliability of </w:t>
            </w:r>
            <w:r w:rsidRPr="00A45262">
              <w:rPr>
                <w:rFonts w:ascii="Garamond" w:hAnsi="Garamond"/>
                <w:b/>
                <w:lang w:val="en-AU"/>
              </w:rPr>
              <w:t>Hospital Readmission Evaluations</w:t>
            </w:r>
            <w:r w:rsidRPr="00A45262">
              <w:rPr>
                <w:rFonts w:ascii="Garamond" w:hAnsi="Garamond"/>
                <w:lang w:val="en-AU"/>
              </w:rPr>
              <w:t xml:space="preserve"> for Surgical Patients (Amber W Trickey, Jeffrey M Wright, Jean Donovan, H David Reines, Jonathan M Dort, Heather A Prentice, Paula R Graling, John J Moynihan)</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lang w:val="en-AU"/>
              </w:rPr>
              <w:t xml:space="preserve">Comparing the Treatment Algorithm and Complications for Patients Undergoing an </w:t>
            </w:r>
            <w:r w:rsidRPr="00A45262">
              <w:rPr>
                <w:rFonts w:ascii="Garamond" w:hAnsi="Garamond"/>
                <w:b/>
                <w:lang w:val="en-AU"/>
              </w:rPr>
              <w:t>Anterior Cervical Discectomy and Fusion</w:t>
            </w:r>
            <w:r w:rsidRPr="00A45262">
              <w:rPr>
                <w:rFonts w:ascii="Garamond" w:hAnsi="Garamond"/>
                <w:lang w:val="en-AU"/>
              </w:rPr>
              <w:t xml:space="preserve"> at a Physician-Owned Specialty Hospital and a University-Owned Tertiary Care Hospital (Gregory D Schroeder, Mark F Kurd, Christopher K Kepler, Kris E Radcliff, Jeffery A Rihn, D Greg Anderson, Alan S Hilibrand, Alexander R Vaccaro)</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b/>
                <w:lang w:val="en-AU"/>
              </w:rPr>
              <w:t>Technology Development in Health Care</w:t>
            </w:r>
            <w:r w:rsidRPr="00A45262">
              <w:rPr>
                <w:rFonts w:ascii="Garamond" w:hAnsi="Garamond"/>
                <w:lang w:val="en-AU"/>
              </w:rPr>
              <w:t xml:space="preserve"> Is Broken (Peter J Pronovost, Joe Powers, Walter Jin)</w:t>
            </w:r>
          </w:p>
          <w:p w:rsidR="00470C38" w:rsidRPr="00A45262" w:rsidRDefault="00470C38" w:rsidP="00470C38">
            <w:pPr>
              <w:pStyle w:val="ListParagraph"/>
              <w:numPr>
                <w:ilvl w:val="0"/>
                <w:numId w:val="38"/>
              </w:numPr>
              <w:rPr>
                <w:rFonts w:ascii="Garamond" w:hAnsi="Garamond"/>
                <w:lang w:val="en-AU"/>
              </w:rPr>
            </w:pPr>
            <w:r w:rsidRPr="00A45262">
              <w:rPr>
                <w:rFonts w:ascii="Garamond" w:hAnsi="Garamond"/>
                <w:lang w:val="en-AU"/>
              </w:rPr>
              <w:t xml:space="preserve">Improving Timeliness of </w:t>
            </w:r>
            <w:r w:rsidRPr="00A45262">
              <w:rPr>
                <w:rFonts w:ascii="Garamond" w:hAnsi="Garamond"/>
                <w:b/>
                <w:lang w:val="en-AU"/>
              </w:rPr>
              <w:t>Discharge Summaries</w:t>
            </w:r>
            <w:r w:rsidRPr="00A45262">
              <w:rPr>
                <w:rFonts w:ascii="Garamond" w:hAnsi="Garamond"/>
                <w:lang w:val="en-AU"/>
              </w:rPr>
              <w:t xml:space="preserve"> at an Academic Affiliated Veterans Administration Hospital (Blake John Anderson, Krysta Johnson-Martinez, Benjamin Flink, Jonathan Gandhi, Anne Tomolo)</w:t>
            </w:r>
          </w:p>
        </w:tc>
      </w:tr>
    </w:tbl>
    <w:p w:rsidR="00820C93" w:rsidRDefault="00820C93" w:rsidP="00820C93">
      <w:pPr>
        <w:rPr>
          <w:rFonts w:ascii="Garamond" w:hAnsi="Garamond"/>
          <w:lang w:val="en-AU" w:eastAsia="en-AU"/>
        </w:rPr>
      </w:pPr>
    </w:p>
    <w:p w:rsidR="00842741" w:rsidRPr="007A47A8" w:rsidRDefault="00842741" w:rsidP="00842741">
      <w:pPr>
        <w:rPr>
          <w:rFonts w:ascii="Garamond" w:hAnsi="Garamond"/>
          <w:i/>
          <w:lang w:val="en-AU" w:eastAsia="en-AU"/>
        </w:rPr>
      </w:pPr>
      <w:r w:rsidRPr="007A47A8">
        <w:rPr>
          <w:rFonts w:ascii="Garamond" w:hAnsi="Garamond"/>
          <w:i/>
          <w:lang w:val="en-AU" w:eastAsia="en-AU"/>
        </w:rPr>
        <w:t>Health Expectations</w:t>
      </w:r>
    </w:p>
    <w:p w:rsidR="00842741" w:rsidRPr="007A47A8" w:rsidRDefault="00842741" w:rsidP="00842741">
      <w:pPr>
        <w:rPr>
          <w:rFonts w:ascii="Garamond" w:hAnsi="Garamond"/>
          <w:lang w:val="en-AU" w:eastAsia="en-AU"/>
        </w:rPr>
      </w:pPr>
      <w:r w:rsidRPr="007A47A8">
        <w:rPr>
          <w:rFonts w:ascii="Garamond" w:hAnsi="Garamond"/>
          <w:lang w:val="en-AU" w:eastAsia="en-AU"/>
        </w:rPr>
        <w:t xml:space="preserve">Volume 20, Issue </w:t>
      </w:r>
      <w:r>
        <w:rPr>
          <w:rFonts w:ascii="Garamond" w:hAnsi="Garamond"/>
          <w:lang w:val="en-AU" w:eastAsia="en-AU"/>
        </w:rPr>
        <w:t>2</w:t>
      </w:r>
      <w:r w:rsidRPr="007A47A8">
        <w:rPr>
          <w:rFonts w:ascii="Garamond" w:hAnsi="Garamond"/>
          <w:lang w:val="en-AU" w:eastAsia="en-AU"/>
        </w:rPr>
        <w:t xml:space="preserve"> Pages 1</w:t>
      </w:r>
      <w:r>
        <w:rPr>
          <w:rFonts w:ascii="Garamond" w:hAnsi="Garamond"/>
          <w:lang w:val="en-AU" w:eastAsia="en-AU"/>
        </w:rPr>
        <w:t>85</w:t>
      </w:r>
      <w:r w:rsidRPr="007A47A8">
        <w:rPr>
          <w:rFonts w:ascii="Garamond" w:hAnsi="Garamond"/>
          <w:lang w:val="en-AU" w:eastAsia="en-AU"/>
        </w:rPr>
        <w:t xml:space="preserve"> -</w:t>
      </w:r>
      <w:r>
        <w:rPr>
          <w:rFonts w:ascii="Garamond" w:hAnsi="Garamond"/>
          <w:lang w:val="en-AU" w:eastAsia="en-AU"/>
        </w:rPr>
        <w:t>36</w:t>
      </w:r>
      <w:r w:rsidRPr="007A47A8">
        <w:rPr>
          <w:rFonts w:ascii="Garamond" w:hAnsi="Garamond"/>
          <w:lang w:val="en-AU" w:eastAsia="en-AU"/>
        </w:rPr>
        <w:t>8,</w:t>
      </w:r>
      <w:r>
        <w:rPr>
          <w:rFonts w:ascii="Garamond" w:hAnsi="Garamond"/>
          <w:lang w:val="en-AU" w:eastAsia="en-AU"/>
        </w:rPr>
        <w:t xml:space="preserve"> April</w:t>
      </w:r>
      <w:r w:rsidRPr="007A47A8">
        <w:rPr>
          <w:rFonts w:ascii="Garamond" w:hAnsi="Garamond"/>
          <w:lang w:val="en-AU" w:eastAsia="en-AU"/>
        </w:rPr>
        <w:t xml:space="preserve"> 2017</w:t>
      </w:r>
    </w:p>
    <w:tbl>
      <w:tblPr>
        <w:tblStyle w:val="TableGrid"/>
        <w:tblW w:w="0" w:type="auto"/>
        <w:tblInd w:w="288" w:type="dxa"/>
        <w:tblLayout w:type="fixed"/>
        <w:tblLook w:val="01E0" w:firstRow="1" w:lastRow="1" w:firstColumn="1" w:lastColumn="1" w:noHBand="0" w:noVBand="0"/>
      </w:tblPr>
      <w:tblGrid>
        <w:gridCol w:w="1080"/>
        <w:gridCol w:w="8280"/>
      </w:tblGrid>
      <w:tr w:rsidR="00842741" w:rsidRPr="007A47A8" w:rsidTr="00D04CE3">
        <w:tc>
          <w:tcPr>
            <w:tcW w:w="1080" w:type="dxa"/>
            <w:tcBorders>
              <w:top w:val="single" w:sz="4" w:space="0" w:color="auto"/>
              <w:left w:val="single" w:sz="4" w:space="0" w:color="auto"/>
              <w:bottom w:val="single" w:sz="4" w:space="0" w:color="auto"/>
              <w:right w:val="single" w:sz="4" w:space="0" w:color="auto"/>
            </w:tcBorders>
            <w:vAlign w:val="center"/>
          </w:tcPr>
          <w:p w:rsidR="00842741" w:rsidRPr="007A47A8" w:rsidRDefault="00842741" w:rsidP="00D04CE3">
            <w:pPr>
              <w:rPr>
                <w:rStyle w:val="Hyperlink"/>
                <w:rFonts w:ascii="Garamond" w:hAnsi="Garamond"/>
                <w:lang w:val="en-AU"/>
              </w:rPr>
            </w:pPr>
            <w:r w:rsidRPr="007A47A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42741" w:rsidRPr="007A47A8" w:rsidRDefault="00EC2CA5" w:rsidP="00842741">
            <w:pPr>
              <w:rPr>
                <w:rStyle w:val="Hyperlink"/>
                <w:rFonts w:ascii="Garamond" w:hAnsi="Garamond"/>
                <w:color w:val="auto"/>
                <w:u w:val="none"/>
                <w:lang w:val="en-AU"/>
              </w:rPr>
            </w:pPr>
            <w:hyperlink r:id="rId25" w:history="1">
              <w:r w:rsidR="00842741" w:rsidRPr="000B513C">
                <w:rPr>
                  <w:rStyle w:val="Hyperlink"/>
                  <w:rFonts w:ascii="Garamond" w:hAnsi="Garamond"/>
                  <w:lang w:val="en-AU"/>
                </w:rPr>
                <w:t>http://onlinelibrary.wiley.com/doi/10.1111/hex.2017.20.issue-2/issuetoc</w:t>
              </w:r>
            </w:hyperlink>
          </w:p>
        </w:tc>
      </w:tr>
      <w:tr w:rsidR="00842741" w:rsidRPr="007A47A8" w:rsidTr="00D04CE3">
        <w:tc>
          <w:tcPr>
            <w:tcW w:w="1080" w:type="dxa"/>
            <w:tcBorders>
              <w:top w:val="single" w:sz="4" w:space="0" w:color="auto"/>
              <w:left w:val="single" w:sz="4" w:space="0" w:color="auto"/>
              <w:bottom w:val="single" w:sz="4" w:space="0" w:color="auto"/>
              <w:right w:val="single" w:sz="4" w:space="0" w:color="auto"/>
            </w:tcBorders>
            <w:vAlign w:val="center"/>
          </w:tcPr>
          <w:p w:rsidR="00842741" w:rsidRPr="007A47A8" w:rsidRDefault="00842741" w:rsidP="00D04CE3">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42741" w:rsidRPr="007A47A8" w:rsidRDefault="00842741" w:rsidP="00D04CE3">
            <w:pPr>
              <w:rPr>
                <w:rFonts w:ascii="Garamond" w:hAnsi="Garamond"/>
                <w:lang w:val="en-AU"/>
              </w:rPr>
            </w:pPr>
            <w:r w:rsidRPr="007A47A8">
              <w:rPr>
                <w:rFonts w:ascii="Garamond" w:hAnsi="Garamond"/>
                <w:lang w:val="en-AU"/>
              </w:rPr>
              <w:t xml:space="preserve">A new issue of </w:t>
            </w:r>
            <w:r w:rsidRPr="007A47A8">
              <w:rPr>
                <w:rFonts w:ascii="Garamond" w:hAnsi="Garamond"/>
                <w:i/>
                <w:lang w:val="en-AU"/>
              </w:rPr>
              <w:t xml:space="preserve">Health Expectations </w:t>
            </w:r>
            <w:r w:rsidRPr="007A47A8">
              <w:rPr>
                <w:rFonts w:ascii="Garamond" w:hAnsi="Garamond"/>
                <w:lang w:val="en-AU"/>
              </w:rPr>
              <w:t xml:space="preserve">has been published. Articles in this issue of </w:t>
            </w:r>
            <w:r w:rsidRPr="007A47A8">
              <w:rPr>
                <w:rFonts w:ascii="Garamond" w:hAnsi="Garamond"/>
                <w:i/>
                <w:lang w:val="en-AU"/>
              </w:rPr>
              <w:t xml:space="preserve">Health Expectations </w:t>
            </w:r>
            <w:r w:rsidRPr="007A47A8">
              <w:rPr>
                <w:rFonts w:ascii="Garamond" w:hAnsi="Garamond"/>
                <w:lang w:val="en-AU"/>
              </w:rPr>
              <w:t>include:</w:t>
            </w:r>
          </w:p>
          <w:p w:rsidR="00842741" w:rsidRPr="00842741" w:rsidRDefault="00842741" w:rsidP="00842741">
            <w:pPr>
              <w:pStyle w:val="ListParagraph"/>
              <w:numPr>
                <w:ilvl w:val="0"/>
                <w:numId w:val="23"/>
              </w:numPr>
              <w:rPr>
                <w:rFonts w:ascii="Garamond" w:hAnsi="Garamond"/>
                <w:lang w:val="en-AU"/>
              </w:rPr>
            </w:pPr>
            <w:r w:rsidRPr="00842741">
              <w:rPr>
                <w:rFonts w:ascii="Garamond" w:hAnsi="Garamond"/>
                <w:lang w:val="en-AU"/>
              </w:rPr>
              <w:t xml:space="preserve">Engaging </w:t>
            </w:r>
            <w:r w:rsidRPr="00842741">
              <w:rPr>
                <w:rFonts w:ascii="Garamond" w:hAnsi="Garamond"/>
                <w:b/>
                <w:lang w:val="en-AU"/>
              </w:rPr>
              <w:t>patients and public in decision-making</w:t>
            </w:r>
            <w:r w:rsidRPr="00842741">
              <w:rPr>
                <w:rFonts w:ascii="Garamond" w:hAnsi="Garamond"/>
                <w:lang w:val="en-AU"/>
              </w:rPr>
              <w:t>: approaches to achieving this in a complex environment (Mary Chambers</w:t>
            </w:r>
            <w:r>
              <w:rPr>
                <w:rFonts w:ascii="Garamond" w:hAnsi="Garamond"/>
                <w:lang w:val="en-AU"/>
              </w:rPr>
              <w:t>)</w:t>
            </w:r>
          </w:p>
          <w:p w:rsidR="00842741" w:rsidRPr="00842741" w:rsidRDefault="00842741" w:rsidP="00842741">
            <w:pPr>
              <w:pStyle w:val="ListParagraph"/>
              <w:numPr>
                <w:ilvl w:val="0"/>
                <w:numId w:val="23"/>
              </w:numPr>
              <w:rPr>
                <w:rFonts w:ascii="Garamond" w:hAnsi="Garamond"/>
                <w:lang w:val="en-AU"/>
              </w:rPr>
            </w:pPr>
            <w:r w:rsidRPr="00842741">
              <w:rPr>
                <w:rFonts w:ascii="Garamond" w:hAnsi="Garamond"/>
                <w:lang w:val="en-AU"/>
              </w:rPr>
              <w:t xml:space="preserve">Why do pregnant women participate in </w:t>
            </w:r>
            <w:r w:rsidRPr="00842741">
              <w:rPr>
                <w:rFonts w:ascii="Garamond" w:hAnsi="Garamond"/>
                <w:b/>
                <w:lang w:val="en-AU"/>
              </w:rPr>
              <w:t>research</w:t>
            </w:r>
            <w:r w:rsidRPr="00842741">
              <w:rPr>
                <w:rFonts w:ascii="Garamond" w:hAnsi="Garamond"/>
                <w:lang w:val="en-AU"/>
              </w:rPr>
              <w:t xml:space="preserve">? A </w:t>
            </w:r>
            <w:r w:rsidRPr="00842741">
              <w:rPr>
                <w:rFonts w:ascii="Garamond" w:hAnsi="Garamond"/>
                <w:b/>
                <w:lang w:val="en-AU"/>
              </w:rPr>
              <w:t>patient participation</w:t>
            </w:r>
            <w:r w:rsidRPr="00842741">
              <w:rPr>
                <w:rFonts w:ascii="Garamond" w:hAnsi="Garamond"/>
                <w:lang w:val="en-AU"/>
              </w:rPr>
              <w:t xml:space="preserve"> investigation using Q-Methodology (Riwa Meshaka, Stephen Jeffares, Farah Sadrudin, Nicole Huisman and Ponnusamy Saravanan</w:t>
            </w:r>
            <w:r>
              <w:rPr>
                <w:rFonts w:ascii="Garamond" w:hAnsi="Garamond"/>
                <w:lang w:val="en-AU"/>
              </w:rPr>
              <w:t>)</w:t>
            </w:r>
          </w:p>
          <w:p w:rsidR="00842741" w:rsidRPr="00842741" w:rsidRDefault="00842741" w:rsidP="00842741">
            <w:pPr>
              <w:pStyle w:val="ListParagraph"/>
              <w:numPr>
                <w:ilvl w:val="0"/>
                <w:numId w:val="23"/>
              </w:numPr>
              <w:rPr>
                <w:rFonts w:ascii="Garamond" w:hAnsi="Garamond"/>
                <w:lang w:val="en-AU"/>
              </w:rPr>
            </w:pPr>
            <w:r w:rsidRPr="00842741">
              <w:rPr>
                <w:rFonts w:ascii="Garamond" w:hAnsi="Garamond"/>
                <w:lang w:val="en-AU"/>
              </w:rPr>
              <w:t xml:space="preserve">‘Who is on </w:t>
            </w:r>
            <w:r w:rsidRPr="00842741">
              <w:rPr>
                <w:rFonts w:ascii="Garamond" w:hAnsi="Garamond"/>
                <w:b/>
                <w:lang w:val="en-AU"/>
              </w:rPr>
              <w:t>your health-care team</w:t>
            </w:r>
            <w:r w:rsidRPr="00842741">
              <w:rPr>
                <w:rFonts w:ascii="Garamond" w:hAnsi="Garamond"/>
                <w:lang w:val="en-AU"/>
              </w:rPr>
              <w:t>?’ Asking individuals with heart failure about care team membership and roles (Kori A LaDonna, Joanna Bates, Glendon R Tait, Allan McDougall, Valerie Schulz, Lorelei Lingard and For the Heart Failure/Palliative Care Teamwork Research Group</w:t>
            </w:r>
            <w:r>
              <w:rPr>
                <w:rFonts w:ascii="Garamond" w:hAnsi="Garamond"/>
                <w:lang w:val="en-AU"/>
              </w:rPr>
              <w:t>)</w:t>
            </w:r>
          </w:p>
          <w:p w:rsidR="00842741" w:rsidRPr="00842741" w:rsidRDefault="00842741" w:rsidP="00842741">
            <w:pPr>
              <w:pStyle w:val="ListParagraph"/>
              <w:numPr>
                <w:ilvl w:val="0"/>
                <w:numId w:val="23"/>
              </w:numPr>
              <w:rPr>
                <w:rFonts w:ascii="Garamond" w:hAnsi="Garamond"/>
                <w:lang w:val="en-AU"/>
              </w:rPr>
            </w:pPr>
            <w:r w:rsidRPr="00842741">
              <w:rPr>
                <w:rFonts w:ascii="Garamond" w:hAnsi="Garamond"/>
                <w:b/>
                <w:lang w:val="en-AU"/>
              </w:rPr>
              <w:t>Cancer screening</w:t>
            </w:r>
            <w:r w:rsidRPr="00842741">
              <w:rPr>
                <w:rFonts w:ascii="Garamond" w:hAnsi="Garamond"/>
                <w:lang w:val="en-AU"/>
              </w:rPr>
              <w:t xml:space="preserve"> in Portugal: sex differences in prevalence, awareness of organized programmes and perception of benefits and adverse effects (Ana Rute Costa, Susana Silva, Pedro Moura-Ferreira, Manuel Villaverde-Cabral, </w:t>
            </w:r>
            <w:r w:rsidRPr="00842741">
              <w:rPr>
                <w:rFonts w:ascii="Garamond" w:hAnsi="Garamond"/>
                <w:lang w:val="en-AU"/>
              </w:rPr>
              <w:lastRenderedPageBreak/>
              <w:t>Osvaldo Santos, Isabel do Carmo, Henrique Barros and Nuno Lunet</w:t>
            </w:r>
            <w:r>
              <w:rPr>
                <w:rFonts w:ascii="Garamond" w:hAnsi="Garamond"/>
                <w:lang w:val="en-AU"/>
              </w:rPr>
              <w:t>)</w:t>
            </w:r>
          </w:p>
          <w:p w:rsidR="00842741" w:rsidRPr="00842741" w:rsidRDefault="00842741" w:rsidP="00842741">
            <w:pPr>
              <w:pStyle w:val="ListParagraph"/>
              <w:numPr>
                <w:ilvl w:val="0"/>
                <w:numId w:val="23"/>
              </w:numPr>
              <w:rPr>
                <w:rFonts w:ascii="Garamond" w:hAnsi="Garamond"/>
                <w:lang w:val="en-AU"/>
              </w:rPr>
            </w:pPr>
            <w:r w:rsidRPr="00842741">
              <w:rPr>
                <w:rFonts w:ascii="Garamond" w:hAnsi="Garamond"/>
                <w:lang w:val="en-AU"/>
              </w:rPr>
              <w:t xml:space="preserve">The use of </w:t>
            </w:r>
            <w:r w:rsidRPr="00842741">
              <w:rPr>
                <w:rFonts w:ascii="Garamond" w:hAnsi="Garamond"/>
                <w:b/>
                <w:lang w:val="en-AU"/>
              </w:rPr>
              <w:t>decision aids</w:t>
            </w:r>
            <w:r w:rsidRPr="00842741">
              <w:rPr>
                <w:rFonts w:ascii="Garamond" w:hAnsi="Garamond"/>
                <w:lang w:val="en-AU"/>
              </w:rPr>
              <w:t xml:space="preserve"> on early detection of </w:t>
            </w:r>
            <w:r w:rsidRPr="00842741">
              <w:rPr>
                <w:rFonts w:ascii="Garamond" w:hAnsi="Garamond"/>
                <w:b/>
                <w:lang w:val="en-AU"/>
              </w:rPr>
              <w:t>prostate cancer</w:t>
            </w:r>
            <w:r w:rsidRPr="00842741">
              <w:rPr>
                <w:rFonts w:ascii="Garamond" w:hAnsi="Garamond"/>
                <w:lang w:val="en-AU"/>
              </w:rPr>
              <w:t>: views of men and general practitioners (Annelies Engelen, Joke Vanderhaegen, Hendrik Van Poppel and Chantal Van Audenhove</w:t>
            </w:r>
            <w:r>
              <w:rPr>
                <w:rFonts w:ascii="Garamond" w:hAnsi="Garamond"/>
                <w:lang w:val="en-AU"/>
              </w:rPr>
              <w:t>)</w:t>
            </w:r>
          </w:p>
          <w:p w:rsidR="00842741" w:rsidRPr="00842741" w:rsidRDefault="00842741" w:rsidP="00842741">
            <w:pPr>
              <w:pStyle w:val="ListParagraph"/>
              <w:numPr>
                <w:ilvl w:val="0"/>
                <w:numId w:val="23"/>
              </w:numPr>
              <w:rPr>
                <w:rFonts w:ascii="Garamond" w:hAnsi="Garamond"/>
                <w:lang w:val="en-AU"/>
              </w:rPr>
            </w:pPr>
            <w:r w:rsidRPr="00842741">
              <w:rPr>
                <w:rFonts w:ascii="Garamond" w:hAnsi="Garamond"/>
                <w:lang w:val="en-AU"/>
              </w:rPr>
              <w:t xml:space="preserve">Sensitivity to scale of </w:t>
            </w:r>
            <w:r w:rsidRPr="00842741">
              <w:rPr>
                <w:rFonts w:ascii="Garamond" w:hAnsi="Garamond"/>
                <w:b/>
                <w:lang w:val="en-AU"/>
              </w:rPr>
              <w:t>willingness-to-pay</w:t>
            </w:r>
            <w:r w:rsidRPr="00842741">
              <w:rPr>
                <w:rFonts w:ascii="Garamond" w:hAnsi="Garamond"/>
                <w:lang w:val="en-AU"/>
              </w:rPr>
              <w:t xml:space="preserve"> within the context of </w:t>
            </w:r>
            <w:r w:rsidRPr="00842741">
              <w:rPr>
                <w:rFonts w:ascii="Garamond" w:hAnsi="Garamond"/>
                <w:b/>
                <w:lang w:val="en-AU"/>
              </w:rPr>
              <w:t>menorrhagia</w:t>
            </w:r>
            <w:r w:rsidRPr="00842741">
              <w:rPr>
                <w:rFonts w:ascii="Garamond" w:hAnsi="Garamond"/>
                <w:lang w:val="en-AU"/>
              </w:rPr>
              <w:t xml:space="preserve"> (Sabina Sanghera, Emma Frew, Janesh Kumar Gupta, Joe Kai and Tracy Elizabeth Roberts</w:t>
            </w:r>
            <w:r>
              <w:rPr>
                <w:rFonts w:ascii="Garamond" w:hAnsi="Garamond"/>
                <w:lang w:val="en-AU"/>
              </w:rPr>
              <w:t>)</w:t>
            </w:r>
          </w:p>
          <w:p w:rsidR="00842741" w:rsidRPr="00842741" w:rsidRDefault="00842741" w:rsidP="00842741">
            <w:pPr>
              <w:pStyle w:val="ListParagraph"/>
              <w:numPr>
                <w:ilvl w:val="0"/>
                <w:numId w:val="23"/>
              </w:numPr>
              <w:rPr>
                <w:rFonts w:ascii="Garamond" w:hAnsi="Garamond"/>
                <w:lang w:val="en-AU"/>
              </w:rPr>
            </w:pPr>
            <w:r w:rsidRPr="00842741">
              <w:rPr>
                <w:rFonts w:ascii="Garamond" w:hAnsi="Garamond"/>
                <w:lang w:val="en-AU"/>
              </w:rPr>
              <w:t xml:space="preserve">We need to talk about purpose: a critical interpretive synthesis of health and social care professionals’ approaches to </w:t>
            </w:r>
            <w:r w:rsidRPr="00842741">
              <w:rPr>
                <w:rFonts w:ascii="Garamond" w:hAnsi="Garamond"/>
                <w:b/>
                <w:lang w:val="en-AU"/>
              </w:rPr>
              <w:t>self-management support</w:t>
            </w:r>
            <w:r w:rsidRPr="00842741">
              <w:rPr>
                <w:rFonts w:ascii="Garamond" w:hAnsi="Garamond"/>
                <w:lang w:val="en-AU"/>
              </w:rPr>
              <w:t xml:space="preserve"> for people with </w:t>
            </w:r>
            <w:r w:rsidRPr="00842741">
              <w:rPr>
                <w:rFonts w:ascii="Garamond" w:hAnsi="Garamond"/>
                <w:b/>
                <w:lang w:val="en-AU"/>
              </w:rPr>
              <w:t>long-term conditions</w:t>
            </w:r>
            <w:r w:rsidRPr="00842741">
              <w:rPr>
                <w:rFonts w:ascii="Garamond" w:hAnsi="Garamond"/>
                <w:lang w:val="en-AU"/>
              </w:rPr>
              <w:t xml:space="preserve"> (Heather May Morgan, Vikki A Entwistle, Alan Cribb, Simon Christmas, John Owens, Zoë C Skea and Ian S Watt</w:t>
            </w:r>
            <w:r>
              <w:rPr>
                <w:rFonts w:ascii="Garamond" w:hAnsi="Garamond"/>
                <w:lang w:val="en-AU"/>
              </w:rPr>
              <w:t>)</w:t>
            </w:r>
          </w:p>
          <w:p w:rsidR="00842741" w:rsidRPr="00842741" w:rsidRDefault="00842741" w:rsidP="00842741">
            <w:pPr>
              <w:pStyle w:val="ListParagraph"/>
              <w:numPr>
                <w:ilvl w:val="0"/>
                <w:numId w:val="23"/>
              </w:numPr>
              <w:rPr>
                <w:rFonts w:ascii="Garamond" w:hAnsi="Garamond"/>
                <w:lang w:val="en-AU"/>
              </w:rPr>
            </w:pPr>
            <w:r w:rsidRPr="00842741">
              <w:rPr>
                <w:rFonts w:ascii="Garamond" w:hAnsi="Garamond"/>
                <w:b/>
                <w:lang w:val="en-AU"/>
              </w:rPr>
              <w:t>End-of-life care decisions</w:t>
            </w:r>
            <w:r w:rsidRPr="00842741">
              <w:rPr>
                <w:rFonts w:ascii="Garamond" w:hAnsi="Garamond"/>
                <w:lang w:val="en-AU"/>
              </w:rPr>
              <w:t xml:space="preserve"> for </w:t>
            </w:r>
            <w:r w:rsidRPr="00842741">
              <w:rPr>
                <w:rFonts w:ascii="Garamond" w:hAnsi="Garamond"/>
                <w:b/>
                <w:lang w:val="en-AU"/>
              </w:rPr>
              <w:t>haemodialysis</w:t>
            </w:r>
            <w:r w:rsidRPr="00842741">
              <w:rPr>
                <w:rFonts w:ascii="Garamond" w:hAnsi="Garamond"/>
                <w:lang w:val="en-AU"/>
              </w:rPr>
              <w:t xml:space="preserve"> patients – ‘We only tend to have that discussion with them when they start deteriorating’ (Sophia Lazenby, Adrian Edwards, Raymond Samuriwo, Stephen Riley, Mary Ann Murray and Andrew Carson-Stevens</w:t>
            </w:r>
            <w:r w:rsidR="00D46692">
              <w:rPr>
                <w:rFonts w:ascii="Garamond" w:hAnsi="Garamond"/>
                <w:lang w:val="en-AU"/>
              </w:rPr>
              <w:t>)</w:t>
            </w:r>
          </w:p>
          <w:p w:rsidR="00842741" w:rsidRPr="00D46692" w:rsidRDefault="00842741" w:rsidP="00842741">
            <w:pPr>
              <w:pStyle w:val="ListParagraph"/>
              <w:numPr>
                <w:ilvl w:val="0"/>
                <w:numId w:val="23"/>
              </w:numPr>
              <w:rPr>
                <w:rFonts w:ascii="Garamond" w:hAnsi="Garamond"/>
                <w:lang w:val="en-AU"/>
              </w:rPr>
            </w:pPr>
            <w:r w:rsidRPr="00D46692">
              <w:rPr>
                <w:rFonts w:ascii="Garamond" w:hAnsi="Garamond"/>
                <w:lang w:val="en-AU"/>
              </w:rPr>
              <w:t xml:space="preserve">Involving </w:t>
            </w:r>
            <w:r w:rsidRPr="00D46692">
              <w:rPr>
                <w:rFonts w:ascii="Garamond" w:hAnsi="Garamond"/>
                <w:b/>
                <w:lang w:val="en-AU"/>
              </w:rPr>
              <w:t>self-help groups in health-care institutions</w:t>
            </w:r>
            <w:r w:rsidRPr="00D46692">
              <w:rPr>
                <w:rFonts w:ascii="Garamond" w:hAnsi="Garamond"/>
                <w:lang w:val="en-AU"/>
              </w:rPr>
              <w:t>: the patients’ contribution to and their view of ‘self-help friendliness’ as an approach to implement quality criteria of sustainable co-operation (Stefan Nickel, Alf Trojan and Christopher Kofahl</w:t>
            </w:r>
            <w:r w:rsidR="00D46692">
              <w:rPr>
                <w:rFonts w:ascii="Garamond" w:hAnsi="Garamond"/>
                <w:lang w:val="en-AU"/>
              </w:rPr>
              <w:t>)</w:t>
            </w:r>
          </w:p>
          <w:p w:rsidR="00842741" w:rsidRPr="00D46692" w:rsidRDefault="00842741" w:rsidP="00842741">
            <w:pPr>
              <w:pStyle w:val="ListParagraph"/>
              <w:numPr>
                <w:ilvl w:val="0"/>
                <w:numId w:val="23"/>
              </w:numPr>
              <w:rPr>
                <w:rFonts w:ascii="Garamond" w:hAnsi="Garamond"/>
                <w:lang w:val="en-AU"/>
              </w:rPr>
            </w:pPr>
            <w:r w:rsidRPr="00D46692">
              <w:rPr>
                <w:rFonts w:ascii="Garamond" w:hAnsi="Garamond"/>
                <w:b/>
                <w:lang w:val="en-AU"/>
              </w:rPr>
              <w:t>Patient involvement</w:t>
            </w:r>
            <w:r w:rsidRPr="00D46692">
              <w:rPr>
                <w:rFonts w:ascii="Garamond" w:hAnsi="Garamond"/>
                <w:lang w:val="en-AU"/>
              </w:rPr>
              <w:t xml:space="preserve"> in the development of a handbook for </w:t>
            </w:r>
            <w:r w:rsidRPr="00D46692">
              <w:rPr>
                <w:rFonts w:ascii="Garamond" w:hAnsi="Garamond"/>
                <w:b/>
                <w:lang w:val="en-AU"/>
              </w:rPr>
              <w:t>moderate rheumatoid arthritis</w:t>
            </w:r>
            <w:r w:rsidRPr="00D46692">
              <w:rPr>
                <w:rFonts w:ascii="Garamond" w:hAnsi="Garamond"/>
                <w:lang w:val="en-AU"/>
              </w:rPr>
              <w:t xml:space="preserve"> (Louise Prothero, Sofia Georgopoulou, Savia de Souza, Ailsa Bosworth, Lindsay Bearne and Heidi Lempp</w:t>
            </w:r>
            <w:r w:rsidR="00D46692">
              <w:rPr>
                <w:rFonts w:ascii="Garamond" w:hAnsi="Garamond"/>
                <w:lang w:val="en-AU"/>
              </w:rPr>
              <w:t>)</w:t>
            </w:r>
          </w:p>
          <w:p w:rsidR="00842741" w:rsidRPr="00D46692" w:rsidRDefault="00842741" w:rsidP="00842741">
            <w:pPr>
              <w:pStyle w:val="ListParagraph"/>
              <w:numPr>
                <w:ilvl w:val="0"/>
                <w:numId w:val="23"/>
              </w:numPr>
              <w:rPr>
                <w:rFonts w:ascii="Garamond" w:hAnsi="Garamond"/>
                <w:lang w:val="en-AU"/>
              </w:rPr>
            </w:pPr>
            <w:r w:rsidRPr="00D46692">
              <w:rPr>
                <w:rFonts w:ascii="Garamond" w:hAnsi="Garamond"/>
                <w:lang w:val="en-AU"/>
              </w:rPr>
              <w:t xml:space="preserve">Process and impact of patient involvement in a systematic review of </w:t>
            </w:r>
            <w:r w:rsidRPr="00D46692">
              <w:rPr>
                <w:rFonts w:ascii="Garamond" w:hAnsi="Garamond"/>
                <w:b/>
                <w:lang w:val="en-AU"/>
              </w:rPr>
              <w:t>shared decision making</w:t>
            </w:r>
            <w:r w:rsidRPr="00D46692">
              <w:rPr>
                <w:rFonts w:ascii="Garamond" w:hAnsi="Garamond"/>
                <w:lang w:val="en-AU"/>
              </w:rPr>
              <w:t xml:space="preserve"> in </w:t>
            </w:r>
            <w:r w:rsidRPr="00D46692">
              <w:rPr>
                <w:rFonts w:ascii="Garamond" w:hAnsi="Garamond"/>
                <w:b/>
                <w:lang w:val="en-AU"/>
              </w:rPr>
              <w:t>primary care</w:t>
            </w:r>
            <w:r w:rsidRPr="00D46692">
              <w:rPr>
                <w:rFonts w:ascii="Garamond" w:hAnsi="Garamond"/>
                <w:lang w:val="en-AU"/>
              </w:rPr>
              <w:t xml:space="preserve"> consultations (</w:t>
            </w:r>
            <w:r w:rsidR="00D46692">
              <w:rPr>
                <w:rFonts w:ascii="Garamond" w:hAnsi="Garamond"/>
                <w:lang w:val="en-AU"/>
              </w:rPr>
              <w:t>Catherine Hyde, Kate M</w:t>
            </w:r>
            <w:r w:rsidRPr="00D46692">
              <w:rPr>
                <w:rFonts w:ascii="Garamond" w:hAnsi="Garamond"/>
                <w:lang w:val="en-AU"/>
              </w:rPr>
              <w:t xml:space="preserve"> Dunn, Adele Higginbottom and Carolyn A Chew-Graham</w:t>
            </w:r>
            <w:r w:rsidR="00D46692">
              <w:rPr>
                <w:rFonts w:ascii="Garamond" w:hAnsi="Garamond"/>
                <w:lang w:val="en-AU"/>
              </w:rPr>
              <w:t>)</w:t>
            </w:r>
          </w:p>
          <w:p w:rsidR="00842741" w:rsidRPr="00D46692" w:rsidRDefault="00842741" w:rsidP="00842741">
            <w:pPr>
              <w:pStyle w:val="ListParagraph"/>
              <w:numPr>
                <w:ilvl w:val="0"/>
                <w:numId w:val="23"/>
              </w:numPr>
              <w:rPr>
                <w:rFonts w:ascii="Garamond" w:hAnsi="Garamond"/>
                <w:lang w:val="en-AU"/>
              </w:rPr>
            </w:pPr>
            <w:r w:rsidRPr="00D46692">
              <w:rPr>
                <w:rFonts w:ascii="Garamond" w:hAnsi="Garamond"/>
                <w:lang w:val="en-AU"/>
              </w:rPr>
              <w:t xml:space="preserve">Drug breakthrough offers hope to arthritis sufferers: qualitative analysis of </w:t>
            </w:r>
            <w:r w:rsidRPr="00D46692">
              <w:rPr>
                <w:rFonts w:ascii="Garamond" w:hAnsi="Garamond"/>
                <w:b/>
                <w:lang w:val="en-AU"/>
              </w:rPr>
              <w:t>medical research</w:t>
            </w:r>
            <w:r w:rsidRPr="00D46692">
              <w:rPr>
                <w:rFonts w:ascii="Garamond" w:hAnsi="Garamond"/>
                <w:lang w:val="en-AU"/>
              </w:rPr>
              <w:t xml:space="preserve"> in UK </w:t>
            </w:r>
            <w:r w:rsidRPr="00D46692">
              <w:rPr>
                <w:rFonts w:ascii="Garamond" w:hAnsi="Garamond"/>
                <w:b/>
                <w:lang w:val="en-AU"/>
              </w:rPr>
              <w:t>newspapers</w:t>
            </w:r>
            <w:r w:rsidRPr="00D46692">
              <w:rPr>
                <w:rFonts w:ascii="Garamond" w:hAnsi="Garamond"/>
                <w:lang w:val="en-AU"/>
              </w:rPr>
              <w:t xml:space="preserve"> (Helen Hanson, Nicola O'Brien, Paul Whybrow, John D Isaacs and Tim Rapley</w:t>
            </w:r>
            <w:r w:rsidR="00D46692">
              <w:rPr>
                <w:rFonts w:ascii="Garamond" w:hAnsi="Garamond"/>
                <w:lang w:val="en-AU"/>
              </w:rPr>
              <w:t>)</w:t>
            </w:r>
          </w:p>
          <w:p w:rsidR="00842741" w:rsidRPr="00D46692" w:rsidRDefault="00842741" w:rsidP="00842741">
            <w:pPr>
              <w:pStyle w:val="ListParagraph"/>
              <w:numPr>
                <w:ilvl w:val="0"/>
                <w:numId w:val="23"/>
              </w:numPr>
              <w:rPr>
                <w:rFonts w:ascii="Garamond" w:hAnsi="Garamond"/>
                <w:lang w:val="en-AU"/>
              </w:rPr>
            </w:pPr>
            <w:r w:rsidRPr="00D46692">
              <w:rPr>
                <w:rFonts w:ascii="Garamond" w:hAnsi="Garamond"/>
                <w:lang w:val="en-AU"/>
              </w:rPr>
              <w:t xml:space="preserve">Validation of a new </w:t>
            </w:r>
            <w:r w:rsidRPr="00D46692">
              <w:rPr>
                <w:rFonts w:ascii="Garamond" w:hAnsi="Garamond"/>
                <w:b/>
                <w:lang w:val="en-AU"/>
              </w:rPr>
              <w:t>measure of availability and accommodation of health care</w:t>
            </w:r>
            <w:r w:rsidRPr="00D46692">
              <w:rPr>
                <w:rFonts w:ascii="Garamond" w:hAnsi="Garamond"/>
                <w:lang w:val="en-AU"/>
              </w:rPr>
              <w:t xml:space="preserve"> that is valid for rural and urban contexts (Jeannie L Haggerty and Jean-Frédéric Levesque</w:t>
            </w:r>
            <w:r w:rsidR="00D46692">
              <w:rPr>
                <w:rFonts w:ascii="Garamond" w:hAnsi="Garamond"/>
                <w:lang w:val="en-AU"/>
              </w:rPr>
              <w:t>)</w:t>
            </w:r>
          </w:p>
          <w:p w:rsidR="00842741" w:rsidRPr="00D46692" w:rsidRDefault="00842741" w:rsidP="00842741">
            <w:pPr>
              <w:pStyle w:val="ListParagraph"/>
              <w:numPr>
                <w:ilvl w:val="0"/>
                <w:numId w:val="23"/>
              </w:numPr>
              <w:rPr>
                <w:rFonts w:ascii="Garamond" w:hAnsi="Garamond"/>
                <w:lang w:val="en-AU"/>
              </w:rPr>
            </w:pPr>
            <w:r w:rsidRPr="00D46692">
              <w:rPr>
                <w:rFonts w:ascii="Garamond" w:hAnsi="Garamond"/>
                <w:lang w:val="en-AU"/>
              </w:rPr>
              <w:t xml:space="preserve">Agreeing the content of a </w:t>
            </w:r>
            <w:r w:rsidRPr="00D46692">
              <w:rPr>
                <w:rFonts w:ascii="Garamond" w:hAnsi="Garamond"/>
                <w:b/>
                <w:lang w:val="en-AU"/>
              </w:rPr>
              <w:t>patient-reported outcome measure for primary care</w:t>
            </w:r>
            <w:r w:rsidRPr="00D46692">
              <w:rPr>
                <w:rFonts w:ascii="Garamond" w:hAnsi="Garamond"/>
                <w:lang w:val="en-AU"/>
              </w:rPr>
              <w:t>: a Delphi consensus study (Mairead Murphy, Sandra Hollinghurst and Chris Salisbury</w:t>
            </w:r>
            <w:r w:rsidR="00D46692">
              <w:rPr>
                <w:rFonts w:ascii="Garamond" w:hAnsi="Garamond"/>
                <w:lang w:val="en-AU"/>
              </w:rPr>
              <w:t>)</w:t>
            </w:r>
          </w:p>
          <w:p w:rsidR="00842741" w:rsidRPr="00D46692" w:rsidRDefault="00842741" w:rsidP="00842741">
            <w:pPr>
              <w:pStyle w:val="ListParagraph"/>
              <w:numPr>
                <w:ilvl w:val="0"/>
                <w:numId w:val="23"/>
              </w:numPr>
              <w:rPr>
                <w:rFonts w:ascii="Garamond" w:hAnsi="Garamond"/>
                <w:lang w:val="en-AU"/>
              </w:rPr>
            </w:pPr>
            <w:r w:rsidRPr="00D46692">
              <w:rPr>
                <w:rFonts w:ascii="Garamond" w:hAnsi="Garamond"/>
                <w:b/>
                <w:lang w:val="en-AU"/>
              </w:rPr>
              <w:t>Communicating with parents</w:t>
            </w:r>
            <w:r w:rsidRPr="00D46692">
              <w:rPr>
                <w:rFonts w:ascii="Garamond" w:hAnsi="Garamond"/>
                <w:lang w:val="en-AU"/>
              </w:rPr>
              <w:t xml:space="preserve"> of obese children: which channels are most effective? (Melanie Randle, Anthony D Okely and Sara Dolnicar</w:t>
            </w:r>
            <w:r w:rsidR="00D46692">
              <w:rPr>
                <w:rFonts w:ascii="Garamond" w:hAnsi="Garamond"/>
                <w:lang w:val="en-AU"/>
              </w:rPr>
              <w:t>)</w:t>
            </w:r>
          </w:p>
          <w:p w:rsidR="00842741" w:rsidRPr="00D46692" w:rsidRDefault="00842741" w:rsidP="00D46692">
            <w:pPr>
              <w:pStyle w:val="ListParagraph"/>
              <w:numPr>
                <w:ilvl w:val="0"/>
                <w:numId w:val="23"/>
              </w:numPr>
              <w:rPr>
                <w:rFonts w:ascii="Garamond" w:hAnsi="Garamond"/>
                <w:lang w:val="en-AU"/>
              </w:rPr>
            </w:pPr>
            <w:r w:rsidRPr="00D46692">
              <w:rPr>
                <w:rFonts w:ascii="Garamond" w:hAnsi="Garamond"/>
                <w:b/>
                <w:lang w:val="en-AU"/>
              </w:rPr>
              <w:t>Public consultation</w:t>
            </w:r>
            <w:r w:rsidRPr="00D46692">
              <w:rPr>
                <w:rFonts w:ascii="Garamond" w:hAnsi="Garamond"/>
                <w:lang w:val="en-AU"/>
              </w:rPr>
              <w:t xml:space="preserve"> changes guidance on the </w:t>
            </w:r>
            <w:r w:rsidRPr="00D46692">
              <w:rPr>
                <w:rFonts w:ascii="Garamond" w:hAnsi="Garamond"/>
                <w:b/>
                <w:lang w:val="en-AU"/>
              </w:rPr>
              <w:t>use of health-care interventions</w:t>
            </w:r>
            <w:r w:rsidRPr="00D46692">
              <w:rPr>
                <w:rFonts w:ascii="Garamond" w:hAnsi="Garamond"/>
                <w:lang w:val="en-AU"/>
              </w:rPr>
              <w:t>. An observational study (Bruce Campbell, Jeffrey Tabiri-Essuman, Helen Gallo, Vassilia Verdiel, Lakshmi Mandava, Mohamed Ansaf Azhar and John Powell</w:t>
            </w:r>
            <w:r w:rsidR="00D46692">
              <w:rPr>
                <w:rFonts w:ascii="Garamond" w:hAnsi="Garamond"/>
                <w:lang w:val="en-AU"/>
              </w:rPr>
              <w:t>)</w:t>
            </w:r>
          </w:p>
        </w:tc>
      </w:tr>
    </w:tbl>
    <w:p w:rsidR="00842741" w:rsidRPr="007A47A8" w:rsidRDefault="00842741" w:rsidP="00842741">
      <w:pPr>
        <w:rPr>
          <w:rFonts w:ascii="Garamond" w:hAnsi="Garamond"/>
          <w:i/>
          <w:lang w:val="en-AU"/>
        </w:rPr>
      </w:pPr>
    </w:p>
    <w:p w:rsidR="008C6F66" w:rsidRPr="00A45262" w:rsidRDefault="008C6F66" w:rsidP="008C6F66">
      <w:pPr>
        <w:keepNext/>
        <w:rPr>
          <w:rFonts w:ascii="Garamond" w:hAnsi="Garamond"/>
          <w:lang w:val="en-AU"/>
        </w:rPr>
      </w:pPr>
      <w:r w:rsidRPr="00A45262">
        <w:rPr>
          <w:rFonts w:ascii="Garamond" w:hAnsi="Garamond"/>
          <w:i/>
          <w:lang w:val="en-AU"/>
        </w:rPr>
        <w:t xml:space="preserve">BMJ Quality and Safety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C6F66" w:rsidRPr="00A45262" w:rsidTr="00425D88">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425D88">
            <w:pPr>
              <w:keepNext/>
              <w:rPr>
                <w:rFonts w:ascii="Garamond" w:hAnsi="Garamond"/>
                <w:lang w:val="en-AU"/>
              </w:rPr>
            </w:pPr>
            <w:r w:rsidRPr="00A45262">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A45262" w:rsidRDefault="00EC2CA5" w:rsidP="00425D88">
            <w:pPr>
              <w:keepNext/>
              <w:rPr>
                <w:rFonts w:ascii="Garamond" w:hAnsi="Garamond"/>
                <w:lang w:val="en-AU"/>
              </w:rPr>
            </w:pPr>
            <w:hyperlink r:id="rId26" w:history="1">
              <w:r w:rsidR="008C6F66" w:rsidRPr="00A45262">
                <w:rPr>
                  <w:rStyle w:val="Hyperlink"/>
                  <w:rFonts w:ascii="Garamond" w:hAnsi="Garamond"/>
                  <w:lang w:val="en-AU"/>
                </w:rPr>
                <w:t>http://qualitysafety.bmj.com/content/early/recent</w:t>
              </w:r>
            </w:hyperlink>
          </w:p>
        </w:tc>
      </w:tr>
      <w:tr w:rsidR="008C6F66" w:rsidRPr="00A45262" w:rsidTr="00425D88">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425D88">
            <w:pPr>
              <w:rPr>
                <w:rFonts w:ascii="Garamond" w:hAnsi="Garamond"/>
                <w:lang w:val="en-AU"/>
              </w:rPr>
            </w:pPr>
            <w:r w:rsidRPr="00A45262">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425D88">
            <w:pPr>
              <w:rPr>
                <w:rFonts w:ascii="Garamond" w:hAnsi="Garamond"/>
                <w:lang w:val="en-AU"/>
              </w:rPr>
            </w:pPr>
            <w:r w:rsidRPr="00A45262">
              <w:rPr>
                <w:rFonts w:ascii="Garamond" w:hAnsi="Garamond"/>
                <w:i/>
                <w:lang w:val="en-AU"/>
              </w:rPr>
              <w:t>BMJ Quality and Safety</w:t>
            </w:r>
            <w:r w:rsidRPr="00A45262">
              <w:rPr>
                <w:rFonts w:ascii="Garamond" w:hAnsi="Garamond"/>
                <w:lang w:val="en-AU"/>
              </w:rPr>
              <w:t xml:space="preserve"> has published a number of ‘online first’ articles, including:</w:t>
            </w:r>
          </w:p>
          <w:p w:rsidR="00247AA0" w:rsidRPr="00A45262" w:rsidRDefault="001E6019" w:rsidP="001E6019">
            <w:pPr>
              <w:pStyle w:val="ListParagraph"/>
              <w:numPr>
                <w:ilvl w:val="0"/>
                <w:numId w:val="14"/>
              </w:numPr>
              <w:rPr>
                <w:rFonts w:ascii="Garamond" w:hAnsi="Garamond"/>
                <w:lang w:val="en-AU"/>
              </w:rPr>
            </w:pPr>
            <w:r w:rsidRPr="00A45262">
              <w:rPr>
                <w:rFonts w:ascii="Garamond" w:hAnsi="Garamond"/>
                <w:lang w:val="en-AU"/>
              </w:rPr>
              <w:t xml:space="preserve">Use of standard </w:t>
            </w:r>
            <w:r w:rsidRPr="00A45262">
              <w:rPr>
                <w:rFonts w:ascii="Garamond" w:hAnsi="Garamond"/>
                <w:b/>
                <w:lang w:val="en-AU"/>
              </w:rPr>
              <w:t>risk screening</w:t>
            </w:r>
            <w:r w:rsidRPr="00A45262">
              <w:rPr>
                <w:rFonts w:ascii="Garamond" w:hAnsi="Garamond"/>
                <w:lang w:val="en-AU"/>
              </w:rPr>
              <w:t xml:space="preserve"> and assessment forms to prevent harm to </w:t>
            </w:r>
            <w:r w:rsidRPr="00A45262">
              <w:rPr>
                <w:rFonts w:ascii="Garamond" w:hAnsi="Garamond"/>
                <w:b/>
                <w:lang w:val="en-AU"/>
              </w:rPr>
              <w:t>older people</w:t>
            </w:r>
            <w:r w:rsidRPr="00A45262">
              <w:rPr>
                <w:rFonts w:ascii="Garamond" w:hAnsi="Garamond"/>
                <w:lang w:val="en-AU"/>
              </w:rPr>
              <w:t xml:space="preserve"> in Australian hospitals: a mixed methods study (Bernice Redley, Michelle Raggatt)</w:t>
            </w:r>
          </w:p>
        </w:tc>
      </w:tr>
    </w:tbl>
    <w:p w:rsidR="008C6F66" w:rsidRPr="00A45262" w:rsidRDefault="008C6F66" w:rsidP="008C6F66">
      <w:pPr>
        <w:rPr>
          <w:rFonts w:ascii="Garamond" w:hAnsi="Garamond"/>
          <w:lang w:val="en-AU" w:eastAsia="en-AU"/>
        </w:rPr>
      </w:pPr>
    </w:p>
    <w:p w:rsidR="00AF20FE" w:rsidRPr="00A45262" w:rsidRDefault="00AF20FE" w:rsidP="00AF20FE">
      <w:pPr>
        <w:keepNext/>
        <w:rPr>
          <w:rFonts w:ascii="Garamond" w:hAnsi="Garamond"/>
          <w:lang w:val="en-AU"/>
        </w:rPr>
      </w:pPr>
      <w:r w:rsidRPr="00A45262">
        <w:rPr>
          <w:rFonts w:ascii="Garamond" w:hAnsi="Garamond"/>
          <w:i/>
          <w:lang w:val="en-AU"/>
        </w:rPr>
        <w:lastRenderedPageBreak/>
        <w:t xml:space="preserve">International Journal for Quality in Health Care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A45262"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keepNext/>
              <w:rPr>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EC2CA5" w:rsidP="009E5A41">
            <w:pPr>
              <w:keepNext/>
              <w:rPr>
                <w:rFonts w:ascii="Garamond" w:hAnsi="Garamond"/>
                <w:lang w:val="en-AU"/>
              </w:rPr>
            </w:pPr>
            <w:hyperlink r:id="rId27" w:history="1">
              <w:r w:rsidR="009E5A41" w:rsidRPr="00A45262">
                <w:rPr>
                  <w:rStyle w:val="Hyperlink"/>
                  <w:lang w:val="en-AU"/>
                </w:rPr>
                <w:t>https://academic.oup.com/intqhc/advance-access?papetoc</w:t>
              </w:r>
            </w:hyperlink>
          </w:p>
        </w:tc>
      </w:tr>
      <w:tr w:rsidR="00AF20FE" w:rsidRPr="00A45262"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rPr>
                <w:rFonts w:ascii="Garamond" w:hAnsi="Garamond"/>
                <w:lang w:val="en-AU"/>
              </w:rPr>
            </w:pPr>
            <w:r w:rsidRPr="00A45262">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has published a number of ‘online first’ articles, including:</w:t>
            </w:r>
          </w:p>
          <w:p w:rsidR="000C6A11" w:rsidRPr="00A45262" w:rsidRDefault="000C6A11" w:rsidP="000C6A11">
            <w:pPr>
              <w:pStyle w:val="ListParagraph"/>
              <w:numPr>
                <w:ilvl w:val="0"/>
                <w:numId w:val="14"/>
              </w:numPr>
              <w:rPr>
                <w:rFonts w:ascii="Garamond" w:hAnsi="Garamond"/>
                <w:lang w:val="en-AU"/>
              </w:rPr>
            </w:pPr>
            <w:r w:rsidRPr="00A45262">
              <w:rPr>
                <w:rFonts w:ascii="Garamond" w:hAnsi="Garamond"/>
                <w:b/>
                <w:lang w:val="en-AU"/>
              </w:rPr>
              <w:t>Patient reporting</w:t>
            </w:r>
            <w:r w:rsidRPr="00A45262">
              <w:rPr>
                <w:rFonts w:ascii="Garamond" w:hAnsi="Garamond"/>
                <w:lang w:val="en-AU"/>
              </w:rPr>
              <w:t xml:space="preserve"> of undesirable events: a pilot study in China (Jia Yan; Ke Liu; Lifeng Zhang; Ting Chu; Xuehua Wang)</w:t>
            </w:r>
          </w:p>
          <w:p w:rsidR="00EE6CFC" w:rsidRPr="00A45262" w:rsidRDefault="000C6A11" w:rsidP="000C6A11">
            <w:pPr>
              <w:pStyle w:val="ListParagraph"/>
              <w:numPr>
                <w:ilvl w:val="0"/>
                <w:numId w:val="14"/>
              </w:numPr>
              <w:rPr>
                <w:rFonts w:ascii="Garamond" w:hAnsi="Garamond"/>
                <w:lang w:val="en-AU"/>
              </w:rPr>
            </w:pPr>
            <w:r w:rsidRPr="00A45262">
              <w:rPr>
                <w:rFonts w:ascii="Garamond" w:hAnsi="Garamond"/>
                <w:lang w:val="en-AU"/>
              </w:rPr>
              <w:t xml:space="preserve">The proportion of </w:t>
            </w:r>
            <w:r w:rsidRPr="00A45262">
              <w:rPr>
                <w:rFonts w:ascii="Garamond" w:hAnsi="Garamond"/>
                <w:b/>
                <w:lang w:val="en-AU"/>
              </w:rPr>
              <w:t>errors in medical prescriptions</w:t>
            </w:r>
            <w:r w:rsidRPr="00A45262">
              <w:rPr>
                <w:rFonts w:ascii="Garamond" w:hAnsi="Garamond"/>
                <w:lang w:val="en-AU"/>
              </w:rPr>
              <w:t xml:space="preserve"> and their executions among hospitalized children before and during accreditation (Tal Margalit Mekory; Hilla Bahat; Benjamin Bar-Oz; Orna Tal; Matitiahu Berkovitch; Eran Kozer)</w:t>
            </w:r>
          </w:p>
        </w:tc>
      </w:tr>
    </w:tbl>
    <w:p w:rsidR="00AF20FE" w:rsidRPr="00A45262" w:rsidRDefault="00AF20FE" w:rsidP="00AF20FE">
      <w:pPr>
        <w:rPr>
          <w:rFonts w:ascii="Garamond" w:hAnsi="Garamond"/>
          <w:lang w:val="en-AU"/>
        </w:rPr>
      </w:pPr>
    </w:p>
    <w:p w:rsidR="00B02F6E" w:rsidRPr="00A45262" w:rsidRDefault="00B02F6E" w:rsidP="001C6360">
      <w:pPr>
        <w:keepNext/>
        <w:rPr>
          <w:rFonts w:ascii="Garamond" w:hAnsi="Garamond"/>
          <w:b/>
          <w:lang w:val="en-AU"/>
        </w:rPr>
      </w:pPr>
      <w:r w:rsidRPr="00A45262">
        <w:rPr>
          <w:rFonts w:ascii="Garamond" w:hAnsi="Garamond"/>
          <w:b/>
          <w:lang w:val="en-AU"/>
        </w:rPr>
        <w:t>Online resources</w:t>
      </w:r>
    </w:p>
    <w:p w:rsidR="00BB12F9" w:rsidRPr="00A45262" w:rsidRDefault="00BB12F9" w:rsidP="001C6360">
      <w:pPr>
        <w:keepNext/>
        <w:rPr>
          <w:rFonts w:ascii="Garamond" w:hAnsi="Garamond"/>
          <w:i/>
          <w:lang w:val="en-AU"/>
        </w:rPr>
      </w:pPr>
    </w:p>
    <w:p w:rsidR="00055FBF" w:rsidRPr="00055FBF" w:rsidRDefault="00055FBF" w:rsidP="00B47E3A">
      <w:pPr>
        <w:keepLines/>
        <w:rPr>
          <w:rFonts w:ascii="Garamond" w:hAnsi="Garamond"/>
          <w:i/>
          <w:lang w:val="en-AU"/>
        </w:rPr>
      </w:pPr>
      <w:r w:rsidRPr="00055FBF">
        <w:rPr>
          <w:rFonts w:ascii="Garamond" w:hAnsi="Garamond"/>
          <w:i/>
          <w:lang w:val="en-AU"/>
        </w:rPr>
        <w:t>[UK] Options in the care of people with depression</w:t>
      </w:r>
    </w:p>
    <w:p w:rsidR="00055FBF" w:rsidRDefault="00EC2CA5" w:rsidP="00B47E3A">
      <w:pPr>
        <w:keepLines/>
        <w:rPr>
          <w:rFonts w:ascii="Garamond" w:hAnsi="Garamond"/>
          <w:lang w:val="en-AU"/>
        </w:rPr>
      </w:pPr>
      <w:hyperlink r:id="rId28" w:history="1">
        <w:r w:rsidR="00055FBF" w:rsidRPr="000B513C">
          <w:rPr>
            <w:rStyle w:val="Hyperlink"/>
            <w:rFonts w:ascii="Garamond" w:hAnsi="Garamond"/>
            <w:lang w:val="en-AU"/>
          </w:rPr>
          <w:t>http://www.dc.nihr.ac.uk/highlights/options-for-depression/</w:t>
        </w:r>
      </w:hyperlink>
    </w:p>
    <w:p w:rsidR="00055FBF" w:rsidRDefault="00055FBF" w:rsidP="00055FBF">
      <w:pPr>
        <w:keepLines/>
        <w:rPr>
          <w:rFonts w:ascii="Garamond" w:hAnsi="Garamond"/>
          <w:lang w:val="en-AU"/>
        </w:rPr>
      </w:pPr>
      <w:r>
        <w:rPr>
          <w:rFonts w:ascii="Garamond" w:hAnsi="Garamond"/>
          <w:lang w:val="en-AU"/>
        </w:rPr>
        <w:t xml:space="preserve">The UK’s </w:t>
      </w:r>
      <w:r w:rsidRPr="00B7747F">
        <w:rPr>
          <w:rFonts w:ascii="Garamond" w:hAnsi="Garamond"/>
          <w:lang w:val="en-AU"/>
        </w:rPr>
        <w:t>National Institute for Health Research</w:t>
      </w:r>
      <w:r>
        <w:rPr>
          <w:rFonts w:ascii="Garamond" w:hAnsi="Garamond"/>
          <w:lang w:val="en-AU"/>
        </w:rPr>
        <w:t xml:space="preserve"> (NIHR) has produced this ‘Highlights’ web page drawing together </w:t>
      </w:r>
      <w:r w:rsidRPr="00055FBF">
        <w:rPr>
          <w:rFonts w:ascii="Garamond" w:hAnsi="Garamond"/>
          <w:lang w:val="en-AU"/>
        </w:rPr>
        <w:t>NIHR research into different ways of managing the care of people with depression and treating the condition.</w:t>
      </w:r>
      <w:r w:rsidR="000B767C">
        <w:rPr>
          <w:rFonts w:ascii="Garamond" w:hAnsi="Garamond"/>
          <w:lang w:val="en-AU"/>
        </w:rPr>
        <w:t xml:space="preserve"> </w:t>
      </w:r>
      <w:r>
        <w:rPr>
          <w:rFonts w:ascii="Garamond" w:hAnsi="Garamond"/>
          <w:lang w:val="en-AU"/>
        </w:rPr>
        <w:t xml:space="preserve">The NIHR observes that as much as </w:t>
      </w:r>
      <w:r w:rsidRPr="00055FBF">
        <w:rPr>
          <w:rFonts w:ascii="Garamond" w:hAnsi="Garamond"/>
          <w:lang w:val="en-AU"/>
        </w:rPr>
        <w:t>90% of patients with depression are treated in primary care, but care can be complex, involving a number of different specialists and requiring access to different forms of treatment. There is also high demand for these treatments.</w:t>
      </w:r>
      <w:r w:rsidR="000B767C">
        <w:rPr>
          <w:rFonts w:ascii="Garamond" w:hAnsi="Garamond"/>
          <w:lang w:val="en-AU"/>
        </w:rPr>
        <w:t xml:space="preserve"> </w:t>
      </w:r>
      <w:r w:rsidRPr="00055FBF">
        <w:rPr>
          <w:rFonts w:ascii="Garamond" w:hAnsi="Garamond"/>
          <w:lang w:val="en-AU"/>
        </w:rPr>
        <w:t xml:space="preserve">The Highlight explores </w:t>
      </w:r>
      <w:r w:rsidRPr="00055FBF">
        <w:rPr>
          <w:rFonts w:ascii="Garamond" w:hAnsi="Garamond"/>
          <w:b/>
          <w:lang w:val="en-AU"/>
        </w:rPr>
        <w:t>collaborative care</w:t>
      </w:r>
      <w:r w:rsidRPr="00055FBF">
        <w:rPr>
          <w:rFonts w:ascii="Garamond" w:hAnsi="Garamond"/>
          <w:lang w:val="en-AU"/>
        </w:rPr>
        <w:t xml:space="preserve"> </w:t>
      </w:r>
      <w:r>
        <w:rPr>
          <w:rFonts w:ascii="Garamond" w:hAnsi="Garamond"/>
          <w:lang w:val="en-AU"/>
        </w:rPr>
        <w:t>–</w:t>
      </w:r>
      <w:r w:rsidRPr="00055FBF">
        <w:rPr>
          <w:rFonts w:ascii="Garamond" w:hAnsi="Garamond"/>
          <w:lang w:val="en-AU"/>
        </w:rPr>
        <w:t xml:space="preserve"> coordinating care through a care manager, and </w:t>
      </w:r>
      <w:r w:rsidRPr="00055FBF">
        <w:rPr>
          <w:rFonts w:ascii="Garamond" w:hAnsi="Garamond"/>
          <w:b/>
          <w:lang w:val="en-AU"/>
        </w:rPr>
        <w:t>behavioural activation</w:t>
      </w:r>
      <w:r w:rsidRPr="00055FBF">
        <w:rPr>
          <w:rFonts w:ascii="Garamond" w:hAnsi="Garamond"/>
          <w:lang w:val="en-AU"/>
        </w:rPr>
        <w:t xml:space="preserve"> </w:t>
      </w:r>
      <w:r>
        <w:rPr>
          <w:rFonts w:ascii="Garamond" w:hAnsi="Garamond"/>
          <w:lang w:val="en-AU"/>
        </w:rPr>
        <w:t>–</w:t>
      </w:r>
      <w:r w:rsidRPr="00055FBF">
        <w:rPr>
          <w:rFonts w:ascii="Garamond" w:hAnsi="Garamond"/>
          <w:lang w:val="en-AU"/>
        </w:rPr>
        <w:t xml:space="preserve"> a simple psychological therapy that could be cheaper to deliver than current options</w:t>
      </w:r>
      <w:r>
        <w:rPr>
          <w:rFonts w:ascii="Garamond" w:hAnsi="Garamond"/>
          <w:lang w:val="en-AU"/>
        </w:rPr>
        <w:t>.</w:t>
      </w:r>
    </w:p>
    <w:p w:rsidR="00055FBF" w:rsidRDefault="00055FBF" w:rsidP="00B47E3A">
      <w:pPr>
        <w:keepLines/>
        <w:rPr>
          <w:rFonts w:ascii="Garamond" w:hAnsi="Garamond"/>
          <w:lang w:val="en-AU"/>
        </w:rPr>
      </w:pPr>
    </w:p>
    <w:p w:rsidR="002F1DFF" w:rsidRPr="00160029" w:rsidRDefault="002F1DFF" w:rsidP="002F1DFF">
      <w:pPr>
        <w:keepNext/>
        <w:keepLines/>
        <w:rPr>
          <w:rFonts w:ascii="Garamond" w:hAnsi="Garamond"/>
          <w:i/>
          <w:lang w:val="en-AU"/>
        </w:rPr>
      </w:pPr>
      <w:r w:rsidRPr="00160029">
        <w:rPr>
          <w:rFonts w:ascii="Garamond" w:hAnsi="Garamond"/>
          <w:i/>
          <w:lang w:val="en-AU"/>
        </w:rPr>
        <w:t>[USA] Effective Health Care Program reports</w:t>
      </w:r>
    </w:p>
    <w:p w:rsidR="002F1DFF" w:rsidRPr="00160029" w:rsidRDefault="00EC2CA5" w:rsidP="002F1DFF">
      <w:pPr>
        <w:keepNext/>
        <w:keepLines/>
        <w:rPr>
          <w:rFonts w:ascii="Garamond" w:hAnsi="Garamond"/>
          <w:u w:val="single"/>
          <w:lang w:val="en-AU"/>
        </w:rPr>
      </w:pPr>
      <w:hyperlink r:id="rId29" w:history="1">
        <w:r w:rsidR="002F1DFF" w:rsidRPr="00160029">
          <w:rPr>
            <w:rStyle w:val="Hyperlink"/>
            <w:rFonts w:ascii="Garamond" w:hAnsi="Garamond"/>
            <w:lang w:val="en-AU"/>
          </w:rPr>
          <w:t>http://effectivehealthcare.ahrq.gov/</w:t>
        </w:r>
      </w:hyperlink>
    </w:p>
    <w:p w:rsidR="002F1DFF" w:rsidRPr="00160029" w:rsidRDefault="002F1DFF" w:rsidP="002F1DFF">
      <w:pPr>
        <w:keepNext/>
        <w:keepLines/>
        <w:rPr>
          <w:rFonts w:ascii="Garamond" w:hAnsi="Garamond"/>
          <w:lang w:val="en-AU"/>
        </w:rPr>
      </w:pPr>
      <w:r w:rsidRPr="00160029">
        <w:rPr>
          <w:rFonts w:ascii="Garamond" w:hAnsi="Garamond"/>
          <w:lang w:val="en-AU"/>
        </w:rPr>
        <w:t>The US Agency for Healthcare Research and Quality (AHRQ) has an Effective Health Care (EHC) Program. The EHC has released the following final reports and updates:</w:t>
      </w:r>
    </w:p>
    <w:p w:rsidR="002F1DFF" w:rsidRDefault="002F1DFF" w:rsidP="002F1DFF">
      <w:pPr>
        <w:pStyle w:val="ListParagraph"/>
        <w:keepLines/>
        <w:numPr>
          <w:ilvl w:val="0"/>
          <w:numId w:val="15"/>
        </w:numPr>
        <w:rPr>
          <w:rFonts w:ascii="Garamond" w:hAnsi="Garamond"/>
          <w:i/>
          <w:lang w:val="en-AU"/>
        </w:rPr>
      </w:pPr>
      <w:r w:rsidRPr="002F1DFF">
        <w:rPr>
          <w:rFonts w:ascii="Garamond" w:hAnsi="Garamond"/>
          <w:i/>
          <w:lang w:val="en-AU"/>
        </w:rPr>
        <w:t xml:space="preserve">First- and Second-Generation </w:t>
      </w:r>
      <w:r w:rsidRPr="002F1DFF">
        <w:rPr>
          <w:rFonts w:ascii="Garamond" w:hAnsi="Garamond"/>
          <w:b/>
          <w:i/>
          <w:lang w:val="en-AU"/>
        </w:rPr>
        <w:t>Antipsychotics in Children and Young Adults</w:t>
      </w:r>
      <w:r w:rsidRPr="002F1DFF">
        <w:rPr>
          <w:rFonts w:ascii="Garamond" w:hAnsi="Garamond"/>
          <w:i/>
          <w:lang w:val="en-AU"/>
        </w:rPr>
        <w:t>: Systematic Review Update</w:t>
      </w:r>
      <w:r>
        <w:rPr>
          <w:rFonts w:ascii="Garamond" w:hAnsi="Garamond"/>
          <w:i/>
          <w:lang w:val="en-AU"/>
        </w:rPr>
        <w:t xml:space="preserve"> </w:t>
      </w:r>
      <w:hyperlink r:id="rId30" w:history="1">
        <w:r w:rsidRPr="000B513C">
          <w:rPr>
            <w:rStyle w:val="Hyperlink"/>
            <w:rFonts w:ascii="Garamond" w:hAnsi="Garamond"/>
            <w:lang w:val="en-AU"/>
          </w:rPr>
          <w:t>http://www.effectivehealthcare.ahrq.gov/index.cfm/search-for-guides-reviews-and-reports/?pageaction=displayproduct&amp;productid=2437</w:t>
        </w:r>
      </w:hyperlink>
    </w:p>
    <w:p w:rsidR="002F1DFF" w:rsidRPr="00A45262" w:rsidRDefault="002F1DFF" w:rsidP="00B47E3A">
      <w:pPr>
        <w:keepLines/>
        <w:rPr>
          <w:rFonts w:ascii="Garamond" w:hAnsi="Garamond"/>
          <w:lang w:val="en-AU"/>
        </w:rPr>
      </w:pPr>
    </w:p>
    <w:p w:rsidR="00B73950" w:rsidRPr="00A45262" w:rsidRDefault="00B73950" w:rsidP="00B47E3A">
      <w:pPr>
        <w:keepLines/>
        <w:rPr>
          <w:rFonts w:ascii="Garamond" w:hAnsi="Garamond"/>
          <w:i/>
          <w:lang w:val="en-AU"/>
        </w:rPr>
      </w:pPr>
      <w:r w:rsidRPr="00A45262">
        <w:rPr>
          <w:rFonts w:ascii="Garamond" w:hAnsi="Garamond"/>
          <w:i/>
          <w:lang w:val="en-AU"/>
        </w:rPr>
        <w:t>[USA] Toolkit To Reduce CAUTI and Other HAIs in Long-Term Care Facilities</w:t>
      </w:r>
    </w:p>
    <w:bookmarkStart w:id="1" w:name="_GoBack"/>
    <w:p w:rsidR="00B73950" w:rsidRPr="00A45262" w:rsidRDefault="00EC2CA5" w:rsidP="00B47E3A">
      <w:pPr>
        <w:keepLines/>
        <w:rPr>
          <w:rFonts w:ascii="Garamond" w:hAnsi="Garamond"/>
          <w:lang w:val="en-AU"/>
        </w:rPr>
      </w:pPr>
      <w:r>
        <w:fldChar w:fldCharType="begin"/>
      </w:r>
      <w:r>
        <w:instrText xml:space="preserve"> HYPERLINK "https://www.ahrq.gov/professionals/quality-patient-safety/quality-resources/tools/cauti-ltc/index.html" </w:instrText>
      </w:r>
      <w:r>
        <w:fldChar w:fldCharType="separate"/>
      </w:r>
      <w:r w:rsidR="00B73950" w:rsidRPr="00A45262">
        <w:rPr>
          <w:rStyle w:val="Hyperlink"/>
          <w:rFonts w:ascii="Garamond" w:hAnsi="Garamond"/>
          <w:lang w:val="en-AU"/>
        </w:rPr>
        <w:t>https://www.ahrq.gov/professionals/quality-patient-safety/quality-resources/tools/cauti-ltc/index.html</w:t>
      </w:r>
      <w:r>
        <w:rPr>
          <w:rStyle w:val="Hyperlink"/>
          <w:rFonts w:ascii="Garamond" w:hAnsi="Garamond"/>
          <w:lang w:val="en-AU"/>
        </w:rPr>
        <w:fldChar w:fldCharType="end"/>
      </w:r>
      <w:r w:rsidR="00B73950" w:rsidRPr="00A45262">
        <w:rPr>
          <w:rFonts w:ascii="Garamond" w:hAnsi="Garamond"/>
          <w:lang w:val="en-AU"/>
        </w:rPr>
        <w:t xml:space="preserve"> </w:t>
      </w:r>
    </w:p>
    <w:p w:rsidR="00B73950" w:rsidRPr="00A45262" w:rsidRDefault="00B73950" w:rsidP="00B47E3A">
      <w:pPr>
        <w:keepLines/>
        <w:rPr>
          <w:rFonts w:ascii="Garamond" w:hAnsi="Garamond"/>
          <w:lang w:val="en-AU"/>
        </w:rPr>
      </w:pPr>
      <w:r w:rsidRPr="00A45262">
        <w:rPr>
          <w:rFonts w:ascii="Garamond" w:hAnsi="Garamond"/>
          <w:lang w:val="en-AU"/>
        </w:rPr>
        <w:t xml:space="preserve">The (US) Agency for Healthcare Research and Quality (AHRQ) has produced this toolkit to assist long-term care facilities to facilities reduce catheter-associated urinary tract infections (CAUTIs) and other healthcare associated infections. </w:t>
      </w:r>
    </w:p>
    <w:p w:rsidR="00B73950" w:rsidRPr="00A45262" w:rsidRDefault="00B73950" w:rsidP="00B47E3A">
      <w:pPr>
        <w:keepLines/>
        <w:rPr>
          <w:rFonts w:ascii="Garamond" w:hAnsi="Garamond"/>
          <w:lang w:val="en-AU"/>
        </w:rPr>
      </w:pPr>
      <w:r w:rsidRPr="00A45262">
        <w:rPr>
          <w:rFonts w:ascii="Garamond" w:hAnsi="Garamond"/>
          <w:lang w:val="en-AU"/>
        </w:rPr>
        <w:t>The toolkit is based on the experiences of more than 450 long-term care facilities across the USA that participated in an AHRQ-funded project and reported significant CAUTI rate reductions. The new toolkit uses strategies from AHRQ's Comprehensive Unit-based Safety Program (CUSP), which has reduced CAUTI as well as central line-associated bloodstream infections in hospitals.</w:t>
      </w:r>
    </w:p>
    <w:p w:rsidR="00B73950" w:rsidRPr="00A45262" w:rsidRDefault="00B73950" w:rsidP="00B47E3A">
      <w:pPr>
        <w:keepLines/>
        <w:rPr>
          <w:rFonts w:ascii="Garamond" w:hAnsi="Garamond"/>
          <w:lang w:val="en-AU"/>
        </w:rPr>
      </w:pPr>
      <w:r w:rsidRPr="00A45262">
        <w:rPr>
          <w:rFonts w:ascii="Garamond" w:hAnsi="Garamond"/>
          <w:lang w:val="en-AU"/>
        </w:rPr>
        <w:t>The toolkit combines clinical interventions and best practices for infection prevention with behaviour change elements that promote leadership involvement, improvement in safety culture, teamwork, and communication, and sustainability. Its user-friendly educational modules, guides, and tools can help your facility advance from the "what to do" to the "how to do it." The modules are customizable to local needs. They include: Using the Comprehensive Long-Term Care Safety Toolkit; Senior Leader Engagement; Staff Empowerment; Teamwork and Communication; Resident and Family Engagement; and Sustainability</w:t>
      </w:r>
      <w:r w:rsidR="00A45262">
        <w:rPr>
          <w:rFonts w:ascii="Garamond" w:hAnsi="Garamond"/>
          <w:lang w:val="en-AU"/>
        </w:rPr>
        <w:t>.</w:t>
      </w:r>
    </w:p>
    <w:p w:rsidR="00B73950" w:rsidRDefault="00B73950" w:rsidP="00B47E3A">
      <w:pPr>
        <w:keepLines/>
        <w:rPr>
          <w:rFonts w:ascii="Garamond" w:hAnsi="Garamond"/>
          <w:lang w:val="en-AU"/>
        </w:rPr>
      </w:pPr>
    </w:p>
    <w:p w:rsidR="00A45262" w:rsidRPr="00A45262" w:rsidRDefault="00A45262" w:rsidP="00B47E3A">
      <w:pPr>
        <w:keepLines/>
        <w:rPr>
          <w:rFonts w:ascii="Garamond" w:hAnsi="Garamond"/>
          <w:lang w:val="en-AU"/>
        </w:rPr>
      </w:pPr>
      <w:r w:rsidRPr="00A45262">
        <w:rPr>
          <w:rFonts w:ascii="Garamond" w:hAnsi="Garamond"/>
          <w:lang w:val="en-AU" w:eastAsia="en-AU"/>
        </w:rPr>
        <w:t>For information on the Commission’s work on</w:t>
      </w:r>
      <w:r>
        <w:rPr>
          <w:rFonts w:ascii="Garamond" w:hAnsi="Garamond"/>
          <w:lang w:val="en-AU" w:eastAsia="en-AU"/>
        </w:rPr>
        <w:t xml:space="preserve"> healthcare associated infection, see </w:t>
      </w:r>
      <w:hyperlink r:id="rId31" w:history="1">
        <w:r w:rsidRPr="002C4901">
          <w:rPr>
            <w:rStyle w:val="Hyperlink"/>
            <w:rFonts w:ascii="Garamond" w:hAnsi="Garamond"/>
            <w:lang w:val="en-AU" w:eastAsia="en-AU"/>
          </w:rPr>
          <w:t>https://www.safetyandquality.gov.au/our-work/healthcare-associated-infection/</w:t>
        </w:r>
      </w:hyperlink>
    </w:p>
    <w:bookmarkEnd w:id="1"/>
    <w:p w:rsidR="00B73950" w:rsidRPr="00A45262" w:rsidRDefault="00B73950" w:rsidP="00B47E3A">
      <w:pPr>
        <w:keepLines/>
        <w:rPr>
          <w:rFonts w:ascii="Garamond" w:hAnsi="Garamond"/>
          <w:lang w:val="en-AU"/>
        </w:rPr>
      </w:pPr>
    </w:p>
    <w:p w:rsidR="00B02F6E" w:rsidRPr="00A45262" w:rsidRDefault="00B02F6E" w:rsidP="00B02F6E">
      <w:pPr>
        <w:keepNext/>
        <w:pBdr>
          <w:top w:val="single" w:sz="4" w:space="1" w:color="auto"/>
        </w:pBdr>
        <w:rPr>
          <w:rFonts w:ascii="Garamond" w:hAnsi="Garamond"/>
          <w:b/>
          <w:lang w:val="en-AU"/>
        </w:rPr>
      </w:pPr>
      <w:r w:rsidRPr="00A45262">
        <w:rPr>
          <w:rFonts w:ascii="Garamond" w:hAnsi="Garamond"/>
          <w:b/>
          <w:lang w:val="en-AU"/>
        </w:rPr>
        <w:t>Disclaimer</w:t>
      </w:r>
    </w:p>
    <w:p w:rsidR="00B02F6E" w:rsidRPr="00A45262" w:rsidRDefault="00B02F6E" w:rsidP="00B17406">
      <w:pPr>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p>
    <w:sectPr w:rsidR="00B02F6E" w:rsidRPr="00A45262" w:rsidSect="005C5ABC">
      <w:footerReference w:type="even" r:id="rId32"/>
      <w:footerReference w:type="default" r:id="rId3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25" w:rsidRDefault="00696625">
      <w:r>
        <w:separator/>
      </w:r>
    </w:p>
  </w:endnote>
  <w:endnote w:type="continuationSeparator" w:id="0">
    <w:p w:rsidR="00696625" w:rsidRDefault="0069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C2CA5">
      <w:rPr>
        <w:rStyle w:val="PageNumber"/>
        <w:noProof/>
      </w:rPr>
      <w:t>8</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w:t>
    </w:r>
    <w:r w:rsidR="00B1140D">
      <w:rPr>
        <w:rFonts w:ascii="Garamond" w:hAnsi="Garamond"/>
      </w:rPr>
      <w:t>1</w:t>
    </w:r>
    <w:r w:rsidR="000C6A11">
      <w:rPr>
        <w:rFonts w:ascii="Garamond" w:hAnsi="Garamond"/>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C2CA5">
      <w:rPr>
        <w:rStyle w:val="PageNumber"/>
        <w:rFonts w:ascii="Garamond" w:hAnsi="Garamond"/>
        <w:noProof/>
      </w:rPr>
      <w:t>7</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150E9">
      <w:rPr>
        <w:rFonts w:ascii="Garamond" w:hAnsi="Garamond"/>
      </w:rPr>
      <w:t xml:space="preserve"> Issue 3</w:t>
    </w:r>
    <w:r w:rsidR="00B1140D">
      <w:rPr>
        <w:rFonts w:ascii="Garamond" w:hAnsi="Garamond"/>
      </w:rPr>
      <w:t>1</w:t>
    </w:r>
    <w:r w:rsidR="000C6A11">
      <w:rPr>
        <w:rFonts w:ascii="Garamond" w:hAnsi="Garamond"/>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25" w:rsidRDefault="00696625">
      <w:r>
        <w:separator/>
      </w:r>
    </w:p>
  </w:footnote>
  <w:footnote w:type="continuationSeparator" w:id="0">
    <w:p w:rsidR="00696625" w:rsidRDefault="00696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730C"/>
    <w:multiLevelType w:val="hybridMultilevel"/>
    <w:tmpl w:val="C93C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CA11C9"/>
    <w:multiLevelType w:val="hybridMultilevel"/>
    <w:tmpl w:val="09428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211FBD"/>
    <w:multiLevelType w:val="hybridMultilevel"/>
    <w:tmpl w:val="B6DCC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F43C11"/>
    <w:multiLevelType w:val="hybridMultilevel"/>
    <w:tmpl w:val="43C8D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C9459F"/>
    <w:multiLevelType w:val="hybridMultilevel"/>
    <w:tmpl w:val="4C163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5B05F2"/>
    <w:multiLevelType w:val="hybridMultilevel"/>
    <w:tmpl w:val="671A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585A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A3087D"/>
    <w:multiLevelType w:val="hybridMultilevel"/>
    <w:tmpl w:val="8F3A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FC7264"/>
    <w:multiLevelType w:val="hybridMultilevel"/>
    <w:tmpl w:val="4DC0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CE0462"/>
    <w:multiLevelType w:val="hybridMultilevel"/>
    <w:tmpl w:val="C3A8B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491047"/>
    <w:multiLevelType w:val="hybridMultilevel"/>
    <w:tmpl w:val="56AEA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B0D7EB8"/>
    <w:multiLevelType w:val="hybridMultilevel"/>
    <w:tmpl w:val="79D6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9C1E68"/>
    <w:multiLevelType w:val="hybridMultilevel"/>
    <w:tmpl w:val="4052E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076EFC"/>
    <w:multiLevelType w:val="hybridMultilevel"/>
    <w:tmpl w:val="23BE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514BD7"/>
    <w:multiLevelType w:val="hybridMultilevel"/>
    <w:tmpl w:val="683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0C6673"/>
    <w:multiLevelType w:val="hybridMultilevel"/>
    <w:tmpl w:val="5282B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8A548D9"/>
    <w:multiLevelType w:val="hybridMultilevel"/>
    <w:tmpl w:val="D7EC1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E4249D"/>
    <w:multiLevelType w:val="hybridMultilevel"/>
    <w:tmpl w:val="B516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833B7F"/>
    <w:multiLevelType w:val="hybridMultilevel"/>
    <w:tmpl w:val="48DC8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C60D69"/>
    <w:multiLevelType w:val="hybridMultilevel"/>
    <w:tmpl w:val="6324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2"/>
  </w:num>
  <w:num w:numId="15">
    <w:abstractNumId w:val="40"/>
  </w:num>
  <w:num w:numId="16">
    <w:abstractNumId w:val="31"/>
  </w:num>
  <w:num w:numId="17">
    <w:abstractNumId w:val="16"/>
  </w:num>
  <w:num w:numId="18">
    <w:abstractNumId w:val="10"/>
  </w:num>
  <w:num w:numId="19">
    <w:abstractNumId w:val="39"/>
  </w:num>
  <w:num w:numId="20">
    <w:abstractNumId w:val="11"/>
  </w:num>
  <w:num w:numId="21">
    <w:abstractNumId w:val="29"/>
  </w:num>
  <w:num w:numId="22">
    <w:abstractNumId w:val="32"/>
  </w:num>
  <w:num w:numId="23">
    <w:abstractNumId w:val="13"/>
  </w:num>
  <w:num w:numId="24">
    <w:abstractNumId w:val="26"/>
  </w:num>
  <w:num w:numId="25">
    <w:abstractNumId w:val="20"/>
  </w:num>
  <w:num w:numId="26">
    <w:abstractNumId w:val="27"/>
  </w:num>
  <w:num w:numId="27">
    <w:abstractNumId w:val="12"/>
  </w:num>
  <w:num w:numId="28">
    <w:abstractNumId w:val="19"/>
  </w:num>
  <w:num w:numId="29">
    <w:abstractNumId w:val="24"/>
  </w:num>
  <w:num w:numId="30">
    <w:abstractNumId w:val="23"/>
  </w:num>
  <w:num w:numId="31">
    <w:abstractNumId w:val="35"/>
  </w:num>
  <w:num w:numId="32">
    <w:abstractNumId w:val="18"/>
  </w:num>
  <w:num w:numId="33">
    <w:abstractNumId w:val="34"/>
  </w:num>
  <w:num w:numId="34">
    <w:abstractNumId w:val="25"/>
  </w:num>
  <w:num w:numId="35">
    <w:abstractNumId w:val="28"/>
  </w:num>
  <w:num w:numId="36">
    <w:abstractNumId w:val="17"/>
  </w:num>
  <w:num w:numId="37">
    <w:abstractNumId w:val="14"/>
  </w:num>
  <w:num w:numId="38">
    <w:abstractNumId w:val="15"/>
  </w:num>
  <w:num w:numId="39">
    <w:abstractNumId w:val="37"/>
  </w:num>
  <w:num w:numId="40">
    <w:abstractNumId w:val="38"/>
  </w:num>
  <w:num w:numId="41">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D60"/>
    <w:rsid w:val="00055DE6"/>
    <w:rsid w:val="00055FBF"/>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1"/>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2DCA"/>
    <w:rsid w:val="002A31D5"/>
    <w:rsid w:val="002A32F1"/>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6C8"/>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74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B"/>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12CC"/>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2CA5"/>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5694/mja16.00653" TargetMode="External"/><Relationship Id="rId26" Type="http://schemas.openxmlformats.org/officeDocument/2006/relationships/hyperlink" Target="http://qualitysafety.bmj.com/content/early/recent" TargetMode="External"/><Relationship Id="rId3" Type="http://schemas.openxmlformats.org/officeDocument/2006/relationships/styles" Target="styles.xml"/><Relationship Id="rId21" Type="http://schemas.openxmlformats.org/officeDocument/2006/relationships/hyperlink" Target="http://dx.doi.org/10.1136/bmjqs-2016-005867"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371/journal.pone.0165455" TargetMode="External"/><Relationship Id="rId25" Type="http://schemas.openxmlformats.org/officeDocument/2006/relationships/hyperlink" Target="http://onlinelibrary.wiley.com/doi/10.1111/hex.2017.20.issue-2/issuetoc"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undesgesundheitsministerium.de/health/patient-safety-summit-2017.html" TargetMode="External"/><Relationship Id="rId20" Type="http://schemas.openxmlformats.org/officeDocument/2006/relationships/hyperlink" Target="http://dx.doi.org/10.5694/mja16.01161" TargetMode="External"/><Relationship Id="rId29" Type="http://schemas.openxmlformats.org/officeDocument/2006/relationships/hyperlink" Target="http://effectivehealthcare.ahrq.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journals.sagepub.com/toc/ajmb/32/2"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5694/mja16.00671" TargetMode="External"/><Relationship Id="rId28" Type="http://schemas.openxmlformats.org/officeDocument/2006/relationships/hyperlink" Target="http://www.dc.nihr.ac.uk/highlights/options-for-depression/"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5694/mja16.01297" TargetMode="External"/><Relationship Id="rId31" Type="http://schemas.openxmlformats.org/officeDocument/2006/relationships/hyperlink" Target="https://www.safetyandquality.gov.au/our-work/healthcare-associated-infectio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5694/mja16.00832" TargetMode="External"/><Relationship Id="rId27" Type="http://schemas.openxmlformats.org/officeDocument/2006/relationships/hyperlink" Target="https://academic.oup.com/intqhc/advance-access?papetoc" TargetMode="External"/><Relationship Id="rId30" Type="http://schemas.openxmlformats.org/officeDocument/2006/relationships/hyperlink" Target="http://www.effectivehealthcare.ahrq.gov/index.cfm/search-for-guides-reviews-and-reports/?pageaction=displayproduct&amp;productid=2437"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66EB8-93ED-4624-ACC3-1150F8B1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3317</Words>
  <Characters>20270</Characters>
  <Application>Microsoft Office Word</Application>
  <DocSecurity>0</DocSecurity>
  <Lines>405</Lines>
  <Paragraphs>194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23393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2017-03-10T02:36:00Z</cp:lastPrinted>
  <dcterms:created xsi:type="dcterms:W3CDTF">2017-03-17T03:57:00Z</dcterms:created>
  <dcterms:modified xsi:type="dcterms:W3CDTF">2017-03-17T04:31:00Z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