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F9420C">
        <w:rPr>
          <w:rFonts w:ascii="Garamond" w:hAnsi="Garamond"/>
          <w:color w:val="000000"/>
          <w:lang w:val="en-AU"/>
        </w:rPr>
        <w:t>317</w:t>
      </w:r>
    </w:p>
    <w:p w:rsidR="00755242" w:rsidRPr="00A45262" w:rsidRDefault="00F9420C" w:rsidP="00B160EF">
      <w:pPr>
        <w:rPr>
          <w:rFonts w:ascii="Garamond" w:hAnsi="Garamond"/>
          <w:lang w:val="en-AU"/>
        </w:rPr>
      </w:pPr>
      <w:r>
        <w:rPr>
          <w:rFonts w:ascii="Garamond" w:hAnsi="Garamond"/>
          <w:lang w:val="en-AU"/>
        </w:rPr>
        <w:t xml:space="preserve">3 April </w:t>
      </w:r>
      <w:r w:rsidR="00F74A58" w:rsidRPr="00A45262">
        <w:rPr>
          <w:rFonts w:ascii="Garamond" w:hAnsi="Garamond"/>
          <w:lang w:val="en-AU"/>
        </w:rPr>
        <w:t>2017</w:t>
      </w:r>
    </w:p>
    <w:p w:rsidR="00566895" w:rsidRPr="00A45262"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p>
    <w:p w:rsidR="0059425E" w:rsidRPr="00A45262" w:rsidRDefault="0059425E" w:rsidP="00691DE3">
      <w:pPr>
        <w:keepLines/>
        <w:autoSpaceDE w:val="0"/>
        <w:autoSpaceDN w:val="0"/>
        <w:adjustRightInd w:val="0"/>
        <w:rPr>
          <w:rFonts w:ascii="Garamond" w:hAnsi="Garamond"/>
          <w:lang w:val="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Reports</w:t>
      </w:r>
    </w:p>
    <w:p w:rsidR="000C6A11" w:rsidRPr="00A45262" w:rsidRDefault="000C6A11" w:rsidP="000C6A11">
      <w:pPr>
        <w:keepNext/>
        <w:rPr>
          <w:rFonts w:ascii="Garamond" w:hAnsi="Garamond"/>
          <w:lang w:val="en-AU"/>
        </w:rPr>
      </w:pPr>
    </w:p>
    <w:p w:rsidR="00F10C45" w:rsidRPr="00F10C45" w:rsidRDefault="00F10C45" w:rsidP="00F10C45">
      <w:pPr>
        <w:keepNext/>
        <w:rPr>
          <w:rFonts w:ascii="Garamond" w:hAnsi="Garamond"/>
          <w:i/>
          <w:lang w:val="en-AU"/>
        </w:rPr>
      </w:pPr>
      <w:r w:rsidRPr="00F10C45">
        <w:rPr>
          <w:rFonts w:ascii="Garamond" w:hAnsi="Garamond"/>
          <w:i/>
          <w:lang w:val="en-AU"/>
        </w:rPr>
        <w:t>Roads to Recovery: Organisation and Quality of Stroke Services. Themed review</w:t>
      </w:r>
    </w:p>
    <w:p w:rsidR="00F10C45" w:rsidRDefault="00F10C45" w:rsidP="00075AAE">
      <w:pPr>
        <w:keepNext/>
        <w:rPr>
          <w:rFonts w:ascii="Garamond" w:hAnsi="Garamond"/>
          <w:lang w:val="en-AU"/>
        </w:rPr>
      </w:pPr>
      <w:r w:rsidRPr="00F10C45">
        <w:rPr>
          <w:rFonts w:ascii="Garamond" w:hAnsi="Garamond"/>
          <w:lang w:val="en-AU"/>
        </w:rPr>
        <w:t>National Institute for Health Research</w:t>
      </w:r>
    </w:p>
    <w:p w:rsidR="00075AAE" w:rsidRPr="00A45262" w:rsidRDefault="00F10C45" w:rsidP="00075AAE">
      <w:pPr>
        <w:keepNext/>
        <w:rPr>
          <w:rFonts w:ascii="Garamond" w:hAnsi="Garamond"/>
          <w:lang w:val="en-AU"/>
        </w:rPr>
      </w:pPr>
      <w:r w:rsidRPr="00F10C45">
        <w:rPr>
          <w:rFonts w:ascii="Garamond" w:hAnsi="Garamond"/>
          <w:lang w:val="en-AU"/>
        </w:rPr>
        <w:t>London: NHS NIHR; 2017. p. 66.</w:t>
      </w:r>
    </w:p>
    <w:tbl>
      <w:tblPr>
        <w:tblStyle w:val="TableGrid"/>
        <w:tblW w:w="0" w:type="auto"/>
        <w:tblInd w:w="288" w:type="dxa"/>
        <w:tblLayout w:type="fixed"/>
        <w:tblLook w:val="01E0" w:firstRow="1" w:lastRow="1" w:firstColumn="1" w:lastColumn="1" w:noHBand="0" w:noVBand="0"/>
      </w:tblPr>
      <w:tblGrid>
        <w:gridCol w:w="1080"/>
        <w:gridCol w:w="8280"/>
      </w:tblGrid>
      <w:tr w:rsidR="000C6A11"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0C6A11" w:rsidRPr="00A45262" w:rsidRDefault="000C6A11" w:rsidP="000D508A">
            <w:pPr>
              <w:rPr>
                <w:rStyle w:val="Hyperlink"/>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20C93" w:rsidRPr="00A45262" w:rsidRDefault="00F10C45" w:rsidP="004E6E39">
            <w:pPr>
              <w:rPr>
                <w:rStyle w:val="Hyperlink"/>
                <w:rFonts w:ascii="Garamond" w:hAnsi="Garamond"/>
                <w:color w:val="auto"/>
                <w:u w:val="none"/>
                <w:lang w:val="en-AU"/>
              </w:rPr>
            </w:pPr>
            <w:hyperlink r:id="rId16" w:history="1">
              <w:r w:rsidRPr="0036442F">
                <w:rPr>
                  <w:rStyle w:val="Hyperlink"/>
                  <w:rFonts w:ascii="Garamond" w:hAnsi="Garamond"/>
                  <w:lang w:val="en-AU"/>
                </w:rPr>
                <w:t>http://www.dc.nihr.ac.uk/themed-reviews/roads-to-recovery.htm</w:t>
              </w:r>
            </w:hyperlink>
          </w:p>
        </w:tc>
      </w:tr>
      <w:tr w:rsidR="000C6A11"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0C6A11" w:rsidRPr="00A45262" w:rsidRDefault="000C6A11" w:rsidP="000D508A">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10C45" w:rsidRPr="009A42FB" w:rsidRDefault="00F10C45" w:rsidP="00F10C45">
            <w:pPr>
              <w:rPr>
                <w:rFonts w:ascii="Garamond" w:hAnsi="Garamond"/>
                <w:lang w:val="en-AU"/>
              </w:rPr>
            </w:pPr>
            <w:r>
              <w:rPr>
                <w:rFonts w:ascii="Garamond" w:hAnsi="Garamond"/>
                <w:lang w:val="en-AU"/>
              </w:rPr>
              <w:t xml:space="preserve">The UK’s </w:t>
            </w:r>
            <w:r w:rsidRPr="00B7747F">
              <w:rPr>
                <w:rFonts w:ascii="Garamond" w:hAnsi="Garamond"/>
                <w:lang w:val="en-AU"/>
              </w:rPr>
              <w:t>National Institute for Health Research</w:t>
            </w:r>
            <w:r>
              <w:rPr>
                <w:rFonts w:ascii="Garamond" w:hAnsi="Garamond"/>
                <w:lang w:val="en-AU"/>
              </w:rPr>
              <w:t xml:space="preserve"> </w:t>
            </w:r>
            <w:r>
              <w:rPr>
                <w:rFonts w:ascii="Garamond" w:hAnsi="Garamond"/>
                <w:lang w:val="en-AU"/>
              </w:rPr>
              <w:t xml:space="preserve">(NIHR) </w:t>
            </w:r>
            <w:r>
              <w:rPr>
                <w:rFonts w:ascii="Garamond" w:hAnsi="Garamond"/>
                <w:lang w:val="en-AU"/>
              </w:rPr>
              <w:t xml:space="preserve">have produced this themed review that draws together </w:t>
            </w:r>
            <w:r w:rsidRPr="00B7747F">
              <w:rPr>
                <w:rFonts w:ascii="Garamond" w:hAnsi="Garamond"/>
                <w:lang w:val="en-AU"/>
              </w:rPr>
              <w:t xml:space="preserve">NIHR research </w:t>
            </w:r>
            <w:r w:rsidRPr="00F10C45">
              <w:rPr>
                <w:rFonts w:ascii="Garamond" w:hAnsi="Garamond"/>
                <w:lang w:val="en-AU"/>
              </w:rPr>
              <w:t>relevant to those planning and delivering stroke services, those delivering treatments to people with stroke and to those living with stroke.</w:t>
            </w:r>
            <w:r>
              <w:rPr>
                <w:rFonts w:ascii="Garamond" w:hAnsi="Garamond"/>
                <w:lang w:val="en-AU"/>
              </w:rPr>
              <w:t xml:space="preserve"> </w:t>
            </w:r>
            <w:r w:rsidRPr="00F10C45">
              <w:rPr>
                <w:rFonts w:ascii="Garamond" w:hAnsi="Garamond"/>
                <w:lang w:val="en-AU"/>
              </w:rPr>
              <w:t>Th</w:t>
            </w:r>
            <w:r>
              <w:rPr>
                <w:rFonts w:ascii="Garamond" w:hAnsi="Garamond"/>
                <w:lang w:val="en-AU"/>
              </w:rPr>
              <w:t>e</w:t>
            </w:r>
            <w:r w:rsidRPr="00F10C45">
              <w:rPr>
                <w:rFonts w:ascii="Garamond" w:hAnsi="Garamond"/>
                <w:lang w:val="en-AU"/>
              </w:rPr>
              <w:t xml:space="preserve"> themed review looks at the configuration of stroke services, identifying stroke and acute management, recovery and rehabilitation, and life after stroke. It features</w:t>
            </w:r>
            <w:r>
              <w:rPr>
                <w:rFonts w:ascii="Garamond" w:hAnsi="Garamond"/>
                <w:lang w:val="en-AU"/>
              </w:rPr>
              <w:t xml:space="preserve"> </w:t>
            </w:r>
            <w:r w:rsidRPr="00F10C45">
              <w:rPr>
                <w:rFonts w:ascii="Garamond" w:hAnsi="Garamond"/>
                <w:lang w:val="en-AU"/>
              </w:rPr>
              <w:t>44 published studies</w:t>
            </w:r>
            <w:r>
              <w:rPr>
                <w:rFonts w:ascii="Garamond" w:hAnsi="Garamond"/>
                <w:lang w:val="en-AU"/>
              </w:rPr>
              <w:t xml:space="preserve">, </w:t>
            </w:r>
            <w:r w:rsidRPr="00F10C45">
              <w:rPr>
                <w:rFonts w:ascii="Garamond" w:hAnsi="Garamond"/>
                <w:lang w:val="en-AU"/>
              </w:rPr>
              <w:t>29 ongoing studies</w:t>
            </w:r>
            <w:r>
              <w:rPr>
                <w:rFonts w:ascii="Garamond" w:hAnsi="Garamond"/>
                <w:lang w:val="en-AU"/>
              </w:rPr>
              <w:t xml:space="preserve"> along with q</w:t>
            </w:r>
            <w:r w:rsidRPr="00F10C45">
              <w:rPr>
                <w:rFonts w:ascii="Garamond" w:hAnsi="Garamond"/>
                <w:lang w:val="en-AU"/>
              </w:rPr>
              <w:t>uestions to ask about stroke services</w:t>
            </w:r>
            <w:r>
              <w:rPr>
                <w:rFonts w:ascii="Garamond" w:hAnsi="Garamond"/>
                <w:lang w:val="en-AU"/>
              </w:rPr>
              <w:t>.</w:t>
            </w:r>
          </w:p>
        </w:tc>
      </w:tr>
    </w:tbl>
    <w:p w:rsidR="000C6A11" w:rsidRPr="00A45262" w:rsidRDefault="000C6A11" w:rsidP="000C6A11">
      <w:pPr>
        <w:rPr>
          <w:rFonts w:ascii="Garamond" w:hAnsi="Garamond"/>
          <w:lang w:val="en-AU" w:eastAsia="en-AU"/>
        </w:rPr>
      </w:pPr>
    </w:p>
    <w:p w:rsidR="00F10C45" w:rsidRPr="00A45262" w:rsidRDefault="00F10C45" w:rsidP="000C6A11">
      <w:pPr>
        <w:rPr>
          <w:rFonts w:ascii="Garamond" w:hAnsi="Garamond"/>
          <w:lang w:val="en-AU" w:eastAsia="en-AU"/>
        </w:rPr>
      </w:pPr>
      <w:r>
        <w:rPr>
          <w:rFonts w:ascii="Garamond" w:hAnsi="Garamond"/>
          <w:lang w:val="en-AU" w:eastAsia="en-AU"/>
        </w:rPr>
        <w:t xml:space="preserve">For information about the Commission’s </w:t>
      </w:r>
      <w:r w:rsidRPr="00F10C45">
        <w:rPr>
          <w:rFonts w:ascii="Garamond" w:hAnsi="Garamond"/>
          <w:i/>
          <w:lang w:val="en-AU" w:eastAsia="en-AU"/>
        </w:rPr>
        <w:t>Acute Stroke Clinical Care Standard</w:t>
      </w:r>
      <w:r>
        <w:rPr>
          <w:rFonts w:ascii="Garamond" w:hAnsi="Garamond"/>
          <w:lang w:val="en-AU" w:eastAsia="en-AU"/>
        </w:rPr>
        <w:t xml:space="preserve">, see </w:t>
      </w:r>
      <w:hyperlink r:id="rId17" w:history="1">
        <w:r w:rsidRPr="0036442F">
          <w:rPr>
            <w:rStyle w:val="Hyperlink"/>
            <w:rFonts w:ascii="Garamond" w:hAnsi="Garamond"/>
            <w:lang w:val="en-AU" w:eastAsia="en-AU"/>
          </w:rPr>
          <w:t>https://www.safetyandquality.gov.au/our-work/clinical-care-standards/acute-stroke-clinical-care-standard/</w:t>
        </w:r>
      </w:hyperlink>
      <w:r>
        <w:rPr>
          <w:rFonts w:ascii="Garamond" w:hAnsi="Garamond"/>
          <w:lang w:val="en-AU" w:eastAsia="en-AU"/>
        </w:rPr>
        <w:t xml:space="preserve"> </w:t>
      </w:r>
    </w:p>
    <w:p w:rsidR="000C6A11" w:rsidRPr="00A45262" w:rsidRDefault="000C6A11" w:rsidP="00F10C45">
      <w:pPr>
        <w:keepNext/>
        <w:keepLines/>
        <w:autoSpaceDE w:val="0"/>
        <w:autoSpaceDN w:val="0"/>
        <w:adjustRightInd w:val="0"/>
        <w:rPr>
          <w:rFonts w:ascii="Garamond" w:hAnsi="Garamond"/>
          <w:b/>
          <w:lang w:val="en-AU"/>
        </w:rPr>
      </w:pPr>
      <w:r w:rsidRPr="00A45262">
        <w:rPr>
          <w:rFonts w:ascii="Garamond" w:hAnsi="Garamond"/>
          <w:b/>
          <w:lang w:val="en-AU"/>
        </w:rPr>
        <w:lastRenderedPageBreak/>
        <w:t>Journal articles</w:t>
      </w:r>
    </w:p>
    <w:p w:rsidR="001137F8" w:rsidRDefault="001137F8" w:rsidP="00F10C45">
      <w:pPr>
        <w:keepNext/>
        <w:rPr>
          <w:rFonts w:ascii="Garamond" w:hAnsi="Garamond"/>
          <w:lang w:val="en-AU"/>
        </w:rPr>
      </w:pPr>
    </w:p>
    <w:p w:rsidR="0061617D" w:rsidRPr="00A45262" w:rsidRDefault="0061617D" w:rsidP="00F10C45">
      <w:pPr>
        <w:keepNext/>
        <w:rPr>
          <w:rFonts w:ascii="Garamond" w:hAnsi="Garamond"/>
          <w:lang w:val="en-AU"/>
        </w:rPr>
      </w:pPr>
    </w:p>
    <w:p w:rsidR="00847A19" w:rsidRPr="00847A19" w:rsidRDefault="00847A19" w:rsidP="00847A19">
      <w:pPr>
        <w:keepNext/>
        <w:rPr>
          <w:rFonts w:ascii="Garamond" w:hAnsi="Garamond"/>
          <w:i/>
          <w:lang w:val="en-AU"/>
        </w:rPr>
      </w:pPr>
      <w:r w:rsidRPr="00847A19">
        <w:rPr>
          <w:rFonts w:ascii="Garamond" w:hAnsi="Garamond"/>
          <w:i/>
          <w:lang w:val="en-AU"/>
        </w:rPr>
        <w:t>Patients' reports of adverse events: a data linkage study of Australian adults aged 45 years and over</w:t>
      </w:r>
    </w:p>
    <w:p w:rsidR="00847A19" w:rsidRDefault="00847A19" w:rsidP="009A42FB">
      <w:pPr>
        <w:keepNext/>
        <w:rPr>
          <w:rFonts w:ascii="Garamond" w:hAnsi="Garamond"/>
          <w:lang w:val="en-AU"/>
        </w:rPr>
      </w:pPr>
      <w:r w:rsidRPr="00847A19">
        <w:rPr>
          <w:rFonts w:ascii="Garamond" w:hAnsi="Garamond"/>
          <w:lang w:val="en-AU"/>
        </w:rPr>
        <w:t>Walton MM, Harrison R, Kelly P, Smith-Merry J, Manias E, Jorm C, et al</w:t>
      </w:r>
    </w:p>
    <w:p w:rsidR="009A42FB" w:rsidRPr="00A45262" w:rsidRDefault="00847A19" w:rsidP="009A42FB">
      <w:pPr>
        <w:keepNext/>
        <w:rPr>
          <w:rFonts w:ascii="Garamond" w:hAnsi="Garamond"/>
          <w:lang w:val="en-AU"/>
        </w:rPr>
      </w:pPr>
      <w:r w:rsidRPr="00847A19">
        <w:rPr>
          <w:rFonts w:ascii="Garamond" w:hAnsi="Garamond"/>
          <w:lang w:val="en-AU"/>
        </w:rPr>
        <w:t>BMJ Quality &amp; Safety. 2017.</w:t>
      </w:r>
    </w:p>
    <w:tbl>
      <w:tblPr>
        <w:tblStyle w:val="TableGrid"/>
        <w:tblW w:w="0" w:type="auto"/>
        <w:tblInd w:w="288" w:type="dxa"/>
        <w:tblLayout w:type="fixed"/>
        <w:tblLook w:val="01E0" w:firstRow="1" w:lastRow="1" w:firstColumn="1" w:lastColumn="1" w:noHBand="0" w:noVBand="0"/>
      </w:tblPr>
      <w:tblGrid>
        <w:gridCol w:w="1080"/>
        <w:gridCol w:w="8280"/>
      </w:tblGrid>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Pr="00A45262" w:rsidRDefault="00847A19" w:rsidP="00FF59CD">
            <w:pPr>
              <w:rPr>
                <w:rStyle w:val="Hyperlink"/>
                <w:rFonts w:ascii="Garamond" w:hAnsi="Garamond"/>
                <w:color w:val="auto"/>
                <w:u w:val="none"/>
                <w:lang w:val="en-AU"/>
              </w:rPr>
            </w:pPr>
            <w:hyperlink r:id="rId18" w:history="1">
              <w:r w:rsidRPr="0036442F">
                <w:rPr>
                  <w:rStyle w:val="Hyperlink"/>
                  <w:rFonts w:ascii="Garamond" w:hAnsi="Garamond"/>
                  <w:lang w:val="en-AU"/>
                </w:rPr>
                <w:t>http://dx.doi.org/10.1136/bmjqs-2016-006339</w:t>
              </w:r>
            </w:hyperlink>
          </w:p>
        </w:tc>
      </w:tr>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062DC" w:rsidRPr="00D062DC" w:rsidRDefault="00847A19" w:rsidP="00D062DC">
            <w:pPr>
              <w:rPr>
                <w:rFonts w:ascii="Garamond" w:hAnsi="Garamond"/>
                <w:lang w:val="en-AU"/>
              </w:rPr>
            </w:pPr>
            <w:r>
              <w:rPr>
                <w:rFonts w:ascii="Garamond" w:hAnsi="Garamond"/>
                <w:lang w:val="en-AU"/>
              </w:rPr>
              <w:t xml:space="preserve">This Australian study used data linkage to identify a </w:t>
            </w:r>
            <w:r w:rsidR="00D062DC">
              <w:rPr>
                <w:rFonts w:ascii="Garamond" w:hAnsi="Garamond"/>
                <w:lang w:val="en-AU"/>
              </w:rPr>
              <w:t xml:space="preserve">random sample of 20,000 </w:t>
            </w:r>
            <w:r>
              <w:rPr>
                <w:rFonts w:ascii="Garamond" w:hAnsi="Garamond"/>
                <w:lang w:val="en-AU"/>
              </w:rPr>
              <w:t xml:space="preserve">patients who had been </w:t>
            </w:r>
            <w:r w:rsidR="00D062DC">
              <w:rPr>
                <w:rFonts w:ascii="Garamond" w:hAnsi="Garamond"/>
                <w:lang w:val="en-AU"/>
              </w:rPr>
              <w:t xml:space="preserve">recently in hospital. The patients were then </w:t>
            </w:r>
            <w:r w:rsidR="00D062DC" w:rsidRPr="00D062DC">
              <w:rPr>
                <w:rFonts w:ascii="Garamond" w:hAnsi="Garamond"/>
                <w:lang w:val="en-AU"/>
              </w:rPr>
              <w:t>survey</w:t>
            </w:r>
            <w:r w:rsidR="00D062DC">
              <w:rPr>
                <w:rFonts w:ascii="Garamond" w:hAnsi="Garamond"/>
                <w:lang w:val="en-AU"/>
              </w:rPr>
              <w:t xml:space="preserve">ed </w:t>
            </w:r>
            <w:r w:rsidR="00D062DC" w:rsidRPr="00D062DC">
              <w:rPr>
                <w:rFonts w:ascii="Garamond" w:hAnsi="Garamond"/>
                <w:lang w:val="en-AU"/>
              </w:rPr>
              <w:t xml:space="preserve">to capture their experiences, including whether they had an </w:t>
            </w:r>
            <w:r w:rsidR="00D062DC">
              <w:rPr>
                <w:rFonts w:ascii="Garamond" w:hAnsi="Garamond"/>
                <w:lang w:val="en-AU"/>
              </w:rPr>
              <w:t>adverse event (</w:t>
            </w:r>
            <w:r w:rsidR="00D062DC" w:rsidRPr="00D062DC">
              <w:rPr>
                <w:rFonts w:ascii="Garamond" w:hAnsi="Garamond"/>
                <w:lang w:val="en-AU"/>
              </w:rPr>
              <w:t>AE</w:t>
            </w:r>
            <w:r w:rsidR="00D062DC">
              <w:rPr>
                <w:rFonts w:ascii="Garamond" w:hAnsi="Garamond"/>
                <w:lang w:val="en-AU"/>
              </w:rPr>
              <w:t>)</w:t>
            </w:r>
            <w:r w:rsidR="00D062DC" w:rsidRPr="00D062DC">
              <w:rPr>
                <w:rFonts w:ascii="Garamond" w:hAnsi="Garamond"/>
                <w:lang w:val="en-AU"/>
              </w:rPr>
              <w:t xml:space="preserve"> and received honest communication about it.</w:t>
            </w:r>
          </w:p>
          <w:p w:rsidR="00847A19" w:rsidRDefault="00D062DC" w:rsidP="00D062DC">
            <w:pPr>
              <w:rPr>
                <w:rFonts w:ascii="Garamond" w:hAnsi="Garamond"/>
                <w:lang w:val="en-AU"/>
              </w:rPr>
            </w:pPr>
            <w:r w:rsidRPr="00D062DC">
              <w:rPr>
                <w:rFonts w:ascii="Garamond" w:hAnsi="Garamond"/>
                <w:lang w:val="en-AU"/>
              </w:rPr>
              <w:t xml:space="preserve">7661 completed surveys were received </w:t>
            </w:r>
            <w:r>
              <w:rPr>
                <w:rFonts w:ascii="Garamond" w:hAnsi="Garamond"/>
                <w:lang w:val="en-AU"/>
              </w:rPr>
              <w:t xml:space="preserve">from </w:t>
            </w:r>
            <w:r w:rsidRPr="00D062DC">
              <w:rPr>
                <w:rFonts w:ascii="Garamond" w:hAnsi="Garamond"/>
                <w:lang w:val="en-AU"/>
              </w:rPr>
              <w:t>18</w:t>
            </w:r>
            <w:r w:rsidRPr="00D062DC">
              <w:rPr>
                <w:lang w:val="en-AU"/>
              </w:rPr>
              <w:t> </w:t>
            </w:r>
            <w:r w:rsidRPr="00D062DC">
              <w:rPr>
                <w:rFonts w:ascii="Garamond" w:hAnsi="Garamond"/>
                <w:lang w:val="en-AU"/>
              </w:rPr>
              <w:t>993 eligible participants</w:t>
            </w:r>
            <w:r w:rsidRPr="00D062DC">
              <w:rPr>
                <w:rFonts w:ascii="Garamond" w:hAnsi="Garamond"/>
                <w:lang w:val="en-AU"/>
              </w:rPr>
              <w:t xml:space="preserve"> </w:t>
            </w:r>
            <w:r w:rsidRPr="00D062DC">
              <w:rPr>
                <w:rFonts w:ascii="Garamond" w:hAnsi="Garamond"/>
                <w:lang w:val="en-AU"/>
              </w:rPr>
              <w:t xml:space="preserve">(40% response rate) and 474 (7%) reported having an AE. Most AEs related to </w:t>
            </w:r>
            <w:r w:rsidRPr="00D062DC">
              <w:rPr>
                <w:rFonts w:ascii="Garamond" w:hAnsi="Garamond"/>
                <w:b/>
                <w:lang w:val="en-AU"/>
              </w:rPr>
              <w:t>clinical processes and procedures</w:t>
            </w:r>
            <w:r w:rsidRPr="00D062DC">
              <w:rPr>
                <w:rFonts w:ascii="Garamond" w:hAnsi="Garamond"/>
                <w:lang w:val="en-AU"/>
              </w:rPr>
              <w:t xml:space="preserve"> (33%), or </w:t>
            </w:r>
            <w:r w:rsidRPr="00D062DC">
              <w:rPr>
                <w:rFonts w:ascii="Garamond" w:hAnsi="Garamond"/>
                <w:b/>
                <w:lang w:val="en-AU"/>
              </w:rPr>
              <w:t>medications</w:t>
            </w:r>
            <w:r w:rsidRPr="00D062DC">
              <w:rPr>
                <w:rFonts w:ascii="Garamond" w:hAnsi="Garamond"/>
                <w:lang w:val="en-AU"/>
              </w:rPr>
              <w:t xml:space="preserve"> and </w:t>
            </w:r>
            <w:r w:rsidRPr="00D062DC">
              <w:rPr>
                <w:rFonts w:ascii="Garamond" w:hAnsi="Garamond"/>
                <w:b/>
                <w:lang w:val="en-AU"/>
              </w:rPr>
              <w:t>intravenous fluids</w:t>
            </w:r>
            <w:r w:rsidRPr="00D062DC">
              <w:rPr>
                <w:rFonts w:ascii="Garamond" w:hAnsi="Garamond"/>
                <w:lang w:val="en-AU"/>
              </w:rPr>
              <w:t xml:space="preserve"> (21%). </w:t>
            </w:r>
            <w:r w:rsidRPr="00D062DC">
              <w:rPr>
                <w:rFonts w:ascii="Garamond" w:hAnsi="Garamond"/>
                <w:b/>
                <w:lang w:val="en-AU"/>
              </w:rPr>
              <w:t>Country of birth</w:t>
            </w:r>
            <w:r w:rsidRPr="00D062DC">
              <w:rPr>
                <w:rFonts w:ascii="Garamond" w:hAnsi="Garamond"/>
                <w:lang w:val="en-AU"/>
              </w:rPr>
              <w:t xml:space="preserve"> and </w:t>
            </w:r>
            <w:r w:rsidRPr="00D062DC">
              <w:rPr>
                <w:rFonts w:ascii="Garamond" w:hAnsi="Garamond"/>
                <w:b/>
                <w:lang w:val="en-AU"/>
              </w:rPr>
              <w:t>admission through emergency</w:t>
            </w:r>
            <w:r w:rsidRPr="00D062DC">
              <w:rPr>
                <w:rFonts w:ascii="Garamond" w:hAnsi="Garamond"/>
                <w:lang w:val="en-AU"/>
              </w:rPr>
              <w:t xml:space="preserve"> were significant predictors of the occurrence of an event. An earlier admission in the prior 6</w:t>
            </w:r>
            <w:r w:rsidRPr="00D062DC">
              <w:rPr>
                <w:lang w:val="en-AU"/>
              </w:rPr>
              <w:t> </w:t>
            </w:r>
            <w:r w:rsidRPr="00D062DC">
              <w:rPr>
                <w:rFonts w:ascii="Garamond" w:hAnsi="Garamond"/>
                <w:lang w:val="en-AU"/>
              </w:rPr>
              <w:t>months or a transfer to another healthcare facility was also associated with more AEs. Of those who suffered an AE, 58% reported serious or moderate effects.</w:t>
            </w:r>
          </w:p>
          <w:p w:rsidR="00847A19" w:rsidRPr="00A45262" w:rsidRDefault="00847A19" w:rsidP="00D062DC">
            <w:pPr>
              <w:rPr>
                <w:rFonts w:ascii="Garamond" w:hAnsi="Garamond"/>
                <w:lang w:val="en-AU"/>
              </w:rPr>
            </w:pPr>
            <w:r>
              <w:rPr>
                <w:rFonts w:ascii="Garamond" w:hAnsi="Garamond"/>
                <w:lang w:val="en-AU"/>
              </w:rPr>
              <w:t>The finding of a 7% incidence of adverse events is, as the authors note, “</w:t>
            </w:r>
            <w:r w:rsidR="00D062DC" w:rsidRPr="00D062DC">
              <w:rPr>
                <w:rFonts w:ascii="Garamond" w:hAnsi="Garamond"/>
                <w:lang w:val="en-AU"/>
              </w:rPr>
              <w:t>similar to the approximately 10% rate reported in the general population by retrospective medical record reviews.</w:t>
            </w:r>
            <w:r>
              <w:rPr>
                <w:rFonts w:ascii="Garamond" w:hAnsi="Garamond"/>
                <w:lang w:val="en-AU"/>
              </w:rPr>
              <w:t>”</w:t>
            </w:r>
          </w:p>
        </w:tc>
      </w:tr>
    </w:tbl>
    <w:p w:rsidR="009A42FB" w:rsidRDefault="009A42FB" w:rsidP="009A42FB">
      <w:pPr>
        <w:keepNext/>
        <w:rPr>
          <w:rFonts w:ascii="Garamond" w:hAnsi="Garamond"/>
          <w:i/>
          <w:lang w:val="en-AU" w:eastAsia="en-AU"/>
        </w:rPr>
      </w:pPr>
    </w:p>
    <w:p w:rsidR="0061617D" w:rsidRDefault="0061617D" w:rsidP="009A42FB">
      <w:pPr>
        <w:keepNext/>
        <w:rPr>
          <w:rFonts w:ascii="Garamond" w:hAnsi="Garamond"/>
          <w:i/>
          <w:lang w:val="en-AU" w:eastAsia="en-AU"/>
        </w:rPr>
      </w:pPr>
    </w:p>
    <w:p w:rsidR="00C31A1A" w:rsidRPr="00C31A1A" w:rsidRDefault="00C31A1A" w:rsidP="00F9420C">
      <w:pPr>
        <w:keepNext/>
        <w:rPr>
          <w:rFonts w:ascii="Garamond" w:hAnsi="Garamond"/>
          <w:i/>
          <w:lang w:val="en-AU"/>
        </w:rPr>
      </w:pPr>
      <w:r w:rsidRPr="00C31A1A">
        <w:rPr>
          <w:rFonts w:ascii="Garamond" w:hAnsi="Garamond"/>
          <w:i/>
          <w:lang w:val="en-AU"/>
        </w:rPr>
        <w:t>CareMore: Improving Outcomes and Controlling Health Care Spending for High-Needs Patients</w:t>
      </w:r>
    </w:p>
    <w:p w:rsidR="00C31A1A" w:rsidRDefault="00C31A1A" w:rsidP="00F9420C">
      <w:pPr>
        <w:keepNext/>
        <w:rPr>
          <w:rFonts w:ascii="Garamond" w:hAnsi="Garamond"/>
          <w:lang w:val="en-AU"/>
        </w:rPr>
      </w:pPr>
      <w:r w:rsidRPr="00C31A1A">
        <w:rPr>
          <w:rFonts w:ascii="Garamond" w:hAnsi="Garamond"/>
          <w:lang w:val="en-AU"/>
        </w:rPr>
        <w:t xml:space="preserve">Models for High-Need, High-Cost Patients </w:t>
      </w:r>
    </w:p>
    <w:p w:rsidR="00C31A1A" w:rsidRDefault="00C31A1A" w:rsidP="00C31A1A">
      <w:pPr>
        <w:keepNext/>
        <w:rPr>
          <w:rFonts w:ascii="Garamond" w:hAnsi="Garamond"/>
          <w:lang w:val="en-AU"/>
        </w:rPr>
      </w:pPr>
      <w:r w:rsidRPr="00C31A1A">
        <w:rPr>
          <w:rFonts w:ascii="Garamond" w:hAnsi="Garamond"/>
          <w:lang w:val="en-AU"/>
        </w:rPr>
        <w:t>Hostetter M, Klein S, McCarthy  D</w:t>
      </w:r>
    </w:p>
    <w:p w:rsidR="00F9420C" w:rsidRPr="00A45262" w:rsidRDefault="00C31A1A" w:rsidP="00F9420C">
      <w:pPr>
        <w:keepNext/>
        <w:rPr>
          <w:rFonts w:ascii="Garamond" w:hAnsi="Garamond"/>
          <w:lang w:val="en-AU"/>
        </w:rPr>
      </w:pPr>
      <w:r w:rsidRPr="00C31A1A">
        <w:rPr>
          <w:rFonts w:ascii="Garamond" w:hAnsi="Garamond"/>
          <w:lang w:val="en-AU"/>
        </w:rPr>
        <w:t xml:space="preserve">New York: </w:t>
      </w:r>
      <w:r w:rsidR="00934B1A" w:rsidRPr="00C31A1A">
        <w:rPr>
          <w:rFonts w:ascii="Garamond" w:hAnsi="Garamond"/>
          <w:lang w:val="en-AU"/>
        </w:rPr>
        <w:t>Commonwealth</w:t>
      </w:r>
      <w:r w:rsidRPr="00C31A1A">
        <w:rPr>
          <w:rFonts w:ascii="Garamond" w:hAnsi="Garamond"/>
          <w:lang w:val="en-AU"/>
        </w:rPr>
        <w:t xml:space="preserve"> Fund; 2017.</w:t>
      </w:r>
    </w:p>
    <w:tbl>
      <w:tblPr>
        <w:tblStyle w:val="TableGrid"/>
        <w:tblW w:w="0" w:type="auto"/>
        <w:tblInd w:w="288" w:type="dxa"/>
        <w:tblLayout w:type="fixed"/>
        <w:tblLook w:val="01E0" w:firstRow="1" w:lastRow="1" w:firstColumn="1" w:lastColumn="1" w:noHBand="0" w:noVBand="0"/>
      </w:tblPr>
      <w:tblGrid>
        <w:gridCol w:w="1080"/>
        <w:gridCol w:w="8280"/>
      </w:tblGrid>
      <w:tr w:rsidR="00F9420C" w:rsidRPr="00A45262" w:rsidTr="00E1140D">
        <w:tc>
          <w:tcPr>
            <w:tcW w:w="1080" w:type="dxa"/>
            <w:tcBorders>
              <w:top w:val="single" w:sz="4" w:space="0" w:color="auto"/>
              <w:left w:val="single" w:sz="4" w:space="0" w:color="auto"/>
              <w:bottom w:val="single" w:sz="4" w:space="0" w:color="auto"/>
              <w:right w:val="single" w:sz="4" w:space="0" w:color="auto"/>
            </w:tcBorders>
            <w:vAlign w:val="center"/>
          </w:tcPr>
          <w:p w:rsidR="00F9420C" w:rsidRPr="00A45262" w:rsidRDefault="00C31A1A" w:rsidP="00E1140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420C" w:rsidRPr="00A45262" w:rsidRDefault="00C31A1A" w:rsidP="00E1140D">
            <w:pPr>
              <w:rPr>
                <w:rStyle w:val="Hyperlink"/>
                <w:rFonts w:ascii="Garamond" w:hAnsi="Garamond"/>
                <w:color w:val="auto"/>
                <w:u w:val="none"/>
                <w:lang w:val="en-AU"/>
              </w:rPr>
            </w:pPr>
            <w:hyperlink r:id="rId19" w:history="1">
              <w:r w:rsidRPr="0036442F">
                <w:rPr>
                  <w:rStyle w:val="Hyperlink"/>
                  <w:rFonts w:ascii="Garamond" w:hAnsi="Garamond"/>
                  <w:lang w:val="en-AU"/>
                </w:rPr>
                <w:t>http://www.commonwealthfund.org/publications/case-studies/2017/mar/caremore</w:t>
              </w:r>
            </w:hyperlink>
          </w:p>
        </w:tc>
      </w:tr>
      <w:tr w:rsidR="00F9420C" w:rsidRPr="00A45262" w:rsidTr="00E1140D">
        <w:tc>
          <w:tcPr>
            <w:tcW w:w="1080" w:type="dxa"/>
            <w:tcBorders>
              <w:top w:val="single" w:sz="4" w:space="0" w:color="auto"/>
              <w:left w:val="single" w:sz="4" w:space="0" w:color="auto"/>
              <w:bottom w:val="single" w:sz="4" w:space="0" w:color="auto"/>
              <w:right w:val="single" w:sz="4" w:space="0" w:color="auto"/>
            </w:tcBorders>
            <w:vAlign w:val="center"/>
          </w:tcPr>
          <w:p w:rsidR="00F9420C" w:rsidRPr="00A45262" w:rsidRDefault="00F9420C" w:rsidP="00E1140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1A1A" w:rsidRPr="00C31A1A" w:rsidRDefault="00C31A1A" w:rsidP="00C31A1A">
            <w:pPr>
              <w:rPr>
                <w:rFonts w:ascii="Garamond" w:hAnsi="Garamond"/>
                <w:lang w:val="en-AU"/>
              </w:rPr>
            </w:pPr>
            <w:r>
              <w:rPr>
                <w:rFonts w:ascii="Garamond" w:hAnsi="Garamond"/>
                <w:lang w:val="en-AU"/>
              </w:rPr>
              <w:t xml:space="preserve">The (US) Commonwealth Fund has published this addition to their </w:t>
            </w:r>
            <w:r w:rsidRPr="00C31A1A">
              <w:rPr>
                <w:rFonts w:ascii="Garamond" w:hAnsi="Garamond"/>
                <w:i/>
                <w:lang w:val="en-AU"/>
              </w:rPr>
              <w:t>Models for High-Need, High-Cost Patients</w:t>
            </w:r>
            <w:r>
              <w:rPr>
                <w:rFonts w:ascii="Garamond" w:hAnsi="Garamond"/>
                <w:lang w:val="en-AU"/>
              </w:rPr>
              <w:t xml:space="preserve"> series. This case study looks at </w:t>
            </w:r>
            <w:r w:rsidRPr="00C31A1A">
              <w:rPr>
                <w:rFonts w:ascii="Garamond" w:hAnsi="Garamond"/>
                <w:lang w:val="en-AU"/>
              </w:rPr>
              <w:t>CareMore</w:t>
            </w:r>
            <w:r>
              <w:rPr>
                <w:rFonts w:ascii="Garamond" w:hAnsi="Garamond"/>
                <w:lang w:val="en-AU"/>
              </w:rPr>
              <w:t xml:space="preserve">, </w:t>
            </w:r>
            <w:r w:rsidRPr="00C31A1A">
              <w:rPr>
                <w:rFonts w:ascii="Garamond" w:hAnsi="Garamond"/>
                <w:lang w:val="en-AU"/>
              </w:rPr>
              <w:t>a California-based Medicare Advantage plan and care provider that’s built its business around identifying the high-risk patients most likely to need a full range of coordinated primary care, behavio</w:t>
            </w:r>
            <w:r>
              <w:rPr>
                <w:rFonts w:ascii="Garamond" w:hAnsi="Garamond"/>
                <w:lang w:val="en-AU"/>
              </w:rPr>
              <w:t>u</w:t>
            </w:r>
            <w:r w:rsidRPr="00C31A1A">
              <w:rPr>
                <w:rFonts w:ascii="Garamond" w:hAnsi="Garamond"/>
                <w:lang w:val="en-AU"/>
              </w:rPr>
              <w:t>ral health, and specialty services.</w:t>
            </w:r>
          </w:p>
          <w:p w:rsidR="00C31A1A" w:rsidRPr="00C31A1A" w:rsidRDefault="00C31A1A" w:rsidP="00C31A1A">
            <w:pPr>
              <w:rPr>
                <w:rFonts w:ascii="Garamond" w:hAnsi="Garamond"/>
                <w:lang w:val="en-AU"/>
              </w:rPr>
            </w:pPr>
            <w:r w:rsidRPr="00C31A1A">
              <w:rPr>
                <w:rFonts w:ascii="Garamond" w:hAnsi="Garamond"/>
                <w:lang w:val="en-AU"/>
              </w:rPr>
              <w:t>CareMore</w:t>
            </w:r>
            <w:r>
              <w:rPr>
                <w:rFonts w:ascii="Garamond" w:hAnsi="Garamond"/>
                <w:lang w:val="en-AU"/>
              </w:rPr>
              <w:t xml:space="preserve"> </w:t>
            </w:r>
            <w:r w:rsidRPr="00C31A1A">
              <w:rPr>
                <w:rFonts w:ascii="Garamond" w:hAnsi="Garamond"/>
                <w:lang w:val="en-AU"/>
              </w:rPr>
              <w:t xml:space="preserve">serves 130,000 people across six </w:t>
            </w:r>
            <w:r>
              <w:rPr>
                <w:rFonts w:ascii="Garamond" w:hAnsi="Garamond"/>
                <w:lang w:val="en-AU"/>
              </w:rPr>
              <w:t xml:space="preserve">American </w:t>
            </w:r>
            <w:r w:rsidRPr="00C31A1A">
              <w:rPr>
                <w:rFonts w:ascii="Garamond" w:hAnsi="Garamond"/>
                <w:lang w:val="en-AU"/>
              </w:rPr>
              <w:t>states</w:t>
            </w:r>
            <w:r>
              <w:rPr>
                <w:rFonts w:ascii="Garamond" w:hAnsi="Garamond"/>
                <w:lang w:val="en-AU"/>
              </w:rPr>
              <w:t xml:space="preserve"> and this case study </w:t>
            </w:r>
            <w:r w:rsidRPr="00C31A1A">
              <w:rPr>
                <w:rFonts w:ascii="Garamond" w:hAnsi="Garamond"/>
                <w:lang w:val="en-AU"/>
              </w:rPr>
              <w:t xml:space="preserve"> explore</w:t>
            </w:r>
            <w:r>
              <w:rPr>
                <w:rFonts w:ascii="Garamond" w:hAnsi="Garamond"/>
                <w:lang w:val="en-AU"/>
              </w:rPr>
              <w:t>s</w:t>
            </w:r>
            <w:r w:rsidRPr="00C31A1A">
              <w:rPr>
                <w:rFonts w:ascii="Garamond" w:hAnsi="Garamond"/>
                <w:lang w:val="en-AU"/>
              </w:rPr>
              <w:t xml:space="preserve"> how CareMore has been able to achieve 20 percent fewer hospital admissions, 23 percent fewer bed days, and a 4 percent shorter length-of-stay for its members compared with beneficiaries covered under fee-for-service Medicare.</w:t>
            </w:r>
          </w:p>
          <w:p w:rsidR="00C31A1A" w:rsidRPr="00A45262" w:rsidRDefault="00C31A1A" w:rsidP="00C31A1A">
            <w:pPr>
              <w:rPr>
                <w:rFonts w:ascii="Garamond" w:hAnsi="Garamond"/>
                <w:lang w:val="en-AU"/>
              </w:rPr>
            </w:pPr>
            <w:r w:rsidRPr="00C31A1A">
              <w:rPr>
                <w:rFonts w:ascii="Garamond" w:hAnsi="Garamond"/>
                <w:lang w:val="en-AU"/>
              </w:rPr>
              <w:t>The authors also examine the company’s efforts to spread its model, both by serving Medicaid beneficiaries and by partnering with health systems that are moving toward risk-based contracting</w:t>
            </w:r>
          </w:p>
        </w:tc>
      </w:tr>
    </w:tbl>
    <w:p w:rsidR="00F9420C" w:rsidRDefault="00F9420C" w:rsidP="00F9420C">
      <w:pPr>
        <w:keepNext/>
        <w:rPr>
          <w:rFonts w:ascii="Garamond" w:hAnsi="Garamond"/>
          <w:i/>
          <w:lang w:val="en-AU" w:eastAsia="en-AU"/>
        </w:rPr>
      </w:pPr>
    </w:p>
    <w:p w:rsidR="0061617D" w:rsidRDefault="0061617D" w:rsidP="00F9420C">
      <w:pPr>
        <w:keepNext/>
        <w:rPr>
          <w:rFonts w:ascii="Garamond" w:hAnsi="Garamond"/>
          <w:i/>
          <w:lang w:val="en-AU" w:eastAsia="en-AU"/>
        </w:rPr>
      </w:pPr>
    </w:p>
    <w:p w:rsidR="008C6F66" w:rsidRPr="00A45262" w:rsidRDefault="008C6F66" w:rsidP="008C6F66">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A45262"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697146" w:rsidP="00425D88">
            <w:pPr>
              <w:keepNext/>
              <w:rPr>
                <w:rFonts w:ascii="Garamond" w:hAnsi="Garamond"/>
                <w:lang w:val="en-AU"/>
              </w:rPr>
            </w:pPr>
            <w:hyperlink r:id="rId20" w:history="1">
              <w:r w:rsidR="008C6F66" w:rsidRPr="00A45262">
                <w:rPr>
                  <w:rStyle w:val="Hyperlink"/>
                  <w:rFonts w:ascii="Garamond" w:hAnsi="Garamond"/>
                  <w:lang w:val="en-AU"/>
                </w:rPr>
                <w:t>http://qualitysafety.bmj.com/content/early/recent</w:t>
              </w:r>
            </w:hyperlink>
          </w:p>
        </w:tc>
      </w:tr>
      <w:tr w:rsidR="008C6F66" w:rsidRPr="00A45262"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247AA0" w:rsidRPr="00A45262" w:rsidRDefault="007E63D5" w:rsidP="007E63D5">
            <w:pPr>
              <w:pStyle w:val="ListParagraph"/>
              <w:numPr>
                <w:ilvl w:val="0"/>
                <w:numId w:val="14"/>
              </w:numPr>
              <w:rPr>
                <w:rFonts w:ascii="Garamond" w:hAnsi="Garamond"/>
                <w:lang w:val="en-AU"/>
              </w:rPr>
            </w:pPr>
            <w:r w:rsidRPr="007E63D5">
              <w:rPr>
                <w:rFonts w:ascii="Garamond" w:hAnsi="Garamond"/>
                <w:b/>
                <w:lang w:val="en-AU"/>
              </w:rPr>
              <w:t xml:space="preserve">Patients' reports </w:t>
            </w:r>
            <w:r w:rsidRPr="007E63D5">
              <w:rPr>
                <w:rFonts w:ascii="Garamond" w:hAnsi="Garamond"/>
                <w:lang w:val="en-AU"/>
              </w:rPr>
              <w:t>of</w:t>
            </w:r>
            <w:r w:rsidRPr="007E63D5">
              <w:rPr>
                <w:rFonts w:ascii="Garamond" w:hAnsi="Garamond"/>
                <w:b/>
                <w:lang w:val="en-AU"/>
              </w:rPr>
              <w:t xml:space="preserve"> adverse events</w:t>
            </w:r>
            <w:r w:rsidRPr="007E63D5">
              <w:rPr>
                <w:rFonts w:ascii="Garamond" w:hAnsi="Garamond"/>
                <w:lang w:val="en-AU"/>
              </w:rPr>
              <w:t xml:space="preserve">: a data linkage study of Australian adults aged 45 years and over </w:t>
            </w:r>
            <w:r>
              <w:rPr>
                <w:rFonts w:ascii="Garamond" w:hAnsi="Garamond"/>
                <w:lang w:val="en-AU"/>
              </w:rPr>
              <w:t>(</w:t>
            </w:r>
            <w:r w:rsidRPr="007E63D5">
              <w:rPr>
                <w:rFonts w:ascii="Garamond" w:hAnsi="Garamond"/>
                <w:lang w:val="en-AU"/>
              </w:rPr>
              <w:t>Merrilyn Margaret Walton, Reema Harrison, Patrick Kelly, Jennifer Smith-Merry, Elizabeth Manias, Christine Jorm, Rick Iedema</w:t>
            </w:r>
            <w:r>
              <w:rPr>
                <w:rFonts w:ascii="Garamond" w:hAnsi="Garamond"/>
                <w:lang w:val="en-AU"/>
              </w:rPr>
              <w:t>)</w:t>
            </w:r>
          </w:p>
        </w:tc>
      </w:tr>
    </w:tbl>
    <w:p w:rsidR="008C6F66" w:rsidRPr="00A45262" w:rsidRDefault="008C6F66" w:rsidP="008C6F66">
      <w:pPr>
        <w:rPr>
          <w:rFonts w:ascii="Garamond" w:hAnsi="Garamond"/>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lastRenderedPageBreak/>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697146" w:rsidP="009E5A41">
            <w:pPr>
              <w:keepNext/>
              <w:rPr>
                <w:rFonts w:ascii="Garamond" w:hAnsi="Garamond"/>
                <w:lang w:val="en-AU"/>
              </w:rPr>
            </w:pPr>
            <w:hyperlink r:id="rId21" w:history="1">
              <w:r w:rsidR="009E5A41" w:rsidRPr="00A45262">
                <w:rPr>
                  <w:rStyle w:val="Hyperlink"/>
                  <w:lang w:val="en-AU"/>
                </w:rPr>
                <w:t>https://academic.oup.com/intqhc/advance-access?papetoc</w:t>
              </w:r>
            </w:hyperlink>
          </w:p>
        </w:tc>
      </w:tr>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D64A8B" w:rsidRPr="00D64A8B" w:rsidRDefault="00D64A8B" w:rsidP="00D64A8B">
            <w:pPr>
              <w:pStyle w:val="ListParagraph"/>
              <w:numPr>
                <w:ilvl w:val="0"/>
                <w:numId w:val="14"/>
              </w:numPr>
              <w:rPr>
                <w:rFonts w:ascii="Garamond" w:hAnsi="Garamond"/>
                <w:lang w:val="en-AU"/>
              </w:rPr>
            </w:pPr>
            <w:r w:rsidRPr="00D64A8B">
              <w:rPr>
                <w:rFonts w:ascii="Garamond" w:hAnsi="Garamond"/>
                <w:lang w:val="en-AU"/>
              </w:rPr>
              <w:t xml:space="preserve">Assessing the impact of diabetes on quality of life: validation of the Chinese version of the 19-item </w:t>
            </w:r>
            <w:r w:rsidRPr="00D64A8B">
              <w:rPr>
                <w:rFonts w:ascii="Garamond" w:hAnsi="Garamond"/>
                <w:b/>
                <w:lang w:val="en-AU"/>
              </w:rPr>
              <w:t>Audit of Diabetes-Dependent Quality of Life</w:t>
            </w:r>
            <w:r>
              <w:rPr>
                <w:rFonts w:ascii="Garamond" w:hAnsi="Garamond"/>
                <w:lang w:val="en-AU"/>
              </w:rPr>
              <w:t xml:space="preserve"> for Taiwan</w:t>
            </w:r>
            <w:r w:rsidRPr="00D64A8B">
              <w:rPr>
                <w:rFonts w:ascii="Garamond" w:hAnsi="Garamond"/>
                <w:lang w:val="en-AU"/>
              </w:rPr>
              <w:t xml:space="preserve"> (Huey-Fen Wang; Clare Bradley; Tien-Jyun Chang; Lee-Ming Chuang; Mei Chang Yeh</w:t>
            </w:r>
            <w:r>
              <w:rPr>
                <w:rFonts w:ascii="Garamond" w:hAnsi="Garamond"/>
                <w:lang w:val="en-AU"/>
              </w:rPr>
              <w:t>)</w:t>
            </w:r>
          </w:p>
          <w:p w:rsidR="00D64A8B" w:rsidRPr="00D64A8B" w:rsidRDefault="00D64A8B" w:rsidP="00D64A8B">
            <w:pPr>
              <w:pStyle w:val="ListParagraph"/>
              <w:numPr>
                <w:ilvl w:val="0"/>
                <w:numId w:val="14"/>
              </w:numPr>
              <w:rPr>
                <w:rFonts w:ascii="Garamond" w:hAnsi="Garamond"/>
                <w:lang w:val="en-AU"/>
              </w:rPr>
            </w:pPr>
            <w:r w:rsidRPr="00D64A8B">
              <w:rPr>
                <w:rFonts w:ascii="Garamond" w:hAnsi="Garamond"/>
                <w:lang w:val="en-AU"/>
              </w:rPr>
              <w:t xml:space="preserve">The effects of </w:t>
            </w:r>
            <w:r w:rsidRPr="00D64A8B">
              <w:rPr>
                <w:rFonts w:ascii="Garamond" w:hAnsi="Garamond"/>
                <w:b/>
                <w:lang w:val="en-AU"/>
              </w:rPr>
              <w:t>patient education on patient safety</w:t>
            </w:r>
            <w:r w:rsidRPr="00D64A8B">
              <w:rPr>
                <w:rFonts w:ascii="Garamond" w:hAnsi="Garamond"/>
                <w:lang w:val="en-AU"/>
              </w:rPr>
              <w:t xml:space="preserve">: can we change patient perceptions and attitudes?: Lessons from the Armed Forces Capital Hospital in Korea </w:t>
            </w:r>
            <w:r>
              <w:rPr>
                <w:rFonts w:ascii="Garamond" w:hAnsi="Garamond"/>
                <w:lang w:val="en-AU"/>
              </w:rPr>
              <w:t>(</w:t>
            </w:r>
            <w:r w:rsidRPr="00D64A8B">
              <w:rPr>
                <w:rFonts w:ascii="Garamond" w:hAnsi="Garamond"/>
                <w:lang w:val="en-AU"/>
              </w:rPr>
              <w:t>JinOk An; Seung Ju Kim; Sohee Park; Ki Tae Moon; Eun-Cheol Park</w:t>
            </w:r>
            <w:r>
              <w:rPr>
                <w:rFonts w:ascii="Garamond" w:hAnsi="Garamond"/>
                <w:lang w:val="en-AU"/>
              </w:rPr>
              <w:t>)</w:t>
            </w:r>
          </w:p>
          <w:p w:rsidR="00EE6CFC" w:rsidRPr="00A45262" w:rsidRDefault="00D64A8B" w:rsidP="00D64A8B">
            <w:pPr>
              <w:pStyle w:val="ListParagraph"/>
              <w:numPr>
                <w:ilvl w:val="0"/>
                <w:numId w:val="14"/>
              </w:numPr>
              <w:rPr>
                <w:rFonts w:ascii="Garamond" w:hAnsi="Garamond"/>
                <w:lang w:val="en-AU"/>
              </w:rPr>
            </w:pPr>
            <w:r w:rsidRPr="00D64A8B">
              <w:rPr>
                <w:rFonts w:ascii="Garamond" w:hAnsi="Garamond"/>
                <w:lang w:val="en-AU"/>
              </w:rPr>
              <w:t xml:space="preserve">Assessing archetypes of </w:t>
            </w:r>
            <w:r w:rsidRPr="00D64A8B">
              <w:rPr>
                <w:rFonts w:ascii="Garamond" w:hAnsi="Garamond"/>
                <w:b/>
                <w:lang w:val="en-AU"/>
              </w:rPr>
              <w:t>organizational culture</w:t>
            </w:r>
            <w:r w:rsidRPr="00D64A8B">
              <w:rPr>
                <w:rFonts w:ascii="Garamond" w:hAnsi="Garamond"/>
                <w:lang w:val="en-AU"/>
              </w:rPr>
              <w:t xml:space="preserve"> based on the </w:t>
            </w:r>
            <w:r w:rsidRPr="00D64A8B">
              <w:rPr>
                <w:rFonts w:ascii="Garamond" w:hAnsi="Garamond"/>
                <w:b/>
                <w:lang w:val="en-AU"/>
              </w:rPr>
              <w:t>Competing Values Framework</w:t>
            </w:r>
            <w:r w:rsidRPr="00D64A8B">
              <w:rPr>
                <w:rFonts w:ascii="Garamond" w:hAnsi="Garamond"/>
                <w:lang w:val="en-AU"/>
              </w:rPr>
              <w:t xml:space="preserve">: the experimental use of the framework in Japanese neonatal intensive care units </w:t>
            </w:r>
            <w:r>
              <w:rPr>
                <w:rFonts w:ascii="Garamond" w:hAnsi="Garamond"/>
                <w:lang w:val="en-AU"/>
              </w:rPr>
              <w:t xml:space="preserve"> (</w:t>
            </w:r>
            <w:r w:rsidRPr="00D64A8B">
              <w:rPr>
                <w:rFonts w:ascii="Garamond" w:hAnsi="Garamond"/>
                <w:lang w:val="en-AU"/>
              </w:rPr>
              <w:t>Hatoko Sasaki; Naohiro Yonemoto; Rintaro Mori; Toshihiko Nishida; Satoshi Kusuda</w:t>
            </w:r>
            <w:r>
              <w:rPr>
                <w:rFonts w:ascii="Garamond" w:hAnsi="Garamond"/>
                <w:lang w:val="en-AU"/>
              </w:rPr>
              <w:t xml:space="preserve">; </w:t>
            </w:r>
            <w:r w:rsidRPr="00D64A8B">
              <w:rPr>
                <w:rFonts w:ascii="Garamond" w:hAnsi="Garamond"/>
                <w:lang w:val="en-AU"/>
              </w:rPr>
              <w:t>Takeo Nakayama</w:t>
            </w:r>
            <w:r>
              <w:rPr>
                <w:rFonts w:ascii="Garamond" w:hAnsi="Garamond"/>
                <w:lang w:val="en-AU"/>
              </w:rPr>
              <w:t>)</w:t>
            </w:r>
          </w:p>
        </w:tc>
      </w:tr>
    </w:tbl>
    <w:p w:rsidR="00AF20FE" w:rsidRDefault="00AF20FE" w:rsidP="00AF20FE">
      <w:pPr>
        <w:rPr>
          <w:rFonts w:ascii="Garamond" w:hAnsi="Garamond"/>
          <w:lang w:val="en-AU"/>
        </w:rPr>
      </w:pPr>
    </w:p>
    <w:p w:rsidR="0061617D" w:rsidRPr="00A45262" w:rsidRDefault="0061617D" w:rsidP="00AF20FE">
      <w:pPr>
        <w:rPr>
          <w:rFonts w:ascii="Garamond" w:hAnsi="Garamond"/>
          <w:lang w:val="en-AU"/>
        </w:rPr>
      </w:pPr>
    </w:p>
    <w:p w:rsidR="00B02F6E" w:rsidRPr="00A45262" w:rsidRDefault="00B02F6E" w:rsidP="001C6360">
      <w:pPr>
        <w:keepNext/>
        <w:rPr>
          <w:rFonts w:ascii="Garamond" w:hAnsi="Garamond"/>
          <w:b/>
          <w:lang w:val="en-AU"/>
        </w:rPr>
      </w:pPr>
      <w:r w:rsidRPr="00A45262">
        <w:rPr>
          <w:rFonts w:ascii="Garamond" w:hAnsi="Garamond"/>
          <w:b/>
          <w:lang w:val="en-AU"/>
        </w:rPr>
        <w:t>Online resources</w:t>
      </w:r>
    </w:p>
    <w:p w:rsidR="00BB12F9" w:rsidRDefault="00BB12F9" w:rsidP="001C6360">
      <w:pPr>
        <w:keepNext/>
        <w:rPr>
          <w:rFonts w:ascii="Garamond" w:hAnsi="Garamond"/>
          <w:i/>
          <w:lang w:val="en-AU"/>
        </w:rPr>
      </w:pPr>
    </w:p>
    <w:p w:rsidR="0061617D" w:rsidRDefault="0061617D" w:rsidP="001C6360">
      <w:pPr>
        <w:keepNext/>
        <w:rPr>
          <w:rFonts w:ascii="Garamond" w:hAnsi="Garamond"/>
          <w:i/>
          <w:lang w:val="en-AU"/>
        </w:rPr>
      </w:pPr>
    </w:p>
    <w:p w:rsidR="002553FC" w:rsidRPr="007A47A8" w:rsidRDefault="002553FC" w:rsidP="002553FC">
      <w:pPr>
        <w:keepNext/>
        <w:rPr>
          <w:rFonts w:ascii="Garamond" w:hAnsi="Garamond"/>
          <w:i/>
          <w:lang w:val="en-AU"/>
        </w:rPr>
      </w:pPr>
      <w:r w:rsidRPr="007A47A8">
        <w:rPr>
          <w:rFonts w:ascii="Garamond" w:hAnsi="Garamond"/>
          <w:i/>
          <w:lang w:val="en-AU"/>
        </w:rPr>
        <w:t>Clinical Communiqué</w:t>
      </w:r>
    </w:p>
    <w:p w:rsidR="002553FC" w:rsidRDefault="002553FC" w:rsidP="002553FC">
      <w:pPr>
        <w:keepNext/>
        <w:rPr>
          <w:rFonts w:ascii="Garamond" w:hAnsi="Garamond"/>
          <w:lang w:val="en-AU"/>
        </w:rPr>
      </w:pPr>
      <w:r w:rsidRPr="007A47A8">
        <w:rPr>
          <w:rFonts w:ascii="Garamond" w:hAnsi="Garamond"/>
          <w:lang w:val="en-AU"/>
        </w:rPr>
        <w:t xml:space="preserve">Volume </w:t>
      </w:r>
      <w:r>
        <w:rPr>
          <w:rFonts w:ascii="Garamond" w:hAnsi="Garamond"/>
          <w:lang w:val="en-AU"/>
        </w:rPr>
        <w:t>4</w:t>
      </w:r>
      <w:r w:rsidRPr="007A47A8">
        <w:rPr>
          <w:rFonts w:ascii="Garamond" w:hAnsi="Garamond"/>
          <w:lang w:val="en-AU"/>
        </w:rPr>
        <w:t xml:space="preserve"> Issue </w:t>
      </w:r>
      <w:r>
        <w:rPr>
          <w:rFonts w:ascii="Garamond" w:hAnsi="Garamond"/>
          <w:lang w:val="en-AU"/>
        </w:rPr>
        <w:t>1</w:t>
      </w:r>
      <w:r w:rsidRPr="007A47A8">
        <w:rPr>
          <w:rFonts w:ascii="Garamond" w:hAnsi="Garamond"/>
          <w:lang w:val="en-AU"/>
        </w:rPr>
        <w:t xml:space="preserve"> </w:t>
      </w:r>
      <w:r>
        <w:rPr>
          <w:rFonts w:ascii="Garamond" w:hAnsi="Garamond"/>
          <w:lang w:val="en-AU"/>
        </w:rPr>
        <w:t>March 2017</w:t>
      </w:r>
    </w:p>
    <w:p w:rsidR="002553FC" w:rsidRDefault="002553FC" w:rsidP="002553FC">
      <w:pPr>
        <w:keepNext/>
      </w:pPr>
      <w:hyperlink r:id="rId22" w:history="1">
        <w:r w:rsidRPr="0036442F">
          <w:rPr>
            <w:rStyle w:val="Hyperlink"/>
          </w:rPr>
          <w:t>http://www.vifmcommuniques.org/?p=4879</w:t>
        </w:r>
      </w:hyperlink>
    </w:p>
    <w:p w:rsidR="002553FC" w:rsidRPr="007A47A8" w:rsidRDefault="002553FC" w:rsidP="002553FC">
      <w:pPr>
        <w:keepNext/>
        <w:rPr>
          <w:rFonts w:ascii="Garamond" w:hAnsi="Garamond"/>
          <w:lang w:val="en-AU"/>
        </w:rPr>
      </w:pPr>
      <w:r w:rsidRPr="007A47A8">
        <w:rPr>
          <w:rFonts w:ascii="Garamond" w:hAnsi="Garamond"/>
          <w:i/>
          <w:lang w:val="en-AU"/>
        </w:rPr>
        <w:t>Clinical Communiqué</w:t>
      </w:r>
      <w:r w:rsidRPr="007A47A8">
        <w:rPr>
          <w:rFonts w:ascii="Garamond" w:hAnsi="Garamond"/>
          <w:lang w:val="en-AU"/>
        </w:rPr>
        <w:t xml:space="preserve"> is a newsletter written by clinicians, using a case-study approach to report on lessons learned from deaths investigated by the Coroners’ Court.</w:t>
      </w:r>
    </w:p>
    <w:p w:rsidR="002553FC" w:rsidRDefault="002553FC" w:rsidP="002553FC">
      <w:pPr>
        <w:rPr>
          <w:rFonts w:ascii="Garamond" w:hAnsi="Garamond"/>
          <w:lang w:val="en-AU"/>
        </w:rPr>
      </w:pPr>
      <w:r w:rsidRPr="007A47A8">
        <w:rPr>
          <w:rFonts w:ascii="Garamond" w:hAnsi="Garamond"/>
          <w:lang w:val="en-AU"/>
        </w:rPr>
        <w:t xml:space="preserve">This edition </w:t>
      </w:r>
      <w:r>
        <w:rPr>
          <w:rFonts w:ascii="Garamond" w:hAnsi="Garamond"/>
          <w:lang w:val="en-AU"/>
        </w:rPr>
        <w:t xml:space="preserve">focuses </w:t>
      </w:r>
      <w:r w:rsidRPr="002553FC">
        <w:rPr>
          <w:rFonts w:ascii="Garamond" w:hAnsi="Garamond"/>
          <w:lang w:val="en-AU"/>
        </w:rPr>
        <w:t xml:space="preserve">on </w:t>
      </w:r>
      <w:r w:rsidRPr="002553FC">
        <w:rPr>
          <w:rFonts w:ascii="Garamond" w:hAnsi="Garamond"/>
          <w:b/>
          <w:lang w:val="en-AU"/>
        </w:rPr>
        <w:t>pulmonary embolism</w:t>
      </w:r>
      <w:r>
        <w:rPr>
          <w:rFonts w:ascii="Garamond" w:hAnsi="Garamond"/>
          <w:lang w:val="en-AU"/>
        </w:rPr>
        <w:t xml:space="preserve"> (</w:t>
      </w:r>
      <w:r w:rsidRPr="002553FC">
        <w:rPr>
          <w:rFonts w:ascii="Garamond" w:hAnsi="Garamond"/>
          <w:lang w:val="en-AU"/>
        </w:rPr>
        <w:t>PE</w:t>
      </w:r>
      <w:r>
        <w:rPr>
          <w:rFonts w:ascii="Garamond" w:hAnsi="Garamond"/>
          <w:lang w:val="en-AU"/>
        </w:rPr>
        <w:t>)</w:t>
      </w:r>
      <w:r w:rsidRPr="002553FC">
        <w:rPr>
          <w:rFonts w:ascii="Garamond" w:hAnsi="Garamond"/>
          <w:lang w:val="en-AU"/>
        </w:rPr>
        <w:t xml:space="preserve"> as the single, specific cause of death. As featured in the three cases presented, PE is a diagnosis that can occur in any healthcare setting, from general practice, to the emergency department, to the postoperative ward. It is a diagnosis that every healthcare practitioner needs to be familiar with to adequately detect and treat it in their patients, every time.</w:t>
      </w:r>
    </w:p>
    <w:p w:rsidR="002553FC" w:rsidRDefault="002553FC" w:rsidP="001C6360">
      <w:pPr>
        <w:keepNext/>
        <w:rPr>
          <w:rFonts w:ascii="Garamond" w:hAnsi="Garamond"/>
          <w:i/>
          <w:lang w:val="en-AU"/>
        </w:rPr>
      </w:pPr>
    </w:p>
    <w:p w:rsidR="0061617D" w:rsidRDefault="0061617D" w:rsidP="001C6360">
      <w:pPr>
        <w:keepNext/>
        <w:rPr>
          <w:rFonts w:ascii="Garamond" w:hAnsi="Garamond"/>
          <w:i/>
          <w:lang w:val="en-AU"/>
        </w:rPr>
      </w:pPr>
    </w:p>
    <w:p w:rsidR="003C68A6" w:rsidRPr="00A45262" w:rsidRDefault="003C68A6" w:rsidP="003C68A6">
      <w:pPr>
        <w:keepNext/>
        <w:keepLines/>
        <w:rPr>
          <w:rFonts w:ascii="Garamond" w:hAnsi="Garamond"/>
          <w:i/>
          <w:lang w:val="en-AU"/>
        </w:rPr>
      </w:pPr>
      <w:r w:rsidRPr="00A45262">
        <w:rPr>
          <w:rFonts w:ascii="Garamond" w:hAnsi="Garamond"/>
          <w:i/>
          <w:lang w:val="en-AU"/>
        </w:rPr>
        <w:t>[UK] NICE Guidelines and Quality Standards</w:t>
      </w:r>
    </w:p>
    <w:p w:rsidR="003C68A6" w:rsidRPr="00A45262" w:rsidRDefault="00697146" w:rsidP="003C68A6">
      <w:pPr>
        <w:keepNext/>
        <w:keepLines/>
        <w:rPr>
          <w:rFonts w:ascii="Garamond" w:hAnsi="Garamond"/>
          <w:u w:val="single"/>
          <w:lang w:val="en-AU"/>
        </w:rPr>
      </w:pPr>
      <w:hyperlink r:id="rId23" w:history="1">
        <w:r w:rsidR="003C68A6" w:rsidRPr="00A45262">
          <w:rPr>
            <w:rStyle w:val="Hyperlink"/>
            <w:rFonts w:ascii="Garamond" w:hAnsi="Garamond"/>
            <w:lang w:val="en-AU"/>
          </w:rPr>
          <w:t>http://www.nice.org.uk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The UK’s National Institute for Health and Care Excellence (NICE) has published new (or updated) guidelines and quality standards. The latest updates are:</w:t>
      </w:r>
    </w:p>
    <w:p w:rsidR="00180F7E" w:rsidRDefault="00847A19" w:rsidP="00847A19">
      <w:pPr>
        <w:pStyle w:val="ListParagraph"/>
        <w:keepNext/>
        <w:keepLines/>
        <w:numPr>
          <w:ilvl w:val="0"/>
          <w:numId w:val="14"/>
        </w:numPr>
        <w:rPr>
          <w:rFonts w:ascii="Garamond" w:hAnsi="Garamond"/>
          <w:lang w:val="en-AU"/>
        </w:rPr>
      </w:pPr>
      <w:r>
        <w:rPr>
          <w:rFonts w:ascii="Garamond" w:hAnsi="Garamond"/>
          <w:lang w:val="en-AU"/>
        </w:rPr>
        <w:t xml:space="preserve">NICE Guideline NG67 </w:t>
      </w:r>
      <w:r w:rsidRPr="00847A19">
        <w:rPr>
          <w:rFonts w:ascii="Garamond" w:hAnsi="Garamond"/>
          <w:b/>
          <w:i/>
          <w:lang w:val="en-AU"/>
        </w:rPr>
        <w:t>Managing medicines</w:t>
      </w:r>
      <w:r w:rsidRPr="00847A19">
        <w:rPr>
          <w:rFonts w:ascii="Garamond" w:hAnsi="Garamond"/>
          <w:i/>
          <w:lang w:val="en-AU"/>
        </w:rPr>
        <w:t xml:space="preserve"> for adults receiving social care in the community</w:t>
      </w:r>
      <w:r>
        <w:rPr>
          <w:rFonts w:ascii="Garamond" w:hAnsi="Garamond"/>
          <w:lang w:val="en-AU"/>
        </w:rPr>
        <w:t xml:space="preserve"> </w:t>
      </w:r>
      <w:hyperlink r:id="rId24" w:history="1">
        <w:r w:rsidRPr="0036442F">
          <w:rPr>
            <w:rStyle w:val="Hyperlink"/>
            <w:rFonts w:ascii="Garamond" w:hAnsi="Garamond"/>
            <w:lang w:val="en-AU"/>
          </w:rPr>
          <w:t>https://www.nice.org.uk/guidance/ng67</w:t>
        </w:r>
      </w:hyperlink>
    </w:p>
    <w:p w:rsidR="00180F7E" w:rsidRDefault="00180F7E" w:rsidP="002F1DFF">
      <w:pPr>
        <w:keepNext/>
        <w:keepLines/>
        <w:rPr>
          <w:rFonts w:ascii="Garamond" w:hAnsi="Garamond"/>
          <w:i/>
          <w:lang w:val="en-AU"/>
        </w:rPr>
      </w:pPr>
    </w:p>
    <w:p w:rsidR="0061617D" w:rsidRDefault="0061617D" w:rsidP="002F1DFF">
      <w:pPr>
        <w:keepNext/>
        <w:keepLines/>
        <w:rPr>
          <w:rFonts w:ascii="Garamond" w:hAnsi="Garamond"/>
          <w:i/>
          <w:lang w:val="en-AU"/>
        </w:rPr>
      </w:pPr>
    </w:p>
    <w:p w:rsidR="002F1DFF" w:rsidRPr="00160029" w:rsidRDefault="002F1DFF" w:rsidP="002F1DFF">
      <w:pPr>
        <w:keepNext/>
        <w:keepLines/>
        <w:rPr>
          <w:rFonts w:ascii="Garamond" w:hAnsi="Garamond"/>
          <w:i/>
          <w:lang w:val="en-AU"/>
        </w:rPr>
      </w:pPr>
      <w:r w:rsidRPr="00160029">
        <w:rPr>
          <w:rFonts w:ascii="Garamond" w:hAnsi="Garamond"/>
          <w:i/>
          <w:lang w:val="en-AU"/>
        </w:rPr>
        <w:t>[USA] Effective Health Care Program reports</w:t>
      </w:r>
    </w:p>
    <w:p w:rsidR="002F1DFF" w:rsidRPr="00160029" w:rsidRDefault="00697146" w:rsidP="002F1DFF">
      <w:pPr>
        <w:keepNext/>
        <w:keepLines/>
        <w:rPr>
          <w:rFonts w:ascii="Garamond" w:hAnsi="Garamond"/>
          <w:u w:val="single"/>
          <w:lang w:val="en-AU"/>
        </w:rPr>
      </w:pPr>
      <w:hyperlink r:id="rId25" w:history="1">
        <w:r w:rsidR="002F1DFF" w:rsidRPr="00160029">
          <w:rPr>
            <w:rStyle w:val="Hyperlink"/>
            <w:rFonts w:ascii="Garamond" w:hAnsi="Garamond"/>
            <w:lang w:val="en-AU"/>
          </w:rPr>
          <w:t>http://effectivehealthcare.ahrq.gov/</w:t>
        </w:r>
      </w:hyperlink>
    </w:p>
    <w:p w:rsidR="002F1DFF" w:rsidRPr="00160029" w:rsidRDefault="002F1DFF" w:rsidP="002F1DFF">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9A42FB" w:rsidRPr="002553FC" w:rsidRDefault="00080318" w:rsidP="002553FC">
      <w:pPr>
        <w:pStyle w:val="ListParagraph"/>
        <w:keepLines/>
        <w:numPr>
          <w:ilvl w:val="0"/>
          <w:numId w:val="15"/>
        </w:numPr>
        <w:rPr>
          <w:rFonts w:ascii="Garamond" w:hAnsi="Garamond"/>
          <w:i/>
          <w:lang w:val="en-AU"/>
        </w:rPr>
      </w:pPr>
      <w:r w:rsidRPr="00080318">
        <w:rPr>
          <w:rFonts w:ascii="Garamond" w:hAnsi="Garamond"/>
          <w:i/>
          <w:lang w:val="en-AU"/>
        </w:rPr>
        <w:t xml:space="preserve">Preventing Complications and Treating Symptoms of </w:t>
      </w:r>
      <w:r w:rsidRPr="002553FC">
        <w:rPr>
          <w:rFonts w:ascii="Garamond" w:hAnsi="Garamond"/>
          <w:b/>
          <w:i/>
          <w:lang w:val="en-AU"/>
        </w:rPr>
        <w:t>Diabetic Peripheral Neuropathy</w:t>
      </w:r>
      <w:r w:rsidR="002553FC">
        <w:rPr>
          <w:rFonts w:ascii="Garamond" w:hAnsi="Garamond"/>
          <w:i/>
          <w:lang w:val="en-AU"/>
        </w:rPr>
        <w:t xml:space="preserve"> </w:t>
      </w:r>
      <w:hyperlink r:id="rId26" w:history="1">
        <w:r w:rsidR="002553FC" w:rsidRPr="0036442F">
          <w:rPr>
            <w:rStyle w:val="Hyperlink"/>
            <w:rFonts w:ascii="Garamond" w:hAnsi="Garamond"/>
            <w:lang w:val="en-AU"/>
          </w:rPr>
          <w:t>https://www.effectivehealthcare.ahrq.gov/search-for-guides-reviews-and-reports/?pageaction=displayproduct&amp;productID=2436</w:t>
        </w:r>
      </w:hyperlink>
    </w:p>
    <w:p w:rsidR="002553FC" w:rsidRDefault="002553FC" w:rsidP="002553FC">
      <w:pPr>
        <w:pStyle w:val="ListParagraph"/>
        <w:keepLines/>
        <w:numPr>
          <w:ilvl w:val="0"/>
          <w:numId w:val="15"/>
        </w:numPr>
        <w:rPr>
          <w:rFonts w:ascii="Garamond" w:hAnsi="Garamond"/>
          <w:i/>
          <w:lang w:val="en-AU"/>
        </w:rPr>
      </w:pPr>
      <w:r w:rsidRPr="002553FC">
        <w:rPr>
          <w:rFonts w:ascii="Garamond" w:hAnsi="Garamond"/>
          <w:i/>
          <w:lang w:val="en-AU"/>
        </w:rPr>
        <w:t xml:space="preserve">Interventions to Prevent </w:t>
      </w:r>
      <w:r w:rsidRPr="002553FC">
        <w:rPr>
          <w:rFonts w:ascii="Garamond" w:hAnsi="Garamond"/>
          <w:b/>
          <w:i/>
          <w:lang w:val="en-AU"/>
        </w:rPr>
        <w:t>Age-Related Cognitive Decline, Mild Cognitive Impairment</w:t>
      </w:r>
      <w:r w:rsidRPr="002553FC">
        <w:rPr>
          <w:rFonts w:ascii="Garamond" w:hAnsi="Garamond"/>
          <w:i/>
          <w:lang w:val="en-AU"/>
        </w:rPr>
        <w:t xml:space="preserve">, and Clinical </w:t>
      </w:r>
      <w:r w:rsidRPr="002553FC">
        <w:rPr>
          <w:rFonts w:ascii="Garamond" w:hAnsi="Garamond"/>
          <w:b/>
          <w:i/>
          <w:lang w:val="en-AU"/>
        </w:rPr>
        <w:t>Alzheimer's-Type Dementia</w:t>
      </w:r>
      <w:r>
        <w:rPr>
          <w:rFonts w:ascii="Garamond" w:hAnsi="Garamond"/>
          <w:i/>
          <w:lang w:val="en-AU"/>
        </w:rPr>
        <w:t xml:space="preserve"> </w:t>
      </w:r>
      <w:hyperlink r:id="rId27" w:history="1">
        <w:r w:rsidRPr="0036442F">
          <w:rPr>
            <w:rStyle w:val="Hyperlink"/>
            <w:rFonts w:ascii="Garamond" w:hAnsi="Garamond"/>
            <w:lang w:val="en-AU"/>
          </w:rPr>
          <w:t>https://www.effectivehealthcare.ahrq.gov/search-for-guides-reviews-and-reports/?pageaction=displayproduct&amp;productID=2456</w:t>
        </w:r>
      </w:hyperlink>
    </w:p>
    <w:p w:rsidR="002F1DFF" w:rsidRDefault="002F1DFF" w:rsidP="00B47E3A">
      <w:pPr>
        <w:keepLines/>
        <w:rPr>
          <w:rFonts w:ascii="Garamond" w:hAnsi="Garamond"/>
          <w:lang w:val="en-AU"/>
        </w:rPr>
      </w:pPr>
    </w:p>
    <w:p w:rsidR="007E63D5" w:rsidRPr="007A47A8" w:rsidRDefault="007E63D5" w:rsidP="007E63D5">
      <w:pPr>
        <w:keepNext/>
        <w:keepLines/>
        <w:rPr>
          <w:rFonts w:ascii="Garamond" w:hAnsi="Garamond"/>
          <w:i/>
          <w:lang w:val="en-AU"/>
        </w:rPr>
      </w:pPr>
      <w:r w:rsidRPr="007A47A8">
        <w:rPr>
          <w:rFonts w:ascii="Garamond" w:hAnsi="Garamond"/>
          <w:i/>
          <w:lang w:val="en-AU"/>
        </w:rPr>
        <w:lastRenderedPageBreak/>
        <w:t>[UK] National Institute for Health Research</w:t>
      </w:r>
    </w:p>
    <w:p w:rsidR="007E63D5" w:rsidRPr="007A47A8" w:rsidRDefault="00697146" w:rsidP="007E63D5">
      <w:pPr>
        <w:keepNext/>
        <w:keepLines/>
        <w:rPr>
          <w:rStyle w:val="Hyperlink"/>
          <w:rFonts w:ascii="Garamond" w:hAnsi="Garamond"/>
          <w:lang w:val="en-AU"/>
        </w:rPr>
      </w:pPr>
      <w:hyperlink r:id="rId28" w:history="1">
        <w:r w:rsidR="007E63D5" w:rsidRPr="007A47A8">
          <w:rPr>
            <w:rStyle w:val="Hyperlink"/>
            <w:rFonts w:ascii="Garamond" w:hAnsi="Garamond"/>
            <w:lang w:val="en-AU"/>
          </w:rPr>
          <w:t>https://discover.dc.nihr.ac.uk/portal/home</w:t>
        </w:r>
      </w:hyperlink>
    </w:p>
    <w:p w:rsidR="007E63D5" w:rsidRPr="007A47A8" w:rsidRDefault="007E63D5" w:rsidP="007E63D5">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2970BA" w:rsidRPr="002970BA" w:rsidRDefault="002970BA" w:rsidP="002970BA">
      <w:pPr>
        <w:pStyle w:val="ListParagraph"/>
        <w:keepNext/>
        <w:keepLines/>
        <w:numPr>
          <w:ilvl w:val="0"/>
          <w:numId w:val="32"/>
        </w:numPr>
        <w:rPr>
          <w:rFonts w:ascii="Garamond" w:hAnsi="Garamond"/>
          <w:lang w:val="en-AU"/>
        </w:rPr>
      </w:pPr>
      <w:r w:rsidRPr="002970BA">
        <w:rPr>
          <w:rFonts w:ascii="Garamond" w:hAnsi="Garamond"/>
          <w:lang w:val="en-AU"/>
        </w:rPr>
        <w:t xml:space="preserve">Personalised letters and a “taster session” help double </w:t>
      </w:r>
      <w:r w:rsidRPr="002970BA">
        <w:rPr>
          <w:rFonts w:ascii="Garamond" w:hAnsi="Garamond"/>
          <w:b/>
          <w:lang w:val="en-AU"/>
        </w:rPr>
        <w:t>attendance</w:t>
      </w:r>
      <w:r w:rsidRPr="002970BA">
        <w:rPr>
          <w:rFonts w:ascii="Garamond" w:hAnsi="Garamond"/>
          <w:lang w:val="en-AU"/>
        </w:rPr>
        <w:t xml:space="preserve"> at NHS </w:t>
      </w:r>
      <w:r w:rsidRPr="002970BA">
        <w:rPr>
          <w:rFonts w:ascii="Garamond" w:hAnsi="Garamond"/>
          <w:b/>
          <w:lang w:val="en-AU"/>
        </w:rPr>
        <w:t>stop smoking services</w:t>
      </w:r>
    </w:p>
    <w:p w:rsidR="002970BA" w:rsidRPr="002970BA" w:rsidRDefault="002970BA" w:rsidP="002970BA">
      <w:pPr>
        <w:pStyle w:val="ListParagraph"/>
        <w:keepNext/>
        <w:keepLines/>
        <w:numPr>
          <w:ilvl w:val="0"/>
          <w:numId w:val="32"/>
        </w:numPr>
        <w:rPr>
          <w:rFonts w:ascii="Garamond" w:hAnsi="Garamond"/>
          <w:lang w:val="en-AU"/>
        </w:rPr>
      </w:pPr>
      <w:r w:rsidRPr="002970BA">
        <w:rPr>
          <w:rFonts w:ascii="Garamond" w:hAnsi="Garamond"/>
          <w:lang w:val="en-AU"/>
        </w:rPr>
        <w:t xml:space="preserve">A </w:t>
      </w:r>
      <w:r w:rsidRPr="002970BA">
        <w:rPr>
          <w:rFonts w:ascii="Garamond" w:hAnsi="Garamond"/>
          <w:b/>
          <w:lang w:val="en-AU"/>
        </w:rPr>
        <w:t>group weight loss programme</w:t>
      </w:r>
      <w:r w:rsidRPr="002970BA">
        <w:rPr>
          <w:rFonts w:ascii="Garamond" w:hAnsi="Garamond"/>
          <w:lang w:val="en-AU"/>
        </w:rPr>
        <w:t xml:space="preserve"> shows promise compared with usual approach </w:t>
      </w:r>
    </w:p>
    <w:p w:rsidR="002970BA" w:rsidRPr="002970BA" w:rsidRDefault="002970BA" w:rsidP="002970BA">
      <w:pPr>
        <w:pStyle w:val="ListParagraph"/>
        <w:keepNext/>
        <w:keepLines/>
        <w:numPr>
          <w:ilvl w:val="0"/>
          <w:numId w:val="32"/>
        </w:numPr>
        <w:rPr>
          <w:rFonts w:ascii="Garamond" w:hAnsi="Garamond"/>
          <w:lang w:val="en-AU"/>
        </w:rPr>
      </w:pPr>
      <w:r w:rsidRPr="002970BA">
        <w:rPr>
          <w:rFonts w:ascii="Garamond" w:hAnsi="Garamond"/>
          <w:b/>
          <w:lang w:val="en-AU"/>
        </w:rPr>
        <w:t xml:space="preserve">Nurses </w:t>
      </w:r>
      <w:r w:rsidRPr="002970BA">
        <w:rPr>
          <w:rFonts w:ascii="Garamond" w:hAnsi="Garamond"/>
          <w:lang w:val="en-AU"/>
        </w:rPr>
        <w:t>and</w:t>
      </w:r>
      <w:r w:rsidRPr="002970BA">
        <w:rPr>
          <w:rFonts w:ascii="Garamond" w:hAnsi="Garamond"/>
          <w:b/>
          <w:lang w:val="en-AU"/>
        </w:rPr>
        <w:t xml:space="preserve"> pharmacists </w:t>
      </w:r>
      <w:r w:rsidRPr="002970BA">
        <w:rPr>
          <w:rFonts w:ascii="Garamond" w:hAnsi="Garamond"/>
          <w:lang w:val="en-AU"/>
        </w:rPr>
        <w:t xml:space="preserve">can </w:t>
      </w:r>
      <w:r w:rsidRPr="002970BA">
        <w:rPr>
          <w:rFonts w:ascii="Garamond" w:hAnsi="Garamond"/>
          <w:b/>
          <w:lang w:val="en-AU"/>
        </w:rPr>
        <w:t>prescribe</w:t>
      </w:r>
      <w:r w:rsidRPr="002970BA">
        <w:rPr>
          <w:rFonts w:ascii="Garamond" w:hAnsi="Garamond"/>
          <w:lang w:val="en-AU"/>
        </w:rPr>
        <w:t xml:space="preserve"> as effectively as doctors </w:t>
      </w:r>
    </w:p>
    <w:p w:rsidR="002970BA" w:rsidRPr="002970BA" w:rsidRDefault="002970BA" w:rsidP="002970BA">
      <w:pPr>
        <w:pStyle w:val="ListParagraph"/>
        <w:keepNext/>
        <w:keepLines/>
        <w:numPr>
          <w:ilvl w:val="0"/>
          <w:numId w:val="32"/>
        </w:numPr>
        <w:rPr>
          <w:rFonts w:ascii="Garamond" w:hAnsi="Garamond"/>
          <w:lang w:val="en-AU"/>
        </w:rPr>
      </w:pPr>
      <w:r w:rsidRPr="002970BA">
        <w:rPr>
          <w:rFonts w:ascii="Garamond" w:hAnsi="Garamond"/>
          <w:lang w:val="en-AU"/>
        </w:rPr>
        <w:t xml:space="preserve">Research highlights the challenges of </w:t>
      </w:r>
      <w:r w:rsidRPr="002970BA">
        <w:rPr>
          <w:rFonts w:ascii="Garamond" w:hAnsi="Garamond"/>
          <w:b/>
          <w:lang w:val="en-AU"/>
        </w:rPr>
        <w:t>preventing diabetes</w:t>
      </w:r>
      <w:r w:rsidRPr="002970BA">
        <w:rPr>
          <w:rFonts w:ascii="Garamond" w:hAnsi="Garamond"/>
          <w:lang w:val="en-AU"/>
        </w:rPr>
        <w:t xml:space="preserve"> with </w:t>
      </w:r>
      <w:r w:rsidRPr="002970BA">
        <w:rPr>
          <w:rFonts w:ascii="Garamond" w:hAnsi="Garamond"/>
          <w:b/>
          <w:lang w:val="en-AU"/>
        </w:rPr>
        <w:t>group education sessions</w:t>
      </w:r>
      <w:r w:rsidRPr="002970BA">
        <w:rPr>
          <w:rFonts w:ascii="Garamond" w:hAnsi="Garamond"/>
          <w:lang w:val="en-AU"/>
        </w:rPr>
        <w:t xml:space="preserve"> </w:t>
      </w:r>
    </w:p>
    <w:p w:rsidR="002970BA" w:rsidRPr="002970BA" w:rsidRDefault="002970BA" w:rsidP="002970BA">
      <w:pPr>
        <w:pStyle w:val="ListParagraph"/>
        <w:keepNext/>
        <w:keepLines/>
        <w:numPr>
          <w:ilvl w:val="0"/>
          <w:numId w:val="32"/>
        </w:numPr>
        <w:rPr>
          <w:rFonts w:ascii="Garamond" w:hAnsi="Garamond"/>
          <w:lang w:val="en-AU"/>
        </w:rPr>
      </w:pPr>
      <w:r w:rsidRPr="002970BA">
        <w:rPr>
          <w:rFonts w:ascii="Garamond" w:hAnsi="Garamond"/>
          <w:lang w:val="en-AU"/>
        </w:rPr>
        <w:t xml:space="preserve">GP letter to improve </w:t>
      </w:r>
      <w:r w:rsidRPr="002970BA">
        <w:rPr>
          <w:rFonts w:ascii="Garamond" w:hAnsi="Garamond"/>
          <w:b/>
          <w:lang w:val="en-AU"/>
        </w:rPr>
        <w:t>medication</w:t>
      </w:r>
      <w:r w:rsidRPr="002970BA">
        <w:rPr>
          <w:rFonts w:ascii="Garamond" w:hAnsi="Garamond"/>
          <w:lang w:val="en-AU"/>
        </w:rPr>
        <w:t xml:space="preserve"> adherence did not reduce unplanne</w:t>
      </w:r>
      <w:r>
        <w:rPr>
          <w:rFonts w:ascii="Garamond" w:hAnsi="Garamond"/>
          <w:lang w:val="en-AU"/>
        </w:rPr>
        <w:t xml:space="preserve">d care for </w:t>
      </w:r>
      <w:r w:rsidRPr="002970BA">
        <w:rPr>
          <w:rFonts w:ascii="Garamond" w:hAnsi="Garamond"/>
          <w:b/>
          <w:lang w:val="en-AU"/>
        </w:rPr>
        <w:t>children with asthma</w:t>
      </w:r>
    </w:p>
    <w:p w:rsidR="007E63D5" w:rsidRDefault="002970BA" w:rsidP="002970BA">
      <w:pPr>
        <w:pStyle w:val="ListParagraph"/>
        <w:keepNext/>
        <w:keepLines/>
        <w:numPr>
          <w:ilvl w:val="0"/>
          <w:numId w:val="32"/>
        </w:numPr>
        <w:rPr>
          <w:rFonts w:ascii="Garamond" w:hAnsi="Garamond"/>
          <w:lang w:val="en-AU"/>
        </w:rPr>
      </w:pPr>
      <w:r w:rsidRPr="002970BA">
        <w:rPr>
          <w:rFonts w:ascii="Garamond" w:hAnsi="Garamond"/>
          <w:b/>
          <w:lang w:val="en-AU"/>
        </w:rPr>
        <w:t>MRI scan</w:t>
      </w:r>
      <w:r w:rsidRPr="002970BA">
        <w:rPr>
          <w:rFonts w:ascii="Garamond" w:hAnsi="Garamond"/>
          <w:lang w:val="en-AU"/>
        </w:rPr>
        <w:t xml:space="preserve"> before biopsy could detect more </w:t>
      </w:r>
      <w:r w:rsidRPr="002970BA">
        <w:rPr>
          <w:rFonts w:ascii="Garamond" w:hAnsi="Garamond"/>
          <w:b/>
          <w:lang w:val="en-AU"/>
        </w:rPr>
        <w:t>prostate cancer</w:t>
      </w:r>
    </w:p>
    <w:p w:rsidR="007E63D5" w:rsidRDefault="007E63D5" w:rsidP="00B47E3A">
      <w:pPr>
        <w:keepLines/>
        <w:rPr>
          <w:rFonts w:ascii="Garamond" w:hAnsi="Garamond"/>
          <w:lang w:val="en-AU"/>
        </w:rPr>
      </w:pPr>
    </w:p>
    <w:p w:rsidR="002970BA" w:rsidRPr="00A45262" w:rsidRDefault="002970BA" w:rsidP="00B47E3A">
      <w:pPr>
        <w:keepLines/>
        <w:rPr>
          <w:rFonts w:ascii="Garamond" w:hAnsi="Garamond"/>
          <w:lang w:val="en-AU"/>
        </w:rPr>
      </w:pPr>
    </w:p>
    <w:p w:rsidR="009A42FB" w:rsidRDefault="009A42FB" w:rsidP="00B02F6E">
      <w:pPr>
        <w:keepNext/>
        <w:pBdr>
          <w:top w:val="single" w:sz="4" w:space="1" w:color="auto"/>
        </w:pBdr>
        <w:rPr>
          <w:rFonts w:ascii="Garamond" w:hAnsi="Garamond"/>
          <w:i/>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29"/>
      <w:footerReference w:type="default" r:id="rId3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97146">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F9420C">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97146">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F9420C">
      <w:rPr>
        <w:rFonts w:ascii="Garamond" w:hAnsi="Garamon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CA11C9"/>
    <w:multiLevelType w:val="hybridMultilevel"/>
    <w:tmpl w:val="09428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211FBD"/>
    <w:multiLevelType w:val="hybridMultilevel"/>
    <w:tmpl w:val="B6DC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F43C11"/>
    <w:multiLevelType w:val="hybridMultilevel"/>
    <w:tmpl w:val="43C8D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CE0462"/>
    <w:multiLevelType w:val="hybridMultilevel"/>
    <w:tmpl w:val="C3A8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9C1E68"/>
    <w:multiLevelType w:val="hybridMultilevel"/>
    <w:tmpl w:val="4052E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0C6673"/>
    <w:multiLevelType w:val="hybridMultilevel"/>
    <w:tmpl w:val="5282B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A548D9"/>
    <w:multiLevelType w:val="hybridMultilevel"/>
    <w:tmpl w:val="D7EC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833B7F"/>
    <w:multiLevelType w:val="hybridMultilevel"/>
    <w:tmpl w:val="48DC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C60D69"/>
    <w:multiLevelType w:val="hybridMultilevel"/>
    <w:tmpl w:val="6324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2"/>
  </w:num>
  <w:num w:numId="15">
    <w:abstractNumId w:val="40"/>
  </w:num>
  <w:num w:numId="16">
    <w:abstractNumId w:val="31"/>
  </w:num>
  <w:num w:numId="17">
    <w:abstractNumId w:val="16"/>
  </w:num>
  <w:num w:numId="18">
    <w:abstractNumId w:val="10"/>
  </w:num>
  <w:num w:numId="19">
    <w:abstractNumId w:val="39"/>
  </w:num>
  <w:num w:numId="20">
    <w:abstractNumId w:val="11"/>
  </w:num>
  <w:num w:numId="21">
    <w:abstractNumId w:val="29"/>
  </w:num>
  <w:num w:numId="22">
    <w:abstractNumId w:val="32"/>
  </w:num>
  <w:num w:numId="23">
    <w:abstractNumId w:val="13"/>
  </w:num>
  <w:num w:numId="24">
    <w:abstractNumId w:val="26"/>
  </w:num>
  <w:num w:numId="25">
    <w:abstractNumId w:val="20"/>
  </w:num>
  <w:num w:numId="26">
    <w:abstractNumId w:val="27"/>
  </w:num>
  <w:num w:numId="27">
    <w:abstractNumId w:val="12"/>
  </w:num>
  <w:num w:numId="28">
    <w:abstractNumId w:val="19"/>
  </w:num>
  <w:num w:numId="29">
    <w:abstractNumId w:val="24"/>
  </w:num>
  <w:num w:numId="30">
    <w:abstractNumId w:val="23"/>
  </w:num>
  <w:num w:numId="31">
    <w:abstractNumId w:val="35"/>
  </w:num>
  <w:num w:numId="32">
    <w:abstractNumId w:val="18"/>
  </w:num>
  <w:num w:numId="33">
    <w:abstractNumId w:val="34"/>
  </w:num>
  <w:num w:numId="34">
    <w:abstractNumId w:val="25"/>
  </w:num>
  <w:num w:numId="35">
    <w:abstractNumId w:val="28"/>
  </w:num>
  <w:num w:numId="36">
    <w:abstractNumId w:val="17"/>
  </w:num>
  <w:num w:numId="37">
    <w:abstractNumId w:val="14"/>
  </w:num>
  <w:num w:numId="38">
    <w:abstractNumId w:val="15"/>
  </w:num>
  <w:num w:numId="39">
    <w:abstractNumId w:val="37"/>
  </w:num>
  <w:num w:numId="40">
    <w:abstractNumId w:val="38"/>
  </w:num>
  <w:num w:numId="41">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31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3FC"/>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7D"/>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46"/>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74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47A19"/>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B1A"/>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A1A"/>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2DC"/>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574"/>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C45"/>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861456">
      <w:bodyDiv w:val="1"/>
      <w:marLeft w:val="0"/>
      <w:marRight w:val="0"/>
      <w:marTop w:val="0"/>
      <w:marBottom w:val="0"/>
      <w:divBdr>
        <w:top w:val="none" w:sz="0" w:space="0" w:color="auto"/>
        <w:left w:val="none" w:sz="0" w:space="0" w:color="auto"/>
        <w:bottom w:val="none" w:sz="0" w:space="0" w:color="auto"/>
        <w:right w:val="none" w:sz="0" w:space="0" w:color="auto"/>
      </w:divBdr>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qs-2016-006339" TargetMode="External"/><Relationship Id="rId26" Type="http://schemas.openxmlformats.org/officeDocument/2006/relationships/hyperlink" Target="https://www.effectivehealthcare.ahrq.gov/search-for-guides-reviews-and-reports/?pageaction=displayproduct&amp;productID=2436" TargetMode="External"/><Relationship Id="rId3" Type="http://schemas.openxmlformats.org/officeDocument/2006/relationships/styles" Target="styles.xml"/><Relationship Id="rId21" Type="http://schemas.openxmlformats.org/officeDocument/2006/relationships/hyperlink" Target="https://academic.oup.com/intqhc/advance-access?papetoc"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clinical-care-standards/acute-stroke-clinical-care-standard/" TargetMode="External"/><Relationship Id="rId25" Type="http://schemas.openxmlformats.org/officeDocument/2006/relationships/hyperlink" Target="http://effectivehealthcare.ahrq.gov/" TargetMode="External"/><Relationship Id="rId2" Type="http://schemas.openxmlformats.org/officeDocument/2006/relationships/numbering" Target="numbering.xml"/><Relationship Id="rId16" Type="http://schemas.openxmlformats.org/officeDocument/2006/relationships/hyperlink" Target="http://www.dc.nihr.ac.uk/themed-reviews/roads-to-recovery.htm" TargetMode="External"/><Relationship Id="rId20" Type="http://schemas.openxmlformats.org/officeDocument/2006/relationships/hyperlink" Target="http://qualitysafety.bmj.com/content/early/rec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nice.org.uk/guidance/ng6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nice.org.uk" TargetMode="External"/><Relationship Id="rId28" Type="http://schemas.openxmlformats.org/officeDocument/2006/relationships/hyperlink" Target="https://discover.dc.nihr.ac.uk/portal/home"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commonwealthfund.org/publications/case-studies/2017/mar/caremor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vifmcommuniques.org/?p=4879" TargetMode="External"/><Relationship Id="rId27" Type="http://schemas.openxmlformats.org/officeDocument/2006/relationships/hyperlink" Target="https://www.effectivehealthcare.ahrq.gov/search-for-guides-reviews-and-reports/?pageaction=displayproduct&amp;productID=2456"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7F19-51F7-41AB-9C66-A94BADB0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10392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2017-03-10T02:36:00Z</cp:lastPrinted>
  <dcterms:created xsi:type="dcterms:W3CDTF">2017-03-31T04:51:00Z</dcterms:created>
  <dcterms:modified xsi:type="dcterms:W3CDTF">2017-03-31T04:51:00Z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