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3F68DC">
        <w:rPr>
          <w:rFonts w:ascii="Garamond" w:hAnsi="Garamond"/>
          <w:color w:val="000000"/>
          <w:lang w:val="en-AU"/>
        </w:rPr>
        <w:t>319</w:t>
      </w:r>
    </w:p>
    <w:p w:rsidR="00755242" w:rsidRPr="00A45262" w:rsidRDefault="003F68DC" w:rsidP="00B160EF">
      <w:pPr>
        <w:rPr>
          <w:rFonts w:ascii="Garamond" w:hAnsi="Garamond"/>
          <w:lang w:val="en-AU"/>
        </w:rPr>
      </w:pPr>
      <w:r>
        <w:rPr>
          <w:rFonts w:ascii="Garamond" w:hAnsi="Garamond"/>
          <w:lang w:val="en-AU"/>
        </w:rPr>
        <w:t>Tuesday 18</w:t>
      </w:r>
      <w:r w:rsidR="00F9420C">
        <w:rPr>
          <w:rFonts w:ascii="Garamond" w:hAnsi="Garamond"/>
          <w:lang w:val="en-AU"/>
        </w:rPr>
        <w:t xml:space="preserve"> April </w:t>
      </w:r>
      <w:r w:rsidR="00F74A58" w:rsidRPr="00A45262">
        <w:rPr>
          <w:rFonts w:ascii="Garamond" w:hAnsi="Garamond"/>
          <w:lang w:val="en-AU"/>
        </w:rPr>
        <w:t>2017</w:t>
      </w:r>
    </w:p>
    <w:p w:rsidR="00566895" w:rsidRDefault="00566895" w:rsidP="00B160EF">
      <w:pPr>
        <w:rPr>
          <w:rFonts w:ascii="Garamond" w:hAnsi="Garamond"/>
          <w:lang w:val="en-AU"/>
        </w:rPr>
      </w:pPr>
    </w:p>
    <w:p w:rsidR="003F68DC" w:rsidRPr="003F68DC" w:rsidRDefault="003F68DC" w:rsidP="00B160EF">
      <w:pPr>
        <w:rPr>
          <w:rFonts w:ascii="Garamond" w:hAnsi="Garamond"/>
          <w:color w:val="F79646" w:themeColor="accent6"/>
          <w:lang w:val="en-AU"/>
        </w:rPr>
      </w:pPr>
      <w:r w:rsidRPr="003F68DC">
        <w:rPr>
          <w:rFonts w:ascii="Garamond" w:hAnsi="Garamond"/>
          <w:color w:val="F79646" w:themeColor="accent6"/>
          <w:lang w:val="en-AU"/>
        </w:rPr>
        <w:t>On the Radar is taking a short break. The next issue should be available on 8 May 2017.</w:t>
      </w:r>
    </w:p>
    <w:p w:rsidR="003F68DC" w:rsidRPr="00A45262" w:rsidRDefault="003F68DC"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Pr="00A45262" w:rsidRDefault="0059425E" w:rsidP="00691DE3">
      <w:pPr>
        <w:keepLines/>
        <w:autoSpaceDE w:val="0"/>
        <w:autoSpaceDN w:val="0"/>
        <w:adjustRightInd w:val="0"/>
        <w:rPr>
          <w:rFonts w:ascii="Garamond" w:hAnsi="Garamond"/>
          <w:lang w:val="en-AU"/>
        </w:rPr>
      </w:pPr>
    </w:p>
    <w:p w:rsidR="000C6A11" w:rsidRPr="00A45262" w:rsidRDefault="000C6A11" w:rsidP="000C6A11">
      <w:pPr>
        <w:rPr>
          <w:rFonts w:ascii="Garamond" w:hAnsi="Garamond"/>
          <w:lang w:val="en-AU" w:eastAsia="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Pr="00A45262" w:rsidRDefault="001137F8" w:rsidP="001137F8">
      <w:pPr>
        <w:keepNext/>
        <w:rPr>
          <w:rFonts w:ascii="Garamond" w:hAnsi="Garamond"/>
          <w:lang w:val="en-AU"/>
        </w:rPr>
      </w:pPr>
    </w:p>
    <w:p w:rsidR="0011022D" w:rsidRPr="00FE6D48" w:rsidRDefault="0011022D" w:rsidP="0011022D">
      <w:pPr>
        <w:keepNext/>
        <w:rPr>
          <w:rFonts w:ascii="Garamond" w:hAnsi="Garamond"/>
          <w:i/>
          <w:lang w:val="en-AU"/>
        </w:rPr>
      </w:pPr>
      <w:r w:rsidRPr="00FE6D48">
        <w:rPr>
          <w:rFonts w:ascii="Garamond" w:hAnsi="Garamond"/>
          <w:i/>
          <w:lang w:val="en-AU"/>
        </w:rPr>
        <w:t>Barriers and Facilitators of Adverse Event Reporting by Adolescent Patients and Their Families</w:t>
      </w:r>
    </w:p>
    <w:p w:rsidR="0011022D" w:rsidRDefault="0011022D" w:rsidP="0011022D">
      <w:pPr>
        <w:keepNext/>
        <w:rPr>
          <w:rFonts w:ascii="Garamond" w:hAnsi="Garamond"/>
          <w:lang w:val="en-AU"/>
        </w:rPr>
      </w:pPr>
      <w:r w:rsidRPr="00FE6D48">
        <w:rPr>
          <w:rFonts w:ascii="Garamond" w:hAnsi="Garamond"/>
          <w:lang w:val="en-AU"/>
        </w:rPr>
        <w:t>Sawhney PN, Davis LS, Daraiseh NM, Belle L, Walsh KE</w:t>
      </w:r>
    </w:p>
    <w:p w:rsidR="0011022D" w:rsidRPr="00A45262" w:rsidRDefault="0011022D" w:rsidP="0011022D">
      <w:pPr>
        <w:keepNext/>
        <w:rPr>
          <w:rFonts w:ascii="Garamond" w:hAnsi="Garamond"/>
          <w:lang w:val="en-AU"/>
        </w:rPr>
      </w:pPr>
      <w:r w:rsidRPr="00FE6D48">
        <w:rPr>
          <w:rFonts w:ascii="Garamond" w:hAnsi="Garamond"/>
          <w:lang w:val="en-AU"/>
        </w:rPr>
        <w:t>Journal of Patient Safety. 2017</w:t>
      </w:r>
      <w:r>
        <w:rPr>
          <w:rFonts w:ascii="Garamond" w:hAnsi="Garamond"/>
          <w:lang w:val="en-AU"/>
        </w:rPr>
        <w:t xml:space="preserve"> [epub]</w:t>
      </w:r>
      <w:r w:rsidRPr="00FE6D4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1022D" w:rsidRPr="00A45262" w:rsidTr="00FC035E">
        <w:tc>
          <w:tcPr>
            <w:tcW w:w="1080" w:type="dxa"/>
            <w:tcBorders>
              <w:top w:val="single" w:sz="4" w:space="0" w:color="auto"/>
              <w:left w:val="single" w:sz="4" w:space="0" w:color="auto"/>
              <w:bottom w:val="single" w:sz="4" w:space="0" w:color="auto"/>
              <w:right w:val="single" w:sz="4" w:space="0" w:color="auto"/>
            </w:tcBorders>
            <w:vAlign w:val="center"/>
          </w:tcPr>
          <w:p w:rsidR="0011022D" w:rsidRPr="00A45262" w:rsidRDefault="0011022D" w:rsidP="00FC035E">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1022D" w:rsidRPr="00A45262" w:rsidRDefault="0011022D" w:rsidP="00FC035E">
            <w:pPr>
              <w:rPr>
                <w:rStyle w:val="Hyperlink"/>
                <w:rFonts w:ascii="Garamond" w:hAnsi="Garamond"/>
                <w:color w:val="auto"/>
                <w:u w:val="none"/>
                <w:lang w:val="en-AU"/>
              </w:rPr>
            </w:pPr>
            <w:hyperlink r:id="rId16" w:history="1">
              <w:r w:rsidRPr="000379EF">
                <w:rPr>
                  <w:rStyle w:val="Hyperlink"/>
                  <w:rFonts w:ascii="Garamond" w:hAnsi="Garamond"/>
                  <w:lang w:val="en-AU"/>
                </w:rPr>
                <w:t>http://dx.doi.org/10.1097/PTS.0000000000000290</w:t>
              </w:r>
            </w:hyperlink>
          </w:p>
        </w:tc>
      </w:tr>
      <w:tr w:rsidR="0011022D" w:rsidRPr="00A45262" w:rsidTr="00FC035E">
        <w:tc>
          <w:tcPr>
            <w:tcW w:w="1080" w:type="dxa"/>
            <w:tcBorders>
              <w:top w:val="single" w:sz="4" w:space="0" w:color="auto"/>
              <w:left w:val="single" w:sz="4" w:space="0" w:color="auto"/>
              <w:bottom w:val="single" w:sz="4" w:space="0" w:color="auto"/>
              <w:right w:val="single" w:sz="4" w:space="0" w:color="auto"/>
            </w:tcBorders>
            <w:vAlign w:val="center"/>
          </w:tcPr>
          <w:p w:rsidR="0011022D" w:rsidRPr="00A45262" w:rsidRDefault="0011022D" w:rsidP="00FC035E">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022D" w:rsidRPr="00A45262" w:rsidRDefault="0011022D" w:rsidP="00FC035E">
            <w:pPr>
              <w:rPr>
                <w:rFonts w:ascii="Garamond" w:hAnsi="Garamond"/>
                <w:lang w:val="en-AU"/>
              </w:rPr>
            </w:pPr>
            <w:r>
              <w:rPr>
                <w:rFonts w:ascii="Garamond" w:hAnsi="Garamond"/>
                <w:lang w:val="en-AU"/>
              </w:rPr>
              <w:t xml:space="preserve">A number of recent issues of </w:t>
            </w:r>
            <w:r w:rsidRPr="00FE6D48">
              <w:rPr>
                <w:rFonts w:ascii="Garamond" w:hAnsi="Garamond"/>
                <w:i/>
                <w:lang w:val="en-AU"/>
              </w:rPr>
              <w:t>On the Radar</w:t>
            </w:r>
            <w:r>
              <w:rPr>
                <w:rFonts w:ascii="Garamond" w:hAnsi="Garamond"/>
                <w:lang w:val="en-AU"/>
              </w:rPr>
              <w:t xml:space="preserve"> have included items on the role of patients and carers in monitoring and reporting on quality and safety issues, including adverse events. This paper adds to that literature in the area of adolescent patients. The paper reports on a </w:t>
            </w:r>
            <w:r w:rsidRPr="00FE6D48">
              <w:rPr>
                <w:rFonts w:ascii="Garamond" w:hAnsi="Garamond"/>
                <w:lang w:val="en-AU"/>
              </w:rPr>
              <w:t xml:space="preserve">qualitative study </w:t>
            </w:r>
            <w:r>
              <w:rPr>
                <w:rFonts w:ascii="Garamond" w:hAnsi="Garamond"/>
                <w:lang w:val="en-AU"/>
              </w:rPr>
              <w:t xml:space="preserve">in a single paediatric hospital into the </w:t>
            </w:r>
            <w:r w:rsidRPr="00FE6D48">
              <w:rPr>
                <w:rFonts w:ascii="Garamond" w:hAnsi="Garamond"/>
                <w:lang w:val="en-AU"/>
              </w:rPr>
              <w:t xml:space="preserve">perceptions of adolescent patients and their parents about adverse event reporting. </w:t>
            </w:r>
            <w:r>
              <w:rPr>
                <w:rFonts w:ascii="Garamond" w:hAnsi="Garamond"/>
                <w:lang w:val="en-AU"/>
              </w:rPr>
              <w:t>Where there were p</w:t>
            </w:r>
            <w:r w:rsidRPr="00FE6D48">
              <w:rPr>
                <w:rFonts w:ascii="Garamond" w:hAnsi="Garamond"/>
                <w:lang w:val="en-AU"/>
              </w:rPr>
              <w:t>ositive perceptions of care</w:t>
            </w:r>
            <w:r>
              <w:rPr>
                <w:rFonts w:ascii="Garamond" w:hAnsi="Garamond"/>
                <w:lang w:val="en-AU"/>
              </w:rPr>
              <w:t xml:space="preserve">, respondents reported </w:t>
            </w:r>
            <w:r w:rsidRPr="00FE6D48">
              <w:rPr>
                <w:rFonts w:ascii="Garamond" w:hAnsi="Garamond"/>
                <w:lang w:val="en-AU"/>
              </w:rPr>
              <w:t>being more willing to report an adverse event</w:t>
            </w:r>
            <w:r>
              <w:rPr>
                <w:rFonts w:ascii="Garamond" w:hAnsi="Garamond"/>
                <w:lang w:val="en-AU"/>
              </w:rPr>
              <w:t xml:space="preserve">, and, conversely, poor perceptions of the </w:t>
            </w:r>
            <w:r w:rsidRPr="00FE6D48">
              <w:rPr>
                <w:rFonts w:ascii="Garamond" w:hAnsi="Garamond"/>
                <w:lang w:val="en-AU"/>
              </w:rPr>
              <w:t xml:space="preserve">quality of care </w:t>
            </w:r>
            <w:r>
              <w:rPr>
                <w:rFonts w:ascii="Garamond" w:hAnsi="Garamond"/>
                <w:lang w:val="en-AU"/>
              </w:rPr>
              <w:t xml:space="preserve">meant </w:t>
            </w:r>
            <w:r w:rsidRPr="00FE6D48">
              <w:rPr>
                <w:rFonts w:ascii="Garamond" w:hAnsi="Garamond"/>
                <w:lang w:val="en-AU"/>
              </w:rPr>
              <w:t xml:space="preserve">they would be less likely to report. </w:t>
            </w:r>
            <w:r>
              <w:rPr>
                <w:rFonts w:ascii="Garamond" w:hAnsi="Garamond"/>
                <w:lang w:val="en-AU"/>
              </w:rPr>
              <w:t xml:space="preserve">Further, where </w:t>
            </w:r>
            <w:r w:rsidRPr="00FE6D48">
              <w:rPr>
                <w:rFonts w:ascii="Garamond" w:hAnsi="Garamond"/>
                <w:lang w:val="en-AU"/>
              </w:rPr>
              <w:t xml:space="preserve">providers </w:t>
            </w:r>
            <w:r>
              <w:rPr>
                <w:rFonts w:ascii="Garamond" w:hAnsi="Garamond"/>
                <w:lang w:val="en-AU"/>
              </w:rPr>
              <w:t xml:space="preserve">were considered to be </w:t>
            </w:r>
            <w:r w:rsidRPr="00FE6D48">
              <w:rPr>
                <w:rFonts w:ascii="Garamond" w:hAnsi="Garamond"/>
                <w:lang w:val="en-AU"/>
              </w:rPr>
              <w:t xml:space="preserve">good communicators </w:t>
            </w:r>
            <w:r>
              <w:rPr>
                <w:rFonts w:ascii="Garamond" w:hAnsi="Garamond"/>
                <w:lang w:val="en-AU"/>
              </w:rPr>
              <w:t xml:space="preserve">the respondents </w:t>
            </w:r>
            <w:r w:rsidRPr="00FE6D48">
              <w:rPr>
                <w:rFonts w:ascii="Garamond" w:hAnsi="Garamond"/>
                <w:lang w:val="en-AU"/>
              </w:rPr>
              <w:t xml:space="preserve">were more comfortable with reporting. </w:t>
            </w:r>
            <w:r>
              <w:rPr>
                <w:rFonts w:ascii="Garamond" w:hAnsi="Garamond"/>
                <w:lang w:val="en-AU"/>
              </w:rPr>
              <w:t>Offering various means of reporting (</w:t>
            </w:r>
            <w:r w:rsidRPr="00FE6D48">
              <w:rPr>
                <w:rFonts w:ascii="Garamond" w:hAnsi="Garamond"/>
                <w:lang w:val="en-AU"/>
              </w:rPr>
              <w:t>face-to-face meetings, internet-based reporting, telephone calls, mail, and smartphone-enabled reporting</w:t>
            </w:r>
            <w:r>
              <w:rPr>
                <w:rFonts w:ascii="Garamond" w:hAnsi="Garamond"/>
                <w:lang w:val="en-AU"/>
              </w:rPr>
              <w:t>) was regarded positively.</w:t>
            </w:r>
          </w:p>
        </w:tc>
      </w:tr>
    </w:tbl>
    <w:p w:rsidR="0011022D" w:rsidRDefault="0011022D" w:rsidP="0011022D">
      <w:pPr>
        <w:keepNext/>
        <w:rPr>
          <w:rFonts w:ascii="Garamond" w:hAnsi="Garamond"/>
          <w:i/>
          <w:lang w:val="en-AU" w:eastAsia="en-AU"/>
        </w:rPr>
      </w:pPr>
    </w:p>
    <w:p w:rsidR="0011022D" w:rsidRDefault="0011022D" w:rsidP="0011022D">
      <w:pPr>
        <w:keepNext/>
        <w:rPr>
          <w:rFonts w:ascii="Garamond" w:hAnsi="Garamond"/>
          <w:lang w:val="en-AU" w:eastAsia="en-AU"/>
        </w:rPr>
      </w:pPr>
      <w:r w:rsidRPr="00176BDA">
        <w:rPr>
          <w:rFonts w:ascii="Garamond" w:hAnsi="Garamond"/>
          <w:lang w:val="en-AU" w:eastAsia="en-AU"/>
        </w:rPr>
        <w:t xml:space="preserve">For information on the Commission’s work on </w:t>
      </w:r>
      <w:r>
        <w:rPr>
          <w:rFonts w:ascii="Garamond" w:hAnsi="Garamond"/>
          <w:lang w:val="en-AU" w:eastAsia="en-AU"/>
        </w:rPr>
        <w:t xml:space="preserve">patient and consumer centred care, see </w:t>
      </w:r>
      <w:hyperlink r:id="rId17" w:history="1">
        <w:r w:rsidRPr="000379EF">
          <w:rPr>
            <w:rStyle w:val="Hyperlink"/>
            <w:rFonts w:ascii="Garamond" w:hAnsi="Garamond"/>
            <w:lang w:val="en-AU" w:eastAsia="en-AU"/>
          </w:rPr>
          <w:t>https://www.safetyandquality.gov.au/our-work/patient-and-consumer-centred-care/</w:t>
        </w:r>
      </w:hyperlink>
      <w:r>
        <w:rPr>
          <w:rFonts w:ascii="Garamond" w:hAnsi="Garamond"/>
          <w:lang w:val="en-AU" w:eastAsia="en-AU"/>
        </w:rPr>
        <w:t xml:space="preserve"> </w:t>
      </w:r>
    </w:p>
    <w:p w:rsidR="0011022D" w:rsidRDefault="0011022D" w:rsidP="0011022D">
      <w:pPr>
        <w:keepNext/>
        <w:rPr>
          <w:rFonts w:ascii="Garamond" w:hAnsi="Garamond"/>
          <w:i/>
          <w:lang w:val="en-AU" w:eastAsia="en-AU"/>
        </w:rPr>
      </w:pPr>
    </w:p>
    <w:p w:rsidR="00F9420C" w:rsidRPr="00FE6D48" w:rsidRDefault="00FE6D48" w:rsidP="00F9420C">
      <w:pPr>
        <w:keepNext/>
        <w:rPr>
          <w:rFonts w:ascii="Garamond" w:hAnsi="Garamond"/>
          <w:i/>
          <w:lang w:val="en-AU"/>
        </w:rPr>
      </w:pPr>
      <w:r w:rsidRPr="00FE6D48">
        <w:rPr>
          <w:rFonts w:ascii="Garamond" w:hAnsi="Garamond"/>
          <w:i/>
          <w:lang w:val="en-AU"/>
        </w:rPr>
        <w:t>Building a high-reliability organization: one system's patient safety journey</w:t>
      </w:r>
    </w:p>
    <w:p w:rsidR="00FE6D48" w:rsidRDefault="00FE6D48" w:rsidP="00F9420C">
      <w:pPr>
        <w:keepNext/>
        <w:rPr>
          <w:rFonts w:ascii="Garamond" w:hAnsi="Garamond"/>
          <w:lang w:val="en-AU"/>
        </w:rPr>
      </w:pPr>
      <w:r w:rsidRPr="00FE6D48">
        <w:rPr>
          <w:rFonts w:ascii="Garamond" w:hAnsi="Garamond"/>
          <w:lang w:val="en-AU"/>
        </w:rPr>
        <w:t>Hendrich A, Haydar Z</w:t>
      </w:r>
    </w:p>
    <w:p w:rsidR="00FE6D48" w:rsidRPr="00A45262" w:rsidRDefault="00FE6D48" w:rsidP="00F9420C">
      <w:pPr>
        <w:keepNext/>
        <w:rPr>
          <w:rFonts w:ascii="Garamond" w:hAnsi="Garamond"/>
          <w:lang w:val="en-AU"/>
        </w:rPr>
      </w:pPr>
      <w:r w:rsidRPr="00FE6D48">
        <w:rPr>
          <w:rFonts w:ascii="Garamond" w:hAnsi="Garamond"/>
          <w:lang w:val="en-AU"/>
        </w:rPr>
        <w:t>Journal of Healthcare Management. 2017;62(1):13-7.</w:t>
      </w:r>
    </w:p>
    <w:tbl>
      <w:tblPr>
        <w:tblStyle w:val="TableGrid"/>
        <w:tblW w:w="0" w:type="auto"/>
        <w:tblInd w:w="288" w:type="dxa"/>
        <w:tblLayout w:type="fixed"/>
        <w:tblLook w:val="01E0" w:firstRow="1" w:lastRow="1" w:firstColumn="1" w:lastColumn="1" w:noHBand="0" w:noVBand="0"/>
      </w:tblPr>
      <w:tblGrid>
        <w:gridCol w:w="1080"/>
        <w:gridCol w:w="8280"/>
      </w:tblGrid>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F9420C" w:rsidP="00E1140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E6D48" w:rsidRPr="00A45262" w:rsidRDefault="00AC4BB8" w:rsidP="00FE6D48">
            <w:pPr>
              <w:rPr>
                <w:rStyle w:val="Hyperlink"/>
                <w:rFonts w:ascii="Garamond" w:hAnsi="Garamond"/>
                <w:color w:val="auto"/>
                <w:u w:val="none"/>
                <w:lang w:val="en-AU"/>
              </w:rPr>
            </w:pPr>
            <w:hyperlink r:id="rId18" w:history="1">
              <w:r w:rsidR="00FE6D48" w:rsidRPr="000379EF">
                <w:rPr>
                  <w:rStyle w:val="Hyperlink"/>
                  <w:rFonts w:ascii="Garamond" w:hAnsi="Garamond"/>
                  <w:lang w:val="en-AU"/>
                </w:rPr>
                <w:t>http://journals.lww.com/jhmonline/Citation/2017/01000/Building_a_High_Reliability_Organization__One.4.aspx</w:t>
              </w:r>
            </w:hyperlink>
          </w:p>
        </w:tc>
      </w:tr>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F9420C" w:rsidP="00E1140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420C" w:rsidRPr="00A45262" w:rsidRDefault="00FE6D48" w:rsidP="00FE6D48">
            <w:pPr>
              <w:rPr>
                <w:rFonts w:ascii="Garamond" w:hAnsi="Garamond"/>
                <w:lang w:val="en-AU"/>
              </w:rPr>
            </w:pPr>
            <w:r>
              <w:rPr>
                <w:rFonts w:ascii="Garamond" w:hAnsi="Garamond"/>
                <w:lang w:val="en-AU"/>
              </w:rPr>
              <w:t xml:space="preserve">The concept of a high reliability organisation as a resilient organisation that reliably delivers high quality, safe care appears quite regularly in the literature. This paper describes one US health system’s experience in attempting to become such a high reliability health system. The authors highlight a number of areas to be aware, including having an </w:t>
            </w:r>
            <w:r w:rsidRPr="00FE6D48">
              <w:rPr>
                <w:rFonts w:ascii="Garamond" w:hAnsi="Garamond"/>
                <w:lang w:val="en-AU"/>
              </w:rPr>
              <w:t>awareness of complacency, budget</w:t>
            </w:r>
            <w:r>
              <w:rPr>
                <w:rFonts w:ascii="Garamond" w:hAnsi="Garamond"/>
                <w:lang w:val="en-AU"/>
              </w:rPr>
              <w:t>ary</w:t>
            </w:r>
            <w:r w:rsidRPr="00FE6D48">
              <w:rPr>
                <w:rFonts w:ascii="Garamond" w:hAnsi="Garamond"/>
                <w:lang w:val="en-AU"/>
              </w:rPr>
              <w:t xml:space="preserve"> </w:t>
            </w:r>
            <w:r>
              <w:rPr>
                <w:rFonts w:ascii="Garamond" w:hAnsi="Garamond"/>
                <w:lang w:val="en-AU"/>
              </w:rPr>
              <w:t>implications</w:t>
            </w:r>
            <w:r w:rsidRPr="00FE6D48">
              <w:rPr>
                <w:rFonts w:ascii="Garamond" w:hAnsi="Garamond"/>
                <w:lang w:val="en-AU"/>
              </w:rPr>
              <w:t xml:space="preserve">, and </w:t>
            </w:r>
            <w:r>
              <w:rPr>
                <w:rFonts w:ascii="Garamond" w:hAnsi="Garamond"/>
                <w:lang w:val="en-AU"/>
              </w:rPr>
              <w:t xml:space="preserve">the importance of </w:t>
            </w:r>
            <w:r w:rsidRPr="00FE6D48">
              <w:rPr>
                <w:rFonts w:ascii="Garamond" w:hAnsi="Garamond"/>
                <w:lang w:val="en-AU"/>
              </w:rPr>
              <w:t>disclosure</w:t>
            </w:r>
            <w:r>
              <w:rPr>
                <w:rFonts w:ascii="Garamond" w:hAnsi="Garamond"/>
                <w:lang w:val="en-AU"/>
              </w:rPr>
              <w:t xml:space="preserve"> and transparency.</w:t>
            </w:r>
          </w:p>
        </w:tc>
      </w:tr>
    </w:tbl>
    <w:p w:rsidR="00F9420C" w:rsidRDefault="00F9420C" w:rsidP="00F9420C">
      <w:pPr>
        <w:keepNext/>
        <w:rPr>
          <w:rFonts w:ascii="Garamond" w:hAnsi="Garamond"/>
          <w:i/>
          <w:lang w:val="en-AU" w:eastAsia="en-AU"/>
        </w:rPr>
      </w:pPr>
    </w:p>
    <w:p w:rsidR="00DB0EF7" w:rsidRPr="00DB0EF7" w:rsidRDefault="00DB0EF7" w:rsidP="00DB0EF7">
      <w:pPr>
        <w:keepNext/>
        <w:rPr>
          <w:rFonts w:ascii="Garamond" w:hAnsi="Garamond"/>
          <w:i/>
          <w:lang w:val="en-AU"/>
        </w:rPr>
      </w:pPr>
      <w:r w:rsidRPr="00DB0EF7">
        <w:rPr>
          <w:rFonts w:ascii="Garamond" w:hAnsi="Garamond"/>
          <w:i/>
          <w:lang w:val="en-AU"/>
        </w:rPr>
        <w:t>Video analysis of factors associated with response time to physiologic monitor alarms in a children’s hospital</w:t>
      </w:r>
    </w:p>
    <w:p w:rsidR="00DB0EF7" w:rsidRDefault="00DB0EF7" w:rsidP="009A42FB">
      <w:pPr>
        <w:keepNext/>
        <w:rPr>
          <w:rFonts w:ascii="Garamond" w:hAnsi="Garamond"/>
          <w:lang w:val="en-AU"/>
        </w:rPr>
      </w:pPr>
      <w:r w:rsidRPr="00DB0EF7">
        <w:rPr>
          <w:rFonts w:ascii="Garamond" w:hAnsi="Garamond"/>
          <w:lang w:val="en-AU"/>
        </w:rPr>
        <w:t>Bonafide CP, Localio AR, Holmes JH, Nadkarni VM, Stemler S, MacMurchy M, et al</w:t>
      </w:r>
    </w:p>
    <w:p w:rsidR="009A42FB" w:rsidRPr="00A45262" w:rsidRDefault="00DB0EF7" w:rsidP="009A42FB">
      <w:pPr>
        <w:keepNext/>
        <w:rPr>
          <w:rFonts w:ascii="Garamond" w:hAnsi="Garamond"/>
          <w:lang w:val="en-AU"/>
        </w:rPr>
      </w:pPr>
      <w:r w:rsidRPr="00DB0EF7">
        <w:rPr>
          <w:rFonts w:ascii="Garamond" w:hAnsi="Garamond"/>
          <w:lang w:val="en-AU"/>
        </w:rPr>
        <w:t>JAMA Pediatrics. 2017</w:t>
      </w:r>
      <w:r>
        <w:rPr>
          <w:rFonts w:ascii="Garamond" w:hAnsi="Garamond"/>
          <w:lang w:val="en-AU"/>
        </w:rPr>
        <w:t xml:space="preserve"> [epub]</w:t>
      </w:r>
      <w:r w:rsidRPr="00DB0EF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AC4BB8" w:rsidP="00FF59CD">
            <w:pPr>
              <w:rPr>
                <w:rStyle w:val="Hyperlink"/>
                <w:rFonts w:ascii="Garamond" w:hAnsi="Garamond"/>
                <w:color w:val="auto"/>
                <w:u w:val="none"/>
                <w:lang w:val="en-AU"/>
              </w:rPr>
            </w:pPr>
            <w:hyperlink r:id="rId19" w:history="1">
              <w:r w:rsidR="00DB0EF7" w:rsidRPr="000379EF">
                <w:rPr>
                  <w:rStyle w:val="Hyperlink"/>
                  <w:rFonts w:ascii="Garamond" w:hAnsi="Garamond"/>
                  <w:lang w:val="en-AU"/>
                </w:rPr>
                <w:t>http://dx.doi.org/10.1001/jamapediatrics.2016.5123</w:t>
              </w:r>
            </w:hyperlink>
          </w:p>
        </w:tc>
      </w:tr>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Default="00DB0EF7" w:rsidP="00DB0EF7">
            <w:pPr>
              <w:rPr>
                <w:rFonts w:ascii="Garamond" w:hAnsi="Garamond"/>
                <w:lang w:val="en-AU"/>
              </w:rPr>
            </w:pPr>
            <w:r>
              <w:rPr>
                <w:rFonts w:ascii="Garamond" w:hAnsi="Garamond"/>
                <w:lang w:val="en-AU"/>
              </w:rPr>
              <w:t>Alarm fatigue and other causes for not responding to alarms is a recognised issue. This paper reports on study looking at nurses’ responses to alarms in a paediatric setting. The study was prospective cohort study using</w:t>
            </w:r>
            <w:r w:rsidRPr="00DB0EF7">
              <w:rPr>
                <w:rFonts w:ascii="Garamond" w:hAnsi="Garamond"/>
                <w:lang w:val="en-AU"/>
              </w:rPr>
              <w:t xml:space="preserve"> 551 hours of video-recorded care administered by 38 nurses to 100 children in a children’s hospital medical unit between July 22, 2014, and November 11, 2015.</w:t>
            </w:r>
            <w:r>
              <w:rPr>
                <w:rFonts w:ascii="Garamond" w:hAnsi="Garamond"/>
                <w:lang w:val="en-AU"/>
              </w:rPr>
              <w:t xml:space="preserve"> The authors report finding that faster responses were shown for </w:t>
            </w:r>
            <w:r w:rsidRPr="00DB0EF7">
              <w:rPr>
                <w:rFonts w:ascii="Garamond" w:hAnsi="Garamond"/>
                <w:lang w:val="en-AU"/>
              </w:rPr>
              <w:t xml:space="preserve">alarms </w:t>
            </w:r>
            <w:r>
              <w:rPr>
                <w:rFonts w:ascii="Garamond" w:hAnsi="Garamond"/>
                <w:lang w:val="en-AU"/>
              </w:rPr>
              <w:t xml:space="preserve">where the </w:t>
            </w:r>
            <w:r w:rsidRPr="00DB0EF7">
              <w:rPr>
                <w:rFonts w:ascii="Garamond" w:hAnsi="Garamond"/>
                <w:lang w:val="en-AU"/>
              </w:rPr>
              <w:t xml:space="preserve">patients </w:t>
            </w:r>
            <w:r>
              <w:rPr>
                <w:rFonts w:ascii="Garamond" w:hAnsi="Garamond"/>
                <w:lang w:val="en-AU"/>
              </w:rPr>
              <w:t xml:space="preserve">were </w:t>
            </w:r>
            <w:r w:rsidRPr="00DB0EF7">
              <w:rPr>
                <w:rFonts w:ascii="Garamond" w:hAnsi="Garamond"/>
                <w:lang w:val="en-AU"/>
              </w:rPr>
              <w:t xml:space="preserve">on a complex care service or </w:t>
            </w:r>
            <w:r>
              <w:rPr>
                <w:rFonts w:ascii="Garamond" w:hAnsi="Garamond"/>
                <w:lang w:val="en-AU"/>
              </w:rPr>
              <w:t xml:space="preserve">did not have </w:t>
            </w:r>
            <w:r w:rsidRPr="00DB0EF7">
              <w:rPr>
                <w:rFonts w:ascii="Garamond" w:hAnsi="Garamond"/>
                <w:lang w:val="en-AU"/>
              </w:rPr>
              <w:t xml:space="preserve">family members present. </w:t>
            </w:r>
            <w:r>
              <w:rPr>
                <w:rFonts w:ascii="Garamond" w:hAnsi="Garamond"/>
                <w:lang w:val="en-AU"/>
              </w:rPr>
              <w:t xml:space="preserve">Faster responses were seen </w:t>
            </w:r>
            <w:r w:rsidRPr="00DB0EF7">
              <w:rPr>
                <w:rFonts w:ascii="Garamond" w:hAnsi="Garamond"/>
                <w:lang w:val="en-AU"/>
              </w:rPr>
              <w:t xml:space="preserve">earlier in </w:t>
            </w:r>
            <w:r>
              <w:rPr>
                <w:rFonts w:ascii="Garamond" w:hAnsi="Garamond"/>
                <w:lang w:val="en-AU"/>
              </w:rPr>
              <w:t>a nurse’s shift</w:t>
            </w:r>
            <w:r w:rsidRPr="00DB0EF7">
              <w:rPr>
                <w:rFonts w:ascii="Garamond" w:hAnsi="Garamond"/>
                <w:lang w:val="en-AU"/>
              </w:rPr>
              <w:t xml:space="preserve">, </w:t>
            </w:r>
            <w:r>
              <w:rPr>
                <w:rFonts w:ascii="Garamond" w:hAnsi="Garamond"/>
                <w:lang w:val="en-AU"/>
              </w:rPr>
              <w:t xml:space="preserve">the nurse </w:t>
            </w:r>
            <w:r w:rsidRPr="00DB0EF7">
              <w:rPr>
                <w:rFonts w:ascii="Garamond" w:hAnsi="Garamond"/>
                <w:lang w:val="en-AU"/>
              </w:rPr>
              <w:t xml:space="preserve">had less than 1 year of experience, </w:t>
            </w:r>
            <w:r>
              <w:rPr>
                <w:rFonts w:ascii="Garamond" w:hAnsi="Garamond"/>
                <w:lang w:val="en-AU"/>
              </w:rPr>
              <w:t xml:space="preserve">had </w:t>
            </w:r>
            <w:r w:rsidRPr="00DB0EF7">
              <w:rPr>
                <w:rFonts w:ascii="Garamond" w:hAnsi="Garamond"/>
                <w:lang w:val="en-AU"/>
              </w:rPr>
              <w:t xml:space="preserve">previously responded to an alarm requiring intervention, </w:t>
            </w:r>
            <w:r>
              <w:rPr>
                <w:rFonts w:ascii="Garamond" w:hAnsi="Garamond"/>
                <w:lang w:val="en-AU"/>
              </w:rPr>
              <w:t xml:space="preserve">was </w:t>
            </w:r>
            <w:r w:rsidRPr="00DB0EF7">
              <w:rPr>
                <w:rFonts w:ascii="Garamond" w:hAnsi="Garamond"/>
                <w:lang w:val="en-AU"/>
              </w:rPr>
              <w:t xml:space="preserve">caring for </w:t>
            </w:r>
            <w:r>
              <w:rPr>
                <w:rFonts w:ascii="Garamond" w:hAnsi="Garamond"/>
                <w:lang w:val="en-AU"/>
              </w:rPr>
              <w:t xml:space="preserve">a single </w:t>
            </w:r>
            <w:r w:rsidRPr="00DB0EF7">
              <w:rPr>
                <w:rFonts w:ascii="Garamond" w:hAnsi="Garamond"/>
                <w:lang w:val="en-AU"/>
              </w:rPr>
              <w:t xml:space="preserve">patient, and </w:t>
            </w:r>
            <w:r>
              <w:rPr>
                <w:rFonts w:ascii="Garamond" w:hAnsi="Garamond"/>
                <w:lang w:val="en-AU"/>
              </w:rPr>
              <w:t xml:space="preserve">or </w:t>
            </w:r>
            <w:r w:rsidRPr="00DB0EF7">
              <w:rPr>
                <w:rFonts w:ascii="Garamond" w:hAnsi="Garamond"/>
                <w:lang w:val="en-AU"/>
              </w:rPr>
              <w:t>responding to an alarm for lethal arrhythmia.</w:t>
            </w:r>
          </w:p>
          <w:p w:rsidR="00DB0EF7" w:rsidRPr="00A45262" w:rsidRDefault="00DB0EF7" w:rsidP="00DB0EF7">
            <w:pPr>
              <w:rPr>
                <w:rFonts w:ascii="Garamond" w:hAnsi="Garamond"/>
                <w:lang w:val="en-AU"/>
              </w:rPr>
            </w:pPr>
            <w:r>
              <w:rPr>
                <w:rFonts w:ascii="Garamond" w:hAnsi="Garamond"/>
                <w:lang w:val="en-AU"/>
              </w:rPr>
              <w:t>The authors conclude that “</w:t>
            </w:r>
            <w:r w:rsidRPr="00DB0EF7">
              <w:rPr>
                <w:rFonts w:ascii="Garamond" w:hAnsi="Garamond"/>
                <w:lang w:val="en-AU"/>
              </w:rPr>
              <w:t>Response time was associated with factors that likely represent the heuristics nurses use to assess whether an alarm represents a life-threatening condition. The nurse to patient ratio and physical and mental fatigue (measured by the number of hours into a shift) represent modifiable factors associated with response time. Chronic alarm fatigue resulting from long-term exposure to nonactionable alarms may be a more important determinant of response time than short-term exposure.</w:t>
            </w:r>
            <w:r>
              <w:rPr>
                <w:rFonts w:ascii="Garamond" w:hAnsi="Garamond"/>
                <w:lang w:val="en-AU"/>
              </w:rPr>
              <w:t>”</w:t>
            </w:r>
          </w:p>
        </w:tc>
      </w:tr>
    </w:tbl>
    <w:p w:rsidR="009A42FB" w:rsidRDefault="009A42FB" w:rsidP="009A42FB">
      <w:pPr>
        <w:keepNext/>
        <w:rPr>
          <w:rFonts w:ascii="Garamond" w:hAnsi="Garamond"/>
          <w:i/>
          <w:lang w:val="en-AU" w:eastAsia="en-AU"/>
        </w:rPr>
      </w:pPr>
    </w:p>
    <w:p w:rsidR="003F68DC" w:rsidRPr="00423D6C" w:rsidRDefault="00423D6C" w:rsidP="003F68DC">
      <w:pPr>
        <w:keepNext/>
        <w:rPr>
          <w:rFonts w:ascii="Garamond" w:hAnsi="Garamond"/>
          <w:i/>
          <w:lang w:val="en-AU"/>
        </w:rPr>
      </w:pPr>
      <w:r w:rsidRPr="00423D6C">
        <w:rPr>
          <w:rFonts w:ascii="Garamond" w:hAnsi="Garamond"/>
          <w:i/>
          <w:lang w:val="en-AU"/>
        </w:rPr>
        <w:t>Medical Journal of Australia</w:t>
      </w:r>
    </w:p>
    <w:p w:rsidR="00423D6C" w:rsidRPr="00A45262" w:rsidRDefault="00423D6C" w:rsidP="003F68DC">
      <w:pPr>
        <w:keepNext/>
        <w:rPr>
          <w:rFonts w:ascii="Garamond" w:hAnsi="Garamond"/>
          <w:lang w:val="en-AU"/>
        </w:rPr>
      </w:pPr>
      <w:r w:rsidRPr="00423D6C">
        <w:rPr>
          <w:rFonts w:ascii="Garamond" w:hAnsi="Garamond"/>
          <w:lang w:val="en-AU"/>
        </w:rPr>
        <w:t>Volume 206, Issue 7 — 17 April, 2017</w:t>
      </w:r>
    </w:p>
    <w:tbl>
      <w:tblPr>
        <w:tblStyle w:val="TableGrid"/>
        <w:tblW w:w="0" w:type="auto"/>
        <w:tblInd w:w="288" w:type="dxa"/>
        <w:tblLayout w:type="fixed"/>
        <w:tblLook w:val="01E0" w:firstRow="1" w:lastRow="1" w:firstColumn="1" w:lastColumn="1" w:noHBand="0" w:noVBand="0"/>
      </w:tblPr>
      <w:tblGrid>
        <w:gridCol w:w="1080"/>
        <w:gridCol w:w="8280"/>
      </w:tblGrid>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423D6C" w:rsidP="0089075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68DC" w:rsidRPr="00A45262" w:rsidRDefault="00423D6C" w:rsidP="00423D6C">
            <w:pPr>
              <w:rPr>
                <w:rStyle w:val="Hyperlink"/>
                <w:rFonts w:ascii="Garamond" w:hAnsi="Garamond"/>
                <w:color w:val="auto"/>
                <w:u w:val="none"/>
                <w:lang w:val="en-AU"/>
              </w:rPr>
            </w:pPr>
            <w:hyperlink r:id="rId20" w:history="1">
              <w:r w:rsidRPr="00A63984">
                <w:rPr>
                  <w:rStyle w:val="Hyperlink"/>
                  <w:rFonts w:ascii="Garamond" w:hAnsi="Garamond"/>
                  <w:lang w:val="en-AU"/>
                </w:rPr>
                <w:t>https://www.mja.com.au/journal/2017/206/7</w:t>
              </w:r>
            </w:hyperlink>
          </w:p>
        </w:tc>
      </w:tr>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3F68DC" w:rsidP="0089075E">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23D6C" w:rsidRDefault="00423D6C" w:rsidP="00423D6C">
            <w:pPr>
              <w:rPr>
                <w:rFonts w:ascii="Garamond" w:hAnsi="Garamond"/>
                <w:lang w:val="en-AU"/>
              </w:rPr>
            </w:pPr>
            <w:r>
              <w:rPr>
                <w:rFonts w:ascii="Garamond" w:hAnsi="Garamond"/>
                <w:lang w:val="en-AU"/>
              </w:rPr>
              <w:t xml:space="preserve">A new issue of the </w:t>
            </w:r>
            <w:r w:rsidRPr="00423D6C">
              <w:rPr>
                <w:rFonts w:ascii="Garamond" w:hAnsi="Garamond"/>
                <w:i/>
                <w:lang w:val="en-AU"/>
              </w:rPr>
              <w:t>Medical Journal of Australia</w:t>
            </w:r>
            <w:r w:rsidRPr="004401F5">
              <w:rPr>
                <w:rFonts w:ascii="Garamond" w:hAnsi="Garamond"/>
                <w:i/>
                <w:lang w:val="en-AU"/>
              </w:rPr>
              <w:t xml:space="preserve"> </w:t>
            </w:r>
            <w:r>
              <w:rPr>
                <w:rFonts w:ascii="Garamond" w:hAnsi="Garamond"/>
                <w:lang w:val="en-AU"/>
              </w:rPr>
              <w:t>has been published</w:t>
            </w:r>
            <w:r>
              <w:rPr>
                <w:rFonts w:ascii="Garamond" w:hAnsi="Garamond"/>
                <w:lang w:val="en-AU"/>
              </w:rPr>
              <w:t xml:space="preserve"> with the cover theme of ‘Untreatable infections: The post-antibiotic era’</w:t>
            </w:r>
            <w:r>
              <w:rPr>
                <w:rFonts w:ascii="Garamond" w:hAnsi="Garamond"/>
                <w:lang w:val="en-AU"/>
              </w:rPr>
              <w:t xml:space="preserve">. Articles in this issue of </w:t>
            </w:r>
            <w:r w:rsidRPr="00423D6C">
              <w:rPr>
                <w:rFonts w:ascii="Garamond" w:hAnsi="Garamond"/>
                <w:i/>
                <w:lang w:val="en-AU"/>
              </w:rPr>
              <w:t>Medical Journal of Australia</w:t>
            </w:r>
            <w:r w:rsidRPr="004401F5">
              <w:rPr>
                <w:rFonts w:ascii="Garamond" w:hAnsi="Garamond"/>
                <w:i/>
                <w:lang w:val="en-AU"/>
              </w:rPr>
              <w:t xml:space="preserve"> </w:t>
            </w:r>
            <w:r>
              <w:rPr>
                <w:rFonts w:ascii="Garamond" w:hAnsi="Garamond"/>
                <w:lang w:val="en-AU"/>
              </w:rPr>
              <w:t>include:</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Australasian Society for Infectious Diseases: </w:t>
            </w:r>
            <w:r w:rsidRPr="00423D6C">
              <w:rPr>
                <w:rFonts w:ascii="Garamond" w:hAnsi="Garamond"/>
                <w:b/>
                <w:lang w:val="en-AU"/>
              </w:rPr>
              <w:t>low value interventions</w:t>
            </w:r>
            <w:r w:rsidRPr="00423D6C">
              <w:rPr>
                <w:rFonts w:ascii="Garamond" w:hAnsi="Garamond"/>
                <w:lang w:val="en-AU"/>
              </w:rPr>
              <w:t xml:space="preserve"> (</w:t>
            </w:r>
            <w:r w:rsidRPr="00423D6C">
              <w:rPr>
                <w:rFonts w:ascii="Garamond" w:hAnsi="Garamond"/>
                <w:lang w:val="en-AU"/>
              </w:rPr>
              <w:t>Denis Spelman, Adam W Jenney and David P Burgner</w:t>
            </w:r>
            <w:r>
              <w:rPr>
                <w:rFonts w:ascii="Garamond" w:hAnsi="Garamond"/>
                <w:lang w:val="en-AU"/>
              </w:rPr>
              <w:t>)</w:t>
            </w:r>
          </w:p>
          <w:p w:rsidR="003F68D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Is Australia prepared for the </w:t>
            </w:r>
            <w:r w:rsidRPr="00423D6C">
              <w:rPr>
                <w:rFonts w:ascii="Garamond" w:hAnsi="Garamond"/>
                <w:b/>
                <w:lang w:val="en-AU"/>
              </w:rPr>
              <w:t>next pandemic</w:t>
            </w:r>
            <w:r w:rsidRPr="00423D6C">
              <w:rPr>
                <w:rFonts w:ascii="Garamond" w:hAnsi="Garamond"/>
                <w:lang w:val="en-AU"/>
              </w:rPr>
              <w:t>?</w:t>
            </w:r>
            <w:r>
              <w:rPr>
                <w:rFonts w:ascii="Garamond" w:hAnsi="Garamond"/>
                <w:lang w:val="en-AU"/>
              </w:rPr>
              <w:t xml:space="preserve"> (</w:t>
            </w:r>
            <w:r w:rsidRPr="00423D6C">
              <w:rPr>
                <w:rFonts w:ascii="Garamond" w:hAnsi="Garamond"/>
                <w:lang w:val="en-AU"/>
              </w:rPr>
              <w:t>Jodie McVernon, Tania C Sorrell, Jenny Firman, Brendan Murphy and Sharon R Lewin</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First confirmed case of </w:t>
            </w:r>
            <w:r w:rsidRPr="00423D6C">
              <w:rPr>
                <w:rFonts w:ascii="Garamond" w:hAnsi="Garamond"/>
                <w:b/>
                <w:lang w:val="en-AU"/>
              </w:rPr>
              <w:t>transfusion-transmitted hepatitis E</w:t>
            </w:r>
            <w:r w:rsidRPr="00423D6C">
              <w:rPr>
                <w:rFonts w:ascii="Garamond" w:hAnsi="Garamond"/>
                <w:lang w:val="en-AU"/>
              </w:rPr>
              <w:t xml:space="preserve"> in Australia</w:t>
            </w:r>
            <w:r w:rsidRPr="00423D6C">
              <w:rPr>
                <w:rFonts w:ascii="Garamond" w:hAnsi="Garamond"/>
                <w:lang w:val="en-AU"/>
              </w:rPr>
              <w:t xml:space="preserve"> (</w:t>
            </w:r>
            <w:r w:rsidRPr="00423D6C">
              <w:rPr>
                <w:rFonts w:ascii="Garamond" w:hAnsi="Garamond"/>
                <w:lang w:val="en-AU"/>
              </w:rPr>
              <w:t>Veronica C Hoad, Tristan Gibbs, Madhur Ravikumara, Monica Nash, Avram Levy, S L Tracy, C Mews, Z Perkowska-Guse, H M Faddy and S Bowden</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lastRenderedPageBreak/>
              <w:t xml:space="preserve">Death from an </w:t>
            </w:r>
            <w:r w:rsidRPr="00423D6C">
              <w:rPr>
                <w:rFonts w:ascii="Garamond" w:hAnsi="Garamond"/>
                <w:b/>
                <w:lang w:val="en-AU"/>
              </w:rPr>
              <w:t>untreatable infection</w:t>
            </w:r>
            <w:r w:rsidRPr="00423D6C">
              <w:rPr>
                <w:rFonts w:ascii="Garamond" w:hAnsi="Garamond"/>
                <w:lang w:val="en-AU"/>
              </w:rPr>
              <w:t xml:space="preserve"> may signal the start of the post-antibiotic era</w:t>
            </w:r>
            <w:r w:rsidRPr="00423D6C">
              <w:rPr>
                <w:rFonts w:ascii="Garamond" w:hAnsi="Garamond"/>
                <w:lang w:val="en-AU"/>
              </w:rPr>
              <w:t xml:space="preserve"> (</w:t>
            </w:r>
            <w:r w:rsidRPr="00423D6C">
              <w:rPr>
                <w:rFonts w:ascii="Garamond" w:hAnsi="Garamond"/>
                <w:lang w:val="en-AU"/>
              </w:rPr>
              <w:t>Cheryl A Jones, Joshua S Davis and David FM Looke</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b/>
                <w:lang w:val="en-AU"/>
              </w:rPr>
              <w:t>Dengue</w:t>
            </w:r>
            <w:r w:rsidRPr="00423D6C">
              <w:rPr>
                <w:rFonts w:ascii="Garamond" w:hAnsi="Garamond"/>
                <w:lang w:val="en-AU"/>
              </w:rPr>
              <w:t xml:space="preserve"> and travellers: implications for doctors in Australia</w:t>
            </w:r>
            <w:r w:rsidRPr="00423D6C">
              <w:rPr>
                <w:rFonts w:ascii="Garamond" w:hAnsi="Garamond"/>
                <w:lang w:val="en-AU"/>
              </w:rPr>
              <w:t xml:space="preserve"> (</w:t>
            </w:r>
            <w:r w:rsidRPr="00423D6C">
              <w:rPr>
                <w:rFonts w:ascii="Garamond" w:hAnsi="Garamond"/>
                <w:lang w:val="en-AU"/>
              </w:rPr>
              <w:t>David CB Lye</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Management of </w:t>
            </w:r>
            <w:r w:rsidRPr="00423D6C">
              <w:rPr>
                <w:rFonts w:ascii="Garamond" w:hAnsi="Garamond"/>
                <w:b/>
                <w:lang w:val="en-AU"/>
              </w:rPr>
              <w:t>dengue</w:t>
            </w:r>
            <w:r w:rsidRPr="00423D6C">
              <w:rPr>
                <w:rFonts w:ascii="Garamond" w:hAnsi="Garamond"/>
                <w:lang w:val="en-AU"/>
              </w:rPr>
              <w:t xml:space="preserve"> in Australian travellers: a retrospective multicentre analysis</w:t>
            </w:r>
            <w:r w:rsidRPr="00423D6C">
              <w:rPr>
                <w:rFonts w:ascii="Garamond" w:hAnsi="Garamond"/>
                <w:lang w:val="en-AU"/>
              </w:rPr>
              <w:t xml:space="preserve"> (</w:t>
            </w:r>
            <w:r w:rsidRPr="00423D6C">
              <w:rPr>
                <w:rFonts w:ascii="Garamond" w:hAnsi="Garamond"/>
                <w:lang w:val="en-AU"/>
              </w:rPr>
              <w:t>Alex YC Tai, Sarah L McGuinness, Roselle Robosa, David Turner, G Khai Lin Huang, Karin Leder, Tony M Korman, Irani Thevarajan, Andrew J Stewardson, Alexander A Padiglione and Douglas F Johnson</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Trends in the prevalence of </w:t>
            </w:r>
            <w:r w:rsidRPr="00423D6C">
              <w:rPr>
                <w:rFonts w:ascii="Garamond" w:hAnsi="Garamond"/>
                <w:b/>
                <w:lang w:val="en-AU"/>
              </w:rPr>
              <w:t>hepatitis B</w:t>
            </w:r>
            <w:r w:rsidRPr="00423D6C">
              <w:rPr>
                <w:rFonts w:ascii="Garamond" w:hAnsi="Garamond"/>
                <w:lang w:val="en-AU"/>
              </w:rPr>
              <w:t xml:space="preserve"> infection among women giving birth in New South Wales</w:t>
            </w:r>
            <w:r w:rsidRPr="00423D6C">
              <w:rPr>
                <w:rFonts w:ascii="Garamond" w:hAnsi="Garamond"/>
                <w:lang w:val="en-AU"/>
              </w:rPr>
              <w:t xml:space="preserve"> (</w:t>
            </w:r>
            <w:r w:rsidRPr="00423D6C">
              <w:rPr>
                <w:rFonts w:ascii="Garamond" w:hAnsi="Garamond"/>
                <w:lang w:val="en-AU"/>
              </w:rPr>
              <w:t>Lucy Deng, Joanne Reekie, James S Ward, Andrew Hayen, John M Kaldor, Marlene Kong, Jennifer M Hunt and Bette Liu</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Treatment of </w:t>
            </w:r>
            <w:r w:rsidRPr="00423D6C">
              <w:rPr>
                <w:rFonts w:ascii="Garamond" w:hAnsi="Garamond"/>
                <w:b/>
                <w:lang w:val="en-AU"/>
              </w:rPr>
              <w:t>latent tuberculosis</w:t>
            </w:r>
            <w:r w:rsidRPr="00423D6C">
              <w:rPr>
                <w:rFonts w:ascii="Garamond" w:hAnsi="Garamond"/>
                <w:lang w:val="en-AU"/>
              </w:rPr>
              <w:t xml:space="preserve"> infections in the Darwin region</w:t>
            </w:r>
            <w:r w:rsidRPr="00423D6C">
              <w:rPr>
                <w:rFonts w:ascii="Garamond" w:hAnsi="Garamond"/>
                <w:lang w:val="en-AU"/>
              </w:rPr>
              <w:t xml:space="preserve"> (</w:t>
            </w:r>
            <w:r w:rsidRPr="00423D6C">
              <w:rPr>
                <w:rFonts w:ascii="Garamond" w:hAnsi="Garamond"/>
                <w:lang w:val="en-AU"/>
              </w:rPr>
              <w:t>Rowena Boyd, Vanessa Johnston, Belinda Farmer and Vicki L Krause</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The </w:t>
            </w:r>
            <w:r w:rsidRPr="00423D6C">
              <w:rPr>
                <w:rFonts w:ascii="Garamond" w:hAnsi="Garamond"/>
                <w:b/>
                <w:lang w:val="en-AU"/>
              </w:rPr>
              <w:t>microbiology of crocodile attack</w:t>
            </w:r>
            <w:r w:rsidRPr="00423D6C">
              <w:rPr>
                <w:rFonts w:ascii="Garamond" w:hAnsi="Garamond"/>
                <w:lang w:val="en-AU"/>
              </w:rPr>
              <w:t>s in Far North Queensland: implications for empirical antimicrobial therapy</w:t>
            </w:r>
            <w:r w:rsidRPr="00423D6C">
              <w:rPr>
                <w:rFonts w:ascii="Garamond" w:hAnsi="Garamond"/>
                <w:lang w:val="en-AU"/>
              </w:rPr>
              <w:t xml:space="preserve"> (</w:t>
            </w:r>
            <w:r w:rsidRPr="00423D6C">
              <w:rPr>
                <w:rFonts w:ascii="Garamond" w:hAnsi="Garamond"/>
                <w:lang w:val="en-AU"/>
              </w:rPr>
              <w:t>Simon Smith, Richard J Bagshaw and Josh Hanson</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Clinical experience of patients with </w:t>
            </w:r>
            <w:r w:rsidRPr="00423D6C">
              <w:rPr>
                <w:rFonts w:ascii="Garamond" w:hAnsi="Garamond"/>
                <w:b/>
                <w:lang w:val="en-AU"/>
              </w:rPr>
              <w:t>hepatitis C</w:t>
            </w:r>
            <w:r w:rsidRPr="00423D6C">
              <w:rPr>
                <w:rFonts w:ascii="Garamond" w:hAnsi="Garamond"/>
                <w:lang w:val="en-AU"/>
              </w:rPr>
              <w:t xml:space="preserve"> virus infection among Australian GP trainees</w:t>
            </w:r>
            <w:r w:rsidRPr="00423D6C">
              <w:rPr>
                <w:rFonts w:ascii="Garamond" w:hAnsi="Garamond"/>
                <w:lang w:val="en-AU"/>
              </w:rPr>
              <w:t xml:space="preserve"> (</w:t>
            </w:r>
            <w:r w:rsidRPr="00423D6C">
              <w:rPr>
                <w:rFonts w:ascii="Garamond" w:hAnsi="Garamond"/>
                <w:lang w:val="en-AU"/>
              </w:rPr>
              <w:t>Joshua S Davis, Amanda Tapley, Simon Morgan, Mieke L van Driel and Parker J Magin</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b/>
                <w:lang w:val="en-AU"/>
              </w:rPr>
              <w:t>Guideline summary</w:t>
            </w:r>
            <w:r w:rsidRPr="00423D6C">
              <w:rPr>
                <w:rFonts w:ascii="Garamond" w:hAnsi="Garamond"/>
                <w:lang w:val="en-AU"/>
              </w:rPr>
              <w:t xml:space="preserve">: </w:t>
            </w:r>
            <w:r w:rsidRPr="00423D6C">
              <w:rPr>
                <w:rFonts w:ascii="Garamond" w:hAnsi="Garamond"/>
                <w:lang w:val="en-AU"/>
              </w:rPr>
              <w:t xml:space="preserve">The Australasian Society for Infectious Diseases and Refugee Health Network of Australia recommendations for </w:t>
            </w:r>
            <w:r w:rsidRPr="00423D6C">
              <w:rPr>
                <w:rFonts w:ascii="Garamond" w:hAnsi="Garamond"/>
                <w:b/>
                <w:lang w:val="en-AU"/>
              </w:rPr>
              <w:t>health assessment for people from refugee-like backgrounds</w:t>
            </w:r>
            <w:r w:rsidRPr="00423D6C">
              <w:rPr>
                <w:rFonts w:ascii="Garamond" w:hAnsi="Garamond"/>
                <w:lang w:val="en-AU"/>
              </w:rPr>
              <w:t>: an abridged outline</w:t>
            </w:r>
            <w:r w:rsidRPr="00423D6C">
              <w:rPr>
                <w:rFonts w:ascii="Garamond" w:hAnsi="Garamond"/>
                <w:lang w:val="en-AU"/>
              </w:rPr>
              <w:t xml:space="preserve"> (</w:t>
            </w:r>
            <w:r w:rsidRPr="00423D6C">
              <w:rPr>
                <w:rFonts w:ascii="Garamond" w:hAnsi="Garamond"/>
                <w:lang w:val="en-AU"/>
              </w:rPr>
              <w:t>Nadia J Chaves, Georgia A Paxton, Beverley-Ann Biggs, Aesen Thambiran, Joanne Gardiner, Jan Williams, Mitchell M Smith and Joshua S Davis</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lang w:val="en-AU"/>
              </w:rPr>
              <w:t xml:space="preserve">Controversies in diagnosis and management of </w:t>
            </w:r>
            <w:r w:rsidRPr="00423D6C">
              <w:rPr>
                <w:rFonts w:ascii="Garamond" w:hAnsi="Garamond"/>
                <w:b/>
                <w:lang w:val="en-AU"/>
              </w:rPr>
              <w:t>community-acquired pneumonia</w:t>
            </w:r>
            <w:r w:rsidRPr="00423D6C">
              <w:rPr>
                <w:rFonts w:ascii="Garamond" w:hAnsi="Garamond"/>
                <w:lang w:val="en-AU"/>
              </w:rPr>
              <w:t xml:space="preserve"> (</w:t>
            </w:r>
            <w:r w:rsidRPr="00423D6C">
              <w:rPr>
                <w:rFonts w:ascii="Garamond" w:hAnsi="Garamond"/>
                <w:lang w:val="en-AU"/>
              </w:rPr>
              <w:t>Sarah Sparham and Patrick GP Charles</w:t>
            </w:r>
            <w:r>
              <w:rPr>
                <w:rFonts w:ascii="Garamond" w:hAnsi="Garamond"/>
                <w:lang w:val="en-AU"/>
              </w:rPr>
              <w:t>)</w:t>
            </w:r>
          </w:p>
          <w:p w:rsidR="00423D6C" w:rsidRPr="00423D6C" w:rsidRDefault="00423D6C" w:rsidP="00423D6C">
            <w:pPr>
              <w:pStyle w:val="ListParagraph"/>
              <w:numPr>
                <w:ilvl w:val="0"/>
                <w:numId w:val="46"/>
              </w:numPr>
              <w:rPr>
                <w:rFonts w:ascii="Garamond" w:hAnsi="Garamond"/>
                <w:lang w:val="en-AU"/>
              </w:rPr>
            </w:pPr>
            <w:r w:rsidRPr="00423D6C">
              <w:rPr>
                <w:rFonts w:ascii="Garamond" w:hAnsi="Garamond"/>
                <w:b/>
                <w:lang w:val="en-AU"/>
              </w:rPr>
              <w:t>Tick-borne infectious diseases</w:t>
            </w:r>
            <w:r w:rsidRPr="00423D6C">
              <w:rPr>
                <w:rFonts w:ascii="Garamond" w:hAnsi="Garamond"/>
                <w:lang w:val="en-AU"/>
              </w:rPr>
              <w:t xml:space="preserve"> in Australia</w:t>
            </w:r>
            <w:r>
              <w:rPr>
                <w:rFonts w:ascii="Garamond" w:hAnsi="Garamond"/>
                <w:lang w:val="en-AU"/>
              </w:rPr>
              <w:t xml:space="preserve"> (</w:t>
            </w:r>
            <w:r w:rsidRPr="00423D6C">
              <w:rPr>
                <w:rFonts w:ascii="Garamond" w:hAnsi="Garamond"/>
                <w:lang w:val="en-AU"/>
              </w:rPr>
              <w:t>Stephen R Graves and J Stenos</w:t>
            </w:r>
            <w:r>
              <w:rPr>
                <w:rFonts w:ascii="Garamond" w:hAnsi="Garamond"/>
                <w:lang w:val="en-AU"/>
              </w:rPr>
              <w:t>)</w:t>
            </w:r>
          </w:p>
        </w:tc>
      </w:tr>
    </w:tbl>
    <w:p w:rsidR="003F68DC" w:rsidRDefault="003F68DC" w:rsidP="003F68DC">
      <w:pPr>
        <w:keepNext/>
        <w:rPr>
          <w:rFonts w:ascii="Garamond" w:hAnsi="Garamond"/>
          <w:i/>
          <w:lang w:val="en-AU" w:eastAsia="en-AU"/>
        </w:rPr>
      </w:pPr>
    </w:p>
    <w:p w:rsidR="00423D6C" w:rsidRDefault="00423D6C" w:rsidP="003F68DC">
      <w:pPr>
        <w:keepNext/>
        <w:rPr>
          <w:rFonts w:ascii="Garamond" w:hAnsi="Garamond"/>
          <w:lang w:val="en-AU" w:eastAsia="en-AU"/>
        </w:rPr>
      </w:pPr>
      <w:r>
        <w:rPr>
          <w:rFonts w:ascii="Garamond" w:hAnsi="Garamond"/>
          <w:lang w:val="en-AU" w:eastAsia="en-AU"/>
        </w:rPr>
        <w:t xml:space="preserve">For information on the Commission’s work on </w:t>
      </w:r>
      <w:r w:rsidRPr="00423D6C">
        <w:rPr>
          <w:rFonts w:ascii="Garamond" w:hAnsi="Garamond"/>
          <w:lang w:val="en-AU" w:eastAsia="en-AU"/>
        </w:rPr>
        <w:t>antimicrobial</w:t>
      </w:r>
      <w:r>
        <w:rPr>
          <w:rFonts w:ascii="Garamond" w:hAnsi="Garamond"/>
          <w:lang w:val="en-AU" w:eastAsia="en-AU"/>
        </w:rPr>
        <w:t xml:space="preserve"> </w:t>
      </w:r>
      <w:r w:rsidRPr="00423D6C">
        <w:rPr>
          <w:rFonts w:ascii="Garamond" w:hAnsi="Garamond"/>
          <w:lang w:val="en-AU" w:eastAsia="en-AU"/>
        </w:rPr>
        <w:t>use</w:t>
      </w:r>
      <w:r>
        <w:rPr>
          <w:rFonts w:ascii="Garamond" w:hAnsi="Garamond"/>
          <w:lang w:val="en-AU" w:eastAsia="en-AU"/>
        </w:rPr>
        <w:t xml:space="preserve"> </w:t>
      </w:r>
      <w:r w:rsidRPr="00423D6C">
        <w:rPr>
          <w:rFonts w:ascii="Garamond" w:hAnsi="Garamond"/>
          <w:lang w:val="en-AU" w:eastAsia="en-AU"/>
        </w:rPr>
        <w:t>and</w:t>
      </w:r>
      <w:r>
        <w:rPr>
          <w:rFonts w:ascii="Garamond" w:hAnsi="Garamond"/>
          <w:lang w:val="en-AU" w:eastAsia="en-AU"/>
        </w:rPr>
        <w:t xml:space="preserve"> </w:t>
      </w:r>
      <w:r w:rsidRPr="00423D6C">
        <w:rPr>
          <w:rFonts w:ascii="Garamond" w:hAnsi="Garamond"/>
          <w:lang w:val="en-AU" w:eastAsia="en-AU"/>
        </w:rPr>
        <w:t>resistance</w:t>
      </w:r>
      <w:r>
        <w:rPr>
          <w:rFonts w:ascii="Garamond" w:hAnsi="Garamond"/>
          <w:lang w:val="en-AU" w:eastAsia="en-AU"/>
        </w:rPr>
        <w:t xml:space="preserve"> </w:t>
      </w:r>
      <w:r w:rsidRPr="00423D6C">
        <w:rPr>
          <w:rFonts w:ascii="Garamond" w:hAnsi="Garamond"/>
          <w:lang w:val="en-AU" w:eastAsia="en-AU"/>
        </w:rPr>
        <w:t>in</w:t>
      </w:r>
      <w:r>
        <w:rPr>
          <w:rFonts w:ascii="Garamond" w:hAnsi="Garamond"/>
          <w:lang w:val="en-AU" w:eastAsia="en-AU"/>
        </w:rPr>
        <w:t xml:space="preserve"> A</w:t>
      </w:r>
      <w:r w:rsidRPr="00423D6C">
        <w:rPr>
          <w:rFonts w:ascii="Garamond" w:hAnsi="Garamond"/>
          <w:lang w:val="en-AU" w:eastAsia="en-AU"/>
        </w:rPr>
        <w:t>ustralia</w:t>
      </w:r>
      <w:r>
        <w:rPr>
          <w:rFonts w:ascii="Garamond" w:hAnsi="Garamond"/>
          <w:lang w:val="en-AU" w:eastAsia="en-AU"/>
        </w:rPr>
        <w:t xml:space="preserve"> (the AURA project, see </w:t>
      </w:r>
      <w:hyperlink r:id="rId21" w:history="1">
        <w:r w:rsidRPr="00A63984">
          <w:rPr>
            <w:rStyle w:val="Hyperlink"/>
            <w:rFonts w:ascii="Garamond" w:hAnsi="Garamond"/>
            <w:lang w:val="en-AU" w:eastAsia="en-AU"/>
          </w:rPr>
          <w:t>https://www.safetyandquality.gov.au/antimicrobial-use-and-resistance-in-australia/</w:t>
        </w:r>
      </w:hyperlink>
      <w:r>
        <w:rPr>
          <w:rFonts w:ascii="Garamond" w:hAnsi="Garamond"/>
          <w:lang w:val="en-AU" w:eastAsia="en-AU"/>
        </w:rPr>
        <w:t xml:space="preserve"> </w:t>
      </w:r>
    </w:p>
    <w:p w:rsidR="00423D6C" w:rsidRDefault="00423D6C" w:rsidP="003F68DC">
      <w:pPr>
        <w:keepNext/>
        <w:rPr>
          <w:rFonts w:ascii="Garamond" w:hAnsi="Garamond"/>
          <w:lang w:val="en-AU" w:eastAsia="en-AU"/>
        </w:rPr>
      </w:pPr>
    </w:p>
    <w:p w:rsidR="00423D6C" w:rsidRDefault="00423D6C" w:rsidP="003F68DC">
      <w:pPr>
        <w:keepNext/>
        <w:rPr>
          <w:rFonts w:ascii="Garamond" w:hAnsi="Garamond"/>
          <w:i/>
          <w:lang w:val="en-AU" w:eastAsia="en-AU"/>
        </w:rPr>
      </w:pPr>
      <w:r w:rsidRPr="00176BDA">
        <w:rPr>
          <w:rFonts w:ascii="Garamond" w:hAnsi="Garamond"/>
          <w:lang w:val="en-AU" w:eastAsia="en-AU"/>
        </w:rPr>
        <w:t xml:space="preserve">For information on the Commission’s work on </w:t>
      </w:r>
      <w:r>
        <w:rPr>
          <w:rFonts w:ascii="Garamond" w:hAnsi="Garamond"/>
          <w:lang w:val="en-AU" w:eastAsia="en-AU"/>
        </w:rPr>
        <w:t>healthcare associated infection</w:t>
      </w:r>
      <w:r>
        <w:rPr>
          <w:rFonts w:ascii="Garamond" w:hAnsi="Garamond"/>
          <w:lang w:val="en-AU" w:eastAsia="en-AU"/>
        </w:rPr>
        <w:t xml:space="preserve">, </w:t>
      </w:r>
      <w:r>
        <w:rPr>
          <w:rFonts w:ascii="Garamond" w:hAnsi="Garamond"/>
          <w:lang w:val="en-AU" w:eastAsia="en-AU"/>
        </w:rPr>
        <w:t xml:space="preserve">including antimicrobial stewardship, </w:t>
      </w:r>
      <w:r>
        <w:rPr>
          <w:rFonts w:ascii="Garamond" w:hAnsi="Garamond"/>
          <w:lang w:val="en-AU" w:eastAsia="en-AU"/>
        </w:rPr>
        <w:t>see</w:t>
      </w:r>
      <w:r>
        <w:rPr>
          <w:rFonts w:ascii="Garamond" w:hAnsi="Garamond"/>
          <w:lang w:val="en-AU" w:eastAsia="en-AU"/>
        </w:rPr>
        <w:t xml:space="preserve"> </w:t>
      </w:r>
      <w:hyperlink r:id="rId22" w:history="1">
        <w:r w:rsidRPr="00A63984">
          <w:rPr>
            <w:rStyle w:val="Hyperlink"/>
            <w:rFonts w:ascii="Garamond" w:hAnsi="Garamond"/>
            <w:lang w:val="en-AU" w:eastAsia="en-AU"/>
          </w:rPr>
          <w:t>https://www.safetyandquality.gov.au/our-work/healthcare-associated-infection/</w:t>
        </w:r>
      </w:hyperlink>
      <w:r>
        <w:rPr>
          <w:rFonts w:ascii="Garamond" w:hAnsi="Garamond"/>
          <w:lang w:val="en-AU" w:eastAsia="en-AU"/>
        </w:rPr>
        <w:t xml:space="preserve"> </w:t>
      </w:r>
    </w:p>
    <w:p w:rsidR="00423D6C" w:rsidRDefault="00423D6C" w:rsidP="003F68DC">
      <w:pPr>
        <w:keepNext/>
        <w:rPr>
          <w:rFonts w:ascii="Garamond" w:hAnsi="Garamond"/>
          <w:i/>
          <w:lang w:val="en-AU" w:eastAsia="en-AU"/>
        </w:rPr>
      </w:pPr>
    </w:p>
    <w:p w:rsidR="003F68DC" w:rsidRPr="004401F5" w:rsidRDefault="004401F5" w:rsidP="003F68DC">
      <w:pPr>
        <w:keepNext/>
        <w:rPr>
          <w:rFonts w:ascii="Garamond" w:hAnsi="Garamond"/>
          <w:i/>
          <w:lang w:val="en-AU"/>
        </w:rPr>
      </w:pPr>
      <w:r w:rsidRPr="004401F5">
        <w:rPr>
          <w:rFonts w:ascii="Garamond" w:hAnsi="Garamond"/>
          <w:i/>
          <w:lang w:val="en-AU"/>
        </w:rPr>
        <w:t>Australian Journal of Primary Health</w:t>
      </w:r>
    </w:p>
    <w:p w:rsidR="004401F5" w:rsidRPr="00A45262" w:rsidRDefault="004401F5" w:rsidP="003F68DC">
      <w:pPr>
        <w:keepNext/>
        <w:rPr>
          <w:rFonts w:ascii="Garamond" w:hAnsi="Garamond"/>
          <w:lang w:val="en-AU"/>
        </w:rPr>
      </w:pPr>
      <w:r w:rsidRPr="004401F5">
        <w:rPr>
          <w:rFonts w:ascii="Garamond" w:hAnsi="Garamond"/>
          <w:lang w:val="en-AU"/>
        </w:rPr>
        <w:t>Volume 23(2) 2017</w:t>
      </w:r>
    </w:p>
    <w:tbl>
      <w:tblPr>
        <w:tblStyle w:val="TableGrid"/>
        <w:tblW w:w="0" w:type="auto"/>
        <w:tblInd w:w="288" w:type="dxa"/>
        <w:tblLayout w:type="fixed"/>
        <w:tblLook w:val="01E0" w:firstRow="1" w:lastRow="1" w:firstColumn="1" w:lastColumn="1" w:noHBand="0" w:noVBand="0"/>
      </w:tblPr>
      <w:tblGrid>
        <w:gridCol w:w="1080"/>
        <w:gridCol w:w="8280"/>
      </w:tblGrid>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4401F5" w:rsidP="0089075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68DC" w:rsidRPr="00A45262" w:rsidRDefault="004401F5" w:rsidP="0089075E">
            <w:pPr>
              <w:rPr>
                <w:rStyle w:val="Hyperlink"/>
                <w:rFonts w:ascii="Garamond" w:hAnsi="Garamond"/>
                <w:color w:val="auto"/>
                <w:u w:val="none"/>
                <w:lang w:val="en-AU"/>
              </w:rPr>
            </w:pPr>
            <w:hyperlink r:id="rId23" w:history="1">
              <w:r w:rsidRPr="00A63984">
                <w:rPr>
                  <w:rStyle w:val="Hyperlink"/>
                  <w:rFonts w:ascii="Garamond" w:hAnsi="Garamond"/>
                  <w:lang w:val="en-AU"/>
                </w:rPr>
                <w:t>http://www.publish.csiro.au/py/issue/8580</w:t>
              </w:r>
            </w:hyperlink>
          </w:p>
        </w:tc>
      </w:tr>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3F68DC" w:rsidP="0089075E">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68DC" w:rsidRDefault="004401F5" w:rsidP="0089075E">
            <w:pPr>
              <w:rPr>
                <w:rFonts w:ascii="Garamond" w:hAnsi="Garamond"/>
                <w:lang w:val="en-AU"/>
              </w:rPr>
            </w:pPr>
            <w:r>
              <w:rPr>
                <w:rFonts w:ascii="Garamond" w:hAnsi="Garamond"/>
                <w:lang w:val="en-AU"/>
              </w:rPr>
              <w:t xml:space="preserve">A new issue of the </w:t>
            </w:r>
            <w:r w:rsidRPr="004401F5">
              <w:rPr>
                <w:rFonts w:ascii="Garamond" w:hAnsi="Garamond"/>
                <w:i/>
                <w:lang w:val="en-AU"/>
              </w:rPr>
              <w:t>Australian Journal of Primary Health</w:t>
            </w:r>
            <w:r>
              <w:rPr>
                <w:rFonts w:ascii="Garamond" w:hAnsi="Garamond"/>
                <w:lang w:val="en-AU"/>
              </w:rPr>
              <w:t xml:space="preserve"> has been published. Articles in this issue of </w:t>
            </w:r>
            <w:r w:rsidRPr="004401F5">
              <w:rPr>
                <w:rFonts w:ascii="Garamond" w:hAnsi="Garamond"/>
                <w:i/>
                <w:lang w:val="en-AU"/>
              </w:rPr>
              <w:t>Australian Journal of Primary Health</w:t>
            </w:r>
            <w:r>
              <w:rPr>
                <w:rFonts w:ascii="Garamond" w:hAnsi="Garamond"/>
                <w:lang w:val="en-AU"/>
              </w:rPr>
              <w:t xml:space="preserve"> include:</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Persistent pain management</w:t>
            </w:r>
            <w:r w:rsidRPr="004401F5">
              <w:rPr>
                <w:rFonts w:ascii="Garamond" w:hAnsi="Garamond"/>
                <w:lang w:val="en-AU"/>
              </w:rPr>
              <w:t xml:space="preserve"> in Australian general practice </w:t>
            </w:r>
            <w:r w:rsidRPr="004401F5">
              <w:rPr>
                <w:rFonts w:ascii="Garamond" w:hAnsi="Garamond"/>
                <w:lang w:val="en-AU"/>
              </w:rPr>
              <w:t xml:space="preserve"> (</w:t>
            </w:r>
            <w:r w:rsidRPr="004401F5">
              <w:rPr>
                <w:rFonts w:ascii="Garamond" w:hAnsi="Garamond"/>
                <w:lang w:val="en-AU"/>
              </w:rPr>
              <w:t>Felicity C Veal, Angus J Thompson, Luke R Bereznicki and Gregory M</w:t>
            </w:r>
            <w:r>
              <w:rPr>
                <w:rFonts w:ascii="Garamond" w:hAnsi="Garamond"/>
                <w:lang w:val="en-AU"/>
              </w:rPr>
              <w:t xml:space="preserve"> Peterson)</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When colocation is not enough: a case study of </w:t>
            </w:r>
            <w:r w:rsidRPr="004401F5">
              <w:rPr>
                <w:rFonts w:ascii="Garamond" w:hAnsi="Garamond"/>
                <w:b/>
                <w:lang w:val="en-AU"/>
              </w:rPr>
              <w:t>General Practitioner Super Clinics</w:t>
            </w:r>
            <w:r w:rsidRPr="004401F5">
              <w:rPr>
                <w:rFonts w:ascii="Garamond" w:hAnsi="Garamond"/>
                <w:lang w:val="en-AU"/>
              </w:rPr>
              <w:t xml:space="preserve"> in Australia </w:t>
            </w:r>
            <w:r w:rsidRPr="004401F5">
              <w:rPr>
                <w:rFonts w:ascii="Garamond" w:hAnsi="Garamond"/>
                <w:lang w:val="en-AU"/>
              </w:rPr>
              <w:t>(</w:t>
            </w:r>
            <w:r w:rsidRPr="004401F5">
              <w:rPr>
                <w:rFonts w:ascii="Garamond" w:hAnsi="Garamond"/>
                <w:lang w:val="en-AU"/>
              </w:rPr>
              <w:t xml:space="preserve">Riki Lane, Grant Russell, Elizabeth A Bardoel, Jenny Advocat, Nicholas Zwar, P Gawaine Powell Davies and Mark F </w:t>
            </w:r>
            <w:r>
              <w:rPr>
                <w:rFonts w:ascii="Garamond" w:hAnsi="Garamond"/>
                <w:lang w:val="en-AU"/>
              </w:rPr>
              <w:t>Harris)</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Mapping access to health services as a strategy for planning: </w:t>
            </w:r>
            <w:r w:rsidRPr="004401F5">
              <w:rPr>
                <w:rFonts w:ascii="Garamond" w:hAnsi="Garamond"/>
                <w:b/>
                <w:lang w:val="en-AU"/>
              </w:rPr>
              <w:t>access to primary care</w:t>
            </w:r>
            <w:r w:rsidRPr="004401F5">
              <w:rPr>
                <w:rFonts w:ascii="Garamond" w:hAnsi="Garamond"/>
                <w:lang w:val="en-AU"/>
              </w:rPr>
              <w:t xml:space="preserve"> for older people in regional Queensland </w:t>
            </w:r>
            <w:r w:rsidRPr="004401F5">
              <w:rPr>
                <w:rFonts w:ascii="Garamond" w:hAnsi="Garamond"/>
                <w:lang w:val="en-AU"/>
              </w:rPr>
              <w:t>(</w:t>
            </w:r>
            <w:r w:rsidRPr="004401F5">
              <w:rPr>
                <w:rFonts w:ascii="Garamond" w:hAnsi="Garamond"/>
                <w:lang w:val="en-AU"/>
              </w:rPr>
              <w:t xml:space="preserve">Rebecca Evans, Sarah Larkins, Tracy Cheffins, Rhonda Fleming, </w:t>
            </w:r>
            <w:r>
              <w:rPr>
                <w:rFonts w:ascii="Garamond" w:hAnsi="Garamond"/>
                <w:lang w:val="en-AU"/>
              </w:rPr>
              <w:t>Karen Johnston and Marc Tennant)</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Research culture and capacity</w:t>
            </w:r>
            <w:r w:rsidRPr="004401F5">
              <w:rPr>
                <w:rFonts w:ascii="Garamond" w:hAnsi="Garamond"/>
                <w:lang w:val="en-AU"/>
              </w:rPr>
              <w:t xml:space="preserve"> in community health services: results of a structured survey of staff </w:t>
            </w:r>
            <w:r w:rsidRPr="004401F5">
              <w:rPr>
                <w:rFonts w:ascii="Garamond" w:hAnsi="Garamond"/>
                <w:lang w:val="en-AU"/>
              </w:rPr>
              <w:t>(</w:t>
            </w:r>
            <w:r w:rsidRPr="004401F5">
              <w:rPr>
                <w:rFonts w:ascii="Garamond" w:hAnsi="Garamond"/>
                <w:lang w:val="en-AU"/>
              </w:rPr>
              <w:t>Emma L Friesen and E</w:t>
            </w:r>
            <w:r>
              <w:rPr>
                <w:rFonts w:ascii="Garamond" w:hAnsi="Garamond"/>
                <w:lang w:val="en-AU"/>
              </w:rPr>
              <w:t>lizabeth J Comino)</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Variations</w:t>
            </w:r>
            <w:r w:rsidRPr="004401F5">
              <w:rPr>
                <w:rFonts w:ascii="Garamond" w:hAnsi="Garamond"/>
                <w:lang w:val="en-AU"/>
              </w:rPr>
              <w:t xml:space="preserve"> in perceived </w:t>
            </w:r>
            <w:r w:rsidRPr="004401F5">
              <w:rPr>
                <w:rFonts w:ascii="Garamond" w:hAnsi="Garamond"/>
                <w:b/>
                <w:lang w:val="en-AU"/>
              </w:rPr>
              <w:t>primary healthcare access</w:t>
            </w:r>
            <w:r w:rsidRPr="004401F5">
              <w:rPr>
                <w:rFonts w:ascii="Garamond" w:hAnsi="Garamond"/>
                <w:lang w:val="en-AU"/>
              </w:rPr>
              <w:t xml:space="preserve"> across family structures and their predictors in adolescents </w:t>
            </w:r>
            <w:r w:rsidRPr="004401F5">
              <w:rPr>
                <w:rFonts w:ascii="Garamond" w:hAnsi="Garamond"/>
                <w:lang w:val="en-AU"/>
              </w:rPr>
              <w:t>(</w:t>
            </w:r>
            <w:r w:rsidRPr="004401F5">
              <w:rPr>
                <w:rFonts w:ascii="Garamond" w:hAnsi="Garamond"/>
                <w:lang w:val="en-AU"/>
              </w:rPr>
              <w:t>Kénora Chau, Jean-Char</w:t>
            </w:r>
            <w:r>
              <w:rPr>
                <w:rFonts w:ascii="Garamond" w:hAnsi="Garamond"/>
                <w:lang w:val="en-AU"/>
              </w:rPr>
              <w:t xml:space="preserve">les Vauthier and </w:t>
            </w:r>
            <w:r>
              <w:rPr>
                <w:rFonts w:ascii="Garamond" w:hAnsi="Garamond"/>
                <w:lang w:val="en-AU"/>
              </w:rPr>
              <w:lastRenderedPageBreak/>
              <w:t>Bernard Kabuth)</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Reducing emergency department presentations</w:t>
            </w:r>
            <w:r w:rsidRPr="004401F5">
              <w:rPr>
                <w:rFonts w:ascii="Garamond" w:hAnsi="Garamond"/>
                <w:lang w:val="en-AU"/>
              </w:rPr>
              <w:t xml:space="preserve"> among chronically ill patients in Western Sydney: a key role for </w:t>
            </w:r>
            <w:r w:rsidRPr="004401F5">
              <w:rPr>
                <w:rFonts w:ascii="Garamond" w:hAnsi="Garamond"/>
                <w:b/>
                <w:lang w:val="en-AU"/>
              </w:rPr>
              <w:t>coordinated primary care</w:t>
            </w:r>
            <w:r w:rsidRPr="004401F5">
              <w:rPr>
                <w:rFonts w:ascii="Garamond" w:hAnsi="Garamond"/>
                <w:lang w:val="en-AU"/>
              </w:rPr>
              <w:t xml:space="preserve"> </w:t>
            </w:r>
            <w:r w:rsidRPr="004401F5">
              <w:rPr>
                <w:rFonts w:ascii="Garamond" w:hAnsi="Garamond"/>
                <w:lang w:val="en-AU"/>
              </w:rPr>
              <w:t>(</w:t>
            </w:r>
            <w:r w:rsidRPr="004401F5">
              <w:rPr>
                <w:rFonts w:ascii="Garamond" w:hAnsi="Garamond"/>
                <w:lang w:val="en-AU"/>
              </w:rPr>
              <w:t>Kylie-Ann Mallitt, Justin McNab, Rod Hughes, Joanne Fernyhough, J</w:t>
            </w:r>
            <w:r>
              <w:rPr>
                <w:rFonts w:ascii="Garamond" w:hAnsi="Garamond"/>
                <w:lang w:val="en-AU"/>
              </w:rPr>
              <w:t>anis Paterson and Di O'Halloran)</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Perspectives of Australian general practitioners on </w:t>
            </w:r>
            <w:r w:rsidRPr="004401F5">
              <w:rPr>
                <w:rFonts w:ascii="Garamond" w:hAnsi="Garamond"/>
                <w:b/>
                <w:lang w:val="en-AU"/>
              </w:rPr>
              <w:t xml:space="preserve">shared care </w:t>
            </w:r>
            <w:r w:rsidRPr="004401F5">
              <w:rPr>
                <w:rFonts w:ascii="Garamond" w:hAnsi="Garamond"/>
                <w:lang w:val="en-AU"/>
              </w:rPr>
              <w:t>for</w:t>
            </w:r>
            <w:r w:rsidRPr="004401F5">
              <w:rPr>
                <w:rFonts w:ascii="Garamond" w:hAnsi="Garamond"/>
                <w:b/>
                <w:lang w:val="en-AU"/>
              </w:rPr>
              <w:t xml:space="preserve"> paediatric patients</w:t>
            </w:r>
            <w:r w:rsidRPr="004401F5">
              <w:rPr>
                <w:rFonts w:ascii="Garamond" w:hAnsi="Garamond"/>
                <w:lang w:val="en-AU"/>
              </w:rPr>
              <w:t xml:space="preserve"> </w:t>
            </w:r>
            <w:r w:rsidRPr="004401F5">
              <w:rPr>
                <w:rFonts w:ascii="Garamond" w:hAnsi="Garamond"/>
                <w:lang w:val="en-AU"/>
              </w:rPr>
              <w:t>(</w:t>
            </w:r>
            <w:r w:rsidRPr="004401F5">
              <w:rPr>
                <w:rFonts w:ascii="Garamond" w:hAnsi="Garamond"/>
                <w:lang w:val="en-AU"/>
              </w:rPr>
              <w:t>Erin Turbitt, Marina Kunin, Sarah Gafforini, Lena Sanc</w:t>
            </w:r>
            <w:r>
              <w:rPr>
                <w:rFonts w:ascii="Garamond" w:hAnsi="Garamond"/>
                <w:lang w:val="en-AU"/>
              </w:rPr>
              <w:t>i, Neil Spike and Gary L. Freed)</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The emergence of integrated approaches to </w:t>
            </w:r>
            <w:r w:rsidRPr="004401F5">
              <w:rPr>
                <w:rFonts w:ascii="Garamond" w:hAnsi="Garamond"/>
                <w:b/>
                <w:lang w:val="en-AU"/>
              </w:rPr>
              <w:t>worker health, safety and wellbeing</w:t>
            </w:r>
            <w:r w:rsidRPr="004401F5">
              <w:rPr>
                <w:rFonts w:ascii="Garamond" w:hAnsi="Garamond"/>
                <w:lang w:val="en-AU"/>
              </w:rPr>
              <w:t xml:space="preserve"> in Australia </w:t>
            </w:r>
            <w:r w:rsidRPr="004401F5">
              <w:rPr>
                <w:rFonts w:ascii="Garamond" w:hAnsi="Garamond"/>
                <w:lang w:val="en-AU"/>
              </w:rPr>
              <w:t>(</w:t>
            </w:r>
            <w:r w:rsidRPr="004401F5">
              <w:rPr>
                <w:rFonts w:ascii="Garamond" w:hAnsi="Garamond"/>
                <w:lang w:val="en-AU"/>
              </w:rPr>
              <w:t>Nerida Joss, Eliette Dupré-Husser, Ama</w:t>
            </w:r>
            <w:r>
              <w:rPr>
                <w:rFonts w:ascii="Garamond" w:hAnsi="Garamond"/>
                <w:lang w:val="en-AU"/>
              </w:rPr>
              <w:t>nda Cooklin and Brian Oldenburg)</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Home care packages</w:t>
            </w:r>
            <w:r w:rsidRPr="004401F5">
              <w:rPr>
                <w:rFonts w:ascii="Garamond" w:hAnsi="Garamond"/>
                <w:lang w:val="en-AU"/>
              </w:rPr>
              <w:t xml:space="preserve">: insights into the experiences of older people leading up to the introduction of consumer directed care in Australia </w:t>
            </w:r>
            <w:r w:rsidRPr="004401F5">
              <w:rPr>
                <w:rFonts w:ascii="Garamond" w:hAnsi="Garamond"/>
                <w:lang w:val="en-AU"/>
              </w:rPr>
              <w:t>(</w:t>
            </w:r>
            <w:r w:rsidRPr="004401F5">
              <w:rPr>
                <w:rFonts w:ascii="Garamond" w:hAnsi="Garamond"/>
                <w:lang w:val="en-AU"/>
              </w:rPr>
              <w:t>Jenny Day, Ann Clare Thorington Taylor, Peter Summons, Pamela Van Der Riet, Sharyn Hunter, Jane Maguire, Sophie Dilworth, Helen Bellchambers, Sarah Jeong, Gunilla Haydon, Margaret Harris an</w:t>
            </w:r>
            <w:r>
              <w:rPr>
                <w:rFonts w:ascii="Garamond" w:hAnsi="Garamond"/>
                <w:lang w:val="en-AU"/>
              </w:rPr>
              <w:t>d Isabel Higgins)</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Findings from a clinical audit in regional general practice of </w:t>
            </w:r>
            <w:r w:rsidRPr="004401F5">
              <w:rPr>
                <w:rFonts w:ascii="Garamond" w:hAnsi="Garamond"/>
                <w:b/>
                <w:lang w:val="en-AU"/>
              </w:rPr>
              <w:t>management</w:t>
            </w:r>
            <w:r w:rsidRPr="004401F5">
              <w:rPr>
                <w:rFonts w:ascii="Garamond" w:hAnsi="Garamond"/>
                <w:lang w:val="en-AU"/>
              </w:rPr>
              <w:t xml:space="preserve"> of patients following </w:t>
            </w:r>
            <w:r w:rsidRPr="004401F5">
              <w:rPr>
                <w:rFonts w:ascii="Garamond" w:hAnsi="Garamond"/>
                <w:b/>
                <w:lang w:val="en-AU"/>
              </w:rPr>
              <w:t>acute coronary syndrome</w:t>
            </w:r>
            <w:r w:rsidRPr="004401F5">
              <w:rPr>
                <w:rFonts w:ascii="Garamond" w:hAnsi="Garamond"/>
                <w:lang w:val="en-AU"/>
              </w:rPr>
              <w:t xml:space="preserve"> </w:t>
            </w:r>
            <w:r w:rsidRPr="004401F5">
              <w:rPr>
                <w:rFonts w:ascii="Garamond" w:hAnsi="Garamond"/>
                <w:lang w:val="en-AU"/>
              </w:rPr>
              <w:t>(</w:t>
            </w:r>
            <w:r w:rsidRPr="004401F5">
              <w:rPr>
                <w:rFonts w:ascii="Garamond" w:hAnsi="Garamond"/>
                <w:lang w:val="en-AU"/>
              </w:rPr>
              <w:t>Mithilesh Dronavalli, Manavi M Bhagwat, Sandy Hamilton, Marisa Gilles, Jacquie Gart</w:t>
            </w:r>
            <w:r>
              <w:rPr>
                <w:rFonts w:ascii="Garamond" w:hAnsi="Garamond"/>
                <w:lang w:val="en-AU"/>
              </w:rPr>
              <w:t>on-Smith and Sandra C Thompson)</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b/>
                <w:lang w:val="en-AU"/>
              </w:rPr>
              <w:t>Nutritional care of older patients</w:t>
            </w:r>
            <w:r w:rsidRPr="004401F5">
              <w:rPr>
                <w:rFonts w:ascii="Garamond" w:hAnsi="Garamond"/>
                <w:lang w:val="en-AU"/>
              </w:rPr>
              <w:t xml:space="preserve">: experiences of general practitioners and practice nurses </w:t>
            </w:r>
            <w:r w:rsidRPr="004401F5">
              <w:rPr>
                <w:rFonts w:ascii="Garamond" w:hAnsi="Garamond"/>
                <w:lang w:val="en-AU"/>
              </w:rPr>
              <w:t>(</w:t>
            </w:r>
            <w:r w:rsidRPr="004401F5">
              <w:rPr>
                <w:rFonts w:ascii="Garamond" w:hAnsi="Garamond"/>
                <w:lang w:val="en-AU"/>
              </w:rPr>
              <w:t>Jane Winter, Sarah A McNaughton and Caryl A Nowson</w:t>
            </w:r>
            <w:r>
              <w:rPr>
                <w:rFonts w:ascii="Garamond" w:hAnsi="Garamond"/>
                <w:lang w:val="en-AU"/>
              </w:rPr>
              <w:t>)</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Surviving or thriving in the </w:t>
            </w:r>
            <w:r w:rsidRPr="004401F5">
              <w:rPr>
                <w:rFonts w:ascii="Garamond" w:hAnsi="Garamond"/>
                <w:b/>
                <w:lang w:val="en-AU"/>
              </w:rPr>
              <w:t>primary health care research workforce</w:t>
            </w:r>
            <w:r w:rsidRPr="004401F5">
              <w:rPr>
                <w:rFonts w:ascii="Garamond" w:hAnsi="Garamond"/>
                <w:lang w:val="en-AU"/>
              </w:rPr>
              <w:t xml:space="preserve">: the Australian experience </w:t>
            </w:r>
            <w:r w:rsidRPr="004401F5">
              <w:rPr>
                <w:rFonts w:ascii="Garamond" w:hAnsi="Garamond"/>
                <w:lang w:val="en-AU"/>
              </w:rPr>
              <w:t>(</w:t>
            </w:r>
            <w:r w:rsidRPr="004401F5">
              <w:rPr>
                <w:rFonts w:ascii="Garamond" w:hAnsi="Garamond"/>
                <w:lang w:val="en-AU"/>
              </w:rPr>
              <w:t xml:space="preserve">Jodie Oliver-Baxter, </w:t>
            </w:r>
            <w:r>
              <w:rPr>
                <w:rFonts w:ascii="Garamond" w:hAnsi="Garamond"/>
                <w:lang w:val="en-AU"/>
              </w:rPr>
              <w:t>Lynsey Brown and Ellen McIntyre)</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The reach and flow of </w:t>
            </w:r>
            <w:r w:rsidRPr="004401F5">
              <w:rPr>
                <w:rFonts w:ascii="Garamond" w:hAnsi="Garamond"/>
                <w:b/>
                <w:lang w:val="en-AU"/>
              </w:rPr>
              <w:t>health information</w:t>
            </w:r>
            <w:r w:rsidRPr="004401F5">
              <w:rPr>
                <w:rFonts w:ascii="Garamond" w:hAnsi="Garamond"/>
                <w:lang w:val="en-AU"/>
              </w:rPr>
              <w:t xml:space="preserve"> in two </w:t>
            </w:r>
            <w:r w:rsidRPr="004401F5">
              <w:rPr>
                <w:rFonts w:ascii="Garamond" w:hAnsi="Garamond"/>
                <w:b/>
                <w:lang w:val="en-AU"/>
              </w:rPr>
              <w:t>Aboriginal communities</w:t>
            </w:r>
            <w:r w:rsidRPr="004401F5">
              <w:rPr>
                <w:rFonts w:ascii="Garamond" w:hAnsi="Garamond"/>
                <w:lang w:val="en-AU"/>
              </w:rPr>
              <w:t xml:space="preserve">: a social network analysis </w:t>
            </w:r>
            <w:r w:rsidRPr="004401F5">
              <w:rPr>
                <w:rFonts w:ascii="Garamond" w:hAnsi="Garamond"/>
                <w:lang w:val="en-AU"/>
              </w:rPr>
              <w:t>(</w:t>
            </w:r>
            <w:r w:rsidRPr="004401F5">
              <w:rPr>
                <w:rFonts w:ascii="Garamond" w:hAnsi="Garamond"/>
                <w:lang w:val="en-AU"/>
              </w:rPr>
              <w:t>Scott Winch, Nageen Ahmed, Christopher Rissel, Michelle Maxwell</w:t>
            </w:r>
            <w:r>
              <w:rPr>
                <w:rFonts w:ascii="Garamond" w:hAnsi="Garamond"/>
                <w:lang w:val="en-AU"/>
              </w:rPr>
              <w:t>, Joanna Coutts and Kerri Lucas)</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Barriers and enablers to </w:t>
            </w:r>
            <w:r w:rsidRPr="004401F5">
              <w:rPr>
                <w:rFonts w:ascii="Garamond" w:hAnsi="Garamond"/>
                <w:b/>
                <w:lang w:val="en-AU"/>
              </w:rPr>
              <w:t>malnutrition screening</w:t>
            </w:r>
            <w:r w:rsidRPr="004401F5">
              <w:rPr>
                <w:rFonts w:ascii="Garamond" w:hAnsi="Garamond"/>
                <w:lang w:val="en-AU"/>
              </w:rPr>
              <w:t xml:space="preserve"> of community-living older adults: a content analysis of survey data by Australian dietitians </w:t>
            </w:r>
            <w:r w:rsidRPr="004401F5">
              <w:rPr>
                <w:rFonts w:ascii="Garamond" w:hAnsi="Garamond"/>
                <w:lang w:val="en-AU"/>
              </w:rPr>
              <w:t>(</w:t>
            </w:r>
            <w:r>
              <w:rPr>
                <w:rFonts w:ascii="Garamond" w:hAnsi="Garamond"/>
                <w:lang w:val="en-AU"/>
              </w:rPr>
              <w:t>Dana L</w:t>
            </w:r>
            <w:r w:rsidRPr="004401F5">
              <w:rPr>
                <w:rFonts w:ascii="Garamond" w:hAnsi="Garamond"/>
                <w:lang w:val="en-AU"/>
              </w:rPr>
              <w:t xml:space="preserve"> Craven, Fiona E Pelly, Elisabe</w:t>
            </w:r>
            <w:r>
              <w:rPr>
                <w:rFonts w:ascii="Garamond" w:hAnsi="Garamond"/>
                <w:lang w:val="en-AU"/>
              </w:rPr>
              <w:t>th Isenring and Geoff P Lovell)</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Socioeconomic status as a factor in Indigenous and non-Indigenous </w:t>
            </w:r>
            <w:r w:rsidRPr="004401F5">
              <w:rPr>
                <w:rFonts w:ascii="Garamond" w:hAnsi="Garamond"/>
                <w:b/>
                <w:lang w:val="en-AU"/>
              </w:rPr>
              <w:t>children with hearing loss</w:t>
            </w:r>
            <w:r w:rsidRPr="004401F5">
              <w:rPr>
                <w:rFonts w:ascii="Garamond" w:hAnsi="Garamond"/>
                <w:lang w:val="en-AU"/>
              </w:rPr>
              <w:t xml:space="preserve">: analysis of national survey data </w:t>
            </w:r>
            <w:r w:rsidRPr="004401F5">
              <w:rPr>
                <w:rFonts w:ascii="Garamond" w:hAnsi="Garamond"/>
                <w:lang w:val="en-AU"/>
              </w:rPr>
              <w:t>(</w:t>
            </w:r>
            <w:r w:rsidRPr="004401F5">
              <w:rPr>
                <w:rFonts w:ascii="Garamond" w:hAnsi="Garamond"/>
                <w:lang w:val="en-AU"/>
              </w:rPr>
              <w:t xml:space="preserve">Andrea Simpson, Joanne </w:t>
            </w:r>
            <w:r>
              <w:rPr>
                <w:rFonts w:ascii="Garamond" w:hAnsi="Garamond"/>
                <w:lang w:val="en-AU"/>
              </w:rPr>
              <w:t>C Enticott and Jacinta Douglas)</w:t>
            </w:r>
          </w:p>
          <w:p w:rsidR="004401F5" w:rsidRPr="004401F5" w:rsidRDefault="004401F5" w:rsidP="004401F5">
            <w:pPr>
              <w:pStyle w:val="ListParagraph"/>
              <w:numPr>
                <w:ilvl w:val="0"/>
                <w:numId w:val="45"/>
              </w:numPr>
              <w:rPr>
                <w:rFonts w:ascii="Garamond" w:hAnsi="Garamond"/>
                <w:lang w:val="en-AU"/>
              </w:rPr>
            </w:pPr>
            <w:r w:rsidRPr="004401F5">
              <w:rPr>
                <w:rFonts w:ascii="Garamond" w:hAnsi="Garamond"/>
                <w:lang w:val="en-AU"/>
              </w:rPr>
              <w:t xml:space="preserve">Corrigendum to: Socioeconomic status as a factor in Indigenous and non-Indigenous </w:t>
            </w:r>
            <w:r w:rsidRPr="004401F5">
              <w:rPr>
                <w:rFonts w:ascii="Garamond" w:hAnsi="Garamond"/>
                <w:b/>
                <w:lang w:val="en-AU"/>
              </w:rPr>
              <w:t>children with hearing loss</w:t>
            </w:r>
            <w:r w:rsidRPr="004401F5">
              <w:rPr>
                <w:rFonts w:ascii="Garamond" w:hAnsi="Garamond"/>
                <w:lang w:val="en-AU"/>
              </w:rPr>
              <w:t xml:space="preserve">: analysis of national survey data </w:t>
            </w:r>
            <w:r w:rsidRPr="004401F5">
              <w:rPr>
                <w:rFonts w:ascii="Garamond" w:hAnsi="Garamond"/>
                <w:lang w:val="en-AU"/>
              </w:rPr>
              <w:t>(</w:t>
            </w:r>
            <w:r w:rsidRPr="004401F5">
              <w:rPr>
                <w:rFonts w:ascii="Garamond" w:hAnsi="Garamond"/>
                <w:lang w:val="en-AU"/>
              </w:rPr>
              <w:t xml:space="preserve">Andrea Simpson, Joanne </w:t>
            </w:r>
            <w:r>
              <w:rPr>
                <w:rFonts w:ascii="Garamond" w:hAnsi="Garamond"/>
                <w:lang w:val="en-AU"/>
              </w:rPr>
              <w:t>C Enticott and Jacinta Douglas)</w:t>
            </w:r>
          </w:p>
        </w:tc>
      </w:tr>
    </w:tbl>
    <w:p w:rsidR="003F68DC" w:rsidRDefault="003F68DC" w:rsidP="003F68DC">
      <w:pPr>
        <w:keepNext/>
        <w:rPr>
          <w:rFonts w:ascii="Garamond" w:hAnsi="Garamond"/>
          <w:i/>
          <w:lang w:val="en-AU" w:eastAsia="en-AU"/>
        </w:rPr>
      </w:pPr>
    </w:p>
    <w:p w:rsidR="003F68DC" w:rsidRPr="002727FF" w:rsidRDefault="002727FF" w:rsidP="003F68DC">
      <w:pPr>
        <w:keepNext/>
        <w:rPr>
          <w:rFonts w:ascii="Garamond" w:hAnsi="Garamond"/>
          <w:i/>
          <w:lang w:val="en-AU"/>
        </w:rPr>
      </w:pPr>
      <w:r w:rsidRPr="002727FF">
        <w:rPr>
          <w:rFonts w:ascii="Garamond" w:hAnsi="Garamond"/>
          <w:i/>
          <w:lang w:val="en-AU"/>
        </w:rPr>
        <w:t>Healthcare Papers</w:t>
      </w:r>
    </w:p>
    <w:p w:rsidR="002727FF" w:rsidRPr="00A45262" w:rsidRDefault="002727FF" w:rsidP="003F68DC">
      <w:pPr>
        <w:keepNext/>
        <w:rPr>
          <w:rFonts w:ascii="Garamond" w:hAnsi="Garamond"/>
          <w:lang w:val="en-AU"/>
        </w:rPr>
      </w:pPr>
      <w:r w:rsidRPr="002727FF">
        <w:rPr>
          <w:rFonts w:ascii="Garamond" w:hAnsi="Garamond"/>
          <w:lang w:val="en-AU"/>
        </w:rPr>
        <w:t>Vol. 16, No. 2, 2016</w:t>
      </w:r>
    </w:p>
    <w:tbl>
      <w:tblPr>
        <w:tblStyle w:val="TableGrid"/>
        <w:tblW w:w="0" w:type="auto"/>
        <w:tblInd w:w="288" w:type="dxa"/>
        <w:tblLayout w:type="fixed"/>
        <w:tblLook w:val="01E0" w:firstRow="1" w:lastRow="1" w:firstColumn="1" w:lastColumn="1" w:noHBand="0" w:noVBand="0"/>
      </w:tblPr>
      <w:tblGrid>
        <w:gridCol w:w="1080"/>
        <w:gridCol w:w="8280"/>
      </w:tblGrid>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2727FF" w:rsidP="0089075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68DC" w:rsidRPr="00A45262" w:rsidRDefault="00AC4BB8" w:rsidP="0089075E">
            <w:pPr>
              <w:rPr>
                <w:rStyle w:val="Hyperlink"/>
                <w:rFonts w:ascii="Garamond" w:hAnsi="Garamond"/>
                <w:color w:val="auto"/>
                <w:u w:val="none"/>
                <w:lang w:val="en-AU"/>
              </w:rPr>
            </w:pPr>
            <w:hyperlink r:id="rId24" w:history="1">
              <w:r w:rsidR="002727FF" w:rsidRPr="000379EF">
                <w:rPr>
                  <w:rStyle w:val="Hyperlink"/>
                  <w:rFonts w:ascii="Garamond" w:hAnsi="Garamond"/>
                  <w:lang w:val="en-AU"/>
                </w:rPr>
                <w:t>http://www.longwoods.com/publications/healthcarepapers/24997</w:t>
              </w:r>
            </w:hyperlink>
          </w:p>
        </w:tc>
      </w:tr>
      <w:tr w:rsidR="003F68DC" w:rsidRPr="00A45262" w:rsidTr="0089075E">
        <w:tc>
          <w:tcPr>
            <w:tcW w:w="1080" w:type="dxa"/>
            <w:tcBorders>
              <w:top w:val="single" w:sz="4" w:space="0" w:color="auto"/>
              <w:left w:val="single" w:sz="4" w:space="0" w:color="auto"/>
              <w:bottom w:val="single" w:sz="4" w:space="0" w:color="auto"/>
              <w:right w:val="single" w:sz="4" w:space="0" w:color="auto"/>
            </w:tcBorders>
            <w:vAlign w:val="center"/>
          </w:tcPr>
          <w:p w:rsidR="003F68DC" w:rsidRPr="00A45262" w:rsidRDefault="003F68DC" w:rsidP="0089075E">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68DC" w:rsidRDefault="002727FF" w:rsidP="0089075E">
            <w:pPr>
              <w:rPr>
                <w:rFonts w:ascii="Garamond" w:hAnsi="Garamond"/>
                <w:lang w:val="en-AU"/>
              </w:rPr>
            </w:pPr>
            <w:r>
              <w:rPr>
                <w:rFonts w:ascii="Garamond" w:hAnsi="Garamond"/>
                <w:lang w:val="en-AU"/>
              </w:rPr>
              <w:t xml:space="preserve">The most recent issue of </w:t>
            </w:r>
            <w:r w:rsidRPr="002727FF">
              <w:rPr>
                <w:rFonts w:ascii="Garamond" w:hAnsi="Garamond"/>
                <w:i/>
                <w:lang w:val="en-AU"/>
              </w:rPr>
              <w:t>Healthcare Papers</w:t>
            </w:r>
            <w:r>
              <w:rPr>
                <w:rFonts w:ascii="Garamond" w:hAnsi="Garamond"/>
                <w:lang w:val="en-AU"/>
              </w:rPr>
              <w:t xml:space="preserve"> has the theme ‘</w:t>
            </w:r>
            <w:r w:rsidRPr="002727FF">
              <w:rPr>
                <w:rFonts w:ascii="Garamond" w:hAnsi="Garamond"/>
                <w:lang w:val="en-AU"/>
              </w:rPr>
              <w:t>Towards a Community-Based Dementia Care Strategy: How Do We Get There from Here?</w:t>
            </w:r>
            <w:r>
              <w:rPr>
                <w:rFonts w:ascii="Garamond" w:hAnsi="Garamond"/>
                <w:lang w:val="en-AU"/>
              </w:rPr>
              <w:t xml:space="preserve">’ Articles in this issue of </w:t>
            </w:r>
            <w:r w:rsidRPr="002727FF">
              <w:rPr>
                <w:rFonts w:ascii="Garamond" w:hAnsi="Garamond"/>
                <w:i/>
                <w:lang w:val="en-AU"/>
              </w:rPr>
              <w:t>Healthcare Papers</w:t>
            </w:r>
            <w:r>
              <w:rPr>
                <w:rFonts w:ascii="Garamond" w:hAnsi="Garamond"/>
                <w:lang w:val="en-AU"/>
              </w:rPr>
              <w:t xml:space="preserve"> include:</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b/>
                <w:lang w:val="en-AU"/>
              </w:rPr>
              <w:t>Smarter Approaches to Dementia</w:t>
            </w:r>
            <w:r w:rsidRPr="002727FF">
              <w:rPr>
                <w:rFonts w:ascii="Garamond" w:hAnsi="Garamond"/>
                <w:lang w:val="en-AU"/>
              </w:rPr>
              <w:t xml:space="preserve"> (</w:t>
            </w:r>
            <w:r>
              <w:rPr>
                <w:rFonts w:ascii="Garamond" w:hAnsi="Garamond"/>
                <w:lang w:val="en-AU"/>
              </w:rPr>
              <w:t>Adalsteinn D</w:t>
            </w:r>
            <w:r w:rsidRPr="002727FF">
              <w:rPr>
                <w:rFonts w:ascii="Garamond" w:hAnsi="Garamond"/>
                <w:lang w:val="en-AU"/>
              </w:rPr>
              <w:t xml:space="preserve"> Brown</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Towards a </w:t>
            </w:r>
            <w:r w:rsidRPr="002727FF">
              <w:rPr>
                <w:rFonts w:ascii="Garamond" w:hAnsi="Garamond"/>
                <w:b/>
                <w:lang w:val="en-AU"/>
              </w:rPr>
              <w:t>Community-Based Dementia Care Strategy</w:t>
            </w:r>
            <w:r w:rsidRPr="002727FF">
              <w:rPr>
                <w:rFonts w:ascii="Garamond" w:hAnsi="Garamond"/>
                <w:lang w:val="en-AU"/>
              </w:rPr>
              <w:t>: How Do We Get There from Here? (Frances Morton-Chang, A Paul Williams, Whitney Berta and Audrey Laporte</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Let’s Put the Pieces Together: Frailty, Social Vulnerability, the Continuum of Care, Prevention and Research are Key Considerations for a </w:t>
            </w:r>
            <w:r w:rsidRPr="002727FF">
              <w:rPr>
                <w:rFonts w:ascii="Garamond" w:hAnsi="Garamond"/>
                <w:b/>
                <w:lang w:val="en-AU"/>
              </w:rPr>
              <w:t>Dementia Care Strategy</w:t>
            </w:r>
            <w:r w:rsidRPr="002727FF">
              <w:rPr>
                <w:rFonts w:ascii="Garamond" w:hAnsi="Garamond"/>
                <w:lang w:val="en-AU"/>
              </w:rPr>
              <w:t xml:space="preserve"> (Melissa K Andrew</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lastRenderedPageBreak/>
              <w:t xml:space="preserve">Towards a </w:t>
            </w:r>
            <w:r w:rsidRPr="002727FF">
              <w:rPr>
                <w:rFonts w:ascii="Garamond" w:hAnsi="Garamond"/>
                <w:b/>
                <w:lang w:val="en-AU"/>
              </w:rPr>
              <w:t>Community-Based Dementia Care Strategy</w:t>
            </w:r>
            <w:r w:rsidRPr="002727FF">
              <w:rPr>
                <w:rFonts w:ascii="Garamond" w:hAnsi="Garamond"/>
                <w:lang w:val="en-AU"/>
              </w:rPr>
              <w:t>: A Perspective from Quebec (Claire Godard-Sebillotte, Isabelle Vedel and Howard Bergman</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176BDA">
              <w:rPr>
                <w:rFonts w:ascii="Garamond" w:hAnsi="Garamond"/>
                <w:b/>
                <w:lang w:val="en-AU"/>
              </w:rPr>
              <w:t>Dementia</w:t>
            </w:r>
            <w:r w:rsidRPr="002727FF">
              <w:rPr>
                <w:rFonts w:ascii="Garamond" w:hAnsi="Garamond"/>
                <w:lang w:val="en-AU"/>
              </w:rPr>
              <w:t xml:space="preserve"> as a </w:t>
            </w:r>
            <w:r w:rsidRPr="00176BDA">
              <w:rPr>
                <w:rFonts w:ascii="Garamond" w:hAnsi="Garamond"/>
                <w:b/>
                <w:lang w:val="en-AU"/>
              </w:rPr>
              <w:t>Disability</w:t>
            </w:r>
            <w:r w:rsidRPr="002727FF">
              <w:rPr>
                <w:rFonts w:ascii="Garamond" w:hAnsi="Garamond"/>
                <w:lang w:val="en-AU"/>
              </w:rPr>
              <w:t xml:space="preserve"> and </w:t>
            </w:r>
            <w:r w:rsidRPr="00176BDA">
              <w:rPr>
                <w:rFonts w:ascii="Garamond" w:hAnsi="Garamond"/>
                <w:b/>
                <w:lang w:val="en-AU"/>
              </w:rPr>
              <w:t>Human Rights</w:t>
            </w:r>
            <w:r w:rsidRPr="002727FF">
              <w:rPr>
                <w:rFonts w:ascii="Garamond" w:hAnsi="Garamond"/>
                <w:lang w:val="en-AU"/>
              </w:rPr>
              <w:t xml:space="preserve"> Issue (Nancy Rushford and David Harvey</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Three </w:t>
            </w:r>
            <w:r w:rsidRPr="002727FF">
              <w:rPr>
                <w:rFonts w:ascii="Garamond" w:hAnsi="Garamond"/>
                <w:b/>
                <w:lang w:val="en-AU"/>
              </w:rPr>
              <w:t>Values</w:t>
            </w:r>
            <w:r w:rsidRPr="002727FF">
              <w:rPr>
                <w:rFonts w:ascii="Garamond" w:hAnsi="Garamond"/>
                <w:lang w:val="en-AU"/>
              </w:rPr>
              <w:t xml:space="preserve"> That Should Underlie </w:t>
            </w:r>
            <w:r w:rsidRPr="002727FF">
              <w:rPr>
                <w:rFonts w:ascii="Garamond" w:hAnsi="Garamond"/>
                <w:b/>
                <w:lang w:val="en-AU"/>
              </w:rPr>
              <w:t>Community-Based Dementia Care Strategies</w:t>
            </w:r>
            <w:r w:rsidRPr="002727FF">
              <w:rPr>
                <w:rFonts w:ascii="Garamond" w:hAnsi="Garamond"/>
                <w:lang w:val="en-AU"/>
              </w:rPr>
              <w:t xml:space="preserve"> (Nisha Sutherland and Elaine Wiersma</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The </w:t>
            </w:r>
            <w:r w:rsidRPr="002727FF">
              <w:rPr>
                <w:rFonts w:ascii="Garamond" w:hAnsi="Garamond"/>
                <w:b/>
                <w:lang w:val="en-AU"/>
              </w:rPr>
              <w:t>Journey towards Community-Based Dementia Care</w:t>
            </w:r>
            <w:r w:rsidRPr="002727FF">
              <w:rPr>
                <w:rFonts w:ascii="Garamond" w:hAnsi="Garamond"/>
                <w:lang w:val="en-AU"/>
              </w:rPr>
              <w:t>: The Destination, Roadmap, Guide, Tour Group and The Conditions (Henk Nies</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Without </w:t>
            </w:r>
            <w:r w:rsidRPr="002727FF">
              <w:rPr>
                <w:rFonts w:ascii="Garamond" w:hAnsi="Garamond"/>
                <w:b/>
                <w:lang w:val="en-AU"/>
              </w:rPr>
              <w:t>Empowered Patients, Caregivers and Providers</w:t>
            </w:r>
            <w:r w:rsidRPr="002727FF">
              <w:rPr>
                <w:rFonts w:ascii="Garamond" w:hAnsi="Garamond"/>
                <w:lang w:val="en-AU"/>
              </w:rPr>
              <w:t>, a Community-Based Dementia Care Strategy Will Remain Just That (Samir K Sinha</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lang w:val="en-AU"/>
              </w:rPr>
              <w:t xml:space="preserve">A </w:t>
            </w:r>
            <w:r w:rsidRPr="002727FF">
              <w:rPr>
                <w:rFonts w:ascii="Garamond" w:hAnsi="Garamond"/>
                <w:b/>
                <w:lang w:val="en-AU"/>
              </w:rPr>
              <w:t>Community-Based Dementia Care Strategy</w:t>
            </w:r>
            <w:r w:rsidRPr="002727FF">
              <w:rPr>
                <w:rFonts w:ascii="Garamond" w:hAnsi="Garamond"/>
                <w:lang w:val="en-AU"/>
              </w:rPr>
              <w:t>: One Size Does Not Fit All (Frances Morton-Chang, A Paul Williams, Whitney Berta and Audrey Laporte</w:t>
            </w:r>
            <w:r>
              <w:rPr>
                <w:rFonts w:ascii="Garamond" w:hAnsi="Garamond"/>
                <w:lang w:val="en-AU"/>
              </w:rPr>
              <w:t>)</w:t>
            </w:r>
          </w:p>
          <w:p w:rsidR="002727FF" w:rsidRPr="002727FF" w:rsidRDefault="002727FF" w:rsidP="002727FF">
            <w:pPr>
              <w:pStyle w:val="ListParagraph"/>
              <w:numPr>
                <w:ilvl w:val="0"/>
                <w:numId w:val="44"/>
              </w:numPr>
              <w:rPr>
                <w:rFonts w:ascii="Garamond" w:hAnsi="Garamond"/>
                <w:lang w:val="en-AU"/>
              </w:rPr>
            </w:pPr>
            <w:r w:rsidRPr="002727FF">
              <w:rPr>
                <w:rFonts w:ascii="Garamond" w:hAnsi="Garamond"/>
                <w:b/>
                <w:lang w:val="en-AU"/>
              </w:rPr>
              <w:t>Patient Engagement</w:t>
            </w:r>
            <w:r w:rsidRPr="002727FF">
              <w:rPr>
                <w:rFonts w:ascii="Garamond" w:hAnsi="Garamond"/>
                <w:lang w:val="en-AU"/>
              </w:rPr>
              <w:t>: The Quebec Path</w:t>
            </w:r>
            <w:r>
              <w:rPr>
                <w:rFonts w:ascii="Garamond" w:hAnsi="Garamond"/>
                <w:lang w:val="en-AU"/>
              </w:rPr>
              <w:t xml:space="preserve"> (</w:t>
            </w:r>
            <w:r w:rsidRPr="002727FF">
              <w:rPr>
                <w:rFonts w:ascii="Garamond" w:hAnsi="Garamond"/>
                <w:lang w:val="en-AU"/>
              </w:rPr>
              <w:t>Marie-Pascale Pomey and P Lebel</w:t>
            </w:r>
            <w:r>
              <w:rPr>
                <w:rFonts w:ascii="Garamond" w:hAnsi="Garamond"/>
                <w:lang w:val="en-AU"/>
              </w:rPr>
              <w:t>)</w:t>
            </w:r>
          </w:p>
        </w:tc>
      </w:tr>
    </w:tbl>
    <w:p w:rsidR="00FE6D48" w:rsidRDefault="00FE6D48" w:rsidP="003F68DC">
      <w:pPr>
        <w:keepNext/>
        <w:rPr>
          <w:rFonts w:ascii="Garamond" w:hAnsi="Garamond"/>
          <w:lang w:val="en-AU" w:eastAsia="en-AU"/>
        </w:rPr>
      </w:pPr>
    </w:p>
    <w:p w:rsidR="003F68DC" w:rsidRPr="00176BDA" w:rsidRDefault="00176BDA" w:rsidP="003F68DC">
      <w:pPr>
        <w:keepNext/>
        <w:rPr>
          <w:rFonts w:ascii="Garamond" w:hAnsi="Garamond"/>
          <w:lang w:val="en-AU" w:eastAsia="en-AU"/>
        </w:rPr>
      </w:pPr>
      <w:r w:rsidRPr="00176BDA">
        <w:rPr>
          <w:rFonts w:ascii="Garamond" w:hAnsi="Garamond"/>
          <w:lang w:val="en-AU" w:eastAsia="en-AU"/>
        </w:rPr>
        <w:t xml:space="preserve">For information on the Commission’s work on </w:t>
      </w:r>
      <w:r>
        <w:rPr>
          <w:rFonts w:ascii="Garamond" w:hAnsi="Garamond"/>
          <w:lang w:val="en-AU" w:eastAsia="en-AU"/>
        </w:rPr>
        <w:t xml:space="preserve">cognitive impairment </w:t>
      </w:r>
      <w:r w:rsidRPr="00176BDA">
        <w:rPr>
          <w:rFonts w:ascii="Garamond" w:hAnsi="Garamond"/>
          <w:lang w:val="en-AU" w:eastAsia="en-AU"/>
        </w:rPr>
        <w:t>(dementia and delirium)</w:t>
      </w:r>
      <w:r>
        <w:rPr>
          <w:rFonts w:ascii="Garamond" w:hAnsi="Garamond"/>
          <w:lang w:val="en-AU" w:eastAsia="en-AU"/>
        </w:rPr>
        <w:t xml:space="preserve">, see </w:t>
      </w:r>
      <w:hyperlink r:id="rId25" w:history="1">
        <w:r w:rsidRPr="000379EF">
          <w:rPr>
            <w:rStyle w:val="Hyperlink"/>
            <w:rFonts w:ascii="Garamond" w:hAnsi="Garamond"/>
            <w:lang w:val="en-AU" w:eastAsia="en-AU"/>
          </w:rPr>
          <w:t>https://www.safetyandquality.gov.au/our-work/cognitive-impairment/</w:t>
        </w:r>
      </w:hyperlink>
      <w:r>
        <w:rPr>
          <w:rFonts w:ascii="Garamond" w:hAnsi="Garamond"/>
          <w:lang w:val="en-AU" w:eastAsia="en-AU"/>
        </w:rPr>
        <w:t xml:space="preserve"> </w:t>
      </w:r>
    </w:p>
    <w:p w:rsidR="00176BDA" w:rsidRDefault="00176BDA" w:rsidP="003F68DC">
      <w:pPr>
        <w:keepNext/>
        <w:rPr>
          <w:rFonts w:ascii="Garamond" w:hAnsi="Garamond"/>
          <w:i/>
          <w:lang w:val="en-AU" w:eastAsia="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AC4BB8" w:rsidP="00425D88">
            <w:pPr>
              <w:keepNext/>
              <w:rPr>
                <w:rFonts w:ascii="Garamond" w:hAnsi="Garamond"/>
                <w:lang w:val="en-AU"/>
              </w:rPr>
            </w:pPr>
            <w:hyperlink r:id="rId26" w:history="1">
              <w:r w:rsidR="008C6F66" w:rsidRPr="00A45262">
                <w:rPr>
                  <w:rStyle w:val="Hyperlink"/>
                  <w:rFonts w:ascii="Garamond" w:hAnsi="Garamond"/>
                  <w:lang w:val="en-AU"/>
                </w:rPr>
                <w:t>http://qualitysafety.bmj.com/content/early/recent</w:t>
              </w:r>
            </w:hyperlink>
          </w:p>
        </w:tc>
      </w:tr>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247AA0" w:rsidRPr="00A45262" w:rsidRDefault="00984B2D" w:rsidP="00984B2D">
            <w:pPr>
              <w:pStyle w:val="ListParagraph"/>
              <w:numPr>
                <w:ilvl w:val="0"/>
                <w:numId w:val="14"/>
              </w:numPr>
              <w:rPr>
                <w:rFonts w:ascii="Garamond" w:hAnsi="Garamond"/>
                <w:lang w:val="en-AU"/>
              </w:rPr>
            </w:pPr>
            <w:r w:rsidRPr="00984B2D">
              <w:rPr>
                <w:rFonts w:ascii="Garamond" w:hAnsi="Garamond"/>
                <w:lang w:val="en-AU"/>
              </w:rPr>
              <w:t xml:space="preserve">A growth mindset approach to preparing </w:t>
            </w:r>
            <w:r w:rsidRPr="00984B2D">
              <w:rPr>
                <w:rFonts w:ascii="Garamond" w:hAnsi="Garamond"/>
                <w:b/>
                <w:lang w:val="en-AU"/>
              </w:rPr>
              <w:t xml:space="preserve">trainees </w:t>
            </w:r>
            <w:r w:rsidRPr="00984B2D">
              <w:rPr>
                <w:rFonts w:ascii="Garamond" w:hAnsi="Garamond"/>
                <w:lang w:val="en-AU"/>
              </w:rPr>
              <w:t>for</w:t>
            </w:r>
            <w:r w:rsidRPr="00984B2D">
              <w:rPr>
                <w:rFonts w:ascii="Garamond" w:hAnsi="Garamond"/>
                <w:b/>
                <w:lang w:val="en-AU"/>
              </w:rPr>
              <w:t xml:space="preserve"> medical error</w:t>
            </w:r>
            <w:r>
              <w:rPr>
                <w:rFonts w:ascii="Garamond" w:hAnsi="Garamond"/>
                <w:lang w:val="en-AU"/>
              </w:rPr>
              <w:t xml:space="preserve"> (</w:t>
            </w:r>
            <w:r w:rsidRPr="00984B2D">
              <w:rPr>
                <w:rFonts w:ascii="Garamond" w:hAnsi="Garamond"/>
                <w:lang w:val="en-AU"/>
              </w:rPr>
              <w:t>Jill Klein, Clare Delany, Michael D Fischer, David Smallwood, Stephen Trumble</w:t>
            </w:r>
            <w:r>
              <w:rPr>
                <w:rFonts w:ascii="Garamond" w:hAnsi="Garamond"/>
                <w:lang w:val="en-AU"/>
              </w:rPr>
              <w:t>)</w:t>
            </w:r>
          </w:p>
        </w:tc>
      </w:tr>
    </w:tbl>
    <w:p w:rsidR="008C6F66" w:rsidRPr="00A45262" w:rsidRDefault="008C6F66" w:rsidP="008C6F66">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C4BB8" w:rsidP="009E5A41">
            <w:pPr>
              <w:keepNext/>
              <w:rPr>
                <w:rFonts w:ascii="Garamond" w:hAnsi="Garamond"/>
                <w:lang w:val="en-AU"/>
              </w:rPr>
            </w:pPr>
            <w:hyperlink r:id="rId27" w:history="1">
              <w:r w:rsidR="009E5A41" w:rsidRPr="00A45262">
                <w:rPr>
                  <w:rStyle w:val="Hyperlink"/>
                  <w:lang w:val="en-AU"/>
                </w:rPr>
                <w:t>https://academic.oup.com/intqhc/advance-access?papetoc</w:t>
              </w:r>
            </w:hyperlink>
          </w:p>
        </w:tc>
      </w:tr>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7F230B" w:rsidRPr="007F230B" w:rsidRDefault="007F230B" w:rsidP="007F230B">
            <w:pPr>
              <w:pStyle w:val="ListParagraph"/>
              <w:numPr>
                <w:ilvl w:val="0"/>
                <w:numId w:val="14"/>
              </w:numPr>
              <w:rPr>
                <w:rFonts w:ascii="Garamond" w:hAnsi="Garamond"/>
                <w:lang w:val="en-AU"/>
              </w:rPr>
            </w:pPr>
            <w:r w:rsidRPr="007F230B">
              <w:rPr>
                <w:rFonts w:ascii="Garamond" w:hAnsi="Garamond"/>
                <w:lang w:val="en-AU"/>
              </w:rPr>
              <w:t xml:space="preserve">Unannounced versus announced </w:t>
            </w:r>
            <w:r w:rsidRPr="007F230B">
              <w:rPr>
                <w:rFonts w:ascii="Garamond" w:hAnsi="Garamond"/>
                <w:b/>
                <w:lang w:val="en-AU"/>
              </w:rPr>
              <w:t>hospital surveys</w:t>
            </w:r>
            <w:r w:rsidRPr="007F230B">
              <w:rPr>
                <w:rFonts w:ascii="Garamond" w:hAnsi="Garamond"/>
                <w:lang w:val="en-AU"/>
              </w:rPr>
              <w:t xml:space="preserve">: a nationwide cluster-randomized controlled trial </w:t>
            </w:r>
            <w:r w:rsidRPr="007F230B">
              <w:rPr>
                <w:rFonts w:ascii="Garamond" w:hAnsi="Garamond"/>
                <w:lang w:val="en-AU"/>
              </w:rPr>
              <w:t>(</w:t>
            </w:r>
            <w:r w:rsidRPr="007F230B">
              <w:rPr>
                <w:rFonts w:ascii="Garamond" w:hAnsi="Garamond"/>
                <w:lang w:val="en-AU"/>
              </w:rPr>
              <w:t>Lars Holger Ehlers; Katherina Beltoft Simonsen; Morten Berg Jensen; Gitte Sand Rasmussen; Anne Vingaard Olesen</w:t>
            </w:r>
            <w:r>
              <w:rPr>
                <w:rFonts w:ascii="Garamond" w:hAnsi="Garamond"/>
                <w:lang w:val="en-AU"/>
              </w:rPr>
              <w:t>)</w:t>
            </w:r>
          </w:p>
          <w:p w:rsidR="00EE6CFC" w:rsidRPr="00A45262" w:rsidRDefault="007F230B" w:rsidP="007F230B">
            <w:pPr>
              <w:pStyle w:val="ListParagraph"/>
              <w:numPr>
                <w:ilvl w:val="0"/>
                <w:numId w:val="14"/>
              </w:numPr>
              <w:rPr>
                <w:rFonts w:ascii="Garamond" w:hAnsi="Garamond"/>
                <w:lang w:val="en-AU"/>
              </w:rPr>
            </w:pPr>
            <w:r w:rsidRPr="007F230B">
              <w:rPr>
                <w:rFonts w:ascii="Garamond" w:hAnsi="Garamond"/>
                <w:b/>
                <w:lang w:val="en-AU"/>
              </w:rPr>
              <w:t>Pay-for-performance reduces healthcare spending and improves quality of care</w:t>
            </w:r>
            <w:r w:rsidRPr="007F230B">
              <w:rPr>
                <w:rFonts w:ascii="Garamond" w:hAnsi="Garamond"/>
                <w:lang w:val="en-AU"/>
              </w:rPr>
              <w:t xml:space="preserve">: Analysis of target and non-target </w:t>
            </w:r>
            <w:r w:rsidRPr="007F230B">
              <w:rPr>
                <w:rFonts w:ascii="Garamond" w:hAnsi="Garamond"/>
                <w:b/>
                <w:lang w:val="en-AU"/>
              </w:rPr>
              <w:t>obstetrics and gynecology</w:t>
            </w:r>
            <w:r w:rsidRPr="007F230B">
              <w:rPr>
                <w:rFonts w:ascii="Garamond" w:hAnsi="Garamond"/>
                <w:lang w:val="en-AU"/>
              </w:rPr>
              <w:t xml:space="preserve"> surgeries </w:t>
            </w:r>
            <w:r>
              <w:rPr>
                <w:rFonts w:ascii="Garamond" w:hAnsi="Garamond"/>
                <w:lang w:val="en-AU"/>
              </w:rPr>
              <w:t>(</w:t>
            </w:r>
            <w:r w:rsidRPr="007F230B">
              <w:rPr>
                <w:rFonts w:ascii="Garamond" w:hAnsi="Garamond"/>
                <w:lang w:val="en-AU"/>
              </w:rPr>
              <w:t>Seung Ju Kim; Kyu-Tae Han; Sun Jung Kim; Eun-Cheol Park</w:t>
            </w:r>
            <w:r>
              <w:rPr>
                <w:rFonts w:ascii="Garamond" w:hAnsi="Garamond"/>
                <w:lang w:val="en-AU"/>
              </w:rPr>
              <w:t>)</w:t>
            </w:r>
          </w:p>
        </w:tc>
      </w:tr>
    </w:tbl>
    <w:p w:rsidR="00AF20FE" w:rsidRPr="00A45262" w:rsidRDefault="00AF20FE"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BB12F9" w:rsidRDefault="00BB12F9" w:rsidP="001C6360">
      <w:pPr>
        <w:keepNext/>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AC4BB8" w:rsidP="003C68A6">
      <w:pPr>
        <w:keepNext/>
        <w:keepLines/>
        <w:rPr>
          <w:rFonts w:ascii="Garamond" w:hAnsi="Garamond"/>
          <w:u w:val="single"/>
          <w:lang w:val="en-AU"/>
        </w:rPr>
      </w:pPr>
      <w:hyperlink r:id="rId28" w:history="1">
        <w:r w:rsidR="003C68A6" w:rsidRPr="00A45262">
          <w:rPr>
            <w:rStyle w:val="Hyperlink"/>
            <w:rFonts w:ascii="Garamond" w:hAnsi="Garamond"/>
            <w:lang w:val="en-AU"/>
          </w:rPr>
          <w:t>http://www.nice.org.uk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180F7E" w:rsidRDefault="005853A3" w:rsidP="005853A3">
      <w:pPr>
        <w:pStyle w:val="ListParagraph"/>
        <w:keepNext/>
        <w:keepLines/>
        <w:numPr>
          <w:ilvl w:val="0"/>
          <w:numId w:val="14"/>
        </w:numPr>
        <w:rPr>
          <w:rFonts w:ascii="Garamond" w:hAnsi="Garamond"/>
          <w:lang w:val="en-AU"/>
        </w:rPr>
      </w:pPr>
      <w:r>
        <w:rPr>
          <w:rFonts w:ascii="Garamond" w:hAnsi="Garamond"/>
          <w:lang w:val="en-AU"/>
        </w:rPr>
        <w:t xml:space="preserve">Clinical Guideline CG100 </w:t>
      </w:r>
      <w:r w:rsidRPr="005853A3">
        <w:rPr>
          <w:rFonts w:ascii="Garamond" w:hAnsi="Garamond"/>
          <w:b/>
          <w:i/>
          <w:lang w:val="en-AU"/>
        </w:rPr>
        <w:t>Alcohol-use disorders</w:t>
      </w:r>
      <w:r w:rsidRPr="005853A3">
        <w:rPr>
          <w:rFonts w:ascii="Garamond" w:hAnsi="Garamond"/>
          <w:i/>
          <w:lang w:val="en-AU"/>
        </w:rPr>
        <w:t>: diagnosis and management of physical complications</w:t>
      </w:r>
      <w:r>
        <w:rPr>
          <w:rFonts w:ascii="Garamond" w:hAnsi="Garamond"/>
          <w:lang w:val="en-AU"/>
        </w:rPr>
        <w:t xml:space="preserve"> </w:t>
      </w:r>
      <w:hyperlink r:id="rId29" w:history="1">
        <w:r w:rsidRPr="000379EF">
          <w:rPr>
            <w:rStyle w:val="Hyperlink"/>
            <w:rFonts w:ascii="Garamond" w:hAnsi="Garamond"/>
            <w:lang w:val="en-AU"/>
          </w:rPr>
          <w:t>https://www.nice.org.uk/guidance/cg100</w:t>
        </w:r>
      </w:hyperlink>
    </w:p>
    <w:p w:rsidR="002F1DFF" w:rsidRDefault="002F1DFF" w:rsidP="00B47E3A">
      <w:pPr>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C4BB8">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3F68DC">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C4BB8">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3F68DC">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554449"/>
    <w:multiLevelType w:val="hybridMultilevel"/>
    <w:tmpl w:val="E7A06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CA11C9"/>
    <w:multiLevelType w:val="hybridMultilevel"/>
    <w:tmpl w:val="0942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2E4A8D"/>
    <w:multiLevelType w:val="hybridMultilevel"/>
    <w:tmpl w:val="B2D0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211FBD"/>
    <w:multiLevelType w:val="hybridMultilevel"/>
    <w:tmpl w:val="B6DC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C6599B"/>
    <w:multiLevelType w:val="hybridMultilevel"/>
    <w:tmpl w:val="AF4E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0EF78FE"/>
    <w:multiLevelType w:val="hybridMultilevel"/>
    <w:tmpl w:val="D56E8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0C6673"/>
    <w:multiLevelType w:val="hybridMultilevel"/>
    <w:tmpl w:val="5282B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833B7F"/>
    <w:multiLevelType w:val="hybridMultilevel"/>
    <w:tmpl w:val="48D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C60D69"/>
    <w:multiLevelType w:val="hybridMultilevel"/>
    <w:tmpl w:val="6324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5"/>
  </w:num>
  <w:num w:numId="15">
    <w:abstractNumId w:val="45"/>
  </w:num>
  <w:num w:numId="16">
    <w:abstractNumId w:val="34"/>
  </w:num>
  <w:num w:numId="17">
    <w:abstractNumId w:val="18"/>
  </w:num>
  <w:num w:numId="18">
    <w:abstractNumId w:val="10"/>
  </w:num>
  <w:num w:numId="19">
    <w:abstractNumId w:val="44"/>
  </w:num>
  <w:num w:numId="20">
    <w:abstractNumId w:val="12"/>
  </w:num>
  <w:num w:numId="21">
    <w:abstractNumId w:val="32"/>
  </w:num>
  <w:num w:numId="22">
    <w:abstractNumId w:val="35"/>
  </w:num>
  <w:num w:numId="23">
    <w:abstractNumId w:val="14"/>
  </w:num>
  <w:num w:numId="24">
    <w:abstractNumId w:val="29"/>
  </w:num>
  <w:num w:numId="25">
    <w:abstractNumId w:val="23"/>
  </w:num>
  <w:num w:numId="26">
    <w:abstractNumId w:val="30"/>
  </w:num>
  <w:num w:numId="27">
    <w:abstractNumId w:val="13"/>
  </w:num>
  <w:num w:numId="28">
    <w:abstractNumId w:val="22"/>
  </w:num>
  <w:num w:numId="29">
    <w:abstractNumId w:val="27"/>
  </w:num>
  <w:num w:numId="30">
    <w:abstractNumId w:val="26"/>
  </w:num>
  <w:num w:numId="31">
    <w:abstractNumId w:val="40"/>
  </w:num>
  <w:num w:numId="32">
    <w:abstractNumId w:val="20"/>
  </w:num>
  <w:num w:numId="33">
    <w:abstractNumId w:val="39"/>
  </w:num>
  <w:num w:numId="34">
    <w:abstractNumId w:val="28"/>
  </w:num>
  <w:num w:numId="35">
    <w:abstractNumId w:val="31"/>
  </w:num>
  <w:num w:numId="36">
    <w:abstractNumId w:val="19"/>
  </w:num>
  <w:num w:numId="37">
    <w:abstractNumId w:val="15"/>
  </w:num>
  <w:num w:numId="38">
    <w:abstractNumId w:val="17"/>
  </w:num>
  <w:num w:numId="39">
    <w:abstractNumId w:val="42"/>
  </w:num>
  <w:num w:numId="40">
    <w:abstractNumId w:val="43"/>
  </w:num>
  <w:num w:numId="41">
    <w:abstractNumId w:val="38"/>
  </w:num>
  <w:num w:numId="42">
    <w:abstractNumId w:val="21"/>
  </w:num>
  <w:num w:numId="43">
    <w:abstractNumId w:val="36"/>
  </w:num>
  <w:num w:numId="44">
    <w:abstractNumId w:val="11"/>
  </w:num>
  <w:num w:numId="45">
    <w:abstractNumId w:val="16"/>
  </w:num>
  <w:num w:numId="4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126"/>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BB8"/>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journals.lww.com/jhmonline/Citation/2017/01000/Building_a_High_Reliability_Organization__One.4.aspx"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antimicrobial-use-and-resistance-in-australia/"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tient-and-consumer-centred-care/" TargetMode="External"/><Relationship Id="rId25" Type="http://schemas.openxmlformats.org/officeDocument/2006/relationships/hyperlink" Target="https://www.safetyandquality.gov.au/our-work/cognitive-impair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97/PTS.0000000000000290" TargetMode="External"/><Relationship Id="rId20" Type="http://schemas.openxmlformats.org/officeDocument/2006/relationships/hyperlink" Target="https://www.mja.com.au/journal/2017/206/7" TargetMode="External"/><Relationship Id="rId29" Type="http://schemas.openxmlformats.org/officeDocument/2006/relationships/hyperlink" Target="https://www.nice.org.uk/guidance/cg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longwoods.com/publications/healthcarepapers/2499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publish.csiro.au/py/issue/8580" TargetMode="External"/><Relationship Id="rId28" Type="http://schemas.openxmlformats.org/officeDocument/2006/relationships/hyperlink" Target="http://www.nice.org.uk"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01/jamapediatrics.2016.5123"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safetyandquality.gov.au/our-work/healthcare-associated-infection/" TargetMode="External"/><Relationship Id="rId27" Type="http://schemas.openxmlformats.org/officeDocument/2006/relationships/hyperlink" Target="https://academic.oup.com/intqhc/advance-access?papetoc"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23B7-4BCD-4DA7-BFB9-C190B492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16217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2017-03-10T02:36:00Z</cp:lastPrinted>
  <dcterms:created xsi:type="dcterms:W3CDTF">2017-04-17T02:09:00Z</dcterms:created>
  <dcterms:modified xsi:type="dcterms:W3CDTF">2017-04-17T02:09:00Z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