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B5777E">
        <w:rPr>
          <w:rFonts w:ascii="Garamond" w:hAnsi="Garamond"/>
          <w:color w:val="000000"/>
          <w:lang w:val="en-AU"/>
        </w:rPr>
        <w:t>323</w:t>
      </w:r>
    </w:p>
    <w:p w:rsidR="00755242" w:rsidRPr="00A45262" w:rsidRDefault="003035EA" w:rsidP="00B160EF">
      <w:pPr>
        <w:rPr>
          <w:rFonts w:ascii="Garamond" w:hAnsi="Garamond"/>
          <w:lang w:val="en-AU"/>
        </w:rPr>
      </w:pPr>
      <w:r>
        <w:rPr>
          <w:rFonts w:ascii="Garamond" w:hAnsi="Garamond"/>
          <w:lang w:val="en-AU"/>
        </w:rPr>
        <w:t>2</w:t>
      </w:r>
      <w:r w:rsidR="00B5777E">
        <w:rPr>
          <w:rFonts w:ascii="Garamond" w:hAnsi="Garamond"/>
          <w:lang w:val="en-AU"/>
        </w:rPr>
        <w:t>9</w:t>
      </w:r>
      <w:r w:rsidR="00F9420C">
        <w:rPr>
          <w:rFonts w:ascii="Garamond" w:hAnsi="Garamond"/>
          <w:lang w:val="en-AU"/>
        </w:rPr>
        <w:t xml:space="preserve"> </w:t>
      </w:r>
      <w:r w:rsidR="00DE7C48">
        <w:rPr>
          <w:rFonts w:ascii="Garamond" w:hAnsi="Garamond"/>
          <w:lang w:val="en-AU"/>
        </w:rPr>
        <w:t>May</w:t>
      </w:r>
      <w:r w:rsidR="00F9420C">
        <w:rPr>
          <w:rFonts w:ascii="Garamond" w:hAnsi="Garamond"/>
          <w:lang w:val="en-AU"/>
        </w:rPr>
        <w:t xml:space="preserve">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r w:rsidR="00BA4898">
        <w:rPr>
          <w:rFonts w:ascii="Garamond" w:hAnsi="Garamond"/>
          <w:bCs/>
          <w:lang w:val="en-AU"/>
        </w:rPr>
        <w:t>, Glen Ramsay</w:t>
      </w:r>
      <w:r w:rsidR="00544122">
        <w:rPr>
          <w:rFonts w:ascii="Garamond" w:hAnsi="Garamond"/>
          <w:bCs/>
          <w:lang w:val="en-AU"/>
        </w:rPr>
        <w:t xml:space="preserve">, </w:t>
      </w:r>
      <w:r w:rsidR="00BB59A2">
        <w:rPr>
          <w:rFonts w:ascii="Garamond" w:hAnsi="Garamond"/>
          <w:bCs/>
          <w:lang w:val="en-AU"/>
        </w:rPr>
        <w:t xml:space="preserve">Jan Gralton, </w:t>
      </w:r>
      <w:r w:rsidR="00544122">
        <w:rPr>
          <w:rFonts w:ascii="Garamond" w:hAnsi="Garamond"/>
          <w:bCs/>
          <w:lang w:val="en-AU"/>
        </w:rPr>
        <w:t>Alice Bhasale</w:t>
      </w:r>
    </w:p>
    <w:p w:rsidR="0059425E" w:rsidRDefault="0059425E" w:rsidP="00691DE3">
      <w:pPr>
        <w:keepLines/>
        <w:autoSpaceDE w:val="0"/>
        <w:autoSpaceDN w:val="0"/>
        <w:adjustRightInd w:val="0"/>
        <w:rPr>
          <w:rFonts w:ascii="Garamond" w:hAnsi="Garamond"/>
          <w:lang w:val="en-AU"/>
        </w:rPr>
      </w:pPr>
    </w:p>
    <w:p w:rsidR="00B5777E" w:rsidRDefault="00B5777E" w:rsidP="00691DE3">
      <w:pPr>
        <w:keepLines/>
        <w:autoSpaceDE w:val="0"/>
        <w:autoSpaceDN w:val="0"/>
        <w:adjustRightInd w:val="0"/>
        <w:rPr>
          <w:rFonts w:ascii="Garamond" w:hAnsi="Garamond"/>
          <w:b/>
          <w:lang w:val="en-AU"/>
        </w:rPr>
      </w:pPr>
      <w:r>
        <w:rPr>
          <w:rFonts w:ascii="Garamond" w:hAnsi="Garamond"/>
          <w:b/>
          <w:lang w:val="en-AU"/>
        </w:rPr>
        <w:t>Books</w:t>
      </w:r>
    </w:p>
    <w:p w:rsidR="00B5777E" w:rsidRPr="00A45262" w:rsidRDefault="00B5777E" w:rsidP="00B5777E">
      <w:pPr>
        <w:rPr>
          <w:rFonts w:ascii="Garamond" w:hAnsi="Garamond"/>
          <w:lang w:val="en-AU"/>
        </w:rPr>
      </w:pPr>
    </w:p>
    <w:p w:rsidR="002E46FF" w:rsidRPr="002E46FF" w:rsidRDefault="002E46FF" w:rsidP="002E46FF">
      <w:pPr>
        <w:keepNext/>
        <w:rPr>
          <w:rFonts w:ascii="Garamond" w:hAnsi="Garamond"/>
          <w:i/>
          <w:lang w:val="en-AU"/>
        </w:rPr>
      </w:pPr>
      <w:r w:rsidRPr="002E46FF">
        <w:rPr>
          <w:rFonts w:ascii="Garamond" w:hAnsi="Garamond"/>
          <w:i/>
          <w:lang w:val="en-AU"/>
        </w:rPr>
        <w:t>Approaches to Surgical Site Infection Surveillance: For acute care settings in Australia</w:t>
      </w:r>
    </w:p>
    <w:p w:rsidR="002E46FF" w:rsidRDefault="002E46FF" w:rsidP="00B5777E">
      <w:pPr>
        <w:keepNext/>
        <w:rPr>
          <w:rFonts w:ascii="Garamond" w:hAnsi="Garamond"/>
          <w:lang w:val="en-AU"/>
        </w:rPr>
      </w:pPr>
      <w:r w:rsidRPr="002E46FF">
        <w:rPr>
          <w:rFonts w:ascii="Garamond" w:hAnsi="Garamond"/>
          <w:lang w:val="en-AU"/>
        </w:rPr>
        <w:t>Australian Commission on Safety and Quality in Health Care</w:t>
      </w:r>
    </w:p>
    <w:p w:rsidR="00B5777E" w:rsidRPr="00A45262" w:rsidRDefault="002E46FF" w:rsidP="00B5777E">
      <w:pPr>
        <w:keepNext/>
        <w:rPr>
          <w:rFonts w:ascii="Garamond" w:hAnsi="Garamond"/>
          <w:lang w:val="en-AU"/>
        </w:rPr>
      </w:pPr>
      <w:r w:rsidRPr="002E46FF">
        <w:rPr>
          <w:rFonts w:ascii="Garamond" w:hAnsi="Garamond"/>
          <w:lang w:val="en-AU"/>
        </w:rPr>
        <w:t>Sydney: ACSQHC; 2017.</w:t>
      </w:r>
    </w:p>
    <w:tbl>
      <w:tblPr>
        <w:tblStyle w:val="TableGrid"/>
        <w:tblW w:w="0" w:type="auto"/>
        <w:tblInd w:w="288" w:type="dxa"/>
        <w:tblLayout w:type="fixed"/>
        <w:tblLook w:val="01E0" w:firstRow="1" w:lastRow="1" w:firstColumn="1" w:lastColumn="1" w:noHBand="0" w:noVBand="0"/>
      </w:tblPr>
      <w:tblGrid>
        <w:gridCol w:w="1080"/>
        <w:gridCol w:w="8280"/>
      </w:tblGrid>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Pr="00A45262" w:rsidRDefault="00B61D90" w:rsidP="002E46FF">
            <w:pPr>
              <w:rPr>
                <w:rStyle w:val="Hyperlink"/>
                <w:rFonts w:ascii="Garamond" w:hAnsi="Garamond"/>
                <w:color w:val="auto"/>
                <w:u w:val="none"/>
                <w:lang w:val="en-AU"/>
              </w:rPr>
            </w:pPr>
            <w:hyperlink r:id="rId16" w:history="1">
              <w:r w:rsidR="002E46FF" w:rsidRPr="00D67EE9">
                <w:rPr>
                  <w:rStyle w:val="Hyperlink"/>
                  <w:rFonts w:ascii="Garamond" w:hAnsi="Garamond"/>
                  <w:lang w:val="en-AU"/>
                </w:rPr>
                <w:t>https://www.safetyandquality.gov.au/our-work/healthcare-associated-infection/national-hai-surveillance-initiative/</w:t>
              </w:r>
            </w:hyperlink>
          </w:p>
        </w:tc>
      </w:tr>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Pr="003139A9" w:rsidRDefault="00BB59A2" w:rsidP="002E46FF">
            <w:pPr>
              <w:rPr>
                <w:rFonts w:ascii="Garamond" w:hAnsi="Garamond"/>
                <w:lang w:val="en-AU"/>
              </w:rPr>
            </w:pPr>
            <w:r w:rsidRPr="00BB59A2">
              <w:rPr>
                <w:rFonts w:ascii="Garamond" w:hAnsi="Garamond"/>
                <w:lang w:val="en-AU"/>
              </w:rPr>
              <w:t>The Australian Commission on Safety and Quality in Health Care, in collaboration and consultation with technical experts from across Australia, has produced this guide to describe the approaches that can be used to underpin the design and implementation of a surgical site infection (SSI) surveillance program in acute healthcare settings. The approaches described aim to improve the usefulness of surveillance data for measurement and priority setting at both the local and national level. Health service organisations should consider the approaches described in this document when establishing a new SSI surveillance program and when reviewing or expanding current SSI surveillance programs.</w:t>
            </w:r>
          </w:p>
        </w:tc>
      </w:tr>
    </w:tbl>
    <w:p w:rsidR="00B5777E" w:rsidRDefault="00B5777E" w:rsidP="00B5777E">
      <w:pPr>
        <w:keepNext/>
        <w:rPr>
          <w:rFonts w:ascii="Garamond" w:hAnsi="Garamond"/>
          <w:i/>
          <w:lang w:val="en-AU" w:eastAsia="en-AU"/>
        </w:rPr>
      </w:pPr>
    </w:p>
    <w:p w:rsidR="00BB59A2" w:rsidRDefault="00BB59A2" w:rsidP="00BB59A2">
      <w:pPr>
        <w:keepNext/>
        <w:rPr>
          <w:rFonts w:ascii="Garamond" w:hAnsi="Garamond"/>
          <w:i/>
          <w:lang w:val="en-AU" w:eastAsia="en-AU"/>
        </w:rPr>
      </w:pPr>
      <w:r w:rsidRPr="00BB59A2">
        <w:rPr>
          <w:rFonts w:ascii="Garamond" w:hAnsi="Garamond"/>
          <w:i/>
          <w:lang w:val="en-AU" w:eastAsia="en-AU"/>
        </w:rPr>
        <w:t xml:space="preserve">Recommendations for the control of carbapenemase-producing </w:t>
      </w:r>
      <w:r w:rsidRPr="00BB59A2">
        <w:rPr>
          <w:rFonts w:ascii="Garamond" w:hAnsi="Garamond"/>
          <w:lang w:val="en-AU" w:eastAsia="en-AU"/>
        </w:rPr>
        <w:t>Enterobacteriaceae</w:t>
      </w:r>
      <w:r w:rsidRPr="00BB59A2">
        <w:rPr>
          <w:rFonts w:ascii="Garamond" w:hAnsi="Garamond"/>
          <w:i/>
          <w:lang w:val="en-AU" w:eastAsia="en-AU"/>
        </w:rPr>
        <w:t xml:space="preserve"> (CPE). A guide for acute care health facilities</w:t>
      </w:r>
    </w:p>
    <w:p w:rsidR="00BB59A2" w:rsidRPr="00BB59A2" w:rsidRDefault="00BB59A2" w:rsidP="00B5777E">
      <w:pPr>
        <w:keepNext/>
        <w:rPr>
          <w:rFonts w:ascii="Garamond" w:hAnsi="Garamond"/>
          <w:lang w:val="en-AU" w:eastAsia="en-AU"/>
        </w:rPr>
      </w:pPr>
      <w:r w:rsidRPr="00BB59A2">
        <w:rPr>
          <w:rFonts w:ascii="Garamond" w:hAnsi="Garamond"/>
          <w:lang w:val="en-AU" w:eastAsia="en-AU"/>
        </w:rPr>
        <w:t>Australian Commission on Safety and Quality in Health Care</w:t>
      </w:r>
    </w:p>
    <w:p w:rsidR="00B5777E" w:rsidRPr="00BB59A2" w:rsidRDefault="00BB59A2" w:rsidP="00B5777E">
      <w:pPr>
        <w:keepNext/>
        <w:rPr>
          <w:rFonts w:ascii="Garamond" w:hAnsi="Garamond"/>
          <w:lang w:val="en-AU" w:eastAsia="en-AU"/>
        </w:rPr>
      </w:pPr>
      <w:r w:rsidRPr="00BB59A2">
        <w:rPr>
          <w:rFonts w:ascii="Garamond" w:hAnsi="Garamond"/>
          <w:lang w:val="en-AU" w:eastAsia="en-AU"/>
        </w:rPr>
        <w:t>Sydney: ACSQHC; 2017.</w:t>
      </w:r>
    </w:p>
    <w:tbl>
      <w:tblPr>
        <w:tblStyle w:val="TableGrid"/>
        <w:tblW w:w="0" w:type="auto"/>
        <w:tblInd w:w="288" w:type="dxa"/>
        <w:tblLayout w:type="fixed"/>
        <w:tblLook w:val="01E0" w:firstRow="1" w:lastRow="1" w:firstColumn="1" w:lastColumn="1" w:noHBand="0" w:noVBand="0"/>
      </w:tblPr>
      <w:tblGrid>
        <w:gridCol w:w="1080"/>
        <w:gridCol w:w="8280"/>
      </w:tblGrid>
      <w:tr w:rsidR="00BB59A2" w:rsidRPr="00A45262" w:rsidTr="007F4F68">
        <w:tc>
          <w:tcPr>
            <w:tcW w:w="1080" w:type="dxa"/>
            <w:tcBorders>
              <w:top w:val="single" w:sz="4" w:space="0" w:color="auto"/>
              <w:left w:val="single" w:sz="4" w:space="0" w:color="auto"/>
              <w:bottom w:val="single" w:sz="4" w:space="0" w:color="auto"/>
              <w:right w:val="single" w:sz="4" w:space="0" w:color="auto"/>
            </w:tcBorders>
            <w:vAlign w:val="center"/>
          </w:tcPr>
          <w:p w:rsidR="00BB59A2" w:rsidRPr="00A45262" w:rsidRDefault="00BB59A2" w:rsidP="007F4F6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B59A2" w:rsidRPr="00A45262" w:rsidRDefault="00B61D90" w:rsidP="00BB59A2">
            <w:pPr>
              <w:keepNext/>
              <w:rPr>
                <w:rStyle w:val="Hyperlink"/>
                <w:rFonts w:ascii="Garamond" w:hAnsi="Garamond"/>
                <w:color w:val="auto"/>
                <w:u w:val="none"/>
                <w:lang w:val="en-AU"/>
              </w:rPr>
            </w:pPr>
            <w:hyperlink r:id="rId17" w:history="1">
              <w:r w:rsidR="00BB59A2" w:rsidRPr="00BB59A2">
                <w:rPr>
                  <w:rStyle w:val="Hyperlink"/>
                  <w:rFonts w:ascii="Garamond" w:hAnsi="Garamond"/>
                  <w:lang w:val="en-AU" w:eastAsia="en-AU"/>
                </w:rPr>
                <w:t>https://www.safetyandquality.gov.au/our-work/healthcare-associated-infection/cpe-guide/</w:t>
              </w:r>
            </w:hyperlink>
          </w:p>
        </w:tc>
      </w:tr>
      <w:tr w:rsidR="00BB59A2" w:rsidRPr="00A45262" w:rsidTr="007F4F68">
        <w:tc>
          <w:tcPr>
            <w:tcW w:w="1080" w:type="dxa"/>
            <w:tcBorders>
              <w:top w:val="single" w:sz="4" w:space="0" w:color="auto"/>
              <w:left w:val="single" w:sz="4" w:space="0" w:color="auto"/>
              <w:bottom w:val="single" w:sz="4" w:space="0" w:color="auto"/>
              <w:right w:val="single" w:sz="4" w:space="0" w:color="auto"/>
            </w:tcBorders>
            <w:vAlign w:val="center"/>
          </w:tcPr>
          <w:p w:rsidR="00BB59A2" w:rsidRPr="00A45262" w:rsidRDefault="00BB59A2" w:rsidP="007F4F68">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1687" w:rsidRDefault="004E1687" w:rsidP="004E1687">
            <w:pPr>
              <w:rPr>
                <w:rFonts w:ascii="Garamond" w:hAnsi="Garamond"/>
                <w:lang w:val="en-AU"/>
              </w:rPr>
            </w:pPr>
            <w:r w:rsidRPr="004E1687">
              <w:rPr>
                <w:rFonts w:ascii="Garamond" w:hAnsi="Garamond"/>
                <w:lang w:val="en-AU"/>
              </w:rPr>
              <w:t xml:space="preserve">Gram-negative bacteria have emerged that are resistant to most types of antibiotics, including a key “last resort” class of antibiotic, the carbapenems. These organisms are referred to as carbapenem resistant </w:t>
            </w:r>
            <w:r w:rsidRPr="004E1687">
              <w:rPr>
                <w:rFonts w:ascii="Garamond" w:hAnsi="Garamond"/>
                <w:i/>
                <w:lang w:val="en-AU"/>
              </w:rPr>
              <w:t>Enterobacteriaceae</w:t>
            </w:r>
            <w:r w:rsidRPr="004E1687">
              <w:rPr>
                <w:rFonts w:ascii="Garamond" w:hAnsi="Garamond"/>
                <w:lang w:val="en-AU"/>
              </w:rPr>
              <w:t xml:space="preserve"> (CRE). Carbapenem resistant </w:t>
            </w:r>
            <w:r w:rsidRPr="004E1687">
              <w:rPr>
                <w:rFonts w:ascii="Garamond" w:hAnsi="Garamond"/>
                <w:i/>
                <w:lang w:val="en-AU"/>
              </w:rPr>
              <w:t>Enterobacteriaceae</w:t>
            </w:r>
            <w:r w:rsidRPr="004E1687">
              <w:rPr>
                <w:rFonts w:ascii="Garamond" w:hAnsi="Garamond"/>
                <w:lang w:val="en-AU"/>
              </w:rPr>
              <w:t xml:space="preserve"> is of particular concern because </w:t>
            </w:r>
            <w:r w:rsidRPr="004E1687">
              <w:rPr>
                <w:rFonts w:ascii="Garamond" w:hAnsi="Garamond"/>
                <w:i/>
                <w:lang w:val="en-AU"/>
              </w:rPr>
              <w:t>Enterobacteriaceae</w:t>
            </w:r>
            <w:r w:rsidRPr="004E1687">
              <w:rPr>
                <w:rFonts w:ascii="Garamond" w:hAnsi="Garamond"/>
                <w:lang w:val="en-AU"/>
              </w:rPr>
              <w:t xml:space="preserve"> cause infections at a high frequency and resistant infections are associated with high mortality.</w:t>
            </w:r>
          </w:p>
          <w:p w:rsidR="004E1687" w:rsidRPr="00A45262" w:rsidRDefault="004E1687" w:rsidP="00C01B05">
            <w:pPr>
              <w:rPr>
                <w:rFonts w:ascii="Garamond" w:hAnsi="Garamond"/>
                <w:lang w:val="en-AU"/>
              </w:rPr>
            </w:pPr>
            <w:r w:rsidRPr="004E1687">
              <w:rPr>
                <w:rFonts w:ascii="Garamond" w:hAnsi="Garamond"/>
                <w:lang w:val="en-AU"/>
              </w:rPr>
              <w:t xml:space="preserve">The </w:t>
            </w:r>
            <w:r w:rsidRPr="00BB59A2">
              <w:rPr>
                <w:rFonts w:ascii="Garamond" w:hAnsi="Garamond"/>
                <w:lang w:val="en-AU" w:eastAsia="en-AU"/>
              </w:rPr>
              <w:t>Australian Commission on Safety and Quality in Health Care</w:t>
            </w:r>
            <w:r>
              <w:rPr>
                <w:rFonts w:ascii="Garamond" w:hAnsi="Garamond"/>
                <w:lang w:val="en-AU" w:eastAsia="en-AU"/>
              </w:rPr>
              <w:t xml:space="preserve"> has </w:t>
            </w:r>
            <w:r w:rsidRPr="004E1687">
              <w:rPr>
                <w:rFonts w:ascii="Garamond" w:hAnsi="Garamond"/>
                <w:lang w:val="en-AU"/>
              </w:rPr>
              <w:t xml:space="preserve">worked in partnership with the Australasian Society Infectious Diseases, Australasian College of Infection Prevention and Control, Public Health Laboratory Network and Australasian Society of Antimicrobials to develop </w:t>
            </w:r>
            <w:r>
              <w:rPr>
                <w:rFonts w:ascii="Garamond" w:hAnsi="Garamond"/>
                <w:lang w:val="en-AU"/>
              </w:rPr>
              <w:t xml:space="preserve">this guide containing </w:t>
            </w:r>
            <w:r w:rsidRPr="004E1687">
              <w:rPr>
                <w:rFonts w:ascii="Garamond" w:hAnsi="Garamond"/>
                <w:lang w:val="en-AU"/>
              </w:rPr>
              <w:t xml:space="preserve">recommendations for the management and testing of patients with carbapenemase-producing </w:t>
            </w:r>
            <w:r w:rsidRPr="004E1687">
              <w:rPr>
                <w:rFonts w:ascii="Garamond" w:hAnsi="Garamond"/>
                <w:i/>
                <w:lang w:val="en-AU"/>
              </w:rPr>
              <w:t>Enterobacteriaceae</w:t>
            </w:r>
            <w:r w:rsidR="00C01B05">
              <w:rPr>
                <w:rFonts w:ascii="Garamond" w:hAnsi="Garamond"/>
                <w:i/>
                <w:lang w:val="en-AU"/>
              </w:rPr>
              <w:t>.</w:t>
            </w:r>
            <w:r>
              <w:rPr>
                <w:rFonts w:ascii="Garamond" w:hAnsi="Garamond"/>
                <w:lang w:val="en-AU"/>
              </w:rPr>
              <w:t xml:space="preserve"> </w:t>
            </w:r>
          </w:p>
        </w:tc>
      </w:tr>
    </w:tbl>
    <w:p w:rsidR="00BB59A2" w:rsidRDefault="00BB59A2" w:rsidP="00BB59A2">
      <w:pPr>
        <w:keepNext/>
        <w:rPr>
          <w:rFonts w:ascii="Garamond" w:hAnsi="Garamond"/>
          <w:lang w:val="en-AU"/>
        </w:rPr>
      </w:pPr>
    </w:p>
    <w:p w:rsidR="00BB59A2" w:rsidRDefault="00BB59A2" w:rsidP="00B5777E">
      <w:pPr>
        <w:keepNext/>
        <w:rPr>
          <w:rFonts w:ascii="Garamond" w:hAnsi="Garamond"/>
          <w:i/>
          <w:lang w:val="en-AU" w:eastAsia="en-AU"/>
        </w:rPr>
      </w:pPr>
    </w:p>
    <w:p w:rsidR="00DE7C48" w:rsidRDefault="00DE7C48" w:rsidP="00691DE3">
      <w:pPr>
        <w:keepLines/>
        <w:autoSpaceDE w:val="0"/>
        <w:autoSpaceDN w:val="0"/>
        <w:adjustRightInd w:val="0"/>
        <w:rPr>
          <w:rFonts w:ascii="Garamond" w:hAnsi="Garamond"/>
          <w:b/>
          <w:lang w:val="en-AU"/>
        </w:rPr>
      </w:pPr>
      <w:r>
        <w:rPr>
          <w:rFonts w:ascii="Garamond" w:hAnsi="Garamond"/>
          <w:b/>
          <w:lang w:val="en-AU"/>
        </w:rPr>
        <w:t>Reports</w:t>
      </w:r>
    </w:p>
    <w:p w:rsidR="00BA4898" w:rsidRDefault="00BA4898" w:rsidP="00691DE3">
      <w:pPr>
        <w:keepLines/>
        <w:autoSpaceDE w:val="0"/>
        <w:autoSpaceDN w:val="0"/>
        <w:adjustRightInd w:val="0"/>
        <w:rPr>
          <w:rFonts w:ascii="Garamond" w:hAnsi="Garamond"/>
          <w:b/>
          <w:lang w:val="en-AU"/>
        </w:rPr>
      </w:pPr>
    </w:p>
    <w:p w:rsidR="00BA4898" w:rsidRPr="00FD7BDC" w:rsidRDefault="00BA4898" w:rsidP="00BA4898">
      <w:pPr>
        <w:keepLines/>
        <w:autoSpaceDE w:val="0"/>
        <w:autoSpaceDN w:val="0"/>
        <w:adjustRightInd w:val="0"/>
        <w:rPr>
          <w:rFonts w:ascii="Garamond" w:hAnsi="Garamond"/>
          <w:i/>
          <w:lang w:val="en-AU"/>
        </w:rPr>
      </w:pPr>
      <w:r w:rsidRPr="00FD7BDC">
        <w:rPr>
          <w:rFonts w:ascii="Garamond" w:hAnsi="Garamond"/>
          <w:i/>
          <w:lang w:val="en-AU"/>
        </w:rPr>
        <w:t>Hip Fracture Care Case for Improvement</w:t>
      </w:r>
    </w:p>
    <w:p w:rsidR="00BA4898" w:rsidRDefault="00BA4898" w:rsidP="00BA4898">
      <w:pPr>
        <w:keepLines/>
        <w:autoSpaceDE w:val="0"/>
        <w:autoSpaceDN w:val="0"/>
        <w:adjustRightInd w:val="0"/>
        <w:rPr>
          <w:rFonts w:ascii="Garamond" w:hAnsi="Garamond"/>
          <w:lang w:val="en-AU"/>
        </w:rPr>
      </w:pPr>
      <w:r>
        <w:rPr>
          <w:rFonts w:ascii="Garamond" w:hAnsi="Garamond"/>
          <w:lang w:val="en-AU"/>
        </w:rPr>
        <w:t>Australian Commission on Safety and Quality in Health Care</w:t>
      </w:r>
    </w:p>
    <w:p w:rsidR="00BA4898" w:rsidRPr="00A45262" w:rsidRDefault="00BA4898" w:rsidP="00BA4898">
      <w:pPr>
        <w:keepLines/>
        <w:autoSpaceDE w:val="0"/>
        <w:autoSpaceDN w:val="0"/>
        <w:adjustRightInd w:val="0"/>
        <w:rPr>
          <w:rFonts w:ascii="Garamond" w:hAnsi="Garamond"/>
          <w:lang w:val="en-AU"/>
        </w:rPr>
      </w:pPr>
      <w:r>
        <w:rPr>
          <w:rFonts w:ascii="Garamond" w:hAnsi="Garamond"/>
          <w:lang w:val="en-AU"/>
        </w:rPr>
        <w:t>Sydney: ACSQHC; 2017.</w:t>
      </w:r>
    </w:p>
    <w:tbl>
      <w:tblPr>
        <w:tblStyle w:val="TableGrid"/>
        <w:tblW w:w="0" w:type="auto"/>
        <w:tblInd w:w="288" w:type="dxa"/>
        <w:tblLayout w:type="fixed"/>
        <w:tblLook w:val="01E0" w:firstRow="1" w:lastRow="1" w:firstColumn="1" w:lastColumn="1" w:noHBand="0" w:noVBand="0"/>
      </w:tblPr>
      <w:tblGrid>
        <w:gridCol w:w="1080"/>
        <w:gridCol w:w="8280"/>
      </w:tblGrid>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898" w:rsidRPr="00A45262" w:rsidRDefault="00B61D90" w:rsidP="00FF72CC">
            <w:pPr>
              <w:rPr>
                <w:rStyle w:val="Hyperlink"/>
                <w:rFonts w:ascii="Garamond" w:hAnsi="Garamond"/>
                <w:color w:val="auto"/>
                <w:u w:val="none"/>
                <w:lang w:val="en-AU"/>
              </w:rPr>
            </w:pPr>
            <w:hyperlink r:id="rId18" w:history="1">
              <w:r w:rsidR="00FF72CC" w:rsidRPr="00754949">
                <w:rPr>
                  <w:rStyle w:val="Hyperlink"/>
                  <w:rFonts w:ascii="Garamond" w:hAnsi="Garamond"/>
                  <w:lang w:val="en-AU"/>
                </w:rPr>
                <w:t>https://www.safetyandquality.gov.au/our-work/clinical-care-standards/hip-fracture-care-clinical-care-standard/</w:t>
              </w:r>
            </w:hyperlink>
          </w:p>
        </w:tc>
      </w:tr>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39A9" w:rsidRPr="003139A9" w:rsidRDefault="003139A9" w:rsidP="003139A9">
            <w:pPr>
              <w:rPr>
                <w:rFonts w:ascii="Garamond" w:hAnsi="Garamond"/>
                <w:lang w:val="en-AU"/>
              </w:rPr>
            </w:pPr>
            <w:r w:rsidRPr="003139A9">
              <w:rPr>
                <w:rFonts w:ascii="Garamond" w:hAnsi="Garamond"/>
                <w:lang w:val="en-AU"/>
              </w:rPr>
              <w:t xml:space="preserve">In September 2016, the Australian Commission on Safety and Quality in Health Care released the </w:t>
            </w:r>
            <w:r w:rsidRPr="003139A9">
              <w:rPr>
                <w:rFonts w:ascii="Garamond" w:hAnsi="Garamond"/>
                <w:i/>
                <w:lang w:val="en-AU"/>
              </w:rPr>
              <w:t>Hip Fracture Care Clinical Care Standard</w:t>
            </w:r>
            <w:r w:rsidRPr="003139A9">
              <w:rPr>
                <w:rFonts w:ascii="Garamond" w:hAnsi="Garamond"/>
                <w:lang w:val="en-AU"/>
              </w:rPr>
              <w:t>, as well as indicator specifications, and consumer and clinician fact sheets to support its implementation.</w:t>
            </w:r>
          </w:p>
          <w:p w:rsidR="003139A9" w:rsidRPr="003139A9" w:rsidRDefault="003139A9" w:rsidP="003139A9">
            <w:pPr>
              <w:rPr>
                <w:rFonts w:ascii="Garamond" w:hAnsi="Garamond"/>
                <w:lang w:val="en-AU"/>
              </w:rPr>
            </w:pPr>
            <w:r w:rsidRPr="003139A9">
              <w:rPr>
                <w:rFonts w:ascii="Garamond" w:hAnsi="Garamond"/>
                <w:lang w:val="en-AU"/>
              </w:rPr>
              <w:t xml:space="preserve">The </w:t>
            </w:r>
            <w:r w:rsidRPr="003139A9">
              <w:rPr>
                <w:rFonts w:ascii="Garamond" w:hAnsi="Garamond"/>
                <w:i/>
                <w:lang w:val="en-AU"/>
              </w:rPr>
              <w:t>Hip Fracture Care Clinical Care Standard</w:t>
            </w:r>
            <w:r w:rsidRPr="003139A9">
              <w:rPr>
                <w:rFonts w:ascii="Garamond" w:hAnsi="Garamond"/>
                <w:lang w:val="en-AU"/>
              </w:rPr>
              <w:t xml:space="preserve"> was developed in collaboration with consumers, clinicians, researchers and health organisations, and aims to improve the assessment and management of patients with hip fracture to optimise outcomes and reduce their risk of another fracture.</w:t>
            </w:r>
          </w:p>
          <w:p w:rsidR="003139A9" w:rsidRPr="003139A9" w:rsidRDefault="003139A9" w:rsidP="003139A9">
            <w:pPr>
              <w:rPr>
                <w:rFonts w:ascii="Garamond" w:hAnsi="Garamond"/>
                <w:lang w:val="en-AU"/>
              </w:rPr>
            </w:pPr>
            <w:r w:rsidRPr="003139A9">
              <w:rPr>
                <w:rFonts w:ascii="Garamond" w:hAnsi="Garamond"/>
                <w:lang w:val="en-AU"/>
              </w:rPr>
              <w:t xml:space="preserve">The Commission has now released the </w:t>
            </w:r>
            <w:r w:rsidRPr="003139A9">
              <w:rPr>
                <w:rFonts w:ascii="Garamond" w:hAnsi="Garamond"/>
                <w:i/>
                <w:lang w:val="en-AU"/>
              </w:rPr>
              <w:t>Hip Fracture Care – the Case for Improvement</w:t>
            </w:r>
            <w:r w:rsidRPr="003139A9">
              <w:rPr>
                <w:rFonts w:ascii="Garamond" w:hAnsi="Garamond"/>
                <w:lang w:val="en-AU"/>
              </w:rPr>
              <w:t>, as well as a supporting presentation for clinicians and health services to use. These resources explain what each quality statement means, why it matters, and how use of the clinical care standard could improve patient outcomes.</w:t>
            </w:r>
          </w:p>
          <w:p w:rsidR="00BA4898" w:rsidRPr="00FF72CC" w:rsidRDefault="003139A9" w:rsidP="003139A9">
            <w:pPr>
              <w:rPr>
                <w:rFonts w:ascii="Garamond" w:hAnsi="Garamond"/>
                <w:lang w:val="en-AU"/>
              </w:rPr>
            </w:pPr>
            <w:r w:rsidRPr="003139A9">
              <w:rPr>
                <w:rFonts w:ascii="Garamond" w:hAnsi="Garamond"/>
                <w:lang w:val="en-AU"/>
              </w:rPr>
              <w:t>These new resources are available f</w:t>
            </w:r>
            <w:r>
              <w:rPr>
                <w:rFonts w:ascii="Garamond" w:hAnsi="Garamond"/>
                <w:lang w:val="en-AU"/>
              </w:rPr>
              <w:t>rom the Commission’s website at</w:t>
            </w:r>
            <w:r w:rsidRPr="003139A9">
              <w:rPr>
                <w:rFonts w:ascii="Garamond" w:hAnsi="Garamond"/>
                <w:lang w:val="en-AU"/>
              </w:rPr>
              <w:t xml:space="preserve"> </w:t>
            </w:r>
            <w:hyperlink r:id="rId19" w:history="1">
              <w:r w:rsidRPr="00D67EE9">
                <w:rPr>
                  <w:rStyle w:val="Hyperlink"/>
                  <w:rFonts w:ascii="Garamond" w:hAnsi="Garamond"/>
                  <w:lang w:val="en-AU"/>
                </w:rPr>
                <w:t>https://www.safetyandquality.gov.au/our-work/clinical-care-standards/hip-fracture-care-clinical-care-standard/</w:t>
              </w:r>
            </w:hyperlink>
          </w:p>
        </w:tc>
      </w:tr>
    </w:tbl>
    <w:p w:rsidR="00DE7C48" w:rsidRPr="00A45262" w:rsidRDefault="00DE7C48" w:rsidP="00C400E8">
      <w:pPr>
        <w:rPr>
          <w:rFonts w:ascii="Garamond" w:hAnsi="Garamond"/>
          <w:lang w:val="en-AU"/>
        </w:rPr>
      </w:pPr>
    </w:p>
    <w:p w:rsidR="006F3913" w:rsidRPr="006F3913" w:rsidRDefault="006F3913" w:rsidP="006F3913">
      <w:pPr>
        <w:keepNext/>
        <w:rPr>
          <w:rFonts w:ascii="Garamond" w:hAnsi="Garamond"/>
          <w:i/>
          <w:lang w:val="en-AU"/>
        </w:rPr>
      </w:pPr>
      <w:r w:rsidRPr="006F3913">
        <w:rPr>
          <w:rFonts w:ascii="Garamond" w:hAnsi="Garamond"/>
          <w:i/>
          <w:lang w:val="en-AU"/>
        </w:rPr>
        <w:t>Leading a Culture of Safety: A Blueprint for Success</w:t>
      </w:r>
    </w:p>
    <w:p w:rsidR="006F3913" w:rsidRDefault="006F3913" w:rsidP="00DE7C48">
      <w:pPr>
        <w:keepNext/>
        <w:rPr>
          <w:rFonts w:ascii="Garamond" w:hAnsi="Garamond"/>
          <w:lang w:val="en-AU"/>
        </w:rPr>
      </w:pPr>
      <w:r w:rsidRPr="006F3913">
        <w:rPr>
          <w:rFonts w:ascii="Garamond" w:hAnsi="Garamond"/>
          <w:lang w:val="en-AU"/>
        </w:rPr>
        <w:t>American College of Healthcare Executives</w:t>
      </w:r>
      <w:r>
        <w:rPr>
          <w:rFonts w:ascii="Garamond" w:hAnsi="Garamond"/>
          <w:lang w:val="en-AU"/>
        </w:rPr>
        <w:t xml:space="preserve"> and</w:t>
      </w:r>
      <w:r w:rsidRPr="006F3913">
        <w:rPr>
          <w:rFonts w:ascii="Garamond" w:hAnsi="Garamond"/>
          <w:lang w:val="en-AU"/>
        </w:rPr>
        <w:t xml:space="preserve"> NPSF Lucian Leape Institute</w:t>
      </w:r>
    </w:p>
    <w:p w:rsidR="00481647" w:rsidRPr="00A45262" w:rsidRDefault="006F3913" w:rsidP="00DE7C48">
      <w:pPr>
        <w:keepNext/>
        <w:rPr>
          <w:rFonts w:ascii="Garamond" w:hAnsi="Garamond"/>
          <w:lang w:val="en-AU"/>
        </w:rPr>
      </w:pPr>
      <w:r w:rsidRPr="006F3913">
        <w:rPr>
          <w:rFonts w:ascii="Garamond" w:hAnsi="Garamond"/>
          <w:lang w:val="en-AU"/>
        </w:rPr>
        <w:t>Chicago, IL: American College of Healthcare Executives; 2017. p. 48.</w:t>
      </w:r>
    </w:p>
    <w:tbl>
      <w:tblPr>
        <w:tblStyle w:val="TableGrid"/>
        <w:tblW w:w="0" w:type="auto"/>
        <w:tblInd w:w="288" w:type="dxa"/>
        <w:tblLayout w:type="fixed"/>
        <w:tblLook w:val="01E0" w:firstRow="1" w:lastRow="1" w:firstColumn="1" w:lastColumn="1" w:noHBand="0" w:noVBand="0"/>
      </w:tblPr>
      <w:tblGrid>
        <w:gridCol w:w="1080"/>
        <w:gridCol w:w="8280"/>
      </w:tblGrid>
      <w:tr w:rsidR="00DE7C48"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DE7C48" w:rsidRPr="00A45262" w:rsidRDefault="00DE7C48" w:rsidP="00F3741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659D" w:rsidRPr="00A45262" w:rsidRDefault="00B61D90" w:rsidP="0093659D">
            <w:pPr>
              <w:rPr>
                <w:rStyle w:val="Hyperlink"/>
                <w:rFonts w:ascii="Garamond" w:hAnsi="Garamond"/>
                <w:color w:val="auto"/>
                <w:u w:val="none"/>
                <w:lang w:val="en-AU"/>
              </w:rPr>
            </w:pPr>
            <w:hyperlink r:id="rId20" w:history="1">
              <w:r w:rsidR="003139A9" w:rsidRPr="00D67EE9">
                <w:rPr>
                  <w:rStyle w:val="Hyperlink"/>
                  <w:rFonts w:ascii="Garamond" w:hAnsi="Garamond"/>
                  <w:lang w:val="en-AU"/>
                </w:rPr>
                <w:t>https://www.npsf.org/page/cultureofsafety</w:t>
              </w:r>
            </w:hyperlink>
          </w:p>
        </w:tc>
      </w:tr>
      <w:tr w:rsidR="00DE7C48"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DE7C48" w:rsidRPr="00A45262" w:rsidRDefault="00DE7C48" w:rsidP="00F3741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3622" w:rsidRDefault="006F3913" w:rsidP="006F3913">
            <w:pPr>
              <w:rPr>
                <w:rFonts w:ascii="Garamond" w:hAnsi="Garamond"/>
                <w:lang w:val="en-AU"/>
              </w:rPr>
            </w:pPr>
            <w:r>
              <w:rPr>
                <w:rFonts w:ascii="Garamond" w:hAnsi="Garamond"/>
                <w:lang w:val="en-AU"/>
              </w:rPr>
              <w:t xml:space="preserve">The saying </w:t>
            </w:r>
            <w:r w:rsidRPr="006F3913">
              <w:rPr>
                <w:rFonts w:ascii="Garamond" w:hAnsi="Garamond"/>
                <w:lang w:val="en-AU"/>
              </w:rPr>
              <w:t>"culture eats strategy for breakfast"</w:t>
            </w:r>
            <w:r>
              <w:rPr>
                <w:rFonts w:ascii="Garamond" w:hAnsi="Garamond"/>
                <w:lang w:val="en-AU"/>
              </w:rPr>
              <w:t xml:space="preserve">, usually attributed to Peter Drucker, is well-known. However, changing culture is seen as very difficult to change. This report from the </w:t>
            </w:r>
            <w:r w:rsidRPr="006F3913">
              <w:rPr>
                <w:rFonts w:ascii="Garamond" w:hAnsi="Garamond"/>
                <w:lang w:val="en-AU"/>
              </w:rPr>
              <w:t>American College of Healthcare Executives</w:t>
            </w:r>
            <w:r>
              <w:rPr>
                <w:rFonts w:ascii="Garamond" w:hAnsi="Garamond"/>
                <w:lang w:val="en-AU"/>
              </w:rPr>
              <w:t xml:space="preserve"> and</w:t>
            </w:r>
            <w:r w:rsidRPr="006F3913">
              <w:rPr>
                <w:rFonts w:ascii="Garamond" w:hAnsi="Garamond"/>
                <w:lang w:val="en-AU"/>
              </w:rPr>
              <w:t xml:space="preserve"> </w:t>
            </w:r>
            <w:r>
              <w:rPr>
                <w:rFonts w:ascii="Garamond" w:hAnsi="Garamond"/>
                <w:lang w:val="en-AU"/>
              </w:rPr>
              <w:t xml:space="preserve">(USA) </w:t>
            </w:r>
            <w:r w:rsidRPr="006F3913">
              <w:rPr>
                <w:rFonts w:ascii="Garamond" w:hAnsi="Garamond"/>
                <w:lang w:val="en-AU"/>
              </w:rPr>
              <w:t>N</w:t>
            </w:r>
            <w:r>
              <w:rPr>
                <w:rFonts w:ascii="Garamond" w:hAnsi="Garamond"/>
                <w:lang w:val="en-AU"/>
              </w:rPr>
              <w:t xml:space="preserve">ational </w:t>
            </w:r>
            <w:r w:rsidRPr="006F3913">
              <w:rPr>
                <w:rFonts w:ascii="Garamond" w:hAnsi="Garamond"/>
                <w:lang w:val="en-AU"/>
              </w:rPr>
              <w:t>P</w:t>
            </w:r>
            <w:r>
              <w:rPr>
                <w:rFonts w:ascii="Garamond" w:hAnsi="Garamond"/>
                <w:lang w:val="en-AU"/>
              </w:rPr>
              <w:t xml:space="preserve">atient </w:t>
            </w:r>
            <w:r w:rsidRPr="006F3913">
              <w:rPr>
                <w:rFonts w:ascii="Garamond" w:hAnsi="Garamond"/>
                <w:lang w:val="en-AU"/>
              </w:rPr>
              <w:t>S</w:t>
            </w:r>
            <w:r>
              <w:rPr>
                <w:rFonts w:ascii="Garamond" w:hAnsi="Garamond"/>
                <w:lang w:val="en-AU"/>
              </w:rPr>
              <w:t xml:space="preserve">afety </w:t>
            </w:r>
            <w:r w:rsidRPr="006F3913">
              <w:rPr>
                <w:rFonts w:ascii="Garamond" w:hAnsi="Garamond"/>
                <w:lang w:val="en-AU"/>
              </w:rPr>
              <w:t>F</w:t>
            </w:r>
            <w:r>
              <w:rPr>
                <w:rFonts w:ascii="Garamond" w:hAnsi="Garamond"/>
                <w:lang w:val="en-AU"/>
              </w:rPr>
              <w:t xml:space="preserve">oundation’s </w:t>
            </w:r>
            <w:r w:rsidRPr="006F3913">
              <w:rPr>
                <w:rFonts w:ascii="Garamond" w:hAnsi="Garamond"/>
                <w:lang w:val="en-AU"/>
              </w:rPr>
              <w:t>Lucian Leape Institute</w:t>
            </w:r>
            <w:r>
              <w:rPr>
                <w:rFonts w:ascii="Garamond" w:hAnsi="Garamond"/>
                <w:lang w:val="en-AU"/>
              </w:rPr>
              <w:t xml:space="preserve"> intends to provide </w:t>
            </w:r>
            <w:r w:rsidRPr="006F3913">
              <w:rPr>
                <w:rFonts w:ascii="Garamond" w:hAnsi="Garamond"/>
                <w:lang w:val="en-AU"/>
              </w:rPr>
              <w:t>chief executive officers and other leaders with a useful tool for assessing and advancing their organi</w:t>
            </w:r>
            <w:r>
              <w:rPr>
                <w:rFonts w:ascii="Garamond" w:hAnsi="Garamond"/>
                <w:lang w:val="en-AU"/>
              </w:rPr>
              <w:t>s</w:t>
            </w:r>
            <w:r w:rsidRPr="006F3913">
              <w:rPr>
                <w:rFonts w:ascii="Garamond" w:hAnsi="Garamond"/>
                <w:lang w:val="en-AU"/>
              </w:rPr>
              <w:t xml:space="preserve">ation’s culture of safety. </w:t>
            </w:r>
          </w:p>
          <w:p w:rsidR="006F3913" w:rsidRPr="006F3913" w:rsidRDefault="006F3913" w:rsidP="006F3913">
            <w:pPr>
              <w:rPr>
                <w:rFonts w:ascii="Garamond" w:hAnsi="Garamond"/>
                <w:lang w:val="en-AU"/>
              </w:rPr>
            </w:pPr>
            <w:r w:rsidRPr="006F3913">
              <w:rPr>
                <w:rFonts w:ascii="Garamond" w:hAnsi="Garamond"/>
                <w:lang w:val="en-AU"/>
              </w:rPr>
              <w:lastRenderedPageBreak/>
              <w:t>This guide can be used to help determine the current state of an organi</w:t>
            </w:r>
            <w:r>
              <w:rPr>
                <w:rFonts w:ascii="Garamond" w:hAnsi="Garamond"/>
                <w:lang w:val="en-AU"/>
              </w:rPr>
              <w:t>s</w:t>
            </w:r>
            <w:r w:rsidRPr="006F3913">
              <w:rPr>
                <w:rFonts w:ascii="Garamond" w:hAnsi="Garamond"/>
                <w:lang w:val="en-AU"/>
              </w:rPr>
              <w:t xml:space="preserve">ation’s journey, inform dialogue with the board and leadership team, and help leaders set priorities. </w:t>
            </w:r>
          </w:p>
          <w:p w:rsidR="006F3913" w:rsidRPr="006F3913" w:rsidRDefault="006F3913" w:rsidP="006F3913">
            <w:pPr>
              <w:rPr>
                <w:rFonts w:ascii="Garamond" w:hAnsi="Garamond"/>
                <w:lang w:val="en-AU"/>
              </w:rPr>
            </w:pPr>
            <w:r w:rsidRPr="006F3913">
              <w:rPr>
                <w:rFonts w:ascii="Garamond" w:hAnsi="Garamond"/>
                <w:lang w:val="en-AU"/>
              </w:rPr>
              <w:t>The high-level strategies and practical tactics in the guide are divided into two levels:</w:t>
            </w:r>
          </w:p>
          <w:p w:rsidR="006F3913" w:rsidRPr="006F3913" w:rsidRDefault="006F3913" w:rsidP="006F3913">
            <w:pPr>
              <w:pStyle w:val="ListParagraph"/>
              <w:numPr>
                <w:ilvl w:val="0"/>
                <w:numId w:val="28"/>
              </w:numPr>
              <w:rPr>
                <w:rFonts w:ascii="Garamond" w:hAnsi="Garamond"/>
                <w:lang w:val="en-AU"/>
              </w:rPr>
            </w:pPr>
            <w:r w:rsidRPr="006F3913">
              <w:rPr>
                <w:rFonts w:ascii="Garamond" w:hAnsi="Garamond"/>
                <w:lang w:val="en-AU"/>
              </w:rPr>
              <w:t>The foundational level provides basic tactics and strategies essential for the implementation of each domain.</w:t>
            </w:r>
          </w:p>
          <w:p w:rsidR="00BB19EF" w:rsidRPr="006F3913" w:rsidRDefault="006F3913" w:rsidP="006F3913">
            <w:pPr>
              <w:pStyle w:val="ListParagraph"/>
              <w:numPr>
                <w:ilvl w:val="0"/>
                <w:numId w:val="28"/>
              </w:numPr>
              <w:rPr>
                <w:rFonts w:ascii="Garamond" w:hAnsi="Garamond"/>
                <w:lang w:val="en-AU"/>
              </w:rPr>
            </w:pPr>
            <w:r w:rsidRPr="006F3913">
              <w:rPr>
                <w:rFonts w:ascii="Garamond" w:hAnsi="Garamond"/>
                <w:lang w:val="en-AU"/>
              </w:rPr>
              <w:t>The sustaining level provides strategies for spreading and embedding a culture of safety throughout the organi</w:t>
            </w:r>
            <w:r>
              <w:rPr>
                <w:rFonts w:ascii="Garamond" w:hAnsi="Garamond"/>
                <w:lang w:val="en-AU"/>
              </w:rPr>
              <w:t>s</w:t>
            </w:r>
            <w:r w:rsidRPr="006F3913">
              <w:rPr>
                <w:rFonts w:ascii="Garamond" w:hAnsi="Garamond"/>
                <w:lang w:val="en-AU"/>
              </w:rPr>
              <w:t>ation.</w:t>
            </w:r>
          </w:p>
          <w:p w:rsidR="006F3913" w:rsidRPr="006F3913" w:rsidRDefault="006F3913" w:rsidP="006F3913">
            <w:pPr>
              <w:rPr>
                <w:rFonts w:ascii="Garamond" w:hAnsi="Garamond"/>
                <w:lang w:val="en-AU"/>
              </w:rPr>
            </w:pPr>
            <w:r>
              <w:rPr>
                <w:rFonts w:ascii="Garamond" w:hAnsi="Garamond"/>
                <w:noProof/>
                <w:lang w:val="en-AU" w:eastAsia="en-AU"/>
              </w:rPr>
              <w:drawing>
                <wp:inline distT="0" distB="0" distL="0" distR="0">
                  <wp:extent cx="3670662" cy="40979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F 2017-05-22_8-47-56.png"/>
                          <pic:cNvPicPr/>
                        </pic:nvPicPr>
                        <pic:blipFill>
                          <a:blip r:embed="rId21">
                            <a:extLst>
                              <a:ext uri="{28A0092B-C50C-407E-A947-70E740481C1C}">
                                <a14:useLocalDpi xmlns:a14="http://schemas.microsoft.com/office/drawing/2010/main" val="0"/>
                              </a:ext>
                            </a:extLst>
                          </a:blip>
                          <a:stretch>
                            <a:fillRect/>
                          </a:stretch>
                        </pic:blipFill>
                        <pic:spPr>
                          <a:xfrm>
                            <a:off x="0" y="0"/>
                            <a:ext cx="3675050" cy="4102869"/>
                          </a:xfrm>
                          <a:prstGeom prst="rect">
                            <a:avLst/>
                          </a:prstGeom>
                        </pic:spPr>
                      </pic:pic>
                    </a:graphicData>
                  </a:graphic>
                </wp:inline>
              </w:drawing>
            </w:r>
          </w:p>
        </w:tc>
      </w:tr>
    </w:tbl>
    <w:p w:rsidR="00DE7C48" w:rsidRDefault="00DE7C48" w:rsidP="00DE7C48">
      <w:pPr>
        <w:keepNext/>
        <w:rPr>
          <w:rFonts w:ascii="Garamond" w:hAnsi="Garamond"/>
          <w:i/>
          <w:lang w:val="en-AU" w:eastAsia="en-AU"/>
        </w:rPr>
      </w:pPr>
    </w:p>
    <w:p w:rsidR="00FE30E0" w:rsidRDefault="00FE30E0" w:rsidP="00DE7C48">
      <w:pPr>
        <w:keepNext/>
        <w:rPr>
          <w:rFonts w:ascii="Garamond" w:hAnsi="Garamond"/>
          <w:lang w:val="en-AU" w:eastAsia="en-AU"/>
        </w:rPr>
      </w:pPr>
    </w:p>
    <w:p w:rsidR="00FE30E0" w:rsidRPr="00FC32EF" w:rsidRDefault="00FE30E0" w:rsidP="00DE7C48">
      <w:pPr>
        <w:keepNext/>
        <w:rPr>
          <w:rFonts w:ascii="Garamond" w:hAnsi="Garamond"/>
          <w:lang w:val="en-AU" w:eastAsia="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Default="001137F8" w:rsidP="001137F8">
      <w:pPr>
        <w:keepNext/>
        <w:rPr>
          <w:rFonts w:ascii="Garamond" w:hAnsi="Garamond"/>
          <w:lang w:val="en-AU"/>
        </w:rPr>
      </w:pPr>
    </w:p>
    <w:p w:rsidR="004E7612" w:rsidRPr="00AD067D" w:rsidRDefault="004E7612" w:rsidP="004E7612">
      <w:pPr>
        <w:rPr>
          <w:rFonts w:ascii="Garamond" w:hAnsi="Garamond"/>
          <w:i/>
          <w:lang w:val="en-AU"/>
        </w:rPr>
      </w:pPr>
      <w:r w:rsidRPr="00AD067D">
        <w:rPr>
          <w:rFonts w:ascii="Garamond" w:hAnsi="Garamond"/>
          <w:i/>
          <w:lang w:val="en-AU"/>
        </w:rPr>
        <w:t>Australia’s Health Care Homes: laying the right foundations</w:t>
      </w:r>
    </w:p>
    <w:p w:rsidR="00AD067D" w:rsidRDefault="00AD067D" w:rsidP="00AD067D">
      <w:pPr>
        <w:rPr>
          <w:rFonts w:ascii="Garamond" w:hAnsi="Garamond"/>
          <w:lang w:val="en-AU"/>
        </w:rPr>
      </w:pPr>
      <w:r w:rsidRPr="00AD067D">
        <w:rPr>
          <w:rFonts w:ascii="Garamond" w:hAnsi="Garamond"/>
          <w:lang w:val="en-AU"/>
        </w:rPr>
        <w:t>Jackson CL, Hambleton SJ</w:t>
      </w:r>
    </w:p>
    <w:p w:rsidR="00AD067D" w:rsidRPr="00A45262" w:rsidRDefault="00AD067D" w:rsidP="00AD067D">
      <w:pPr>
        <w:rPr>
          <w:rFonts w:ascii="Garamond" w:hAnsi="Garamond"/>
          <w:lang w:val="en-AU"/>
        </w:rPr>
      </w:pPr>
      <w:r w:rsidRPr="00AD067D">
        <w:rPr>
          <w:rFonts w:ascii="Garamond" w:hAnsi="Garamond"/>
          <w:lang w:val="en-AU"/>
        </w:rPr>
        <w:t>Medical Journal of Australia. 2017;206(9):380-1.</w:t>
      </w:r>
    </w:p>
    <w:tbl>
      <w:tblPr>
        <w:tblStyle w:val="TableGrid"/>
        <w:tblW w:w="0" w:type="auto"/>
        <w:tblInd w:w="288" w:type="dxa"/>
        <w:tblLayout w:type="fixed"/>
        <w:tblLook w:val="01E0" w:firstRow="1" w:lastRow="1" w:firstColumn="1" w:lastColumn="1" w:noHBand="0" w:noVBand="0"/>
      </w:tblPr>
      <w:tblGrid>
        <w:gridCol w:w="1080"/>
        <w:gridCol w:w="8280"/>
      </w:tblGrid>
      <w:tr w:rsidR="00AD067D"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AD067D" w:rsidRPr="00A45262" w:rsidRDefault="00AD067D" w:rsidP="00DD2B2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067D" w:rsidRPr="00A45262" w:rsidRDefault="00B61D90" w:rsidP="00DD2B27">
            <w:pPr>
              <w:rPr>
                <w:rStyle w:val="Hyperlink"/>
                <w:rFonts w:ascii="Garamond" w:hAnsi="Garamond"/>
                <w:color w:val="auto"/>
                <w:u w:val="none"/>
                <w:lang w:val="en-AU"/>
              </w:rPr>
            </w:pPr>
            <w:hyperlink r:id="rId22" w:history="1">
              <w:r w:rsidR="003139A9" w:rsidRPr="00D67EE9">
                <w:rPr>
                  <w:rStyle w:val="Hyperlink"/>
                  <w:rFonts w:ascii="Garamond" w:hAnsi="Garamond"/>
                  <w:lang w:val="en-AU"/>
                </w:rPr>
                <w:t>https://dx.doi.org/10.5694/mja16.01470</w:t>
              </w:r>
            </w:hyperlink>
          </w:p>
        </w:tc>
      </w:tr>
      <w:tr w:rsidR="00AD067D"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AD067D" w:rsidRPr="00A45262" w:rsidRDefault="00AD067D"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067D" w:rsidRPr="00A45262" w:rsidRDefault="003B0929" w:rsidP="00F53622">
            <w:pPr>
              <w:rPr>
                <w:rFonts w:ascii="Garamond" w:hAnsi="Garamond"/>
                <w:lang w:val="en-AU"/>
              </w:rPr>
            </w:pPr>
            <w:r>
              <w:rPr>
                <w:rFonts w:ascii="Garamond" w:hAnsi="Garamond"/>
                <w:lang w:val="en-AU"/>
              </w:rPr>
              <w:t xml:space="preserve">Issues of coordination and continuity of care are often raised as safety and quality issues, particularly for patients with multiple (or co-morbid) conditions. The concept of a medical ‘home’, usually in the primary care setting, has been suggested as a means of enhancing the co-ordination and continuity of care. This article describes the concept in the Australian context and the approaches being advanced (somewhat tentatively). The authors believe that the Health Care Home (HCH) concept has great potential for improving care. They also identify some key factors, including </w:t>
            </w:r>
            <w:r w:rsidRPr="003B0929">
              <w:rPr>
                <w:rFonts w:ascii="Garamond" w:hAnsi="Garamond"/>
                <w:b/>
                <w:lang w:val="en-AU"/>
              </w:rPr>
              <w:t>clinician leadership</w:t>
            </w:r>
            <w:r w:rsidR="00F53622">
              <w:rPr>
                <w:rFonts w:ascii="Garamond" w:hAnsi="Garamond"/>
                <w:lang w:val="en-AU"/>
              </w:rPr>
              <w:t xml:space="preserve">, </w:t>
            </w:r>
            <w:r w:rsidRPr="003B0929">
              <w:rPr>
                <w:rFonts w:ascii="Garamond" w:hAnsi="Garamond"/>
                <w:lang w:val="en-AU"/>
              </w:rPr>
              <w:t xml:space="preserve">active </w:t>
            </w:r>
            <w:r w:rsidRPr="00F53622">
              <w:rPr>
                <w:rFonts w:ascii="Garamond" w:hAnsi="Garamond"/>
                <w:b/>
                <w:lang w:val="en-AU"/>
              </w:rPr>
              <w:t>clinician involvement</w:t>
            </w:r>
            <w:r w:rsidR="00F53622">
              <w:rPr>
                <w:rFonts w:ascii="Garamond" w:hAnsi="Garamond"/>
                <w:lang w:val="en-AU"/>
              </w:rPr>
              <w:t xml:space="preserve">, </w:t>
            </w:r>
            <w:r w:rsidRPr="00F53622">
              <w:rPr>
                <w:rFonts w:ascii="Garamond" w:hAnsi="Garamond"/>
                <w:b/>
                <w:lang w:val="en-AU"/>
              </w:rPr>
              <w:t>patient engagement</w:t>
            </w:r>
            <w:r w:rsidR="00F53622">
              <w:rPr>
                <w:rFonts w:ascii="Garamond" w:hAnsi="Garamond"/>
                <w:lang w:val="en-AU"/>
              </w:rPr>
              <w:t>, ‘</w:t>
            </w:r>
            <w:r w:rsidRPr="00F53622">
              <w:rPr>
                <w:rFonts w:ascii="Garamond" w:hAnsi="Garamond"/>
                <w:b/>
                <w:lang w:val="en-AU"/>
              </w:rPr>
              <w:t>digital transformation</w:t>
            </w:r>
            <w:r w:rsidR="00F53622">
              <w:rPr>
                <w:rFonts w:ascii="Garamond" w:hAnsi="Garamond"/>
                <w:lang w:val="en-AU"/>
              </w:rPr>
              <w:t>’ to better collect, share and use information as well a system that shows the character</w:t>
            </w:r>
            <w:r w:rsidRPr="003B0929">
              <w:rPr>
                <w:rFonts w:ascii="Garamond" w:hAnsi="Garamond"/>
                <w:lang w:val="en-AU"/>
              </w:rPr>
              <w:t>is</w:t>
            </w:r>
            <w:r w:rsidR="00F53622">
              <w:rPr>
                <w:rFonts w:ascii="Garamond" w:hAnsi="Garamond"/>
                <w:lang w:val="en-AU"/>
              </w:rPr>
              <w:t xml:space="preserve">tics and capabilities of a </w:t>
            </w:r>
            <w:r w:rsidR="00F53622" w:rsidRPr="00F53622">
              <w:rPr>
                <w:rFonts w:ascii="Garamond" w:hAnsi="Garamond"/>
                <w:b/>
                <w:lang w:val="en-AU"/>
              </w:rPr>
              <w:t>learning organisation or system</w:t>
            </w:r>
            <w:r w:rsidR="00F53622">
              <w:rPr>
                <w:rFonts w:ascii="Garamond" w:hAnsi="Garamond"/>
                <w:lang w:val="en-AU"/>
              </w:rPr>
              <w:t xml:space="preserve"> </w:t>
            </w:r>
            <w:r w:rsidRPr="003B0929">
              <w:rPr>
                <w:rFonts w:ascii="Garamond" w:hAnsi="Garamond"/>
                <w:lang w:val="en-AU"/>
              </w:rPr>
              <w:t xml:space="preserve">to learn, adapt and upgrade </w:t>
            </w:r>
            <w:r w:rsidR="00F53622">
              <w:rPr>
                <w:rFonts w:ascii="Garamond" w:hAnsi="Garamond"/>
                <w:lang w:val="en-AU"/>
              </w:rPr>
              <w:t>as it develops.</w:t>
            </w:r>
          </w:p>
        </w:tc>
      </w:tr>
    </w:tbl>
    <w:p w:rsidR="00AD067D" w:rsidRDefault="00AD067D" w:rsidP="00AD067D">
      <w:pPr>
        <w:keepNext/>
        <w:rPr>
          <w:rFonts w:ascii="Garamond" w:hAnsi="Garamond"/>
          <w:lang w:val="en-AU" w:eastAsia="en-AU"/>
        </w:rPr>
      </w:pPr>
      <w:r w:rsidRPr="00176BDA">
        <w:rPr>
          <w:rFonts w:ascii="Garamond" w:hAnsi="Garamond"/>
          <w:lang w:val="en-AU" w:eastAsia="en-AU"/>
        </w:rPr>
        <w:lastRenderedPageBreak/>
        <w:t xml:space="preserve">For information on the Commission’s work on </w:t>
      </w:r>
      <w:r>
        <w:rPr>
          <w:rFonts w:ascii="Garamond" w:hAnsi="Garamond"/>
          <w:lang w:val="en-AU" w:eastAsia="en-AU"/>
        </w:rPr>
        <w:t xml:space="preserve">primary care, see </w:t>
      </w:r>
      <w:hyperlink r:id="rId23" w:history="1">
        <w:r w:rsidRPr="0019243D">
          <w:rPr>
            <w:rStyle w:val="Hyperlink"/>
            <w:rFonts w:ascii="Garamond" w:hAnsi="Garamond"/>
            <w:lang w:val="en-AU" w:eastAsia="en-AU"/>
          </w:rPr>
          <w:t>https://www.safetyandquality.gov.au/our-work/primary-health-care/</w:t>
        </w:r>
      </w:hyperlink>
    </w:p>
    <w:p w:rsidR="00AD067D" w:rsidRDefault="00AD067D" w:rsidP="00AD067D">
      <w:pPr>
        <w:keepNext/>
        <w:rPr>
          <w:rFonts w:ascii="Garamond" w:hAnsi="Garamond"/>
          <w:lang w:val="en-AU" w:eastAsia="en-AU"/>
        </w:rPr>
      </w:pPr>
    </w:p>
    <w:p w:rsidR="00FF72CC" w:rsidRPr="00544122" w:rsidRDefault="00FF72CC" w:rsidP="00FF72CC">
      <w:pPr>
        <w:rPr>
          <w:rFonts w:ascii="Garamond" w:hAnsi="Garamond"/>
          <w:i/>
          <w:lang w:val="en-AU"/>
        </w:rPr>
      </w:pPr>
      <w:r w:rsidRPr="00544122">
        <w:rPr>
          <w:rFonts w:ascii="Garamond" w:hAnsi="Garamond"/>
          <w:i/>
          <w:lang w:val="en-AU"/>
        </w:rPr>
        <w:t>Sources of unsafe primary care for older adults: a mixed-methods analysis of patient safety incident reports</w:t>
      </w:r>
    </w:p>
    <w:p w:rsidR="00FF72CC" w:rsidRDefault="00FF72CC" w:rsidP="00FF72CC">
      <w:pPr>
        <w:rPr>
          <w:rFonts w:ascii="Garamond" w:hAnsi="Garamond"/>
          <w:lang w:val="en-AU"/>
        </w:rPr>
      </w:pPr>
      <w:r w:rsidRPr="00544122">
        <w:rPr>
          <w:rFonts w:ascii="Garamond" w:hAnsi="Garamond"/>
          <w:lang w:val="en-AU"/>
        </w:rPr>
        <w:t xml:space="preserve">Cooper A, Edwards A, Williams H, Evans HP, Avery A, Hibbert P, et al. </w:t>
      </w:r>
    </w:p>
    <w:p w:rsidR="00FF72CC" w:rsidRPr="00A45262" w:rsidRDefault="00FF72CC" w:rsidP="00FF72CC">
      <w:pPr>
        <w:rPr>
          <w:rFonts w:ascii="Garamond" w:hAnsi="Garamond"/>
          <w:lang w:val="en-AU"/>
        </w:rPr>
      </w:pPr>
      <w:r>
        <w:rPr>
          <w:rFonts w:ascii="Garamond" w:hAnsi="Garamond"/>
          <w:lang w:val="en-AU"/>
        </w:rPr>
        <w:t>Age and Ageing. 2017 [epub]</w:t>
      </w:r>
    </w:p>
    <w:tbl>
      <w:tblPr>
        <w:tblStyle w:val="TableGrid"/>
        <w:tblW w:w="0" w:type="auto"/>
        <w:tblInd w:w="288" w:type="dxa"/>
        <w:tblLayout w:type="fixed"/>
        <w:tblLook w:val="01E0" w:firstRow="1" w:lastRow="1" w:firstColumn="1" w:lastColumn="1" w:noHBand="0" w:noVBand="0"/>
      </w:tblPr>
      <w:tblGrid>
        <w:gridCol w:w="1080"/>
        <w:gridCol w:w="8280"/>
      </w:tblGrid>
      <w:tr w:rsidR="00FF72CC"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FF72CC" w:rsidRPr="00A45262" w:rsidRDefault="00FF72CC" w:rsidP="00DD2B2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72CC" w:rsidRPr="00A45262" w:rsidRDefault="00B61D90" w:rsidP="00DD2B27">
            <w:pPr>
              <w:rPr>
                <w:rStyle w:val="Hyperlink"/>
                <w:rFonts w:ascii="Garamond" w:hAnsi="Garamond"/>
                <w:color w:val="auto"/>
                <w:u w:val="none"/>
                <w:lang w:val="en-AU"/>
              </w:rPr>
            </w:pPr>
            <w:hyperlink r:id="rId24" w:history="1">
              <w:r w:rsidR="003139A9" w:rsidRPr="00D67EE9">
                <w:rPr>
                  <w:rStyle w:val="Hyperlink"/>
                  <w:rFonts w:ascii="Garamond" w:hAnsi="Garamond"/>
                  <w:lang w:val="en-AU"/>
                </w:rPr>
                <w:t>https://dx.doi.org/10.1093/ageing/afx044</w:t>
              </w:r>
            </w:hyperlink>
          </w:p>
        </w:tc>
      </w:tr>
      <w:tr w:rsidR="00FF72CC"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FF72CC" w:rsidRPr="00A45262" w:rsidRDefault="00FF72CC"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3570" w:rsidRPr="00A45262" w:rsidRDefault="00C401B1" w:rsidP="00EA3570">
            <w:pPr>
              <w:rPr>
                <w:rFonts w:ascii="Garamond" w:hAnsi="Garamond"/>
                <w:lang w:val="en-AU"/>
              </w:rPr>
            </w:pPr>
            <w:r>
              <w:rPr>
                <w:rFonts w:ascii="Garamond" w:hAnsi="Garamond"/>
                <w:lang w:val="en-AU"/>
              </w:rPr>
              <w:t xml:space="preserve">This paper used </w:t>
            </w:r>
            <w:r w:rsidR="00EA3570">
              <w:rPr>
                <w:rFonts w:ascii="Garamond" w:hAnsi="Garamond"/>
                <w:lang w:val="en-AU"/>
              </w:rPr>
              <w:t>on the analysis of</w:t>
            </w:r>
            <w:r w:rsidR="00EA3570" w:rsidRPr="00EA3570">
              <w:rPr>
                <w:rFonts w:ascii="Garamond" w:hAnsi="Garamond"/>
                <w:lang w:val="en-AU"/>
              </w:rPr>
              <w:t xml:space="preserve"> a national (England and Wales) database of patient safety incident reports from 2005 to 2013</w:t>
            </w:r>
            <w:r w:rsidR="00EA3570">
              <w:rPr>
                <w:rFonts w:ascii="Garamond" w:hAnsi="Garamond"/>
                <w:lang w:val="en-AU"/>
              </w:rPr>
              <w:t xml:space="preserve"> to identify </w:t>
            </w:r>
            <w:r w:rsidR="00EA3570" w:rsidRPr="00EA3570">
              <w:rPr>
                <w:rFonts w:ascii="Garamond" w:hAnsi="Garamond"/>
                <w:lang w:val="en-AU"/>
              </w:rPr>
              <w:t xml:space="preserve">factors associated with actual or potential harm to </w:t>
            </w:r>
            <w:r w:rsidR="00EA3570">
              <w:rPr>
                <w:rFonts w:ascii="Garamond" w:hAnsi="Garamond"/>
                <w:lang w:val="en-AU"/>
              </w:rPr>
              <w:t xml:space="preserve">primary care </w:t>
            </w:r>
            <w:r w:rsidR="00EA3570" w:rsidRPr="00EA3570">
              <w:rPr>
                <w:rFonts w:ascii="Garamond" w:hAnsi="Garamond"/>
                <w:lang w:val="en-AU"/>
              </w:rPr>
              <w:t>patients aged 65 years and older</w:t>
            </w:r>
            <w:r w:rsidR="00EA3570">
              <w:rPr>
                <w:rFonts w:ascii="Garamond" w:hAnsi="Garamond"/>
                <w:lang w:val="en-AU"/>
              </w:rPr>
              <w:t xml:space="preserve">. The database included </w:t>
            </w:r>
            <w:r w:rsidR="00EA3570" w:rsidRPr="00EA3570">
              <w:rPr>
                <w:rFonts w:ascii="Garamond" w:hAnsi="Garamond"/>
                <w:lang w:val="en-AU"/>
              </w:rPr>
              <w:t>1,591 primary care patient safety incident reports regarding patients aged 65 years and older.</w:t>
            </w:r>
            <w:r w:rsidR="00EA3570">
              <w:rPr>
                <w:rFonts w:ascii="Garamond" w:hAnsi="Garamond"/>
                <w:lang w:val="en-AU"/>
              </w:rPr>
              <w:t xml:space="preserve"> The classification and analyses of these reports revealed </w:t>
            </w:r>
            <w:r w:rsidR="00EA3570" w:rsidRPr="00EA3570">
              <w:rPr>
                <w:rFonts w:ascii="Garamond" w:hAnsi="Garamond"/>
                <w:lang w:val="en-AU"/>
              </w:rPr>
              <w:t xml:space="preserve">the main sources of unsafe care were due to </w:t>
            </w:r>
            <w:r w:rsidR="00EA3570" w:rsidRPr="00EA3570">
              <w:rPr>
                <w:rFonts w:ascii="Garamond" w:hAnsi="Garamond"/>
                <w:b/>
                <w:lang w:val="en-AU"/>
              </w:rPr>
              <w:t>medication-related</w:t>
            </w:r>
            <w:r w:rsidR="00EA3570" w:rsidRPr="00EA3570">
              <w:rPr>
                <w:rFonts w:ascii="Garamond" w:hAnsi="Garamond"/>
                <w:lang w:val="en-AU"/>
              </w:rPr>
              <w:t xml:space="preserve"> incidents; </w:t>
            </w:r>
            <w:r w:rsidR="00EA3570" w:rsidRPr="00EA3570">
              <w:rPr>
                <w:rFonts w:ascii="Garamond" w:hAnsi="Garamond"/>
                <w:b/>
                <w:lang w:val="en-AU"/>
              </w:rPr>
              <w:t>communication-related</w:t>
            </w:r>
            <w:r w:rsidR="00EA3570" w:rsidRPr="00EA3570">
              <w:rPr>
                <w:rFonts w:ascii="Garamond" w:hAnsi="Garamond"/>
                <w:lang w:val="en-AU"/>
              </w:rPr>
              <w:t xml:space="preserve"> incidents; and </w:t>
            </w:r>
            <w:r w:rsidR="00EA3570" w:rsidRPr="00EA3570">
              <w:rPr>
                <w:rFonts w:ascii="Garamond" w:hAnsi="Garamond"/>
                <w:b/>
                <w:lang w:val="en-AU"/>
              </w:rPr>
              <w:t>clinical decision-making</w:t>
            </w:r>
            <w:r w:rsidR="00EA3570" w:rsidRPr="00EA3570">
              <w:rPr>
                <w:rFonts w:ascii="Garamond" w:hAnsi="Garamond"/>
                <w:lang w:val="en-AU"/>
              </w:rPr>
              <w:t xml:space="preserve"> incidents.</w:t>
            </w:r>
            <w:r w:rsidR="00EA3570">
              <w:rPr>
                <w:rFonts w:ascii="Garamond" w:hAnsi="Garamond"/>
                <w:lang w:val="en-AU"/>
              </w:rPr>
              <w:t xml:space="preserve"> The authors suggest that “</w:t>
            </w:r>
            <w:r w:rsidR="00EA3570" w:rsidRPr="00EA3570">
              <w:rPr>
                <w:rFonts w:ascii="Garamond" w:hAnsi="Garamond"/>
                <w:lang w:val="en-AU"/>
              </w:rPr>
              <w:t>priority areas for further research to determine the burden and preventability of unsafe primary care for older adults, include: the timely electronic tools for prescribing, dispensing and administering medication in the community; electronic transfer of information between healthcare settings; and, better clinical decision-making support and guidance.</w:t>
            </w:r>
            <w:r w:rsidR="00EA3570">
              <w:rPr>
                <w:rFonts w:ascii="Garamond" w:hAnsi="Garamond"/>
                <w:lang w:val="en-AU"/>
              </w:rPr>
              <w:t>”</w:t>
            </w:r>
          </w:p>
        </w:tc>
      </w:tr>
    </w:tbl>
    <w:p w:rsidR="00FF72CC" w:rsidRDefault="00FF72CC" w:rsidP="00FF72CC">
      <w:pPr>
        <w:keepNext/>
        <w:rPr>
          <w:rFonts w:ascii="Garamond" w:hAnsi="Garamond"/>
          <w:lang w:val="en-AU"/>
        </w:rPr>
      </w:pPr>
    </w:p>
    <w:p w:rsidR="00134BE2" w:rsidRPr="00134BE2" w:rsidRDefault="00134BE2" w:rsidP="00134BE2">
      <w:pPr>
        <w:rPr>
          <w:rFonts w:ascii="Garamond" w:hAnsi="Garamond"/>
          <w:i/>
          <w:lang w:val="en-AU"/>
        </w:rPr>
      </w:pPr>
      <w:r w:rsidRPr="00134BE2">
        <w:rPr>
          <w:rFonts w:ascii="Garamond" w:hAnsi="Garamond"/>
          <w:i/>
          <w:lang w:val="en-AU"/>
        </w:rPr>
        <w:t>Behavioral approach to appropriate antimicrobial prescribing in hospitals: The Dutch Unique Method for Antimicrobial Stewardship (DUMAS) participatory intervention study</w:t>
      </w:r>
    </w:p>
    <w:p w:rsidR="00134BE2" w:rsidRDefault="00134BE2" w:rsidP="00B5777E">
      <w:pPr>
        <w:rPr>
          <w:rFonts w:ascii="Garamond" w:hAnsi="Garamond"/>
          <w:lang w:val="en-AU"/>
        </w:rPr>
      </w:pPr>
      <w:r w:rsidRPr="00134BE2">
        <w:rPr>
          <w:rFonts w:ascii="Garamond" w:hAnsi="Garamond"/>
          <w:lang w:val="en-AU"/>
        </w:rPr>
        <w:t xml:space="preserve">Sikkens JJ, van Agtmael MA, Peters EG, Lettinga KD, van der Kuip M, Vandenbroucke-Grauls CMJE, et al. </w:t>
      </w:r>
    </w:p>
    <w:p w:rsidR="00B5777E" w:rsidRPr="00A45262" w:rsidRDefault="00134BE2" w:rsidP="00B5777E">
      <w:pPr>
        <w:rPr>
          <w:rFonts w:ascii="Garamond" w:hAnsi="Garamond"/>
          <w:lang w:val="en-AU"/>
        </w:rPr>
      </w:pPr>
      <w:r w:rsidRPr="00134BE2">
        <w:rPr>
          <w:rFonts w:ascii="Garamond" w:hAnsi="Garamond"/>
          <w:lang w:val="en-AU"/>
        </w:rPr>
        <w:t>JAMA Internal Medicine. 2017.</w:t>
      </w:r>
    </w:p>
    <w:tbl>
      <w:tblPr>
        <w:tblStyle w:val="TableGrid"/>
        <w:tblW w:w="0" w:type="auto"/>
        <w:tblInd w:w="288" w:type="dxa"/>
        <w:tblLayout w:type="fixed"/>
        <w:tblLook w:val="01E0" w:firstRow="1" w:lastRow="1" w:firstColumn="1" w:lastColumn="1" w:noHBand="0" w:noVBand="0"/>
      </w:tblPr>
      <w:tblGrid>
        <w:gridCol w:w="1080"/>
        <w:gridCol w:w="8280"/>
      </w:tblGrid>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Pr="00A45262" w:rsidRDefault="00B61D90" w:rsidP="00DD2B27">
            <w:pPr>
              <w:rPr>
                <w:rStyle w:val="Hyperlink"/>
                <w:rFonts w:ascii="Garamond" w:hAnsi="Garamond"/>
                <w:color w:val="auto"/>
                <w:u w:val="none"/>
                <w:lang w:val="en-AU"/>
              </w:rPr>
            </w:pPr>
            <w:hyperlink r:id="rId25" w:history="1">
              <w:r w:rsidR="00134BE2" w:rsidRPr="00D67EE9">
                <w:rPr>
                  <w:rStyle w:val="Hyperlink"/>
                  <w:rFonts w:ascii="Garamond" w:hAnsi="Garamond"/>
                  <w:lang w:val="en-AU"/>
                </w:rPr>
                <w:t>https://dx.doi.org/10.1001/jamainternmed.2017.0946</w:t>
              </w:r>
            </w:hyperlink>
          </w:p>
        </w:tc>
      </w:tr>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4BE2" w:rsidRPr="00134BE2" w:rsidRDefault="00EA3570" w:rsidP="00134BE2">
            <w:pPr>
              <w:rPr>
                <w:rFonts w:ascii="Garamond" w:hAnsi="Garamond"/>
                <w:lang w:val="en-AU"/>
              </w:rPr>
            </w:pPr>
            <w:r>
              <w:rPr>
                <w:rFonts w:ascii="Garamond" w:hAnsi="Garamond"/>
                <w:lang w:val="en-AU"/>
              </w:rPr>
              <w:t>Some approaches to driving antimicrobial prescribing have been perceived as somewhat overbearing or impinging on the autonomy and responsibilities of the clinician. This Dutch study describes a</w:t>
            </w:r>
            <w:r w:rsidRPr="00EA3570">
              <w:rPr>
                <w:rFonts w:ascii="Garamond" w:hAnsi="Garamond"/>
                <w:lang w:val="en-AU"/>
              </w:rPr>
              <w:t xml:space="preserve">n antimicrobial stewardship approach </w:t>
            </w:r>
            <w:r>
              <w:rPr>
                <w:rFonts w:ascii="Garamond" w:hAnsi="Garamond"/>
                <w:lang w:val="en-AU"/>
              </w:rPr>
              <w:t xml:space="preserve">that </w:t>
            </w:r>
            <w:r w:rsidRPr="00EA3570">
              <w:rPr>
                <w:rFonts w:ascii="Garamond" w:hAnsi="Garamond"/>
                <w:lang w:val="en-AU"/>
              </w:rPr>
              <w:t>grounded in behavio</w:t>
            </w:r>
            <w:r>
              <w:rPr>
                <w:rFonts w:ascii="Garamond" w:hAnsi="Garamond"/>
                <w:lang w:val="en-AU"/>
              </w:rPr>
              <w:t>u</w:t>
            </w:r>
            <w:r w:rsidRPr="00EA3570">
              <w:rPr>
                <w:rFonts w:ascii="Garamond" w:hAnsi="Garamond"/>
                <w:lang w:val="en-AU"/>
              </w:rPr>
              <w:t>ral theory and focused on preserving prescriber autonomy and participation</w:t>
            </w:r>
            <w:r>
              <w:rPr>
                <w:rFonts w:ascii="Garamond" w:hAnsi="Garamond"/>
                <w:lang w:val="en-AU"/>
              </w:rPr>
              <w:t>. The DUMAS study (</w:t>
            </w:r>
            <w:r w:rsidRPr="00EA3570">
              <w:rPr>
                <w:rFonts w:ascii="Garamond" w:hAnsi="Garamond"/>
                <w:lang w:val="en-AU"/>
              </w:rPr>
              <w:t xml:space="preserve">Dutch Unique Method for Antimicrobial Stewardship) study was </w:t>
            </w:r>
            <w:r>
              <w:rPr>
                <w:rFonts w:ascii="Garamond" w:hAnsi="Garamond"/>
                <w:lang w:val="en-AU"/>
              </w:rPr>
              <w:t xml:space="preserve">undertaken </w:t>
            </w:r>
            <w:r w:rsidRPr="00EA3570">
              <w:rPr>
                <w:rFonts w:ascii="Garamond" w:hAnsi="Garamond"/>
                <w:lang w:val="en-AU"/>
              </w:rPr>
              <w:t xml:space="preserve">from </w:t>
            </w:r>
            <w:r>
              <w:rPr>
                <w:rFonts w:ascii="Garamond" w:hAnsi="Garamond"/>
                <w:lang w:val="en-AU"/>
              </w:rPr>
              <w:t xml:space="preserve">1 </w:t>
            </w:r>
            <w:r w:rsidRPr="00EA3570">
              <w:rPr>
                <w:rFonts w:ascii="Garamond" w:hAnsi="Garamond"/>
                <w:lang w:val="en-AU"/>
              </w:rPr>
              <w:t>October 2011</w:t>
            </w:r>
            <w:r>
              <w:rPr>
                <w:rFonts w:ascii="Garamond" w:hAnsi="Garamond"/>
                <w:lang w:val="en-AU"/>
              </w:rPr>
              <w:t xml:space="preserve"> to 31 </w:t>
            </w:r>
            <w:r w:rsidRPr="00EA3570">
              <w:rPr>
                <w:rFonts w:ascii="Garamond" w:hAnsi="Garamond"/>
                <w:lang w:val="en-AU"/>
              </w:rPr>
              <w:t>December 2015</w:t>
            </w:r>
            <w:r>
              <w:rPr>
                <w:rFonts w:ascii="Garamond" w:hAnsi="Garamond"/>
                <w:lang w:val="en-AU"/>
              </w:rPr>
              <w:t xml:space="preserve"> with o</w:t>
            </w:r>
            <w:r w:rsidRPr="00EA3570">
              <w:rPr>
                <w:rFonts w:ascii="Garamond" w:hAnsi="Garamond"/>
                <w:lang w:val="en-AU"/>
              </w:rPr>
              <w:t xml:space="preserve">utcomes measured during a baseline period of 16 months and an intervention period of 12 months. The study was performed at 7 clinical departments </w:t>
            </w:r>
            <w:r w:rsidR="00134BE2">
              <w:rPr>
                <w:rFonts w:ascii="Garamond" w:hAnsi="Garamond"/>
                <w:lang w:val="en-AU"/>
              </w:rPr>
              <w:t>in a tertiary care medical cent</w:t>
            </w:r>
            <w:r w:rsidRPr="00EA3570">
              <w:rPr>
                <w:rFonts w:ascii="Garamond" w:hAnsi="Garamond"/>
                <w:lang w:val="en-AU"/>
              </w:rPr>
              <w:t>r</w:t>
            </w:r>
            <w:r w:rsidR="00134BE2">
              <w:rPr>
                <w:rFonts w:ascii="Garamond" w:hAnsi="Garamond"/>
                <w:lang w:val="en-AU"/>
              </w:rPr>
              <w:t>e</w:t>
            </w:r>
            <w:r w:rsidRPr="00EA3570">
              <w:rPr>
                <w:rFonts w:ascii="Garamond" w:hAnsi="Garamond"/>
                <w:lang w:val="en-AU"/>
              </w:rPr>
              <w:t xml:space="preserve"> and a general teaching hospital. </w:t>
            </w:r>
            <w:r w:rsidR="00134BE2" w:rsidRPr="00134BE2">
              <w:rPr>
                <w:rFonts w:ascii="Garamond" w:hAnsi="Garamond"/>
                <w:lang w:val="en-AU"/>
              </w:rPr>
              <w:t xml:space="preserve">1121 patient cases with 700 antimicrobial prescriptions were assessed during the baseline period and 882 patient cases with 531 antimicrobial prescriptions during the intervention period. The </w:t>
            </w:r>
            <w:r w:rsidR="00134BE2">
              <w:rPr>
                <w:rFonts w:ascii="Garamond" w:hAnsi="Garamond"/>
                <w:lang w:val="en-AU"/>
              </w:rPr>
              <w:t xml:space="preserve">authors found that </w:t>
            </w:r>
            <w:r w:rsidR="00134BE2" w:rsidRPr="00134BE2">
              <w:rPr>
                <w:rFonts w:ascii="Garamond" w:hAnsi="Garamond"/>
                <w:lang w:val="en-AU"/>
              </w:rPr>
              <w:t xml:space="preserve">mean antimicrobial </w:t>
            </w:r>
            <w:r w:rsidR="00134BE2" w:rsidRPr="00134BE2">
              <w:rPr>
                <w:rFonts w:ascii="Garamond" w:hAnsi="Garamond"/>
                <w:b/>
                <w:lang w:val="en-AU"/>
              </w:rPr>
              <w:t>appropriateness increased</w:t>
            </w:r>
            <w:r w:rsidR="00134BE2" w:rsidRPr="00134BE2">
              <w:rPr>
                <w:rFonts w:ascii="Garamond" w:hAnsi="Garamond"/>
                <w:lang w:val="en-AU"/>
              </w:rPr>
              <w:t xml:space="preserve"> from 64.1% </w:t>
            </w:r>
            <w:r w:rsidR="00134BE2">
              <w:rPr>
                <w:rFonts w:ascii="Garamond" w:hAnsi="Garamond"/>
                <w:lang w:val="en-AU"/>
              </w:rPr>
              <w:t xml:space="preserve"> </w:t>
            </w:r>
            <w:r w:rsidR="00134BE2" w:rsidRPr="00134BE2">
              <w:rPr>
                <w:rFonts w:ascii="Garamond" w:hAnsi="Garamond"/>
                <w:lang w:val="en-AU"/>
              </w:rPr>
              <w:t>at intervention start to 77.4%</w:t>
            </w:r>
            <w:r w:rsidR="00134BE2">
              <w:rPr>
                <w:rFonts w:ascii="Garamond" w:hAnsi="Garamond"/>
                <w:lang w:val="en-AU"/>
              </w:rPr>
              <w:t xml:space="preserve"> at 12-month follow-up. However, no</w:t>
            </w:r>
            <w:r w:rsidR="00134BE2" w:rsidRPr="00134BE2">
              <w:rPr>
                <w:rFonts w:ascii="Garamond" w:hAnsi="Garamond"/>
                <w:lang w:val="en-AU"/>
              </w:rPr>
              <w:t xml:space="preserve"> decrease in antimicrobial consumption was found.</w:t>
            </w:r>
          </w:p>
          <w:p w:rsidR="00B5777E" w:rsidRPr="00A45262" w:rsidRDefault="00134BE2" w:rsidP="00134BE2">
            <w:pPr>
              <w:rPr>
                <w:rFonts w:ascii="Garamond" w:hAnsi="Garamond"/>
                <w:lang w:val="en-AU"/>
              </w:rPr>
            </w:pPr>
            <w:r>
              <w:rPr>
                <w:rFonts w:ascii="Garamond" w:hAnsi="Garamond"/>
                <w:lang w:val="en-AU"/>
              </w:rPr>
              <w:t>The authors assert that “</w:t>
            </w:r>
            <w:r w:rsidRPr="00134BE2">
              <w:rPr>
                <w:rFonts w:ascii="Garamond" w:hAnsi="Garamond"/>
                <w:lang w:val="en-AU"/>
              </w:rPr>
              <w:t xml:space="preserve">Use of a behavioral approach preserving prescriber autonomy resulted in an </w:t>
            </w:r>
            <w:r w:rsidRPr="00134BE2">
              <w:rPr>
                <w:rFonts w:ascii="Garamond" w:hAnsi="Garamond"/>
                <w:b/>
                <w:lang w:val="en-AU"/>
              </w:rPr>
              <w:t>increase in antimicrobial appropriateness</w:t>
            </w:r>
            <w:r w:rsidRPr="00134BE2">
              <w:rPr>
                <w:rFonts w:ascii="Garamond" w:hAnsi="Garamond"/>
                <w:lang w:val="en-AU"/>
              </w:rPr>
              <w:t xml:space="preserve"> sustained for at least 12 months. The approach is </w:t>
            </w:r>
            <w:r w:rsidRPr="00134BE2">
              <w:rPr>
                <w:rFonts w:ascii="Garamond" w:hAnsi="Garamond"/>
                <w:b/>
                <w:lang w:val="en-AU"/>
              </w:rPr>
              <w:t>inexpensive</w:t>
            </w:r>
            <w:r w:rsidRPr="00134BE2">
              <w:rPr>
                <w:rFonts w:ascii="Garamond" w:hAnsi="Garamond"/>
                <w:lang w:val="en-AU"/>
              </w:rPr>
              <w:t xml:space="preserve"> and could be </w:t>
            </w:r>
            <w:r w:rsidRPr="00134BE2">
              <w:rPr>
                <w:rFonts w:ascii="Garamond" w:hAnsi="Garamond"/>
                <w:b/>
                <w:lang w:val="en-AU"/>
              </w:rPr>
              <w:t>easily transferable</w:t>
            </w:r>
            <w:r w:rsidRPr="00134BE2">
              <w:rPr>
                <w:rFonts w:ascii="Garamond" w:hAnsi="Garamond"/>
                <w:lang w:val="en-AU"/>
              </w:rPr>
              <w:t xml:space="preserve"> to various health care environments.</w:t>
            </w:r>
            <w:r>
              <w:rPr>
                <w:rFonts w:ascii="Garamond" w:hAnsi="Garamond"/>
                <w:lang w:val="en-AU"/>
              </w:rPr>
              <w:t>”</w:t>
            </w:r>
          </w:p>
        </w:tc>
      </w:tr>
    </w:tbl>
    <w:p w:rsidR="00B5777E" w:rsidRDefault="00B5777E" w:rsidP="00B5777E">
      <w:pPr>
        <w:keepNext/>
        <w:rPr>
          <w:rFonts w:ascii="Garamond" w:hAnsi="Garamond"/>
          <w:lang w:val="en-AU"/>
        </w:rPr>
      </w:pPr>
    </w:p>
    <w:p w:rsidR="00134BE2" w:rsidRDefault="00134BE2" w:rsidP="00B5777E">
      <w:pPr>
        <w:keepNext/>
        <w:rPr>
          <w:rFonts w:ascii="Garamond" w:hAnsi="Garamond"/>
          <w:lang w:val="en-AU" w:eastAsia="en-AU"/>
        </w:rPr>
      </w:pPr>
      <w:r w:rsidRPr="00176BDA">
        <w:rPr>
          <w:rFonts w:ascii="Garamond" w:hAnsi="Garamond"/>
          <w:lang w:val="en-AU" w:eastAsia="en-AU"/>
        </w:rPr>
        <w:t>For information on the Commission’s work on</w:t>
      </w:r>
      <w:r>
        <w:rPr>
          <w:rFonts w:ascii="Garamond" w:hAnsi="Garamond"/>
          <w:lang w:val="en-AU" w:eastAsia="en-AU"/>
        </w:rPr>
        <w:t xml:space="preserve"> healthcare associated infection, including antimicrobial stewardship, see </w:t>
      </w:r>
      <w:hyperlink r:id="rId26" w:history="1">
        <w:r w:rsidRPr="00D67EE9">
          <w:rPr>
            <w:rStyle w:val="Hyperlink"/>
            <w:rFonts w:ascii="Garamond" w:hAnsi="Garamond"/>
            <w:lang w:val="en-AU" w:eastAsia="en-AU"/>
          </w:rPr>
          <w:t>https://www.safetyandquality.gov.au/our-work/healthcare-associated-infection/</w:t>
        </w:r>
      </w:hyperlink>
    </w:p>
    <w:p w:rsidR="00134BE2" w:rsidRDefault="00134BE2" w:rsidP="00B5777E">
      <w:pPr>
        <w:keepNext/>
        <w:rPr>
          <w:rFonts w:ascii="Garamond" w:hAnsi="Garamond"/>
          <w:lang w:val="en-AU"/>
        </w:rPr>
      </w:pPr>
    </w:p>
    <w:p w:rsidR="00F53622" w:rsidRDefault="00F53622">
      <w:pPr>
        <w:rPr>
          <w:rFonts w:ascii="Garamond" w:hAnsi="Garamond"/>
          <w:i/>
          <w:lang w:val="en-AU"/>
        </w:rPr>
      </w:pPr>
      <w:r>
        <w:rPr>
          <w:rFonts w:ascii="Garamond" w:hAnsi="Garamond"/>
          <w:i/>
          <w:lang w:val="en-AU"/>
        </w:rPr>
        <w:br w:type="page"/>
      </w:r>
    </w:p>
    <w:p w:rsidR="00F53622" w:rsidRPr="00AD067D" w:rsidRDefault="00F53622" w:rsidP="00F53622">
      <w:pPr>
        <w:rPr>
          <w:rFonts w:ascii="Garamond" w:hAnsi="Garamond"/>
          <w:i/>
          <w:lang w:val="en-AU"/>
        </w:rPr>
      </w:pPr>
      <w:r w:rsidRPr="00AD067D">
        <w:rPr>
          <w:rFonts w:ascii="Garamond" w:hAnsi="Garamond"/>
          <w:i/>
          <w:lang w:val="en-AU"/>
        </w:rPr>
        <w:lastRenderedPageBreak/>
        <w:t>Approaches to appropriate care delivery from a policy perspective: A case study of Australia, England and Switzerland</w:t>
      </w:r>
    </w:p>
    <w:p w:rsidR="00F53622" w:rsidRDefault="00F53622" w:rsidP="00F53622">
      <w:pPr>
        <w:rPr>
          <w:rFonts w:ascii="Garamond" w:hAnsi="Garamond"/>
          <w:lang w:val="en-AU"/>
        </w:rPr>
      </w:pPr>
      <w:r w:rsidRPr="00C50EF3">
        <w:rPr>
          <w:rFonts w:ascii="Garamond" w:hAnsi="Garamond"/>
          <w:lang w:val="en-AU"/>
        </w:rPr>
        <w:t>Robertson-Preidler J, Anstey M, Biller-Andorno N, Norrish A</w:t>
      </w:r>
    </w:p>
    <w:p w:rsidR="00F53622" w:rsidRPr="00A45262" w:rsidRDefault="00F53622" w:rsidP="00F53622">
      <w:pPr>
        <w:rPr>
          <w:rFonts w:ascii="Garamond" w:hAnsi="Garamond"/>
          <w:lang w:val="en-AU"/>
        </w:rPr>
      </w:pPr>
      <w:r w:rsidRPr="00C50EF3">
        <w:rPr>
          <w:rFonts w:ascii="Garamond" w:hAnsi="Garamond"/>
          <w:lang w:val="en-AU"/>
        </w:rPr>
        <w:t>Health Policy. 2017</w:t>
      </w:r>
      <w:r>
        <w:rPr>
          <w:rFonts w:ascii="Garamond" w:hAnsi="Garamond"/>
          <w:lang w:val="en-AU"/>
        </w:rPr>
        <w:t xml:space="preserve"> [epub]</w:t>
      </w:r>
      <w:r w:rsidRPr="00C50EF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53622"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F53622" w:rsidRPr="00A45262" w:rsidRDefault="00F53622"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53622" w:rsidRPr="00A45262" w:rsidRDefault="00F53622" w:rsidP="006F1986">
            <w:pPr>
              <w:rPr>
                <w:rStyle w:val="Hyperlink"/>
                <w:rFonts w:ascii="Garamond" w:hAnsi="Garamond"/>
                <w:color w:val="auto"/>
                <w:u w:val="none"/>
                <w:lang w:val="en-AU"/>
              </w:rPr>
            </w:pPr>
            <w:hyperlink r:id="rId27" w:history="1">
              <w:r w:rsidRPr="00D67EE9">
                <w:rPr>
                  <w:rStyle w:val="Hyperlink"/>
                  <w:rFonts w:ascii="Garamond" w:hAnsi="Garamond"/>
                  <w:lang w:val="en-AU"/>
                </w:rPr>
                <w:t>https://doi.org/10.1016/j.healthpol.2017.04.009</w:t>
              </w:r>
            </w:hyperlink>
          </w:p>
        </w:tc>
      </w:tr>
      <w:tr w:rsidR="00F53622"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F53622" w:rsidRPr="00A45262" w:rsidRDefault="00F53622"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3622" w:rsidRPr="00A45262" w:rsidRDefault="00F53622" w:rsidP="006F1986">
            <w:pPr>
              <w:rPr>
                <w:rFonts w:ascii="Garamond" w:hAnsi="Garamond"/>
                <w:lang w:val="en-AU"/>
              </w:rPr>
            </w:pPr>
            <w:r>
              <w:rPr>
                <w:rFonts w:ascii="Garamond" w:hAnsi="Garamond"/>
                <w:lang w:val="en-AU"/>
              </w:rPr>
              <w:t>The authors of this paper examine and compare the different visions of and policies driving appropriateness of care in three different national contexts, the UK, Switzerland and Australia. While all three offer universal care to their citizens, the means by which they deliver this and prioritise or otherwise encourage greater appropriateness of care. The variations reflect, as the authors note, “differ</w:t>
            </w:r>
            <w:r w:rsidRPr="00AA02C5">
              <w:rPr>
                <w:rFonts w:ascii="Garamond" w:hAnsi="Garamond"/>
                <w:lang w:val="en-AU"/>
              </w:rPr>
              <w:t>ences in geography, history, population needs, and perceptions</w:t>
            </w:r>
            <w:r>
              <w:rPr>
                <w:rFonts w:ascii="Garamond" w:hAnsi="Garamond"/>
                <w:lang w:val="en-AU"/>
              </w:rPr>
              <w:t xml:space="preserve"> </w:t>
            </w:r>
            <w:r w:rsidRPr="00AA02C5">
              <w:rPr>
                <w:rFonts w:ascii="Garamond" w:hAnsi="Garamond"/>
                <w:lang w:val="en-AU"/>
              </w:rPr>
              <w:t>of solidarity have produced variations in how they interpret and</w:t>
            </w:r>
            <w:r>
              <w:rPr>
                <w:rFonts w:ascii="Garamond" w:hAnsi="Garamond"/>
                <w:lang w:val="en-AU"/>
              </w:rPr>
              <w:t xml:space="preserve"> </w:t>
            </w:r>
            <w:r w:rsidRPr="00AA02C5">
              <w:rPr>
                <w:rFonts w:ascii="Garamond" w:hAnsi="Garamond"/>
                <w:lang w:val="en-AU"/>
              </w:rPr>
              <w:t>implement appropriateness in health care.</w:t>
            </w:r>
            <w:r>
              <w:rPr>
                <w:rFonts w:ascii="Garamond" w:hAnsi="Garamond"/>
                <w:lang w:val="en-AU"/>
              </w:rPr>
              <w:t>” In some many ways, context matters.</w:t>
            </w:r>
          </w:p>
        </w:tc>
      </w:tr>
    </w:tbl>
    <w:p w:rsidR="00F53622" w:rsidRDefault="00F53622" w:rsidP="00F53622">
      <w:pPr>
        <w:keepNext/>
        <w:rPr>
          <w:rFonts w:ascii="Garamond" w:hAnsi="Garamond"/>
          <w:lang w:val="en-AU"/>
        </w:rPr>
      </w:pPr>
    </w:p>
    <w:p w:rsidR="00AB473E" w:rsidRPr="00AB473E" w:rsidRDefault="00AB473E" w:rsidP="00AB473E">
      <w:pPr>
        <w:rPr>
          <w:rFonts w:ascii="Garamond" w:hAnsi="Garamond"/>
          <w:i/>
          <w:lang w:val="en-AU"/>
        </w:rPr>
      </w:pPr>
      <w:r w:rsidRPr="00AB473E">
        <w:rPr>
          <w:rFonts w:ascii="Garamond" w:hAnsi="Garamond"/>
          <w:i/>
          <w:lang w:val="en-AU"/>
        </w:rPr>
        <w:t>Prospective Evaluation of a Multifaceted Intervention to Improve Outcomes in Intensive Care: The Promoting Respect and Ongoing Safety Through Patient Engagement Communication and Technology Study</w:t>
      </w:r>
    </w:p>
    <w:p w:rsidR="00AB473E" w:rsidRDefault="00AB473E" w:rsidP="00B5777E">
      <w:pPr>
        <w:rPr>
          <w:rFonts w:ascii="Garamond" w:hAnsi="Garamond"/>
          <w:lang w:val="en-AU"/>
        </w:rPr>
      </w:pPr>
      <w:r w:rsidRPr="00AB473E">
        <w:rPr>
          <w:rFonts w:ascii="Garamond" w:hAnsi="Garamond"/>
          <w:lang w:val="en-AU"/>
        </w:rPr>
        <w:t>Dykes PC, Rozenblum R, Dalal A, Massaro</w:t>
      </w:r>
      <w:r>
        <w:rPr>
          <w:rFonts w:ascii="Garamond" w:hAnsi="Garamond"/>
          <w:lang w:val="en-AU"/>
        </w:rPr>
        <w:t xml:space="preserve"> A, Chang F, Clements M, et al</w:t>
      </w:r>
    </w:p>
    <w:p w:rsidR="00B5777E" w:rsidRPr="00A45262" w:rsidRDefault="00AB473E" w:rsidP="00B5777E">
      <w:pPr>
        <w:rPr>
          <w:rFonts w:ascii="Garamond" w:hAnsi="Garamond"/>
          <w:lang w:val="en-AU"/>
        </w:rPr>
      </w:pPr>
      <w:r w:rsidRPr="00AB473E">
        <w:rPr>
          <w:rFonts w:ascii="Garamond" w:hAnsi="Garamond"/>
          <w:lang w:val="en-AU"/>
        </w:rPr>
        <w:t>Critical Care Medicine. 2017.</w:t>
      </w:r>
    </w:p>
    <w:tbl>
      <w:tblPr>
        <w:tblStyle w:val="TableGrid"/>
        <w:tblW w:w="0" w:type="auto"/>
        <w:tblInd w:w="288" w:type="dxa"/>
        <w:tblLayout w:type="fixed"/>
        <w:tblLook w:val="01E0" w:firstRow="1" w:lastRow="1" w:firstColumn="1" w:lastColumn="1" w:noHBand="0" w:noVBand="0"/>
      </w:tblPr>
      <w:tblGrid>
        <w:gridCol w:w="1080"/>
        <w:gridCol w:w="8280"/>
      </w:tblGrid>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Pr="00A45262" w:rsidRDefault="00B61D90" w:rsidP="00DD2B27">
            <w:pPr>
              <w:rPr>
                <w:rStyle w:val="Hyperlink"/>
                <w:rFonts w:ascii="Garamond" w:hAnsi="Garamond"/>
                <w:color w:val="auto"/>
                <w:u w:val="none"/>
                <w:lang w:val="en-AU"/>
              </w:rPr>
            </w:pPr>
            <w:hyperlink r:id="rId28" w:history="1">
              <w:r w:rsidR="00240CFC" w:rsidRPr="00D67EE9">
                <w:rPr>
                  <w:rStyle w:val="Hyperlink"/>
                  <w:rFonts w:ascii="Garamond" w:hAnsi="Garamond"/>
                  <w:lang w:val="en-AU"/>
                </w:rPr>
                <w:t>https://dx.doi.org/10.1097/ccm.0000000000002449</w:t>
              </w:r>
            </w:hyperlink>
          </w:p>
        </w:tc>
      </w:tr>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473E" w:rsidRPr="00A45262" w:rsidRDefault="00AB473E" w:rsidP="00AB473E">
            <w:pPr>
              <w:rPr>
                <w:rFonts w:ascii="Garamond" w:hAnsi="Garamond"/>
                <w:lang w:val="en-AU"/>
              </w:rPr>
            </w:pPr>
            <w:r>
              <w:rPr>
                <w:rFonts w:ascii="Garamond" w:hAnsi="Garamond"/>
                <w:lang w:val="en-AU"/>
              </w:rPr>
              <w:t>This paper (with a very long title and a long list of authors) reported on the impact of an intervention aimed at improving</w:t>
            </w:r>
            <w:r w:rsidRPr="00AB473E">
              <w:rPr>
                <w:rFonts w:ascii="Garamond" w:hAnsi="Garamond"/>
                <w:lang w:val="en-AU"/>
              </w:rPr>
              <w:t xml:space="preserve"> outcomes in intensive care</w:t>
            </w:r>
            <w:r>
              <w:rPr>
                <w:rFonts w:ascii="Garamond" w:hAnsi="Garamond"/>
                <w:lang w:val="en-AU"/>
              </w:rPr>
              <w:t xml:space="preserve">. The </w:t>
            </w:r>
            <w:r w:rsidRPr="00AB473E">
              <w:rPr>
                <w:rFonts w:ascii="Garamond" w:hAnsi="Garamond"/>
                <w:lang w:val="en-AU"/>
              </w:rPr>
              <w:t xml:space="preserve">multicomponent intervention </w:t>
            </w:r>
            <w:r>
              <w:rPr>
                <w:rFonts w:ascii="Garamond" w:hAnsi="Garamond"/>
                <w:lang w:val="en-AU"/>
              </w:rPr>
              <w:t>had a s</w:t>
            </w:r>
            <w:r w:rsidRPr="00AB473E">
              <w:rPr>
                <w:rFonts w:ascii="Garamond" w:hAnsi="Garamond"/>
                <w:lang w:val="en-AU"/>
              </w:rPr>
              <w:t xml:space="preserve">tructured patient-centred care and engagement training program and web-based technology including ICU safety checklist, tools to develop shared care plan, and messaging platform. </w:t>
            </w:r>
            <w:r>
              <w:rPr>
                <w:rFonts w:ascii="Garamond" w:hAnsi="Garamond"/>
                <w:lang w:val="en-AU"/>
              </w:rPr>
              <w:t>It also had p</w:t>
            </w:r>
            <w:r w:rsidRPr="00AB473E">
              <w:rPr>
                <w:rFonts w:ascii="Garamond" w:hAnsi="Garamond"/>
                <w:lang w:val="en-AU"/>
              </w:rPr>
              <w:t xml:space="preserve">atient and care partner access to </w:t>
            </w:r>
            <w:r>
              <w:rPr>
                <w:rFonts w:ascii="Garamond" w:hAnsi="Garamond"/>
                <w:lang w:val="en-AU"/>
              </w:rPr>
              <w:t xml:space="preserve">an </w:t>
            </w:r>
            <w:r w:rsidRPr="00AB473E">
              <w:rPr>
                <w:rFonts w:ascii="Garamond" w:hAnsi="Garamond"/>
                <w:lang w:val="en-AU"/>
              </w:rPr>
              <w:t>online portal to view health information, participate in the care plan, and communicate with providers.</w:t>
            </w:r>
            <w:r>
              <w:rPr>
                <w:rFonts w:ascii="Garamond" w:hAnsi="Garamond"/>
                <w:lang w:val="en-AU"/>
              </w:rPr>
              <w:t xml:space="preserve"> The study examined </w:t>
            </w:r>
            <w:r w:rsidRPr="00AB473E">
              <w:rPr>
                <w:rFonts w:ascii="Garamond" w:hAnsi="Garamond"/>
                <w:lang w:val="en-AU"/>
              </w:rPr>
              <w:t>2,105 patient admissions, (1,030 baseline and 1,075 during intervention periods)</w:t>
            </w:r>
            <w:r>
              <w:rPr>
                <w:rFonts w:ascii="Garamond" w:hAnsi="Garamond"/>
                <w:lang w:val="en-AU"/>
              </w:rPr>
              <w:t xml:space="preserve"> and reported that t</w:t>
            </w:r>
            <w:r w:rsidRPr="00AB473E">
              <w:rPr>
                <w:rFonts w:ascii="Garamond" w:hAnsi="Garamond"/>
                <w:lang w:val="en-AU"/>
              </w:rPr>
              <w:t xml:space="preserve">he aggregate rate of </w:t>
            </w:r>
            <w:r w:rsidRPr="0047364E">
              <w:rPr>
                <w:rFonts w:ascii="Garamond" w:hAnsi="Garamond"/>
                <w:b/>
                <w:lang w:val="en-AU"/>
              </w:rPr>
              <w:t>adverse events fell 29%</w:t>
            </w:r>
            <w:r w:rsidRPr="00AB473E">
              <w:rPr>
                <w:rFonts w:ascii="Garamond" w:hAnsi="Garamond"/>
                <w:lang w:val="en-AU"/>
              </w:rPr>
              <w:t xml:space="preserve">, from 59.0 to 41.9 per 1,000 patient days during the intervention period. </w:t>
            </w:r>
            <w:r w:rsidRPr="00AB473E">
              <w:rPr>
                <w:rFonts w:ascii="Garamond" w:hAnsi="Garamond"/>
                <w:b/>
                <w:lang w:val="en-AU"/>
              </w:rPr>
              <w:t>Satisfaction improved</w:t>
            </w:r>
            <w:r w:rsidRPr="00AB473E">
              <w:rPr>
                <w:rFonts w:ascii="Garamond" w:hAnsi="Garamond"/>
                <w:lang w:val="en-AU"/>
              </w:rPr>
              <w:t xml:space="preserve"> from an overall hospital rating of 71.8 to 93.3 for patients and from 84.3 to 90.0 for care partners. </w:t>
            </w:r>
            <w:r>
              <w:rPr>
                <w:rFonts w:ascii="Garamond" w:hAnsi="Garamond"/>
                <w:lang w:val="en-AU"/>
              </w:rPr>
              <w:t>This was while there was n</w:t>
            </w:r>
            <w:r w:rsidRPr="00AB473E">
              <w:rPr>
                <w:rFonts w:ascii="Garamond" w:hAnsi="Garamond"/>
                <w:lang w:val="en-AU"/>
              </w:rPr>
              <w:t xml:space="preserve">o change in care plan concordance or resource </w:t>
            </w:r>
            <w:r>
              <w:rPr>
                <w:rFonts w:ascii="Garamond" w:hAnsi="Garamond"/>
                <w:lang w:val="en-AU"/>
              </w:rPr>
              <w:t>use</w:t>
            </w:r>
            <w:r w:rsidRPr="00AB473E">
              <w:rPr>
                <w:rFonts w:ascii="Garamond" w:hAnsi="Garamond"/>
                <w:lang w:val="en-AU"/>
              </w:rPr>
              <w:t>.</w:t>
            </w:r>
          </w:p>
        </w:tc>
      </w:tr>
    </w:tbl>
    <w:p w:rsidR="00B5777E" w:rsidRDefault="00B5777E" w:rsidP="00B5777E">
      <w:pPr>
        <w:keepNext/>
        <w:rPr>
          <w:rFonts w:ascii="Garamond" w:hAnsi="Garamond"/>
          <w:lang w:val="en-AU"/>
        </w:rPr>
      </w:pPr>
    </w:p>
    <w:p w:rsidR="00EA3570" w:rsidRDefault="00EA3570" w:rsidP="00EA3570">
      <w:pPr>
        <w:keepNext/>
        <w:rPr>
          <w:rFonts w:ascii="Garamond" w:hAnsi="Garamond"/>
          <w:i/>
          <w:lang w:val="en-AU" w:eastAsia="en-AU"/>
        </w:rPr>
      </w:pPr>
    </w:p>
    <w:p w:rsidR="00B5777E" w:rsidRPr="00A22B7B" w:rsidRDefault="00A22B7B" w:rsidP="00B5777E">
      <w:pPr>
        <w:rPr>
          <w:rFonts w:ascii="Garamond" w:hAnsi="Garamond"/>
          <w:i/>
          <w:lang w:val="en-AU"/>
        </w:rPr>
      </w:pPr>
      <w:r w:rsidRPr="00A22B7B">
        <w:rPr>
          <w:rFonts w:ascii="Garamond" w:hAnsi="Garamond"/>
          <w:i/>
          <w:lang w:val="en-AU"/>
        </w:rPr>
        <w:t>Healthcare Quarterly</w:t>
      </w:r>
    </w:p>
    <w:p w:rsidR="00A22B7B" w:rsidRPr="00A45262" w:rsidRDefault="00A22B7B" w:rsidP="00B5777E">
      <w:pPr>
        <w:rPr>
          <w:rFonts w:ascii="Garamond" w:hAnsi="Garamond"/>
          <w:lang w:val="en-AU"/>
        </w:rPr>
      </w:pPr>
      <w:r w:rsidRPr="00A22B7B">
        <w:rPr>
          <w:rFonts w:ascii="Garamond" w:hAnsi="Garamond"/>
          <w:lang w:val="en-AU"/>
        </w:rPr>
        <w:t>Vol. 20 No. 1, 2017</w:t>
      </w:r>
    </w:p>
    <w:tbl>
      <w:tblPr>
        <w:tblStyle w:val="TableGrid"/>
        <w:tblW w:w="0" w:type="auto"/>
        <w:tblInd w:w="288" w:type="dxa"/>
        <w:tblLayout w:type="fixed"/>
        <w:tblLook w:val="01E0" w:firstRow="1" w:lastRow="1" w:firstColumn="1" w:lastColumn="1" w:noHBand="0" w:noVBand="0"/>
      </w:tblPr>
      <w:tblGrid>
        <w:gridCol w:w="1080"/>
        <w:gridCol w:w="8280"/>
      </w:tblGrid>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Pr="00A45262" w:rsidRDefault="00B61D90" w:rsidP="00DD2B27">
            <w:pPr>
              <w:rPr>
                <w:rStyle w:val="Hyperlink"/>
                <w:rFonts w:ascii="Garamond" w:hAnsi="Garamond"/>
                <w:color w:val="auto"/>
                <w:u w:val="none"/>
                <w:lang w:val="en-AU"/>
              </w:rPr>
            </w:pPr>
            <w:hyperlink r:id="rId29" w:history="1">
              <w:r w:rsidR="00A22B7B" w:rsidRPr="00D67EE9">
                <w:rPr>
                  <w:rStyle w:val="Hyperlink"/>
                  <w:rFonts w:ascii="Garamond" w:hAnsi="Garamond"/>
                  <w:lang w:val="en-AU"/>
                </w:rPr>
                <w:t>https://www.longwoods.com/publications/healthcare-quarterly/25070</w:t>
              </w:r>
            </w:hyperlink>
          </w:p>
        </w:tc>
      </w:tr>
      <w:tr w:rsidR="00B5777E"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5777E" w:rsidRPr="00A45262" w:rsidRDefault="00B5777E"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777E" w:rsidRDefault="0021454E" w:rsidP="0021454E">
            <w:pPr>
              <w:rPr>
                <w:rFonts w:ascii="Garamond" w:hAnsi="Garamond"/>
                <w:lang w:val="en-AU"/>
              </w:rPr>
            </w:pPr>
            <w:r>
              <w:rPr>
                <w:rFonts w:ascii="Garamond" w:hAnsi="Garamond"/>
                <w:lang w:val="en-AU"/>
              </w:rPr>
              <w:t xml:space="preserve">A new issue of </w:t>
            </w:r>
            <w:r w:rsidRPr="00A22B7B">
              <w:rPr>
                <w:rFonts w:ascii="Garamond" w:hAnsi="Garamond"/>
                <w:i/>
                <w:lang w:val="en-AU"/>
              </w:rPr>
              <w:t>Healthcare Quarterly</w:t>
            </w:r>
            <w:r>
              <w:rPr>
                <w:rFonts w:ascii="Garamond" w:hAnsi="Garamond"/>
                <w:lang w:val="en-AU"/>
              </w:rPr>
              <w:t xml:space="preserve"> has been published. Articles in this issue of </w:t>
            </w:r>
            <w:r w:rsidRPr="00A22B7B">
              <w:rPr>
                <w:rFonts w:ascii="Garamond" w:hAnsi="Garamond"/>
                <w:i/>
                <w:lang w:val="en-AU"/>
              </w:rPr>
              <w:t>Healthcare Quarterly</w:t>
            </w:r>
            <w:r>
              <w:rPr>
                <w:rFonts w:ascii="Garamond" w:hAnsi="Garamond"/>
                <w:lang w:val="en-AU"/>
              </w:rPr>
              <w:t xml:space="preserve"> include:</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b/>
                <w:lang w:val="en-AU"/>
              </w:rPr>
              <w:t>Gender, Sex and Traumatic Brain Injury</w:t>
            </w:r>
            <w:r w:rsidRPr="0021454E">
              <w:rPr>
                <w:rFonts w:ascii="Garamond" w:hAnsi="Garamond"/>
                <w:lang w:val="en-AU"/>
              </w:rPr>
              <w:t>: Transformative Science to Optimize Patient Outcomes (Tatyana Mollayeva and Angela Colantonio</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Improving </w:t>
            </w:r>
            <w:r w:rsidRPr="0021454E">
              <w:rPr>
                <w:rFonts w:ascii="Garamond" w:hAnsi="Garamond"/>
                <w:b/>
                <w:lang w:val="en-AU"/>
              </w:rPr>
              <w:t>Health System Efficiency</w:t>
            </w:r>
            <w:r w:rsidRPr="0021454E">
              <w:rPr>
                <w:rFonts w:ascii="Garamond" w:hAnsi="Garamond"/>
                <w:lang w:val="en-AU"/>
              </w:rPr>
              <w:t>: Perspectives of Decision-Makers (Sara Allin, Sara Guilcher, Dana Riley and Yu Janice Zhang</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b/>
                <w:lang w:val="en-AU"/>
              </w:rPr>
              <w:t>Healthcare for the Aging Citizen</w:t>
            </w:r>
            <w:r w:rsidRPr="0021454E">
              <w:rPr>
                <w:rFonts w:ascii="Garamond" w:hAnsi="Garamond"/>
                <w:lang w:val="en-AU"/>
              </w:rPr>
              <w:t xml:space="preserve"> and the Aging Citizen for Healthcare: Involving Patient Advisors in Elder-Friendly Care Improvement (Jennifer Verma, Patricia O'Connor, Jerold Hodge, H Abrams, J Bennett and S Sinha</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The </w:t>
            </w:r>
            <w:r w:rsidRPr="0021454E">
              <w:rPr>
                <w:rFonts w:ascii="Garamond" w:hAnsi="Garamond"/>
                <w:b/>
                <w:lang w:val="en-AU"/>
              </w:rPr>
              <w:t>Case for Quality Improvement</w:t>
            </w:r>
            <w:r>
              <w:rPr>
                <w:rFonts w:ascii="Garamond" w:hAnsi="Garamond"/>
                <w:lang w:val="en-AU"/>
              </w:rPr>
              <w:t xml:space="preserve"> (</w:t>
            </w:r>
            <w:r w:rsidRPr="0021454E">
              <w:rPr>
                <w:rFonts w:ascii="Garamond" w:hAnsi="Garamond"/>
                <w:lang w:val="en-AU"/>
              </w:rPr>
              <w:t>Christina Krause</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b/>
                <w:lang w:val="en-AU"/>
              </w:rPr>
              <w:t xml:space="preserve">Early Rehabilitation </w:t>
            </w:r>
            <w:r w:rsidRPr="0021454E">
              <w:rPr>
                <w:rFonts w:ascii="Garamond" w:hAnsi="Garamond"/>
                <w:lang w:val="en-AU"/>
              </w:rPr>
              <w:t xml:space="preserve">for Patients with </w:t>
            </w:r>
            <w:r w:rsidRPr="0021454E">
              <w:rPr>
                <w:rFonts w:ascii="Garamond" w:hAnsi="Garamond"/>
                <w:b/>
                <w:lang w:val="en-AU"/>
              </w:rPr>
              <w:t>Hip Fractures</w:t>
            </w:r>
            <w:r w:rsidRPr="0021454E">
              <w:rPr>
                <w:rFonts w:ascii="Garamond" w:hAnsi="Garamond"/>
                <w:lang w:val="en-AU"/>
              </w:rPr>
              <w:t>: Spreading Change Across the System (Charissa Levy, Sharon Ocampo-Chan, Linda Huestis and D Renzetti</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BOOMR: Better Coordinated </w:t>
            </w:r>
            <w:r w:rsidRPr="0021454E">
              <w:rPr>
                <w:rFonts w:ascii="Garamond" w:hAnsi="Garamond"/>
                <w:b/>
                <w:lang w:val="en-AU"/>
              </w:rPr>
              <w:t>Cross-Sectoral Medication Reconciliation</w:t>
            </w:r>
            <w:r w:rsidRPr="0021454E">
              <w:rPr>
                <w:rFonts w:ascii="Garamond" w:hAnsi="Garamond"/>
                <w:lang w:val="en-AU"/>
              </w:rPr>
              <w:t xml:space="preserve"> for Residential Care (Vincent Vuong, Denis O’Donnell, Hrishikesh Navare, Debra Merrill, Michal Racki, Sheila Burton, Lori Anderson and Carla Beaton</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lastRenderedPageBreak/>
              <w:t>The PoET (</w:t>
            </w:r>
            <w:r w:rsidRPr="0021454E">
              <w:rPr>
                <w:rFonts w:ascii="Garamond" w:hAnsi="Garamond"/>
                <w:b/>
                <w:lang w:val="en-AU"/>
              </w:rPr>
              <w:t>Prevention of Error-based Transfers</w:t>
            </w:r>
            <w:r w:rsidRPr="0021454E">
              <w:rPr>
                <w:rFonts w:ascii="Garamond" w:hAnsi="Garamond"/>
                <w:lang w:val="en-AU"/>
              </w:rPr>
              <w:t>) Project (Jill Oliver and Paula Chidwick</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Optimizing</w:t>
            </w:r>
            <w:r w:rsidRPr="0021454E">
              <w:rPr>
                <w:rFonts w:ascii="Garamond" w:hAnsi="Garamond"/>
                <w:b/>
                <w:lang w:val="en-AU"/>
              </w:rPr>
              <w:t xml:space="preserve"> Transitions of Care</w:t>
            </w:r>
            <w:r w:rsidRPr="0021454E">
              <w:rPr>
                <w:rFonts w:ascii="Garamond" w:hAnsi="Garamond"/>
                <w:lang w:val="en-AU"/>
              </w:rPr>
              <w:t xml:space="preserve"> – Hospital to Community (Emily Sheridan, Christine Thompson, Tania Pinheiro, Nicole Robinson, Karen Davies and Nancy Whitmore</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b/>
                <w:lang w:val="en-AU"/>
              </w:rPr>
              <w:t>Patient-Centred Care</w:t>
            </w:r>
            <w:r w:rsidRPr="0021454E">
              <w:rPr>
                <w:rFonts w:ascii="Garamond" w:hAnsi="Garamond"/>
                <w:lang w:val="en-AU"/>
              </w:rPr>
              <w:t xml:space="preserve"> in Canada: Key Components and the Path Forward (Terrence Montague, Amédé Gogovor, John Aylen, Lisa Ashley, Sara Ahmed, Lesli Martin, Bonnie Cochrane, Owen Adams and Joanna Nemis-White</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Listening to Improve: Transforming </w:t>
            </w:r>
            <w:r w:rsidRPr="0021454E">
              <w:rPr>
                <w:rFonts w:ascii="Garamond" w:hAnsi="Garamond"/>
                <w:b/>
                <w:lang w:val="en-AU"/>
              </w:rPr>
              <w:t>Patient Relations Measurement and Reporting</w:t>
            </w:r>
            <w:r w:rsidRPr="0021454E">
              <w:rPr>
                <w:rFonts w:ascii="Garamond" w:hAnsi="Garamond"/>
                <w:lang w:val="en-AU"/>
              </w:rPr>
              <w:t xml:space="preserve"> in Ontario (Patricia Sullivan-Taylor, Rachel Frohlich, Anita Singh and Anna Greenberg</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Improving </w:t>
            </w:r>
            <w:r w:rsidRPr="0021454E">
              <w:rPr>
                <w:rFonts w:ascii="Garamond" w:hAnsi="Garamond"/>
                <w:b/>
                <w:lang w:val="en-AU"/>
              </w:rPr>
              <w:t>Patient Engagement and Satisfaction</w:t>
            </w:r>
            <w:r w:rsidRPr="0021454E">
              <w:rPr>
                <w:rFonts w:ascii="Garamond" w:hAnsi="Garamond"/>
                <w:lang w:val="en-AU"/>
              </w:rPr>
              <w:t>: Lessons from a Patient-Driven Care Initiative in a Community-Based Hospital (Lisa Shiozaki, Kirsten Burgomaster and Manon Lemonde</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Integrating </w:t>
            </w:r>
            <w:r w:rsidRPr="0021454E">
              <w:rPr>
                <w:rFonts w:ascii="Garamond" w:hAnsi="Garamond"/>
                <w:b/>
                <w:lang w:val="en-AU"/>
              </w:rPr>
              <w:t xml:space="preserve">Engagement </w:t>
            </w:r>
            <w:r w:rsidRPr="0021454E">
              <w:rPr>
                <w:rFonts w:ascii="Garamond" w:hAnsi="Garamond"/>
                <w:lang w:val="en-AU"/>
              </w:rPr>
              <w:t>and</w:t>
            </w:r>
            <w:r w:rsidRPr="0021454E">
              <w:rPr>
                <w:rFonts w:ascii="Garamond" w:hAnsi="Garamond"/>
                <w:b/>
                <w:lang w:val="en-AU"/>
              </w:rPr>
              <w:t xml:space="preserve"> Improvement</w:t>
            </w:r>
            <w:r w:rsidRPr="0021454E">
              <w:rPr>
                <w:rFonts w:ascii="Garamond" w:hAnsi="Garamond"/>
                <w:lang w:val="en-AU"/>
              </w:rPr>
              <w:t xml:space="preserve"> Work in a Pediatric Hospital (Mireille Brosseau, Diane Gagnon, Kristina Rohde and Jennifer Schellinck</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The Effect of </w:t>
            </w:r>
            <w:r w:rsidRPr="0021454E">
              <w:rPr>
                <w:rFonts w:ascii="Garamond" w:hAnsi="Garamond"/>
                <w:b/>
                <w:lang w:val="en-AU"/>
              </w:rPr>
              <w:t>Language</w:t>
            </w:r>
            <w:r w:rsidRPr="0021454E">
              <w:rPr>
                <w:rFonts w:ascii="Garamond" w:hAnsi="Garamond"/>
                <w:lang w:val="en-AU"/>
              </w:rPr>
              <w:t xml:space="preserve"> on Hospital Inpatient </w:t>
            </w:r>
            <w:r w:rsidRPr="0021454E">
              <w:rPr>
                <w:rFonts w:ascii="Garamond" w:hAnsi="Garamond"/>
                <w:b/>
                <w:lang w:val="en-AU"/>
              </w:rPr>
              <w:t>Length of Stay</w:t>
            </w:r>
            <w:r w:rsidRPr="0021454E">
              <w:rPr>
                <w:rFonts w:ascii="Garamond" w:hAnsi="Garamond"/>
                <w:lang w:val="en-AU"/>
              </w:rPr>
              <w:t xml:space="preserve"> (Nirbhai Singh Pannu, Alexandra Hill-Mann and Gurwinder Gill</w:t>
            </w:r>
            <w:r>
              <w:rPr>
                <w:rFonts w:ascii="Garamond" w:hAnsi="Garamond"/>
                <w:lang w:val="en-AU"/>
              </w:rPr>
              <w:t>)</w:t>
            </w:r>
          </w:p>
          <w:p w:rsidR="0021454E" w:rsidRPr="0021454E" w:rsidRDefault="0021454E" w:rsidP="0021454E">
            <w:pPr>
              <w:pStyle w:val="ListParagraph"/>
              <w:numPr>
                <w:ilvl w:val="0"/>
                <w:numId w:val="31"/>
              </w:numPr>
              <w:rPr>
                <w:rFonts w:ascii="Garamond" w:hAnsi="Garamond"/>
                <w:lang w:val="en-AU"/>
              </w:rPr>
            </w:pPr>
            <w:r w:rsidRPr="0021454E">
              <w:rPr>
                <w:rFonts w:ascii="Garamond" w:hAnsi="Garamond"/>
                <w:lang w:val="en-AU"/>
              </w:rPr>
              <w:t xml:space="preserve">St. Michael’s Improvement Program – A Collaborative Approach to </w:t>
            </w:r>
            <w:r w:rsidRPr="0021454E">
              <w:rPr>
                <w:rFonts w:ascii="Garamond" w:hAnsi="Garamond"/>
                <w:b/>
                <w:lang w:val="en-AU"/>
              </w:rPr>
              <w:t>Sustainable Cost Savings</w:t>
            </w:r>
            <w:r>
              <w:rPr>
                <w:rFonts w:ascii="Garamond" w:hAnsi="Garamond"/>
                <w:lang w:val="en-AU"/>
              </w:rPr>
              <w:t xml:space="preserve"> (</w:t>
            </w:r>
            <w:r w:rsidRPr="0021454E">
              <w:rPr>
                <w:rFonts w:ascii="Garamond" w:hAnsi="Garamond"/>
                <w:lang w:val="en-AU"/>
              </w:rPr>
              <w:t>Anne Trafford and Danielle Jane</w:t>
            </w:r>
            <w:r>
              <w:rPr>
                <w:rFonts w:ascii="Garamond" w:hAnsi="Garamond"/>
                <w:lang w:val="en-AU"/>
              </w:rPr>
              <w:t>)</w:t>
            </w:r>
          </w:p>
        </w:tc>
      </w:tr>
    </w:tbl>
    <w:p w:rsidR="00B5777E" w:rsidRDefault="00B5777E" w:rsidP="00B5777E">
      <w:pPr>
        <w:keepNext/>
        <w:rPr>
          <w:rFonts w:ascii="Garamond" w:hAnsi="Garamond"/>
          <w:lang w:val="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B61D90" w:rsidP="00F37416">
            <w:pPr>
              <w:keepNext/>
              <w:rPr>
                <w:rFonts w:ascii="Garamond" w:hAnsi="Garamond"/>
                <w:lang w:val="en-AU"/>
              </w:rPr>
            </w:pPr>
            <w:hyperlink r:id="rId30" w:history="1">
              <w:r w:rsidR="003139A9" w:rsidRPr="00D67EE9">
                <w:rPr>
                  <w:rStyle w:val="Hyperlink"/>
                  <w:rFonts w:ascii="Garamond" w:hAnsi="Garamond"/>
                  <w:lang w:val="en-AU"/>
                </w:rPr>
                <w:t>https://qualitysafety.bmj.com/content/early/recent</w:t>
              </w:r>
            </w:hyperlink>
          </w:p>
        </w:tc>
      </w:tr>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8C6F66" w:rsidRPr="00A45262" w:rsidRDefault="008C6F66" w:rsidP="00F22EB9">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D60FBA" w:rsidRPr="00A45262" w:rsidRDefault="003139A9" w:rsidP="003139A9">
            <w:pPr>
              <w:pStyle w:val="ListParagraph"/>
              <w:numPr>
                <w:ilvl w:val="0"/>
                <w:numId w:val="14"/>
              </w:numPr>
              <w:rPr>
                <w:rFonts w:ascii="Garamond" w:hAnsi="Garamond"/>
                <w:lang w:val="en-AU"/>
              </w:rPr>
            </w:pPr>
            <w:r w:rsidRPr="003139A9">
              <w:rPr>
                <w:rFonts w:ascii="Garamond" w:hAnsi="Garamond"/>
                <w:lang w:val="en-AU"/>
              </w:rPr>
              <w:t xml:space="preserve">Towards </w:t>
            </w:r>
            <w:r w:rsidRPr="003139A9">
              <w:rPr>
                <w:rFonts w:ascii="Garamond" w:hAnsi="Garamond"/>
                <w:b/>
                <w:lang w:val="en-AU"/>
              </w:rPr>
              <w:t>high-reliability organising in healthcare</w:t>
            </w:r>
            <w:r w:rsidRPr="003139A9">
              <w:rPr>
                <w:rFonts w:ascii="Garamond" w:hAnsi="Garamond"/>
                <w:lang w:val="en-AU"/>
              </w:rPr>
              <w:t xml:space="preserve">: a strategy for building organisational capacity </w:t>
            </w:r>
            <w:r>
              <w:rPr>
                <w:rFonts w:ascii="Garamond" w:hAnsi="Garamond"/>
                <w:lang w:val="en-AU"/>
              </w:rPr>
              <w:t>(</w:t>
            </w:r>
            <w:r w:rsidRPr="003139A9">
              <w:rPr>
                <w:rFonts w:ascii="Garamond" w:hAnsi="Garamond"/>
                <w:lang w:val="en-AU"/>
              </w:rPr>
              <w:t>Hanan J Aboumatar, Sallie J Weaver, Dianne Rees, Michael A Rosen, Melinda D Sawyer, Peter J Pronovost</w:t>
            </w:r>
            <w:r>
              <w:rPr>
                <w:rFonts w:ascii="Garamond" w:hAnsi="Garamond"/>
                <w:lang w:val="en-AU"/>
              </w:rPr>
              <w:t>)</w:t>
            </w:r>
          </w:p>
        </w:tc>
      </w:tr>
    </w:tbl>
    <w:p w:rsidR="008C6F66" w:rsidRPr="00A45262" w:rsidRDefault="008C6F66" w:rsidP="00C400E8">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3139A9" w:rsidRDefault="00B61D90" w:rsidP="009E5A41">
            <w:pPr>
              <w:keepNext/>
              <w:rPr>
                <w:rFonts w:ascii="Garamond" w:hAnsi="Garamond"/>
                <w:lang w:val="en-AU"/>
              </w:rPr>
            </w:pPr>
            <w:hyperlink r:id="rId31" w:history="1">
              <w:r w:rsidR="009E5A41" w:rsidRPr="003139A9">
                <w:rPr>
                  <w:rStyle w:val="Hyperlink"/>
                  <w:rFonts w:ascii="Garamond" w:hAnsi="Garamond"/>
                  <w:lang w:val="en-AU"/>
                </w:rPr>
                <w:t>https://academic.oup.com/intqhc/advance-access?papetoc</w:t>
              </w:r>
            </w:hyperlink>
          </w:p>
        </w:tc>
      </w:tr>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D2212F" w:rsidRDefault="00BB59A2" w:rsidP="00D2212F">
            <w:pPr>
              <w:pStyle w:val="ListParagraph"/>
              <w:numPr>
                <w:ilvl w:val="0"/>
                <w:numId w:val="14"/>
              </w:numPr>
              <w:rPr>
                <w:rFonts w:ascii="Garamond" w:hAnsi="Garamond"/>
                <w:lang w:val="en-AU"/>
              </w:rPr>
            </w:pPr>
            <w:r w:rsidRPr="002E46FF">
              <w:rPr>
                <w:rFonts w:ascii="Garamond" w:hAnsi="Garamond"/>
                <w:lang w:val="en-AU"/>
              </w:rPr>
              <w:t xml:space="preserve">Implementation and evaluation of a prototype </w:t>
            </w:r>
            <w:r w:rsidRPr="00BB59A2">
              <w:rPr>
                <w:rFonts w:ascii="Garamond" w:hAnsi="Garamond"/>
                <w:b/>
                <w:lang w:val="en-AU"/>
              </w:rPr>
              <w:t>consumer reporting</w:t>
            </w:r>
            <w:r w:rsidRPr="002E46FF">
              <w:rPr>
                <w:rFonts w:ascii="Garamond" w:hAnsi="Garamond"/>
                <w:lang w:val="en-AU"/>
              </w:rPr>
              <w:t xml:space="preserve"> system </w:t>
            </w:r>
            <w:r w:rsidRPr="004E7612">
              <w:rPr>
                <w:rFonts w:ascii="Garamond" w:hAnsi="Garamond"/>
                <w:lang w:val="en-AU"/>
              </w:rPr>
              <w:t>for</w:t>
            </w:r>
            <w:r w:rsidRPr="00BB59A2">
              <w:rPr>
                <w:rFonts w:ascii="Garamond" w:hAnsi="Garamond"/>
                <w:b/>
                <w:lang w:val="en-AU"/>
              </w:rPr>
              <w:t xml:space="preserve"> patient safety events</w:t>
            </w:r>
            <w:r w:rsidRPr="002E46FF">
              <w:rPr>
                <w:rFonts w:ascii="Garamond" w:hAnsi="Garamond"/>
                <w:lang w:val="en-AU"/>
              </w:rPr>
              <w:t xml:space="preserve"> </w:t>
            </w:r>
            <w:r>
              <w:rPr>
                <w:rFonts w:ascii="Garamond" w:hAnsi="Garamond"/>
                <w:lang w:val="en-AU"/>
              </w:rPr>
              <w:t>(</w:t>
            </w:r>
            <w:r w:rsidRPr="002E46FF">
              <w:rPr>
                <w:rFonts w:ascii="Garamond" w:hAnsi="Garamond"/>
                <w:lang w:val="en-AU"/>
              </w:rPr>
              <w:t>Saul N. Weingart; Joel S. Weissman; Karen P. Zimmer; Robert C. Giannini; Denise D. Quigley</w:t>
            </w:r>
            <w:r w:rsidR="00D2212F">
              <w:rPr>
                <w:rFonts w:ascii="Garamond" w:hAnsi="Garamond"/>
                <w:lang w:val="en-AU"/>
              </w:rPr>
              <w:t xml:space="preserve">; </w:t>
            </w:r>
            <w:r w:rsidR="00D2212F" w:rsidRPr="00D2212F">
              <w:rPr>
                <w:rFonts w:ascii="Garamond" w:hAnsi="Garamond"/>
                <w:lang w:val="en-AU"/>
              </w:rPr>
              <w:t>Lauren E Hunter</w:t>
            </w:r>
            <w:r w:rsidR="00D2212F">
              <w:rPr>
                <w:rFonts w:ascii="Garamond" w:hAnsi="Garamond"/>
                <w:lang w:val="en-AU"/>
              </w:rPr>
              <w:t>;</w:t>
            </w:r>
            <w:r w:rsidR="00D2212F" w:rsidRPr="00D2212F">
              <w:rPr>
                <w:rFonts w:ascii="Garamond" w:hAnsi="Garamond"/>
                <w:lang w:val="en-AU"/>
              </w:rPr>
              <w:t xml:space="preserve"> M Susan Ridgely</w:t>
            </w:r>
            <w:r w:rsidR="00D2212F">
              <w:rPr>
                <w:rFonts w:ascii="Garamond" w:hAnsi="Garamond"/>
                <w:lang w:val="en-AU"/>
              </w:rPr>
              <w:t>;</w:t>
            </w:r>
            <w:r w:rsidR="00D2212F" w:rsidRPr="00D2212F">
              <w:rPr>
                <w:rFonts w:ascii="Garamond" w:hAnsi="Garamond"/>
                <w:lang w:val="en-AU"/>
              </w:rPr>
              <w:t xml:space="preserve"> Eric C. Schneider</w:t>
            </w:r>
            <w:r w:rsidR="00D2212F">
              <w:rPr>
                <w:rFonts w:ascii="Garamond" w:hAnsi="Garamond"/>
                <w:lang w:val="en-AU"/>
              </w:rPr>
              <w:t>)</w:t>
            </w:r>
          </w:p>
          <w:p w:rsidR="00BB59A2" w:rsidRPr="00BB59A2" w:rsidRDefault="00BB59A2" w:rsidP="00BB59A2">
            <w:pPr>
              <w:pStyle w:val="ListParagraph"/>
              <w:numPr>
                <w:ilvl w:val="0"/>
                <w:numId w:val="14"/>
              </w:numPr>
              <w:rPr>
                <w:rFonts w:ascii="Garamond" w:hAnsi="Garamond"/>
                <w:lang w:val="en-AU"/>
              </w:rPr>
            </w:pPr>
            <w:r w:rsidRPr="00BB59A2">
              <w:rPr>
                <w:rFonts w:ascii="Garamond" w:hAnsi="Garamond"/>
                <w:lang w:val="en-AU"/>
              </w:rPr>
              <w:t xml:space="preserve">Determinants of </w:t>
            </w:r>
            <w:r w:rsidRPr="00BB59A2">
              <w:rPr>
                <w:rFonts w:ascii="Garamond" w:hAnsi="Garamond"/>
                <w:b/>
                <w:lang w:val="en-AU"/>
              </w:rPr>
              <w:t>patient loyalty</w:t>
            </w:r>
            <w:r w:rsidRPr="00BB59A2">
              <w:rPr>
                <w:rFonts w:ascii="Garamond" w:hAnsi="Garamond"/>
                <w:lang w:val="en-AU"/>
              </w:rPr>
              <w:t xml:space="preserve"> to healthcare providers: An integrative review  (Wei-Jiao Zhou; Qiao-Qin Wan; Cong-Ying Liu; Xiao-Lin Feng; Shao-Mei Shang</w:t>
            </w:r>
            <w:r>
              <w:rPr>
                <w:rFonts w:ascii="Garamond" w:hAnsi="Garamond"/>
                <w:lang w:val="en-AU"/>
              </w:rPr>
              <w:t>)</w:t>
            </w:r>
          </w:p>
          <w:p w:rsidR="00EE6CFC" w:rsidRPr="00A45262" w:rsidRDefault="002E46FF" w:rsidP="00D2212F">
            <w:pPr>
              <w:pStyle w:val="ListParagraph"/>
              <w:numPr>
                <w:ilvl w:val="0"/>
                <w:numId w:val="14"/>
              </w:numPr>
              <w:rPr>
                <w:rFonts w:ascii="Garamond" w:hAnsi="Garamond"/>
                <w:lang w:val="en-AU"/>
              </w:rPr>
            </w:pPr>
            <w:r w:rsidRPr="00BB59A2">
              <w:rPr>
                <w:rFonts w:ascii="Garamond" w:hAnsi="Garamond"/>
                <w:lang w:val="en-AU"/>
              </w:rPr>
              <w:t xml:space="preserve">RECALMIN: The association between management of </w:t>
            </w:r>
            <w:r w:rsidRPr="00BB59A2">
              <w:rPr>
                <w:rFonts w:ascii="Garamond" w:hAnsi="Garamond"/>
                <w:b/>
                <w:lang w:val="en-AU"/>
              </w:rPr>
              <w:t>Spanish National Health Service Internal Medical Units</w:t>
            </w:r>
            <w:r w:rsidRPr="00BB59A2">
              <w:rPr>
                <w:rFonts w:ascii="Garamond" w:hAnsi="Garamond"/>
                <w:lang w:val="en-AU"/>
              </w:rPr>
              <w:t xml:space="preserve"> and health </w:t>
            </w:r>
            <w:r w:rsidRPr="00BB59A2">
              <w:rPr>
                <w:rFonts w:ascii="Garamond" w:hAnsi="Garamond"/>
                <w:b/>
                <w:lang w:val="en-AU"/>
              </w:rPr>
              <w:t>outcomes</w:t>
            </w:r>
            <w:r w:rsidRPr="00BB59A2">
              <w:rPr>
                <w:rFonts w:ascii="Garamond" w:hAnsi="Garamond"/>
                <w:lang w:val="en-AU"/>
              </w:rPr>
              <w:t xml:space="preserve"> </w:t>
            </w:r>
            <w:r w:rsidR="00BB59A2" w:rsidRPr="00BB59A2">
              <w:rPr>
                <w:rFonts w:ascii="Garamond" w:hAnsi="Garamond"/>
                <w:lang w:val="en-AU"/>
              </w:rPr>
              <w:t>(</w:t>
            </w:r>
            <w:r w:rsidRPr="00BB59A2">
              <w:rPr>
                <w:rFonts w:ascii="Garamond" w:hAnsi="Garamond"/>
                <w:lang w:val="en-AU"/>
              </w:rPr>
              <w:t>Antonio Zapatero-Gaviria; Francisco Javier Elola-Somoza; Emilio Casariego-Vales; Cristina Fernandez-Perez; Ricardo Gomez-Huelgas</w:t>
            </w:r>
            <w:r w:rsidR="00D2212F">
              <w:rPr>
                <w:rFonts w:ascii="Garamond" w:hAnsi="Garamond"/>
                <w:lang w:val="en-AU"/>
              </w:rPr>
              <w:t xml:space="preserve">; </w:t>
            </w:r>
            <w:r w:rsidR="00D2212F" w:rsidRPr="00D2212F">
              <w:rPr>
                <w:rFonts w:ascii="Garamond" w:hAnsi="Garamond"/>
                <w:lang w:val="en-AU"/>
              </w:rPr>
              <w:t>José Luis Bernal</w:t>
            </w:r>
            <w:r w:rsidR="00D2212F">
              <w:rPr>
                <w:rFonts w:ascii="Garamond" w:hAnsi="Garamond"/>
                <w:lang w:val="en-AU"/>
              </w:rPr>
              <w:t>;</w:t>
            </w:r>
            <w:r w:rsidR="00D2212F" w:rsidRPr="00D2212F">
              <w:rPr>
                <w:rFonts w:ascii="Garamond" w:hAnsi="Garamond"/>
                <w:lang w:val="en-AU"/>
              </w:rPr>
              <w:t xml:space="preserve"> Raquel Barba-Martín</w:t>
            </w:r>
            <w:r w:rsidR="00D2212F">
              <w:rPr>
                <w:rFonts w:ascii="Garamond" w:hAnsi="Garamond"/>
                <w:lang w:val="en-AU"/>
              </w:rPr>
              <w:t>)</w:t>
            </w:r>
          </w:p>
        </w:tc>
      </w:tr>
    </w:tbl>
    <w:p w:rsidR="00AF20FE" w:rsidRDefault="00AF20FE" w:rsidP="00AF20FE">
      <w:pPr>
        <w:rPr>
          <w:rFonts w:ascii="Garamond" w:hAnsi="Garamond"/>
          <w:lang w:val="en-AU"/>
        </w:rPr>
      </w:pPr>
    </w:p>
    <w:p w:rsidR="00853259" w:rsidRPr="00A45262" w:rsidRDefault="00853259" w:rsidP="00AF20FE">
      <w:pPr>
        <w:rPr>
          <w:rFonts w:ascii="Garamond" w:hAnsi="Garamond"/>
          <w:lang w:val="en-AU"/>
        </w:rPr>
      </w:pPr>
    </w:p>
    <w:p w:rsidR="00F53622" w:rsidRDefault="00F53622">
      <w:pPr>
        <w:rPr>
          <w:rFonts w:ascii="Garamond" w:hAnsi="Garamond"/>
          <w:b/>
          <w:lang w:val="en-AU"/>
        </w:rPr>
      </w:pPr>
      <w:r>
        <w:rPr>
          <w:rFonts w:ascii="Garamond" w:hAnsi="Garamond"/>
          <w:b/>
          <w:lang w:val="en-AU"/>
        </w:rPr>
        <w:br w:type="page"/>
      </w:r>
    </w:p>
    <w:p w:rsidR="00B02F6E" w:rsidRPr="00A45262" w:rsidRDefault="00B02F6E" w:rsidP="001C6360">
      <w:pPr>
        <w:keepNext/>
        <w:rPr>
          <w:rFonts w:ascii="Garamond" w:hAnsi="Garamond"/>
          <w:b/>
          <w:lang w:val="en-AU"/>
        </w:rPr>
      </w:pPr>
      <w:r w:rsidRPr="00A45262">
        <w:rPr>
          <w:rFonts w:ascii="Garamond" w:hAnsi="Garamond"/>
          <w:b/>
          <w:lang w:val="en-AU"/>
        </w:rPr>
        <w:lastRenderedPageBreak/>
        <w:t>Online resources</w:t>
      </w:r>
    </w:p>
    <w:p w:rsidR="00F77A9D" w:rsidRDefault="00F77A9D" w:rsidP="00FC32EF">
      <w:pPr>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B61D90" w:rsidP="003C68A6">
      <w:pPr>
        <w:keepNext/>
        <w:keepLines/>
        <w:rPr>
          <w:rFonts w:ascii="Garamond" w:hAnsi="Garamond"/>
          <w:u w:val="single"/>
          <w:lang w:val="en-AU"/>
        </w:rPr>
      </w:pPr>
      <w:hyperlink r:id="rId32" w:history="1">
        <w:r w:rsidR="003139A9" w:rsidRPr="00D67EE9">
          <w:rPr>
            <w:rStyle w:val="Hyperlink"/>
            <w:rFonts w:ascii="Garamond" w:hAnsi="Garamond"/>
            <w:lang w:val="en-AU"/>
          </w:rPr>
          <w:t>https://www.nice.org.uk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2E46FF" w:rsidRDefault="002E46FF" w:rsidP="002E46FF">
      <w:pPr>
        <w:pStyle w:val="ListParagraph"/>
        <w:keepNext/>
        <w:keepLines/>
        <w:numPr>
          <w:ilvl w:val="0"/>
          <w:numId w:val="14"/>
        </w:numPr>
        <w:rPr>
          <w:rFonts w:ascii="Garamond" w:hAnsi="Garamond"/>
          <w:lang w:val="en-AU"/>
        </w:rPr>
      </w:pPr>
      <w:r>
        <w:rPr>
          <w:rFonts w:ascii="Garamond" w:hAnsi="Garamond"/>
          <w:lang w:val="en-AU"/>
        </w:rPr>
        <w:t xml:space="preserve">NICE Guideline NG69 </w:t>
      </w:r>
      <w:r w:rsidRPr="002E46FF">
        <w:rPr>
          <w:rFonts w:ascii="Garamond" w:hAnsi="Garamond"/>
          <w:b/>
          <w:i/>
          <w:lang w:val="en-AU"/>
        </w:rPr>
        <w:t>Eating disorders</w:t>
      </w:r>
      <w:r w:rsidRPr="002E46FF">
        <w:rPr>
          <w:rFonts w:ascii="Garamond" w:hAnsi="Garamond"/>
          <w:i/>
          <w:lang w:val="en-AU"/>
        </w:rPr>
        <w:t>: recognition and treatment</w:t>
      </w:r>
      <w:r>
        <w:rPr>
          <w:rFonts w:ascii="Garamond" w:hAnsi="Garamond"/>
          <w:lang w:val="en-AU"/>
        </w:rPr>
        <w:t xml:space="preserve"> </w:t>
      </w:r>
      <w:hyperlink r:id="rId33" w:history="1">
        <w:r w:rsidRPr="00D67EE9">
          <w:rPr>
            <w:rStyle w:val="Hyperlink"/>
            <w:rFonts w:ascii="Garamond" w:hAnsi="Garamond"/>
            <w:lang w:val="en-AU"/>
          </w:rPr>
          <w:t>https://www.nice.org.uk/guidance/ng69</w:t>
        </w:r>
      </w:hyperlink>
    </w:p>
    <w:p w:rsidR="002E46FF" w:rsidRDefault="002E46FF" w:rsidP="002E46FF">
      <w:pPr>
        <w:pStyle w:val="ListParagraph"/>
        <w:keepNext/>
        <w:keepLines/>
        <w:numPr>
          <w:ilvl w:val="0"/>
          <w:numId w:val="14"/>
        </w:numPr>
        <w:rPr>
          <w:rFonts w:ascii="Garamond" w:hAnsi="Garamond"/>
          <w:lang w:val="en-AU"/>
        </w:rPr>
      </w:pPr>
      <w:r>
        <w:rPr>
          <w:rFonts w:ascii="Garamond" w:hAnsi="Garamond"/>
          <w:lang w:val="en-AU"/>
        </w:rPr>
        <w:t xml:space="preserve">Clinical Guideline CG163 </w:t>
      </w:r>
      <w:r w:rsidRPr="002E46FF">
        <w:rPr>
          <w:rFonts w:ascii="Garamond" w:hAnsi="Garamond"/>
          <w:b/>
          <w:i/>
          <w:lang w:val="en-AU"/>
        </w:rPr>
        <w:t>Idiopathic pulmonary fibrosis</w:t>
      </w:r>
      <w:r w:rsidRPr="002E46FF">
        <w:rPr>
          <w:rFonts w:ascii="Garamond" w:hAnsi="Garamond"/>
          <w:i/>
          <w:lang w:val="en-AU"/>
        </w:rPr>
        <w:t xml:space="preserve"> in adults: diagnosis and management</w:t>
      </w:r>
      <w:r>
        <w:rPr>
          <w:rFonts w:ascii="Garamond" w:hAnsi="Garamond"/>
          <w:lang w:val="en-AU"/>
        </w:rPr>
        <w:t xml:space="preserve"> </w:t>
      </w:r>
      <w:hyperlink r:id="rId34" w:history="1">
        <w:r w:rsidRPr="00D67EE9">
          <w:rPr>
            <w:rStyle w:val="Hyperlink"/>
            <w:rFonts w:ascii="Garamond" w:hAnsi="Garamond"/>
            <w:lang w:val="en-AU"/>
          </w:rPr>
          <w:t>https://www.nice.org.uk/guidance/cg163</w:t>
        </w:r>
      </w:hyperlink>
    </w:p>
    <w:p w:rsidR="003035EA" w:rsidRDefault="003035EA" w:rsidP="00A30ECA">
      <w:pPr>
        <w:keepNext/>
        <w:keepLines/>
        <w:rPr>
          <w:rFonts w:ascii="Garamond" w:hAnsi="Garamond"/>
          <w:i/>
          <w:lang w:val="en-AU"/>
        </w:rPr>
      </w:pPr>
    </w:p>
    <w:p w:rsidR="00B55CDB" w:rsidRPr="00DE7C48" w:rsidRDefault="00B55CDB" w:rsidP="00DE7C48">
      <w:pPr>
        <w:keepNext/>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8" w:rsidRDefault="008B79C8">
      <w:r>
        <w:separator/>
      </w:r>
    </w:p>
  </w:endnote>
  <w:endnote w:type="continuationSeparator" w:id="0">
    <w:p w:rsidR="008B79C8" w:rsidRDefault="008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Default="008B79C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61D90">
      <w:rPr>
        <w:rStyle w:val="PageNumber"/>
        <w:noProof/>
      </w:rPr>
      <w:t>2</w:t>
    </w:r>
    <w:r>
      <w:rPr>
        <w:rStyle w:val="PageNumber"/>
      </w:rPr>
      <w:fldChar w:fldCharType="end"/>
    </w:r>
  </w:p>
  <w:p w:rsidR="008B79C8" w:rsidRPr="001E78F0" w:rsidRDefault="008B79C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5777E">
      <w:rPr>
        <w:rFonts w:ascii="Garamond" w:hAnsi="Garamond"/>
      </w:rPr>
      <w:t xml:space="preserve"> Issue 323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Pr="001E78F0" w:rsidRDefault="008B79C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61D90">
      <w:rPr>
        <w:rStyle w:val="PageNumber"/>
        <w:rFonts w:ascii="Garamond" w:hAnsi="Garamond"/>
        <w:noProof/>
      </w:rPr>
      <w:t>1</w:t>
    </w:r>
    <w:r w:rsidRPr="001E78F0">
      <w:rPr>
        <w:rStyle w:val="PageNumber"/>
        <w:rFonts w:ascii="Garamond" w:hAnsi="Garamond"/>
      </w:rPr>
      <w:fldChar w:fldCharType="end"/>
    </w:r>
  </w:p>
  <w:p w:rsidR="008B79C8" w:rsidRPr="001E78F0" w:rsidRDefault="008B79C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5777E">
      <w:rPr>
        <w:rFonts w:ascii="Garamond" w:hAnsi="Garamond"/>
      </w:rPr>
      <w:t xml:space="preserve"> Issue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8" w:rsidRDefault="008B79C8">
      <w:r>
        <w:separator/>
      </w:r>
    </w:p>
  </w:footnote>
  <w:footnote w:type="continuationSeparator" w:id="0">
    <w:p w:rsidR="008B79C8" w:rsidRDefault="008B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3"/>
  </w:num>
  <w:num w:numId="16">
    <w:abstractNumId w:val="29"/>
  </w:num>
  <w:num w:numId="17">
    <w:abstractNumId w:val="14"/>
  </w:num>
  <w:num w:numId="18">
    <w:abstractNumId w:val="15"/>
  </w:num>
  <w:num w:numId="19">
    <w:abstractNumId w:val="21"/>
  </w:num>
  <w:num w:numId="20">
    <w:abstractNumId w:val="20"/>
  </w:num>
  <w:num w:numId="21">
    <w:abstractNumId w:val="19"/>
  </w:num>
  <w:num w:numId="22">
    <w:abstractNumId w:val="25"/>
  </w:num>
  <w:num w:numId="23">
    <w:abstractNumId w:val="26"/>
  </w:num>
  <w:num w:numId="24">
    <w:abstractNumId w:val="16"/>
  </w:num>
  <w:num w:numId="25">
    <w:abstractNumId w:val="27"/>
  </w:num>
  <w:num w:numId="26">
    <w:abstractNumId w:val="30"/>
  </w:num>
  <w:num w:numId="27">
    <w:abstractNumId w:val="10"/>
  </w:num>
  <w:num w:numId="28">
    <w:abstractNumId w:val="13"/>
  </w:num>
  <w:num w:numId="29">
    <w:abstractNumId w:val="28"/>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929"/>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68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D90"/>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B05"/>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622"/>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77A9D"/>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clinical-care-standards/hip-fracture-care-clinical-care-standard/" TargetMode="External"/><Relationship Id="rId26" Type="http://schemas.openxmlformats.org/officeDocument/2006/relationships/hyperlink" Target="https://www.safetyandquality.gov.au/our-work/healthcare-associated-infection/"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nice.org.uk/guidance/cg163"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care-associated-infection/cpe-guide/" TargetMode="External"/><Relationship Id="rId25" Type="http://schemas.openxmlformats.org/officeDocument/2006/relationships/hyperlink" Target="https://dx.doi.org/10.1001/jamainternmed.2017.0946" TargetMode="External"/><Relationship Id="rId33" Type="http://schemas.openxmlformats.org/officeDocument/2006/relationships/hyperlink" Target="https://www.nice.org.uk/guidance/ng6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our-work/healthcare-associated-infection/national-hai-surveillance-initiative/" TargetMode="External"/><Relationship Id="rId20" Type="http://schemas.openxmlformats.org/officeDocument/2006/relationships/hyperlink" Target="https://www.npsf.org/page/cultureofsafety" TargetMode="External"/><Relationship Id="rId29" Type="http://schemas.openxmlformats.org/officeDocument/2006/relationships/hyperlink" Target="https://www.longwoods.com/publications/healthcare-quarterly/250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dx.doi.org/10.1093/ageing/afx044" TargetMode="External"/><Relationship Id="rId32" Type="http://schemas.openxmlformats.org/officeDocument/2006/relationships/hyperlink" Target="https://www.nice.org.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primary-health-care/" TargetMode="External"/><Relationship Id="rId28" Type="http://schemas.openxmlformats.org/officeDocument/2006/relationships/hyperlink" Target="https://dx.doi.org/10.1097/ccm.0000000000002449"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clinical-care-standards/hip-fracture-care-clinical-care-standard/" TargetMode="External"/><Relationship Id="rId31" Type="http://schemas.openxmlformats.org/officeDocument/2006/relationships/hyperlink" Target="https://academic.oup.com/intqhc/advance-access?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dx.doi.org/10.5694/mja16.01470" TargetMode="External"/><Relationship Id="rId27" Type="http://schemas.openxmlformats.org/officeDocument/2006/relationships/hyperlink" Target="https://doi.org/10.1016/j.healthpol.2017.04.009" TargetMode="External"/><Relationship Id="rId30" Type="http://schemas.openxmlformats.org/officeDocument/2006/relationships/hyperlink" Target="https://qualitysafety.bmj.com/content/early/recen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0CB4-F0E7-4740-8990-9E223AA2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18791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2017-05-27T23:52:00Z</dcterms:created>
  <dcterms:modified xsi:type="dcterms:W3CDTF">2017-05-27T23:52:00Z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