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bookmarkStart w:id="0" w:name="_GoBack"/>
      <w:bookmarkEnd w:id="0"/>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CE5B99">
        <w:rPr>
          <w:rFonts w:ascii="Garamond" w:hAnsi="Garamond"/>
          <w:color w:val="000000"/>
          <w:lang w:val="en-AU"/>
        </w:rPr>
        <w:t>326</w:t>
      </w:r>
    </w:p>
    <w:p w:rsidR="00755242" w:rsidRPr="00A45262" w:rsidRDefault="009F315E" w:rsidP="00B160EF">
      <w:pPr>
        <w:rPr>
          <w:rFonts w:ascii="Garamond" w:hAnsi="Garamond"/>
          <w:lang w:val="en-AU"/>
        </w:rPr>
      </w:pPr>
      <w:r>
        <w:rPr>
          <w:rFonts w:ascii="Garamond" w:hAnsi="Garamond"/>
          <w:lang w:val="en-AU"/>
        </w:rPr>
        <w:t>1</w:t>
      </w:r>
      <w:r w:rsidR="00CE5B99">
        <w:rPr>
          <w:rFonts w:ascii="Garamond" w:hAnsi="Garamond"/>
          <w:lang w:val="en-AU"/>
        </w:rPr>
        <w:t>9</w:t>
      </w:r>
      <w:r w:rsidR="009F13C7">
        <w:rPr>
          <w:rFonts w:ascii="Garamond" w:hAnsi="Garamond"/>
          <w:lang w:val="en-AU"/>
        </w:rPr>
        <w:t xml:space="preserve"> June </w:t>
      </w:r>
      <w:r w:rsidR="00F74A58" w:rsidRPr="00A45262">
        <w:rPr>
          <w:rFonts w:ascii="Garamond" w:hAnsi="Garamond"/>
          <w:lang w:val="en-AU"/>
        </w:rPr>
        <w:t>2017</w:t>
      </w:r>
    </w:p>
    <w:p w:rsidR="00566895" w:rsidRDefault="00566895"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1"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A12DB6" w:rsidRPr="00A45262" w:rsidRDefault="00A12DB6" w:rsidP="00210235">
      <w:pPr>
        <w:keepNext/>
        <w:pBdr>
          <w:top w:val="single" w:sz="4" w:space="1" w:color="auto"/>
        </w:pBdr>
        <w:rPr>
          <w:rFonts w:ascii="Garamond" w:hAnsi="Garamond"/>
          <w:b/>
          <w:lang w:val="en-AU"/>
        </w:rPr>
      </w:pP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1"/>
    </w:p>
    <w:p w:rsidR="0059425E" w:rsidRDefault="0059425E" w:rsidP="00691DE3">
      <w:pPr>
        <w:keepLines/>
        <w:autoSpaceDE w:val="0"/>
        <w:autoSpaceDN w:val="0"/>
        <w:adjustRightInd w:val="0"/>
        <w:rPr>
          <w:rFonts w:ascii="Garamond" w:hAnsi="Garamond"/>
          <w:lang w:val="en-AU"/>
        </w:rPr>
      </w:pPr>
    </w:p>
    <w:p w:rsidR="00F766E6" w:rsidRPr="004A0FFB" w:rsidRDefault="00F766E6" w:rsidP="00691DE3">
      <w:pPr>
        <w:keepLines/>
        <w:autoSpaceDE w:val="0"/>
        <w:autoSpaceDN w:val="0"/>
        <w:adjustRightInd w:val="0"/>
        <w:rPr>
          <w:rFonts w:ascii="Garamond" w:hAnsi="Garamond"/>
          <w:b/>
          <w:i/>
          <w:lang w:val="en-AU"/>
        </w:rPr>
      </w:pPr>
      <w:r w:rsidRPr="004A0FFB">
        <w:rPr>
          <w:rFonts w:ascii="Garamond" w:hAnsi="Garamond"/>
          <w:b/>
          <w:i/>
          <w:lang w:val="en-AU"/>
        </w:rPr>
        <w:t>Second Australian Atlas of Healthcare Variation</w:t>
      </w:r>
    </w:p>
    <w:p w:rsidR="00F766E6" w:rsidRDefault="00F766E6" w:rsidP="00F766E6">
      <w:pPr>
        <w:keepNext/>
        <w:rPr>
          <w:rFonts w:ascii="Garamond" w:hAnsi="Garamond"/>
          <w:lang w:val="en-AU"/>
        </w:rPr>
      </w:pPr>
      <w:r w:rsidRPr="00F766E6">
        <w:rPr>
          <w:rFonts w:ascii="Garamond" w:hAnsi="Garamond"/>
          <w:lang w:val="en-AU"/>
        </w:rPr>
        <w:t>Australian Commission on Safety and Quality in Health Care</w:t>
      </w:r>
      <w:r>
        <w:rPr>
          <w:rFonts w:ascii="Garamond" w:hAnsi="Garamond"/>
          <w:lang w:val="en-AU"/>
        </w:rPr>
        <w:t xml:space="preserve"> and </w:t>
      </w:r>
      <w:r w:rsidRPr="00F766E6">
        <w:rPr>
          <w:rFonts w:ascii="Garamond" w:hAnsi="Garamond"/>
          <w:lang w:val="en-AU"/>
        </w:rPr>
        <w:t>Australian Institute for Health and Welfare</w:t>
      </w:r>
    </w:p>
    <w:p w:rsidR="00F766E6" w:rsidRPr="00A45262" w:rsidRDefault="00F766E6" w:rsidP="00F766E6">
      <w:pPr>
        <w:keepNext/>
        <w:rPr>
          <w:rFonts w:ascii="Garamond" w:hAnsi="Garamond"/>
          <w:lang w:val="en-AU"/>
        </w:rPr>
      </w:pPr>
      <w:r w:rsidRPr="00F766E6">
        <w:rPr>
          <w:rFonts w:ascii="Garamond" w:hAnsi="Garamond"/>
          <w:lang w:val="en-AU"/>
        </w:rPr>
        <w:t>Sydney: ACSQHC; 2017. 332 p.</w:t>
      </w:r>
    </w:p>
    <w:tbl>
      <w:tblPr>
        <w:tblStyle w:val="TableGrid"/>
        <w:tblW w:w="0" w:type="auto"/>
        <w:tblInd w:w="288" w:type="dxa"/>
        <w:tblLayout w:type="fixed"/>
        <w:tblLook w:val="01E0" w:firstRow="1" w:lastRow="1" w:firstColumn="1" w:lastColumn="1" w:noHBand="0" w:noVBand="0"/>
      </w:tblPr>
      <w:tblGrid>
        <w:gridCol w:w="1080"/>
        <w:gridCol w:w="8280"/>
      </w:tblGrid>
      <w:tr w:rsidR="00F766E6" w:rsidRPr="00A45262" w:rsidTr="00B447A2">
        <w:tc>
          <w:tcPr>
            <w:tcW w:w="1080" w:type="dxa"/>
            <w:tcBorders>
              <w:top w:val="single" w:sz="4" w:space="0" w:color="auto"/>
              <w:left w:val="single" w:sz="4" w:space="0" w:color="auto"/>
              <w:bottom w:val="single" w:sz="4" w:space="0" w:color="auto"/>
              <w:right w:val="single" w:sz="4" w:space="0" w:color="auto"/>
            </w:tcBorders>
            <w:vAlign w:val="center"/>
          </w:tcPr>
          <w:p w:rsidR="00F766E6" w:rsidRPr="00A45262" w:rsidRDefault="00F766E6" w:rsidP="00B447A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766E6" w:rsidRPr="00A45262" w:rsidRDefault="00294BDB" w:rsidP="00F766E6">
            <w:pPr>
              <w:rPr>
                <w:rStyle w:val="Hyperlink"/>
                <w:rFonts w:ascii="Garamond" w:hAnsi="Garamond"/>
                <w:color w:val="auto"/>
                <w:u w:val="none"/>
                <w:lang w:val="en-AU"/>
              </w:rPr>
            </w:pPr>
            <w:hyperlink r:id="rId16" w:history="1">
              <w:r w:rsidR="00F766E6" w:rsidRPr="00863A69">
                <w:rPr>
                  <w:rStyle w:val="Hyperlink"/>
                  <w:rFonts w:ascii="Garamond" w:hAnsi="Garamond"/>
                  <w:lang w:val="en-AU"/>
                </w:rPr>
                <w:t>http://www.safetyandquality.gov.au/atlas</w:t>
              </w:r>
            </w:hyperlink>
          </w:p>
        </w:tc>
      </w:tr>
      <w:tr w:rsidR="00F766E6" w:rsidRPr="00A45262" w:rsidTr="00B447A2">
        <w:tc>
          <w:tcPr>
            <w:tcW w:w="1080" w:type="dxa"/>
            <w:tcBorders>
              <w:top w:val="single" w:sz="4" w:space="0" w:color="auto"/>
              <w:left w:val="single" w:sz="4" w:space="0" w:color="auto"/>
              <w:bottom w:val="single" w:sz="4" w:space="0" w:color="auto"/>
              <w:right w:val="single" w:sz="4" w:space="0" w:color="auto"/>
            </w:tcBorders>
            <w:vAlign w:val="center"/>
          </w:tcPr>
          <w:p w:rsidR="00F766E6" w:rsidRPr="00A45262" w:rsidRDefault="00F766E6" w:rsidP="00B447A2">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07A8" w:rsidRPr="000707A8" w:rsidRDefault="000707A8" w:rsidP="000707A8">
            <w:pPr>
              <w:rPr>
                <w:rFonts w:ascii="Garamond" w:hAnsi="Garamond"/>
                <w:lang w:val="en-AU"/>
              </w:rPr>
            </w:pPr>
            <w:r>
              <w:rPr>
                <w:rFonts w:ascii="Garamond" w:hAnsi="Garamond"/>
                <w:lang w:val="en-AU"/>
              </w:rPr>
              <w:t xml:space="preserve">The </w:t>
            </w:r>
            <w:r w:rsidRPr="000707A8">
              <w:rPr>
                <w:rFonts w:ascii="Garamond" w:hAnsi="Garamond"/>
                <w:i/>
                <w:lang w:val="en-AU"/>
              </w:rPr>
              <w:t>Second Australian Atlas of Healthcare Variation</w:t>
            </w:r>
            <w:r>
              <w:rPr>
                <w:rFonts w:ascii="Garamond" w:hAnsi="Garamond"/>
                <w:lang w:val="en-AU"/>
              </w:rPr>
              <w:t xml:space="preserve"> </w:t>
            </w:r>
            <w:r w:rsidRPr="000707A8">
              <w:rPr>
                <w:rFonts w:ascii="Garamond" w:hAnsi="Garamond"/>
                <w:lang w:val="en-AU"/>
              </w:rPr>
              <w:t xml:space="preserve">shows large variations in the provision of common health treatments across the country – giving health experts and clinicians valuable new information that will help to ensure more patients get the most effective and appropriate care.  </w:t>
            </w:r>
          </w:p>
          <w:p w:rsidR="000707A8" w:rsidRDefault="000707A8" w:rsidP="000707A8">
            <w:pPr>
              <w:rPr>
                <w:rFonts w:ascii="Garamond" w:hAnsi="Garamond"/>
                <w:lang w:val="en-AU"/>
              </w:rPr>
            </w:pPr>
            <w:r w:rsidRPr="000707A8">
              <w:rPr>
                <w:rFonts w:ascii="Garamond" w:hAnsi="Garamond"/>
                <w:lang w:val="en-AU"/>
              </w:rPr>
              <w:t xml:space="preserve">The </w:t>
            </w:r>
            <w:r w:rsidR="0054466C">
              <w:rPr>
                <w:rFonts w:ascii="Garamond" w:hAnsi="Garamond"/>
                <w:lang w:val="en-AU"/>
              </w:rPr>
              <w:t xml:space="preserve">Atlas </w:t>
            </w:r>
            <w:r w:rsidRPr="000707A8">
              <w:rPr>
                <w:rFonts w:ascii="Garamond" w:hAnsi="Garamond"/>
                <w:lang w:val="en-AU"/>
              </w:rPr>
              <w:t>shows variation in the use of specific types of health care across more than 300 local areas nationally, with chapter</w:t>
            </w:r>
            <w:r w:rsidR="0054466C">
              <w:rPr>
                <w:rFonts w:ascii="Garamond" w:hAnsi="Garamond"/>
                <w:lang w:val="en-AU"/>
              </w:rPr>
              <w:t>s</w:t>
            </w:r>
            <w:r w:rsidRPr="000707A8">
              <w:rPr>
                <w:rFonts w:ascii="Garamond" w:hAnsi="Garamond"/>
                <w:lang w:val="en-AU"/>
              </w:rPr>
              <w:t xml:space="preserve"> on women’s health</w:t>
            </w:r>
            <w:r w:rsidR="0054466C">
              <w:rPr>
                <w:rFonts w:ascii="Garamond" w:hAnsi="Garamond"/>
                <w:lang w:val="en-AU"/>
              </w:rPr>
              <w:t>, cardiovascular conditions, surgical interventions and chronic disease and infection</w:t>
            </w:r>
            <w:r w:rsidRPr="000707A8">
              <w:rPr>
                <w:rFonts w:ascii="Garamond" w:hAnsi="Garamond"/>
                <w:lang w:val="en-AU"/>
              </w:rPr>
              <w:t xml:space="preserve">. Types of care examined include hysterectomy, cataract surgery, knee replacement and potentially preventable hospitalisations for selected conditions, including diabetes complications. </w:t>
            </w:r>
          </w:p>
          <w:p w:rsidR="009018B8" w:rsidRPr="009018B8" w:rsidRDefault="009018B8" w:rsidP="009018B8">
            <w:pPr>
              <w:rPr>
                <w:rFonts w:ascii="Garamond" w:hAnsi="Garamond"/>
                <w:lang w:val="en-AU"/>
              </w:rPr>
            </w:pPr>
            <w:r w:rsidRPr="009018B8">
              <w:rPr>
                <w:rFonts w:ascii="Garamond" w:hAnsi="Garamond"/>
                <w:lang w:val="en-AU"/>
              </w:rPr>
              <w:t>Hysterectomy is generally becoming less common in developed countries, following the introduction of less invasive but still highly effective treatment options. The Atlas shows rates are up to seven times as high in the area with the highest rate compared to the area with the lowest rate.</w:t>
            </w:r>
          </w:p>
          <w:p w:rsidR="009018B8" w:rsidRPr="009018B8" w:rsidRDefault="009018B8" w:rsidP="009018B8">
            <w:pPr>
              <w:rPr>
                <w:rFonts w:ascii="Garamond" w:hAnsi="Garamond"/>
                <w:lang w:val="en-AU"/>
              </w:rPr>
            </w:pPr>
            <w:r w:rsidRPr="009018B8">
              <w:rPr>
                <w:rFonts w:ascii="Garamond" w:hAnsi="Garamond"/>
                <w:lang w:val="en-AU"/>
              </w:rPr>
              <w:t>Endometrial ablation is often a preferred alternative to hysterectomy for abnormal uterine</w:t>
            </w:r>
            <w:r w:rsidR="00A91A0F">
              <w:rPr>
                <w:rFonts w:ascii="Garamond" w:hAnsi="Garamond"/>
                <w:lang w:val="en-AU"/>
              </w:rPr>
              <w:t xml:space="preserve"> bleeding</w:t>
            </w:r>
            <w:r w:rsidRPr="009018B8">
              <w:rPr>
                <w:rFonts w:ascii="Garamond" w:hAnsi="Garamond"/>
                <w:lang w:val="en-AU"/>
              </w:rPr>
              <w:t>. Endometrial ablation shows even higher variation than hysterectomy, with rates nearly 21 times as high in the highest compared to the lowest areas.</w:t>
            </w:r>
          </w:p>
          <w:p w:rsidR="009018B8" w:rsidRPr="009018B8" w:rsidRDefault="009018B8" w:rsidP="009018B8">
            <w:pPr>
              <w:rPr>
                <w:rFonts w:ascii="Garamond" w:hAnsi="Garamond"/>
                <w:lang w:val="en-AU"/>
              </w:rPr>
            </w:pPr>
            <w:r w:rsidRPr="009018B8">
              <w:rPr>
                <w:rFonts w:ascii="Garamond" w:hAnsi="Garamond"/>
                <w:lang w:val="en-AU"/>
              </w:rPr>
              <w:lastRenderedPageBreak/>
              <w:t>Access to effective secondary prevention programs can significantly reduce the need for hospitalisation for many chronic conditions. The new Atlas finds up to 16-fold variations in the rates of hospitalisati</w:t>
            </w:r>
            <w:r>
              <w:rPr>
                <w:rFonts w:ascii="Garamond" w:hAnsi="Garamond"/>
                <w:lang w:val="en-AU"/>
              </w:rPr>
              <w:t>ons for some chronic conditions.</w:t>
            </w:r>
          </w:p>
          <w:p w:rsidR="000707A8" w:rsidRPr="000707A8" w:rsidRDefault="000707A8" w:rsidP="000707A8">
            <w:pPr>
              <w:rPr>
                <w:rFonts w:ascii="Garamond" w:hAnsi="Garamond"/>
                <w:lang w:val="en-AU"/>
              </w:rPr>
            </w:pPr>
            <w:r>
              <w:rPr>
                <w:rFonts w:ascii="Garamond" w:hAnsi="Garamond"/>
                <w:lang w:val="en-AU"/>
              </w:rPr>
              <w:t>T</w:t>
            </w:r>
            <w:r w:rsidRPr="000707A8">
              <w:rPr>
                <w:rFonts w:ascii="Garamond" w:hAnsi="Garamond"/>
                <w:lang w:val="en-AU"/>
              </w:rPr>
              <w:t>he Atlas includes the Commission’s recommendations for action across the health system to address variation where this appears to be unwarranted.</w:t>
            </w:r>
          </w:p>
          <w:p w:rsidR="000707A8" w:rsidRDefault="000707A8" w:rsidP="000707A8">
            <w:pPr>
              <w:rPr>
                <w:rFonts w:ascii="Garamond" w:hAnsi="Garamond"/>
                <w:lang w:val="en-AU"/>
              </w:rPr>
            </w:pPr>
            <w:r w:rsidRPr="000707A8">
              <w:rPr>
                <w:rFonts w:ascii="Garamond" w:hAnsi="Garamond"/>
                <w:lang w:val="en-AU"/>
              </w:rPr>
              <w:t>The Atlas also provides information about hospitalisation rates for Aboriginal and Torres Strait Islander Australians, about the percentage of services funded publicly and privately, and includes analysis by socioeconomic status.</w:t>
            </w:r>
          </w:p>
          <w:p w:rsidR="000707A8" w:rsidRDefault="000707A8" w:rsidP="000707A8">
            <w:pPr>
              <w:rPr>
                <w:rFonts w:ascii="Garamond" w:hAnsi="Garamond"/>
                <w:lang w:val="en-AU"/>
              </w:rPr>
            </w:pPr>
            <w:r w:rsidRPr="000707A8">
              <w:rPr>
                <w:rFonts w:ascii="Garamond" w:hAnsi="Garamond"/>
                <w:lang w:val="en-AU"/>
              </w:rPr>
              <w:t>The Commission collaborated with the Australian Government, state and territory governments, specialist medical colleges, clinicians and consumer representatives, and the Australian Institute of Health and Welfare to develop the Atlas.</w:t>
            </w:r>
          </w:p>
          <w:p w:rsidR="00F766E6" w:rsidRDefault="00F766E6" w:rsidP="00F766E6">
            <w:pPr>
              <w:rPr>
                <w:rStyle w:val="Hyperlink"/>
                <w:rFonts w:ascii="Garamond" w:hAnsi="Garamond"/>
                <w:color w:val="auto"/>
                <w:u w:val="none"/>
                <w:lang w:val="en-AU"/>
              </w:rPr>
            </w:pPr>
            <w:r>
              <w:rPr>
                <w:rFonts w:ascii="Garamond" w:hAnsi="Garamond"/>
                <w:lang w:val="en-AU"/>
              </w:rPr>
              <w:t xml:space="preserve">All the content, with additional functionality, and the data for this Atlas and the previous one are available from the interactive atlas via </w:t>
            </w:r>
            <w:hyperlink r:id="rId17" w:history="1">
              <w:r w:rsidRPr="00863A69">
                <w:rPr>
                  <w:rStyle w:val="Hyperlink"/>
                  <w:rFonts w:ascii="Garamond" w:hAnsi="Garamond"/>
                  <w:lang w:val="en-AU"/>
                </w:rPr>
                <w:t>http://www.safetyandquality.gov.au/atlas</w:t>
              </w:r>
            </w:hyperlink>
          </w:p>
          <w:p w:rsidR="00FA2750" w:rsidRPr="003139A9" w:rsidRDefault="00BF2757" w:rsidP="00F766E6">
            <w:pPr>
              <w:rPr>
                <w:rFonts w:ascii="Garamond" w:hAnsi="Garamond"/>
                <w:lang w:val="en-AU"/>
              </w:rPr>
            </w:pPr>
            <w:r>
              <w:rPr>
                <w:rFonts w:ascii="Garamond" w:hAnsi="Garamond"/>
                <w:noProof/>
                <w:lang w:val="en-AU" w:eastAsia="en-AU"/>
              </w:rPr>
              <w:drawing>
                <wp:inline distT="0" distB="0" distL="0" distR="0">
                  <wp:extent cx="5124450" cy="2133600"/>
                  <wp:effectExtent l="0" t="0" r="0" b="0"/>
                  <wp:docPr id="1" name="Picture 1" descr="\\central.health\dfsuserenv\Users\User_07\JOHNNI\Pictures\SQ17-104-Atlas-banner-for-Campaign-monitor.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SQ17-104-Atlas-banner-for-Campaign-monito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33600"/>
                          </a:xfrm>
                          <a:prstGeom prst="rect">
                            <a:avLst/>
                          </a:prstGeom>
                          <a:noFill/>
                          <a:ln>
                            <a:noFill/>
                          </a:ln>
                        </pic:spPr>
                      </pic:pic>
                    </a:graphicData>
                  </a:graphic>
                </wp:inline>
              </w:drawing>
            </w:r>
          </w:p>
        </w:tc>
      </w:tr>
    </w:tbl>
    <w:p w:rsidR="00F766E6" w:rsidRDefault="00F766E6" w:rsidP="00691DE3">
      <w:pPr>
        <w:keepLines/>
        <w:autoSpaceDE w:val="0"/>
        <w:autoSpaceDN w:val="0"/>
        <w:adjustRightInd w:val="0"/>
        <w:rPr>
          <w:rFonts w:ascii="Garamond" w:hAnsi="Garamond"/>
          <w:b/>
          <w:lang w:val="en-AU"/>
        </w:rPr>
      </w:pPr>
    </w:p>
    <w:p w:rsidR="00DE7C48" w:rsidRDefault="00DE7C48" w:rsidP="00691DE3">
      <w:pPr>
        <w:keepLines/>
        <w:autoSpaceDE w:val="0"/>
        <w:autoSpaceDN w:val="0"/>
        <w:adjustRightInd w:val="0"/>
        <w:rPr>
          <w:rFonts w:ascii="Garamond" w:hAnsi="Garamond"/>
          <w:b/>
          <w:lang w:val="en-AU"/>
        </w:rPr>
      </w:pPr>
      <w:r>
        <w:rPr>
          <w:rFonts w:ascii="Garamond" w:hAnsi="Garamond"/>
          <w:b/>
          <w:lang w:val="en-AU"/>
        </w:rPr>
        <w:t>Reports</w:t>
      </w:r>
    </w:p>
    <w:p w:rsidR="00BA4898" w:rsidRDefault="00BA4898" w:rsidP="00691DE3">
      <w:pPr>
        <w:keepLines/>
        <w:autoSpaceDE w:val="0"/>
        <w:autoSpaceDN w:val="0"/>
        <w:adjustRightInd w:val="0"/>
        <w:rPr>
          <w:rFonts w:ascii="Garamond" w:hAnsi="Garamond"/>
          <w:b/>
          <w:lang w:val="en-AU"/>
        </w:rPr>
      </w:pPr>
    </w:p>
    <w:p w:rsidR="00F766E6" w:rsidRDefault="00F766E6" w:rsidP="00F766E6">
      <w:pPr>
        <w:keepLines/>
        <w:autoSpaceDE w:val="0"/>
        <w:autoSpaceDN w:val="0"/>
        <w:adjustRightInd w:val="0"/>
        <w:rPr>
          <w:rFonts w:ascii="Garamond" w:hAnsi="Garamond"/>
          <w:lang w:val="en-AU"/>
        </w:rPr>
      </w:pPr>
      <w:r w:rsidRPr="004A0FFB">
        <w:rPr>
          <w:rFonts w:ascii="Garamond" w:hAnsi="Garamond"/>
          <w:i/>
          <w:lang w:val="en-AU"/>
        </w:rPr>
        <w:t>Final Report: Sentinel Event Research Project.</w:t>
      </w:r>
      <w:r w:rsidRPr="00F766E6">
        <w:rPr>
          <w:rFonts w:ascii="Garamond" w:hAnsi="Garamond"/>
          <w:lang w:val="en-AU"/>
        </w:rPr>
        <w:t xml:space="preserve"> Australian Patient Safety Foundation A report submitted to the Victorian Department of Health and Human Services</w:t>
      </w:r>
    </w:p>
    <w:p w:rsidR="00F766E6" w:rsidRDefault="00F766E6" w:rsidP="00BA4898">
      <w:pPr>
        <w:keepLines/>
        <w:autoSpaceDE w:val="0"/>
        <w:autoSpaceDN w:val="0"/>
        <w:adjustRightInd w:val="0"/>
        <w:rPr>
          <w:rFonts w:ascii="Garamond" w:hAnsi="Garamond"/>
          <w:lang w:val="en-AU"/>
        </w:rPr>
      </w:pPr>
      <w:r w:rsidRPr="00F766E6">
        <w:rPr>
          <w:rFonts w:ascii="Garamond" w:hAnsi="Garamond"/>
          <w:lang w:val="en-AU"/>
        </w:rPr>
        <w:t>Hibbert P, Thomas MJW, Deakin A, Runciman W, Braithwaite J</w:t>
      </w:r>
    </w:p>
    <w:p w:rsidR="005915ED" w:rsidRPr="00A45262" w:rsidRDefault="00F766E6" w:rsidP="00BA4898">
      <w:pPr>
        <w:keepLines/>
        <w:autoSpaceDE w:val="0"/>
        <w:autoSpaceDN w:val="0"/>
        <w:adjustRightInd w:val="0"/>
        <w:rPr>
          <w:rFonts w:ascii="Garamond" w:hAnsi="Garamond"/>
          <w:lang w:val="en-AU"/>
        </w:rPr>
      </w:pPr>
      <w:r w:rsidRPr="00F766E6">
        <w:rPr>
          <w:rFonts w:ascii="Garamond" w:hAnsi="Garamond"/>
          <w:lang w:val="en-AU"/>
        </w:rPr>
        <w:t>Melbourne: Victorian Department of Health and Human Services; 2016. p. 44.</w:t>
      </w:r>
    </w:p>
    <w:tbl>
      <w:tblPr>
        <w:tblStyle w:val="TableGrid"/>
        <w:tblW w:w="0" w:type="auto"/>
        <w:tblInd w:w="288" w:type="dxa"/>
        <w:tblLayout w:type="fixed"/>
        <w:tblLook w:val="01E0" w:firstRow="1" w:lastRow="1" w:firstColumn="1" w:lastColumn="1" w:noHBand="0" w:noVBand="0"/>
      </w:tblPr>
      <w:tblGrid>
        <w:gridCol w:w="1080"/>
        <w:gridCol w:w="8280"/>
      </w:tblGrid>
      <w:tr w:rsidR="00BA4898"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A4898" w:rsidRPr="00A45262" w:rsidRDefault="00BA4898" w:rsidP="00DD2B2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A4898" w:rsidRPr="00A45262" w:rsidRDefault="00294BDB" w:rsidP="00FF72CC">
            <w:pPr>
              <w:rPr>
                <w:rStyle w:val="Hyperlink"/>
                <w:rFonts w:ascii="Garamond" w:hAnsi="Garamond"/>
                <w:color w:val="auto"/>
                <w:u w:val="none"/>
                <w:lang w:val="en-AU"/>
              </w:rPr>
            </w:pPr>
            <w:hyperlink r:id="rId19" w:history="1">
              <w:r w:rsidR="00F766E6" w:rsidRPr="00863A69">
                <w:rPr>
                  <w:rStyle w:val="Hyperlink"/>
                  <w:rFonts w:ascii="Garamond" w:hAnsi="Garamond"/>
                  <w:lang w:val="en-AU"/>
                </w:rPr>
                <w:t>https://www2.health.vic.gov.au/hospitals-and-health-services/quality-safety-service/clinical-risk-management/sentinel-event-program</w:t>
              </w:r>
            </w:hyperlink>
          </w:p>
        </w:tc>
      </w:tr>
      <w:tr w:rsidR="00BA4898"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A4898" w:rsidRPr="00A45262" w:rsidRDefault="00BA4898" w:rsidP="00DD2B2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66E6" w:rsidRDefault="00F766E6" w:rsidP="00F766E6">
            <w:pPr>
              <w:rPr>
                <w:rFonts w:ascii="Garamond" w:hAnsi="Garamond"/>
                <w:lang w:val="en-AU"/>
              </w:rPr>
            </w:pPr>
            <w:r>
              <w:rPr>
                <w:rFonts w:ascii="Garamond" w:hAnsi="Garamond"/>
                <w:lang w:val="en-AU"/>
              </w:rPr>
              <w:t xml:space="preserve">Report from the Australian Patient Safety Foundation commissioned by the Victorian </w:t>
            </w:r>
            <w:r w:rsidRPr="00F766E6">
              <w:rPr>
                <w:rFonts w:ascii="Garamond" w:hAnsi="Garamond"/>
                <w:lang w:val="en-AU"/>
              </w:rPr>
              <w:t>Department of Health and Human Services</w:t>
            </w:r>
            <w:r>
              <w:rPr>
                <w:rFonts w:ascii="Garamond" w:hAnsi="Garamond"/>
                <w:lang w:val="en-AU"/>
              </w:rPr>
              <w:t xml:space="preserve"> looking into “sentinel events”. Currently there are eight sentinel events and Victoria has an additional category of “</w:t>
            </w:r>
            <w:r w:rsidRPr="00F766E6">
              <w:rPr>
                <w:rFonts w:ascii="Garamond" w:hAnsi="Garamond"/>
                <w:lang w:val="en-AU"/>
              </w:rPr>
              <w:t>Other catastrophic:  Incident severity rating one (ISR1)”.</w:t>
            </w:r>
          </w:p>
          <w:p w:rsidR="00461D41" w:rsidRDefault="00461D41" w:rsidP="00F766E6">
            <w:pPr>
              <w:rPr>
                <w:rFonts w:ascii="Garamond" w:hAnsi="Garamond"/>
                <w:lang w:val="en-AU"/>
              </w:rPr>
            </w:pPr>
            <w:r>
              <w:rPr>
                <w:rFonts w:ascii="Garamond" w:hAnsi="Garamond"/>
                <w:lang w:val="en-AU"/>
              </w:rPr>
              <w:t>This report describes a project that included:</w:t>
            </w:r>
          </w:p>
          <w:p w:rsidR="00461D41" w:rsidRPr="00461D41" w:rsidRDefault="00461D41" w:rsidP="00461D41">
            <w:pPr>
              <w:pStyle w:val="ListParagraph"/>
              <w:numPr>
                <w:ilvl w:val="0"/>
                <w:numId w:val="32"/>
              </w:numPr>
              <w:rPr>
                <w:rFonts w:ascii="Garamond" w:hAnsi="Garamond"/>
                <w:lang w:val="en-AU"/>
              </w:rPr>
            </w:pPr>
            <w:r w:rsidRPr="00461D41">
              <w:rPr>
                <w:rFonts w:ascii="Garamond" w:hAnsi="Garamond"/>
                <w:lang w:val="en-AU"/>
              </w:rPr>
              <w:t xml:space="preserve">Classification and descriptive analysis of </w:t>
            </w:r>
            <w:r>
              <w:rPr>
                <w:rFonts w:ascii="Garamond" w:hAnsi="Garamond"/>
                <w:lang w:val="en-AU"/>
              </w:rPr>
              <w:t>Root Cause Analysis (</w:t>
            </w:r>
            <w:r w:rsidRPr="00461D41">
              <w:rPr>
                <w:rFonts w:ascii="Garamond" w:hAnsi="Garamond"/>
                <w:lang w:val="en-AU"/>
              </w:rPr>
              <w:t>RCA</w:t>
            </w:r>
            <w:r>
              <w:rPr>
                <w:rFonts w:ascii="Garamond" w:hAnsi="Garamond"/>
                <w:lang w:val="en-AU"/>
              </w:rPr>
              <w:t>)</w:t>
            </w:r>
            <w:r w:rsidRPr="00461D41">
              <w:rPr>
                <w:rFonts w:ascii="Garamond" w:hAnsi="Garamond"/>
                <w:lang w:val="en-AU"/>
              </w:rPr>
              <w:t xml:space="preserve"> reports based on a set of 227 </w:t>
            </w:r>
            <w:r>
              <w:rPr>
                <w:rFonts w:ascii="Garamond" w:hAnsi="Garamond"/>
                <w:lang w:val="en-AU"/>
              </w:rPr>
              <w:t>sentinel events</w:t>
            </w:r>
            <w:r w:rsidRPr="00461D41">
              <w:rPr>
                <w:rFonts w:ascii="Garamond" w:hAnsi="Garamond"/>
                <w:lang w:val="en-AU"/>
              </w:rPr>
              <w:t>;</w:t>
            </w:r>
          </w:p>
          <w:p w:rsidR="00461D41" w:rsidRPr="00461D41" w:rsidRDefault="00461D41" w:rsidP="00461D41">
            <w:pPr>
              <w:pStyle w:val="ListParagraph"/>
              <w:numPr>
                <w:ilvl w:val="0"/>
                <w:numId w:val="32"/>
              </w:numPr>
              <w:rPr>
                <w:rFonts w:ascii="Garamond" w:hAnsi="Garamond"/>
                <w:lang w:val="en-AU"/>
              </w:rPr>
            </w:pPr>
            <w:r w:rsidRPr="00461D41">
              <w:rPr>
                <w:rFonts w:ascii="Garamond" w:hAnsi="Garamond"/>
                <w:lang w:val="en-AU"/>
              </w:rPr>
              <w:t>Analysis of conformity to best practice in the conduct of these RCAs;</w:t>
            </w:r>
          </w:p>
          <w:p w:rsidR="00461D41" w:rsidRPr="00461D41" w:rsidRDefault="00461D41" w:rsidP="00461D41">
            <w:pPr>
              <w:pStyle w:val="ListParagraph"/>
              <w:numPr>
                <w:ilvl w:val="0"/>
                <w:numId w:val="32"/>
              </w:numPr>
              <w:rPr>
                <w:rFonts w:ascii="Garamond" w:hAnsi="Garamond"/>
                <w:lang w:val="en-AU"/>
              </w:rPr>
            </w:pPr>
            <w:r w:rsidRPr="00461D41">
              <w:rPr>
                <w:rFonts w:ascii="Garamond" w:hAnsi="Garamond"/>
                <w:lang w:val="en-AU"/>
              </w:rPr>
              <w:t>Classification and analysis of 478 claims related to healthcare; and</w:t>
            </w:r>
          </w:p>
          <w:p w:rsidR="00461D41" w:rsidRPr="00461D41" w:rsidRDefault="00461D41" w:rsidP="00461D41">
            <w:pPr>
              <w:pStyle w:val="ListParagraph"/>
              <w:numPr>
                <w:ilvl w:val="0"/>
                <w:numId w:val="32"/>
              </w:numPr>
              <w:rPr>
                <w:rFonts w:ascii="Garamond" w:hAnsi="Garamond"/>
                <w:lang w:val="en-AU"/>
              </w:rPr>
            </w:pPr>
            <w:r w:rsidRPr="00461D41">
              <w:rPr>
                <w:rFonts w:ascii="Garamond" w:hAnsi="Garamond"/>
                <w:lang w:val="en-AU"/>
              </w:rPr>
              <w:t>Stakeholder feedback on the strengths and weaknesses of the RCA process.</w:t>
            </w:r>
          </w:p>
          <w:p w:rsidR="00F766E6" w:rsidRPr="00FF72CC" w:rsidRDefault="00F766E6" w:rsidP="00461D41">
            <w:pPr>
              <w:rPr>
                <w:rFonts w:ascii="Garamond" w:hAnsi="Garamond"/>
                <w:lang w:val="en-AU"/>
              </w:rPr>
            </w:pPr>
            <w:r>
              <w:rPr>
                <w:rFonts w:ascii="Garamond" w:hAnsi="Garamond"/>
                <w:lang w:val="en-AU"/>
              </w:rPr>
              <w:t>The authors</w:t>
            </w:r>
            <w:r w:rsidR="00461D41">
              <w:rPr>
                <w:rFonts w:ascii="Garamond" w:hAnsi="Garamond"/>
                <w:lang w:val="en-AU"/>
              </w:rPr>
              <w:t>’</w:t>
            </w:r>
            <w:r>
              <w:rPr>
                <w:rFonts w:ascii="Garamond" w:hAnsi="Garamond"/>
                <w:lang w:val="en-AU"/>
              </w:rPr>
              <w:t xml:space="preserve"> </w:t>
            </w:r>
            <w:r w:rsidR="00461D41">
              <w:rPr>
                <w:rFonts w:ascii="Garamond" w:hAnsi="Garamond"/>
                <w:lang w:val="en-AU"/>
              </w:rPr>
              <w:t xml:space="preserve">analysis of the </w:t>
            </w:r>
            <w:r w:rsidRPr="00F766E6">
              <w:rPr>
                <w:rFonts w:ascii="Garamond" w:hAnsi="Garamond"/>
                <w:lang w:val="en-AU"/>
              </w:rPr>
              <w:t xml:space="preserve">227 </w:t>
            </w:r>
            <w:r>
              <w:rPr>
                <w:rFonts w:ascii="Garamond" w:hAnsi="Garamond"/>
                <w:lang w:val="en-AU"/>
              </w:rPr>
              <w:t xml:space="preserve">RCA </w:t>
            </w:r>
            <w:r w:rsidR="00461D41">
              <w:rPr>
                <w:rFonts w:ascii="Garamond" w:hAnsi="Garamond"/>
                <w:lang w:val="en-AU"/>
              </w:rPr>
              <w:t>reports and assessment of the</w:t>
            </w:r>
            <w:r w:rsidRPr="00F766E6">
              <w:rPr>
                <w:rFonts w:ascii="Garamond" w:hAnsi="Garamond"/>
                <w:lang w:val="en-AU"/>
              </w:rPr>
              <w:t xml:space="preserve"> strength of recommendations </w:t>
            </w:r>
            <w:r>
              <w:rPr>
                <w:rFonts w:ascii="Garamond" w:hAnsi="Garamond"/>
                <w:lang w:val="en-AU"/>
              </w:rPr>
              <w:t xml:space="preserve">found just </w:t>
            </w:r>
            <w:r w:rsidRPr="00F766E6">
              <w:rPr>
                <w:rFonts w:ascii="Garamond" w:hAnsi="Garamond"/>
                <w:lang w:val="en-AU"/>
              </w:rPr>
              <w:t xml:space="preserve">8% were </w:t>
            </w:r>
            <w:r>
              <w:rPr>
                <w:rFonts w:ascii="Garamond" w:hAnsi="Garamond"/>
                <w:lang w:val="en-AU"/>
              </w:rPr>
              <w:t>deemed to be “strong”.</w:t>
            </w:r>
            <w:r w:rsidR="00461D41">
              <w:rPr>
                <w:rFonts w:ascii="Garamond" w:hAnsi="Garamond"/>
                <w:lang w:val="en-AU"/>
              </w:rPr>
              <w:t xml:space="preserve"> The report also made a number of recommendations around the training for and conduct of RCAs, various other tools and for safety and quality, including greater involvement of consumers.</w:t>
            </w:r>
          </w:p>
        </w:tc>
      </w:tr>
    </w:tbl>
    <w:p w:rsidR="00DE7C48" w:rsidRPr="00A45262" w:rsidRDefault="00DE7C48" w:rsidP="00C400E8">
      <w:pPr>
        <w:rPr>
          <w:rFonts w:ascii="Garamond" w:hAnsi="Garamond"/>
          <w:lang w:val="en-AU"/>
        </w:rPr>
      </w:pPr>
    </w:p>
    <w:p w:rsidR="00EC149C" w:rsidRDefault="00EC149C">
      <w:pPr>
        <w:rPr>
          <w:rFonts w:ascii="Garamond" w:hAnsi="Garamond"/>
          <w:b/>
          <w:lang w:val="en-AU"/>
        </w:rPr>
      </w:pPr>
      <w:r>
        <w:rPr>
          <w:rFonts w:ascii="Garamond" w:hAnsi="Garamond"/>
          <w:b/>
          <w:lang w:val="en-AU"/>
        </w:rPr>
        <w:br w:type="page"/>
      </w:r>
    </w:p>
    <w:p w:rsidR="000C6A11" w:rsidRPr="00A45262" w:rsidRDefault="000C6A11" w:rsidP="00691DE3">
      <w:pPr>
        <w:keepLines/>
        <w:autoSpaceDE w:val="0"/>
        <w:autoSpaceDN w:val="0"/>
        <w:adjustRightInd w:val="0"/>
        <w:rPr>
          <w:rFonts w:ascii="Garamond" w:hAnsi="Garamond"/>
          <w:b/>
          <w:lang w:val="en-AU"/>
        </w:rPr>
      </w:pPr>
      <w:r w:rsidRPr="00A45262">
        <w:rPr>
          <w:rFonts w:ascii="Garamond" w:hAnsi="Garamond"/>
          <w:b/>
          <w:lang w:val="en-AU"/>
        </w:rPr>
        <w:lastRenderedPageBreak/>
        <w:t>Journal articles</w:t>
      </w:r>
    </w:p>
    <w:p w:rsidR="001137F8" w:rsidRDefault="001137F8" w:rsidP="001137F8">
      <w:pPr>
        <w:keepNext/>
        <w:rPr>
          <w:rFonts w:ascii="Garamond" w:hAnsi="Garamond"/>
          <w:lang w:val="en-AU"/>
        </w:rPr>
      </w:pPr>
    </w:p>
    <w:p w:rsidR="00EC149C" w:rsidRPr="00EC149C" w:rsidRDefault="00EC149C" w:rsidP="00EC149C">
      <w:pPr>
        <w:rPr>
          <w:rFonts w:ascii="Garamond" w:hAnsi="Garamond"/>
          <w:i/>
          <w:lang w:val="en-AU"/>
        </w:rPr>
      </w:pPr>
      <w:r w:rsidRPr="00EC149C">
        <w:rPr>
          <w:rFonts w:ascii="Garamond" w:hAnsi="Garamond"/>
          <w:i/>
          <w:lang w:val="en-AU"/>
        </w:rPr>
        <w:t>Improving Care Teams' Functioning: Recommendations from Team Science</w:t>
      </w:r>
    </w:p>
    <w:p w:rsidR="00EC149C" w:rsidRDefault="00EC149C" w:rsidP="00D11429">
      <w:pPr>
        <w:rPr>
          <w:rFonts w:ascii="Garamond" w:hAnsi="Garamond"/>
          <w:lang w:val="en-AU"/>
        </w:rPr>
      </w:pPr>
      <w:r w:rsidRPr="00EC149C">
        <w:rPr>
          <w:rFonts w:ascii="Garamond" w:hAnsi="Garamond"/>
          <w:lang w:val="en-AU"/>
        </w:rPr>
        <w:t>Fiscella K, Mauksch L, Bodenheimer T, Salas E</w:t>
      </w:r>
    </w:p>
    <w:p w:rsidR="00D11429" w:rsidRPr="00A45262" w:rsidRDefault="00EC149C" w:rsidP="00D11429">
      <w:pPr>
        <w:rPr>
          <w:rFonts w:ascii="Garamond" w:hAnsi="Garamond"/>
          <w:lang w:val="en-AU"/>
        </w:rPr>
      </w:pPr>
      <w:r w:rsidRPr="00EC149C">
        <w:rPr>
          <w:rFonts w:ascii="Garamond" w:hAnsi="Garamond"/>
          <w:lang w:val="en-AU"/>
        </w:rPr>
        <w:t>The Joint Commission Journal on Quality and Patient Safety. 2017</w:t>
      </w:r>
      <w:r>
        <w:rPr>
          <w:rFonts w:ascii="Garamond" w:hAnsi="Garamond"/>
          <w:lang w:val="en-AU"/>
        </w:rPr>
        <w:t xml:space="preserve"> [epub]</w:t>
      </w:r>
      <w:r w:rsidRPr="00EC149C">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11429" w:rsidRPr="00A45262" w:rsidTr="00166087">
        <w:tc>
          <w:tcPr>
            <w:tcW w:w="1080" w:type="dxa"/>
            <w:tcBorders>
              <w:top w:val="single" w:sz="4" w:space="0" w:color="auto"/>
              <w:left w:val="single" w:sz="4" w:space="0" w:color="auto"/>
              <w:bottom w:val="single" w:sz="4" w:space="0" w:color="auto"/>
              <w:right w:val="single" w:sz="4" w:space="0" w:color="auto"/>
            </w:tcBorders>
            <w:vAlign w:val="center"/>
          </w:tcPr>
          <w:p w:rsidR="00D11429" w:rsidRPr="00A45262" w:rsidRDefault="00D11429" w:rsidP="00166087">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C149C" w:rsidRPr="00A45262" w:rsidRDefault="00294BDB" w:rsidP="00EC149C">
            <w:pPr>
              <w:rPr>
                <w:rStyle w:val="Hyperlink"/>
                <w:rFonts w:ascii="Garamond" w:hAnsi="Garamond"/>
                <w:color w:val="auto"/>
                <w:u w:val="none"/>
                <w:lang w:val="en-AU"/>
              </w:rPr>
            </w:pPr>
            <w:hyperlink r:id="rId20" w:history="1">
              <w:r w:rsidR="00EC149C" w:rsidRPr="00C00064">
                <w:rPr>
                  <w:rStyle w:val="Hyperlink"/>
                  <w:rFonts w:ascii="Garamond" w:hAnsi="Garamond"/>
                  <w:lang w:val="en-AU"/>
                </w:rPr>
                <w:t>https://doi.org/10.1016/j.jcjq.2017.03.009</w:t>
              </w:r>
            </w:hyperlink>
          </w:p>
        </w:tc>
      </w:tr>
      <w:tr w:rsidR="00D11429" w:rsidRPr="00A45262" w:rsidTr="00166087">
        <w:tc>
          <w:tcPr>
            <w:tcW w:w="1080" w:type="dxa"/>
            <w:tcBorders>
              <w:top w:val="single" w:sz="4" w:space="0" w:color="auto"/>
              <w:left w:val="single" w:sz="4" w:space="0" w:color="auto"/>
              <w:bottom w:val="single" w:sz="4" w:space="0" w:color="auto"/>
              <w:right w:val="single" w:sz="4" w:space="0" w:color="auto"/>
            </w:tcBorders>
            <w:vAlign w:val="center"/>
          </w:tcPr>
          <w:p w:rsidR="00D11429" w:rsidRPr="00A45262" w:rsidRDefault="00D11429" w:rsidP="0016608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149C" w:rsidRDefault="00EC149C" w:rsidP="00166087">
            <w:pPr>
              <w:rPr>
                <w:rFonts w:ascii="Garamond" w:hAnsi="Garamond"/>
                <w:lang w:val="en-AU"/>
              </w:rPr>
            </w:pPr>
            <w:r>
              <w:rPr>
                <w:rFonts w:ascii="Garamond" w:hAnsi="Garamond"/>
                <w:lang w:val="en-AU"/>
              </w:rPr>
              <w:t>Health care is a team game. This piece reviews how elements of team behaviour can contribute to primary care and teams within the primary care setting. The authors  describe s</w:t>
            </w:r>
            <w:r w:rsidRPr="00EC149C">
              <w:rPr>
                <w:rFonts w:ascii="Garamond" w:hAnsi="Garamond"/>
                <w:lang w:val="en-AU"/>
              </w:rPr>
              <w:t xml:space="preserve">ix elements of teams </w:t>
            </w:r>
            <w:r>
              <w:rPr>
                <w:rFonts w:ascii="Garamond" w:hAnsi="Garamond"/>
                <w:lang w:val="en-AU"/>
              </w:rPr>
              <w:t xml:space="preserve">that thy consider </w:t>
            </w:r>
            <w:r w:rsidRPr="00EC149C">
              <w:rPr>
                <w:rFonts w:ascii="Garamond" w:hAnsi="Garamond"/>
                <w:lang w:val="en-AU"/>
              </w:rPr>
              <w:t xml:space="preserve">particularly relevant to primary care: </w:t>
            </w:r>
          </w:p>
          <w:p w:rsidR="00EC149C" w:rsidRDefault="00EC149C" w:rsidP="00EC149C">
            <w:pPr>
              <w:pStyle w:val="ListParagraph"/>
              <w:numPr>
                <w:ilvl w:val="0"/>
                <w:numId w:val="34"/>
              </w:numPr>
              <w:rPr>
                <w:rFonts w:ascii="Garamond" w:hAnsi="Garamond"/>
                <w:lang w:val="en-AU"/>
              </w:rPr>
            </w:pPr>
            <w:r w:rsidRPr="00EC149C">
              <w:rPr>
                <w:rFonts w:ascii="Garamond" w:hAnsi="Garamond"/>
                <w:lang w:val="en-AU"/>
              </w:rPr>
              <w:t xml:space="preserve">practice </w:t>
            </w:r>
            <w:r w:rsidRPr="00EC149C">
              <w:rPr>
                <w:rFonts w:ascii="Garamond" w:hAnsi="Garamond"/>
                <w:b/>
                <w:lang w:val="en-AU"/>
              </w:rPr>
              <w:t>conditions</w:t>
            </w:r>
            <w:r w:rsidRPr="00EC149C">
              <w:rPr>
                <w:rFonts w:ascii="Garamond" w:hAnsi="Garamond"/>
                <w:lang w:val="en-AU"/>
              </w:rPr>
              <w:t xml:space="preserve"> that support or hinder effective teamwork</w:t>
            </w:r>
          </w:p>
          <w:p w:rsidR="00EC149C" w:rsidRDefault="00EC149C" w:rsidP="00EC149C">
            <w:pPr>
              <w:pStyle w:val="ListParagraph"/>
              <w:numPr>
                <w:ilvl w:val="0"/>
                <w:numId w:val="34"/>
              </w:numPr>
              <w:rPr>
                <w:rFonts w:ascii="Garamond" w:hAnsi="Garamond"/>
                <w:lang w:val="en-AU"/>
              </w:rPr>
            </w:pPr>
            <w:r w:rsidRPr="00EC149C">
              <w:rPr>
                <w:rFonts w:ascii="Garamond" w:hAnsi="Garamond"/>
                <w:lang w:val="en-AU"/>
              </w:rPr>
              <w:t xml:space="preserve">team </w:t>
            </w:r>
            <w:r w:rsidRPr="00EC149C">
              <w:rPr>
                <w:rFonts w:ascii="Garamond" w:hAnsi="Garamond"/>
                <w:b/>
                <w:lang w:val="en-AU"/>
              </w:rPr>
              <w:t>cognition</w:t>
            </w:r>
            <w:r w:rsidRPr="00EC149C">
              <w:rPr>
                <w:rFonts w:ascii="Garamond" w:hAnsi="Garamond"/>
                <w:lang w:val="en-AU"/>
              </w:rPr>
              <w:t>, including shared understanding of team goals, roles, and how members will work together as a team</w:t>
            </w:r>
          </w:p>
          <w:p w:rsidR="00EC149C" w:rsidRDefault="00EC149C" w:rsidP="00EC149C">
            <w:pPr>
              <w:pStyle w:val="ListParagraph"/>
              <w:numPr>
                <w:ilvl w:val="0"/>
                <w:numId w:val="34"/>
              </w:numPr>
              <w:rPr>
                <w:rFonts w:ascii="Garamond" w:hAnsi="Garamond"/>
                <w:lang w:val="en-AU"/>
              </w:rPr>
            </w:pPr>
            <w:r w:rsidRPr="00EC149C">
              <w:rPr>
                <w:rFonts w:ascii="Garamond" w:hAnsi="Garamond"/>
                <w:b/>
                <w:lang w:val="en-AU"/>
              </w:rPr>
              <w:t>leadership and coaching</w:t>
            </w:r>
            <w:r w:rsidRPr="00EC149C">
              <w:rPr>
                <w:rFonts w:ascii="Garamond" w:hAnsi="Garamond"/>
                <w:lang w:val="en-AU"/>
              </w:rPr>
              <w:t>, including mutual feedback among members that promotes teamwork and moves the team closer to achieving its goals</w:t>
            </w:r>
          </w:p>
          <w:p w:rsidR="00EC149C" w:rsidRDefault="00EC149C" w:rsidP="00EC149C">
            <w:pPr>
              <w:pStyle w:val="ListParagraph"/>
              <w:numPr>
                <w:ilvl w:val="0"/>
                <w:numId w:val="34"/>
              </w:numPr>
              <w:rPr>
                <w:rFonts w:ascii="Garamond" w:hAnsi="Garamond"/>
                <w:lang w:val="en-AU"/>
              </w:rPr>
            </w:pPr>
            <w:r w:rsidRPr="00EC149C">
              <w:rPr>
                <w:rFonts w:ascii="Garamond" w:hAnsi="Garamond"/>
                <w:b/>
                <w:lang w:val="en-AU"/>
              </w:rPr>
              <w:t>cooperation</w:t>
            </w:r>
            <w:r w:rsidRPr="00EC149C">
              <w:rPr>
                <w:rFonts w:ascii="Garamond" w:hAnsi="Garamond"/>
                <w:lang w:val="en-AU"/>
              </w:rPr>
              <w:t xml:space="preserve"> supported by an emotionally safe climate that supports expression and resolution of conflict and builds team trust and cohesion</w:t>
            </w:r>
          </w:p>
          <w:p w:rsidR="00EC149C" w:rsidRDefault="00EC149C" w:rsidP="00EC149C">
            <w:pPr>
              <w:pStyle w:val="ListParagraph"/>
              <w:numPr>
                <w:ilvl w:val="0"/>
                <w:numId w:val="34"/>
              </w:numPr>
              <w:rPr>
                <w:rFonts w:ascii="Garamond" w:hAnsi="Garamond"/>
                <w:lang w:val="en-AU"/>
              </w:rPr>
            </w:pPr>
            <w:r w:rsidRPr="00EC149C">
              <w:rPr>
                <w:rFonts w:ascii="Garamond" w:hAnsi="Garamond"/>
                <w:b/>
                <w:lang w:val="en-AU"/>
              </w:rPr>
              <w:t>coordination</w:t>
            </w:r>
            <w:r w:rsidRPr="00EC149C">
              <w:rPr>
                <w:rFonts w:ascii="Garamond" w:hAnsi="Garamond"/>
                <w:lang w:val="en-AU"/>
              </w:rPr>
              <w:t>, including adoption of processes that optimize efficient performance of interdependent activities among team members</w:t>
            </w:r>
          </w:p>
          <w:p w:rsidR="00EC149C" w:rsidRPr="00EC149C" w:rsidRDefault="00EC149C" w:rsidP="00EC149C">
            <w:pPr>
              <w:pStyle w:val="ListParagraph"/>
              <w:numPr>
                <w:ilvl w:val="0"/>
                <w:numId w:val="34"/>
              </w:numPr>
              <w:rPr>
                <w:rFonts w:ascii="Garamond" w:hAnsi="Garamond"/>
                <w:lang w:val="en-AU"/>
              </w:rPr>
            </w:pPr>
            <w:r w:rsidRPr="00EC149C">
              <w:rPr>
                <w:rFonts w:ascii="Garamond" w:hAnsi="Garamond"/>
                <w:b/>
                <w:lang w:val="en-AU"/>
              </w:rPr>
              <w:t>communication</w:t>
            </w:r>
            <w:r w:rsidRPr="00EC149C">
              <w:rPr>
                <w:rFonts w:ascii="Garamond" w:hAnsi="Garamond"/>
                <w:lang w:val="en-AU"/>
              </w:rPr>
              <w:t>, particularly regular, recursive team cycles involving planning, action, and debriefing.</w:t>
            </w:r>
          </w:p>
          <w:p w:rsidR="00EC149C" w:rsidRPr="00A45262" w:rsidRDefault="00EC149C" w:rsidP="00EC149C">
            <w:pPr>
              <w:rPr>
                <w:rFonts w:ascii="Garamond" w:hAnsi="Garamond"/>
                <w:lang w:val="en-AU"/>
              </w:rPr>
            </w:pPr>
            <w:r>
              <w:rPr>
                <w:rFonts w:ascii="Garamond" w:hAnsi="Garamond"/>
                <w:lang w:val="en-AU"/>
              </w:rPr>
              <w:t>The piece also discusses how these elements may be configured for varying forms of teams in primary care.</w:t>
            </w:r>
          </w:p>
        </w:tc>
      </w:tr>
    </w:tbl>
    <w:p w:rsidR="00D11429" w:rsidRDefault="00D11429" w:rsidP="00D11429">
      <w:pPr>
        <w:keepNext/>
        <w:rPr>
          <w:rFonts w:ascii="Garamond" w:hAnsi="Garamond"/>
          <w:lang w:val="en-AU"/>
        </w:rPr>
      </w:pPr>
    </w:p>
    <w:p w:rsidR="008D743C" w:rsidRPr="008D743C" w:rsidRDefault="008D743C" w:rsidP="008D743C">
      <w:pPr>
        <w:rPr>
          <w:rFonts w:ascii="Garamond" w:hAnsi="Garamond"/>
          <w:i/>
          <w:lang w:val="en-AU"/>
        </w:rPr>
      </w:pPr>
      <w:r w:rsidRPr="008D743C">
        <w:rPr>
          <w:rFonts w:ascii="Garamond" w:hAnsi="Garamond"/>
          <w:i/>
          <w:lang w:val="en-AU"/>
        </w:rPr>
        <w:t>Patient-reported safety incidents in older patients with long-term conditions: a large cross-sectional study</w:t>
      </w:r>
    </w:p>
    <w:p w:rsidR="008D743C" w:rsidRDefault="008D743C" w:rsidP="008D743C">
      <w:pPr>
        <w:rPr>
          <w:rFonts w:ascii="Garamond" w:hAnsi="Garamond"/>
          <w:lang w:val="en-AU"/>
        </w:rPr>
      </w:pPr>
      <w:r w:rsidRPr="008D743C">
        <w:rPr>
          <w:rFonts w:ascii="Garamond" w:hAnsi="Garamond"/>
          <w:lang w:val="en-AU"/>
        </w:rPr>
        <w:t>Panagioti M, Blakeman T, Hann M, Bower P</w:t>
      </w:r>
    </w:p>
    <w:p w:rsidR="008D743C" w:rsidRPr="00A45262" w:rsidRDefault="008D743C" w:rsidP="008D743C">
      <w:pPr>
        <w:rPr>
          <w:rFonts w:ascii="Garamond" w:hAnsi="Garamond"/>
          <w:lang w:val="en-AU"/>
        </w:rPr>
      </w:pPr>
      <w:r w:rsidRPr="008D743C">
        <w:rPr>
          <w:rFonts w:ascii="Garamond" w:hAnsi="Garamond"/>
          <w:lang w:val="en-AU"/>
        </w:rPr>
        <w:t>BMJ Open. 2017;7(5):e013524.</w:t>
      </w:r>
    </w:p>
    <w:tbl>
      <w:tblPr>
        <w:tblStyle w:val="TableGrid"/>
        <w:tblW w:w="0" w:type="auto"/>
        <w:tblInd w:w="288" w:type="dxa"/>
        <w:tblLayout w:type="fixed"/>
        <w:tblLook w:val="01E0" w:firstRow="1" w:lastRow="1" w:firstColumn="1" w:lastColumn="1" w:noHBand="0" w:noVBand="0"/>
      </w:tblPr>
      <w:tblGrid>
        <w:gridCol w:w="1080"/>
        <w:gridCol w:w="8280"/>
      </w:tblGrid>
      <w:tr w:rsidR="008D743C" w:rsidRPr="00A45262" w:rsidTr="00A22EB6">
        <w:tc>
          <w:tcPr>
            <w:tcW w:w="1080" w:type="dxa"/>
            <w:tcBorders>
              <w:top w:val="single" w:sz="4" w:space="0" w:color="auto"/>
              <w:left w:val="single" w:sz="4" w:space="0" w:color="auto"/>
              <w:bottom w:val="single" w:sz="4" w:space="0" w:color="auto"/>
              <w:right w:val="single" w:sz="4" w:space="0" w:color="auto"/>
            </w:tcBorders>
            <w:vAlign w:val="center"/>
          </w:tcPr>
          <w:p w:rsidR="008D743C" w:rsidRPr="00A45262" w:rsidRDefault="008D743C" w:rsidP="00A22EB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D743C" w:rsidRPr="00A45262" w:rsidRDefault="00294BDB" w:rsidP="00A22EB6">
            <w:pPr>
              <w:rPr>
                <w:rStyle w:val="Hyperlink"/>
                <w:rFonts w:ascii="Garamond" w:hAnsi="Garamond"/>
                <w:color w:val="auto"/>
                <w:u w:val="none"/>
                <w:lang w:val="en-AU"/>
              </w:rPr>
            </w:pPr>
            <w:hyperlink r:id="rId21" w:history="1">
              <w:r w:rsidR="008D743C" w:rsidRPr="00C00064">
                <w:rPr>
                  <w:rStyle w:val="Hyperlink"/>
                  <w:rFonts w:ascii="Garamond" w:hAnsi="Garamond"/>
                  <w:lang w:val="en-AU"/>
                </w:rPr>
                <w:t>http://dx.doi.org/10.1136/bmjopen-2016-013524</w:t>
              </w:r>
            </w:hyperlink>
          </w:p>
        </w:tc>
      </w:tr>
      <w:tr w:rsidR="008D743C" w:rsidRPr="00A45262" w:rsidTr="00A22EB6">
        <w:tc>
          <w:tcPr>
            <w:tcW w:w="1080" w:type="dxa"/>
            <w:tcBorders>
              <w:top w:val="single" w:sz="4" w:space="0" w:color="auto"/>
              <w:left w:val="single" w:sz="4" w:space="0" w:color="auto"/>
              <w:bottom w:val="single" w:sz="4" w:space="0" w:color="auto"/>
              <w:right w:val="single" w:sz="4" w:space="0" w:color="auto"/>
            </w:tcBorders>
            <w:vAlign w:val="center"/>
          </w:tcPr>
          <w:p w:rsidR="008D743C" w:rsidRPr="00A45262" w:rsidRDefault="008D743C" w:rsidP="00A22EB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D743C" w:rsidRPr="00A45262" w:rsidRDefault="008D743C" w:rsidP="00A22EB6">
            <w:pPr>
              <w:rPr>
                <w:rFonts w:ascii="Garamond" w:hAnsi="Garamond"/>
                <w:lang w:val="en-AU"/>
              </w:rPr>
            </w:pPr>
            <w:r>
              <w:rPr>
                <w:rStyle w:val="Hyperlink"/>
                <w:rFonts w:ascii="Garamond" w:hAnsi="Garamond"/>
                <w:color w:val="auto"/>
                <w:u w:val="none"/>
                <w:lang w:val="en-AU"/>
              </w:rPr>
              <w:t xml:space="preserve">Paper reporting on a study that looked at patient-reported safety incidents in a group of older patients. Of the 3378 </w:t>
            </w:r>
            <w:r w:rsidRPr="008D743C">
              <w:rPr>
                <w:rStyle w:val="Hyperlink"/>
                <w:rFonts w:ascii="Garamond" w:hAnsi="Garamond"/>
                <w:b/>
                <w:color w:val="auto"/>
                <w:u w:val="none"/>
                <w:lang w:val="en-AU"/>
              </w:rPr>
              <w:t>patients aged 65 years and over</w:t>
            </w:r>
            <w:r>
              <w:rPr>
                <w:rStyle w:val="Hyperlink"/>
                <w:rFonts w:ascii="Garamond" w:hAnsi="Garamond"/>
                <w:color w:val="auto"/>
                <w:u w:val="none"/>
                <w:lang w:val="en-AU"/>
              </w:rPr>
              <w:t xml:space="preserve"> who had a long-term condition </w:t>
            </w:r>
            <w:r w:rsidRPr="008D743C">
              <w:rPr>
                <w:rStyle w:val="Hyperlink"/>
                <w:rFonts w:ascii="Garamond" w:hAnsi="Garamond"/>
                <w:b/>
                <w:color w:val="auto"/>
                <w:u w:val="none"/>
                <w:lang w:val="en-AU"/>
              </w:rPr>
              <w:t>11% reported safety incidents</w:t>
            </w:r>
            <w:r>
              <w:rPr>
                <w:rStyle w:val="Hyperlink"/>
                <w:rFonts w:ascii="Garamond" w:hAnsi="Garamond"/>
                <w:color w:val="auto"/>
                <w:u w:val="none"/>
                <w:lang w:val="en-AU"/>
              </w:rPr>
              <w:t>. The authors concluded that “</w:t>
            </w:r>
            <w:r w:rsidRPr="008D743C">
              <w:rPr>
                <w:rStyle w:val="Hyperlink"/>
                <w:rFonts w:ascii="Garamond" w:hAnsi="Garamond"/>
                <w:color w:val="auto"/>
                <w:u w:val="none"/>
                <w:lang w:val="en-AU"/>
              </w:rPr>
              <w:t>older patients with multimorbidity and depression are more likely to report experiences of patient safety incidents. Improving perceived support and involvement of patients in their care may help prevent patient-reported safety incidents.</w:t>
            </w:r>
            <w:r>
              <w:rPr>
                <w:rStyle w:val="Hyperlink"/>
                <w:rFonts w:ascii="Garamond" w:hAnsi="Garamond"/>
                <w:color w:val="auto"/>
                <w:u w:val="none"/>
                <w:lang w:val="en-AU"/>
              </w:rPr>
              <w:t>”</w:t>
            </w:r>
          </w:p>
        </w:tc>
      </w:tr>
    </w:tbl>
    <w:p w:rsidR="008D743C" w:rsidRDefault="008D743C" w:rsidP="008D743C">
      <w:pPr>
        <w:keepNext/>
        <w:rPr>
          <w:rFonts w:ascii="Garamond" w:hAnsi="Garamond"/>
          <w:lang w:val="en-AU"/>
        </w:rPr>
      </w:pPr>
    </w:p>
    <w:p w:rsidR="00EF30EE" w:rsidRPr="00EF30EE" w:rsidRDefault="00EF30EE" w:rsidP="00EF30EE">
      <w:pPr>
        <w:rPr>
          <w:rFonts w:ascii="Garamond" w:hAnsi="Garamond"/>
          <w:i/>
          <w:lang w:val="en-AU"/>
        </w:rPr>
      </w:pPr>
      <w:r w:rsidRPr="00EF30EE">
        <w:rPr>
          <w:rFonts w:ascii="Garamond" w:hAnsi="Garamond"/>
          <w:i/>
          <w:lang w:val="en-AU"/>
        </w:rPr>
        <w:t>Challenges and opportunities from the Agency for Healthcare Research and Quality (AHRQ) research summit on improving diagnosis: a proceedings review</w:t>
      </w:r>
    </w:p>
    <w:p w:rsidR="00EF30EE" w:rsidRDefault="00EF30EE" w:rsidP="009F13C7">
      <w:pPr>
        <w:rPr>
          <w:rFonts w:ascii="Garamond" w:hAnsi="Garamond"/>
          <w:lang w:val="en-AU"/>
        </w:rPr>
      </w:pPr>
      <w:r w:rsidRPr="00EF30EE">
        <w:rPr>
          <w:rFonts w:ascii="Garamond" w:hAnsi="Garamond"/>
          <w:lang w:val="en-AU"/>
        </w:rPr>
        <w:t>Henriksen K, Dymek C, Harrison MI, Brady PJ, Arnold SB</w:t>
      </w:r>
    </w:p>
    <w:p w:rsidR="009F13C7" w:rsidRPr="00A45262" w:rsidRDefault="00EF30EE" w:rsidP="009F13C7">
      <w:pPr>
        <w:rPr>
          <w:rFonts w:ascii="Garamond" w:hAnsi="Garamond"/>
          <w:lang w:val="en-AU"/>
        </w:rPr>
      </w:pPr>
      <w:r w:rsidRPr="00EF30EE">
        <w:rPr>
          <w:rFonts w:ascii="Garamond" w:hAnsi="Garamond"/>
          <w:lang w:val="en-AU"/>
        </w:rPr>
        <w:t>Diagnosis. 2017;4(2):57-66.</w:t>
      </w:r>
    </w:p>
    <w:tbl>
      <w:tblPr>
        <w:tblStyle w:val="TableGrid"/>
        <w:tblW w:w="0" w:type="auto"/>
        <w:tblInd w:w="288" w:type="dxa"/>
        <w:tblLayout w:type="fixed"/>
        <w:tblLook w:val="01E0" w:firstRow="1" w:lastRow="1" w:firstColumn="1" w:lastColumn="1" w:noHBand="0" w:noVBand="0"/>
      </w:tblPr>
      <w:tblGrid>
        <w:gridCol w:w="1080"/>
        <w:gridCol w:w="8280"/>
      </w:tblGrid>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294BDB" w:rsidP="006F1986">
            <w:pPr>
              <w:rPr>
                <w:rStyle w:val="Hyperlink"/>
                <w:rFonts w:ascii="Garamond" w:hAnsi="Garamond"/>
                <w:color w:val="auto"/>
                <w:u w:val="none"/>
                <w:lang w:val="en-AU"/>
              </w:rPr>
            </w:pPr>
            <w:hyperlink r:id="rId22" w:history="1">
              <w:r w:rsidR="00EF30EE" w:rsidRPr="00C00064">
                <w:rPr>
                  <w:rStyle w:val="Hyperlink"/>
                  <w:rFonts w:ascii="Garamond" w:hAnsi="Garamond"/>
                  <w:lang w:val="en-AU"/>
                </w:rPr>
                <w:t>https://doi.org/10.1515/dx-2017-0016</w:t>
              </w:r>
            </w:hyperlink>
          </w:p>
        </w:tc>
      </w:tr>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EF30EE" w:rsidP="00725977">
            <w:pPr>
              <w:rPr>
                <w:rFonts w:ascii="Garamond" w:hAnsi="Garamond"/>
                <w:lang w:val="en-AU"/>
              </w:rPr>
            </w:pPr>
            <w:r>
              <w:rPr>
                <w:rFonts w:ascii="Garamond" w:hAnsi="Garamond"/>
                <w:lang w:val="en-AU"/>
              </w:rPr>
              <w:t xml:space="preserve">Issues around diagnosis, including diagnostic error, over-diagnosis, etc., have been rising in prominence in the last few years. This piece provides a review of a research summit on diagnosis that was convened by the (US) </w:t>
            </w:r>
            <w:r w:rsidRPr="00EF30EE">
              <w:rPr>
                <w:rFonts w:ascii="Garamond" w:hAnsi="Garamond"/>
                <w:lang w:val="en-AU"/>
              </w:rPr>
              <w:t>Agency for Healthcare Research and Quality</w:t>
            </w:r>
            <w:r>
              <w:rPr>
                <w:rFonts w:ascii="Garamond" w:hAnsi="Garamond"/>
                <w:lang w:val="en-AU"/>
              </w:rPr>
              <w:t>.</w:t>
            </w:r>
            <w:r w:rsidR="00725977">
              <w:rPr>
                <w:rFonts w:ascii="Garamond" w:hAnsi="Garamond"/>
                <w:lang w:val="en-AU"/>
              </w:rPr>
              <w:t xml:space="preserve"> </w:t>
            </w:r>
            <w:r w:rsidR="00725977" w:rsidRPr="00725977">
              <w:rPr>
                <w:rFonts w:ascii="Garamond" w:hAnsi="Garamond"/>
                <w:lang w:val="en-AU"/>
              </w:rPr>
              <w:t>T</w:t>
            </w:r>
            <w:r w:rsidR="00725977">
              <w:rPr>
                <w:rFonts w:ascii="Garamond" w:hAnsi="Garamond"/>
                <w:lang w:val="en-AU"/>
              </w:rPr>
              <w:t xml:space="preserve">opics covered include calls for rigorous </w:t>
            </w:r>
            <w:r w:rsidR="00725977" w:rsidRPr="00725977">
              <w:rPr>
                <w:rFonts w:ascii="Garamond" w:hAnsi="Garamond"/>
                <w:lang w:val="en-AU"/>
              </w:rPr>
              <w:t xml:space="preserve">definitions of diagnostic error, the role of technology in </w:t>
            </w:r>
            <w:r w:rsidR="00725977">
              <w:rPr>
                <w:rFonts w:ascii="Garamond" w:hAnsi="Garamond"/>
                <w:lang w:val="en-AU"/>
              </w:rPr>
              <w:t>diagnostic improvement, and organis</w:t>
            </w:r>
            <w:r w:rsidR="00725977" w:rsidRPr="00725977">
              <w:rPr>
                <w:rFonts w:ascii="Garamond" w:hAnsi="Garamond"/>
                <w:lang w:val="en-AU"/>
              </w:rPr>
              <w:t xml:space="preserve">ational factors that contribute to </w:t>
            </w:r>
            <w:r w:rsidR="00725977">
              <w:rPr>
                <w:rFonts w:ascii="Garamond" w:hAnsi="Garamond"/>
                <w:lang w:val="en-AU"/>
              </w:rPr>
              <w:t>issues with diagnoses</w:t>
            </w:r>
            <w:r w:rsidR="00725977" w:rsidRPr="00725977">
              <w:rPr>
                <w:rFonts w:ascii="Garamond" w:hAnsi="Garamond"/>
                <w:lang w:val="en-AU"/>
              </w:rPr>
              <w:t>.</w:t>
            </w:r>
          </w:p>
        </w:tc>
      </w:tr>
    </w:tbl>
    <w:p w:rsidR="009F13C7" w:rsidRDefault="009F13C7" w:rsidP="009F13C7">
      <w:pPr>
        <w:keepNext/>
        <w:rPr>
          <w:rFonts w:ascii="Garamond" w:hAnsi="Garamond"/>
          <w:lang w:val="en-AU"/>
        </w:rPr>
      </w:pPr>
    </w:p>
    <w:p w:rsidR="0060362A" w:rsidRDefault="0060362A">
      <w:pPr>
        <w:rPr>
          <w:rFonts w:ascii="Garamond" w:hAnsi="Garamond"/>
          <w:i/>
          <w:lang w:val="en-AU"/>
        </w:rPr>
      </w:pPr>
      <w:r>
        <w:rPr>
          <w:rFonts w:ascii="Garamond" w:hAnsi="Garamond"/>
          <w:i/>
          <w:lang w:val="en-AU"/>
        </w:rPr>
        <w:br w:type="page"/>
      </w:r>
    </w:p>
    <w:p w:rsidR="00725977" w:rsidRPr="003D0D32" w:rsidRDefault="00725977" w:rsidP="00725977">
      <w:pPr>
        <w:rPr>
          <w:rFonts w:ascii="Garamond" w:hAnsi="Garamond"/>
          <w:i/>
          <w:lang w:val="en-AU"/>
        </w:rPr>
      </w:pPr>
      <w:r w:rsidRPr="003D0D32">
        <w:rPr>
          <w:rFonts w:ascii="Garamond" w:hAnsi="Garamond"/>
          <w:i/>
          <w:lang w:val="en-AU"/>
        </w:rPr>
        <w:lastRenderedPageBreak/>
        <w:t>Does a checklist reduce the number of errors made in nurse-assembled discharge prescriptions?</w:t>
      </w:r>
    </w:p>
    <w:p w:rsidR="00725977" w:rsidRDefault="00725977" w:rsidP="00725977">
      <w:pPr>
        <w:rPr>
          <w:rFonts w:ascii="Garamond" w:hAnsi="Garamond"/>
          <w:lang w:val="en-AU"/>
        </w:rPr>
      </w:pPr>
      <w:r w:rsidRPr="003D0D32">
        <w:rPr>
          <w:rFonts w:ascii="Garamond" w:hAnsi="Garamond"/>
          <w:lang w:val="en-AU"/>
        </w:rPr>
        <w:t>Byrne C, Sierra H, Tolhurst R</w:t>
      </w:r>
    </w:p>
    <w:p w:rsidR="00725977" w:rsidRPr="00A45262" w:rsidRDefault="00725977" w:rsidP="00725977">
      <w:pPr>
        <w:rPr>
          <w:rFonts w:ascii="Garamond" w:hAnsi="Garamond"/>
          <w:lang w:val="en-AU"/>
        </w:rPr>
      </w:pPr>
      <w:r w:rsidRPr="003D0D32">
        <w:rPr>
          <w:rFonts w:ascii="Garamond" w:hAnsi="Garamond"/>
          <w:lang w:val="en-AU"/>
        </w:rPr>
        <w:t>British Journal of Nursing. 2017;26(8):464-7.</w:t>
      </w:r>
    </w:p>
    <w:tbl>
      <w:tblPr>
        <w:tblStyle w:val="TableGrid"/>
        <w:tblW w:w="0" w:type="auto"/>
        <w:tblInd w:w="288" w:type="dxa"/>
        <w:tblLayout w:type="fixed"/>
        <w:tblLook w:val="01E0" w:firstRow="1" w:lastRow="1" w:firstColumn="1" w:lastColumn="1" w:noHBand="0" w:noVBand="0"/>
      </w:tblPr>
      <w:tblGrid>
        <w:gridCol w:w="1080"/>
        <w:gridCol w:w="8280"/>
      </w:tblGrid>
      <w:tr w:rsidR="00725977" w:rsidRPr="00A45262" w:rsidTr="00A22EB6">
        <w:tc>
          <w:tcPr>
            <w:tcW w:w="1080" w:type="dxa"/>
            <w:tcBorders>
              <w:top w:val="single" w:sz="4" w:space="0" w:color="auto"/>
              <w:left w:val="single" w:sz="4" w:space="0" w:color="auto"/>
              <w:bottom w:val="single" w:sz="4" w:space="0" w:color="auto"/>
              <w:right w:val="single" w:sz="4" w:space="0" w:color="auto"/>
            </w:tcBorders>
            <w:vAlign w:val="center"/>
          </w:tcPr>
          <w:p w:rsidR="00725977" w:rsidRPr="00A45262" w:rsidRDefault="00725977" w:rsidP="00A22EB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25977" w:rsidRPr="00A45262" w:rsidRDefault="00294BDB" w:rsidP="00A22EB6">
            <w:pPr>
              <w:rPr>
                <w:rStyle w:val="Hyperlink"/>
                <w:rFonts w:ascii="Garamond" w:hAnsi="Garamond"/>
                <w:color w:val="auto"/>
                <w:u w:val="none"/>
                <w:lang w:val="en-AU"/>
              </w:rPr>
            </w:pPr>
            <w:hyperlink r:id="rId23" w:history="1">
              <w:r w:rsidR="00725977" w:rsidRPr="00C00064">
                <w:rPr>
                  <w:rStyle w:val="Hyperlink"/>
                  <w:rFonts w:ascii="Garamond" w:hAnsi="Garamond"/>
                  <w:lang w:val="en-AU"/>
                </w:rPr>
                <w:t>https://dx.doi.org/10.12968/bjon.2017.26.8.464</w:t>
              </w:r>
            </w:hyperlink>
          </w:p>
        </w:tc>
      </w:tr>
      <w:tr w:rsidR="00725977" w:rsidRPr="00A45262" w:rsidTr="00A22EB6">
        <w:tc>
          <w:tcPr>
            <w:tcW w:w="1080" w:type="dxa"/>
            <w:tcBorders>
              <w:top w:val="single" w:sz="4" w:space="0" w:color="auto"/>
              <w:left w:val="single" w:sz="4" w:space="0" w:color="auto"/>
              <w:bottom w:val="single" w:sz="4" w:space="0" w:color="auto"/>
              <w:right w:val="single" w:sz="4" w:space="0" w:color="auto"/>
            </w:tcBorders>
            <w:vAlign w:val="center"/>
          </w:tcPr>
          <w:p w:rsidR="00725977" w:rsidRPr="00A45262" w:rsidRDefault="00725977" w:rsidP="00A22EB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5977" w:rsidRPr="00A45262" w:rsidRDefault="00725977" w:rsidP="00A22EB6">
            <w:pPr>
              <w:rPr>
                <w:rFonts w:ascii="Garamond" w:hAnsi="Garamond"/>
                <w:lang w:val="en-AU"/>
              </w:rPr>
            </w:pPr>
            <w:r>
              <w:rPr>
                <w:rFonts w:ascii="Garamond" w:hAnsi="Garamond"/>
                <w:lang w:val="en-AU"/>
              </w:rPr>
              <w:t xml:space="preserve">Checklists have spread across many aspects of healthcare. This article looks at the introduction of </w:t>
            </w:r>
            <w:r w:rsidRPr="003D0D32">
              <w:rPr>
                <w:rFonts w:ascii="Garamond" w:hAnsi="Garamond"/>
                <w:lang w:val="en-AU"/>
              </w:rPr>
              <w:t xml:space="preserve">checklist to </w:t>
            </w:r>
            <w:r>
              <w:rPr>
                <w:rFonts w:ascii="Garamond" w:hAnsi="Garamond"/>
                <w:lang w:val="en-AU"/>
              </w:rPr>
              <w:t xml:space="preserve">aid </w:t>
            </w:r>
            <w:r w:rsidRPr="003D0D32">
              <w:rPr>
                <w:rFonts w:ascii="Garamond" w:hAnsi="Garamond"/>
                <w:lang w:val="en-AU"/>
              </w:rPr>
              <w:t xml:space="preserve">nurses </w:t>
            </w:r>
            <w:r>
              <w:rPr>
                <w:rFonts w:ascii="Garamond" w:hAnsi="Garamond"/>
                <w:lang w:val="en-AU"/>
              </w:rPr>
              <w:t xml:space="preserve">preparing medications for patients being discharged. The paper reports that the </w:t>
            </w:r>
            <w:r w:rsidRPr="003D0D32">
              <w:rPr>
                <w:rFonts w:ascii="Garamond" w:hAnsi="Garamond"/>
                <w:b/>
                <w:lang w:val="en-AU"/>
              </w:rPr>
              <w:t>checklist</w:t>
            </w:r>
            <w:r>
              <w:rPr>
                <w:rFonts w:ascii="Garamond" w:hAnsi="Garamond"/>
                <w:lang w:val="en-AU"/>
              </w:rPr>
              <w:t xml:space="preserve"> was associated with a </w:t>
            </w:r>
            <w:r w:rsidRPr="003D0D32">
              <w:rPr>
                <w:rFonts w:ascii="Garamond" w:hAnsi="Garamond"/>
                <w:b/>
                <w:lang w:val="en-AU"/>
              </w:rPr>
              <w:t>reduction in errors</w:t>
            </w:r>
            <w:r w:rsidRPr="003D0D32">
              <w:rPr>
                <w:rFonts w:ascii="Garamond" w:hAnsi="Garamond"/>
                <w:lang w:val="en-AU"/>
              </w:rPr>
              <w:t>.</w:t>
            </w:r>
            <w:r>
              <w:rPr>
                <w:rFonts w:ascii="Garamond" w:hAnsi="Garamond"/>
                <w:lang w:val="en-AU"/>
              </w:rPr>
              <w:t xml:space="preserve"> This was a relatively small study and it would be useful to know more about the sustainability and longer term efficacy of the intervention.</w:t>
            </w:r>
          </w:p>
        </w:tc>
      </w:tr>
    </w:tbl>
    <w:p w:rsidR="00725977" w:rsidRDefault="00725977" w:rsidP="00725977">
      <w:pPr>
        <w:keepNext/>
        <w:rPr>
          <w:rFonts w:ascii="Garamond" w:hAnsi="Garamond"/>
          <w:lang w:val="en-AU"/>
        </w:rPr>
      </w:pPr>
    </w:p>
    <w:p w:rsidR="008D743C" w:rsidRPr="003D0D32" w:rsidRDefault="008D743C" w:rsidP="008D743C">
      <w:pPr>
        <w:rPr>
          <w:rFonts w:ascii="Garamond" w:hAnsi="Garamond"/>
          <w:i/>
          <w:lang w:val="en-AU"/>
        </w:rPr>
      </w:pPr>
      <w:r w:rsidRPr="003D0D32">
        <w:rPr>
          <w:rFonts w:ascii="Garamond" w:hAnsi="Garamond"/>
          <w:i/>
          <w:lang w:val="en-AU"/>
        </w:rPr>
        <w:t>Tools and methods for quality improvement and patient safety in perinatal care</w:t>
      </w:r>
    </w:p>
    <w:p w:rsidR="008D743C" w:rsidRDefault="008D743C" w:rsidP="008D743C">
      <w:pPr>
        <w:rPr>
          <w:rFonts w:ascii="Garamond" w:hAnsi="Garamond"/>
          <w:lang w:val="en-AU"/>
        </w:rPr>
      </w:pPr>
      <w:r w:rsidRPr="003D0D32">
        <w:rPr>
          <w:rFonts w:ascii="Garamond" w:hAnsi="Garamond"/>
          <w:lang w:val="en-AU"/>
        </w:rPr>
        <w:t>Nathan AT, Kaplan HC</w:t>
      </w:r>
    </w:p>
    <w:p w:rsidR="008D743C" w:rsidRPr="00A45262" w:rsidRDefault="008D743C" w:rsidP="008D743C">
      <w:pPr>
        <w:rPr>
          <w:rFonts w:ascii="Garamond" w:hAnsi="Garamond"/>
          <w:lang w:val="en-AU"/>
        </w:rPr>
      </w:pPr>
      <w:r w:rsidRPr="003D0D32">
        <w:rPr>
          <w:rFonts w:ascii="Garamond" w:hAnsi="Garamond"/>
          <w:lang w:val="en-AU"/>
        </w:rPr>
        <w:t>Seminars in Perinatology. 2017.</w:t>
      </w:r>
    </w:p>
    <w:tbl>
      <w:tblPr>
        <w:tblStyle w:val="TableGrid"/>
        <w:tblW w:w="0" w:type="auto"/>
        <w:tblInd w:w="288" w:type="dxa"/>
        <w:tblLayout w:type="fixed"/>
        <w:tblLook w:val="01E0" w:firstRow="1" w:lastRow="1" w:firstColumn="1" w:lastColumn="1" w:noHBand="0" w:noVBand="0"/>
      </w:tblPr>
      <w:tblGrid>
        <w:gridCol w:w="1080"/>
        <w:gridCol w:w="8280"/>
      </w:tblGrid>
      <w:tr w:rsidR="008D743C" w:rsidRPr="00A45262" w:rsidTr="00A22EB6">
        <w:tc>
          <w:tcPr>
            <w:tcW w:w="1080" w:type="dxa"/>
            <w:tcBorders>
              <w:top w:val="single" w:sz="4" w:space="0" w:color="auto"/>
              <w:left w:val="single" w:sz="4" w:space="0" w:color="auto"/>
              <w:bottom w:val="single" w:sz="4" w:space="0" w:color="auto"/>
              <w:right w:val="single" w:sz="4" w:space="0" w:color="auto"/>
            </w:tcBorders>
            <w:vAlign w:val="center"/>
          </w:tcPr>
          <w:p w:rsidR="008D743C" w:rsidRPr="00A45262" w:rsidRDefault="008D743C" w:rsidP="00A22EB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D743C" w:rsidRPr="00A45262" w:rsidRDefault="00294BDB" w:rsidP="00A22EB6">
            <w:pPr>
              <w:rPr>
                <w:rStyle w:val="Hyperlink"/>
                <w:rFonts w:ascii="Garamond" w:hAnsi="Garamond"/>
                <w:color w:val="auto"/>
                <w:u w:val="none"/>
                <w:lang w:val="en-AU"/>
              </w:rPr>
            </w:pPr>
            <w:hyperlink r:id="rId24" w:history="1">
              <w:r w:rsidR="008D743C" w:rsidRPr="00C00064">
                <w:rPr>
                  <w:rStyle w:val="Hyperlink"/>
                  <w:rFonts w:ascii="Garamond" w:hAnsi="Garamond"/>
                  <w:lang w:val="en-AU"/>
                </w:rPr>
                <w:t>https://doi.org/10.1053/j.semperi.2017.03.002</w:t>
              </w:r>
            </w:hyperlink>
          </w:p>
        </w:tc>
      </w:tr>
      <w:tr w:rsidR="008D743C" w:rsidRPr="00A45262" w:rsidTr="00A22EB6">
        <w:tc>
          <w:tcPr>
            <w:tcW w:w="1080" w:type="dxa"/>
            <w:tcBorders>
              <w:top w:val="single" w:sz="4" w:space="0" w:color="auto"/>
              <w:left w:val="single" w:sz="4" w:space="0" w:color="auto"/>
              <w:bottom w:val="single" w:sz="4" w:space="0" w:color="auto"/>
              <w:right w:val="single" w:sz="4" w:space="0" w:color="auto"/>
            </w:tcBorders>
            <w:vAlign w:val="center"/>
          </w:tcPr>
          <w:p w:rsidR="008D743C" w:rsidRPr="00A45262" w:rsidRDefault="008D743C" w:rsidP="00A22EB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D743C" w:rsidRPr="00A45262" w:rsidRDefault="008D743C" w:rsidP="00A22EB6">
            <w:pPr>
              <w:rPr>
                <w:rFonts w:ascii="Garamond" w:hAnsi="Garamond"/>
                <w:lang w:val="en-AU"/>
              </w:rPr>
            </w:pPr>
            <w:r>
              <w:rPr>
                <w:rFonts w:ascii="Garamond" w:hAnsi="Garamond"/>
                <w:lang w:val="en-AU"/>
              </w:rPr>
              <w:t>Safety and quality efforts can be applied at various scales. Context is always an important consideration for the transferability and scalability. Consequently such efforts need to be tailored for the context. This paper describes some of the approaches that may be considered in the realm of perinatal care. This is more about the model for improvement and QI tools than specific interventions.</w:t>
            </w:r>
          </w:p>
        </w:tc>
      </w:tr>
    </w:tbl>
    <w:p w:rsidR="008D743C" w:rsidRDefault="008D743C" w:rsidP="008D743C">
      <w:pPr>
        <w:keepNext/>
        <w:rPr>
          <w:rFonts w:ascii="Garamond" w:hAnsi="Garamond"/>
          <w:lang w:val="en-AU"/>
        </w:rPr>
      </w:pPr>
    </w:p>
    <w:p w:rsidR="00461D41" w:rsidRPr="00461D41" w:rsidRDefault="00461D41" w:rsidP="00461D41">
      <w:pPr>
        <w:rPr>
          <w:rFonts w:ascii="Garamond" w:hAnsi="Garamond"/>
          <w:i/>
          <w:lang w:val="en-AU"/>
        </w:rPr>
      </w:pPr>
      <w:r w:rsidRPr="00461D41">
        <w:rPr>
          <w:rFonts w:ascii="Garamond" w:hAnsi="Garamond"/>
          <w:i/>
          <w:lang w:val="en-AU"/>
        </w:rPr>
        <w:t>Healthcare Policy</w:t>
      </w:r>
    </w:p>
    <w:p w:rsidR="00461D41" w:rsidRPr="00A45262" w:rsidRDefault="00461D41" w:rsidP="00461D41">
      <w:pPr>
        <w:rPr>
          <w:rFonts w:ascii="Garamond" w:hAnsi="Garamond"/>
          <w:lang w:val="en-AU"/>
        </w:rPr>
      </w:pPr>
      <w:r w:rsidRPr="00461D41">
        <w:rPr>
          <w:rFonts w:ascii="Garamond" w:hAnsi="Garamond"/>
          <w:lang w:val="en-AU"/>
        </w:rPr>
        <w:t>Vol. 12 No. 4, 2017</w:t>
      </w:r>
    </w:p>
    <w:tbl>
      <w:tblPr>
        <w:tblStyle w:val="TableGrid"/>
        <w:tblW w:w="0" w:type="auto"/>
        <w:tblInd w:w="288" w:type="dxa"/>
        <w:tblLayout w:type="fixed"/>
        <w:tblLook w:val="01E0" w:firstRow="1" w:lastRow="1" w:firstColumn="1" w:lastColumn="1" w:noHBand="0" w:noVBand="0"/>
      </w:tblPr>
      <w:tblGrid>
        <w:gridCol w:w="1080"/>
        <w:gridCol w:w="8280"/>
      </w:tblGrid>
      <w:tr w:rsidR="00461D41" w:rsidRPr="00A45262" w:rsidTr="00A22EB6">
        <w:tc>
          <w:tcPr>
            <w:tcW w:w="1080" w:type="dxa"/>
            <w:tcBorders>
              <w:top w:val="single" w:sz="4" w:space="0" w:color="auto"/>
              <w:left w:val="single" w:sz="4" w:space="0" w:color="auto"/>
              <w:bottom w:val="single" w:sz="4" w:space="0" w:color="auto"/>
              <w:right w:val="single" w:sz="4" w:space="0" w:color="auto"/>
            </w:tcBorders>
            <w:vAlign w:val="center"/>
          </w:tcPr>
          <w:p w:rsidR="00461D41" w:rsidRPr="00A45262" w:rsidRDefault="00461D41" w:rsidP="00A22EB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61D41" w:rsidRPr="00A45262" w:rsidRDefault="00294BDB" w:rsidP="00A22EB6">
            <w:pPr>
              <w:rPr>
                <w:rStyle w:val="Hyperlink"/>
                <w:rFonts w:ascii="Garamond" w:hAnsi="Garamond"/>
                <w:color w:val="auto"/>
                <w:u w:val="none"/>
                <w:lang w:val="en-AU"/>
              </w:rPr>
            </w:pPr>
            <w:hyperlink r:id="rId25" w:history="1">
              <w:r w:rsidR="00461D41" w:rsidRPr="00C00064">
                <w:rPr>
                  <w:rStyle w:val="Hyperlink"/>
                  <w:rFonts w:ascii="Garamond" w:hAnsi="Garamond"/>
                  <w:lang w:val="en-AU"/>
                </w:rPr>
                <w:t>http://www.longwoods.com/publications/healthcare-policy/25096</w:t>
              </w:r>
            </w:hyperlink>
          </w:p>
        </w:tc>
      </w:tr>
      <w:tr w:rsidR="00461D41" w:rsidRPr="00A45262" w:rsidTr="00A22EB6">
        <w:tc>
          <w:tcPr>
            <w:tcW w:w="1080" w:type="dxa"/>
            <w:tcBorders>
              <w:top w:val="single" w:sz="4" w:space="0" w:color="auto"/>
              <w:left w:val="single" w:sz="4" w:space="0" w:color="auto"/>
              <w:bottom w:val="single" w:sz="4" w:space="0" w:color="auto"/>
              <w:right w:val="single" w:sz="4" w:space="0" w:color="auto"/>
            </w:tcBorders>
            <w:vAlign w:val="center"/>
          </w:tcPr>
          <w:p w:rsidR="00461D41" w:rsidRPr="00A45262" w:rsidRDefault="00461D41" w:rsidP="00A22EB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61D41" w:rsidRDefault="00461D41" w:rsidP="00461D41">
            <w:pPr>
              <w:rPr>
                <w:rFonts w:ascii="Garamond" w:hAnsi="Garamond"/>
                <w:lang w:val="en-AU"/>
              </w:rPr>
            </w:pPr>
            <w:r w:rsidRPr="007763A6">
              <w:rPr>
                <w:rFonts w:ascii="Garamond" w:hAnsi="Garamond"/>
                <w:lang w:val="en-AU"/>
              </w:rPr>
              <w:t xml:space="preserve">A new issue of </w:t>
            </w:r>
            <w:r w:rsidRPr="00461D41">
              <w:rPr>
                <w:rFonts w:ascii="Garamond" w:hAnsi="Garamond"/>
                <w:i/>
                <w:lang w:val="en-AU"/>
              </w:rPr>
              <w:t>Healthcare Policy</w:t>
            </w:r>
            <w:r w:rsidRPr="007763A6">
              <w:rPr>
                <w:rFonts w:ascii="Garamond" w:hAnsi="Garamond"/>
                <w:lang w:val="en-AU"/>
              </w:rPr>
              <w:t xml:space="preserve"> has been published. Articles in this issue of </w:t>
            </w:r>
            <w:r w:rsidRPr="00461D41">
              <w:rPr>
                <w:rFonts w:ascii="Garamond" w:hAnsi="Garamond"/>
                <w:i/>
                <w:lang w:val="en-AU"/>
              </w:rPr>
              <w:t>Healthcare Policy</w:t>
            </w:r>
            <w:r w:rsidRPr="007763A6">
              <w:rPr>
                <w:rFonts w:ascii="Garamond" w:hAnsi="Garamond"/>
                <w:lang w:val="en-AU"/>
              </w:rPr>
              <w:t xml:space="preserve"> include:</w:t>
            </w:r>
          </w:p>
          <w:p w:rsidR="00461D41" w:rsidRPr="00461D41" w:rsidRDefault="00461D41" w:rsidP="00461D41">
            <w:pPr>
              <w:pStyle w:val="ListParagraph"/>
              <w:numPr>
                <w:ilvl w:val="0"/>
                <w:numId w:val="33"/>
              </w:numPr>
              <w:rPr>
                <w:rFonts w:ascii="Garamond" w:hAnsi="Garamond"/>
                <w:lang w:val="en-AU"/>
              </w:rPr>
            </w:pPr>
            <w:r w:rsidRPr="00461D41">
              <w:rPr>
                <w:rFonts w:ascii="Garamond" w:hAnsi="Garamond"/>
                <w:lang w:val="en-AU"/>
              </w:rPr>
              <w:t xml:space="preserve">The Sociopolitical Context of Canada's </w:t>
            </w:r>
            <w:r w:rsidRPr="00461D41">
              <w:rPr>
                <w:rFonts w:ascii="Garamond" w:hAnsi="Garamond"/>
                <w:b/>
                <w:lang w:val="en-AU"/>
              </w:rPr>
              <w:t>National Standard for Psychological Health and Safety in the Workplace</w:t>
            </w:r>
            <w:r w:rsidRPr="00461D41">
              <w:rPr>
                <w:rFonts w:ascii="Garamond" w:hAnsi="Garamond"/>
                <w:lang w:val="en-AU"/>
              </w:rPr>
              <w:t>: Navigating Policy Implementation (Cindy Malachowski, Bonnie Kirsh and Ellen McEachen</w:t>
            </w:r>
            <w:r>
              <w:rPr>
                <w:rFonts w:ascii="Garamond" w:hAnsi="Garamond"/>
                <w:lang w:val="en-AU"/>
              </w:rPr>
              <w:t>)</w:t>
            </w:r>
          </w:p>
          <w:p w:rsidR="00461D41" w:rsidRPr="00461D41" w:rsidRDefault="00461D41" w:rsidP="00461D41">
            <w:pPr>
              <w:pStyle w:val="ListParagraph"/>
              <w:numPr>
                <w:ilvl w:val="0"/>
                <w:numId w:val="33"/>
              </w:numPr>
              <w:rPr>
                <w:rFonts w:ascii="Garamond" w:hAnsi="Garamond"/>
                <w:lang w:val="en-AU"/>
              </w:rPr>
            </w:pPr>
            <w:r w:rsidRPr="00461D41">
              <w:rPr>
                <w:rFonts w:ascii="Garamond" w:hAnsi="Garamond"/>
                <w:lang w:val="en-AU"/>
              </w:rPr>
              <w:t xml:space="preserve">What Do We Know and Not Know about the </w:t>
            </w:r>
            <w:r w:rsidRPr="00461D41">
              <w:rPr>
                <w:rFonts w:ascii="Garamond" w:hAnsi="Garamond"/>
                <w:b/>
                <w:lang w:val="en-AU"/>
              </w:rPr>
              <w:t>Professional Integration of International Medical Graduates</w:t>
            </w:r>
            <w:r w:rsidRPr="00461D41">
              <w:rPr>
                <w:rFonts w:ascii="Garamond" w:hAnsi="Garamond"/>
                <w:lang w:val="en-AU"/>
              </w:rPr>
              <w:t xml:space="preserve"> (IMGs) in Canada? (Elena Neiterman, Ivy Lynn Bourgeault and Christine L Covell</w:t>
            </w:r>
            <w:r>
              <w:rPr>
                <w:rFonts w:ascii="Garamond" w:hAnsi="Garamond"/>
                <w:lang w:val="en-AU"/>
              </w:rPr>
              <w:t>)</w:t>
            </w:r>
          </w:p>
          <w:p w:rsidR="00461D41" w:rsidRPr="00461D41" w:rsidRDefault="00461D41" w:rsidP="00461D41">
            <w:pPr>
              <w:pStyle w:val="ListParagraph"/>
              <w:numPr>
                <w:ilvl w:val="0"/>
                <w:numId w:val="33"/>
              </w:numPr>
              <w:rPr>
                <w:rFonts w:ascii="Garamond" w:hAnsi="Garamond"/>
                <w:lang w:val="en-AU"/>
              </w:rPr>
            </w:pPr>
            <w:r w:rsidRPr="00461D41">
              <w:rPr>
                <w:rFonts w:ascii="Garamond" w:hAnsi="Garamond"/>
                <w:lang w:val="en-AU"/>
              </w:rPr>
              <w:t xml:space="preserve">Retention Patterns of Canadians Who Studied Medicine Abroad and Other </w:t>
            </w:r>
            <w:r w:rsidRPr="00F035D6">
              <w:rPr>
                <w:rFonts w:ascii="Garamond" w:hAnsi="Garamond"/>
                <w:b/>
                <w:lang w:val="en-AU"/>
              </w:rPr>
              <w:t>International Medical Graduates</w:t>
            </w:r>
            <w:r w:rsidRPr="00461D41">
              <w:rPr>
                <w:rFonts w:ascii="Garamond" w:hAnsi="Garamond"/>
                <w:lang w:val="en-AU"/>
              </w:rPr>
              <w:t xml:space="preserve"> (Maria Mathews, Rima Kandar, Steve Slade, Yanqing Yi and Ivy Lynn Bourgeault</w:t>
            </w:r>
            <w:r>
              <w:rPr>
                <w:rFonts w:ascii="Garamond" w:hAnsi="Garamond"/>
                <w:lang w:val="en-AU"/>
              </w:rPr>
              <w:t>)</w:t>
            </w:r>
          </w:p>
          <w:p w:rsidR="00461D41" w:rsidRPr="00461D41" w:rsidRDefault="00461D41" w:rsidP="00461D41">
            <w:pPr>
              <w:pStyle w:val="ListParagraph"/>
              <w:numPr>
                <w:ilvl w:val="0"/>
                <w:numId w:val="33"/>
              </w:numPr>
              <w:rPr>
                <w:rFonts w:ascii="Garamond" w:hAnsi="Garamond"/>
                <w:lang w:val="en-AU"/>
              </w:rPr>
            </w:pPr>
            <w:r w:rsidRPr="00461D41">
              <w:rPr>
                <w:rFonts w:ascii="Garamond" w:hAnsi="Garamond"/>
                <w:lang w:val="en-AU"/>
              </w:rPr>
              <w:t xml:space="preserve">Reforming </w:t>
            </w:r>
            <w:r w:rsidRPr="00F035D6">
              <w:rPr>
                <w:rFonts w:ascii="Garamond" w:hAnsi="Garamond"/>
                <w:b/>
                <w:lang w:val="en-AU"/>
              </w:rPr>
              <w:t>Refugee Healthcare</w:t>
            </w:r>
            <w:r w:rsidRPr="00461D41">
              <w:rPr>
                <w:rFonts w:ascii="Garamond" w:hAnsi="Garamond"/>
                <w:lang w:val="en-AU"/>
              </w:rPr>
              <w:t xml:space="preserve"> in Canada: Exploring the Use of Policy Tools (Ethan Holtzer, Alicia Moore-Dean, A Srikanthan and K Kuluski</w:t>
            </w:r>
            <w:r>
              <w:rPr>
                <w:rFonts w:ascii="Garamond" w:hAnsi="Garamond"/>
                <w:lang w:val="en-AU"/>
              </w:rPr>
              <w:t>)</w:t>
            </w:r>
          </w:p>
          <w:p w:rsidR="00461D41" w:rsidRPr="00461D41" w:rsidRDefault="00461D41" w:rsidP="00461D41">
            <w:pPr>
              <w:pStyle w:val="ListParagraph"/>
              <w:numPr>
                <w:ilvl w:val="0"/>
                <w:numId w:val="33"/>
              </w:numPr>
              <w:rPr>
                <w:rFonts w:ascii="Garamond" w:hAnsi="Garamond"/>
                <w:lang w:val="en-AU"/>
              </w:rPr>
            </w:pPr>
            <w:r w:rsidRPr="00F035D6">
              <w:rPr>
                <w:rFonts w:ascii="Garamond" w:hAnsi="Garamond"/>
                <w:b/>
                <w:lang w:val="en-AU"/>
              </w:rPr>
              <w:t>Public Health Policy</w:t>
            </w:r>
            <w:r w:rsidRPr="00461D41">
              <w:rPr>
                <w:rFonts w:ascii="Garamond" w:hAnsi="Garamond"/>
                <w:lang w:val="en-AU"/>
              </w:rPr>
              <w:t xml:space="preserve"> in Support of Insurance Coverage for </w:t>
            </w:r>
            <w:r w:rsidRPr="00F035D6">
              <w:rPr>
                <w:rFonts w:ascii="Garamond" w:hAnsi="Garamond"/>
                <w:b/>
                <w:lang w:val="en-AU"/>
              </w:rPr>
              <w:t>Smoking Cessation Treatment</w:t>
            </w:r>
            <w:r w:rsidRPr="00461D41">
              <w:rPr>
                <w:rFonts w:ascii="Garamond" w:hAnsi="Garamond"/>
                <w:lang w:val="en-AU"/>
              </w:rPr>
              <w:t xml:space="preserve"> (Robert Schwartz, Farzana Haji, Alexey Babayan, Christopher Longo and Roberta Ferrence</w:t>
            </w:r>
            <w:r>
              <w:rPr>
                <w:rFonts w:ascii="Garamond" w:hAnsi="Garamond"/>
                <w:lang w:val="en-AU"/>
              </w:rPr>
              <w:t>)</w:t>
            </w:r>
          </w:p>
          <w:p w:rsidR="00461D41" w:rsidRPr="00461D41" w:rsidRDefault="00461D41" w:rsidP="00461D41">
            <w:pPr>
              <w:pStyle w:val="ListParagraph"/>
              <w:numPr>
                <w:ilvl w:val="0"/>
                <w:numId w:val="33"/>
              </w:numPr>
              <w:rPr>
                <w:rFonts w:ascii="Garamond" w:hAnsi="Garamond"/>
                <w:lang w:val="en-AU"/>
              </w:rPr>
            </w:pPr>
            <w:r w:rsidRPr="00F035D6">
              <w:rPr>
                <w:rFonts w:ascii="Garamond" w:hAnsi="Garamond"/>
                <w:b/>
                <w:lang w:val="en-AU"/>
              </w:rPr>
              <w:t>Bifurcation of Health Policy Regimes</w:t>
            </w:r>
            <w:r w:rsidRPr="00461D41">
              <w:rPr>
                <w:rFonts w:ascii="Garamond" w:hAnsi="Garamond"/>
                <w:lang w:val="en-AU"/>
              </w:rPr>
              <w:t>: A Study of Sleep Apnea Care and Benefits Coverage in Saskatchewan (Gregory P. Marchildon, Caroline A. Beck, Tarun R. Katapally, Sylvia Abonyi, James A. Dosman and Jo-Ann Episkenew</w:t>
            </w:r>
            <w:r>
              <w:rPr>
                <w:rFonts w:ascii="Garamond" w:hAnsi="Garamond"/>
                <w:lang w:val="en-AU"/>
              </w:rPr>
              <w:t>)</w:t>
            </w:r>
          </w:p>
        </w:tc>
      </w:tr>
    </w:tbl>
    <w:p w:rsidR="008C6F66" w:rsidRPr="00A45262" w:rsidRDefault="008C6F66" w:rsidP="008C6F66">
      <w:pPr>
        <w:keepNext/>
        <w:rPr>
          <w:rFonts w:ascii="Garamond" w:hAnsi="Garamond"/>
          <w:lang w:val="en-AU"/>
        </w:rPr>
      </w:pPr>
      <w:r w:rsidRPr="00A45262">
        <w:rPr>
          <w:rFonts w:ascii="Garamond" w:hAnsi="Garamond"/>
          <w:i/>
          <w:lang w:val="en-AU"/>
        </w:rPr>
        <w:lastRenderedPageBreak/>
        <w:t xml:space="preserve">BMJ Quality and Safety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C6F66" w:rsidRPr="00A45262" w:rsidTr="00F22EB9">
        <w:trPr>
          <w:cantSplit/>
        </w:trPr>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F37416">
            <w:pPr>
              <w:keepNext/>
              <w:rPr>
                <w:rFonts w:ascii="Garamond" w:hAnsi="Garamond"/>
                <w:lang w:val="en-AU"/>
              </w:rPr>
            </w:pPr>
            <w:r w:rsidRPr="00A45262">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A45262" w:rsidRDefault="00294BDB" w:rsidP="00F37416">
            <w:pPr>
              <w:keepNext/>
              <w:rPr>
                <w:rFonts w:ascii="Garamond" w:hAnsi="Garamond"/>
                <w:lang w:val="en-AU"/>
              </w:rPr>
            </w:pPr>
            <w:hyperlink r:id="rId26" w:history="1">
              <w:r w:rsidR="003139A9" w:rsidRPr="00D67EE9">
                <w:rPr>
                  <w:rStyle w:val="Hyperlink"/>
                  <w:rFonts w:ascii="Garamond" w:hAnsi="Garamond"/>
                  <w:lang w:val="en-AU"/>
                </w:rPr>
                <w:t>https://qualitysafety.bmj.com/content/early/recent</w:t>
              </w:r>
            </w:hyperlink>
          </w:p>
        </w:tc>
      </w:tr>
      <w:tr w:rsidR="008C6F66" w:rsidRPr="00A45262" w:rsidTr="00F22EB9">
        <w:trPr>
          <w:cantSplit/>
        </w:trPr>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F37416">
            <w:pPr>
              <w:rPr>
                <w:rFonts w:ascii="Garamond" w:hAnsi="Garamond"/>
                <w:lang w:val="en-AU"/>
              </w:rPr>
            </w:pPr>
            <w:r w:rsidRPr="00A45262">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8C6F66" w:rsidRPr="00A45262" w:rsidRDefault="008C6F66" w:rsidP="00F22EB9">
            <w:pPr>
              <w:rPr>
                <w:rFonts w:ascii="Garamond" w:hAnsi="Garamond"/>
                <w:lang w:val="en-AU"/>
              </w:rPr>
            </w:pPr>
            <w:r w:rsidRPr="00A45262">
              <w:rPr>
                <w:rFonts w:ascii="Garamond" w:hAnsi="Garamond"/>
                <w:i/>
                <w:lang w:val="en-AU"/>
              </w:rPr>
              <w:t>BMJ Quality and Safety</w:t>
            </w:r>
            <w:r w:rsidRPr="00A45262">
              <w:rPr>
                <w:rFonts w:ascii="Garamond" w:hAnsi="Garamond"/>
                <w:lang w:val="en-AU"/>
              </w:rPr>
              <w:t xml:space="preserve"> has published a number of ‘online first’ articles, including:</w:t>
            </w:r>
          </w:p>
          <w:p w:rsidR="00FC6850" w:rsidRPr="00FC6850" w:rsidRDefault="00FC6850" w:rsidP="00FC6850">
            <w:pPr>
              <w:pStyle w:val="ListParagraph"/>
              <w:numPr>
                <w:ilvl w:val="0"/>
                <w:numId w:val="14"/>
              </w:numPr>
              <w:rPr>
                <w:rFonts w:ascii="Garamond" w:hAnsi="Garamond"/>
                <w:lang w:val="en-AU"/>
              </w:rPr>
            </w:pPr>
            <w:r w:rsidRPr="00FC6850">
              <w:rPr>
                <w:rFonts w:ascii="Garamond" w:hAnsi="Garamond"/>
                <w:lang w:val="en-AU"/>
              </w:rPr>
              <w:t xml:space="preserve">Editorial: </w:t>
            </w:r>
            <w:r w:rsidRPr="00FC6850">
              <w:rPr>
                <w:rFonts w:ascii="Garamond" w:hAnsi="Garamond"/>
                <w:b/>
                <w:lang w:val="en-AU"/>
              </w:rPr>
              <w:t>Preventing hospital readmissions</w:t>
            </w:r>
            <w:r w:rsidRPr="00FC6850">
              <w:rPr>
                <w:rFonts w:ascii="Garamond" w:hAnsi="Garamond"/>
                <w:lang w:val="en-AU"/>
              </w:rPr>
              <w:t>: the importance of considering ‘impactibility,’ not just predicted risk (</w:t>
            </w:r>
            <w:r>
              <w:rPr>
                <w:rFonts w:ascii="Garamond" w:hAnsi="Garamond"/>
                <w:lang w:val="en-AU"/>
              </w:rPr>
              <w:t>Adam Steventon, John Billings)</w:t>
            </w:r>
          </w:p>
          <w:p w:rsidR="00FC6850" w:rsidRPr="00FC6850" w:rsidRDefault="00FC6850" w:rsidP="00FC6850">
            <w:pPr>
              <w:pStyle w:val="ListParagraph"/>
              <w:numPr>
                <w:ilvl w:val="0"/>
                <w:numId w:val="14"/>
              </w:numPr>
              <w:rPr>
                <w:rFonts w:ascii="Garamond" w:hAnsi="Garamond"/>
                <w:lang w:val="en-AU"/>
              </w:rPr>
            </w:pPr>
            <w:r w:rsidRPr="00FC6850">
              <w:rPr>
                <w:rFonts w:ascii="Garamond" w:hAnsi="Garamond"/>
                <w:lang w:val="en-AU"/>
              </w:rPr>
              <w:t xml:space="preserve">Advancing </w:t>
            </w:r>
            <w:r w:rsidRPr="00FC6850">
              <w:rPr>
                <w:rFonts w:ascii="Garamond" w:hAnsi="Garamond"/>
                <w:b/>
                <w:lang w:val="en-AU"/>
              </w:rPr>
              <w:t xml:space="preserve">infection prevention </w:t>
            </w:r>
            <w:r w:rsidRPr="00FC6850">
              <w:rPr>
                <w:rFonts w:ascii="Garamond" w:hAnsi="Garamond"/>
                <w:lang w:val="en-AU"/>
              </w:rPr>
              <w:t>and</w:t>
            </w:r>
            <w:r w:rsidRPr="00FC6850">
              <w:rPr>
                <w:rFonts w:ascii="Garamond" w:hAnsi="Garamond"/>
                <w:b/>
                <w:lang w:val="en-AU"/>
              </w:rPr>
              <w:t xml:space="preserve"> antimicrobial stewardship</w:t>
            </w:r>
            <w:r w:rsidRPr="00FC6850">
              <w:rPr>
                <w:rFonts w:ascii="Garamond" w:hAnsi="Garamond"/>
                <w:lang w:val="en-AU"/>
              </w:rPr>
              <w:t xml:space="preserve"> through improvement science (Jerome A Leis</w:t>
            </w:r>
            <w:r>
              <w:rPr>
                <w:rFonts w:ascii="Garamond" w:hAnsi="Garamond"/>
                <w:lang w:val="en-AU"/>
              </w:rPr>
              <w:t>)</w:t>
            </w:r>
          </w:p>
          <w:p w:rsidR="0052176B" w:rsidRPr="0052176B" w:rsidRDefault="0052176B" w:rsidP="0052176B">
            <w:pPr>
              <w:pStyle w:val="ListParagraph"/>
              <w:numPr>
                <w:ilvl w:val="0"/>
                <w:numId w:val="14"/>
              </w:numPr>
              <w:rPr>
                <w:rFonts w:ascii="Garamond" w:hAnsi="Garamond"/>
                <w:lang w:val="en-AU"/>
              </w:rPr>
            </w:pPr>
            <w:r w:rsidRPr="0052176B">
              <w:rPr>
                <w:rFonts w:ascii="Garamond" w:hAnsi="Garamond"/>
                <w:lang w:val="en-AU"/>
              </w:rPr>
              <w:t xml:space="preserve">International comparison of </w:t>
            </w:r>
            <w:r w:rsidRPr="0052176B">
              <w:rPr>
                <w:rFonts w:ascii="Garamond" w:hAnsi="Garamond"/>
                <w:b/>
                <w:lang w:val="en-AU"/>
              </w:rPr>
              <w:t>emergency hospital use for infants</w:t>
            </w:r>
            <w:r w:rsidRPr="0052176B">
              <w:rPr>
                <w:rFonts w:ascii="Garamond" w:hAnsi="Garamond"/>
                <w:lang w:val="en-AU"/>
              </w:rPr>
              <w:t>: data linkage cohort study in Canada and England (Katie Harron, Ruth Gilbert, David Cromwell, Sam Oddie, Astrid Guttmann, Jan van der Meulen</w:t>
            </w:r>
            <w:r>
              <w:rPr>
                <w:rFonts w:ascii="Garamond" w:hAnsi="Garamond"/>
                <w:lang w:val="en-AU"/>
              </w:rPr>
              <w:t>)</w:t>
            </w:r>
          </w:p>
          <w:p w:rsidR="0052176B" w:rsidRPr="0052176B" w:rsidRDefault="0052176B" w:rsidP="0052176B">
            <w:pPr>
              <w:pStyle w:val="ListParagraph"/>
              <w:numPr>
                <w:ilvl w:val="0"/>
                <w:numId w:val="14"/>
              </w:numPr>
              <w:rPr>
                <w:rFonts w:ascii="Garamond" w:hAnsi="Garamond"/>
                <w:lang w:val="en-AU"/>
              </w:rPr>
            </w:pPr>
            <w:r w:rsidRPr="0052176B">
              <w:rPr>
                <w:rFonts w:ascii="Garamond" w:hAnsi="Garamond"/>
                <w:lang w:val="en-AU"/>
              </w:rPr>
              <w:t xml:space="preserve">Engaging patients and the public in </w:t>
            </w:r>
            <w:r w:rsidRPr="0052176B">
              <w:rPr>
                <w:rFonts w:ascii="Garamond" w:hAnsi="Garamond"/>
                <w:b/>
                <w:lang w:val="en-AU"/>
              </w:rPr>
              <w:t>Choosing Wisely</w:t>
            </w:r>
            <w:r w:rsidRPr="0052176B">
              <w:rPr>
                <w:rFonts w:ascii="Garamond" w:hAnsi="Garamond"/>
                <w:lang w:val="en-AU"/>
              </w:rPr>
              <w:t xml:space="preserve"> (Karen B Born, Angela Coulter, Angela Han, Moriah Ellen, Wilco Peul, Paul Myres, Robyn Lindner, Daniel Wolfson, R. Sacha Bhatia, Wendy Levinson</w:t>
            </w:r>
            <w:r>
              <w:rPr>
                <w:rFonts w:ascii="Garamond" w:hAnsi="Garamond"/>
                <w:lang w:val="en-AU"/>
              </w:rPr>
              <w:t>)</w:t>
            </w:r>
          </w:p>
          <w:p w:rsidR="00D60FBA" w:rsidRPr="00A45262" w:rsidRDefault="0052176B" w:rsidP="0052176B">
            <w:pPr>
              <w:pStyle w:val="ListParagraph"/>
              <w:numPr>
                <w:ilvl w:val="0"/>
                <w:numId w:val="14"/>
              </w:numPr>
              <w:rPr>
                <w:rFonts w:ascii="Garamond" w:hAnsi="Garamond"/>
                <w:lang w:val="en-AU"/>
              </w:rPr>
            </w:pPr>
            <w:r w:rsidRPr="0052176B">
              <w:rPr>
                <w:rFonts w:ascii="Garamond" w:hAnsi="Garamond"/>
                <w:lang w:val="en-AU"/>
              </w:rPr>
              <w:t xml:space="preserve">Are </w:t>
            </w:r>
            <w:r w:rsidRPr="0052176B">
              <w:rPr>
                <w:rFonts w:ascii="Garamond" w:hAnsi="Garamond"/>
                <w:b/>
                <w:lang w:val="en-AU"/>
              </w:rPr>
              <w:t>Facebook</w:t>
            </w:r>
            <w:r w:rsidRPr="0052176B">
              <w:rPr>
                <w:rFonts w:ascii="Garamond" w:hAnsi="Garamond"/>
                <w:lang w:val="en-AU"/>
              </w:rPr>
              <w:t xml:space="preserve"> user ratings associated with </w:t>
            </w:r>
            <w:r w:rsidRPr="0052176B">
              <w:rPr>
                <w:rFonts w:ascii="Garamond" w:hAnsi="Garamond"/>
                <w:b/>
                <w:lang w:val="en-AU"/>
              </w:rPr>
              <w:t>hospital cost, quality and patient satisfaction</w:t>
            </w:r>
            <w:r w:rsidRPr="0052176B">
              <w:rPr>
                <w:rFonts w:ascii="Garamond" w:hAnsi="Garamond"/>
                <w:lang w:val="en-AU"/>
              </w:rPr>
              <w:t>? A cross-sectional analysis of hospitals in New York State</w:t>
            </w:r>
            <w:r>
              <w:rPr>
                <w:rFonts w:ascii="Garamond" w:hAnsi="Garamond"/>
                <w:lang w:val="en-AU"/>
              </w:rPr>
              <w:t xml:space="preserve"> (</w:t>
            </w:r>
            <w:r w:rsidRPr="0052176B">
              <w:rPr>
                <w:rFonts w:ascii="Garamond" w:hAnsi="Garamond"/>
                <w:lang w:val="en-AU"/>
              </w:rPr>
              <w:t>Lauren Campbell, Yue Li</w:t>
            </w:r>
            <w:r>
              <w:rPr>
                <w:rFonts w:ascii="Garamond" w:hAnsi="Garamond"/>
                <w:lang w:val="en-AU"/>
              </w:rPr>
              <w:t>)</w:t>
            </w:r>
          </w:p>
        </w:tc>
      </w:tr>
    </w:tbl>
    <w:p w:rsidR="008C6F66" w:rsidRPr="00A45262" w:rsidRDefault="008C6F66" w:rsidP="00C400E8">
      <w:pPr>
        <w:rPr>
          <w:rFonts w:ascii="Garamond" w:hAnsi="Garamond"/>
          <w:lang w:val="en-AU" w:eastAsia="en-AU"/>
        </w:rPr>
      </w:pPr>
    </w:p>
    <w:p w:rsidR="00AF20FE" w:rsidRPr="00A45262" w:rsidRDefault="00AF20FE" w:rsidP="00AF20FE">
      <w:pPr>
        <w:keepNext/>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A45262" w:rsidTr="00F37416">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keepNext/>
              <w:rPr>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3139A9" w:rsidRDefault="00294BDB" w:rsidP="009E5A41">
            <w:pPr>
              <w:keepNext/>
              <w:rPr>
                <w:rFonts w:ascii="Garamond" w:hAnsi="Garamond"/>
                <w:lang w:val="en-AU"/>
              </w:rPr>
            </w:pPr>
            <w:hyperlink r:id="rId27" w:history="1">
              <w:r w:rsidR="009E5A41" w:rsidRPr="003139A9">
                <w:rPr>
                  <w:rStyle w:val="Hyperlink"/>
                  <w:rFonts w:ascii="Garamond" w:hAnsi="Garamond"/>
                  <w:lang w:val="en-AU"/>
                </w:rPr>
                <w:t>https://academic.oup.com/intqhc/advance-access?papetoc</w:t>
              </w:r>
            </w:hyperlink>
          </w:p>
        </w:tc>
      </w:tr>
      <w:tr w:rsidR="00AF20FE" w:rsidRPr="00A45262" w:rsidTr="00F37416">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rPr>
                <w:rFonts w:ascii="Garamond" w:hAnsi="Garamond"/>
                <w:lang w:val="en-AU"/>
              </w:rPr>
            </w:pPr>
            <w:r w:rsidRPr="00A45262">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has published a number of ‘online first’ articles, including:</w:t>
            </w:r>
          </w:p>
          <w:p w:rsidR="00EE6CFC" w:rsidRPr="00714771" w:rsidRDefault="00714771" w:rsidP="00714771">
            <w:pPr>
              <w:pStyle w:val="ListParagraph"/>
              <w:numPr>
                <w:ilvl w:val="0"/>
                <w:numId w:val="14"/>
              </w:numPr>
              <w:rPr>
                <w:rFonts w:ascii="Garamond" w:hAnsi="Garamond"/>
                <w:lang w:val="en-AU"/>
              </w:rPr>
            </w:pPr>
            <w:r w:rsidRPr="00714771">
              <w:rPr>
                <w:rFonts w:ascii="Garamond" w:hAnsi="Garamond"/>
                <w:lang w:val="en-AU"/>
              </w:rPr>
              <w:t xml:space="preserve">Lessons learned for reducing the negative </w:t>
            </w:r>
            <w:r w:rsidRPr="00714771">
              <w:rPr>
                <w:rFonts w:ascii="Garamond" w:hAnsi="Garamond"/>
                <w:b/>
                <w:lang w:val="en-AU"/>
              </w:rPr>
              <w:t>impact</w:t>
            </w:r>
            <w:r w:rsidRPr="00714771">
              <w:rPr>
                <w:rFonts w:ascii="Garamond" w:hAnsi="Garamond"/>
                <w:lang w:val="en-AU"/>
              </w:rPr>
              <w:t xml:space="preserve"> of </w:t>
            </w:r>
            <w:r w:rsidRPr="00714771">
              <w:rPr>
                <w:rFonts w:ascii="Garamond" w:hAnsi="Garamond"/>
                <w:b/>
                <w:lang w:val="en-AU"/>
              </w:rPr>
              <w:t>adverse events</w:t>
            </w:r>
            <w:r w:rsidRPr="00714771">
              <w:rPr>
                <w:rFonts w:ascii="Garamond" w:hAnsi="Garamond"/>
                <w:lang w:val="en-AU"/>
              </w:rPr>
              <w:t xml:space="preserve"> on </w:t>
            </w:r>
            <w:r w:rsidRPr="00714771">
              <w:rPr>
                <w:rFonts w:ascii="Garamond" w:hAnsi="Garamond"/>
                <w:b/>
                <w:lang w:val="en-AU"/>
              </w:rPr>
              <w:t>patients, health professionals and healthcare organizations</w:t>
            </w:r>
            <w:r>
              <w:rPr>
                <w:rFonts w:ascii="Garamond" w:hAnsi="Garamond"/>
                <w:b/>
                <w:lang w:val="en-AU"/>
              </w:rPr>
              <w:t xml:space="preserve"> </w:t>
            </w:r>
            <w:r w:rsidRPr="00714771">
              <w:rPr>
                <w:rFonts w:ascii="Garamond" w:hAnsi="Garamond"/>
                <w:lang w:val="en-AU"/>
              </w:rPr>
              <w:t>(</w:t>
            </w:r>
            <w:r>
              <w:rPr>
                <w:rFonts w:ascii="Garamond" w:hAnsi="Garamond"/>
                <w:lang w:val="en-AU"/>
              </w:rPr>
              <w:t xml:space="preserve">Jose Joaquin Mira, Susana Lorenzo, Irene Carrillo, Lena </w:t>
            </w:r>
            <w:r w:rsidRPr="00714771">
              <w:rPr>
                <w:rFonts w:ascii="Garamond" w:hAnsi="Garamond"/>
                <w:lang w:val="en-AU"/>
              </w:rPr>
              <w:t>Ferrús</w:t>
            </w:r>
            <w:r>
              <w:rPr>
                <w:rFonts w:ascii="Garamond" w:hAnsi="Garamond"/>
                <w:lang w:val="en-AU"/>
              </w:rPr>
              <w:t xml:space="preserve">, Carmen Silvestre, Pilar Astier Fuencisla Iglesias-Alonso, Jose Angel Maderuelo Pastora </w:t>
            </w:r>
            <w:r w:rsidRPr="00714771">
              <w:rPr>
                <w:rFonts w:ascii="Garamond" w:hAnsi="Garamond"/>
                <w:lang w:val="en-AU"/>
              </w:rPr>
              <w:t>Pérez-Pérez</w:t>
            </w:r>
            <w:r>
              <w:rPr>
                <w:rFonts w:ascii="Garamond" w:hAnsi="Garamond"/>
                <w:lang w:val="en-AU"/>
              </w:rPr>
              <w:t>, Maria Luisa Torijano, Elena Zavala, Susan D Scott on behalf of the Research Group on Second and Third Victims)</w:t>
            </w:r>
          </w:p>
        </w:tc>
      </w:tr>
    </w:tbl>
    <w:p w:rsidR="00AF20FE" w:rsidRDefault="00AF20FE" w:rsidP="00AF20FE">
      <w:pPr>
        <w:rPr>
          <w:rFonts w:ascii="Garamond" w:hAnsi="Garamond"/>
          <w:lang w:val="en-AU"/>
        </w:rPr>
      </w:pPr>
    </w:p>
    <w:p w:rsidR="00853259" w:rsidRPr="00A45262" w:rsidRDefault="00853259" w:rsidP="00AF20FE">
      <w:pPr>
        <w:rPr>
          <w:rFonts w:ascii="Garamond" w:hAnsi="Garamond"/>
          <w:lang w:val="en-AU"/>
        </w:rPr>
      </w:pPr>
    </w:p>
    <w:p w:rsidR="00B02F6E" w:rsidRPr="00A45262" w:rsidRDefault="00B02F6E" w:rsidP="001C6360">
      <w:pPr>
        <w:keepNext/>
        <w:rPr>
          <w:rFonts w:ascii="Garamond" w:hAnsi="Garamond"/>
          <w:b/>
          <w:lang w:val="en-AU"/>
        </w:rPr>
      </w:pPr>
      <w:r w:rsidRPr="00A45262">
        <w:rPr>
          <w:rFonts w:ascii="Garamond" w:hAnsi="Garamond"/>
          <w:b/>
          <w:lang w:val="en-AU"/>
        </w:rPr>
        <w:t>Online resources</w:t>
      </w:r>
    </w:p>
    <w:p w:rsidR="00F77A9D" w:rsidRDefault="00F77A9D" w:rsidP="00FC32EF">
      <w:pPr>
        <w:rPr>
          <w:rFonts w:ascii="Garamond" w:hAnsi="Garamond"/>
          <w:i/>
          <w:lang w:val="en-AU"/>
        </w:rPr>
      </w:pPr>
    </w:p>
    <w:p w:rsidR="003C68A6" w:rsidRPr="00A45262" w:rsidRDefault="003C68A6" w:rsidP="003C68A6">
      <w:pPr>
        <w:keepNext/>
        <w:keepLines/>
        <w:rPr>
          <w:rFonts w:ascii="Garamond" w:hAnsi="Garamond"/>
          <w:i/>
          <w:lang w:val="en-AU"/>
        </w:rPr>
      </w:pPr>
      <w:r w:rsidRPr="00A45262">
        <w:rPr>
          <w:rFonts w:ascii="Garamond" w:hAnsi="Garamond"/>
          <w:i/>
          <w:lang w:val="en-AU"/>
        </w:rPr>
        <w:t>[UK] NICE Guidelines and Quality Standards</w:t>
      </w:r>
    </w:p>
    <w:p w:rsidR="003C68A6" w:rsidRPr="00A45262" w:rsidRDefault="00294BDB" w:rsidP="003C68A6">
      <w:pPr>
        <w:keepNext/>
        <w:keepLines/>
        <w:rPr>
          <w:rFonts w:ascii="Garamond" w:hAnsi="Garamond"/>
          <w:u w:val="single"/>
          <w:lang w:val="en-AU"/>
        </w:rPr>
      </w:pPr>
      <w:hyperlink r:id="rId28" w:history="1">
        <w:r w:rsidR="003139A9" w:rsidRPr="00D67EE9">
          <w:rPr>
            <w:rStyle w:val="Hyperlink"/>
            <w:rFonts w:ascii="Garamond" w:hAnsi="Garamond"/>
            <w:lang w:val="en-AU"/>
          </w:rPr>
          <w:t>https://www.nice.org.uk</w:t>
        </w:r>
      </w:hyperlink>
    </w:p>
    <w:p w:rsidR="003C68A6" w:rsidRPr="00A45262" w:rsidRDefault="003C68A6" w:rsidP="003C68A6">
      <w:pPr>
        <w:keepNext/>
        <w:keepLines/>
        <w:rPr>
          <w:rFonts w:ascii="Garamond" w:hAnsi="Garamond"/>
          <w:lang w:val="en-AU"/>
        </w:rPr>
      </w:pPr>
      <w:r w:rsidRPr="00A45262">
        <w:rPr>
          <w:rFonts w:ascii="Garamond" w:hAnsi="Garamond"/>
          <w:lang w:val="en-AU"/>
        </w:rPr>
        <w:t xml:space="preserve">The UK’s National Institute for Health and Care Excellence (NICE) has published new (or updated) guidelines and quality standards. The latest </w:t>
      </w:r>
      <w:r w:rsidR="00F035D6">
        <w:rPr>
          <w:rFonts w:ascii="Garamond" w:hAnsi="Garamond"/>
          <w:lang w:val="en-AU"/>
        </w:rPr>
        <w:t xml:space="preserve">reviews or </w:t>
      </w:r>
      <w:r w:rsidRPr="00A45262">
        <w:rPr>
          <w:rFonts w:ascii="Garamond" w:hAnsi="Garamond"/>
          <w:lang w:val="en-AU"/>
        </w:rPr>
        <w:t>updates are:</w:t>
      </w:r>
    </w:p>
    <w:p w:rsidR="006B63A8" w:rsidRPr="009F13C7" w:rsidRDefault="00C74136" w:rsidP="00C74136">
      <w:pPr>
        <w:pStyle w:val="ListParagraph"/>
        <w:keepNext/>
        <w:keepLines/>
        <w:numPr>
          <w:ilvl w:val="0"/>
          <w:numId w:val="14"/>
        </w:numPr>
        <w:rPr>
          <w:rFonts w:ascii="Garamond" w:hAnsi="Garamond"/>
          <w:i/>
          <w:lang w:val="en-AU"/>
        </w:rPr>
      </w:pPr>
      <w:r w:rsidRPr="00C74136">
        <w:rPr>
          <w:rFonts w:ascii="Garamond" w:hAnsi="Garamond"/>
          <w:lang w:val="en-AU"/>
        </w:rPr>
        <w:t>Quality Standard QS24</w:t>
      </w:r>
      <w:r>
        <w:rPr>
          <w:rFonts w:ascii="Garamond" w:hAnsi="Garamond"/>
          <w:i/>
          <w:lang w:val="en-AU"/>
        </w:rPr>
        <w:t xml:space="preserve"> </w:t>
      </w:r>
      <w:r w:rsidRPr="00C74136">
        <w:rPr>
          <w:rFonts w:ascii="Garamond" w:hAnsi="Garamond"/>
          <w:b/>
          <w:i/>
          <w:lang w:val="en-AU"/>
        </w:rPr>
        <w:t>Nutrition</w:t>
      </w:r>
      <w:r w:rsidRPr="00C74136">
        <w:rPr>
          <w:rFonts w:ascii="Garamond" w:hAnsi="Garamond"/>
          <w:i/>
          <w:lang w:val="en-AU"/>
        </w:rPr>
        <w:t xml:space="preserve"> support in adults</w:t>
      </w:r>
      <w:r>
        <w:rPr>
          <w:rFonts w:ascii="Garamond" w:hAnsi="Garamond"/>
          <w:i/>
          <w:lang w:val="en-AU"/>
        </w:rPr>
        <w:t xml:space="preserve"> </w:t>
      </w:r>
      <w:hyperlink r:id="rId29" w:history="1">
        <w:r w:rsidRPr="008D31BE">
          <w:rPr>
            <w:rStyle w:val="Hyperlink"/>
            <w:rFonts w:ascii="Garamond" w:hAnsi="Garamond"/>
            <w:lang w:val="en-AU"/>
          </w:rPr>
          <w:t>https://www.nice.org.uk/guidance/qs24</w:t>
        </w:r>
      </w:hyperlink>
    </w:p>
    <w:p w:rsidR="009F13C7" w:rsidRDefault="009F13C7" w:rsidP="00A30ECA">
      <w:pPr>
        <w:keepNext/>
        <w:keepLines/>
        <w:rPr>
          <w:rFonts w:ascii="Garamond" w:hAnsi="Garamond"/>
          <w:i/>
          <w:lang w:val="en-AU"/>
        </w:rPr>
      </w:pPr>
    </w:p>
    <w:p w:rsidR="00B55CDB" w:rsidRPr="00DE7C48" w:rsidRDefault="00B55CDB" w:rsidP="00DE7C48">
      <w:pPr>
        <w:keepNext/>
        <w:keepLines/>
        <w:rPr>
          <w:rFonts w:ascii="Garamond" w:hAnsi="Garamond"/>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C8" w:rsidRDefault="008B79C8">
      <w:r>
        <w:separator/>
      </w:r>
    </w:p>
  </w:endnote>
  <w:endnote w:type="continuationSeparator" w:id="0">
    <w:p w:rsidR="008B79C8" w:rsidRDefault="008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8" w:rsidRDefault="008B79C8"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94BDB">
      <w:rPr>
        <w:rStyle w:val="PageNumber"/>
        <w:noProof/>
      </w:rPr>
      <w:t>2</w:t>
    </w:r>
    <w:r>
      <w:rPr>
        <w:rStyle w:val="PageNumber"/>
      </w:rPr>
      <w:fldChar w:fldCharType="end"/>
    </w:r>
  </w:p>
  <w:p w:rsidR="008B79C8" w:rsidRPr="001E78F0" w:rsidRDefault="008B79C8"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9F13C7">
      <w:rPr>
        <w:rFonts w:ascii="Garamond" w:hAnsi="Garamond"/>
      </w:rPr>
      <w:t xml:space="preserve"> Issue 32</w:t>
    </w:r>
    <w:r w:rsidR="00CE5B99">
      <w:rPr>
        <w:rFonts w:ascii="Garamond" w:hAnsi="Garamond"/>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8" w:rsidRPr="001E78F0" w:rsidRDefault="008B79C8"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94BDB">
      <w:rPr>
        <w:rStyle w:val="PageNumber"/>
        <w:rFonts w:ascii="Garamond" w:hAnsi="Garamond"/>
        <w:noProof/>
      </w:rPr>
      <w:t>1</w:t>
    </w:r>
    <w:r w:rsidRPr="001E78F0">
      <w:rPr>
        <w:rStyle w:val="PageNumber"/>
        <w:rFonts w:ascii="Garamond" w:hAnsi="Garamond"/>
      </w:rPr>
      <w:fldChar w:fldCharType="end"/>
    </w:r>
  </w:p>
  <w:p w:rsidR="008B79C8" w:rsidRPr="001E78F0" w:rsidRDefault="008B79C8"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CE5B99">
      <w:rPr>
        <w:rFonts w:ascii="Garamond" w:hAnsi="Garamond"/>
      </w:rPr>
      <w:t xml:space="preserve"> Issue 326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C8" w:rsidRDefault="008B79C8">
      <w:r>
        <w:separator/>
      </w:r>
    </w:p>
  </w:footnote>
  <w:footnote w:type="continuationSeparator" w:id="0">
    <w:p w:rsidR="008B79C8" w:rsidRDefault="008B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74838"/>
    <w:multiLevelType w:val="hybridMultilevel"/>
    <w:tmpl w:val="A7E4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DE4B2A"/>
    <w:multiLevelType w:val="hybridMultilevel"/>
    <w:tmpl w:val="8D9AF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BB0332"/>
    <w:multiLevelType w:val="hybridMultilevel"/>
    <w:tmpl w:val="7C9C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9E843C9"/>
    <w:multiLevelType w:val="hybridMultilevel"/>
    <w:tmpl w:val="7B54A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0A2287"/>
    <w:multiLevelType w:val="hybridMultilevel"/>
    <w:tmpl w:val="60C6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CE4BEE"/>
    <w:multiLevelType w:val="hybridMultilevel"/>
    <w:tmpl w:val="3F76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3074F8"/>
    <w:multiLevelType w:val="hybridMultilevel"/>
    <w:tmpl w:val="1C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47187D"/>
    <w:multiLevelType w:val="hybridMultilevel"/>
    <w:tmpl w:val="41BC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9DD4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477B12"/>
    <w:multiLevelType w:val="hybridMultilevel"/>
    <w:tmpl w:val="77A0C6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B1653C0"/>
    <w:multiLevelType w:val="hybridMultilevel"/>
    <w:tmpl w:val="5736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D158E8"/>
    <w:multiLevelType w:val="hybridMultilevel"/>
    <w:tmpl w:val="F0FCA5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7104F21"/>
    <w:multiLevelType w:val="hybridMultilevel"/>
    <w:tmpl w:val="DF1A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417386"/>
    <w:multiLevelType w:val="hybridMultilevel"/>
    <w:tmpl w:val="74BE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5C781B"/>
    <w:multiLevelType w:val="hybridMultilevel"/>
    <w:tmpl w:val="D2EE9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6635CE"/>
    <w:multiLevelType w:val="hybridMultilevel"/>
    <w:tmpl w:val="A58E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BF2D96"/>
    <w:multiLevelType w:val="hybridMultilevel"/>
    <w:tmpl w:val="FE7EB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0"/>
  </w:num>
  <w:num w:numId="15">
    <w:abstractNumId w:val="26"/>
  </w:num>
  <w:num w:numId="16">
    <w:abstractNumId w:val="32"/>
  </w:num>
  <w:num w:numId="17">
    <w:abstractNumId w:val="15"/>
  </w:num>
  <w:num w:numId="18">
    <w:abstractNumId w:val="17"/>
  </w:num>
  <w:num w:numId="19">
    <w:abstractNumId w:val="24"/>
  </w:num>
  <w:num w:numId="20">
    <w:abstractNumId w:val="23"/>
  </w:num>
  <w:num w:numId="21">
    <w:abstractNumId w:val="21"/>
  </w:num>
  <w:num w:numId="22">
    <w:abstractNumId w:val="28"/>
  </w:num>
  <w:num w:numId="23">
    <w:abstractNumId w:val="29"/>
  </w:num>
  <w:num w:numId="24">
    <w:abstractNumId w:val="18"/>
  </w:num>
  <w:num w:numId="25">
    <w:abstractNumId w:val="30"/>
  </w:num>
  <w:num w:numId="26">
    <w:abstractNumId w:val="33"/>
  </w:num>
  <w:num w:numId="27">
    <w:abstractNumId w:val="10"/>
  </w:num>
  <w:num w:numId="28">
    <w:abstractNumId w:val="14"/>
  </w:num>
  <w:num w:numId="29">
    <w:abstractNumId w:val="31"/>
  </w:num>
  <w:num w:numId="30">
    <w:abstractNumId w:val="13"/>
  </w:num>
  <w:num w:numId="31">
    <w:abstractNumId w:val="12"/>
  </w:num>
  <w:num w:numId="32">
    <w:abstractNumId w:val="11"/>
  </w:num>
  <w:num w:numId="33">
    <w:abstractNumId w:val="16"/>
  </w:num>
  <w:num w:numId="3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B30"/>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1DA"/>
    <w:rsid w:val="0017126A"/>
    <w:rsid w:val="0017136A"/>
    <w:rsid w:val="00171452"/>
    <w:rsid w:val="00171545"/>
    <w:rsid w:val="0017189C"/>
    <w:rsid w:val="001718BC"/>
    <w:rsid w:val="001719CC"/>
    <w:rsid w:val="00171AC3"/>
    <w:rsid w:val="00171C57"/>
    <w:rsid w:val="00171C67"/>
    <w:rsid w:val="00172137"/>
    <w:rsid w:val="001723F2"/>
    <w:rsid w:val="00172489"/>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4E"/>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BDB"/>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122"/>
    <w:rsid w:val="005444E3"/>
    <w:rsid w:val="00544517"/>
    <w:rsid w:val="0054466C"/>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23"/>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457"/>
    <w:rsid w:val="009F28C3"/>
    <w:rsid w:val="009F29BD"/>
    <w:rsid w:val="009F2EBA"/>
    <w:rsid w:val="009F315E"/>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8ED"/>
    <w:rsid w:val="00BB1972"/>
    <w:rsid w:val="00BB19EF"/>
    <w:rsid w:val="00BB1B89"/>
    <w:rsid w:val="00BB21BD"/>
    <w:rsid w:val="00BB22CA"/>
    <w:rsid w:val="00BB2397"/>
    <w:rsid w:val="00BB2736"/>
    <w:rsid w:val="00BB29A0"/>
    <w:rsid w:val="00BB29D1"/>
    <w:rsid w:val="00BB2CEF"/>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336"/>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D0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FA4"/>
    <w:rsid w:val="00F7737B"/>
    <w:rsid w:val="00F7757D"/>
    <w:rsid w:val="00F77747"/>
    <w:rsid w:val="00F77A9D"/>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jpeg"/><Relationship Id="rId26" Type="http://schemas.openxmlformats.org/officeDocument/2006/relationships/hyperlink" Target="https://qualitysafety.bmj.com/content/early/recent" TargetMode="External"/><Relationship Id="rId3" Type="http://schemas.openxmlformats.org/officeDocument/2006/relationships/styles" Target="styles.xml"/><Relationship Id="rId21" Type="http://schemas.openxmlformats.org/officeDocument/2006/relationships/hyperlink" Target="http://dx.doi.org/10.1136/bmjopen-2016-013524"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atlas" TargetMode="External"/><Relationship Id="rId25" Type="http://schemas.openxmlformats.org/officeDocument/2006/relationships/hyperlink" Target="http://www.longwoods.com/publications/healthcare-policy/2509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tyandquality.gov.au/atlas" TargetMode="External"/><Relationship Id="rId20" Type="http://schemas.openxmlformats.org/officeDocument/2006/relationships/hyperlink" Target="https://doi.org/10.1016/j.jcjq.2017.03.009" TargetMode="External"/><Relationship Id="rId29" Type="http://schemas.openxmlformats.org/officeDocument/2006/relationships/hyperlink" Target="https://www.nice.org.uk/guidance/qs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s://doi.org/10.1053/j.semperi.2017.03.00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x.doi.org/10.12968/bjon.2017.26.8.464" TargetMode="External"/><Relationship Id="rId28" Type="http://schemas.openxmlformats.org/officeDocument/2006/relationships/hyperlink" Target="https://www.nice.org.uk"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2.health.vic.gov.au/hospitals-and-health-services/quality-safety-service/clinical-risk-management/sentinel-event-progra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doi.org/10.1515/dx-2017-0016" TargetMode="External"/><Relationship Id="rId27" Type="http://schemas.openxmlformats.org/officeDocument/2006/relationships/hyperlink" Target="https://academic.oup.com/intqhc/advance-access?papetoc"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DA779-F6D5-4620-B6CF-BE790C26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14254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2017-06-17T23:02:00Z</dcterms:created>
  <dcterms:modified xsi:type="dcterms:W3CDTF">2017-06-17T23:02:00Z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