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D9161E" w:rsidRDefault="00715F47" w:rsidP="00B160EF">
      <w:pPr>
        <w:rPr>
          <w:rFonts w:ascii="Garamond" w:hAnsi="Garamond"/>
          <w:color w:val="000000"/>
          <w:lang w:val="en-AU"/>
        </w:rPr>
      </w:pPr>
      <w:r w:rsidRPr="00D9161E">
        <w:rPr>
          <w:rFonts w:ascii="Garamond" w:hAnsi="Garamond"/>
          <w:color w:val="000000"/>
          <w:lang w:val="en-AU"/>
        </w:rPr>
        <w:t xml:space="preserve">Issue </w:t>
      </w:r>
      <w:r w:rsidR="00252A38" w:rsidRPr="00D9161E">
        <w:rPr>
          <w:rFonts w:ascii="Garamond" w:hAnsi="Garamond"/>
          <w:color w:val="000000"/>
          <w:lang w:val="en-AU"/>
        </w:rPr>
        <w:t>3</w:t>
      </w:r>
      <w:r w:rsidR="001E5BD1">
        <w:rPr>
          <w:rFonts w:ascii="Garamond" w:hAnsi="Garamond"/>
          <w:color w:val="000000"/>
          <w:lang w:val="en-AU"/>
        </w:rPr>
        <w:t>33</w:t>
      </w:r>
    </w:p>
    <w:p w:rsidR="00755242" w:rsidRPr="00D9161E" w:rsidRDefault="001E5BD1" w:rsidP="00B160EF">
      <w:pPr>
        <w:rPr>
          <w:rFonts w:ascii="Garamond" w:hAnsi="Garamond"/>
          <w:lang w:val="en-AU"/>
        </w:rPr>
      </w:pPr>
      <w:r>
        <w:rPr>
          <w:rFonts w:ascii="Garamond" w:hAnsi="Garamond"/>
          <w:lang w:val="en-AU"/>
        </w:rPr>
        <w:t xml:space="preserve">7 August </w:t>
      </w:r>
      <w:r w:rsidR="00F74A58" w:rsidRPr="00D9161E">
        <w:rPr>
          <w:rFonts w:ascii="Garamond" w:hAnsi="Garamond"/>
          <w:lang w:val="en-AU"/>
        </w:rPr>
        <w:t>2017</w:t>
      </w:r>
    </w:p>
    <w:p w:rsidR="00566895" w:rsidRPr="00D9161E" w:rsidRDefault="00566895" w:rsidP="00B160EF">
      <w:pPr>
        <w:rPr>
          <w:rFonts w:ascii="Garamond" w:hAnsi="Garamond"/>
          <w:lang w:val="en-AU"/>
        </w:rPr>
      </w:pPr>
    </w:p>
    <w:p w:rsidR="00B160EF" w:rsidRPr="00D9161E" w:rsidRDefault="00B160EF" w:rsidP="00B160EF">
      <w:pPr>
        <w:rPr>
          <w:rFonts w:ascii="Garamond" w:hAnsi="Garamond"/>
          <w:b/>
          <w:lang w:val="en-AU"/>
        </w:rPr>
      </w:pPr>
      <w:r w:rsidRPr="00D9161E">
        <w:rPr>
          <w:rFonts w:ascii="Garamond" w:hAnsi="Garamond"/>
          <w:i/>
          <w:lang w:val="en-AU"/>
        </w:rPr>
        <w:t>On the Radar</w:t>
      </w:r>
      <w:r w:rsidRPr="00D9161E">
        <w:rPr>
          <w:rFonts w:ascii="Garamond" w:hAnsi="Garamond"/>
          <w:lang w:val="en-AU"/>
        </w:rPr>
        <w:t xml:space="preserve"> is a summary of some of the recent publications in </w:t>
      </w:r>
      <w:r w:rsidR="000025DB" w:rsidRPr="00D9161E">
        <w:rPr>
          <w:rFonts w:ascii="Garamond" w:hAnsi="Garamond"/>
          <w:lang w:val="en-AU"/>
        </w:rPr>
        <w:t>the</w:t>
      </w:r>
      <w:r w:rsidRPr="00D9161E">
        <w:rPr>
          <w:rFonts w:ascii="Garamond" w:hAnsi="Garamond"/>
          <w:lang w:val="en-AU"/>
        </w:rPr>
        <w:t xml:space="preserve"> areas of safety and quality in health care. Inclusion in this document is not an endorsement or recommendation of any publication or provider.</w:t>
      </w:r>
      <w:r w:rsidR="00594E21" w:rsidRPr="00D9161E">
        <w:rPr>
          <w:rFonts w:ascii="Garamond" w:hAnsi="Garamond"/>
          <w:lang w:val="en-AU"/>
        </w:rPr>
        <w:t xml:space="preserve"> </w:t>
      </w:r>
      <w:r w:rsidRPr="00D9161E">
        <w:rPr>
          <w:rFonts w:ascii="Garamond" w:hAnsi="Garamond"/>
          <w:lang w:val="en-AU"/>
        </w:rPr>
        <w:t>Access to particular documents may depend on whether they are Open Access or not, and/or your individual or institutional access to subscription sites/services.</w:t>
      </w:r>
      <w:r w:rsidR="00F460A7" w:rsidRPr="00D9161E">
        <w:rPr>
          <w:rFonts w:ascii="Garamond" w:hAnsi="Garamond"/>
          <w:lang w:val="en-AU"/>
        </w:rPr>
        <w:t xml:space="preserve"> Material that may require subscription is included as it is considered relevant.</w:t>
      </w:r>
    </w:p>
    <w:p w:rsidR="00B160EF" w:rsidRPr="00D9161E" w:rsidRDefault="00B160EF" w:rsidP="00B160EF">
      <w:pPr>
        <w:rPr>
          <w:rFonts w:ascii="Garamond" w:hAnsi="Garamond"/>
          <w:lang w:val="en-AU"/>
        </w:rPr>
      </w:pPr>
    </w:p>
    <w:p w:rsidR="00230D83" w:rsidRPr="00D9161E" w:rsidRDefault="00B160EF" w:rsidP="0045757F">
      <w:pPr>
        <w:autoSpaceDE w:val="0"/>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available </w:t>
      </w:r>
      <w:r w:rsidR="003D1E7A" w:rsidRPr="00D9161E">
        <w:rPr>
          <w:rFonts w:ascii="Garamond" w:hAnsi="Garamond"/>
          <w:lang w:val="en-AU"/>
        </w:rPr>
        <w:t xml:space="preserve">online, </w:t>
      </w:r>
      <w:r w:rsidRPr="00D9161E">
        <w:rPr>
          <w:rFonts w:ascii="Garamond" w:hAnsi="Garamond"/>
          <w:lang w:val="en-AU"/>
        </w:rPr>
        <w:t xml:space="preserve">via email or as a PDF </w:t>
      </w:r>
      <w:r w:rsidR="006F34BB" w:rsidRPr="00D9161E">
        <w:rPr>
          <w:rFonts w:ascii="Garamond" w:hAnsi="Garamond"/>
          <w:lang w:val="en-AU"/>
        </w:rPr>
        <w:t xml:space="preserve">or Word </w:t>
      </w:r>
      <w:r w:rsidRPr="00D9161E">
        <w:rPr>
          <w:rFonts w:ascii="Garamond" w:hAnsi="Garamond"/>
          <w:lang w:val="en-AU"/>
        </w:rPr>
        <w:t xml:space="preserve">document from </w:t>
      </w:r>
      <w:hyperlink r:id="rId10" w:history="1">
        <w:r w:rsidR="00543EF2" w:rsidRPr="00781DEA">
          <w:rPr>
            <w:rStyle w:val="Hyperlink"/>
            <w:rFonts w:ascii="Garamond" w:hAnsi="Garamond"/>
            <w:lang w:val="en-AU"/>
          </w:rPr>
          <w:t>https://www.safetyandquality.gov.au/publications-resources/on-the-radar/</w:t>
        </w:r>
      </w:hyperlink>
    </w:p>
    <w:p w:rsidR="0090536C" w:rsidRPr="00D9161E" w:rsidRDefault="0090536C" w:rsidP="0045757F">
      <w:pPr>
        <w:autoSpaceDE w:val="0"/>
        <w:rPr>
          <w:rFonts w:ascii="Garamond" w:hAnsi="Garamond"/>
          <w:lang w:val="en-AU"/>
        </w:rPr>
      </w:pPr>
    </w:p>
    <w:p w:rsidR="00B160EF" w:rsidRPr="00D9161E" w:rsidRDefault="00B160EF" w:rsidP="0045757F">
      <w:pPr>
        <w:autoSpaceDE w:val="0"/>
        <w:rPr>
          <w:rFonts w:ascii="Garamond" w:hAnsi="Garamond"/>
          <w:lang w:val="en-AU"/>
        </w:rPr>
      </w:pPr>
      <w:r w:rsidRPr="00D9161E">
        <w:rPr>
          <w:rFonts w:ascii="Garamond" w:hAnsi="Garamond"/>
          <w:lang w:val="en-AU"/>
        </w:rPr>
        <w:t xml:space="preserve">If you would like to receive </w:t>
      </w:r>
      <w:r w:rsidRPr="00D9161E">
        <w:rPr>
          <w:rFonts w:ascii="Garamond" w:hAnsi="Garamond"/>
          <w:i/>
          <w:lang w:val="en-AU"/>
        </w:rPr>
        <w:t>On the Radar</w:t>
      </w:r>
      <w:r w:rsidRPr="00D9161E">
        <w:rPr>
          <w:rFonts w:ascii="Garamond" w:hAnsi="Garamond"/>
          <w:lang w:val="en-AU"/>
        </w:rPr>
        <w:t xml:space="preserve"> via email</w:t>
      </w:r>
      <w:r w:rsidR="003D7B9E" w:rsidRPr="00D9161E">
        <w:rPr>
          <w:rFonts w:ascii="Garamond" w:hAnsi="Garamond"/>
          <w:lang w:val="en-AU"/>
        </w:rPr>
        <w:t>, you can</w:t>
      </w:r>
      <w:r w:rsidR="00F24F60" w:rsidRPr="00D9161E">
        <w:rPr>
          <w:rFonts w:ascii="Garamond" w:hAnsi="Garamond"/>
          <w:lang w:val="en-AU"/>
        </w:rPr>
        <w:t xml:space="preserve"> subscribe on our website </w:t>
      </w:r>
      <w:hyperlink r:id="rId11" w:history="1">
        <w:r w:rsidR="00543EF2" w:rsidRPr="00781DEA">
          <w:rPr>
            <w:rStyle w:val="Hyperlink"/>
            <w:rFonts w:ascii="Garamond" w:hAnsi="Garamond"/>
            <w:lang w:val="en-AU"/>
          </w:rPr>
          <w:t>https://www.safetyandquality.gov.au/</w:t>
        </w:r>
      </w:hyperlink>
      <w:r w:rsidR="003D7B9E" w:rsidRPr="00D9161E">
        <w:rPr>
          <w:rFonts w:ascii="Garamond" w:hAnsi="Garamond"/>
          <w:lang w:val="en-AU"/>
        </w:rPr>
        <w:t xml:space="preserve"> or by emailing us at </w:t>
      </w:r>
      <w:r w:rsidR="003D7B9E" w:rsidRPr="00D9161E">
        <w:rPr>
          <w:rFonts w:ascii="Garamond" w:hAnsi="Garamond" w:cs="ZWAdobeF"/>
          <w:sz w:val="2"/>
          <w:szCs w:val="2"/>
          <w:lang w:val="en-AU"/>
        </w:rPr>
        <w:t>H</w:t>
      </w:r>
      <w:hyperlink r:id="rId12"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 xml:space="preserve">. </w:t>
      </w:r>
      <w:r w:rsidR="00E51D23" w:rsidRPr="00D9161E">
        <w:rPr>
          <w:rFonts w:ascii="Garamond" w:hAnsi="Garamond"/>
          <w:lang w:val="en-AU"/>
        </w:rPr>
        <w:br/>
      </w:r>
      <w:r w:rsidR="003D7B9E" w:rsidRPr="00D9161E">
        <w:rPr>
          <w:rFonts w:ascii="Garamond" w:hAnsi="Garamond"/>
          <w:lang w:val="en-AU"/>
        </w:rPr>
        <w:t xml:space="preserve">You can also send feedback and comments to </w:t>
      </w:r>
      <w:r w:rsidR="003D7B9E" w:rsidRPr="00D9161E">
        <w:rPr>
          <w:rFonts w:ascii="Garamond" w:hAnsi="Garamond" w:cs="ZWAdobeF"/>
          <w:sz w:val="2"/>
          <w:szCs w:val="2"/>
          <w:lang w:val="en-AU"/>
        </w:rPr>
        <w:t>H</w:t>
      </w:r>
      <w:hyperlink r:id="rId13"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w:t>
      </w:r>
    </w:p>
    <w:p w:rsidR="00B160EF" w:rsidRPr="00D9161E" w:rsidRDefault="00B160EF" w:rsidP="00837FC4">
      <w:pPr>
        <w:tabs>
          <w:tab w:val="left" w:pos="7773"/>
        </w:tabs>
        <w:rPr>
          <w:rFonts w:ascii="Garamond" w:hAnsi="Garamond"/>
          <w:lang w:val="en-AU"/>
        </w:rPr>
      </w:pPr>
    </w:p>
    <w:p w:rsidR="00837FC4" w:rsidRPr="00D9161E" w:rsidRDefault="00B160EF" w:rsidP="004554DB">
      <w:pPr>
        <w:autoSpaceDE w:val="0"/>
        <w:rPr>
          <w:rFonts w:ascii="Garamond" w:hAnsi="Garamond"/>
          <w:lang w:val="en-AU"/>
        </w:rPr>
      </w:pPr>
      <w:bookmarkStart w:id="1" w:name="OLE_LINK1"/>
      <w:r w:rsidRPr="00D9161E">
        <w:rPr>
          <w:rFonts w:ascii="Garamond" w:hAnsi="Garamond"/>
          <w:lang w:val="en-AU"/>
        </w:rPr>
        <w:t xml:space="preserve">For information about the Commission and its programs and publications, please visit </w:t>
      </w:r>
      <w:hyperlink r:id="rId14" w:history="1">
        <w:r w:rsidR="00543EF2" w:rsidRPr="00781DEA">
          <w:rPr>
            <w:rStyle w:val="Hyperlink"/>
            <w:rFonts w:ascii="Garamond" w:hAnsi="Garamond"/>
            <w:lang w:val="en-AU"/>
          </w:rPr>
          <w:t>https://www.safetyandquality.gov.au</w:t>
        </w:r>
      </w:hyperlink>
    </w:p>
    <w:p w:rsidR="0054703F" w:rsidRPr="00D9161E" w:rsidRDefault="004554DB" w:rsidP="004554DB">
      <w:pPr>
        <w:autoSpaceDE w:val="0"/>
        <w:rPr>
          <w:rFonts w:ascii="Garamond" w:hAnsi="Garamond"/>
          <w:lang w:val="en-AU"/>
        </w:rPr>
      </w:pPr>
      <w:r w:rsidRPr="00D9161E">
        <w:rPr>
          <w:rFonts w:ascii="Garamond" w:hAnsi="Garamond"/>
          <w:lang w:val="en-AU"/>
        </w:rPr>
        <w:t>You can also follow us on Twitter @ACSQHC.</w:t>
      </w:r>
    </w:p>
    <w:p w:rsidR="00210235" w:rsidRPr="00D9161E" w:rsidRDefault="00210235" w:rsidP="00210235">
      <w:pPr>
        <w:keepNext/>
        <w:pBdr>
          <w:top w:val="single" w:sz="4" w:space="1" w:color="auto"/>
        </w:pBdr>
        <w:rPr>
          <w:rFonts w:ascii="Garamond" w:hAnsi="Garamond"/>
          <w:b/>
          <w:lang w:val="en-AU"/>
        </w:rPr>
      </w:pPr>
      <w:r w:rsidRPr="00D9161E">
        <w:rPr>
          <w:rFonts w:ascii="Garamond" w:hAnsi="Garamond"/>
          <w:b/>
          <w:lang w:val="en-AU"/>
        </w:rPr>
        <w:t>On the Radar</w:t>
      </w:r>
    </w:p>
    <w:p w:rsidR="00340157" w:rsidRPr="00D9161E" w:rsidRDefault="00340157" w:rsidP="00210235">
      <w:pPr>
        <w:keepNext/>
        <w:pBdr>
          <w:top w:val="single" w:sz="4" w:space="1" w:color="auto"/>
        </w:pBdr>
        <w:rPr>
          <w:rFonts w:ascii="Garamond" w:hAnsi="Garamond"/>
          <w:bCs/>
          <w:lang w:val="en-AU"/>
        </w:rPr>
      </w:pPr>
      <w:r w:rsidRPr="00D9161E">
        <w:rPr>
          <w:rFonts w:ascii="Garamond" w:hAnsi="Garamond"/>
          <w:bCs/>
          <w:lang w:val="en-AU"/>
        </w:rPr>
        <w:t xml:space="preserve">Editor: </w:t>
      </w:r>
      <w:r w:rsidR="00C8085B" w:rsidRPr="00D9161E">
        <w:rPr>
          <w:rFonts w:ascii="Garamond" w:hAnsi="Garamond"/>
          <w:bCs/>
          <w:lang w:val="en-AU"/>
        </w:rPr>
        <w:t xml:space="preserve">Dr </w:t>
      </w:r>
      <w:r w:rsidRPr="00D9161E">
        <w:rPr>
          <w:rFonts w:ascii="Garamond" w:hAnsi="Garamond"/>
          <w:bCs/>
          <w:lang w:val="en-AU"/>
        </w:rPr>
        <w:t xml:space="preserve">Niall Johnson </w:t>
      </w:r>
      <w:hyperlink r:id="rId15" w:history="1">
        <w:r w:rsidRPr="00D9161E">
          <w:rPr>
            <w:rStyle w:val="Hyperlink"/>
            <w:rFonts w:ascii="Garamond" w:hAnsi="Garamond"/>
            <w:bCs/>
            <w:lang w:val="en-AU"/>
          </w:rPr>
          <w:t>niall.johnson@safetyandquality.gov.au</w:t>
        </w:r>
      </w:hyperlink>
    </w:p>
    <w:p w:rsidR="009A35BE" w:rsidRPr="00D9161E" w:rsidRDefault="00210235" w:rsidP="00A8296D">
      <w:pPr>
        <w:keepNext/>
        <w:pBdr>
          <w:top w:val="single" w:sz="4" w:space="1" w:color="auto"/>
        </w:pBdr>
        <w:rPr>
          <w:rFonts w:ascii="Garamond" w:hAnsi="Garamond"/>
          <w:shd w:val="clear" w:color="auto" w:fill="FFFFFF"/>
          <w:lang w:val="en-AU"/>
        </w:rPr>
      </w:pPr>
      <w:r w:rsidRPr="00D9161E">
        <w:rPr>
          <w:rFonts w:ascii="Garamond" w:hAnsi="Garamond"/>
          <w:bCs/>
          <w:lang w:val="en-AU"/>
        </w:rPr>
        <w:t xml:space="preserve">Contributors: </w:t>
      </w:r>
      <w:r w:rsidR="0056339A" w:rsidRPr="00D9161E">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6F7089" w:rsidRPr="00D9161E" w:rsidRDefault="006F7089" w:rsidP="00691DE3">
      <w:pPr>
        <w:keepLines/>
        <w:autoSpaceDE w:val="0"/>
        <w:autoSpaceDN w:val="0"/>
        <w:adjustRightInd w:val="0"/>
        <w:rPr>
          <w:rFonts w:ascii="Garamond" w:hAnsi="Garamond"/>
          <w:lang w:val="en-AU"/>
        </w:rPr>
      </w:pPr>
    </w:p>
    <w:p w:rsidR="00CA24F8" w:rsidRDefault="00CA24F8" w:rsidP="006F7089">
      <w:pPr>
        <w:autoSpaceDE w:val="0"/>
        <w:autoSpaceDN w:val="0"/>
        <w:adjustRightInd w:val="0"/>
        <w:rPr>
          <w:rFonts w:ascii="Garamond" w:hAnsi="Garamond"/>
          <w:b/>
          <w:lang w:val="en-AU"/>
        </w:rPr>
      </w:pPr>
      <w:r w:rsidRPr="00CA24F8">
        <w:rPr>
          <w:rFonts w:ascii="Garamond" w:hAnsi="Garamond"/>
          <w:b/>
          <w:lang w:val="en-AU"/>
        </w:rPr>
        <w:t>AURA 2017: second Australian report on antimicrobial use and resistance in human health</w:t>
      </w:r>
    </w:p>
    <w:p w:rsidR="00CA24F8" w:rsidRDefault="00CA24F8" w:rsidP="006F7089">
      <w:pPr>
        <w:autoSpaceDE w:val="0"/>
        <w:autoSpaceDN w:val="0"/>
        <w:adjustRightInd w:val="0"/>
        <w:rPr>
          <w:rFonts w:ascii="Garamond" w:hAnsi="Garamond"/>
          <w:lang w:val="en-AU"/>
        </w:rPr>
      </w:pPr>
      <w:r w:rsidRPr="00CA24F8">
        <w:rPr>
          <w:rFonts w:ascii="Garamond" w:hAnsi="Garamond"/>
          <w:lang w:val="en-AU"/>
        </w:rPr>
        <w:t>Australian Commission on Safety and Quality in Health Care (ACSQHC)</w:t>
      </w:r>
    </w:p>
    <w:p w:rsidR="00CA24F8" w:rsidRDefault="00CA24F8" w:rsidP="006F7089">
      <w:pPr>
        <w:autoSpaceDE w:val="0"/>
        <w:autoSpaceDN w:val="0"/>
        <w:adjustRightInd w:val="0"/>
        <w:rPr>
          <w:rFonts w:ascii="Garamond" w:hAnsi="Garamond"/>
          <w:lang w:val="en-AU"/>
        </w:rPr>
      </w:pPr>
      <w:r w:rsidRPr="00CA24F8">
        <w:rPr>
          <w:rFonts w:ascii="Garamond" w:hAnsi="Garamond"/>
          <w:lang w:val="en-AU"/>
        </w:rPr>
        <w:t>Sydney: ACSQHC; 2017.</w:t>
      </w:r>
      <w:r w:rsidR="00C32A2F">
        <w:rPr>
          <w:rFonts w:ascii="Garamond" w:hAnsi="Garamond"/>
          <w:lang w:val="en-AU"/>
        </w:rPr>
        <w:t xml:space="preserve"> p.238.</w:t>
      </w:r>
    </w:p>
    <w:p w:rsidR="006F7089" w:rsidRDefault="006F7089" w:rsidP="006F7089">
      <w:pPr>
        <w:autoSpaceDE w:val="0"/>
        <w:autoSpaceDN w:val="0"/>
        <w:adjustRightInd w:val="0"/>
        <w:rPr>
          <w:rFonts w:ascii="Garamond" w:hAnsi="Garamond"/>
          <w:lang w:val="en-AU"/>
        </w:rPr>
      </w:pPr>
      <w:hyperlink r:id="rId16" w:history="1">
        <w:r w:rsidRPr="0096722F">
          <w:rPr>
            <w:rStyle w:val="Hyperlink"/>
            <w:rFonts w:ascii="Garamond" w:hAnsi="Garamond"/>
            <w:lang w:val="en-AU"/>
          </w:rPr>
          <w:t>https://www.safetyandquality.gov.au/antimicrobial-use-and-resistance-in-australia/2017-report/</w:t>
        </w:r>
      </w:hyperlink>
    </w:p>
    <w:p w:rsidR="00C32A2F" w:rsidRDefault="00C32A2F" w:rsidP="006F7089">
      <w:pPr>
        <w:autoSpaceDE w:val="0"/>
        <w:autoSpaceDN w:val="0"/>
        <w:adjustRightInd w:val="0"/>
        <w:rPr>
          <w:rFonts w:ascii="Garamond" w:hAnsi="Garamond"/>
          <w:lang w:val="en-AU"/>
        </w:rPr>
      </w:pPr>
    </w:p>
    <w:p w:rsidR="007234E8" w:rsidRPr="007234E8" w:rsidRDefault="007234E8" w:rsidP="006F7089">
      <w:pPr>
        <w:autoSpaceDE w:val="0"/>
        <w:autoSpaceDN w:val="0"/>
        <w:adjustRightInd w:val="0"/>
        <w:rPr>
          <w:rFonts w:ascii="Garamond" w:hAnsi="Garamond"/>
          <w:lang w:val="en-AU"/>
        </w:rPr>
      </w:pPr>
      <w:r w:rsidRPr="007234E8">
        <w:rPr>
          <w:rFonts w:ascii="Garamond" w:hAnsi="Garamond"/>
          <w:lang w:val="en-AU"/>
        </w:rPr>
        <w:t xml:space="preserve">As part of the Australian Government’s First National Antimicrobial Resistance Strategy 2015–2019 1 to prevent and contain </w:t>
      </w:r>
      <w:r w:rsidR="008E1872">
        <w:rPr>
          <w:rFonts w:ascii="Garamond" w:hAnsi="Garamond"/>
          <w:lang w:val="en-AU"/>
        </w:rPr>
        <w:t>a</w:t>
      </w:r>
      <w:r w:rsidR="008E1872" w:rsidRPr="007234E8">
        <w:rPr>
          <w:rFonts w:ascii="Garamond" w:hAnsi="Garamond"/>
          <w:lang w:val="en-AU"/>
        </w:rPr>
        <w:t>ntimicrobial resistance</w:t>
      </w:r>
      <w:r w:rsidRPr="007234E8">
        <w:rPr>
          <w:rFonts w:ascii="Garamond" w:hAnsi="Garamond"/>
          <w:lang w:val="en-AU"/>
        </w:rPr>
        <w:t>, the Australian Commission on Safety and Quality in Health Care established the national surveillance system for Antimicrobial Use and Resistance in Australia (AURA).</w:t>
      </w:r>
    </w:p>
    <w:p w:rsidR="007234E8" w:rsidRPr="007234E8" w:rsidRDefault="007234E8" w:rsidP="006F7089">
      <w:pPr>
        <w:autoSpaceDE w:val="0"/>
        <w:autoSpaceDN w:val="0"/>
        <w:adjustRightInd w:val="0"/>
        <w:rPr>
          <w:rFonts w:ascii="Garamond" w:hAnsi="Garamond"/>
          <w:lang w:val="en-AU"/>
        </w:rPr>
      </w:pPr>
      <w:r w:rsidRPr="007234E8">
        <w:rPr>
          <w:rFonts w:ascii="Garamond" w:hAnsi="Garamond"/>
          <w:lang w:val="en-AU"/>
        </w:rPr>
        <w:t xml:space="preserve">The Commission has released </w:t>
      </w:r>
      <w:r w:rsidRPr="008E1872">
        <w:rPr>
          <w:rFonts w:ascii="Garamond" w:hAnsi="Garamond"/>
          <w:i/>
          <w:lang w:val="en-AU"/>
        </w:rPr>
        <w:t>AURA 2017: Second Australian report on antimicrobial use and resistance in human health</w:t>
      </w:r>
      <w:r w:rsidR="008E1872">
        <w:rPr>
          <w:rFonts w:ascii="Garamond" w:hAnsi="Garamond"/>
          <w:i/>
          <w:lang w:val="en-AU"/>
        </w:rPr>
        <w:t>.</w:t>
      </w:r>
      <w:r w:rsidRPr="007234E8">
        <w:rPr>
          <w:rFonts w:ascii="Garamond" w:hAnsi="Garamond"/>
          <w:lang w:val="en-AU"/>
        </w:rPr>
        <w:t xml:space="preserve"> </w:t>
      </w:r>
      <w:r w:rsidR="008E1872">
        <w:rPr>
          <w:rFonts w:ascii="Garamond" w:hAnsi="Garamond"/>
          <w:lang w:val="en-AU"/>
        </w:rPr>
        <w:t xml:space="preserve">This report </w:t>
      </w:r>
      <w:r w:rsidRPr="007234E8">
        <w:rPr>
          <w:rFonts w:ascii="Garamond" w:hAnsi="Garamond"/>
          <w:lang w:val="en-AU"/>
        </w:rPr>
        <w:t>increases the comprehensiveness of the picture of antimicrobial use, resistance and the appropriateness of prescribing in Australia across all healthcare settings.</w:t>
      </w:r>
    </w:p>
    <w:p w:rsidR="007234E8" w:rsidRPr="007234E8" w:rsidRDefault="007234E8" w:rsidP="006F7089">
      <w:pPr>
        <w:autoSpaceDE w:val="0"/>
        <w:autoSpaceDN w:val="0"/>
        <w:adjustRightInd w:val="0"/>
        <w:rPr>
          <w:rFonts w:ascii="Garamond" w:hAnsi="Garamond"/>
          <w:lang w:val="en-AU"/>
        </w:rPr>
      </w:pPr>
      <w:r w:rsidRPr="007234E8">
        <w:rPr>
          <w:rFonts w:ascii="Garamond" w:hAnsi="Garamond"/>
          <w:lang w:val="en-AU"/>
        </w:rPr>
        <w:t xml:space="preserve">Key findings </w:t>
      </w:r>
      <w:r w:rsidR="008E1872">
        <w:rPr>
          <w:rFonts w:ascii="Garamond" w:hAnsi="Garamond"/>
          <w:lang w:val="en-AU"/>
        </w:rPr>
        <w:t>include</w:t>
      </w:r>
      <w:r w:rsidRPr="007234E8">
        <w:rPr>
          <w:rFonts w:ascii="Garamond" w:hAnsi="Garamond"/>
          <w:lang w:val="en-AU"/>
        </w:rPr>
        <w:t>:</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 xml:space="preserve">In 2015, </w:t>
      </w:r>
      <w:r w:rsidR="008E1872">
        <w:rPr>
          <w:rFonts w:ascii="Garamond" w:hAnsi="Garamond"/>
          <w:lang w:val="en-AU"/>
        </w:rPr>
        <w:t xml:space="preserve">44.7% </w:t>
      </w:r>
      <w:r w:rsidRPr="008E1872">
        <w:rPr>
          <w:rFonts w:ascii="Garamond" w:hAnsi="Garamond"/>
          <w:lang w:val="en-AU"/>
        </w:rPr>
        <w:t>of the Australian population (10.7 million people) had at least one antimicrobial dispensed in the community</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More than 30 million antimicrobial prescriptions were dispensed through the PBS/RPBS in 2015</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Antimicrobial resistances require focused infection control effort in hospitals to reduce their spread</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lastRenderedPageBreak/>
        <w:t>On any given day in an Australian hospital in 2015, 40.5% of patients were being administered an antimicrobial; of these, 23.3% of antimicrobial prescriptions were not compliant with guidelines, and 21.9% were considered inappropriate</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Antibiotics used in hospitals for surgery (surgical prophylaxis) are often not required and are given for too long</w:t>
      </w:r>
      <w:r w:rsidR="008E1872" w:rsidRPr="008E1872">
        <w:rPr>
          <w:rFonts w:ascii="Garamond" w:hAnsi="Garamond"/>
          <w:lang w:val="en-AU"/>
        </w:rPr>
        <w:t xml:space="preserve">. </w:t>
      </w:r>
      <w:r w:rsidRPr="008E1872">
        <w:rPr>
          <w:rFonts w:ascii="Garamond" w:hAnsi="Garamond"/>
          <w:lang w:val="en-AU"/>
        </w:rPr>
        <w:t>In 2015, 40.5% of surgical prophylaxis in hospitals was inappropriate, mainly because of incorrect duration (29.9%); incorrect dose or frequency (27.6%); or the procedure did not require antibiotics (22.0%)</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Colds and flu are viral respiratory infections that cannot be treated with antibiotics; the use of antibiotics for these conditions exposes patients to the risk of unwanted side effects and drives antimicrobial resistance</w:t>
      </w:r>
    </w:p>
    <w:p w:rsidR="007234E8" w:rsidRPr="008E1872" w:rsidRDefault="007234E8" w:rsidP="006F7089">
      <w:pPr>
        <w:pStyle w:val="ListParagraph"/>
        <w:numPr>
          <w:ilvl w:val="0"/>
          <w:numId w:val="22"/>
        </w:numPr>
        <w:autoSpaceDE w:val="0"/>
        <w:autoSpaceDN w:val="0"/>
        <w:adjustRightInd w:val="0"/>
        <w:rPr>
          <w:rFonts w:ascii="Garamond" w:hAnsi="Garamond"/>
          <w:lang w:val="en-AU"/>
        </w:rPr>
      </w:pPr>
      <w:r w:rsidRPr="008E1872">
        <w:rPr>
          <w:rFonts w:ascii="Garamond" w:hAnsi="Garamond"/>
          <w:lang w:val="en-AU"/>
        </w:rPr>
        <w:t>There are concerning levels of use of antimicrobials in aged care homes for residents who do not have documented signs and symptoms of infection, and there is poor documentation of the indication of antibiotics and a review or stop date.</w:t>
      </w:r>
    </w:p>
    <w:p w:rsidR="007234E8" w:rsidRPr="007234E8" w:rsidRDefault="007234E8" w:rsidP="006F7089">
      <w:pPr>
        <w:autoSpaceDE w:val="0"/>
        <w:autoSpaceDN w:val="0"/>
        <w:adjustRightInd w:val="0"/>
        <w:rPr>
          <w:rFonts w:ascii="Garamond" w:hAnsi="Garamond"/>
          <w:lang w:val="en-AU"/>
        </w:rPr>
      </w:pPr>
    </w:p>
    <w:p w:rsidR="007234E8" w:rsidRPr="007234E8" w:rsidRDefault="007234E8" w:rsidP="006F7089">
      <w:pPr>
        <w:autoSpaceDE w:val="0"/>
        <w:autoSpaceDN w:val="0"/>
        <w:adjustRightInd w:val="0"/>
        <w:rPr>
          <w:rFonts w:ascii="Garamond" w:hAnsi="Garamond"/>
          <w:lang w:val="en-AU"/>
        </w:rPr>
      </w:pPr>
      <w:r w:rsidRPr="007234E8">
        <w:rPr>
          <w:rFonts w:ascii="Garamond" w:hAnsi="Garamond"/>
          <w:lang w:val="en-AU"/>
        </w:rPr>
        <w:t xml:space="preserve">The report </w:t>
      </w:r>
      <w:r w:rsidR="008E1872">
        <w:rPr>
          <w:rFonts w:ascii="Garamond" w:hAnsi="Garamond"/>
          <w:lang w:val="en-AU"/>
        </w:rPr>
        <w:t xml:space="preserve">contains a range of findings on antimicrobial resistance and </w:t>
      </w:r>
      <w:r w:rsidRPr="007234E8">
        <w:rPr>
          <w:rFonts w:ascii="Garamond" w:hAnsi="Garamond"/>
          <w:lang w:val="en-AU"/>
        </w:rPr>
        <w:t>highlights a number of areas for action to help reduce antimicrobial resistance</w:t>
      </w:r>
      <w:r w:rsidR="008E1872">
        <w:rPr>
          <w:rFonts w:ascii="Garamond" w:hAnsi="Garamond"/>
          <w:lang w:val="en-AU"/>
        </w:rPr>
        <w:t xml:space="preserve">, including </w:t>
      </w:r>
      <w:r w:rsidRPr="007234E8">
        <w:rPr>
          <w:rFonts w:ascii="Garamond" w:hAnsi="Garamond"/>
          <w:lang w:val="en-AU"/>
        </w:rPr>
        <w:t>reduc</w:t>
      </w:r>
      <w:r w:rsidR="008E1872">
        <w:rPr>
          <w:rFonts w:ascii="Garamond" w:hAnsi="Garamond"/>
          <w:lang w:val="en-AU"/>
        </w:rPr>
        <w:t>ing</w:t>
      </w:r>
      <w:r w:rsidRPr="007234E8">
        <w:rPr>
          <w:rFonts w:ascii="Garamond" w:hAnsi="Garamond"/>
          <w:lang w:val="en-AU"/>
        </w:rPr>
        <w:t xml:space="preserve"> unnecessary prescribing in the community</w:t>
      </w:r>
      <w:r w:rsidR="008E1872">
        <w:rPr>
          <w:rFonts w:ascii="Garamond" w:hAnsi="Garamond"/>
          <w:lang w:val="en-AU"/>
        </w:rPr>
        <w:t xml:space="preserve">, </w:t>
      </w:r>
      <w:r w:rsidRPr="007234E8">
        <w:rPr>
          <w:rFonts w:ascii="Garamond" w:hAnsi="Garamond"/>
          <w:lang w:val="en-AU"/>
        </w:rPr>
        <w:t xml:space="preserve">actions to control carbapenemase-producing </w:t>
      </w:r>
      <w:r w:rsidRPr="006F7089">
        <w:rPr>
          <w:rFonts w:ascii="Garamond" w:hAnsi="Garamond"/>
          <w:lang w:val="en-AU"/>
        </w:rPr>
        <w:t>Enterobacteriaceae</w:t>
      </w:r>
      <w:r w:rsidR="008E1872">
        <w:rPr>
          <w:rFonts w:ascii="Garamond" w:hAnsi="Garamond"/>
          <w:i/>
          <w:lang w:val="en-AU"/>
        </w:rPr>
        <w:t xml:space="preserve">, </w:t>
      </w:r>
      <w:r w:rsidR="008E1872">
        <w:rPr>
          <w:rFonts w:ascii="Garamond" w:hAnsi="Garamond"/>
          <w:lang w:val="en-AU"/>
        </w:rPr>
        <w:t>m</w:t>
      </w:r>
      <w:r w:rsidRPr="007234E8">
        <w:rPr>
          <w:rFonts w:ascii="Garamond" w:hAnsi="Garamond"/>
          <w:lang w:val="en-AU"/>
        </w:rPr>
        <w:t>onitoring resistant gonococcal infections</w:t>
      </w:r>
      <w:r w:rsidR="008E1872">
        <w:rPr>
          <w:rFonts w:ascii="Garamond" w:hAnsi="Garamond"/>
          <w:lang w:val="en-AU"/>
        </w:rPr>
        <w:t>, m</w:t>
      </w:r>
      <w:r w:rsidRPr="007234E8">
        <w:rPr>
          <w:rFonts w:ascii="Garamond" w:hAnsi="Garamond"/>
          <w:lang w:val="en-AU"/>
        </w:rPr>
        <w:t>inimis</w:t>
      </w:r>
      <w:r w:rsidR="008E1872">
        <w:rPr>
          <w:rFonts w:ascii="Garamond" w:hAnsi="Garamond"/>
          <w:lang w:val="en-AU"/>
        </w:rPr>
        <w:t>ing</w:t>
      </w:r>
      <w:r w:rsidRPr="007234E8">
        <w:rPr>
          <w:rFonts w:ascii="Garamond" w:hAnsi="Garamond"/>
          <w:lang w:val="en-AU"/>
        </w:rPr>
        <w:t xml:space="preserve"> the spread of vancomycin-resistant </w:t>
      </w:r>
      <w:r w:rsidR="006F7089">
        <w:rPr>
          <w:rFonts w:ascii="Garamond" w:hAnsi="Garamond"/>
          <w:lang w:val="en-AU"/>
        </w:rPr>
        <w:t xml:space="preserve">enterococci, </w:t>
      </w:r>
      <w:r w:rsidR="00A52BE2">
        <w:rPr>
          <w:rFonts w:ascii="Garamond" w:hAnsi="Garamond"/>
          <w:lang w:val="en-AU"/>
        </w:rPr>
        <w:t>i</w:t>
      </w:r>
      <w:r w:rsidRPr="007234E8">
        <w:rPr>
          <w:rFonts w:ascii="Garamond" w:hAnsi="Garamond"/>
          <w:lang w:val="en-AU"/>
        </w:rPr>
        <w:t>mproving the appropriateness of antimicrobial use for surgical prophylaxis</w:t>
      </w:r>
      <w:r w:rsidR="006F7089">
        <w:rPr>
          <w:rFonts w:ascii="Garamond" w:hAnsi="Garamond"/>
          <w:lang w:val="en-AU"/>
        </w:rPr>
        <w:t>.</w:t>
      </w:r>
    </w:p>
    <w:p w:rsidR="00CA24F8" w:rsidRDefault="00CA24F8" w:rsidP="006F7089">
      <w:pPr>
        <w:autoSpaceDE w:val="0"/>
        <w:autoSpaceDN w:val="0"/>
        <w:adjustRightInd w:val="0"/>
        <w:rPr>
          <w:rFonts w:ascii="Garamond" w:hAnsi="Garamond"/>
          <w:lang w:val="en-AU"/>
        </w:rPr>
      </w:pPr>
    </w:p>
    <w:p w:rsidR="008E1872" w:rsidRPr="007234E8" w:rsidRDefault="008E1872" w:rsidP="00060010">
      <w:pPr>
        <w:autoSpaceDE w:val="0"/>
        <w:autoSpaceDN w:val="0"/>
        <w:adjustRightInd w:val="0"/>
        <w:rPr>
          <w:rFonts w:ascii="Garamond" w:hAnsi="Garamond"/>
          <w:lang w:val="en-AU"/>
        </w:rPr>
      </w:pPr>
      <w:r>
        <w:rPr>
          <w:rFonts w:ascii="Garamond" w:hAnsi="Garamond"/>
          <w:noProof/>
          <w:lang w:val="en-AU" w:eastAsia="en-AU"/>
        </w:rPr>
        <w:drawing>
          <wp:inline distT="0" distB="0" distL="0" distR="0">
            <wp:extent cx="6115050" cy="4333875"/>
            <wp:effectExtent l="0" t="0" r="0" b="9525"/>
            <wp:docPr id="1" name="Picture 1" descr="\\central.health\dfsuserenv\Users\User_07\johnni\Desktop\SQ17-085-Aura-Half-page-Infographic-DES09-27July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Q17-085-Aura-Half-page-Infographic-DES09-27July17-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4333875"/>
                    </a:xfrm>
                    <a:prstGeom prst="rect">
                      <a:avLst/>
                    </a:prstGeom>
                    <a:noFill/>
                    <a:ln>
                      <a:noFill/>
                    </a:ln>
                  </pic:spPr>
                </pic:pic>
              </a:graphicData>
            </a:graphic>
          </wp:inline>
        </w:drawing>
      </w:r>
    </w:p>
    <w:p w:rsidR="00060010" w:rsidRDefault="00060010">
      <w:pPr>
        <w:rPr>
          <w:rFonts w:ascii="Garamond" w:hAnsi="Garamond"/>
          <w:b/>
          <w:lang w:val="en-AU"/>
        </w:rPr>
      </w:pPr>
      <w:r>
        <w:rPr>
          <w:rFonts w:ascii="Garamond" w:hAnsi="Garamond"/>
          <w:b/>
          <w:lang w:val="en-AU"/>
        </w:rPr>
        <w:br w:type="page"/>
      </w:r>
    </w:p>
    <w:p w:rsidR="00177F9F" w:rsidRPr="00D9161E" w:rsidRDefault="00177F9F" w:rsidP="00644660">
      <w:pPr>
        <w:keepNext/>
        <w:keepLines/>
        <w:autoSpaceDE w:val="0"/>
        <w:autoSpaceDN w:val="0"/>
        <w:adjustRightInd w:val="0"/>
        <w:rPr>
          <w:rFonts w:ascii="Garamond" w:hAnsi="Garamond"/>
          <w:b/>
          <w:lang w:val="en-AU"/>
        </w:rPr>
      </w:pPr>
      <w:r w:rsidRPr="00D9161E">
        <w:rPr>
          <w:rFonts w:ascii="Garamond" w:hAnsi="Garamond"/>
          <w:b/>
          <w:lang w:val="en-AU"/>
        </w:rPr>
        <w:lastRenderedPageBreak/>
        <w:t>Reports</w:t>
      </w:r>
    </w:p>
    <w:p w:rsidR="00177F9F" w:rsidRDefault="00177F9F" w:rsidP="00644660">
      <w:pPr>
        <w:keepNext/>
        <w:keepLines/>
        <w:autoSpaceDE w:val="0"/>
        <w:autoSpaceDN w:val="0"/>
        <w:adjustRightInd w:val="0"/>
        <w:rPr>
          <w:rFonts w:ascii="Garamond" w:hAnsi="Garamond"/>
          <w:b/>
          <w:lang w:val="en-AU"/>
        </w:rPr>
      </w:pPr>
    </w:p>
    <w:p w:rsidR="00B37973" w:rsidRPr="00CA24F8" w:rsidRDefault="00CA24F8" w:rsidP="00B37973">
      <w:pPr>
        <w:keepNext/>
        <w:rPr>
          <w:rFonts w:ascii="Garamond" w:hAnsi="Garamond"/>
          <w:i/>
          <w:lang w:val="en-AU"/>
        </w:rPr>
      </w:pPr>
      <w:r w:rsidRPr="00CA24F8">
        <w:rPr>
          <w:rFonts w:ascii="Garamond" w:hAnsi="Garamond"/>
          <w:i/>
          <w:lang w:val="en-AU"/>
        </w:rPr>
        <w:t>Economic evaluation of investigator-initiated clinical trials conducted by networks</w:t>
      </w:r>
    </w:p>
    <w:p w:rsidR="00CA24F8" w:rsidRDefault="00CA24F8" w:rsidP="00B37973">
      <w:pPr>
        <w:keepNext/>
        <w:rPr>
          <w:rFonts w:ascii="Garamond" w:hAnsi="Garamond"/>
          <w:lang w:val="en-AU"/>
        </w:rPr>
      </w:pPr>
      <w:r w:rsidRPr="00CA24F8">
        <w:rPr>
          <w:rFonts w:ascii="Garamond" w:hAnsi="Garamond"/>
          <w:lang w:val="en-AU"/>
        </w:rPr>
        <w:t>Australian Clinical Trials Alliance</w:t>
      </w:r>
    </w:p>
    <w:p w:rsidR="00CA24F8" w:rsidRPr="00C570DD" w:rsidRDefault="00CA24F8" w:rsidP="00B37973">
      <w:pPr>
        <w:keepNext/>
        <w:rPr>
          <w:rFonts w:ascii="Garamond" w:hAnsi="Garamond"/>
          <w:lang w:val="en-AU"/>
        </w:rPr>
      </w:pPr>
      <w:r w:rsidRPr="00CA24F8">
        <w:rPr>
          <w:rFonts w:ascii="Garamond" w:hAnsi="Garamond"/>
          <w:lang w:val="en-AU"/>
        </w:rPr>
        <w:t>Sydney: ACSQHC; 2017.</w:t>
      </w:r>
      <w:r w:rsidR="00C32A2F">
        <w:rPr>
          <w:rFonts w:ascii="Garamond" w:hAnsi="Garamond"/>
          <w:lang w:val="en-AU"/>
        </w:rPr>
        <w:t xml:space="preserve"> p.74.</w:t>
      </w:r>
    </w:p>
    <w:tbl>
      <w:tblPr>
        <w:tblStyle w:val="TableGrid"/>
        <w:tblW w:w="0" w:type="auto"/>
        <w:tblInd w:w="288" w:type="dxa"/>
        <w:tblLayout w:type="fixed"/>
        <w:tblLook w:val="01E0" w:firstRow="1" w:lastRow="1" w:firstColumn="1" w:lastColumn="1" w:noHBand="0" w:noVBand="0"/>
      </w:tblPr>
      <w:tblGrid>
        <w:gridCol w:w="1080"/>
        <w:gridCol w:w="8280"/>
      </w:tblGrid>
      <w:tr w:rsidR="00B37973" w:rsidRPr="00D9161E" w:rsidTr="002C1C94">
        <w:tc>
          <w:tcPr>
            <w:tcW w:w="1080" w:type="dxa"/>
            <w:tcBorders>
              <w:top w:val="single" w:sz="4" w:space="0" w:color="auto"/>
              <w:left w:val="single" w:sz="4" w:space="0" w:color="auto"/>
              <w:bottom w:val="single" w:sz="4" w:space="0" w:color="auto"/>
              <w:right w:val="single" w:sz="4" w:space="0" w:color="auto"/>
            </w:tcBorders>
            <w:vAlign w:val="center"/>
          </w:tcPr>
          <w:p w:rsidR="00B37973" w:rsidRPr="00D9161E" w:rsidRDefault="00B37973" w:rsidP="002C1C94">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A24F8" w:rsidRPr="00D9161E" w:rsidRDefault="00F92643" w:rsidP="00CA24F8">
            <w:pPr>
              <w:rPr>
                <w:rStyle w:val="Hyperlink"/>
                <w:rFonts w:ascii="Garamond" w:hAnsi="Garamond"/>
                <w:color w:val="auto"/>
                <w:u w:val="none"/>
                <w:lang w:val="en-AU"/>
              </w:rPr>
            </w:pPr>
            <w:hyperlink r:id="rId18" w:history="1">
              <w:r w:rsidR="00CA24F8" w:rsidRPr="00A037F8">
                <w:rPr>
                  <w:rStyle w:val="Hyperlink"/>
                  <w:rFonts w:ascii="Garamond" w:hAnsi="Garamond"/>
                  <w:lang w:val="en-AU"/>
                </w:rPr>
                <w:t>https://www.safetyandquality.gov.au/our-work/clinical-trials/</w:t>
              </w:r>
            </w:hyperlink>
          </w:p>
        </w:tc>
      </w:tr>
      <w:tr w:rsidR="00B37973" w:rsidRPr="00D9161E" w:rsidTr="002C1C94">
        <w:tc>
          <w:tcPr>
            <w:tcW w:w="1080" w:type="dxa"/>
            <w:tcBorders>
              <w:top w:val="single" w:sz="4" w:space="0" w:color="auto"/>
              <w:left w:val="single" w:sz="4" w:space="0" w:color="auto"/>
              <w:bottom w:val="single" w:sz="4" w:space="0" w:color="auto"/>
              <w:right w:val="single" w:sz="4" w:space="0" w:color="auto"/>
            </w:tcBorders>
            <w:vAlign w:val="center"/>
          </w:tcPr>
          <w:p w:rsidR="00B37973" w:rsidRPr="00D9161E" w:rsidRDefault="00B37973" w:rsidP="002C1C94">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37973" w:rsidRDefault="00A52BE2" w:rsidP="00A52BE2">
            <w:pPr>
              <w:rPr>
                <w:rFonts w:ascii="Garamond" w:hAnsi="Garamond"/>
                <w:lang w:val="en-AU"/>
              </w:rPr>
            </w:pPr>
            <w:r>
              <w:rPr>
                <w:rFonts w:ascii="Garamond" w:hAnsi="Garamond"/>
                <w:lang w:val="en-AU"/>
              </w:rPr>
              <w:t xml:space="preserve">The Australian </w:t>
            </w:r>
            <w:r w:rsidRPr="00A52BE2">
              <w:rPr>
                <w:rFonts w:ascii="Garamond" w:hAnsi="Garamond"/>
                <w:lang w:val="en-AU"/>
              </w:rPr>
              <w:t xml:space="preserve">Commission </w:t>
            </w:r>
            <w:r>
              <w:rPr>
                <w:rFonts w:ascii="Garamond" w:hAnsi="Garamond"/>
                <w:lang w:val="en-AU"/>
              </w:rPr>
              <w:t xml:space="preserve">on Safety and Quality in Health Care sought to understand the </w:t>
            </w:r>
            <w:r w:rsidRPr="00A52BE2">
              <w:rPr>
                <w:rFonts w:ascii="Garamond" w:hAnsi="Garamond"/>
                <w:lang w:val="en-AU"/>
              </w:rPr>
              <w:t xml:space="preserve">full potential </w:t>
            </w:r>
            <w:r>
              <w:rPr>
                <w:rFonts w:ascii="Garamond" w:hAnsi="Garamond"/>
                <w:lang w:val="en-AU"/>
              </w:rPr>
              <w:t xml:space="preserve">of clinical trials </w:t>
            </w:r>
            <w:r w:rsidRPr="00A52BE2">
              <w:rPr>
                <w:rFonts w:ascii="Garamond" w:hAnsi="Garamond"/>
                <w:lang w:val="en-AU"/>
              </w:rPr>
              <w:t>to influence health outcomes as well as their economic impact</w:t>
            </w:r>
            <w:r>
              <w:rPr>
                <w:rFonts w:ascii="Garamond" w:hAnsi="Garamond"/>
                <w:lang w:val="en-AU"/>
              </w:rPr>
              <w:t xml:space="preserve">. The Commission </w:t>
            </w:r>
            <w:r w:rsidRPr="00A52BE2">
              <w:rPr>
                <w:rFonts w:ascii="Garamond" w:hAnsi="Garamond"/>
                <w:lang w:val="en-AU"/>
              </w:rPr>
              <w:t>engaged the Australian Clinical Trials Alliance, in partnership with Quantium Health Outcomes, to evaluate the overall health and economic impact of investigator-initiated clinical trials conducted by networks.</w:t>
            </w:r>
          </w:p>
          <w:p w:rsidR="00B0476C" w:rsidRDefault="00A52BE2" w:rsidP="00A52BE2">
            <w:pPr>
              <w:rPr>
                <w:rFonts w:ascii="Garamond" w:hAnsi="Garamond"/>
                <w:lang w:val="en-AU"/>
              </w:rPr>
            </w:pPr>
            <w:r w:rsidRPr="00A52BE2">
              <w:rPr>
                <w:rFonts w:ascii="Garamond" w:hAnsi="Garamond"/>
                <w:lang w:val="en-AU"/>
              </w:rPr>
              <w:t>The study assesse</w:t>
            </w:r>
            <w:r>
              <w:rPr>
                <w:rFonts w:ascii="Garamond" w:hAnsi="Garamond"/>
                <w:lang w:val="en-AU"/>
              </w:rPr>
              <w:t xml:space="preserve">d </w:t>
            </w:r>
            <w:r w:rsidRPr="00A52BE2">
              <w:rPr>
                <w:rFonts w:ascii="Garamond" w:hAnsi="Garamond"/>
                <w:lang w:val="en-AU"/>
              </w:rPr>
              <w:t>investigator-initiated clinical trials conducted by select clinical trials networks in Australia, including the Australasian Stroke Trials Network (ASTN), the Interdisciplinary Maternal Perinatal Australasian Collaborative Trials (IMPACT) Network and the Australian and New Zealand Intensive Care Society Clinical Trials Group (ANZICS CTG).</w:t>
            </w:r>
          </w:p>
          <w:p w:rsidR="00A52BE2" w:rsidRDefault="00A52BE2" w:rsidP="00A52BE2">
            <w:pPr>
              <w:rPr>
                <w:rFonts w:ascii="Garamond" w:hAnsi="Garamond"/>
                <w:lang w:val="en-AU"/>
              </w:rPr>
            </w:pPr>
            <w:r>
              <w:rPr>
                <w:rFonts w:ascii="Garamond" w:hAnsi="Garamond"/>
                <w:lang w:val="en-AU"/>
              </w:rPr>
              <w:t xml:space="preserve">Focussing on </w:t>
            </w:r>
            <w:r w:rsidR="00B0476C" w:rsidRPr="00B0476C">
              <w:rPr>
                <w:rFonts w:ascii="Garamond" w:hAnsi="Garamond"/>
                <w:lang w:val="en-AU"/>
              </w:rPr>
              <w:t>25 high-impact clinical trials evaluated across the three networks</w:t>
            </w:r>
            <w:r w:rsidR="00B0476C">
              <w:rPr>
                <w:rFonts w:ascii="Garamond" w:hAnsi="Garamond"/>
                <w:lang w:val="en-AU"/>
              </w:rPr>
              <w:t>, the report found that i</w:t>
            </w:r>
            <w:r w:rsidR="00B0476C" w:rsidRPr="00B0476C">
              <w:rPr>
                <w:rFonts w:ascii="Garamond" w:hAnsi="Garamond"/>
                <w:lang w:val="en-AU"/>
              </w:rPr>
              <w:t>f the results of these trials were implemented in 65% of the eligible Australian patient populations for one year:</w:t>
            </w:r>
          </w:p>
          <w:p w:rsidR="00B0476C" w:rsidRPr="00B0476C" w:rsidRDefault="00B0476C" w:rsidP="00B0476C">
            <w:pPr>
              <w:pStyle w:val="ListParagraph"/>
              <w:numPr>
                <w:ilvl w:val="0"/>
                <w:numId w:val="23"/>
              </w:numPr>
              <w:rPr>
                <w:rFonts w:ascii="Garamond" w:hAnsi="Garamond"/>
                <w:lang w:val="en-AU"/>
              </w:rPr>
            </w:pPr>
            <w:r w:rsidRPr="00B0476C">
              <w:rPr>
                <w:rFonts w:ascii="Garamond" w:hAnsi="Garamond"/>
                <w:lang w:val="en-AU"/>
              </w:rPr>
              <w:t>The gross benefit would be approximately $2 billion measured through better health outcomes and reduced health service costs</w:t>
            </w:r>
          </w:p>
          <w:p w:rsidR="00A52BE2" w:rsidRPr="00B0476C" w:rsidRDefault="00B0476C" w:rsidP="00B0476C">
            <w:pPr>
              <w:pStyle w:val="ListParagraph"/>
              <w:numPr>
                <w:ilvl w:val="0"/>
                <w:numId w:val="23"/>
              </w:numPr>
              <w:rPr>
                <w:rFonts w:ascii="Garamond" w:hAnsi="Garamond"/>
                <w:lang w:val="en-AU"/>
              </w:rPr>
            </w:pPr>
            <w:r w:rsidRPr="00B0476C">
              <w:rPr>
                <w:rFonts w:ascii="Garamond" w:hAnsi="Garamond"/>
                <w:lang w:val="en-AU"/>
              </w:rPr>
              <w:t>Reductions in health service costs would account for 30% ($580 million) of the gross benefit, and this alone would exceed the total costs for the three networks and all of their research activity from 2004 to 2014.</w:t>
            </w:r>
          </w:p>
          <w:p w:rsidR="00B0476C" w:rsidRPr="00B0476C" w:rsidRDefault="00B0476C" w:rsidP="00B0476C">
            <w:pPr>
              <w:pStyle w:val="ListParagraph"/>
              <w:numPr>
                <w:ilvl w:val="0"/>
                <w:numId w:val="23"/>
              </w:numPr>
              <w:rPr>
                <w:rFonts w:ascii="Garamond" w:hAnsi="Garamond"/>
                <w:lang w:val="en-AU"/>
              </w:rPr>
            </w:pPr>
            <w:r w:rsidRPr="00B0476C">
              <w:rPr>
                <w:rFonts w:ascii="Garamond" w:hAnsi="Garamond"/>
                <w:lang w:val="en-AU"/>
              </w:rPr>
              <w:t>The overall consolidated benefit-to-cost ratio for the networks is 5.8:1, or a return of $5.80 for every $1 invested</w:t>
            </w:r>
          </w:p>
          <w:p w:rsidR="00B0476C" w:rsidRPr="00B0476C" w:rsidRDefault="00B0476C" w:rsidP="00B0476C">
            <w:pPr>
              <w:pStyle w:val="ListParagraph"/>
              <w:numPr>
                <w:ilvl w:val="0"/>
                <w:numId w:val="23"/>
              </w:numPr>
              <w:rPr>
                <w:rFonts w:ascii="Garamond" w:hAnsi="Garamond"/>
                <w:lang w:val="en-AU"/>
              </w:rPr>
            </w:pPr>
            <w:r w:rsidRPr="00B0476C">
              <w:rPr>
                <w:rFonts w:ascii="Garamond" w:hAnsi="Garamond"/>
                <w:lang w:val="en-AU"/>
              </w:rPr>
              <w:t>The results of the 25 trials only needed to be implemented in 11% of the eligible patient populations for benefits to exceed costs</w:t>
            </w:r>
          </w:p>
          <w:p w:rsidR="00B0476C" w:rsidRDefault="00B0476C" w:rsidP="00B0476C">
            <w:pPr>
              <w:pStyle w:val="ListParagraph"/>
              <w:numPr>
                <w:ilvl w:val="0"/>
                <w:numId w:val="23"/>
              </w:numPr>
              <w:rPr>
                <w:rFonts w:ascii="Garamond" w:hAnsi="Garamond"/>
                <w:lang w:val="en-AU"/>
              </w:rPr>
            </w:pPr>
            <w:r w:rsidRPr="00B0476C">
              <w:rPr>
                <w:rFonts w:ascii="Garamond" w:hAnsi="Garamond"/>
                <w:lang w:val="en-AU"/>
              </w:rPr>
              <w:t>For every $1 awarded in National Health and Medical Research Council (NHMRC) grants to the 25 trials, a return of $51.10 was achieved</w:t>
            </w:r>
          </w:p>
          <w:p w:rsidR="000522FA" w:rsidRPr="000522FA" w:rsidRDefault="000522FA" w:rsidP="000522FA">
            <w:pPr>
              <w:rPr>
                <w:rFonts w:ascii="Garamond" w:hAnsi="Garamond"/>
                <w:lang w:val="en-AU"/>
              </w:rPr>
            </w:pPr>
            <w:r>
              <w:rPr>
                <w:rFonts w:ascii="Garamond" w:hAnsi="Garamond"/>
                <w:noProof/>
                <w:lang w:val="en-AU" w:eastAsia="en-AU"/>
              </w:rPr>
              <w:drawing>
                <wp:inline distT="0" distB="0" distL="0" distR="0">
                  <wp:extent cx="3722914" cy="3169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improving.jpg"/>
                          <pic:cNvPicPr/>
                        </pic:nvPicPr>
                        <pic:blipFill rotWithShape="1">
                          <a:blip r:embed="rId19">
                            <a:extLst>
                              <a:ext uri="{28A0092B-C50C-407E-A947-70E740481C1C}">
                                <a14:useLocalDpi xmlns:a14="http://schemas.microsoft.com/office/drawing/2010/main" val="0"/>
                              </a:ext>
                            </a:extLst>
                          </a:blip>
                          <a:srcRect l="-1" t="-3" r="9191" b="14964"/>
                          <a:stretch/>
                        </pic:blipFill>
                        <pic:spPr bwMode="auto">
                          <a:xfrm>
                            <a:off x="0" y="0"/>
                            <a:ext cx="3786357" cy="3223505"/>
                          </a:xfrm>
                          <a:prstGeom prst="rect">
                            <a:avLst/>
                          </a:prstGeom>
                          <a:ln>
                            <a:noFill/>
                          </a:ln>
                          <a:extLst>
                            <a:ext uri="{53640926-AAD7-44D8-BBD7-CCE9431645EC}">
                              <a14:shadowObscured xmlns:a14="http://schemas.microsoft.com/office/drawing/2010/main"/>
                            </a:ext>
                          </a:extLst>
                        </pic:spPr>
                      </pic:pic>
                    </a:graphicData>
                  </a:graphic>
                </wp:inline>
              </w:drawing>
            </w:r>
          </w:p>
        </w:tc>
      </w:tr>
    </w:tbl>
    <w:p w:rsidR="000C6A11" w:rsidRPr="00D9161E" w:rsidRDefault="000C6A11" w:rsidP="00644660">
      <w:pPr>
        <w:keepNext/>
        <w:keepLines/>
        <w:autoSpaceDE w:val="0"/>
        <w:autoSpaceDN w:val="0"/>
        <w:adjustRightInd w:val="0"/>
        <w:rPr>
          <w:rFonts w:ascii="Garamond" w:hAnsi="Garamond"/>
          <w:b/>
          <w:lang w:val="en-AU"/>
        </w:rPr>
      </w:pPr>
      <w:r w:rsidRPr="00D9161E">
        <w:rPr>
          <w:rFonts w:ascii="Garamond" w:hAnsi="Garamond"/>
          <w:b/>
          <w:lang w:val="en-AU"/>
        </w:rPr>
        <w:lastRenderedPageBreak/>
        <w:t>Journal articles</w:t>
      </w:r>
    </w:p>
    <w:p w:rsidR="0010604C" w:rsidRDefault="0010604C" w:rsidP="00644660">
      <w:pPr>
        <w:keepNext/>
        <w:keepLines/>
        <w:autoSpaceDE w:val="0"/>
        <w:autoSpaceDN w:val="0"/>
        <w:adjustRightInd w:val="0"/>
        <w:rPr>
          <w:rFonts w:ascii="Garamond" w:hAnsi="Garamond"/>
          <w:lang w:val="en-AU"/>
        </w:rPr>
      </w:pPr>
    </w:p>
    <w:p w:rsidR="002E10E4" w:rsidRPr="002E10E4" w:rsidRDefault="002E10E4" w:rsidP="002E10E4">
      <w:pPr>
        <w:keepNext/>
        <w:rPr>
          <w:rFonts w:ascii="Garamond" w:hAnsi="Garamond"/>
          <w:i/>
          <w:lang w:val="en-AU"/>
        </w:rPr>
      </w:pPr>
      <w:r w:rsidRPr="002E10E4">
        <w:rPr>
          <w:rFonts w:ascii="Garamond" w:hAnsi="Garamond"/>
          <w:i/>
          <w:lang w:val="en-AU"/>
        </w:rPr>
        <w:t>Drug shortage leading to serendipitous adoption of high-value care practice</w:t>
      </w:r>
    </w:p>
    <w:p w:rsidR="002E10E4" w:rsidRDefault="002E10E4" w:rsidP="002E10E4">
      <w:pPr>
        <w:keepNext/>
        <w:rPr>
          <w:rFonts w:ascii="Garamond" w:hAnsi="Garamond"/>
          <w:lang w:val="en-AU"/>
        </w:rPr>
      </w:pPr>
      <w:r w:rsidRPr="002E10E4">
        <w:rPr>
          <w:rFonts w:ascii="Garamond" w:hAnsi="Garamond"/>
          <w:lang w:val="en-AU"/>
        </w:rPr>
        <w:t>Gupta A, Rahman A, Alvarez KS, Gard JW, Johnson DH, Agrawal D</w:t>
      </w:r>
    </w:p>
    <w:p w:rsidR="002E10E4" w:rsidRPr="00D9161E" w:rsidRDefault="002E10E4" w:rsidP="002E10E4">
      <w:pPr>
        <w:keepNext/>
        <w:rPr>
          <w:rFonts w:ascii="Garamond" w:hAnsi="Garamond"/>
          <w:lang w:val="en-AU"/>
        </w:rPr>
      </w:pPr>
      <w:r w:rsidRPr="002E10E4">
        <w:rPr>
          <w:rFonts w:ascii="Garamond" w:hAnsi="Garamond"/>
          <w:lang w:val="en-AU"/>
        </w:rPr>
        <w:t>BMJ Quality &amp; Safety. 2017.</w:t>
      </w:r>
    </w:p>
    <w:tbl>
      <w:tblPr>
        <w:tblStyle w:val="TableGrid"/>
        <w:tblW w:w="0" w:type="auto"/>
        <w:tblInd w:w="288" w:type="dxa"/>
        <w:tblLayout w:type="fixed"/>
        <w:tblLook w:val="01E0" w:firstRow="1" w:lastRow="1" w:firstColumn="1" w:lastColumn="1" w:noHBand="0" w:noVBand="0"/>
      </w:tblPr>
      <w:tblGrid>
        <w:gridCol w:w="1080"/>
        <w:gridCol w:w="8280"/>
      </w:tblGrid>
      <w:tr w:rsidR="002E10E4"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2E10E4" w:rsidRPr="00D9161E" w:rsidRDefault="002E10E4" w:rsidP="00D720BB">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0E4" w:rsidRPr="00D9161E" w:rsidRDefault="002E10E4" w:rsidP="00D720BB">
            <w:pPr>
              <w:rPr>
                <w:rStyle w:val="Hyperlink"/>
                <w:rFonts w:ascii="Garamond" w:hAnsi="Garamond"/>
                <w:color w:val="auto"/>
                <w:u w:val="none"/>
                <w:lang w:val="en-AU"/>
              </w:rPr>
            </w:pPr>
            <w:hyperlink r:id="rId20" w:history="1">
              <w:r w:rsidRPr="0096722F">
                <w:rPr>
                  <w:rStyle w:val="Hyperlink"/>
                  <w:rFonts w:ascii="Garamond" w:hAnsi="Garamond"/>
                  <w:lang w:val="en-AU"/>
                </w:rPr>
                <w:t>http://dx.doi.org/10.1136/</w:t>
              </w:r>
              <w:r w:rsidRPr="0096722F">
                <w:rPr>
                  <w:rStyle w:val="Hyperlink"/>
                  <w:rFonts w:ascii="Garamond" w:hAnsi="Garamond"/>
                  <w:lang w:val="en-AU"/>
                </w:rPr>
                <w:t>b</w:t>
              </w:r>
              <w:r w:rsidRPr="0096722F">
                <w:rPr>
                  <w:rStyle w:val="Hyperlink"/>
                  <w:rFonts w:ascii="Garamond" w:hAnsi="Garamond"/>
                  <w:lang w:val="en-AU"/>
                </w:rPr>
                <w:t>mjqs-2017-007015</w:t>
              </w:r>
            </w:hyperlink>
          </w:p>
        </w:tc>
      </w:tr>
      <w:tr w:rsidR="002E10E4"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2E10E4" w:rsidRPr="00D9161E" w:rsidRDefault="002E10E4" w:rsidP="00D720BB">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0E4" w:rsidRDefault="00B0476C" w:rsidP="000522FA">
            <w:pPr>
              <w:rPr>
                <w:rFonts w:ascii="Garamond" w:hAnsi="Garamond"/>
                <w:lang w:val="en-AU"/>
              </w:rPr>
            </w:pPr>
            <w:r>
              <w:rPr>
                <w:rFonts w:ascii="Garamond" w:hAnsi="Garamond"/>
                <w:lang w:val="en-AU"/>
              </w:rPr>
              <w:t xml:space="preserve">This piece describes the initial impact and lasting effect of a shortage of a particular medication in a hospital. In this instance a large (870-bed) teaching hospital was informed of a critical shortage of an intravenous proton pump inhibitor (PPI). </w:t>
            </w:r>
            <w:r w:rsidR="000522FA">
              <w:rPr>
                <w:rFonts w:ascii="Garamond" w:hAnsi="Garamond"/>
                <w:lang w:val="en-AU"/>
              </w:rPr>
              <w:t xml:space="preserve"> As the authors point out, “</w:t>
            </w:r>
            <w:r w:rsidR="000522FA" w:rsidRPr="000522FA">
              <w:rPr>
                <w:rFonts w:ascii="Garamond" w:hAnsi="Garamond"/>
                <w:lang w:val="en-AU"/>
              </w:rPr>
              <w:t>PPIs are one of the most overused medications, and the intravenous route is often used when oral administration would suffice, significantly increasing medication and administration costs</w:t>
            </w:r>
            <w:r w:rsidR="000522FA">
              <w:rPr>
                <w:rFonts w:ascii="Garamond" w:hAnsi="Garamond"/>
                <w:lang w:val="en-AU"/>
              </w:rPr>
              <w:t>…</w:t>
            </w:r>
            <w:r w:rsidR="000522FA" w:rsidRPr="000522FA">
              <w:rPr>
                <w:rFonts w:ascii="Garamond" w:hAnsi="Garamond"/>
                <w:lang w:val="en-AU"/>
              </w:rPr>
              <w:t>Intravenous PPIs are recommended only in patients with active upper gastrointestinal bleeding prior to endoscopy, and sometimes after endoscopic treatment of an ulcer.</w:t>
            </w:r>
            <w:r w:rsidR="000522FA">
              <w:rPr>
                <w:rFonts w:ascii="Garamond" w:hAnsi="Garamond"/>
                <w:lang w:val="en-AU"/>
              </w:rPr>
              <w:t xml:space="preserve">” A retrospective review of the 12 months prior to the shortage found only 16% of orders were for </w:t>
            </w:r>
            <w:r w:rsidR="000522FA" w:rsidRPr="000522FA">
              <w:rPr>
                <w:rFonts w:ascii="Garamond" w:hAnsi="Garamond"/>
                <w:lang w:val="en-AU"/>
              </w:rPr>
              <w:t>active upper gastrointestinal bleeding</w:t>
            </w:r>
            <w:r w:rsidR="000522FA">
              <w:rPr>
                <w:rFonts w:ascii="Garamond" w:hAnsi="Garamond"/>
                <w:lang w:val="en-AU"/>
              </w:rPr>
              <w:t xml:space="preserve">. </w:t>
            </w:r>
          </w:p>
          <w:p w:rsidR="000522FA" w:rsidRDefault="000522FA" w:rsidP="000522FA">
            <w:pPr>
              <w:rPr>
                <w:rFonts w:ascii="Garamond" w:hAnsi="Garamond"/>
                <w:lang w:val="en-AU"/>
              </w:rPr>
            </w:pPr>
            <w:r>
              <w:rPr>
                <w:rFonts w:ascii="Garamond" w:hAnsi="Garamond"/>
                <w:lang w:val="en-AU"/>
              </w:rPr>
              <w:t>When the shortage was announced, a number of interventions were implemented, including:</w:t>
            </w:r>
          </w:p>
          <w:p w:rsidR="000522FA" w:rsidRPr="000522FA" w:rsidRDefault="000522FA" w:rsidP="000522FA">
            <w:pPr>
              <w:pStyle w:val="ListParagraph"/>
              <w:numPr>
                <w:ilvl w:val="0"/>
                <w:numId w:val="24"/>
              </w:numPr>
              <w:rPr>
                <w:rFonts w:ascii="Garamond" w:hAnsi="Garamond"/>
                <w:lang w:val="en-AU"/>
              </w:rPr>
            </w:pPr>
            <w:r w:rsidRPr="000522FA">
              <w:rPr>
                <w:rFonts w:ascii="Garamond" w:hAnsi="Garamond"/>
                <w:lang w:val="en-AU"/>
              </w:rPr>
              <w:t>on single order entry, a clinical decision support message was created in the electronic medical record advising limiting the use of intravenous PPI to patients with active upper gastrointestinal bleeding</w:t>
            </w:r>
          </w:p>
          <w:p w:rsidR="000522FA" w:rsidRDefault="000522FA" w:rsidP="000522FA">
            <w:pPr>
              <w:pStyle w:val="ListParagraph"/>
              <w:numPr>
                <w:ilvl w:val="0"/>
                <w:numId w:val="24"/>
              </w:numPr>
              <w:rPr>
                <w:rFonts w:ascii="Garamond" w:hAnsi="Garamond"/>
                <w:lang w:val="en-AU"/>
              </w:rPr>
            </w:pPr>
            <w:r w:rsidRPr="000522FA">
              <w:rPr>
                <w:rFonts w:ascii="Garamond" w:hAnsi="Garamond"/>
                <w:lang w:val="en-AU"/>
              </w:rPr>
              <w:t>all remaining intravenous PPI orders required pharmacy approval prior to execution</w:t>
            </w:r>
          </w:p>
          <w:p w:rsidR="000522FA" w:rsidRDefault="000522FA" w:rsidP="000522FA">
            <w:pPr>
              <w:pStyle w:val="ListParagraph"/>
              <w:numPr>
                <w:ilvl w:val="0"/>
                <w:numId w:val="24"/>
              </w:numPr>
              <w:rPr>
                <w:rFonts w:ascii="Garamond" w:hAnsi="Garamond"/>
                <w:lang w:val="en-AU"/>
              </w:rPr>
            </w:pPr>
            <w:r w:rsidRPr="000522FA">
              <w:rPr>
                <w:rFonts w:ascii="Garamond" w:hAnsi="Garamond"/>
                <w:lang w:val="en-AU"/>
              </w:rPr>
              <w:t>order panels including continuous intravenous PPI had automatic stop orders after 24</w:t>
            </w:r>
            <w:r w:rsidRPr="000522FA">
              <w:rPr>
                <w:lang w:val="en-AU"/>
              </w:rPr>
              <w:t> </w:t>
            </w:r>
            <w:r w:rsidRPr="000522FA">
              <w:rPr>
                <w:rFonts w:ascii="Garamond" w:hAnsi="Garamond"/>
                <w:lang w:val="en-AU"/>
              </w:rPr>
              <w:t>hours panelled with a step down to oral PPI to complete therapy.</w:t>
            </w:r>
          </w:p>
          <w:p w:rsidR="000522FA" w:rsidRDefault="000522FA" w:rsidP="000522FA">
            <w:pPr>
              <w:rPr>
                <w:rFonts w:ascii="Garamond" w:hAnsi="Garamond"/>
                <w:lang w:val="en-AU"/>
              </w:rPr>
            </w:pPr>
            <w:r>
              <w:rPr>
                <w:rFonts w:ascii="Garamond" w:hAnsi="Garamond"/>
                <w:lang w:val="en-AU"/>
              </w:rPr>
              <w:t>These were than retained even after the shortage was resolved. The authors report that “</w:t>
            </w:r>
            <w:r w:rsidRPr="000522FA">
              <w:rPr>
                <w:rFonts w:ascii="Garamond" w:hAnsi="Garamond"/>
                <w:lang w:val="en-AU"/>
              </w:rPr>
              <w:t xml:space="preserve">Over the next 2 years, the decrease in use of intravenous PPI has been sustained, an approximate </w:t>
            </w:r>
            <w:r w:rsidRPr="000522FA">
              <w:rPr>
                <w:rFonts w:ascii="Garamond" w:hAnsi="Garamond"/>
                <w:b/>
                <w:lang w:val="en-AU"/>
              </w:rPr>
              <w:t>75% reduction</w:t>
            </w:r>
            <w:r w:rsidRPr="000522FA">
              <w:rPr>
                <w:rFonts w:ascii="Garamond" w:hAnsi="Garamond"/>
                <w:lang w:val="en-AU"/>
              </w:rPr>
              <w:t xml:space="preserve"> from baseline use. The estimated cumulative </w:t>
            </w:r>
            <w:r w:rsidRPr="000522FA">
              <w:rPr>
                <w:rFonts w:ascii="Garamond" w:hAnsi="Garamond"/>
                <w:b/>
                <w:lang w:val="en-AU"/>
              </w:rPr>
              <w:t>cost saving</w:t>
            </w:r>
            <w:r w:rsidRPr="000522FA">
              <w:rPr>
                <w:rFonts w:ascii="Garamond" w:hAnsi="Garamond"/>
                <w:lang w:val="en-AU"/>
              </w:rPr>
              <w:t xml:space="preserve"> of this intervention has been $200</w:t>
            </w:r>
            <w:r w:rsidRPr="000522FA">
              <w:rPr>
                <w:lang w:val="en-AU"/>
              </w:rPr>
              <w:t> </w:t>
            </w:r>
            <w:r w:rsidRPr="000522FA">
              <w:rPr>
                <w:rFonts w:ascii="Garamond" w:hAnsi="Garamond"/>
                <w:lang w:val="en-AU"/>
              </w:rPr>
              <w:t xml:space="preserve">000. More importantly, we noticed a change in the ordering pattern of providers, and pharmacists had to perform minimal order entry outside of the prebuilt order sets and panels as time passed. There were </w:t>
            </w:r>
            <w:r w:rsidRPr="000522FA">
              <w:rPr>
                <w:rFonts w:ascii="Garamond" w:hAnsi="Garamond"/>
                <w:b/>
                <w:lang w:val="en-AU"/>
              </w:rPr>
              <w:t>no reported adverse clinical outcomes</w:t>
            </w:r>
            <w:r w:rsidRPr="000522FA">
              <w:rPr>
                <w:rFonts w:ascii="Garamond" w:hAnsi="Garamond"/>
                <w:lang w:val="en-AU"/>
              </w:rPr>
              <w:t>.</w:t>
            </w:r>
            <w:r>
              <w:rPr>
                <w:rFonts w:ascii="Garamond" w:hAnsi="Garamond"/>
                <w:lang w:val="en-AU"/>
              </w:rPr>
              <w:t>”</w:t>
            </w:r>
          </w:p>
          <w:p w:rsidR="00450639" w:rsidRDefault="00450639" w:rsidP="000522FA">
            <w:pPr>
              <w:rPr>
                <w:rFonts w:ascii="Garamond" w:hAnsi="Garamond"/>
                <w:lang w:val="en-AU"/>
              </w:rPr>
            </w:pPr>
            <w:r>
              <w:rPr>
                <w:rFonts w:ascii="Garamond" w:hAnsi="Garamond"/>
                <w:lang w:val="en-AU"/>
              </w:rPr>
              <w:t>They also note that “rapid adoption of high-value change is possible”. It also reinforces the adage about never letting a crisis go to waste. It can be an opportunity to review practice and behaviour.</w:t>
            </w:r>
          </w:p>
          <w:p w:rsidR="00450639" w:rsidRPr="000522FA" w:rsidRDefault="00450639" w:rsidP="000522FA">
            <w:pPr>
              <w:rPr>
                <w:rFonts w:ascii="Garamond" w:hAnsi="Garamond"/>
                <w:lang w:val="en-AU"/>
              </w:rPr>
            </w:pPr>
            <w:r>
              <w:rPr>
                <w:rFonts w:ascii="Garamond" w:hAnsi="Garamond"/>
                <w:noProof/>
                <w:lang w:val="en-AU" w:eastAsia="en-AU"/>
              </w:rPr>
              <w:drawing>
                <wp:inline distT="0" distB="0" distL="0" distR="0" wp14:anchorId="5EBD71A4" wp14:editId="24BD855C">
                  <wp:extent cx="5159828" cy="2709518"/>
                  <wp:effectExtent l="0" t="0" r="3175" b="0"/>
                  <wp:docPr id="4" name="Picture 4" descr="\\central.health\dfsuserenv\Users\User_07\JOHNNI\Desktop\bmjqs-2017-007015-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bmjqs-2017-007015-F1.lar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9948" cy="2709581"/>
                          </a:xfrm>
                          <a:prstGeom prst="rect">
                            <a:avLst/>
                          </a:prstGeom>
                          <a:noFill/>
                          <a:ln>
                            <a:noFill/>
                          </a:ln>
                        </pic:spPr>
                      </pic:pic>
                    </a:graphicData>
                  </a:graphic>
                </wp:inline>
              </w:drawing>
            </w:r>
          </w:p>
        </w:tc>
      </w:tr>
    </w:tbl>
    <w:p w:rsidR="00060010" w:rsidRDefault="00060010" w:rsidP="00060010">
      <w:pPr>
        <w:keepNext/>
        <w:rPr>
          <w:rFonts w:ascii="Garamond" w:hAnsi="Garamond"/>
          <w:lang w:val="en-AU"/>
        </w:rPr>
      </w:pPr>
      <w:r w:rsidRPr="00D9161E">
        <w:rPr>
          <w:rFonts w:ascii="Garamond" w:hAnsi="Garamond"/>
          <w:lang w:val="en-AU"/>
        </w:rPr>
        <w:lastRenderedPageBreak/>
        <w:t>For information the Commission’s work on</w:t>
      </w:r>
      <w:r>
        <w:rPr>
          <w:rFonts w:ascii="Garamond" w:hAnsi="Garamond"/>
          <w:lang w:val="en-AU"/>
        </w:rPr>
        <w:t xml:space="preserve"> medication safety, see </w:t>
      </w:r>
      <w:hyperlink r:id="rId22" w:history="1">
        <w:r w:rsidRPr="00C843E7">
          <w:rPr>
            <w:rStyle w:val="Hyperlink"/>
            <w:rFonts w:ascii="Garamond" w:hAnsi="Garamond"/>
            <w:lang w:val="en-AU"/>
          </w:rPr>
          <w:t>https://www.safetyandquality.gov.au/our-work/medication-safety/</w:t>
        </w:r>
      </w:hyperlink>
    </w:p>
    <w:p w:rsidR="00060010" w:rsidRPr="00D9161E" w:rsidRDefault="00060010" w:rsidP="00060010">
      <w:pPr>
        <w:keepNext/>
        <w:rPr>
          <w:rFonts w:ascii="Garamond" w:hAnsi="Garamond"/>
          <w:i/>
          <w:lang w:val="en-AU"/>
        </w:rPr>
      </w:pPr>
    </w:p>
    <w:p w:rsidR="00060010" w:rsidRPr="00012FCF" w:rsidRDefault="00060010" w:rsidP="00060010">
      <w:pPr>
        <w:keepNext/>
        <w:rPr>
          <w:rFonts w:ascii="Garamond" w:hAnsi="Garamond"/>
          <w:i/>
          <w:lang w:val="en-AU"/>
        </w:rPr>
      </w:pPr>
      <w:r w:rsidRPr="00012FCF">
        <w:rPr>
          <w:rFonts w:ascii="Garamond" w:hAnsi="Garamond"/>
          <w:i/>
          <w:lang w:val="en-AU"/>
        </w:rPr>
        <w:t>The third global patient safety challenge: tackling medication-related harm</w:t>
      </w:r>
    </w:p>
    <w:p w:rsidR="00060010" w:rsidRDefault="00060010" w:rsidP="00060010">
      <w:pPr>
        <w:keepNext/>
        <w:rPr>
          <w:rFonts w:ascii="Garamond" w:hAnsi="Garamond"/>
          <w:lang w:val="en-AU"/>
        </w:rPr>
      </w:pPr>
      <w:r w:rsidRPr="00012FCF">
        <w:rPr>
          <w:rFonts w:ascii="Garamond" w:hAnsi="Garamond"/>
          <w:lang w:val="en-AU"/>
        </w:rPr>
        <w:t>Sheikh A, Dhingra-Kumar N, Kelley E, Kieny MP, Donaldson LJ</w:t>
      </w:r>
    </w:p>
    <w:p w:rsidR="00060010" w:rsidRPr="00D9161E" w:rsidRDefault="00060010" w:rsidP="00060010">
      <w:pPr>
        <w:keepNext/>
        <w:rPr>
          <w:rFonts w:ascii="Garamond" w:hAnsi="Garamond"/>
          <w:lang w:val="en-AU"/>
        </w:rPr>
      </w:pPr>
      <w:r w:rsidRPr="00012FCF">
        <w:rPr>
          <w:rFonts w:ascii="Garamond" w:hAnsi="Garamond"/>
          <w:lang w:val="en-AU"/>
        </w:rPr>
        <w:t>Bulletin of the World Health Organization. 2017;95:546-a.</w:t>
      </w:r>
    </w:p>
    <w:tbl>
      <w:tblPr>
        <w:tblStyle w:val="TableGrid"/>
        <w:tblW w:w="0" w:type="auto"/>
        <w:tblInd w:w="288" w:type="dxa"/>
        <w:tblLayout w:type="fixed"/>
        <w:tblLook w:val="01E0" w:firstRow="1" w:lastRow="1" w:firstColumn="1" w:lastColumn="1" w:noHBand="0" w:noVBand="0"/>
      </w:tblPr>
      <w:tblGrid>
        <w:gridCol w:w="1080"/>
        <w:gridCol w:w="8280"/>
      </w:tblGrid>
      <w:tr w:rsidR="00060010"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rPr>
                <w:rStyle w:val="Hyperlink"/>
                <w:rFonts w:ascii="Garamond" w:hAnsi="Garamond"/>
                <w:color w:val="auto"/>
                <w:u w:val="none"/>
                <w:lang w:val="en-AU"/>
              </w:rPr>
            </w:pPr>
            <w:hyperlink r:id="rId23" w:history="1">
              <w:r w:rsidRPr="00C843E7">
                <w:rPr>
                  <w:rStyle w:val="Hyperlink"/>
                  <w:rFonts w:ascii="Garamond" w:hAnsi="Garamond"/>
                  <w:lang w:val="en-AU"/>
                </w:rPr>
                <w:t>http://dx.doi.org/10.2471/BLT.17.198002</w:t>
              </w:r>
            </w:hyperlink>
          </w:p>
        </w:tc>
      </w:tr>
      <w:tr w:rsidR="00060010"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0010" w:rsidRDefault="00060010" w:rsidP="00D720BB">
            <w:pPr>
              <w:rPr>
                <w:rFonts w:ascii="Garamond" w:hAnsi="Garamond"/>
                <w:lang w:val="en-AU"/>
              </w:rPr>
            </w:pPr>
            <w:r>
              <w:rPr>
                <w:rFonts w:ascii="Garamond" w:hAnsi="Garamond"/>
                <w:lang w:val="en-AU"/>
              </w:rPr>
              <w:t xml:space="preserve">Editorial in the Bulletin of the World Health Organization describing the WHO’s recent announcement of </w:t>
            </w:r>
            <w:r w:rsidRPr="00012FCF">
              <w:rPr>
                <w:rFonts w:ascii="Garamond" w:hAnsi="Garamond"/>
                <w:lang w:val="en-AU"/>
              </w:rPr>
              <w:t>its third global patient safety challenge</w:t>
            </w:r>
            <w:r>
              <w:rPr>
                <w:rFonts w:ascii="Garamond" w:hAnsi="Garamond"/>
                <w:lang w:val="en-AU"/>
              </w:rPr>
              <w:t xml:space="preserve">, </w:t>
            </w:r>
            <w:r w:rsidRPr="00012FCF">
              <w:rPr>
                <w:rFonts w:ascii="Garamond" w:hAnsi="Garamond"/>
                <w:b/>
                <w:lang w:val="en-AU"/>
              </w:rPr>
              <w:t>Medication without harm</w:t>
            </w:r>
            <w:r>
              <w:rPr>
                <w:rFonts w:ascii="Garamond" w:hAnsi="Garamond"/>
                <w:lang w:val="en-AU"/>
              </w:rPr>
              <w:t xml:space="preserve">. This challenge </w:t>
            </w:r>
            <w:r w:rsidRPr="00012FCF">
              <w:rPr>
                <w:rFonts w:ascii="Garamond" w:hAnsi="Garamond"/>
                <w:lang w:val="en-AU"/>
              </w:rPr>
              <w:t xml:space="preserve">aims to reduce the global burden of iatrogenic medication-related harm by 50% within five years. </w:t>
            </w:r>
            <w:r>
              <w:rPr>
                <w:rFonts w:ascii="Garamond" w:hAnsi="Garamond"/>
                <w:lang w:val="en-AU"/>
              </w:rPr>
              <w:t>A number of priority areas that most affect patients have been identified. These include high-risk situations, polypharmacy and transitions of care.</w:t>
            </w:r>
          </w:p>
          <w:p w:rsidR="00060010" w:rsidRDefault="00060010" w:rsidP="00D720BB">
            <w:pPr>
              <w:rPr>
                <w:rFonts w:ascii="Garamond" w:hAnsi="Garamond"/>
                <w:lang w:val="en-AU"/>
              </w:rPr>
            </w:pPr>
            <w:r>
              <w:rPr>
                <w:rFonts w:ascii="Garamond" w:hAnsi="Garamond"/>
                <w:lang w:val="en-AU"/>
              </w:rPr>
              <w:t xml:space="preserve">The WHO’s challenge </w:t>
            </w:r>
            <w:r w:rsidRPr="00012FCF">
              <w:rPr>
                <w:rFonts w:ascii="Garamond" w:hAnsi="Garamond"/>
                <w:lang w:val="en-AU"/>
              </w:rPr>
              <w:t xml:space="preserve">invites health ministers to initiate national plans addressing four domains of medication safety: </w:t>
            </w:r>
          </w:p>
          <w:p w:rsidR="00060010" w:rsidRPr="00012FCF" w:rsidRDefault="00060010" w:rsidP="00D720BB">
            <w:pPr>
              <w:pStyle w:val="ListParagraph"/>
              <w:numPr>
                <w:ilvl w:val="0"/>
                <w:numId w:val="20"/>
              </w:numPr>
              <w:rPr>
                <w:rFonts w:ascii="Garamond" w:hAnsi="Garamond"/>
                <w:lang w:val="en-AU"/>
              </w:rPr>
            </w:pPr>
            <w:r w:rsidRPr="00012FCF">
              <w:rPr>
                <w:rFonts w:ascii="Garamond" w:hAnsi="Garamond"/>
                <w:lang w:val="en-AU"/>
              </w:rPr>
              <w:t>engaging patients and the public</w:t>
            </w:r>
          </w:p>
          <w:p w:rsidR="00060010" w:rsidRPr="00012FCF" w:rsidRDefault="00060010" w:rsidP="00D720BB">
            <w:pPr>
              <w:pStyle w:val="ListParagraph"/>
              <w:numPr>
                <w:ilvl w:val="0"/>
                <w:numId w:val="20"/>
              </w:numPr>
              <w:rPr>
                <w:rFonts w:ascii="Garamond" w:hAnsi="Garamond"/>
                <w:lang w:val="en-AU"/>
              </w:rPr>
            </w:pPr>
            <w:r w:rsidRPr="00012FCF">
              <w:rPr>
                <w:rFonts w:ascii="Garamond" w:hAnsi="Garamond"/>
                <w:lang w:val="en-AU"/>
              </w:rPr>
              <w:t>medication as products</w:t>
            </w:r>
          </w:p>
          <w:p w:rsidR="00060010" w:rsidRPr="00012FCF" w:rsidRDefault="00060010" w:rsidP="00D720BB">
            <w:pPr>
              <w:pStyle w:val="ListParagraph"/>
              <w:numPr>
                <w:ilvl w:val="0"/>
                <w:numId w:val="20"/>
              </w:numPr>
              <w:rPr>
                <w:rFonts w:ascii="Garamond" w:hAnsi="Garamond"/>
                <w:lang w:val="en-AU"/>
              </w:rPr>
            </w:pPr>
            <w:r w:rsidRPr="00012FCF">
              <w:rPr>
                <w:rFonts w:ascii="Garamond" w:hAnsi="Garamond"/>
                <w:lang w:val="en-AU"/>
              </w:rPr>
              <w:t>education, training and monitoring of health-care professionals</w:t>
            </w:r>
          </w:p>
          <w:p w:rsidR="00060010" w:rsidRPr="00012FCF" w:rsidRDefault="00060010" w:rsidP="00D720BB">
            <w:pPr>
              <w:pStyle w:val="ListParagraph"/>
              <w:numPr>
                <w:ilvl w:val="0"/>
                <w:numId w:val="20"/>
              </w:numPr>
              <w:rPr>
                <w:rFonts w:ascii="Garamond" w:hAnsi="Garamond"/>
                <w:lang w:val="en-AU"/>
              </w:rPr>
            </w:pPr>
            <w:r w:rsidRPr="00012FCF">
              <w:rPr>
                <w:rFonts w:ascii="Garamond" w:hAnsi="Garamond"/>
                <w:lang w:val="en-AU"/>
              </w:rPr>
              <w:t xml:space="preserve">systems and practices of medication management. </w:t>
            </w:r>
          </w:p>
          <w:p w:rsidR="00060010" w:rsidRPr="00D9161E" w:rsidRDefault="00060010" w:rsidP="00D720BB">
            <w:pPr>
              <w:rPr>
                <w:rFonts w:ascii="Garamond" w:hAnsi="Garamond"/>
                <w:lang w:val="en-AU"/>
              </w:rPr>
            </w:pPr>
            <w:r>
              <w:rPr>
                <w:rFonts w:ascii="Garamond" w:hAnsi="Garamond"/>
                <w:lang w:val="en-AU"/>
              </w:rPr>
              <w:t>The WHO’s role in t</w:t>
            </w:r>
            <w:r w:rsidRPr="00012FCF">
              <w:rPr>
                <w:rFonts w:ascii="Garamond" w:hAnsi="Garamond"/>
                <w:lang w:val="en-AU"/>
              </w:rPr>
              <w:t xml:space="preserve">his challenge </w:t>
            </w:r>
            <w:r>
              <w:rPr>
                <w:rFonts w:ascii="Garamond" w:hAnsi="Garamond"/>
                <w:lang w:val="en-AU"/>
              </w:rPr>
              <w:t xml:space="preserve">would be </w:t>
            </w:r>
            <w:r w:rsidRPr="00012FCF">
              <w:rPr>
                <w:rFonts w:ascii="Garamond" w:hAnsi="Garamond"/>
                <w:lang w:val="en-AU"/>
              </w:rPr>
              <w:t>to drive forward a range of global actions on medication safety.</w:t>
            </w:r>
            <w:r>
              <w:rPr>
                <w:rFonts w:ascii="Garamond" w:hAnsi="Garamond"/>
                <w:lang w:val="en-AU"/>
              </w:rPr>
              <w:t xml:space="preserve"> The WHO’s webpage for this challenge is at </w:t>
            </w:r>
            <w:hyperlink r:id="rId24" w:history="1">
              <w:r w:rsidRPr="00C843E7">
                <w:rPr>
                  <w:rStyle w:val="Hyperlink"/>
                  <w:rFonts w:ascii="Garamond" w:hAnsi="Garamond"/>
                  <w:lang w:val="en-AU"/>
                </w:rPr>
                <w:t>http://www.who.int/patientsafety/medication-safety/en/</w:t>
              </w:r>
            </w:hyperlink>
          </w:p>
        </w:tc>
      </w:tr>
    </w:tbl>
    <w:p w:rsidR="00060010" w:rsidRDefault="00060010" w:rsidP="00060010">
      <w:pPr>
        <w:keepNext/>
        <w:rPr>
          <w:rFonts w:ascii="Garamond" w:hAnsi="Garamond"/>
          <w:lang w:val="en-AU"/>
        </w:rPr>
      </w:pPr>
    </w:p>
    <w:p w:rsidR="00B92744" w:rsidRPr="00B92744" w:rsidRDefault="00B92744" w:rsidP="00B92744">
      <w:pPr>
        <w:keepNext/>
        <w:rPr>
          <w:rFonts w:ascii="Garamond" w:hAnsi="Garamond"/>
          <w:i/>
          <w:lang w:val="en-AU"/>
        </w:rPr>
      </w:pPr>
      <w:r w:rsidRPr="00B92744">
        <w:rPr>
          <w:rFonts w:ascii="Garamond" w:hAnsi="Garamond"/>
          <w:i/>
          <w:lang w:val="en-AU"/>
        </w:rPr>
        <w:t>A trip to healthcare</w:t>
      </w:r>
    </w:p>
    <w:p w:rsidR="00B92744" w:rsidRDefault="00450639" w:rsidP="001E5BD1">
      <w:pPr>
        <w:keepNext/>
        <w:rPr>
          <w:rFonts w:ascii="Garamond" w:hAnsi="Garamond"/>
          <w:lang w:val="en-AU"/>
        </w:rPr>
      </w:pPr>
      <w:r>
        <w:rPr>
          <w:rFonts w:ascii="Garamond" w:hAnsi="Garamond"/>
          <w:lang w:val="en-AU"/>
        </w:rPr>
        <w:t>M</w:t>
      </w:r>
      <w:r w:rsidR="00B92744" w:rsidRPr="00B92744">
        <w:rPr>
          <w:rFonts w:ascii="Garamond" w:hAnsi="Garamond"/>
          <w:lang w:val="en-AU"/>
        </w:rPr>
        <w:t xml:space="preserve">atz </w:t>
      </w:r>
      <w:r>
        <w:rPr>
          <w:rFonts w:ascii="Garamond" w:hAnsi="Garamond"/>
          <w:lang w:val="en-AU"/>
        </w:rPr>
        <w:t>DE</w:t>
      </w:r>
    </w:p>
    <w:p w:rsidR="001E5BD1" w:rsidRDefault="00B92744" w:rsidP="001E5BD1">
      <w:pPr>
        <w:keepNext/>
        <w:rPr>
          <w:rFonts w:ascii="Garamond" w:hAnsi="Garamond"/>
          <w:lang w:val="en-AU"/>
        </w:rPr>
      </w:pPr>
      <w:r w:rsidRPr="00B92744">
        <w:rPr>
          <w:rFonts w:ascii="Garamond" w:hAnsi="Garamond"/>
          <w:lang w:val="en-AU"/>
        </w:rPr>
        <w:t>Patient Experience Journal. 2017;4(2):9-12.</w:t>
      </w:r>
    </w:p>
    <w:p w:rsidR="00B92744" w:rsidRDefault="00B92744" w:rsidP="001E5BD1">
      <w:pPr>
        <w:keepNext/>
        <w:rPr>
          <w:rFonts w:ascii="Garamond" w:hAnsi="Garamond"/>
          <w:lang w:val="en-AU"/>
        </w:rPr>
      </w:pPr>
    </w:p>
    <w:p w:rsidR="00B92744" w:rsidRPr="00B92744" w:rsidRDefault="00B92744" w:rsidP="00B92744">
      <w:pPr>
        <w:keepNext/>
        <w:rPr>
          <w:rFonts w:ascii="Garamond" w:hAnsi="Garamond"/>
          <w:i/>
          <w:lang w:val="en-AU"/>
        </w:rPr>
      </w:pPr>
      <w:r w:rsidRPr="00B92744">
        <w:rPr>
          <w:rFonts w:ascii="Garamond" w:hAnsi="Garamond"/>
          <w:i/>
          <w:lang w:val="en-AU"/>
        </w:rPr>
        <w:t>The paradigm of patient must evolve: Why a false sense of limited capacity can subvert all attempts at patient involvement</w:t>
      </w:r>
    </w:p>
    <w:p w:rsidR="00B92744" w:rsidRDefault="00B92744" w:rsidP="001E5BD1">
      <w:pPr>
        <w:keepNext/>
        <w:rPr>
          <w:rFonts w:ascii="Garamond" w:hAnsi="Garamond"/>
          <w:lang w:val="en-AU"/>
        </w:rPr>
      </w:pPr>
      <w:r w:rsidRPr="00B92744">
        <w:rPr>
          <w:rFonts w:ascii="Garamond" w:hAnsi="Garamond"/>
          <w:lang w:val="en-AU"/>
        </w:rPr>
        <w:t>deBronkart D</w:t>
      </w:r>
    </w:p>
    <w:p w:rsidR="00B92744" w:rsidRPr="00D9161E" w:rsidRDefault="00B92744" w:rsidP="001E5BD1">
      <w:pPr>
        <w:keepNext/>
        <w:rPr>
          <w:rFonts w:ascii="Garamond" w:hAnsi="Garamond"/>
          <w:lang w:val="en-AU"/>
        </w:rPr>
      </w:pPr>
      <w:r w:rsidRPr="00B92744">
        <w:rPr>
          <w:rFonts w:ascii="Garamond" w:hAnsi="Garamond"/>
          <w:lang w:val="en-AU"/>
        </w:rPr>
        <w:t>Patient Experience Journal. 2017;4(2):4-8.</w:t>
      </w:r>
    </w:p>
    <w:tbl>
      <w:tblPr>
        <w:tblStyle w:val="TableGrid"/>
        <w:tblW w:w="0" w:type="auto"/>
        <w:tblInd w:w="288" w:type="dxa"/>
        <w:tblLayout w:type="fixed"/>
        <w:tblLook w:val="01E0" w:firstRow="1" w:lastRow="1" w:firstColumn="1" w:lastColumn="1" w:noHBand="0" w:noVBand="0"/>
      </w:tblPr>
      <w:tblGrid>
        <w:gridCol w:w="1080"/>
        <w:gridCol w:w="8280"/>
      </w:tblGrid>
      <w:tr w:rsidR="001E5BD1" w:rsidRPr="00D9161E" w:rsidTr="0044649E">
        <w:tc>
          <w:tcPr>
            <w:tcW w:w="1080" w:type="dxa"/>
            <w:tcBorders>
              <w:top w:val="single" w:sz="4" w:space="0" w:color="auto"/>
              <w:left w:val="single" w:sz="4" w:space="0" w:color="auto"/>
              <w:bottom w:val="single" w:sz="4" w:space="0" w:color="auto"/>
              <w:right w:val="single" w:sz="4" w:space="0" w:color="auto"/>
            </w:tcBorders>
            <w:vAlign w:val="center"/>
          </w:tcPr>
          <w:p w:rsidR="001E5BD1" w:rsidRPr="00D9161E" w:rsidRDefault="00B92744" w:rsidP="0044649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2744" w:rsidRDefault="00450639" w:rsidP="0044649E">
            <w:pPr>
              <w:rPr>
                <w:rFonts w:ascii="Garamond" w:hAnsi="Garamond"/>
                <w:lang w:val="en-AU"/>
              </w:rPr>
            </w:pPr>
            <w:r>
              <w:rPr>
                <w:rFonts w:ascii="Garamond" w:hAnsi="Garamond"/>
                <w:lang w:val="en-AU"/>
              </w:rPr>
              <w:t>M</w:t>
            </w:r>
            <w:r w:rsidR="00B92744">
              <w:rPr>
                <w:rFonts w:ascii="Garamond" w:hAnsi="Garamond"/>
                <w:lang w:val="en-AU"/>
              </w:rPr>
              <w:t xml:space="preserve">atz  </w:t>
            </w:r>
            <w:hyperlink r:id="rId25" w:history="1">
              <w:r w:rsidR="00B92744" w:rsidRPr="00A037F8">
                <w:rPr>
                  <w:rStyle w:val="Hyperlink"/>
                  <w:rFonts w:ascii="Garamond" w:hAnsi="Garamond"/>
                  <w:lang w:val="en-AU"/>
                </w:rPr>
                <w:t>http://pxj</w:t>
              </w:r>
              <w:r w:rsidR="00B92744" w:rsidRPr="00A037F8">
                <w:rPr>
                  <w:rStyle w:val="Hyperlink"/>
                  <w:rFonts w:ascii="Garamond" w:hAnsi="Garamond"/>
                  <w:lang w:val="en-AU"/>
                </w:rPr>
                <w:t>o</w:t>
              </w:r>
              <w:r w:rsidR="00B92744" w:rsidRPr="00A037F8">
                <w:rPr>
                  <w:rStyle w:val="Hyperlink"/>
                  <w:rFonts w:ascii="Garamond" w:hAnsi="Garamond"/>
                  <w:lang w:val="en-AU"/>
                </w:rPr>
                <w:t>urnal.org/journal/vol4/iss2/3/</w:t>
              </w:r>
            </w:hyperlink>
          </w:p>
          <w:p w:rsidR="00B92744" w:rsidRPr="00D9161E" w:rsidRDefault="00B92744" w:rsidP="00B92744">
            <w:pPr>
              <w:rPr>
                <w:rStyle w:val="Hyperlink"/>
                <w:rFonts w:ascii="Garamond" w:hAnsi="Garamond"/>
                <w:color w:val="auto"/>
                <w:u w:val="none"/>
                <w:lang w:val="en-AU"/>
              </w:rPr>
            </w:pPr>
            <w:r w:rsidRPr="00B92744">
              <w:rPr>
                <w:rFonts w:ascii="Garamond" w:hAnsi="Garamond"/>
                <w:lang w:val="en-AU"/>
              </w:rPr>
              <w:t>deBronkart</w:t>
            </w:r>
            <w:r>
              <w:rPr>
                <w:rFonts w:ascii="Garamond" w:hAnsi="Garamond"/>
                <w:lang w:val="en-AU"/>
              </w:rPr>
              <w:t xml:space="preserve"> </w:t>
            </w:r>
            <w:hyperlink r:id="rId26" w:history="1">
              <w:r w:rsidRPr="00A037F8">
                <w:rPr>
                  <w:rStyle w:val="Hyperlink"/>
                  <w:rFonts w:ascii="Garamond" w:hAnsi="Garamond"/>
                  <w:lang w:val="en-AU"/>
                </w:rPr>
                <w:t>http://pxjournal.org/journal/vol4/iss2/2</w:t>
              </w:r>
            </w:hyperlink>
          </w:p>
        </w:tc>
      </w:tr>
      <w:tr w:rsidR="001E5BD1" w:rsidRPr="00D9161E" w:rsidTr="0044649E">
        <w:tc>
          <w:tcPr>
            <w:tcW w:w="1080" w:type="dxa"/>
            <w:tcBorders>
              <w:top w:val="single" w:sz="4" w:space="0" w:color="auto"/>
              <w:left w:val="single" w:sz="4" w:space="0" w:color="auto"/>
              <w:bottom w:val="single" w:sz="4" w:space="0" w:color="auto"/>
              <w:right w:val="single" w:sz="4" w:space="0" w:color="auto"/>
            </w:tcBorders>
            <w:vAlign w:val="center"/>
          </w:tcPr>
          <w:p w:rsidR="001E5BD1" w:rsidRPr="00D9161E" w:rsidRDefault="001E5BD1" w:rsidP="0044649E">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5BD1" w:rsidRDefault="00450639" w:rsidP="00450639">
            <w:pPr>
              <w:rPr>
                <w:rFonts w:ascii="Garamond" w:hAnsi="Garamond"/>
                <w:lang w:val="en-AU"/>
              </w:rPr>
            </w:pPr>
            <w:r>
              <w:rPr>
                <w:rFonts w:ascii="Garamond" w:hAnsi="Garamond"/>
                <w:lang w:val="en-AU"/>
              </w:rPr>
              <w:t xml:space="preserve">A pair of items in the latest issue of the </w:t>
            </w:r>
            <w:r w:rsidRPr="00450639">
              <w:rPr>
                <w:rFonts w:ascii="Garamond" w:hAnsi="Garamond"/>
                <w:i/>
                <w:lang w:val="en-AU"/>
              </w:rPr>
              <w:t>Patient Experience Journal</w:t>
            </w:r>
            <w:r>
              <w:rPr>
                <w:rFonts w:ascii="Garamond" w:hAnsi="Garamond"/>
                <w:lang w:val="en-AU"/>
              </w:rPr>
              <w:t xml:space="preserve"> that use narratives of complex or critical patient journeys (again, make use of the crises) to draw out important themes or learnings. </w:t>
            </w:r>
          </w:p>
          <w:p w:rsidR="00450639" w:rsidRDefault="00450639" w:rsidP="00450639">
            <w:pPr>
              <w:rPr>
                <w:rFonts w:ascii="Garamond" w:hAnsi="Garamond"/>
                <w:lang w:val="en-AU"/>
              </w:rPr>
            </w:pPr>
            <w:r>
              <w:rPr>
                <w:rFonts w:ascii="Garamond" w:hAnsi="Garamond"/>
                <w:lang w:val="en-AU"/>
              </w:rPr>
              <w:t>David Matz’s experience (two colonoscopies and three surgeries)prompted him to recommend:</w:t>
            </w:r>
          </w:p>
          <w:p w:rsidR="00450639" w:rsidRDefault="00450639" w:rsidP="00450639">
            <w:pPr>
              <w:pStyle w:val="ListParagraph"/>
              <w:numPr>
                <w:ilvl w:val="0"/>
                <w:numId w:val="25"/>
              </w:numPr>
              <w:rPr>
                <w:rFonts w:ascii="Garamond" w:hAnsi="Garamond"/>
                <w:lang w:val="en-AU"/>
              </w:rPr>
            </w:pPr>
            <w:r w:rsidRPr="00450639">
              <w:rPr>
                <w:rFonts w:ascii="Garamond" w:hAnsi="Garamond"/>
                <w:lang w:val="en-AU"/>
              </w:rPr>
              <w:t>Every doctor in a diagnostic-decision-making</w:t>
            </w:r>
            <w:r w:rsidRPr="00450639">
              <w:rPr>
                <w:rFonts w:ascii="Garamond" w:hAnsi="Garamond"/>
                <w:lang w:val="en-AU"/>
              </w:rPr>
              <w:t xml:space="preserve"> </w:t>
            </w:r>
            <w:r w:rsidRPr="00450639">
              <w:rPr>
                <w:rFonts w:ascii="Garamond" w:hAnsi="Garamond"/>
                <w:lang w:val="en-AU"/>
              </w:rPr>
              <w:t>interview should use the sentence “You have some choices here.” The</w:t>
            </w:r>
            <w:r>
              <w:rPr>
                <w:rFonts w:ascii="Garamond" w:hAnsi="Garamond"/>
                <w:lang w:val="en-AU"/>
              </w:rPr>
              <w:t xml:space="preserve"> </w:t>
            </w:r>
            <w:r w:rsidRPr="00450639">
              <w:rPr>
                <w:rFonts w:ascii="Garamond" w:hAnsi="Garamond"/>
                <w:lang w:val="en-AU"/>
              </w:rPr>
              <w:t>doctor will have preferences, of course, but the patient needs to hear</w:t>
            </w:r>
            <w:r>
              <w:rPr>
                <w:rFonts w:ascii="Garamond" w:hAnsi="Garamond"/>
                <w:lang w:val="en-AU"/>
              </w:rPr>
              <w:t xml:space="preserve"> </w:t>
            </w:r>
            <w:r w:rsidRPr="00450639">
              <w:rPr>
                <w:rFonts w:ascii="Garamond" w:hAnsi="Garamond"/>
                <w:lang w:val="en-AU"/>
              </w:rPr>
              <w:t>that there is more than one way to take the next step</w:t>
            </w:r>
            <w:r>
              <w:rPr>
                <w:rFonts w:ascii="Garamond" w:hAnsi="Garamond"/>
                <w:lang w:val="en-AU"/>
              </w:rPr>
              <w:t>.</w:t>
            </w:r>
          </w:p>
          <w:p w:rsidR="00450639" w:rsidRDefault="00450639" w:rsidP="00450639">
            <w:pPr>
              <w:pStyle w:val="ListParagraph"/>
              <w:numPr>
                <w:ilvl w:val="0"/>
                <w:numId w:val="25"/>
              </w:numPr>
              <w:rPr>
                <w:rFonts w:ascii="Garamond" w:hAnsi="Garamond"/>
                <w:lang w:val="en-AU"/>
              </w:rPr>
            </w:pPr>
            <w:r w:rsidRPr="00450639">
              <w:rPr>
                <w:rFonts w:ascii="Garamond" w:hAnsi="Garamond"/>
                <w:lang w:val="en-AU"/>
              </w:rPr>
              <w:t>For diagnostic-decision-making moments, all</w:t>
            </w:r>
            <w:r w:rsidRPr="00450639">
              <w:rPr>
                <w:rFonts w:ascii="Garamond" w:hAnsi="Garamond"/>
                <w:lang w:val="en-AU"/>
              </w:rPr>
              <w:t xml:space="preserve"> </w:t>
            </w:r>
            <w:r w:rsidRPr="00450639">
              <w:rPr>
                <w:rFonts w:ascii="Garamond" w:hAnsi="Garamond"/>
                <w:lang w:val="en-AU"/>
              </w:rPr>
              <w:t>doctors (and hospitals) should provide patients with support personnel</w:t>
            </w:r>
            <w:r>
              <w:rPr>
                <w:rFonts w:ascii="Garamond" w:hAnsi="Garamond"/>
                <w:lang w:val="en-AU"/>
              </w:rPr>
              <w:t xml:space="preserve"> </w:t>
            </w:r>
            <w:r w:rsidRPr="00450639">
              <w:rPr>
                <w:rFonts w:ascii="Garamond" w:hAnsi="Garamond"/>
                <w:lang w:val="en-AU"/>
              </w:rPr>
              <w:t>to help the patients use decision-aids, prepare for discussions with</w:t>
            </w:r>
            <w:r>
              <w:rPr>
                <w:rFonts w:ascii="Garamond" w:hAnsi="Garamond"/>
                <w:lang w:val="en-AU"/>
              </w:rPr>
              <w:t xml:space="preserve"> </w:t>
            </w:r>
            <w:r w:rsidRPr="00450639">
              <w:rPr>
                <w:rFonts w:ascii="Garamond" w:hAnsi="Garamond"/>
                <w:lang w:val="en-AU"/>
              </w:rPr>
              <w:t>doctors, and make the decisions.</w:t>
            </w:r>
          </w:p>
          <w:p w:rsidR="00060010" w:rsidRPr="00450639" w:rsidRDefault="00060010" w:rsidP="00060010">
            <w:pPr>
              <w:rPr>
                <w:rFonts w:ascii="Garamond" w:hAnsi="Garamond"/>
                <w:lang w:val="en-AU"/>
              </w:rPr>
            </w:pPr>
            <w:r>
              <w:rPr>
                <w:rFonts w:ascii="Garamond" w:hAnsi="Garamond"/>
                <w:lang w:val="en-AU"/>
              </w:rPr>
              <w:t xml:space="preserve">David deBronkart’s experience (Stage IV renal cell carcinoma) makes him reflect on the definition and role(s) of the patient with him advocating for much more engagement, </w:t>
            </w:r>
            <w:r w:rsidRPr="00060010">
              <w:rPr>
                <w:rFonts w:ascii="Garamond" w:hAnsi="Garamond"/>
                <w:b/>
                <w:lang w:val="en-AU"/>
              </w:rPr>
              <w:t>activation</w:t>
            </w:r>
            <w:r>
              <w:rPr>
                <w:rFonts w:ascii="Garamond" w:hAnsi="Garamond"/>
                <w:lang w:val="en-AU"/>
              </w:rPr>
              <w:t xml:space="preserve"> and </w:t>
            </w:r>
            <w:r w:rsidRPr="00060010">
              <w:rPr>
                <w:rFonts w:ascii="Garamond" w:hAnsi="Garamond"/>
                <w:b/>
                <w:lang w:val="en-AU"/>
              </w:rPr>
              <w:t>empowerment</w:t>
            </w:r>
            <w:r>
              <w:rPr>
                <w:rFonts w:ascii="Garamond" w:hAnsi="Garamond"/>
                <w:lang w:val="en-AU"/>
              </w:rPr>
              <w:t xml:space="preserve"> of the patient. He reminds us of the World Bank’s definition : “</w:t>
            </w:r>
            <w:r w:rsidRPr="00060010">
              <w:rPr>
                <w:rFonts w:ascii="Garamond" w:hAnsi="Garamond"/>
                <w:lang w:val="en-AU"/>
              </w:rPr>
              <w:t xml:space="preserve">Empowerment is increasing [someone’s] </w:t>
            </w:r>
            <w:r w:rsidRPr="00060010">
              <w:rPr>
                <w:rFonts w:ascii="Garamond" w:hAnsi="Garamond"/>
                <w:b/>
                <w:lang w:val="en-AU"/>
              </w:rPr>
              <w:t>capacity to make choices</w:t>
            </w:r>
            <w:r w:rsidRPr="00060010">
              <w:rPr>
                <w:rFonts w:ascii="Garamond" w:hAnsi="Garamond"/>
                <w:lang w:val="en-AU"/>
              </w:rPr>
              <w:t>,</w:t>
            </w:r>
            <w:r>
              <w:rPr>
                <w:rFonts w:ascii="Garamond" w:hAnsi="Garamond"/>
                <w:lang w:val="en-AU"/>
              </w:rPr>
              <w:t xml:space="preserve"> </w:t>
            </w:r>
            <w:r w:rsidRPr="00060010">
              <w:rPr>
                <w:rFonts w:ascii="Garamond" w:hAnsi="Garamond"/>
                <w:lang w:val="en-AU"/>
              </w:rPr>
              <w:t xml:space="preserve">and to convert those choices into </w:t>
            </w:r>
            <w:r w:rsidRPr="00060010">
              <w:rPr>
                <w:rFonts w:ascii="Garamond" w:hAnsi="Garamond"/>
                <w:b/>
                <w:lang w:val="en-AU"/>
              </w:rPr>
              <w:t>effective actions and outcomes</w:t>
            </w:r>
            <w:r w:rsidRPr="00060010">
              <w:rPr>
                <w:rFonts w:ascii="Garamond" w:hAnsi="Garamond"/>
                <w:lang w:val="en-AU"/>
              </w:rPr>
              <w:t>.</w:t>
            </w:r>
            <w:r>
              <w:rPr>
                <w:rFonts w:ascii="Garamond" w:hAnsi="Garamond"/>
                <w:lang w:val="en-AU"/>
              </w:rPr>
              <w:t>”</w:t>
            </w:r>
          </w:p>
        </w:tc>
      </w:tr>
    </w:tbl>
    <w:p w:rsidR="00C32A2F" w:rsidRPr="00D9161E" w:rsidRDefault="00C32A2F" w:rsidP="00C32A2F">
      <w:pPr>
        <w:keepNext/>
        <w:rPr>
          <w:rFonts w:ascii="Garamond" w:hAnsi="Garamond"/>
          <w:lang w:val="en-AU"/>
        </w:rPr>
      </w:pPr>
      <w:r w:rsidRPr="00D9161E">
        <w:rPr>
          <w:rFonts w:ascii="Garamond" w:hAnsi="Garamond"/>
          <w:lang w:val="en-AU"/>
        </w:rPr>
        <w:lastRenderedPageBreak/>
        <w:t xml:space="preserve">For information the Commission’s work on patient and consumer centred care, see </w:t>
      </w:r>
      <w:hyperlink r:id="rId27" w:history="1">
        <w:r w:rsidRPr="00D9161E">
          <w:rPr>
            <w:rStyle w:val="Hyperlink"/>
            <w:rFonts w:ascii="Garamond" w:hAnsi="Garamond"/>
            <w:lang w:val="en-AU"/>
          </w:rPr>
          <w:t>https://www.safetyandquality.gov.au/our-work/patient-and-consumer-centred-care/</w:t>
        </w:r>
      </w:hyperlink>
    </w:p>
    <w:p w:rsidR="00C32A2F" w:rsidRPr="00D9161E" w:rsidRDefault="00C32A2F" w:rsidP="00C32A2F">
      <w:pPr>
        <w:keepNext/>
        <w:keepLines/>
        <w:autoSpaceDE w:val="0"/>
        <w:autoSpaceDN w:val="0"/>
        <w:adjustRightInd w:val="0"/>
        <w:rPr>
          <w:rFonts w:ascii="Garamond" w:hAnsi="Garamond"/>
          <w:lang w:val="en-AU"/>
        </w:rPr>
      </w:pPr>
    </w:p>
    <w:p w:rsidR="00B92744" w:rsidRDefault="00B92744" w:rsidP="00E94F83">
      <w:pPr>
        <w:keepNext/>
        <w:rPr>
          <w:rFonts w:ascii="Garamond" w:hAnsi="Garamond"/>
          <w:i/>
          <w:lang w:val="en-AU"/>
        </w:rPr>
      </w:pPr>
      <w:r>
        <w:rPr>
          <w:rFonts w:ascii="Garamond" w:hAnsi="Garamond"/>
          <w:i/>
          <w:lang w:val="en-AU"/>
        </w:rPr>
        <w:t>Australian Health Review</w:t>
      </w:r>
    </w:p>
    <w:p w:rsidR="00B92744" w:rsidRPr="002E10E4" w:rsidRDefault="002E10E4" w:rsidP="00E94F83">
      <w:pPr>
        <w:keepNext/>
        <w:rPr>
          <w:rFonts w:ascii="Garamond" w:hAnsi="Garamond"/>
          <w:lang w:val="en-AU"/>
        </w:rPr>
      </w:pPr>
      <w:r w:rsidRPr="002E10E4">
        <w:rPr>
          <w:rFonts w:ascii="Garamond" w:hAnsi="Garamond"/>
          <w:lang w:val="en-AU"/>
        </w:rPr>
        <w:t>Volume 41 Number 4 2017</w:t>
      </w:r>
    </w:p>
    <w:tbl>
      <w:tblPr>
        <w:tblStyle w:val="TableGrid"/>
        <w:tblW w:w="0" w:type="auto"/>
        <w:tblInd w:w="288" w:type="dxa"/>
        <w:tblLayout w:type="fixed"/>
        <w:tblLook w:val="01E0" w:firstRow="1" w:lastRow="1" w:firstColumn="1" w:lastColumn="1" w:noHBand="0" w:noVBand="0"/>
      </w:tblPr>
      <w:tblGrid>
        <w:gridCol w:w="1080"/>
        <w:gridCol w:w="8280"/>
      </w:tblGrid>
      <w:tr w:rsidR="00B92744" w:rsidRPr="00D9161E" w:rsidTr="00BE1359">
        <w:tc>
          <w:tcPr>
            <w:tcW w:w="1080" w:type="dxa"/>
            <w:tcBorders>
              <w:top w:val="single" w:sz="4" w:space="0" w:color="auto"/>
              <w:left w:val="single" w:sz="4" w:space="0" w:color="auto"/>
              <w:bottom w:val="single" w:sz="4" w:space="0" w:color="auto"/>
              <w:right w:val="single" w:sz="4" w:space="0" w:color="auto"/>
            </w:tcBorders>
            <w:vAlign w:val="center"/>
          </w:tcPr>
          <w:p w:rsidR="00B92744" w:rsidRPr="00D9161E" w:rsidRDefault="00B92744" w:rsidP="00BE135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2744" w:rsidRPr="00D9161E" w:rsidRDefault="002E10E4" w:rsidP="00BE1359">
            <w:pPr>
              <w:rPr>
                <w:rStyle w:val="Hyperlink"/>
                <w:rFonts w:ascii="Garamond" w:hAnsi="Garamond"/>
                <w:color w:val="auto"/>
                <w:u w:val="none"/>
                <w:lang w:val="en-AU"/>
              </w:rPr>
            </w:pPr>
            <w:hyperlink r:id="rId28" w:history="1">
              <w:r w:rsidRPr="0096722F">
                <w:rPr>
                  <w:rStyle w:val="Hyperlink"/>
                  <w:rFonts w:ascii="Garamond" w:hAnsi="Garamond"/>
                  <w:lang w:val="en-AU"/>
                </w:rPr>
                <w:t>http://www.publish.csiro.au/ah/issue/8492</w:t>
              </w:r>
            </w:hyperlink>
          </w:p>
        </w:tc>
      </w:tr>
      <w:tr w:rsidR="00B92744" w:rsidRPr="00D9161E" w:rsidTr="00BE1359">
        <w:tc>
          <w:tcPr>
            <w:tcW w:w="1080" w:type="dxa"/>
            <w:tcBorders>
              <w:top w:val="single" w:sz="4" w:space="0" w:color="auto"/>
              <w:left w:val="single" w:sz="4" w:space="0" w:color="auto"/>
              <w:bottom w:val="single" w:sz="4" w:space="0" w:color="auto"/>
              <w:right w:val="single" w:sz="4" w:space="0" w:color="auto"/>
            </w:tcBorders>
            <w:vAlign w:val="center"/>
          </w:tcPr>
          <w:p w:rsidR="00B92744" w:rsidRPr="00D9161E" w:rsidRDefault="00B92744" w:rsidP="00BE1359">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92744" w:rsidRDefault="007756E1" w:rsidP="00BE1359">
            <w:pPr>
              <w:rPr>
                <w:rFonts w:ascii="Garamond" w:hAnsi="Garamond"/>
                <w:lang w:val="en-AU"/>
              </w:rPr>
            </w:pPr>
            <w:r>
              <w:rPr>
                <w:rFonts w:ascii="Garamond" w:hAnsi="Garamond"/>
                <w:lang w:val="en-AU"/>
              </w:rPr>
              <w:t xml:space="preserve">A new issue of </w:t>
            </w:r>
            <w:r>
              <w:rPr>
                <w:rFonts w:ascii="Garamond" w:hAnsi="Garamond"/>
                <w:i/>
                <w:lang w:val="en-AU"/>
              </w:rPr>
              <w:t>Australian Health Review</w:t>
            </w:r>
            <w:r>
              <w:rPr>
                <w:rFonts w:ascii="Garamond" w:hAnsi="Garamond"/>
                <w:lang w:val="en-AU"/>
              </w:rPr>
              <w:t xml:space="preserve"> has been published. Articles in this issues of </w:t>
            </w:r>
            <w:r>
              <w:rPr>
                <w:rFonts w:ascii="Garamond" w:hAnsi="Garamond"/>
                <w:i/>
                <w:lang w:val="en-AU"/>
              </w:rPr>
              <w:t>Australian Health Review</w:t>
            </w:r>
            <w:r>
              <w:rPr>
                <w:rFonts w:ascii="Garamond" w:hAnsi="Garamond"/>
                <w:lang w:val="en-AU"/>
              </w:rPr>
              <w:t xml:space="preserve"> include:</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Are organisational factors affecting the </w:t>
            </w:r>
            <w:r w:rsidRPr="007756E1">
              <w:rPr>
                <w:rFonts w:ascii="Garamond" w:hAnsi="Garamond"/>
                <w:b/>
                <w:lang w:val="en-AU"/>
              </w:rPr>
              <w:t>emotional withdrawal of community nurses</w:t>
            </w:r>
            <w:r w:rsidRPr="007756E1">
              <w:rPr>
                <w:rFonts w:ascii="Garamond" w:hAnsi="Garamond"/>
                <w:lang w:val="en-AU"/>
              </w:rPr>
              <w:t xml:space="preserve">? </w:t>
            </w:r>
            <w:r w:rsidRPr="007756E1">
              <w:rPr>
                <w:rFonts w:ascii="Garamond" w:hAnsi="Garamond"/>
                <w:lang w:val="en-AU"/>
              </w:rPr>
              <w:t>(</w:t>
            </w:r>
            <w:r w:rsidRPr="007756E1">
              <w:rPr>
                <w:rFonts w:ascii="Garamond" w:hAnsi="Garamond"/>
                <w:lang w:val="en-AU"/>
              </w:rPr>
              <w:t xml:space="preserve">Leila Karimi, Sandra G. Leggat, Cindy Cheng, Lisa Donohue, </w:t>
            </w:r>
            <w:r>
              <w:rPr>
                <w:rFonts w:ascii="Garamond" w:hAnsi="Garamond"/>
                <w:lang w:val="en-AU"/>
              </w:rPr>
              <w:t>Timothy Bartram and Jodi Oakman)</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Experience of </w:t>
            </w:r>
            <w:r w:rsidRPr="007756E1">
              <w:rPr>
                <w:rFonts w:ascii="Garamond" w:hAnsi="Garamond"/>
                <w:b/>
                <w:lang w:val="en-AU"/>
              </w:rPr>
              <w:t>clinical supervisors of international medical graduates</w:t>
            </w:r>
            <w:r w:rsidRPr="007756E1">
              <w:rPr>
                <w:rFonts w:ascii="Garamond" w:hAnsi="Garamond"/>
                <w:lang w:val="en-AU"/>
              </w:rPr>
              <w:t xml:space="preserve"> in an Australian district hospital </w:t>
            </w:r>
            <w:r w:rsidRPr="007756E1">
              <w:rPr>
                <w:rFonts w:ascii="Garamond" w:hAnsi="Garamond"/>
                <w:lang w:val="en-AU"/>
              </w:rPr>
              <w:t>(</w:t>
            </w:r>
            <w:r w:rsidRPr="007756E1">
              <w:rPr>
                <w:rFonts w:ascii="Garamond" w:hAnsi="Garamond"/>
                <w:lang w:val="en-AU"/>
              </w:rPr>
              <w:t xml:space="preserve">David Henderson, Pam </w:t>
            </w:r>
            <w:r>
              <w:rPr>
                <w:rFonts w:ascii="Garamond" w:hAnsi="Garamond"/>
                <w:lang w:val="en-AU"/>
              </w:rPr>
              <w:t>D McGrath and Mary Anne Patton)</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Survey of parent and carer experiences and expectations of </w:t>
            </w:r>
            <w:r w:rsidRPr="007756E1">
              <w:rPr>
                <w:rFonts w:ascii="Garamond" w:hAnsi="Garamond"/>
                <w:b/>
                <w:lang w:val="en-AU"/>
              </w:rPr>
              <w:t>paediatric rheumatology</w:t>
            </w:r>
            <w:r w:rsidRPr="007756E1">
              <w:rPr>
                <w:rFonts w:ascii="Garamond" w:hAnsi="Garamond"/>
                <w:lang w:val="en-AU"/>
              </w:rPr>
              <w:t xml:space="preserve"> care in New South Wales </w:t>
            </w:r>
            <w:r w:rsidRPr="007756E1">
              <w:rPr>
                <w:rFonts w:ascii="Garamond" w:hAnsi="Garamond"/>
                <w:lang w:val="en-AU"/>
              </w:rPr>
              <w:t>(</w:t>
            </w:r>
            <w:r w:rsidRPr="007756E1">
              <w:rPr>
                <w:rFonts w:ascii="Garamond" w:hAnsi="Garamond"/>
                <w:lang w:val="en-AU"/>
              </w:rPr>
              <w:t xml:space="preserve">Andrea Coda, Julie Jones, Debra </w:t>
            </w:r>
            <w:r>
              <w:rPr>
                <w:rFonts w:ascii="Garamond" w:hAnsi="Garamond"/>
                <w:lang w:val="en-AU"/>
              </w:rPr>
              <w:t>Grech and Davinder Singh Grewal)</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Identification of major factors in Australian </w:t>
            </w:r>
            <w:r w:rsidRPr="007756E1">
              <w:rPr>
                <w:rFonts w:ascii="Garamond" w:hAnsi="Garamond"/>
                <w:b/>
                <w:lang w:val="en-AU"/>
              </w:rPr>
              <w:t>primary care pharmacists’ practice environment</w:t>
            </w:r>
            <w:r w:rsidRPr="007756E1">
              <w:rPr>
                <w:rFonts w:ascii="Garamond" w:hAnsi="Garamond"/>
                <w:lang w:val="en-AU"/>
              </w:rPr>
              <w:t xml:space="preserve"> that have a bearing on the implementation of professional models of practice </w:t>
            </w:r>
            <w:r w:rsidRPr="007756E1">
              <w:rPr>
                <w:rFonts w:ascii="Garamond" w:hAnsi="Garamond"/>
                <w:lang w:val="en-AU"/>
              </w:rPr>
              <w:t>(</w:t>
            </w:r>
            <w:r w:rsidRPr="007756E1">
              <w:rPr>
                <w:rFonts w:ascii="Garamond" w:hAnsi="Garamond"/>
                <w:lang w:val="en-AU"/>
              </w:rPr>
              <w:t>John K Jackson, Safeera Y Huss</w:t>
            </w:r>
            <w:r>
              <w:rPr>
                <w:rFonts w:ascii="Garamond" w:hAnsi="Garamond"/>
                <w:lang w:val="en-AU"/>
              </w:rPr>
              <w:t>ainy and Carl M J Kirkpatrick)</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Beyond clinical priority: what matters when making operational decisions about </w:t>
            </w:r>
            <w:r w:rsidRPr="007756E1">
              <w:rPr>
                <w:rFonts w:ascii="Garamond" w:hAnsi="Garamond"/>
                <w:b/>
                <w:lang w:val="en-AU"/>
              </w:rPr>
              <w:t>emergency surgical queues</w:t>
            </w:r>
            <w:r w:rsidRPr="007756E1">
              <w:rPr>
                <w:rFonts w:ascii="Garamond" w:hAnsi="Garamond"/>
                <w:lang w:val="en-AU"/>
              </w:rPr>
              <w:t xml:space="preserve">? </w:t>
            </w:r>
            <w:r w:rsidRPr="007756E1">
              <w:rPr>
                <w:rFonts w:ascii="Garamond" w:hAnsi="Garamond"/>
                <w:lang w:val="en-AU"/>
              </w:rPr>
              <w:t>(</w:t>
            </w:r>
            <w:r w:rsidRPr="007756E1">
              <w:rPr>
                <w:rFonts w:ascii="Garamond" w:hAnsi="Garamond"/>
                <w:lang w:val="en-AU"/>
              </w:rPr>
              <w:t>Anneke Fitzgeral</w:t>
            </w:r>
            <w:r>
              <w:rPr>
                <w:rFonts w:ascii="Garamond" w:hAnsi="Garamond"/>
                <w:lang w:val="en-AU"/>
              </w:rPr>
              <w:t>d and Yong Wu)</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Growth of </w:t>
            </w:r>
            <w:r w:rsidRPr="007756E1">
              <w:rPr>
                <w:rFonts w:ascii="Garamond" w:hAnsi="Garamond"/>
                <w:b/>
                <w:lang w:val="en-AU"/>
              </w:rPr>
              <w:t>linked hospital data use</w:t>
            </w:r>
            <w:r w:rsidRPr="007756E1">
              <w:rPr>
                <w:rFonts w:ascii="Garamond" w:hAnsi="Garamond"/>
                <w:lang w:val="en-AU"/>
              </w:rPr>
              <w:t xml:space="preserve"> in Australia: a systematic review </w:t>
            </w:r>
            <w:r w:rsidRPr="007756E1">
              <w:rPr>
                <w:rFonts w:ascii="Garamond" w:hAnsi="Garamond"/>
                <w:lang w:val="en-AU"/>
              </w:rPr>
              <w:t>(</w:t>
            </w:r>
            <w:r w:rsidRPr="007756E1">
              <w:rPr>
                <w:rFonts w:ascii="Garamond" w:hAnsi="Garamond"/>
                <w:lang w:val="en-AU"/>
              </w:rPr>
              <w:t>Michelle Tew, Kim M Dalziel, Dennis</w:t>
            </w:r>
            <w:r>
              <w:rPr>
                <w:rFonts w:ascii="Garamond" w:hAnsi="Garamond"/>
                <w:lang w:val="en-AU"/>
              </w:rPr>
              <w:t xml:space="preserve"> J Petrie and Philip M Clarke)</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Parental preferences for </w:t>
            </w:r>
            <w:r w:rsidRPr="007756E1">
              <w:rPr>
                <w:rFonts w:ascii="Garamond" w:hAnsi="Garamond"/>
                <w:b/>
                <w:lang w:val="en-AU"/>
              </w:rPr>
              <w:t>paediatric specialty follow-up care</w:t>
            </w:r>
            <w:r w:rsidRPr="007756E1">
              <w:rPr>
                <w:rFonts w:ascii="Garamond" w:hAnsi="Garamond"/>
                <w:lang w:val="en-AU"/>
              </w:rPr>
              <w:t xml:space="preserve"> </w:t>
            </w:r>
            <w:r w:rsidRPr="007756E1">
              <w:rPr>
                <w:rFonts w:ascii="Garamond" w:hAnsi="Garamond"/>
                <w:lang w:val="en-AU"/>
              </w:rPr>
              <w:t>(</w:t>
            </w:r>
            <w:r w:rsidRPr="007756E1">
              <w:rPr>
                <w:rFonts w:ascii="Garamond" w:hAnsi="Garamond"/>
                <w:lang w:val="en-AU"/>
              </w:rPr>
              <w:t xml:space="preserve">Marina Kunin, Erin Turbitt, Sarah A Gafforini, Lena A Sanci, </w:t>
            </w:r>
            <w:r>
              <w:rPr>
                <w:rFonts w:ascii="Garamond" w:hAnsi="Garamond"/>
                <w:lang w:val="en-AU"/>
              </w:rPr>
              <w:t>Neil A Spike and Gary L Freed)</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Identifying areas of </w:t>
            </w:r>
            <w:r w:rsidRPr="007756E1">
              <w:rPr>
                <w:rFonts w:ascii="Garamond" w:hAnsi="Garamond"/>
                <w:b/>
                <w:lang w:val="en-AU"/>
              </w:rPr>
              <w:t>need</w:t>
            </w:r>
            <w:r w:rsidRPr="007756E1">
              <w:rPr>
                <w:rFonts w:ascii="Garamond" w:hAnsi="Garamond"/>
                <w:lang w:val="en-AU"/>
              </w:rPr>
              <w:t xml:space="preserve"> relative to </w:t>
            </w:r>
            <w:r w:rsidRPr="007756E1">
              <w:rPr>
                <w:rFonts w:ascii="Garamond" w:hAnsi="Garamond"/>
                <w:b/>
                <w:lang w:val="en-AU"/>
              </w:rPr>
              <w:t>liver disease</w:t>
            </w:r>
            <w:r w:rsidRPr="007756E1">
              <w:rPr>
                <w:rFonts w:ascii="Garamond" w:hAnsi="Garamond"/>
                <w:lang w:val="en-AU"/>
              </w:rPr>
              <w:t xml:space="preserve">: geographic clustering within a health service district </w:t>
            </w:r>
            <w:r w:rsidRPr="007756E1">
              <w:rPr>
                <w:rFonts w:ascii="Garamond" w:hAnsi="Garamond"/>
                <w:lang w:val="en-AU"/>
              </w:rPr>
              <w:t>(</w:t>
            </w:r>
            <w:r w:rsidRPr="007756E1">
              <w:rPr>
                <w:rFonts w:ascii="Garamond" w:hAnsi="Garamond"/>
                <w:lang w:val="en-AU"/>
              </w:rPr>
              <w:t xml:space="preserve">Nathan El-Atem, K M Irvine, P C Valery, K Wojcik, L Horsfall, T Johnson, M Janda, S M </w:t>
            </w:r>
            <w:r>
              <w:rPr>
                <w:rFonts w:ascii="Garamond" w:hAnsi="Garamond"/>
                <w:lang w:val="en-AU"/>
              </w:rPr>
              <w:t>McPhail and E E Powell)</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b/>
                <w:lang w:val="en-AU"/>
              </w:rPr>
              <w:t>Patients’ experiences in Australian hospitals</w:t>
            </w:r>
            <w:r w:rsidRPr="007756E1">
              <w:rPr>
                <w:rFonts w:ascii="Garamond" w:hAnsi="Garamond"/>
                <w:lang w:val="en-AU"/>
              </w:rPr>
              <w:t xml:space="preserve">: a systematic review of evidence </w:t>
            </w:r>
            <w:r w:rsidRPr="007756E1">
              <w:rPr>
                <w:rFonts w:ascii="Garamond" w:hAnsi="Garamond"/>
                <w:lang w:val="en-AU"/>
              </w:rPr>
              <w:t>(</w:t>
            </w:r>
            <w:r w:rsidRPr="007756E1">
              <w:rPr>
                <w:rFonts w:ascii="Garamond" w:hAnsi="Garamond"/>
                <w:lang w:val="en-AU"/>
              </w:rPr>
              <w:t xml:space="preserve">Reema Harrison, Merrilyn Walton, Elizabeth Manias, </w:t>
            </w:r>
            <w:r>
              <w:rPr>
                <w:rFonts w:ascii="Garamond" w:hAnsi="Garamond"/>
                <w:lang w:val="en-AU"/>
              </w:rPr>
              <w:t>Steven Mears and Jennifer Plumb)</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b/>
                <w:lang w:val="en-AU"/>
              </w:rPr>
              <w:t>Informed consent in a vulnerable population group</w:t>
            </w:r>
            <w:r w:rsidRPr="007756E1">
              <w:rPr>
                <w:rFonts w:ascii="Garamond" w:hAnsi="Garamond"/>
                <w:lang w:val="en-AU"/>
              </w:rPr>
              <w:t xml:space="preserve">: supporting individuals aging with intellectual disability to participate in developing their own health and support programs </w:t>
            </w:r>
            <w:r w:rsidRPr="007756E1">
              <w:rPr>
                <w:rFonts w:ascii="Garamond" w:hAnsi="Garamond"/>
                <w:lang w:val="en-AU"/>
              </w:rPr>
              <w:t>(</w:t>
            </w:r>
            <w:r w:rsidRPr="007756E1">
              <w:rPr>
                <w:rFonts w:ascii="Garamond" w:hAnsi="Garamond"/>
                <w:lang w:val="en-AU"/>
              </w:rPr>
              <w:t>Stuart Wark, Catherine MacPhai</w:t>
            </w:r>
            <w:r>
              <w:rPr>
                <w:rFonts w:ascii="Garamond" w:hAnsi="Garamond"/>
                <w:lang w:val="en-AU"/>
              </w:rPr>
              <w:t>l, Kathy McKay and Arne Müeller)</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Improving the accuracy of </w:t>
            </w:r>
            <w:r w:rsidRPr="007756E1">
              <w:rPr>
                <w:rFonts w:ascii="Garamond" w:hAnsi="Garamond"/>
                <w:b/>
                <w:lang w:val="en-AU"/>
              </w:rPr>
              <w:t>admitted subacute clinical costing</w:t>
            </w:r>
            <w:r w:rsidRPr="007756E1">
              <w:rPr>
                <w:rFonts w:ascii="Garamond" w:hAnsi="Garamond"/>
                <w:lang w:val="en-AU"/>
              </w:rPr>
              <w:t xml:space="preserve">: an action research approach </w:t>
            </w:r>
            <w:r w:rsidRPr="007756E1">
              <w:rPr>
                <w:rFonts w:ascii="Garamond" w:hAnsi="Garamond"/>
                <w:lang w:val="en-AU"/>
              </w:rPr>
              <w:t>(</w:t>
            </w:r>
            <w:r w:rsidRPr="007756E1">
              <w:rPr>
                <w:rFonts w:ascii="Garamond" w:hAnsi="Garamond"/>
                <w:lang w:val="en-AU"/>
              </w:rPr>
              <w:t xml:space="preserve">Sharon Hakkennes, Ross Arblaster and Kim Lim </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What systems participants know about </w:t>
            </w:r>
            <w:r w:rsidRPr="007756E1">
              <w:rPr>
                <w:rFonts w:ascii="Garamond" w:hAnsi="Garamond"/>
                <w:b/>
                <w:lang w:val="en-AU"/>
              </w:rPr>
              <w:t>access and service entry</w:t>
            </w:r>
            <w:r w:rsidRPr="007756E1">
              <w:rPr>
                <w:rFonts w:ascii="Garamond" w:hAnsi="Garamond"/>
                <w:lang w:val="en-AU"/>
              </w:rPr>
              <w:t xml:space="preserve"> and why managers should listen </w:t>
            </w:r>
            <w:r w:rsidRPr="007756E1">
              <w:rPr>
                <w:rFonts w:ascii="Garamond" w:hAnsi="Garamond"/>
                <w:lang w:val="en-AU"/>
              </w:rPr>
              <w:t>(</w:t>
            </w:r>
            <w:r>
              <w:rPr>
                <w:rFonts w:ascii="Garamond" w:hAnsi="Garamond"/>
                <w:lang w:val="en-AU"/>
              </w:rPr>
              <w:t>Rohena Duncombe)</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Social participation as an indicator of </w:t>
            </w:r>
            <w:r w:rsidRPr="007756E1">
              <w:rPr>
                <w:rFonts w:ascii="Garamond" w:hAnsi="Garamond"/>
                <w:b/>
                <w:lang w:val="en-AU"/>
              </w:rPr>
              <w:t>successful aging</w:t>
            </w:r>
            <w:r w:rsidRPr="007756E1">
              <w:rPr>
                <w:rFonts w:ascii="Garamond" w:hAnsi="Garamond"/>
                <w:lang w:val="en-AU"/>
              </w:rPr>
              <w:t xml:space="preserve">: an overview of concepts and their associations with health </w:t>
            </w:r>
            <w:r w:rsidRPr="007756E1">
              <w:rPr>
                <w:rFonts w:ascii="Garamond" w:hAnsi="Garamond"/>
                <w:lang w:val="en-AU"/>
              </w:rPr>
              <w:t>(</w:t>
            </w:r>
            <w:r w:rsidRPr="007756E1">
              <w:rPr>
                <w:rFonts w:ascii="Garamond" w:hAnsi="Garamond"/>
                <w:lang w:val="en-AU"/>
              </w:rPr>
              <w:t>Heather Douglas, Andrew</w:t>
            </w:r>
            <w:r>
              <w:rPr>
                <w:rFonts w:ascii="Garamond" w:hAnsi="Garamond"/>
                <w:lang w:val="en-AU"/>
              </w:rPr>
              <w:t xml:space="preserve"> Georgiou and Johanna Westbrook)</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lang w:val="en-AU"/>
              </w:rPr>
              <w:t xml:space="preserve">Practical applications of </w:t>
            </w:r>
            <w:r w:rsidRPr="007756E1">
              <w:rPr>
                <w:rFonts w:ascii="Garamond" w:hAnsi="Garamond"/>
                <w:b/>
                <w:lang w:val="en-AU"/>
              </w:rPr>
              <w:t>rapid review methods</w:t>
            </w:r>
            <w:r w:rsidRPr="007756E1">
              <w:rPr>
                <w:rFonts w:ascii="Garamond" w:hAnsi="Garamond"/>
                <w:lang w:val="en-AU"/>
              </w:rPr>
              <w:t xml:space="preserve"> in the development of </w:t>
            </w:r>
            <w:r w:rsidRPr="007756E1">
              <w:rPr>
                <w:rFonts w:ascii="Garamond" w:hAnsi="Garamond"/>
                <w:b/>
                <w:lang w:val="en-AU"/>
              </w:rPr>
              <w:t>Australian health policy</w:t>
            </w:r>
            <w:r w:rsidRPr="007756E1">
              <w:rPr>
                <w:rFonts w:ascii="Garamond" w:hAnsi="Garamond"/>
                <w:lang w:val="en-AU"/>
              </w:rPr>
              <w:t xml:space="preserve"> </w:t>
            </w:r>
            <w:r w:rsidRPr="007756E1">
              <w:rPr>
                <w:rFonts w:ascii="Garamond" w:hAnsi="Garamond"/>
                <w:lang w:val="en-AU"/>
              </w:rPr>
              <w:t>(</w:t>
            </w:r>
            <w:r w:rsidRPr="007756E1">
              <w:rPr>
                <w:rFonts w:ascii="Garamond" w:hAnsi="Garamond"/>
                <w:lang w:val="en-AU"/>
              </w:rPr>
              <w:t>Robyn Lambert, Thomas D Vreugdenburg, Nicholas Marlow, N Ann Scott</w:t>
            </w:r>
            <w:r>
              <w:rPr>
                <w:rFonts w:ascii="Garamond" w:hAnsi="Garamond"/>
                <w:lang w:val="en-AU"/>
              </w:rPr>
              <w:t>, Lynda McGahan and David Tivey)</w:t>
            </w:r>
          </w:p>
          <w:p w:rsidR="007756E1" w:rsidRPr="007756E1" w:rsidRDefault="007756E1" w:rsidP="007756E1">
            <w:pPr>
              <w:pStyle w:val="ListParagraph"/>
              <w:numPr>
                <w:ilvl w:val="0"/>
                <w:numId w:val="21"/>
              </w:numPr>
              <w:rPr>
                <w:rFonts w:ascii="Garamond" w:hAnsi="Garamond"/>
                <w:lang w:val="en-AU"/>
              </w:rPr>
            </w:pPr>
            <w:r w:rsidRPr="007756E1">
              <w:rPr>
                <w:rFonts w:ascii="Garamond" w:hAnsi="Garamond"/>
                <w:b/>
                <w:lang w:val="en-AU"/>
              </w:rPr>
              <w:t>Caries and periodontal disease in Indigenous adults in Australia</w:t>
            </w:r>
            <w:r w:rsidRPr="007756E1">
              <w:rPr>
                <w:rFonts w:ascii="Garamond" w:hAnsi="Garamond"/>
                <w:lang w:val="en-AU"/>
              </w:rPr>
              <w:t xml:space="preserve">: a case of limited and non-contemporary data </w:t>
            </w:r>
            <w:r w:rsidRPr="007756E1">
              <w:rPr>
                <w:rFonts w:ascii="Garamond" w:hAnsi="Garamond"/>
                <w:lang w:val="en-AU"/>
              </w:rPr>
              <w:t>(</w:t>
            </w:r>
            <w:r w:rsidRPr="007756E1">
              <w:rPr>
                <w:rFonts w:ascii="Garamond" w:hAnsi="Garamond"/>
                <w:lang w:val="en-AU"/>
              </w:rPr>
              <w:t>Andrea M de Silva, Jacqueline M Martin-Kerry, K</w:t>
            </w:r>
            <w:r>
              <w:rPr>
                <w:rFonts w:ascii="Garamond" w:hAnsi="Garamond"/>
                <w:lang w:val="en-AU"/>
              </w:rPr>
              <w:t>atherine McKee and Deborah Cole)</w:t>
            </w:r>
          </w:p>
        </w:tc>
      </w:tr>
    </w:tbl>
    <w:p w:rsidR="00E94F83" w:rsidRPr="00C57DFB" w:rsidRDefault="00C57DFB" w:rsidP="00E94F83">
      <w:pPr>
        <w:keepNext/>
        <w:rPr>
          <w:rFonts w:ascii="Garamond" w:hAnsi="Garamond"/>
          <w:i/>
          <w:lang w:val="en-AU"/>
        </w:rPr>
      </w:pPr>
      <w:r w:rsidRPr="00C57DFB">
        <w:rPr>
          <w:rFonts w:ascii="Garamond" w:hAnsi="Garamond"/>
          <w:i/>
          <w:lang w:val="en-AU"/>
        </w:rPr>
        <w:lastRenderedPageBreak/>
        <w:t>Patient Experience Journal</w:t>
      </w:r>
    </w:p>
    <w:p w:rsidR="00C57DFB" w:rsidRPr="00D9161E" w:rsidRDefault="008020AC" w:rsidP="00E94F83">
      <w:pPr>
        <w:keepNext/>
        <w:rPr>
          <w:rFonts w:ascii="Garamond" w:hAnsi="Garamond"/>
          <w:lang w:val="en-AU"/>
        </w:rPr>
      </w:pPr>
      <w:r w:rsidRPr="008020AC">
        <w:rPr>
          <w:rFonts w:ascii="Garamond" w:hAnsi="Garamond"/>
          <w:lang w:val="en-AU"/>
        </w:rPr>
        <w:t>Volume 4, Issue 2 (2017)</w:t>
      </w:r>
    </w:p>
    <w:tbl>
      <w:tblPr>
        <w:tblStyle w:val="TableGrid"/>
        <w:tblW w:w="0" w:type="auto"/>
        <w:tblInd w:w="288" w:type="dxa"/>
        <w:tblLayout w:type="fixed"/>
        <w:tblLook w:val="01E0" w:firstRow="1" w:lastRow="1" w:firstColumn="1" w:lastColumn="1" w:noHBand="0" w:noVBand="0"/>
      </w:tblPr>
      <w:tblGrid>
        <w:gridCol w:w="1080"/>
        <w:gridCol w:w="8280"/>
      </w:tblGrid>
      <w:tr w:rsidR="00E94F83" w:rsidRPr="00D9161E" w:rsidTr="002C1C94">
        <w:tc>
          <w:tcPr>
            <w:tcW w:w="1080" w:type="dxa"/>
            <w:tcBorders>
              <w:top w:val="single" w:sz="4" w:space="0" w:color="auto"/>
              <w:left w:val="single" w:sz="4" w:space="0" w:color="auto"/>
              <w:bottom w:val="single" w:sz="4" w:space="0" w:color="auto"/>
              <w:right w:val="single" w:sz="4" w:space="0" w:color="auto"/>
            </w:tcBorders>
            <w:vAlign w:val="center"/>
          </w:tcPr>
          <w:p w:rsidR="00E94F83" w:rsidRPr="00D9161E" w:rsidRDefault="00E94F83" w:rsidP="002C1C9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94F83" w:rsidRPr="00D9161E" w:rsidRDefault="00F92643" w:rsidP="008020AC">
            <w:pPr>
              <w:rPr>
                <w:rStyle w:val="Hyperlink"/>
                <w:rFonts w:ascii="Garamond" w:hAnsi="Garamond"/>
                <w:color w:val="auto"/>
                <w:u w:val="none"/>
                <w:lang w:val="en-AU"/>
              </w:rPr>
            </w:pPr>
            <w:hyperlink r:id="rId29" w:history="1">
              <w:r w:rsidR="008020AC" w:rsidRPr="00C843E7">
                <w:rPr>
                  <w:rStyle w:val="Hyperlink"/>
                  <w:rFonts w:ascii="Garamond" w:hAnsi="Garamond"/>
                  <w:lang w:val="en-AU"/>
                </w:rPr>
                <w:t>http://pxjournal.org/journal/vol4/iss2/</w:t>
              </w:r>
            </w:hyperlink>
          </w:p>
        </w:tc>
      </w:tr>
      <w:tr w:rsidR="00E94F83" w:rsidRPr="00D9161E" w:rsidTr="002C1C94">
        <w:tc>
          <w:tcPr>
            <w:tcW w:w="1080" w:type="dxa"/>
            <w:tcBorders>
              <w:top w:val="single" w:sz="4" w:space="0" w:color="auto"/>
              <w:left w:val="single" w:sz="4" w:space="0" w:color="auto"/>
              <w:bottom w:val="single" w:sz="4" w:space="0" w:color="auto"/>
              <w:right w:val="single" w:sz="4" w:space="0" w:color="auto"/>
            </w:tcBorders>
            <w:vAlign w:val="center"/>
          </w:tcPr>
          <w:p w:rsidR="00E94F83" w:rsidRPr="00D9161E" w:rsidRDefault="00E94F83" w:rsidP="002C1C94">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4F83" w:rsidRDefault="008020AC" w:rsidP="008020AC">
            <w:pPr>
              <w:rPr>
                <w:rFonts w:ascii="Garamond" w:hAnsi="Garamond"/>
                <w:lang w:val="en-AU"/>
              </w:rPr>
            </w:pPr>
            <w:r>
              <w:rPr>
                <w:rFonts w:ascii="Garamond" w:hAnsi="Garamond"/>
                <w:lang w:val="en-AU"/>
              </w:rPr>
              <w:t xml:space="preserve">A special issue of the </w:t>
            </w:r>
            <w:r w:rsidRPr="00C57DFB">
              <w:rPr>
                <w:rFonts w:ascii="Garamond" w:hAnsi="Garamond"/>
                <w:i/>
                <w:lang w:val="en-AU"/>
              </w:rPr>
              <w:t>Patient Experience Journal</w:t>
            </w:r>
            <w:r>
              <w:rPr>
                <w:rFonts w:ascii="Garamond" w:hAnsi="Garamond"/>
                <w:lang w:val="en-AU"/>
              </w:rPr>
              <w:t xml:space="preserve"> (PXJ) has been published. This </w:t>
            </w:r>
            <w:r w:rsidRPr="008020AC">
              <w:rPr>
                <w:rFonts w:ascii="Garamond" w:hAnsi="Garamond"/>
                <w:lang w:val="en-AU"/>
              </w:rPr>
              <w:t xml:space="preserve">special issue </w:t>
            </w:r>
            <w:r>
              <w:rPr>
                <w:rFonts w:ascii="Garamond" w:hAnsi="Garamond"/>
                <w:lang w:val="en-AU"/>
              </w:rPr>
              <w:t xml:space="preserve">focused </w:t>
            </w:r>
            <w:r w:rsidRPr="008020AC">
              <w:rPr>
                <w:rFonts w:ascii="Garamond" w:hAnsi="Garamond"/>
                <w:lang w:val="en-AU"/>
              </w:rPr>
              <w:t xml:space="preserve">on Patient Involvement. </w:t>
            </w:r>
            <w:r>
              <w:rPr>
                <w:rFonts w:ascii="Garamond" w:hAnsi="Garamond"/>
                <w:lang w:val="en-AU"/>
              </w:rPr>
              <w:t>The editors state that “</w:t>
            </w:r>
            <w:r w:rsidRPr="008020AC">
              <w:rPr>
                <w:rFonts w:ascii="Garamond" w:hAnsi="Garamond"/>
                <w:lang w:val="en-AU"/>
              </w:rPr>
              <w:t>By including the voices of patients, practitioners and researchers in the publication, this special issue is focused on how involving patients and families as partners drives better healthcare outcomes overall.</w:t>
            </w:r>
            <w:r>
              <w:rPr>
                <w:rFonts w:ascii="Garamond" w:hAnsi="Garamond"/>
                <w:lang w:val="en-AU"/>
              </w:rPr>
              <w:t xml:space="preserve">” Articles in this special issue of the </w:t>
            </w:r>
            <w:r w:rsidRPr="00C57DFB">
              <w:rPr>
                <w:rFonts w:ascii="Garamond" w:hAnsi="Garamond"/>
                <w:i/>
                <w:lang w:val="en-AU"/>
              </w:rPr>
              <w:t>Patient Experience Journal</w:t>
            </w:r>
            <w:r>
              <w:rPr>
                <w:rFonts w:ascii="Garamond" w:hAnsi="Garamond"/>
                <w:lang w:val="en-AU"/>
              </w:rPr>
              <w:t xml:space="preserve"> include:</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Pushing the boundaries of </w:t>
            </w:r>
            <w:r w:rsidRPr="00BD0D0D">
              <w:rPr>
                <w:rFonts w:ascii="Garamond" w:hAnsi="Garamond"/>
                <w:b/>
                <w:lang w:val="en-AU"/>
              </w:rPr>
              <w:t>patient experience</w:t>
            </w:r>
            <w:r w:rsidRPr="008020AC">
              <w:rPr>
                <w:rFonts w:ascii="Garamond" w:hAnsi="Garamond"/>
                <w:lang w:val="en-AU"/>
              </w:rPr>
              <w:t xml:space="preserve"> (</w:t>
            </w:r>
            <w:r>
              <w:rPr>
                <w:rFonts w:ascii="Garamond" w:hAnsi="Garamond"/>
                <w:lang w:val="en-AU"/>
              </w:rPr>
              <w:t>Jason A Wolf)</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The paradigm of patient must evolve: Why a false sense of limited capacity can subvert all attempts at </w:t>
            </w:r>
            <w:r w:rsidRPr="00BD0D0D">
              <w:rPr>
                <w:rFonts w:ascii="Garamond" w:hAnsi="Garamond"/>
                <w:b/>
                <w:lang w:val="en-AU"/>
              </w:rPr>
              <w:t>patient involvement</w:t>
            </w:r>
            <w:r w:rsidRPr="008020AC">
              <w:rPr>
                <w:rFonts w:ascii="Garamond" w:hAnsi="Garamond"/>
                <w:lang w:val="en-AU"/>
              </w:rPr>
              <w:t xml:space="preserve"> (Dave deBronkart</w:t>
            </w:r>
            <w:r>
              <w:rPr>
                <w:rFonts w:ascii="Garamond" w:hAnsi="Garamond"/>
                <w:lang w:val="en-AU"/>
              </w:rPr>
              <w:t>)</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A trip to healthcare (</w:t>
            </w:r>
            <w:r>
              <w:rPr>
                <w:rFonts w:ascii="Garamond" w:hAnsi="Garamond"/>
                <w:lang w:val="en-AU"/>
              </w:rPr>
              <w:t>david e</w:t>
            </w:r>
            <w:r w:rsidRPr="008020AC">
              <w:rPr>
                <w:rFonts w:ascii="Garamond" w:hAnsi="Garamond"/>
                <w:lang w:val="en-AU"/>
              </w:rPr>
              <w:t xml:space="preserve"> matz</w:t>
            </w:r>
            <w:r>
              <w:rPr>
                <w:rFonts w:ascii="Garamond" w:hAnsi="Garamond"/>
                <w:lang w:val="en-AU"/>
              </w:rPr>
              <w:t>)</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Lack of </w:t>
            </w:r>
            <w:r w:rsidRPr="00BD0D0D">
              <w:rPr>
                <w:rFonts w:ascii="Garamond" w:hAnsi="Garamond"/>
                <w:b/>
                <w:lang w:val="en-AU"/>
              </w:rPr>
              <w:t xml:space="preserve">patient involvement </w:t>
            </w:r>
            <w:r w:rsidRPr="00BD0D0D">
              <w:rPr>
                <w:rFonts w:ascii="Garamond" w:hAnsi="Garamond"/>
                <w:lang w:val="en-AU"/>
              </w:rPr>
              <w:t>in care decisions</w:t>
            </w:r>
            <w:r w:rsidRPr="008020AC">
              <w:rPr>
                <w:rFonts w:ascii="Garamond" w:hAnsi="Garamond"/>
                <w:lang w:val="en-AU"/>
              </w:rPr>
              <w:t xml:space="preserve"> and not receiving written discharge instructions are associated with </w:t>
            </w:r>
            <w:r w:rsidRPr="00BD0D0D">
              <w:rPr>
                <w:rFonts w:ascii="Garamond" w:hAnsi="Garamond"/>
                <w:b/>
                <w:lang w:val="en-AU"/>
              </w:rPr>
              <w:t>unplanned readmissions</w:t>
            </w:r>
            <w:r w:rsidRPr="008020AC">
              <w:rPr>
                <w:rFonts w:ascii="Garamond" w:hAnsi="Garamond"/>
                <w:lang w:val="en-AU"/>
              </w:rPr>
              <w:t xml:space="preserve"> up to one year (Kyle A Kemp, Hude Quan, and Maria J Santana</w:t>
            </w:r>
            <w:r>
              <w:rPr>
                <w:rFonts w:ascii="Garamond" w:hAnsi="Garamond"/>
                <w:lang w:val="en-AU"/>
              </w:rPr>
              <w:t>)</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Understanding the role of </w:t>
            </w:r>
            <w:r w:rsidRPr="00BD0D0D">
              <w:rPr>
                <w:rFonts w:ascii="Garamond" w:hAnsi="Garamond"/>
                <w:b/>
                <w:lang w:val="en-AU"/>
              </w:rPr>
              <w:t>patient and public involvement</w:t>
            </w:r>
            <w:r w:rsidRPr="008020AC">
              <w:rPr>
                <w:rFonts w:ascii="Garamond" w:hAnsi="Garamond"/>
                <w:lang w:val="en-AU"/>
              </w:rPr>
              <w:t xml:space="preserve"> in </w:t>
            </w:r>
            <w:r w:rsidRPr="00BD0D0D">
              <w:rPr>
                <w:rFonts w:ascii="Garamond" w:hAnsi="Garamond"/>
                <w:b/>
                <w:lang w:val="en-AU"/>
              </w:rPr>
              <w:t>renal dietetic research</w:t>
            </w:r>
            <w:r w:rsidRPr="008020AC">
              <w:rPr>
                <w:rFonts w:ascii="Garamond" w:hAnsi="Garamond"/>
                <w:lang w:val="en-AU"/>
              </w:rPr>
              <w:t xml:space="preserve"> (Andrew Morris, Deborah Biggerstaff, Nithya Krishnan, and Deborah Lycett</w:t>
            </w:r>
            <w:r>
              <w:rPr>
                <w:rFonts w:ascii="Garamond" w:hAnsi="Garamond"/>
                <w:lang w:val="en-AU"/>
              </w:rPr>
              <w:t>)</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Integrating </w:t>
            </w:r>
            <w:r w:rsidRPr="00BD0D0D">
              <w:rPr>
                <w:rFonts w:ascii="Garamond" w:hAnsi="Garamond"/>
                <w:b/>
                <w:lang w:val="en-AU"/>
              </w:rPr>
              <w:t>person directed care</w:t>
            </w:r>
            <w:r w:rsidRPr="008020AC">
              <w:rPr>
                <w:rFonts w:ascii="Garamond" w:hAnsi="Garamond"/>
                <w:lang w:val="en-AU"/>
              </w:rPr>
              <w:t xml:space="preserve"> into the client experience (Tammy L Marshall, Joann P Reinhardt, Orah Burack, and Audrey S Weiner</w:t>
            </w:r>
            <w:r>
              <w:rPr>
                <w:rFonts w:ascii="Garamond" w:hAnsi="Garamond"/>
                <w:lang w:val="en-AU"/>
              </w:rPr>
              <w:t>)</w:t>
            </w:r>
          </w:p>
          <w:p w:rsidR="008020AC" w:rsidRPr="008020AC" w:rsidRDefault="008020AC" w:rsidP="008020AC">
            <w:pPr>
              <w:pStyle w:val="ListParagraph"/>
              <w:numPr>
                <w:ilvl w:val="0"/>
                <w:numId w:val="19"/>
              </w:numPr>
              <w:rPr>
                <w:rFonts w:ascii="Garamond" w:hAnsi="Garamond"/>
                <w:lang w:val="en-AU"/>
              </w:rPr>
            </w:pPr>
            <w:r w:rsidRPr="008020AC">
              <w:rPr>
                <w:rFonts w:ascii="Garamond" w:hAnsi="Garamond"/>
                <w:lang w:val="en-AU"/>
              </w:rPr>
              <w:t xml:space="preserve">Increasing </w:t>
            </w:r>
            <w:r w:rsidRPr="00BD0D0D">
              <w:rPr>
                <w:rFonts w:ascii="Garamond" w:hAnsi="Garamond"/>
                <w:b/>
                <w:lang w:val="en-AU"/>
              </w:rPr>
              <w:t>sustainability</w:t>
            </w:r>
            <w:r w:rsidRPr="008020AC">
              <w:rPr>
                <w:rFonts w:ascii="Garamond" w:hAnsi="Garamond"/>
                <w:lang w:val="en-AU"/>
              </w:rPr>
              <w:t xml:space="preserve"> in </w:t>
            </w:r>
            <w:r w:rsidRPr="00BD0D0D">
              <w:rPr>
                <w:rFonts w:ascii="Garamond" w:hAnsi="Garamond"/>
                <w:b/>
                <w:lang w:val="en-AU"/>
              </w:rPr>
              <w:t>co-design</w:t>
            </w:r>
            <w:r w:rsidRPr="008020AC">
              <w:rPr>
                <w:rFonts w:ascii="Garamond" w:hAnsi="Garamond"/>
                <w:lang w:val="en-AU"/>
              </w:rPr>
              <w:t xml:space="preserve"> projects: A qualitative evaluation of a co-design programme in New Zealand (Lynne Margaret Maher, Brooke Hayward, Patr</w:t>
            </w:r>
            <w:r>
              <w:rPr>
                <w:rFonts w:ascii="Garamond" w:hAnsi="Garamond"/>
                <w:lang w:val="en-AU"/>
              </w:rPr>
              <w:t>icia Hayward, and Chris Walsh)</w:t>
            </w:r>
          </w:p>
          <w:p w:rsidR="008020AC" w:rsidRPr="008020AC" w:rsidRDefault="008020AC" w:rsidP="008020AC">
            <w:pPr>
              <w:pStyle w:val="ListParagraph"/>
              <w:numPr>
                <w:ilvl w:val="0"/>
                <w:numId w:val="19"/>
              </w:numPr>
              <w:rPr>
                <w:rFonts w:ascii="Garamond" w:hAnsi="Garamond"/>
                <w:lang w:val="en-AU"/>
              </w:rPr>
            </w:pPr>
            <w:r w:rsidRPr="00BD0D0D">
              <w:rPr>
                <w:rFonts w:ascii="Garamond" w:hAnsi="Garamond"/>
                <w:b/>
                <w:lang w:val="en-AU"/>
              </w:rPr>
              <w:t>Experience-based co-design</w:t>
            </w:r>
            <w:r w:rsidRPr="008020AC">
              <w:rPr>
                <w:rFonts w:ascii="Garamond" w:hAnsi="Garamond"/>
                <w:lang w:val="en-AU"/>
              </w:rPr>
              <w:t xml:space="preserve">: A method for patient and family engagement in </w:t>
            </w:r>
            <w:r w:rsidRPr="00BD0D0D">
              <w:rPr>
                <w:rFonts w:ascii="Garamond" w:hAnsi="Garamond"/>
                <w:b/>
                <w:lang w:val="en-AU"/>
              </w:rPr>
              <w:t>system-level quality improvement</w:t>
            </w:r>
            <w:r>
              <w:rPr>
                <w:rFonts w:ascii="Garamond" w:hAnsi="Garamond"/>
                <w:lang w:val="en-AU"/>
              </w:rPr>
              <w:t xml:space="preserve"> (</w:t>
            </w:r>
            <w:r w:rsidRPr="008020AC">
              <w:rPr>
                <w:rFonts w:ascii="Garamond" w:hAnsi="Garamond"/>
                <w:lang w:val="en-AU"/>
              </w:rPr>
              <w:t>Bianca Fucile, Erica Bridge, Charlene Duliban, and Madelyn P. Law</w:t>
            </w:r>
            <w:r>
              <w:rPr>
                <w:rFonts w:ascii="Garamond" w:hAnsi="Garamond"/>
                <w:lang w:val="en-AU"/>
              </w:rPr>
              <w:t>)</w:t>
            </w:r>
          </w:p>
        </w:tc>
      </w:tr>
    </w:tbl>
    <w:p w:rsidR="00E94F83" w:rsidRDefault="00E94F83" w:rsidP="008020AC">
      <w:pPr>
        <w:rPr>
          <w:rFonts w:ascii="Garamond" w:hAnsi="Garamond"/>
          <w:i/>
          <w:lang w:val="en-AU"/>
        </w:rPr>
      </w:pPr>
    </w:p>
    <w:p w:rsidR="00060010" w:rsidRPr="00D9161E" w:rsidRDefault="00060010" w:rsidP="00060010">
      <w:pPr>
        <w:keepNext/>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60010"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keepNext/>
              <w:rPr>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keepNext/>
              <w:rPr>
                <w:rFonts w:ascii="Garamond" w:hAnsi="Garamond"/>
                <w:lang w:val="en-AU"/>
              </w:rPr>
            </w:pPr>
            <w:hyperlink r:id="rId30" w:history="1">
              <w:r w:rsidRPr="00D9161E">
                <w:rPr>
                  <w:rStyle w:val="Hyperlink"/>
                  <w:rFonts w:ascii="Garamond" w:hAnsi="Garamond"/>
                  <w:lang w:val="en-AU"/>
                </w:rPr>
                <w:t>https://academic.oup.com/intqhc/advance-access?papetoc</w:t>
              </w:r>
            </w:hyperlink>
          </w:p>
        </w:tc>
      </w:tr>
      <w:tr w:rsidR="00060010" w:rsidRPr="00D9161E" w:rsidTr="00D720BB">
        <w:tc>
          <w:tcPr>
            <w:tcW w:w="10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rPr>
                <w:rFonts w:ascii="Garamond" w:hAnsi="Garamond"/>
                <w:lang w:val="en-AU"/>
              </w:rPr>
            </w:pPr>
            <w:r w:rsidRPr="00D9161E">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0010" w:rsidRPr="00D9161E" w:rsidRDefault="00060010" w:rsidP="00D720BB">
            <w:pPr>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has published a number of ‘online first’ articles, including:</w:t>
            </w:r>
          </w:p>
          <w:p w:rsidR="00060010" w:rsidRPr="008E3866" w:rsidRDefault="00060010" w:rsidP="00D720BB">
            <w:pPr>
              <w:pStyle w:val="ListParagraph"/>
              <w:numPr>
                <w:ilvl w:val="0"/>
                <w:numId w:val="14"/>
              </w:numPr>
              <w:rPr>
                <w:rFonts w:ascii="Garamond" w:hAnsi="Garamond"/>
                <w:lang w:val="en-AU"/>
              </w:rPr>
            </w:pPr>
            <w:r w:rsidRPr="008E3866">
              <w:rPr>
                <w:rFonts w:ascii="Garamond" w:hAnsi="Garamond"/>
                <w:lang w:val="en-AU"/>
              </w:rPr>
              <w:t xml:space="preserve">Reporting of medication </w:t>
            </w:r>
            <w:r w:rsidRPr="008E3866">
              <w:rPr>
                <w:rFonts w:ascii="Garamond" w:hAnsi="Garamond"/>
                <w:b/>
                <w:lang w:val="en-AU"/>
              </w:rPr>
              <w:t>administration errors</w:t>
            </w:r>
            <w:r w:rsidRPr="008E3866">
              <w:rPr>
                <w:rFonts w:ascii="Garamond" w:hAnsi="Garamond"/>
                <w:lang w:val="en-AU"/>
              </w:rPr>
              <w:t xml:space="preserve"> by nurses in South Korean hospitals (Eunjoo Lee</w:t>
            </w:r>
            <w:r>
              <w:rPr>
                <w:rFonts w:ascii="Garamond" w:hAnsi="Garamond"/>
                <w:lang w:val="en-AU"/>
              </w:rPr>
              <w:t>)</w:t>
            </w:r>
          </w:p>
          <w:p w:rsidR="00060010" w:rsidRPr="008E3866" w:rsidRDefault="00060010" w:rsidP="00D720BB">
            <w:pPr>
              <w:pStyle w:val="ListParagraph"/>
              <w:numPr>
                <w:ilvl w:val="0"/>
                <w:numId w:val="14"/>
              </w:numPr>
              <w:rPr>
                <w:rFonts w:ascii="Garamond" w:hAnsi="Garamond"/>
                <w:lang w:val="en-AU"/>
              </w:rPr>
            </w:pPr>
            <w:r w:rsidRPr="008E3866">
              <w:rPr>
                <w:rFonts w:ascii="Garamond" w:hAnsi="Garamond"/>
                <w:lang w:val="en-AU"/>
              </w:rPr>
              <w:t xml:space="preserve">Evaluating the impact of </w:t>
            </w:r>
            <w:r w:rsidRPr="008E3866">
              <w:rPr>
                <w:rFonts w:ascii="Garamond" w:hAnsi="Garamond"/>
                <w:b/>
                <w:lang w:val="en-AU"/>
              </w:rPr>
              <w:t>accreditation</w:t>
            </w:r>
            <w:r w:rsidRPr="008E3866">
              <w:rPr>
                <w:rFonts w:ascii="Garamond" w:hAnsi="Garamond"/>
                <w:lang w:val="en-AU"/>
              </w:rPr>
              <w:t xml:space="preserve"> on </w:t>
            </w:r>
            <w:r w:rsidRPr="008E3866">
              <w:rPr>
                <w:rFonts w:ascii="Garamond" w:hAnsi="Garamond"/>
                <w:b/>
                <w:lang w:val="en-AU"/>
              </w:rPr>
              <w:t>Brazilian healthcare organizations</w:t>
            </w:r>
            <w:r w:rsidRPr="008E3866">
              <w:rPr>
                <w:rFonts w:ascii="Garamond" w:hAnsi="Garamond"/>
                <w:lang w:val="en-AU"/>
              </w:rPr>
              <w:t>: A quantitative study (Ana Maria Saut; Fernando Tobal Berssaneti; Maria Carolina Moreno</w:t>
            </w:r>
            <w:r>
              <w:rPr>
                <w:rFonts w:ascii="Garamond" w:hAnsi="Garamond"/>
                <w:lang w:val="en-AU"/>
              </w:rPr>
              <w:t>)</w:t>
            </w:r>
          </w:p>
          <w:p w:rsidR="00060010" w:rsidRDefault="00060010" w:rsidP="00D720BB">
            <w:pPr>
              <w:pStyle w:val="ListParagraph"/>
              <w:numPr>
                <w:ilvl w:val="0"/>
                <w:numId w:val="14"/>
              </w:numPr>
              <w:rPr>
                <w:rFonts w:ascii="Garamond" w:hAnsi="Garamond"/>
                <w:lang w:val="en-AU"/>
              </w:rPr>
            </w:pPr>
            <w:r w:rsidRPr="008E3866">
              <w:rPr>
                <w:rFonts w:ascii="Garamond" w:hAnsi="Garamond"/>
                <w:lang w:val="en-AU"/>
              </w:rPr>
              <w:t xml:space="preserve">A comparison of </w:t>
            </w:r>
            <w:r w:rsidRPr="008E3866">
              <w:rPr>
                <w:rFonts w:ascii="Garamond" w:hAnsi="Garamond"/>
                <w:b/>
                <w:lang w:val="en-AU"/>
              </w:rPr>
              <w:t>in-hospital acute myocardial infarction management</w:t>
            </w:r>
            <w:r w:rsidRPr="008E3866">
              <w:rPr>
                <w:rFonts w:ascii="Garamond" w:hAnsi="Garamond"/>
                <w:lang w:val="en-AU"/>
              </w:rPr>
              <w:t xml:space="preserve"> between Portugal and the United States: 2000–2010 (Mariana F. Lobo; Vanessa Azzone; Luís Filipe Azevedo; Bruno Melica; Alberto Freitas</w:t>
            </w:r>
            <w:r>
              <w:rPr>
                <w:rFonts w:ascii="Garamond" w:hAnsi="Garamond"/>
                <w:lang w:val="en-AU"/>
              </w:rPr>
              <w:t xml:space="preserve">; </w:t>
            </w:r>
            <w:r w:rsidRPr="000F1C1A">
              <w:rPr>
                <w:rFonts w:ascii="Garamond" w:hAnsi="Garamond"/>
                <w:lang w:val="en-AU"/>
              </w:rPr>
              <w:t>Leonor Bacelar-Nicolau</w:t>
            </w:r>
            <w:r>
              <w:rPr>
                <w:rFonts w:ascii="Garamond" w:hAnsi="Garamond"/>
                <w:lang w:val="en-AU"/>
              </w:rPr>
              <w:t>;</w:t>
            </w:r>
            <w:r w:rsidRPr="000F1C1A">
              <w:rPr>
                <w:rFonts w:ascii="Garamond" w:hAnsi="Garamond"/>
                <w:lang w:val="en-AU"/>
              </w:rPr>
              <w:t xml:space="preserve"> Francisco N. Rocha-Gonçalves</w:t>
            </w:r>
            <w:r>
              <w:rPr>
                <w:rFonts w:ascii="Garamond" w:hAnsi="Garamond"/>
                <w:lang w:val="en-AU"/>
              </w:rPr>
              <w:t>;</w:t>
            </w:r>
            <w:r w:rsidRPr="000F1C1A">
              <w:rPr>
                <w:rFonts w:ascii="Garamond" w:hAnsi="Garamond"/>
                <w:lang w:val="en-AU"/>
              </w:rPr>
              <w:t xml:space="preserve"> Cláudia Nisa</w:t>
            </w:r>
            <w:r>
              <w:rPr>
                <w:rFonts w:ascii="Garamond" w:hAnsi="Garamond"/>
                <w:lang w:val="en-AU"/>
              </w:rPr>
              <w:t>;</w:t>
            </w:r>
            <w:r w:rsidRPr="000F1C1A">
              <w:rPr>
                <w:rFonts w:ascii="Garamond" w:hAnsi="Garamond"/>
                <w:lang w:val="en-AU"/>
              </w:rPr>
              <w:t xml:space="preserve"> Armando Teixeira-Pinto</w:t>
            </w:r>
            <w:r>
              <w:rPr>
                <w:rFonts w:ascii="Garamond" w:hAnsi="Garamond"/>
                <w:lang w:val="en-AU"/>
              </w:rPr>
              <w:t>;</w:t>
            </w:r>
            <w:r w:rsidRPr="000F1C1A">
              <w:rPr>
                <w:rFonts w:ascii="Garamond" w:hAnsi="Garamond"/>
                <w:lang w:val="en-AU"/>
              </w:rPr>
              <w:t xml:space="preserve"> José Pereira-Miguel</w:t>
            </w:r>
            <w:r>
              <w:rPr>
                <w:rFonts w:ascii="Garamond" w:hAnsi="Garamond"/>
                <w:lang w:val="en-AU"/>
              </w:rPr>
              <w:t>;</w:t>
            </w:r>
            <w:r w:rsidRPr="000F1C1A">
              <w:rPr>
                <w:rFonts w:ascii="Garamond" w:hAnsi="Garamond"/>
                <w:lang w:val="en-AU"/>
              </w:rPr>
              <w:t xml:space="preserve"> Frederic S. Resnic</w:t>
            </w:r>
            <w:r>
              <w:rPr>
                <w:rFonts w:ascii="Garamond" w:hAnsi="Garamond"/>
                <w:lang w:val="en-AU"/>
              </w:rPr>
              <w:t>;</w:t>
            </w:r>
            <w:r w:rsidRPr="000F1C1A">
              <w:rPr>
                <w:rFonts w:ascii="Garamond" w:hAnsi="Garamond"/>
                <w:lang w:val="en-AU"/>
              </w:rPr>
              <w:t xml:space="preserve"> Altamiro Costa-Pereira</w:t>
            </w:r>
            <w:r>
              <w:rPr>
                <w:rFonts w:ascii="Garamond" w:hAnsi="Garamond"/>
                <w:lang w:val="en-AU"/>
              </w:rPr>
              <w:t>;</w:t>
            </w:r>
            <w:r w:rsidRPr="000F1C1A">
              <w:rPr>
                <w:rFonts w:ascii="Garamond" w:hAnsi="Garamond"/>
                <w:lang w:val="en-AU"/>
              </w:rPr>
              <w:t xml:space="preserve"> Sharon-Lise Normand</w:t>
            </w:r>
            <w:r>
              <w:rPr>
                <w:rFonts w:ascii="Garamond" w:hAnsi="Garamond"/>
                <w:lang w:val="en-AU"/>
              </w:rPr>
              <w:t>)</w:t>
            </w:r>
          </w:p>
          <w:p w:rsidR="00060010" w:rsidRPr="00D9161E" w:rsidRDefault="00060010" w:rsidP="00D720BB">
            <w:pPr>
              <w:pStyle w:val="ListParagraph"/>
              <w:numPr>
                <w:ilvl w:val="0"/>
                <w:numId w:val="14"/>
              </w:numPr>
              <w:rPr>
                <w:rFonts w:ascii="Garamond" w:hAnsi="Garamond"/>
                <w:lang w:val="en-AU"/>
              </w:rPr>
            </w:pPr>
            <w:r w:rsidRPr="008E3866">
              <w:rPr>
                <w:rFonts w:ascii="Garamond" w:hAnsi="Garamond"/>
                <w:lang w:val="en-AU"/>
              </w:rPr>
              <w:t xml:space="preserve">Are children presenting with non-IMCI complaints at greater risk for </w:t>
            </w:r>
            <w:r w:rsidRPr="000F1C1A">
              <w:rPr>
                <w:rFonts w:ascii="Garamond" w:hAnsi="Garamond"/>
                <w:b/>
                <w:lang w:val="en-AU"/>
              </w:rPr>
              <w:t>suboptimal screening</w:t>
            </w:r>
            <w:r w:rsidRPr="008E3866">
              <w:rPr>
                <w:rFonts w:ascii="Garamond" w:hAnsi="Garamond"/>
                <w:lang w:val="en-AU"/>
              </w:rPr>
              <w:t xml:space="preserve">? An analysis of outpatient visits in Afghanistan </w:t>
            </w:r>
            <w:r>
              <w:rPr>
                <w:rFonts w:ascii="Garamond" w:hAnsi="Garamond"/>
                <w:lang w:val="en-AU"/>
              </w:rPr>
              <w:t>(</w:t>
            </w:r>
            <w:r w:rsidRPr="008E3866">
              <w:rPr>
                <w:rFonts w:ascii="Garamond" w:hAnsi="Garamond"/>
                <w:lang w:val="en-AU"/>
              </w:rPr>
              <w:t>Maya Venkataramani; Anbrasi Edward; Paul Ickx; Motawali Younusi; Syed Ali Shah Alawi</w:t>
            </w:r>
            <w:r>
              <w:rPr>
                <w:rFonts w:ascii="Garamond" w:hAnsi="Garamond"/>
                <w:lang w:val="en-AU"/>
              </w:rPr>
              <w:t xml:space="preserve">; </w:t>
            </w:r>
            <w:r w:rsidRPr="000F1C1A">
              <w:rPr>
                <w:rFonts w:ascii="Garamond" w:hAnsi="Garamond"/>
                <w:lang w:val="en-AU"/>
              </w:rPr>
              <w:t>David H Peters</w:t>
            </w:r>
            <w:r>
              <w:rPr>
                <w:rFonts w:ascii="Garamond" w:hAnsi="Garamond"/>
                <w:lang w:val="en-AU"/>
              </w:rPr>
              <w:t>)</w:t>
            </w:r>
          </w:p>
        </w:tc>
      </w:tr>
    </w:tbl>
    <w:p w:rsidR="00060010" w:rsidRPr="00D9161E" w:rsidRDefault="00060010" w:rsidP="00060010">
      <w:pPr>
        <w:rPr>
          <w:rFonts w:ascii="Garamond" w:hAnsi="Garamond"/>
          <w:lang w:val="en-AU"/>
        </w:rPr>
      </w:pPr>
    </w:p>
    <w:p w:rsidR="00177F9F" w:rsidRPr="00D9161E" w:rsidRDefault="00177F9F" w:rsidP="00177F9F">
      <w:pPr>
        <w:keepNext/>
        <w:rPr>
          <w:rFonts w:ascii="Garamond" w:hAnsi="Garamond"/>
          <w:lang w:val="en-AU"/>
        </w:rPr>
      </w:pPr>
      <w:r w:rsidRPr="00D9161E">
        <w:rPr>
          <w:rFonts w:ascii="Garamond" w:hAnsi="Garamond"/>
          <w:i/>
          <w:lang w:val="en-AU"/>
        </w:rPr>
        <w:lastRenderedPageBreak/>
        <w:t xml:space="preserve">BMJ Quality and Safety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77F9F" w:rsidRPr="00D9161E" w:rsidRDefault="00F92643" w:rsidP="00BD6A15">
            <w:pPr>
              <w:keepNext/>
              <w:rPr>
                <w:rFonts w:ascii="Garamond" w:hAnsi="Garamond"/>
                <w:lang w:val="en-AU"/>
              </w:rPr>
            </w:pPr>
            <w:hyperlink r:id="rId31" w:history="1">
              <w:r w:rsidR="00177F9F" w:rsidRPr="00D9161E">
                <w:rPr>
                  <w:rStyle w:val="Hyperlink"/>
                  <w:rFonts w:ascii="Garamond" w:hAnsi="Garamond"/>
                  <w:lang w:val="en-AU"/>
                </w:rPr>
                <w:t>https://qualitysafety.bmj.com/content/early/recent</w:t>
              </w:r>
            </w:hyperlink>
          </w:p>
        </w:tc>
      </w:tr>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77F9F" w:rsidRPr="00D9161E" w:rsidRDefault="00177F9F" w:rsidP="00BD6A15">
            <w:pPr>
              <w:rPr>
                <w:rFonts w:ascii="Garamond" w:hAnsi="Garamond"/>
                <w:lang w:val="en-AU"/>
              </w:rPr>
            </w:pPr>
            <w:r w:rsidRPr="00D9161E">
              <w:rPr>
                <w:rFonts w:ascii="Garamond" w:hAnsi="Garamond"/>
                <w:i/>
                <w:lang w:val="en-AU"/>
              </w:rPr>
              <w:t>BMJ Quality and Safety</w:t>
            </w:r>
            <w:r w:rsidRPr="00D9161E">
              <w:rPr>
                <w:rFonts w:ascii="Garamond" w:hAnsi="Garamond"/>
                <w:lang w:val="en-AU"/>
              </w:rPr>
              <w:t xml:space="preserve"> has published a number of ‘online first’ articles, including:</w:t>
            </w:r>
          </w:p>
          <w:p w:rsidR="003162F6" w:rsidRPr="003162F6" w:rsidRDefault="003162F6" w:rsidP="00060010">
            <w:pPr>
              <w:pStyle w:val="ListParagraph"/>
              <w:widowControl w:val="0"/>
              <w:numPr>
                <w:ilvl w:val="0"/>
                <w:numId w:val="14"/>
              </w:numPr>
              <w:ind w:left="714" w:hanging="357"/>
              <w:rPr>
                <w:rFonts w:ascii="Garamond" w:hAnsi="Garamond"/>
                <w:lang w:val="en-AU"/>
              </w:rPr>
            </w:pPr>
            <w:r w:rsidRPr="003162F6">
              <w:rPr>
                <w:rFonts w:ascii="Garamond" w:hAnsi="Garamond"/>
                <w:lang w:val="en-AU"/>
              </w:rPr>
              <w:t xml:space="preserve">How to attribute </w:t>
            </w:r>
            <w:r w:rsidRPr="003162F6">
              <w:rPr>
                <w:rFonts w:ascii="Garamond" w:hAnsi="Garamond"/>
                <w:b/>
                <w:lang w:val="en-AU"/>
              </w:rPr>
              <w:t xml:space="preserve">causality </w:t>
            </w:r>
            <w:r w:rsidRPr="003162F6">
              <w:rPr>
                <w:rFonts w:ascii="Garamond" w:hAnsi="Garamond"/>
                <w:lang w:val="en-AU"/>
              </w:rPr>
              <w:t>in</w:t>
            </w:r>
            <w:r w:rsidRPr="003162F6">
              <w:rPr>
                <w:rFonts w:ascii="Garamond" w:hAnsi="Garamond"/>
                <w:b/>
                <w:lang w:val="en-AU"/>
              </w:rPr>
              <w:t xml:space="preserve"> quality improvement</w:t>
            </w:r>
            <w:r w:rsidRPr="003162F6">
              <w:rPr>
                <w:rFonts w:ascii="Garamond" w:hAnsi="Garamond"/>
                <w:lang w:val="en-AU"/>
              </w:rPr>
              <w:t>: lessons from epidemiology (Alan J Poots, Julie E Reed, T Woo</w:t>
            </w:r>
            <w:r>
              <w:rPr>
                <w:rFonts w:ascii="Garamond" w:hAnsi="Garamond"/>
                <w:lang w:val="en-AU"/>
              </w:rPr>
              <w:t>dcock, D Bell, D Goldmann)</w:t>
            </w:r>
          </w:p>
          <w:p w:rsidR="003162F6" w:rsidRPr="003162F6" w:rsidRDefault="003162F6" w:rsidP="00060010">
            <w:pPr>
              <w:pStyle w:val="ListParagraph"/>
              <w:widowControl w:val="0"/>
              <w:numPr>
                <w:ilvl w:val="0"/>
                <w:numId w:val="14"/>
              </w:numPr>
              <w:ind w:left="714" w:hanging="357"/>
              <w:rPr>
                <w:rFonts w:ascii="Garamond" w:hAnsi="Garamond"/>
                <w:lang w:val="en-AU"/>
              </w:rPr>
            </w:pPr>
            <w:r w:rsidRPr="003162F6">
              <w:rPr>
                <w:rFonts w:ascii="Garamond" w:hAnsi="Garamond"/>
                <w:lang w:val="en-AU"/>
              </w:rPr>
              <w:t xml:space="preserve">Factors influencing the </w:t>
            </w:r>
            <w:r w:rsidRPr="003162F6">
              <w:rPr>
                <w:rFonts w:ascii="Garamond" w:hAnsi="Garamond"/>
                <w:b/>
                <w:lang w:val="en-AU"/>
              </w:rPr>
              <w:t xml:space="preserve">reporting </w:t>
            </w:r>
            <w:r w:rsidRPr="003162F6">
              <w:rPr>
                <w:rFonts w:ascii="Garamond" w:hAnsi="Garamond"/>
                <w:lang w:val="en-AU"/>
              </w:rPr>
              <w:t>of</w:t>
            </w:r>
            <w:r w:rsidRPr="003162F6">
              <w:rPr>
                <w:rFonts w:ascii="Garamond" w:hAnsi="Garamond"/>
                <w:b/>
                <w:lang w:val="en-AU"/>
              </w:rPr>
              <w:t xml:space="preserve"> adverse medical device events</w:t>
            </w:r>
            <w:r w:rsidRPr="003162F6">
              <w:rPr>
                <w:rFonts w:ascii="Garamond" w:hAnsi="Garamond"/>
                <w:lang w:val="en-AU"/>
              </w:rPr>
              <w:t>: qualitative interviews with physicians about higher risk implantable devices (Anna R Gagliardi, Ariel Ducey, Pascale Lehoux, Thomas Turgeon, Sue Ross, Patricia Trvovich, Anthony Easty, Chaim Bell, David Urbach</w:t>
            </w:r>
            <w:r>
              <w:rPr>
                <w:rFonts w:ascii="Garamond" w:hAnsi="Garamond"/>
                <w:lang w:val="en-AU"/>
              </w:rPr>
              <w:t>)</w:t>
            </w:r>
          </w:p>
          <w:p w:rsidR="008E3866" w:rsidRDefault="008E3866" w:rsidP="00060010">
            <w:pPr>
              <w:pStyle w:val="ListParagraph"/>
              <w:widowControl w:val="0"/>
              <w:numPr>
                <w:ilvl w:val="0"/>
                <w:numId w:val="14"/>
              </w:numPr>
              <w:ind w:left="714" w:hanging="357"/>
              <w:rPr>
                <w:rFonts w:ascii="Garamond" w:hAnsi="Garamond"/>
                <w:lang w:val="en-AU"/>
              </w:rPr>
            </w:pPr>
            <w:r w:rsidRPr="008E3866">
              <w:rPr>
                <w:rFonts w:ascii="Garamond" w:hAnsi="Garamond"/>
                <w:lang w:val="en-AU"/>
              </w:rPr>
              <w:t xml:space="preserve">The use of </w:t>
            </w:r>
            <w:r w:rsidRPr="008E3866">
              <w:rPr>
                <w:rFonts w:ascii="Garamond" w:hAnsi="Garamond"/>
                <w:b/>
                <w:lang w:val="en-AU"/>
              </w:rPr>
              <w:t>patient feedback</w:t>
            </w:r>
            <w:r w:rsidRPr="008E3866">
              <w:rPr>
                <w:rFonts w:ascii="Garamond" w:hAnsi="Garamond"/>
                <w:lang w:val="en-AU"/>
              </w:rPr>
              <w:t xml:space="preserve"> by </w:t>
            </w:r>
            <w:r w:rsidRPr="008E3866">
              <w:rPr>
                <w:rFonts w:ascii="Garamond" w:hAnsi="Garamond"/>
                <w:b/>
                <w:lang w:val="en-AU"/>
              </w:rPr>
              <w:t>hospital boards</w:t>
            </w:r>
            <w:r w:rsidRPr="008E3866">
              <w:rPr>
                <w:rFonts w:ascii="Garamond" w:hAnsi="Garamond"/>
                <w:lang w:val="en-AU"/>
              </w:rPr>
              <w:t xml:space="preserve"> of directors: a qualitative study of two NHS hospitals in England (Robert Lee, Juan I Baeza, N J Fulop</w:t>
            </w:r>
            <w:r>
              <w:rPr>
                <w:rFonts w:ascii="Garamond" w:hAnsi="Garamond"/>
                <w:lang w:val="en-AU"/>
              </w:rPr>
              <w:t>)</w:t>
            </w:r>
          </w:p>
          <w:p w:rsidR="00BF1404" w:rsidRPr="00BF1404" w:rsidRDefault="00BF1404" w:rsidP="00060010">
            <w:pPr>
              <w:pStyle w:val="ListParagraph"/>
              <w:widowControl w:val="0"/>
              <w:numPr>
                <w:ilvl w:val="0"/>
                <w:numId w:val="14"/>
              </w:numPr>
              <w:ind w:left="714" w:hanging="357"/>
              <w:rPr>
                <w:rFonts w:ascii="Garamond" w:hAnsi="Garamond"/>
                <w:lang w:val="en-AU"/>
              </w:rPr>
            </w:pPr>
            <w:r w:rsidRPr="00BF1404">
              <w:rPr>
                <w:rFonts w:ascii="Garamond" w:hAnsi="Garamond"/>
                <w:lang w:val="en-AU"/>
              </w:rPr>
              <w:t xml:space="preserve">Drug shortage leading to serendipitous adoption of </w:t>
            </w:r>
            <w:r w:rsidRPr="00BF1404">
              <w:rPr>
                <w:rFonts w:ascii="Garamond" w:hAnsi="Garamond"/>
                <w:b/>
                <w:lang w:val="en-AU"/>
              </w:rPr>
              <w:t>high-value care practice</w:t>
            </w:r>
            <w:r w:rsidRPr="00BF1404">
              <w:rPr>
                <w:rFonts w:ascii="Garamond" w:hAnsi="Garamond"/>
                <w:lang w:val="en-AU"/>
              </w:rPr>
              <w:t xml:space="preserve"> (Arjun Gupta, A Rahman, K S Alvarez, J W Gard, </w:t>
            </w:r>
            <w:r>
              <w:rPr>
                <w:rFonts w:ascii="Garamond" w:hAnsi="Garamond"/>
                <w:lang w:val="en-AU"/>
              </w:rPr>
              <w:t>D H Johnson, D Agrawal)</w:t>
            </w:r>
          </w:p>
          <w:p w:rsidR="00BF1404" w:rsidRPr="00BF1404" w:rsidRDefault="00BF1404" w:rsidP="00060010">
            <w:pPr>
              <w:pStyle w:val="ListParagraph"/>
              <w:widowControl w:val="0"/>
              <w:numPr>
                <w:ilvl w:val="0"/>
                <w:numId w:val="14"/>
              </w:numPr>
              <w:ind w:left="714" w:hanging="357"/>
              <w:rPr>
                <w:rFonts w:ascii="Garamond" w:hAnsi="Garamond"/>
                <w:lang w:val="en-AU"/>
              </w:rPr>
            </w:pPr>
            <w:r w:rsidRPr="00BF1404">
              <w:rPr>
                <w:rFonts w:ascii="Garamond" w:hAnsi="Garamond"/>
                <w:lang w:val="en-AU"/>
              </w:rPr>
              <w:t>Does early return to theatre add value to rates of revision at 3 years in assessing</w:t>
            </w:r>
            <w:r w:rsidRPr="00BF1404">
              <w:rPr>
                <w:rFonts w:ascii="Garamond" w:hAnsi="Garamond"/>
                <w:b/>
                <w:lang w:val="en-AU"/>
              </w:rPr>
              <w:t xml:space="preserve"> surgeon performance</w:t>
            </w:r>
            <w:r w:rsidRPr="00BF1404">
              <w:rPr>
                <w:rFonts w:ascii="Garamond" w:hAnsi="Garamond"/>
                <w:lang w:val="en-AU"/>
              </w:rPr>
              <w:t xml:space="preserve"> for elective </w:t>
            </w:r>
            <w:r w:rsidRPr="00BF1404">
              <w:rPr>
                <w:rFonts w:ascii="Garamond" w:hAnsi="Garamond"/>
                <w:b/>
                <w:lang w:val="en-AU"/>
              </w:rPr>
              <w:t>hip and knee arthroplasty</w:t>
            </w:r>
            <w:r w:rsidRPr="00BF1404">
              <w:rPr>
                <w:rFonts w:ascii="Garamond" w:hAnsi="Garamond"/>
                <w:lang w:val="en-AU"/>
              </w:rPr>
              <w:t>? National observational study (Alex Bottle, H E Chase, P</w:t>
            </w:r>
            <w:r>
              <w:rPr>
                <w:rFonts w:ascii="Garamond" w:hAnsi="Garamond"/>
                <w:lang w:val="en-AU"/>
              </w:rPr>
              <w:t xml:space="preserve"> </w:t>
            </w:r>
            <w:r w:rsidRPr="00BF1404">
              <w:rPr>
                <w:rFonts w:ascii="Garamond" w:hAnsi="Garamond"/>
                <w:lang w:val="en-AU"/>
              </w:rPr>
              <w:t>P Aylin, M Loeffler</w:t>
            </w:r>
            <w:r>
              <w:rPr>
                <w:rFonts w:ascii="Garamond" w:hAnsi="Garamond"/>
                <w:lang w:val="en-AU"/>
              </w:rPr>
              <w:t>)</w:t>
            </w:r>
          </w:p>
          <w:p w:rsidR="008E3866" w:rsidRPr="008E3866" w:rsidRDefault="008E3866" w:rsidP="00060010">
            <w:pPr>
              <w:pStyle w:val="ListParagraph"/>
              <w:widowControl w:val="0"/>
              <w:numPr>
                <w:ilvl w:val="0"/>
                <w:numId w:val="14"/>
              </w:numPr>
              <w:ind w:left="714" w:hanging="357"/>
              <w:rPr>
                <w:rFonts w:ascii="Garamond" w:hAnsi="Garamond"/>
                <w:lang w:val="en-AU"/>
              </w:rPr>
            </w:pPr>
            <w:r w:rsidRPr="008E3866">
              <w:rPr>
                <w:rFonts w:ascii="Garamond" w:hAnsi="Garamond"/>
                <w:b/>
                <w:lang w:val="en-AU"/>
              </w:rPr>
              <w:t>Outpatient CPOE orders</w:t>
            </w:r>
            <w:r w:rsidRPr="008E3866">
              <w:rPr>
                <w:rFonts w:ascii="Garamond" w:hAnsi="Garamond"/>
                <w:lang w:val="en-AU"/>
              </w:rPr>
              <w:t xml:space="preserve"> discontinued due to ‘erroneous entry’: prospective survey of </w:t>
            </w:r>
            <w:r w:rsidRPr="008E3866">
              <w:rPr>
                <w:rFonts w:ascii="Garamond" w:hAnsi="Garamond"/>
                <w:b/>
                <w:lang w:val="en-AU"/>
              </w:rPr>
              <w:t>prescribers’ explanations for errors</w:t>
            </w:r>
            <w:r w:rsidRPr="008E3866">
              <w:rPr>
                <w:rFonts w:ascii="Garamond" w:hAnsi="Garamond"/>
                <w:lang w:val="en-AU"/>
              </w:rPr>
              <w:t xml:space="preserve"> (Thu-Trang T Hickman, Arbor Jessica Lauren Quist, Alejandra Salazar, Mary G Amato, Adam Wright, Lynn A Volk, David W Bates, Gordon Schiff</w:t>
            </w:r>
            <w:r>
              <w:rPr>
                <w:rFonts w:ascii="Garamond" w:hAnsi="Garamond"/>
                <w:lang w:val="en-AU"/>
              </w:rPr>
              <w:t>)</w:t>
            </w:r>
          </w:p>
          <w:p w:rsidR="008E3866" w:rsidRPr="008E3866" w:rsidRDefault="008E3866" w:rsidP="00060010">
            <w:pPr>
              <w:pStyle w:val="ListParagraph"/>
              <w:widowControl w:val="0"/>
              <w:numPr>
                <w:ilvl w:val="0"/>
                <w:numId w:val="14"/>
              </w:numPr>
              <w:ind w:left="714" w:hanging="357"/>
              <w:rPr>
                <w:rFonts w:ascii="Garamond" w:hAnsi="Garamond"/>
                <w:lang w:val="en-AU"/>
              </w:rPr>
            </w:pPr>
            <w:r w:rsidRPr="008E3866">
              <w:rPr>
                <w:rFonts w:ascii="Garamond" w:hAnsi="Garamond"/>
                <w:lang w:val="en-AU"/>
              </w:rPr>
              <w:t xml:space="preserve">Consistency of </w:t>
            </w:r>
            <w:r w:rsidRPr="008E3866">
              <w:rPr>
                <w:rFonts w:ascii="Garamond" w:hAnsi="Garamond"/>
                <w:b/>
                <w:lang w:val="en-AU"/>
              </w:rPr>
              <w:t>pressure injury documentation</w:t>
            </w:r>
            <w:r w:rsidRPr="008E3866">
              <w:rPr>
                <w:rFonts w:ascii="Garamond" w:hAnsi="Garamond"/>
                <w:lang w:val="en-AU"/>
              </w:rPr>
              <w:t xml:space="preserve"> across interfacility </w:t>
            </w:r>
            <w:r w:rsidRPr="008E3866">
              <w:rPr>
                <w:rFonts w:ascii="Garamond" w:hAnsi="Garamond"/>
                <w:b/>
                <w:lang w:val="en-AU"/>
              </w:rPr>
              <w:t>transfers</w:t>
            </w:r>
            <w:r w:rsidRPr="008E3866">
              <w:rPr>
                <w:rFonts w:ascii="Garamond" w:hAnsi="Garamond"/>
                <w:lang w:val="en-AU"/>
              </w:rPr>
              <w:t xml:space="preserve"> (Lee Squitieri, David A Ganz, Carol M Mangione, Jack Needleman, Patrick S Romano, Debra Saliba, Clifford Y Ko, Daniel A Waxman</w:t>
            </w:r>
            <w:r>
              <w:rPr>
                <w:rFonts w:ascii="Garamond" w:hAnsi="Garamond"/>
                <w:lang w:val="en-AU"/>
              </w:rPr>
              <w:t>)</w:t>
            </w:r>
          </w:p>
          <w:p w:rsidR="00271733" w:rsidRPr="00D9161E" w:rsidRDefault="008E3866" w:rsidP="00060010">
            <w:pPr>
              <w:pStyle w:val="ListParagraph"/>
              <w:widowControl w:val="0"/>
              <w:numPr>
                <w:ilvl w:val="0"/>
                <w:numId w:val="14"/>
              </w:numPr>
              <w:ind w:left="714" w:hanging="357"/>
              <w:rPr>
                <w:rFonts w:ascii="Garamond" w:hAnsi="Garamond"/>
                <w:lang w:val="en-AU"/>
              </w:rPr>
            </w:pPr>
            <w:r w:rsidRPr="008E3866">
              <w:rPr>
                <w:rFonts w:ascii="Garamond" w:hAnsi="Garamond"/>
                <w:lang w:val="en-AU"/>
              </w:rPr>
              <w:t xml:space="preserve">Enhancing </w:t>
            </w:r>
            <w:r w:rsidRPr="008E3866">
              <w:rPr>
                <w:rFonts w:ascii="Garamond" w:hAnsi="Garamond"/>
                <w:b/>
                <w:lang w:val="en-AU"/>
              </w:rPr>
              <w:t>problem list documentation</w:t>
            </w:r>
            <w:r w:rsidRPr="008E3866">
              <w:rPr>
                <w:rFonts w:ascii="Garamond" w:hAnsi="Garamond"/>
                <w:lang w:val="en-AU"/>
              </w:rPr>
              <w:t xml:space="preserve"> in </w:t>
            </w:r>
            <w:r w:rsidRPr="008E3866">
              <w:rPr>
                <w:rFonts w:ascii="Garamond" w:hAnsi="Garamond"/>
                <w:b/>
                <w:lang w:val="en-AU"/>
              </w:rPr>
              <w:t>electronic health records</w:t>
            </w:r>
            <w:r w:rsidRPr="008E3866">
              <w:rPr>
                <w:rFonts w:ascii="Garamond" w:hAnsi="Garamond"/>
                <w:lang w:val="en-AU"/>
              </w:rPr>
              <w:t xml:space="preserve"> using two methods: the example of prior splenectomy</w:t>
            </w:r>
            <w:r>
              <w:rPr>
                <w:rFonts w:ascii="Garamond" w:hAnsi="Garamond"/>
                <w:lang w:val="en-AU"/>
              </w:rPr>
              <w:t xml:space="preserve"> (</w:t>
            </w:r>
            <w:r w:rsidRPr="008E3866">
              <w:rPr>
                <w:rFonts w:ascii="Garamond" w:hAnsi="Garamond"/>
                <w:lang w:val="en-AU"/>
              </w:rPr>
              <w:t>Dustin McEvoy, Tejal K. Gandhi, Alexander Turchin, Adam Wright</w:t>
            </w:r>
            <w:r>
              <w:rPr>
                <w:rFonts w:ascii="Garamond" w:hAnsi="Garamond"/>
                <w:lang w:val="en-AU"/>
              </w:rPr>
              <w:t>)</w:t>
            </w:r>
          </w:p>
        </w:tc>
      </w:tr>
    </w:tbl>
    <w:p w:rsidR="00177F9F" w:rsidRPr="00D9161E" w:rsidRDefault="00177F9F" w:rsidP="00060010">
      <w:pPr>
        <w:rPr>
          <w:rFonts w:ascii="Garamond" w:hAnsi="Garamond"/>
          <w:lang w:val="en-AU" w:eastAsia="en-AU"/>
        </w:rPr>
      </w:pPr>
    </w:p>
    <w:p w:rsidR="00177F9F" w:rsidRPr="00D9161E" w:rsidRDefault="00177F9F" w:rsidP="00177F9F">
      <w:pPr>
        <w:keepNext/>
        <w:rPr>
          <w:rFonts w:ascii="Garamond" w:hAnsi="Garamond"/>
          <w:b/>
          <w:lang w:val="en-AU"/>
        </w:rPr>
      </w:pPr>
      <w:r w:rsidRPr="00D9161E">
        <w:rPr>
          <w:rFonts w:ascii="Garamond" w:hAnsi="Garamond"/>
          <w:b/>
          <w:lang w:val="en-AU"/>
        </w:rPr>
        <w:t>Online resources</w:t>
      </w:r>
    </w:p>
    <w:p w:rsidR="000F1C1A" w:rsidRDefault="000F1C1A" w:rsidP="00070CFE">
      <w:pPr>
        <w:rPr>
          <w:rFonts w:ascii="Garamond" w:hAnsi="Garamond"/>
          <w:i/>
          <w:lang w:val="en-AU"/>
        </w:rPr>
      </w:pPr>
    </w:p>
    <w:p w:rsidR="00E070E9" w:rsidRPr="007A47A8" w:rsidRDefault="00E070E9" w:rsidP="00E070E9">
      <w:pPr>
        <w:keepNext/>
        <w:keepLines/>
        <w:rPr>
          <w:rFonts w:ascii="Garamond" w:hAnsi="Garamond"/>
          <w:i/>
          <w:lang w:val="en-AU"/>
        </w:rPr>
      </w:pPr>
      <w:r w:rsidRPr="007A47A8">
        <w:rPr>
          <w:rFonts w:ascii="Garamond" w:hAnsi="Garamond"/>
          <w:i/>
          <w:lang w:val="en-AU"/>
        </w:rPr>
        <w:t>[UK] National Institute for Health Research</w:t>
      </w:r>
    </w:p>
    <w:p w:rsidR="00E070E9" w:rsidRPr="007A47A8" w:rsidRDefault="00E070E9" w:rsidP="00E070E9">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E070E9" w:rsidRDefault="00E070E9" w:rsidP="00E070E9">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017B10" w:rsidRPr="00017B10" w:rsidRDefault="00017B10" w:rsidP="00017B10">
      <w:pPr>
        <w:pStyle w:val="ListParagraph"/>
        <w:keepNext/>
        <w:keepLines/>
        <w:numPr>
          <w:ilvl w:val="0"/>
          <w:numId w:val="14"/>
        </w:numPr>
        <w:rPr>
          <w:rFonts w:ascii="Garamond" w:hAnsi="Garamond"/>
          <w:lang w:val="en-AU"/>
        </w:rPr>
      </w:pPr>
      <w:r w:rsidRPr="003361FD">
        <w:rPr>
          <w:rFonts w:ascii="Garamond" w:hAnsi="Garamond"/>
          <w:b/>
          <w:lang w:val="en-AU"/>
        </w:rPr>
        <w:t>Type 2 diabetes</w:t>
      </w:r>
      <w:r w:rsidRPr="00017B10">
        <w:rPr>
          <w:rFonts w:ascii="Garamond" w:hAnsi="Garamond"/>
          <w:lang w:val="en-AU"/>
        </w:rPr>
        <w:t xml:space="preserve"> is b</w:t>
      </w:r>
      <w:r w:rsidR="003361FD">
        <w:rPr>
          <w:rFonts w:ascii="Garamond" w:hAnsi="Garamond"/>
          <w:lang w:val="en-AU"/>
        </w:rPr>
        <w:t>ecoming more common in children</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Treatments for reducing </w:t>
      </w:r>
      <w:r w:rsidRPr="003361FD">
        <w:rPr>
          <w:rFonts w:ascii="Garamond" w:hAnsi="Garamond"/>
          <w:b/>
          <w:lang w:val="en-AU"/>
        </w:rPr>
        <w:t>menopausal hot flushes</w:t>
      </w:r>
      <w:r w:rsidR="003361FD">
        <w:rPr>
          <w:rFonts w:ascii="Garamond" w:hAnsi="Garamond"/>
          <w:lang w:val="en-AU"/>
        </w:rPr>
        <w:t xml:space="preserve"> are ranked for effectiveness</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Physical activity in the community improves </w:t>
      </w:r>
      <w:r w:rsidRPr="003361FD">
        <w:rPr>
          <w:rFonts w:ascii="Garamond" w:hAnsi="Garamond"/>
          <w:b/>
          <w:lang w:val="en-AU"/>
        </w:rPr>
        <w:t xml:space="preserve">mobility </w:t>
      </w:r>
      <w:r w:rsidRPr="003361FD">
        <w:rPr>
          <w:rFonts w:ascii="Garamond" w:hAnsi="Garamond"/>
          <w:lang w:val="en-AU"/>
        </w:rPr>
        <w:t>for</w:t>
      </w:r>
      <w:r w:rsidRPr="003361FD">
        <w:rPr>
          <w:rFonts w:ascii="Garamond" w:hAnsi="Garamond"/>
          <w:b/>
          <w:lang w:val="en-AU"/>
        </w:rPr>
        <w:t xml:space="preserve"> cancer survivors</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Regional anaesthesia could improve </w:t>
      </w:r>
      <w:r w:rsidRPr="003361FD">
        <w:rPr>
          <w:rFonts w:ascii="Garamond" w:hAnsi="Garamond"/>
          <w:b/>
          <w:lang w:val="en-AU"/>
        </w:rPr>
        <w:t>fistula</w:t>
      </w:r>
      <w:r w:rsidRPr="00017B10">
        <w:rPr>
          <w:rFonts w:ascii="Garamond" w:hAnsi="Garamond"/>
          <w:lang w:val="en-AU"/>
        </w:rPr>
        <w:t xml:space="preserve"> function for </w:t>
      </w:r>
      <w:r w:rsidRPr="003361FD">
        <w:rPr>
          <w:rFonts w:ascii="Garamond" w:hAnsi="Garamond"/>
          <w:b/>
          <w:lang w:val="en-AU"/>
        </w:rPr>
        <w:t>kidney dialysis</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Tenofovir reduces mother-to-child </w:t>
      </w:r>
      <w:r w:rsidRPr="003361FD">
        <w:rPr>
          <w:rFonts w:ascii="Garamond" w:hAnsi="Garamond"/>
          <w:b/>
          <w:lang w:val="en-AU"/>
        </w:rPr>
        <w:t>hepatitis B transmission</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Online education, pain coaching and advice by video </w:t>
      </w:r>
      <w:r w:rsidR="003361FD">
        <w:rPr>
          <w:rFonts w:ascii="Garamond" w:hAnsi="Garamond"/>
          <w:lang w:val="en-AU"/>
        </w:rPr>
        <w:t xml:space="preserve">conference can reduce </w:t>
      </w:r>
      <w:r w:rsidR="003361FD" w:rsidRPr="003361FD">
        <w:rPr>
          <w:rFonts w:ascii="Garamond" w:hAnsi="Garamond"/>
          <w:b/>
          <w:lang w:val="en-AU"/>
        </w:rPr>
        <w:t>knee pain</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Intensive </w:t>
      </w:r>
      <w:r w:rsidRPr="003361FD">
        <w:rPr>
          <w:rFonts w:ascii="Garamond" w:hAnsi="Garamond"/>
          <w:b/>
          <w:lang w:val="en-AU"/>
        </w:rPr>
        <w:t>speech therapy</w:t>
      </w:r>
      <w:r w:rsidRPr="00017B10">
        <w:rPr>
          <w:rFonts w:ascii="Garamond" w:hAnsi="Garamond"/>
          <w:lang w:val="en-AU"/>
        </w:rPr>
        <w:t xml:space="preserve"> helps </w:t>
      </w:r>
      <w:r w:rsidRPr="003361FD">
        <w:rPr>
          <w:rFonts w:ascii="Garamond" w:hAnsi="Garamond"/>
          <w:b/>
          <w:lang w:val="en-AU"/>
        </w:rPr>
        <w:t>stroke survivors</w:t>
      </w:r>
      <w:r w:rsidRPr="00017B10">
        <w:rPr>
          <w:rFonts w:ascii="Garamond" w:hAnsi="Garamond"/>
          <w:lang w:val="en-AU"/>
        </w:rPr>
        <w:t xml:space="preserve"> with persis</w:t>
      </w:r>
      <w:r w:rsidR="003361FD">
        <w:rPr>
          <w:rFonts w:ascii="Garamond" w:hAnsi="Garamond"/>
          <w:lang w:val="en-AU"/>
        </w:rPr>
        <w:t>tent communication difficulties</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Screen reminders for GPs did not improve </w:t>
      </w:r>
      <w:r w:rsidRPr="003361FD">
        <w:rPr>
          <w:rFonts w:ascii="Garamond" w:hAnsi="Garamond"/>
          <w:b/>
          <w:lang w:val="en-AU"/>
        </w:rPr>
        <w:t>anticoagulant</w:t>
      </w:r>
      <w:r w:rsidRPr="00017B10">
        <w:rPr>
          <w:rFonts w:ascii="Garamond" w:hAnsi="Garamond"/>
          <w:lang w:val="en-AU"/>
        </w:rPr>
        <w:t xml:space="preserve"> prescribing in </w:t>
      </w:r>
      <w:r w:rsidRPr="003361FD">
        <w:rPr>
          <w:rFonts w:ascii="Garamond" w:hAnsi="Garamond"/>
          <w:b/>
          <w:lang w:val="en-AU"/>
        </w:rPr>
        <w:t>atrial</w:t>
      </w:r>
      <w:r w:rsidR="003361FD" w:rsidRPr="003361FD">
        <w:rPr>
          <w:rFonts w:ascii="Garamond" w:hAnsi="Garamond"/>
          <w:b/>
          <w:lang w:val="en-AU"/>
        </w:rPr>
        <w:t xml:space="preserve"> fibrillation</w:t>
      </w:r>
    </w:p>
    <w:p w:rsidR="00017B10" w:rsidRPr="00017B10" w:rsidRDefault="00017B10" w:rsidP="00017B10">
      <w:pPr>
        <w:pStyle w:val="ListParagraph"/>
        <w:keepNext/>
        <w:keepLines/>
        <w:numPr>
          <w:ilvl w:val="0"/>
          <w:numId w:val="14"/>
        </w:numPr>
        <w:rPr>
          <w:rFonts w:ascii="Garamond" w:hAnsi="Garamond"/>
          <w:lang w:val="en-AU"/>
        </w:rPr>
      </w:pPr>
      <w:r w:rsidRPr="00017B10">
        <w:rPr>
          <w:rFonts w:ascii="Garamond" w:hAnsi="Garamond"/>
          <w:lang w:val="en-AU"/>
        </w:rPr>
        <w:t xml:space="preserve">Continuous </w:t>
      </w:r>
      <w:r w:rsidRPr="003361FD">
        <w:rPr>
          <w:rFonts w:ascii="Garamond" w:hAnsi="Garamond"/>
          <w:b/>
          <w:lang w:val="en-AU"/>
        </w:rPr>
        <w:t>insulin pumps</w:t>
      </w:r>
      <w:r w:rsidRPr="00017B10">
        <w:rPr>
          <w:rFonts w:ascii="Garamond" w:hAnsi="Garamond"/>
          <w:lang w:val="en-AU"/>
        </w:rPr>
        <w:t xml:space="preserve"> may help manage p</w:t>
      </w:r>
      <w:r w:rsidR="003361FD">
        <w:rPr>
          <w:rFonts w:ascii="Garamond" w:hAnsi="Garamond"/>
          <w:lang w:val="en-AU"/>
        </w:rPr>
        <w:t xml:space="preserve">oorly controlled </w:t>
      </w:r>
      <w:r w:rsidR="003361FD" w:rsidRPr="003361FD">
        <w:rPr>
          <w:rFonts w:ascii="Garamond" w:hAnsi="Garamond"/>
          <w:b/>
          <w:lang w:val="en-AU"/>
        </w:rPr>
        <w:t>type 2 diabetes</w:t>
      </w:r>
    </w:p>
    <w:p w:rsidR="00E070E9" w:rsidRPr="003361FD" w:rsidRDefault="00017B10" w:rsidP="004E37B6">
      <w:pPr>
        <w:pStyle w:val="ListParagraph"/>
        <w:keepNext/>
        <w:keepLines/>
        <w:numPr>
          <w:ilvl w:val="0"/>
          <w:numId w:val="14"/>
        </w:numPr>
        <w:rPr>
          <w:rFonts w:ascii="Garamond" w:hAnsi="Garamond"/>
          <w:i/>
          <w:lang w:val="en-AU"/>
        </w:rPr>
      </w:pPr>
      <w:r w:rsidRPr="003361FD">
        <w:rPr>
          <w:rFonts w:ascii="Garamond" w:hAnsi="Garamond"/>
          <w:b/>
          <w:lang w:val="en-AU"/>
        </w:rPr>
        <w:t>Public health interventions</w:t>
      </w:r>
      <w:r w:rsidRPr="003361FD">
        <w:rPr>
          <w:rFonts w:ascii="Garamond" w:hAnsi="Garamond"/>
          <w:lang w:val="en-AU"/>
        </w:rPr>
        <w:t xml:space="preserve"> may offer a return on investment of £14 for each £1 spent</w:t>
      </w:r>
    </w:p>
    <w:p w:rsidR="00B02F6E" w:rsidRPr="00D9161E" w:rsidRDefault="00B02F6E" w:rsidP="00B02F6E">
      <w:pPr>
        <w:keepNext/>
        <w:pBdr>
          <w:top w:val="single" w:sz="4" w:space="1" w:color="auto"/>
        </w:pBdr>
        <w:rPr>
          <w:rFonts w:ascii="Garamond" w:hAnsi="Garamond"/>
          <w:b/>
          <w:lang w:val="en-AU"/>
        </w:rPr>
      </w:pPr>
      <w:r w:rsidRPr="00D9161E">
        <w:rPr>
          <w:rFonts w:ascii="Garamond" w:hAnsi="Garamond"/>
          <w:b/>
          <w:lang w:val="en-AU"/>
        </w:rPr>
        <w:t>Disclaimer</w:t>
      </w:r>
    </w:p>
    <w:p w:rsidR="00B02F6E" w:rsidRPr="00B14165" w:rsidRDefault="00B02F6E" w:rsidP="00B17406">
      <w:pPr>
        <w:rPr>
          <w:rFonts w:ascii="Garamond" w:hAnsi="Garamond"/>
          <w:sz w:val="22"/>
          <w:szCs w:val="22"/>
          <w:lang w:val="en-AU"/>
        </w:rPr>
      </w:pPr>
      <w:r w:rsidRPr="00B14165">
        <w:rPr>
          <w:rFonts w:ascii="Garamond" w:hAnsi="Garamond"/>
          <w:i/>
          <w:sz w:val="22"/>
          <w:szCs w:val="22"/>
          <w:lang w:val="en-AU"/>
        </w:rPr>
        <w:t>On the Radar</w:t>
      </w:r>
      <w:r w:rsidRPr="00B14165">
        <w:rPr>
          <w:rFonts w:ascii="Garamond" w:hAnsi="Garamond"/>
          <w:sz w:val="22"/>
          <w:szCs w:val="22"/>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B14165">
        <w:rPr>
          <w:rFonts w:ascii="Garamond" w:hAnsi="Garamond"/>
          <w:sz w:val="22"/>
          <w:szCs w:val="22"/>
          <w:lang w:val="en-AU"/>
        </w:rPr>
        <w:fldChar w:fldCharType="begin"/>
      </w:r>
      <w:r w:rsidRPr="00B14165">
        <w:rPr>
          <w:rFonts w:ascii="Garamond" w:hAnsi="Garamond"/>
          <w:sz w:val="22"/>
          <w:szCs w:val="22"/>
          <w:lang w:val="en-AU"/>
        </w:rPr>
        <w:instrText xml:space="preserve"> ADDIN </w:instrText>
      </w:r>
      <w:r w:rsidRPr="00B14165">
        <w:rPr>
          <w:rFonts w:ascii="Garamond" w:hAnsi="Garamond"/>
          <w:sz w:val="22"/>
          <w:szCs w:val="22"/>
          <w:lang w:val="en-AU"/>
        </w:rPr>
        <w:fldChar w:fldCharType="end"/>
      </w:r>
      <w:r w:rsidRPr="00B14165">
        <w:rPr>
          <w:rFonts w:ascii="Garamond" w:hAnsi="Garamond"/>
          <w:sz w:val="22"/>
          <w:szCs w:val="22"/>
          <w:lang w:val="en-AU"/>
        </w:rPr>
        <w:fldChar w:fldCharType="begin"/>
      </w:r>
      <w:r w:rsidRPr="00B14165">
        <w:rPr>
          <w:rFonts w:ascii="Garamond" w:hAnsi="Garamond"/>
          <w:sz w:val="22"/>
          <w:szCs w:val="22"/>
          <w:lang w:val="en-AU"/>
        </w:rPr>
        <w:instrText xml:space="preserve"> ADDIN </w:instrText>
      </w:r>
      <w:r w:rsidRPr="00B14165">
        <w:rPr>
          <w:rFonts w:ascii="Garamond" w:hAnsi="Garamond"/>
          <w:sz w:val="22"/>
          <w:szCs w:val="22"/>
          <w:lang w:val="en-AU"/>
        </w:rPr>
        <w:fldChar w:fldCharType="end"/>
      </w:r>
    </w:p>
    <w:sectPr w:rsidR="00B02F6E" w:rsidRPr="00B14165"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15" w:rsidRDefault="00BD6A15">
      <w:r>
        <w:separator/>
      </w:r>
    </w:p>
  </w:endnote>
  <w:endnote w:type="continuationSeparator" w:id="0">
    <w:p w:rsidR="00BD6A15" w:rsidRDefault="00B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92643">
      <w:rPr>
        <w:rStyle w:val="PageNumber"/>
        <w:noProof/>
      </w:rPr>
      <w:t>2</w:t>
    </w:r>
    <w:r>
      <w:rPr>
        <w:rStyle w:val="PageNumber"/>
      </w:rPr>
      <w:fldChar w:fldCharType="end"/>
    </w:r>
  </w:p>
  <w:p w:rsidR="00BD6A15" w:rsidRPr="001E78F0" w:rsidRDefault="00BD6A1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5455F4">
      <w:rPr>
        <w:rFonts w:ascii="Garamond" w:hAnsi="Garamond"/>
      </w:rPr>
      <w:t xml:space="preserve"> Issue 33</w:t>
    </w:r>
    <w:r w:rsidR="001E5BD1">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Pr="001E78F0" w:rsidRDefault="00BD6A1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92643">
      <w:rPr>
        <w:rStyle w:val="PageNumber"/>
        <w:rFonts w:ascii="Garamond" w:hAnsi="Garamond"/>
        <w:noProof/>
      </w:rPr>
      <w:t>1</w:t>
    </w:r>
    <w:r w:rsidRPr="001E78F0">
      <w:rPr>
        <w:rStyle w:val="PageNumber"/>
        <w:rFonts w:ascii="Garamond" w:hAnsi="Garamond"/>
      </w:rPr>
      <w:fldChar w:fldCharType="end"/>
    </w:r>
  </w:p>
  <w:p w:rsidR="00BD6A15" w:rsidRPr="001E78F0" w:rsidRDefault="00BD6A1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E5BD1">
      <w:rPr>
        <w:rFonts w:ascii="Garamond" w:hAnsi="Garamond"/>
      </w:rPr>
      <w:t xml:space="preserve"> Issue 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15" w:rsidRDefault="00BD6A15">
      <w:r>
        <w:separator/>
      </w:r>
    </w:p>
  </w:footnote>
  <w:footnote w:type="continuationSeparator" w:id="0">
    <w:p w:rsidR="00BD6A15" w:rsidRDefault="00BD6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C315A"/>
    <w:multiLevelType w:val="hybridMultilevel"/>
    <w:tmpl w:val="10B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136297"/>
    <w:multiLevelType w:val="hybridMultilevel"/>
    <w:tmpl w:val="F7DC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0B57A2"/>
    <w:multiLevelType w:val="hybridMultilevel"/>
    <w:tmpl w:val="6DAC0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69B6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310DAC"/>
    <w:multiLevelType w:val="hybridMultilevel"/>
    <w:tmpl w:val="78B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936505"/>
    <w:multiLevelType w:val="hybridMultilevel"/>
    <w:tmpl w:val="BE00A53A"/>
    <w:lvl w:ilvl="0" w:tplc="9A0C677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C14B56"/>
    <w:multiLevelType w:val="hybridMultilevel"/>
    <w:tmpl w:val="AE00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E47CAF"/>
    <w:multiLevelType w:val="hybridMultilevel"/>
    <w:tmpl w:val="1BC6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5A7093"/>
    <w:multiLevelType w:val="hybridMultilevel"/>
    <w:tmpl w:val="BA10A262"/>
    <w:lvl w:ilvl="0" w:tplc="5D0881E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6167FC"/>
    <w:multiLevelType w:val="hybridMultilevel"/>
    <w:tmpl w:val="D45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2E1B6C"/>
    <w:multiLevelType w:val="hybridMultilevel"/>
    <w:tmpl w:val="50F8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11"/>
  </w:num>
  <w:num w:numId="16">
    <w:abstractNumId w:val="22"/>
  </w:num>
  <w:num w:numId="17">
    <w:abstractNumId w:val="19"/>
  </w:num>
  <w:num w:numId="18">
    <w:abstractNumId w:val="23"/>
  </w:num>
  <w:num w:numId="19">
    <w:abstractNumId w:val="16"/>
  </w:num>
  <w:num w:numId="20">
    <w:abstractNumId w:val="10"/>
  </w:num>
  <w:num w:numId="21">
    <w:abstractNumId w:val="13"/>
  </w:num>
  <w:num w:numId="22">
    <w:abstractNumId w:val="20"/>
  </w:num>
  <w:num w:numId="23">
    <w:abstractNumId w:val="24"/>
  </w:num>
  <w:num w:numId="24">
    <w:abstractNumId w:val="17"/>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2FA"/>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010"/>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2D2"/>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E4"/>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639"/>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089"/>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4E8"/>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6E1"/>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507"/>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872"/>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BE2"/>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6C"/>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165"/>
    <w:rsid w:val="00B144E2"/>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A2F"/>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3"/>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clinical-trials/" TargetMode="External"/><Relationship Id="rId26" Type="http://schemas.openxmlformats.org/officeDocument/2006/relationships/hyperlink" Target="http://pxjournal.org/journal/vol4/iss2/2"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pxjournal.org/journal/vol4/iss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2017-report/" TargetMode="External"/><Relationship Id="rId20" Type="http://schemas.openxmlformats.org/officeDocument/2006/relationships/hyperlink" Target="http://dx.doi.org/10.1136/bmjqs-2017-007015" TargetMode="External"/><Relationship Id="rId29" Type="http://schemas.openxmlformats.org/officeDocument/2006/relationships/hyperlink" Target="http://pxjournal.org/journal/vol4/iss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www.who.int/patientsafety/medication-safety/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2471/BLT.17.198002" TargetMode="External"/><Relationship Id="rId28" Type="http://schemas.openxmlformats.org/officeDocument/2006/relationships/hyperlink" Target="http://www.publish.csiro.au/ah/issue/8492"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3.jpg"/><Relationship Id="rId31" Type="http://schemas.openxmlformats.org/officeDocument/2006/relationships/hyperlink" Target="https://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www.safetyandquality.gov.au/our-work/patient-and-consumer-centred-care/" TargetMode="External"/><Relationship Id="rId30" Type="http://schemas.openxmlformats.org/officeDocument/2006/relationships/hyperlink" Target="https://academic.oup.com/intqhc/advance-access?papet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1817-ABAC-42D6-A555-7531AC16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21319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2017-08-04T02:54:00Z</dcterms:created>
  <dcterms:modified xsi:type="dcterms:W3CDTF">2017-08-04T02:54:00Z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