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bookmarkStart w:id="0" w:name="_GoBack"/>
      <w:bookmarkEnd w:id="0"/>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D9161E" w:rsidRDefault="00715F47" w:rsidP="00B160EF">
      <w:pPr>
        <w:rPr>
          <w:rFonts w:ascii="Garamond" w:hAnsi="Garamond"/>
          <w:color w:val="000000"/>
          <w:lang w:val="en-AU"/>
        </w:rPr>
      </w:pPr>
      <w:r w:rsidRPr="00D9161E">
        <w:rPr>
          <w:rFonts w:ascii="Garamond" w:hAnsi="Garamond"/>
          <w:color w:val="000000"/>
          <w:lang w:val="en-AU"/>
        </w:rPr>
        <w:t xml:space="preserve">Issue </w:t>
      </w:r>
      <w:r w:rsidR="00252A38" w:rsidRPr="00D9161E">
        <w:rPr>
          <w:rFonts w:ascii="Garamond" w:hAnsi="Garamond"/>
          <w:color w:val="000000"/>
          <w:lang w:val="en-AU"/>
        </w:rPr>
        <w:t>3</w:t>
      </w:r>
      <w:r w:rsidR="00A3512D">
        <w:rPr>
          <w:rFonts w:ascii="Garamond" w:hAnsi="Garamond"/>
          <w:color w:val="000000"/>
          <w:lang w:val="en-AU"/>
        </w:rPr>
        <w:t>34</w:t>
      </w:r>
    </w:p>
    <w:p w:rsidR="00755242" w:rsidRPr="00D9161E" w:rsidRDefault="00A3512D" w:rsidP="00B160EF">
      <w:pPr>
        <w:rPr>
          <w:rFonts w:ascii="Garamond" w:hAnsi="Garamond"/>
          <w:lang w:val="en-AU"/>
        </w:rPr>
      </w:pPr>
      <w:r>
        <w:rPr>
          <w:rFonts w:ascii="Garamond" w:hAnsi="Garamond"/>
          <w:lang w:val="en-AU"/>
        </w:rPr>
        <w:t>14</w:t>
      </w:r>
      <w:r w:rsidR="001E5BD1">
        <w:rPr>
          <w:rFonts w:ascii="Garamond" w:hAnsi="Garamond"/>
          <w:lang w:val="en-AU"/>
        </w:rPr>
        <w:t xml:space="preserve"> August </w:t>
      </w:r>
      <w:r w:rsidR="00F74A58" w:rsidRPr="00D9161E">
        <w:rPr>
          <w:rFonts w:ascii="Garamond" w:hAnsi="Garamond"/>
          <w:lang w:val="en-AU"/>
        </w:rPr>
        <w:t>2017</w:t>
      </w:r>
    </w:p>
    <w:p w:rsidR="00566895" w:rsidRPr="00D9161E" w:rsidRDefault="00566895" w:rsidP="00B160EF">
      <w:pPr>
        <w:rPr>
          <w:rFonts w:ascii="Garamond" w:hAnsi="Garamond"/>
          <w:lang w:val="en-AU"/>
        </w:rPr>
      </w:pPr>
    </w:p>
    <w:p w:rsidR="00B160EF" w:rsidRPr="00D9161E" w:rsidRDefault="00B160EF" w:rsidP="00B160EF">
      <w:pPr>
        <w:rPr>
          <w:rFonts w:ascii="Garamond" w:hAnsi="Garamond"/>
          <w:b/>
          <w:lang w:val="en-AU"/>
        </w:rPr>
      </w:pPr>
      <w:r w:rsidRPr="00D9161E">
        <w:rPr>
          <w:rFonts w:ascii="Garamond" w:hAnsi="Garamond"/>
          <w:i/>
          <w:lang w:val="en-AU"/>
        </w:rPr>
        <w:t>On the Radar</w:t>
      </w:r>
      <w:r w:rsidRPr="00D9161E">
        <w:rPr>
          <w:rFonts w:ascii="Garamond" w:hAnsi="Garamond"/>
          <w:lang w:val="en-AU"/>
        </w:rPr>
        <w:t xml:space="preserve"> is a summary of some of the recent publications in </w:t>
      </w:r>
      <w:r w:rsidR="000025DB" w:rsidRPr="00D9161E">
        <w:rPr>
          <w:rFonts w:ascii="Garamond" w:hAnsi="Garamond"/>
          <w:lang w:val="en-AU"/>
        </w:rPr>
        <w:t>the</w:t>
      </w:r>
      <w:r w:rsidRPr="00D9161E">
        <w:rPr>
          <w:rFonts w:ascii="Garamond" w:hAnsi="Garamond"/>
          <w:lang w:val="en-AU"/>
        </w:rPr>
        <w:t xml:space="preserve"> areas of safety and quality in health care. Inclusion in this document is not an endorsement or recommendation of any publication or provider.</w:t>
      </w:r>
      <w:r w:rsidR="00594E21" w:rsidRPr="00D9161E">
        <w:rPr>
          <w:rFonts w:ascii="Garamond" w:hAnsi="Garamond"/>
          <w:lang w:val="en-AU"/>
        </w:rPr>
        <w:t xml:space="preserve"> </w:t>
      </w:r>
      <w:r w:rsidRPr="00D9161E">
        <w:rPr>
          <w:rFonts w:ascii="Garamond" w:hAnsi="Garamond"/>
          <w:lang w:val="en-AU"/>
        </w:rPr>
        <w:t>Access to particular documents may depend on whether they are Open Access or not, and/or your individual or institutional access to subscription sites/services.</w:t>
      </w:r>
      <w:r w:rsidR="00F460A7" w:rsidRPr="00D9161E">
        <w:rPr>
          <w:rFonts w:ascii="Garamond" w:hAnsi="Garamond"/>
          <w:lang w:val="en-AU"/>
        </w:rPr>
        <w:t xml:space="preserve"> Material that may require subscription is included as it is considered relevant.</w:t>
      </w:r>
    </w:p>
    <w:p w:rsidR="00B160EF" w:rsidRPr="00D9161E" w:rsidRDefault="00B160EF" w:rsidP="00B160EF">
      <w:pPr>
        <w:rPr>
          <w:rFonts w:ascii="Garamond" w:hAnsi="Garamond"/>
          <w:lang w:val="en-AU"/>
        </w:rPr>
      </w:pPr>
    </w:p>
    <w:p w:rsidR="00230D83" w:rsidRPr="00D9161E" w:rsidRDefault="00B160EF" w:rsidP="0045757F">
      <w:pPr>
        <w:autoSpaceDE w:val="0"/>
        <w:rPr>
          <w:rFonts w:ascii="Garamond" w:hAnsi="Garamond"/>
          <w:lang w:val="en-AU"/>
        </w:rPr>
      </w:pPr>
      <w:r w:rsidRPr="00D9161E">
        <w:rPr>
          <w:rFonts w:ascii="Garamond" w:hAnsi="Garamond"/>
          <w:i/>
          <w:lang w:val="en-AU"/>
        </w:rPr>
        <w:t>On the Radar</w:t>
      </w:r>
      <w:r w:rsidRPr="00D9161E">
        <w:rPr>
          <w:rFonts w:ascii="Garamond" w:hAnsi="Garamond"/>
          <w:lang w:val="en-AU"/>
        </w:rPr>
        <w:t xml:space="preserve"> is available </w:t>
      </w:r>
      <w:r w:rsidR="003D1E7A" w:rsidRPr="00D9161E">
        <w:rPr>
          <w:rFonts w:ascii="Garamond" w:hAnsi="Garamond"/>
          <w:lang w:val="en-AU"/>
        </w:rPr>
        <w:t xml:space="preserve">online, </w:t>
      </w:r>
      <w:r w:rsidRPr="00D9161E">
        <w:rPr>
          <w:rFonts w:ascii="Garamond" w:hAnsi="Garamond"/>
          <w:lang w:val="en-AU"/>
        </w:rPr>
        <w:t xml:space="preserve">via email or as a PDF </w:t>
      </w:r>
      <w:r w:rsidR="006F34BB" w:rsidRPr="00D9161E">
        <w:rPr>
          <w:rFonts w:ascii="Garamond" w:hAnsi="Garamond"/>
          <w:lang w:val="en-AU"/>
        </w:rPr>
        <w:t xml:space="preserve">or Word </w:t>
      </w:r>
      <w:r w:rsidRPr="00D9161E">
        <w:rPr>
          <w:rFonts w:ascii="Garamond" w:hAnsi="Garamond"/>
          <w:lang w:val="en-AU"/>
        </w:rPr>
        <w:t xml:space="preserve">document from </w:t>
      </w:r>
      <w:hyperlink r:id="rId10" w:history="1">
        <w:r w:rsidR="00543EF2" w:rsidRPr="00781DEA">
          <w:rPr>
            <w:rStyle w:val="Hyperlink"/>
            <w:rFonts w:ascii="Garamond" w:hAnsi="Garamond"/>
            <w:lang w:val="en-AU"/>
          </w:rPr>
          <w:t>https://www.safetyandquality.gov.au/publications-resources/on-the-radar/</w:t>
        </w:r>
      </w:hyperlink>
    </w:p>
    <w:p w:rsidR="0090536C" w:rsidRPr="00D9161E" w:rsidRDefault="0090536C" w:rsidP="0045757F">
      <w:pPr>
        <w:autoSpaceDE w:val="0"/>
        <w:rPr>
          <w:rFonts w:ascii="Garamond" w:hAnsi="Garamond"/>
          <w:lang w:val="en-AU"/>
        </w:rPr>
      </w:pPr>
    </w:p>
    <w:p w:rsidR="00B160EF" w:rsidRPr="00D9161E" w:rsidRDefault="00B160EF" w:rsidP="0045757F">
      <w:pPr>
        <w:autoSpaceDE w:val="0"/>
        <w:rPr>
          <w:rFonts w:ascii="Garamond" w:hAnsi="Garamond"/>
          <w:lang w:val="en-AU"/>
        </w:rPr>
      </w:pPr>
      <w:r w:rsidRPr="00D9161E">
        <w:rPr>
          <w:rFonts w:ascii="Garamond" w:hAnsi="Garamond"/>
          <w:lang w:val="en-AU"/>
        </w:rPr>
        <w:t xml:space="preserve">If you would like to receive </w:t>
      </w:r>
      <w:r w:rsidRPr="00D9161E">
        <w:rPr>
          <w:rFonts w:ascii="Garamond" w:hAnsi="Garamond"/>
          <w:i/>
          <w:lang w:val="en-AU"/>
        </w:rPr>
        <w:t>On the Radar</w:t>
      </w:r>
      <w:r w:rsidRPr="00D9161E">
        <w:rPr>
          <w:rFonts w:ascii="Garamond" w:hAnsi="Garamond"/>
          <w:lang w:val="en-AU"/>
        </w:rPr>
        <w:t xml:space="preserve"> via email</w:t>
      </w:r>
      <w:r w:rsidR="003D7B9E" w:rsidRPr="00D9161E">
        <w:rPr>
          <w:rFonts w:ascii="Garamond" w:hAnsi="Garamond"/>
          <w:lang w:val="en-AU"/>
        </w:rPr>
        <w:t>, you can</w:t>
      </w:r>
      <w:r w:rsidR="00F24F60" w:rsidRPr="00D9161E">
        <w:rPr>
          <w:rFonts w:ascii="Garamond" w:hAnsi="Garamond"/>
          <w:lang w:val="en-AU"/>
        </w:rPr>
        <w:t xml:space="preserve"> subscribe on our website </w:t>
      </w:r>
      <w:hyperlink r:id="rId11" w:history="1">
        <w:r w:rsidR="00543EF2" w:rsidRPr="00781DEA">
          <w:rPr>
            <w:rStyle w:val="Hyperlink"/>
            <w:rFonts w:ascii="Garamond" w:hAnsi="Garamond"/>
            <w:lang w:val="en-AU"/>
          </w:rPr>
          <w:t>https://www.safetyandquality.gov.au/</w:t>
        </w:r>
      </w:hyperlink>
      <w:r w:rsidR="003D7B9E" w:rsidRPr="00D9161E">
        <w:rPr>
          <w:rFonts w:ascii="Garamond" w:hAnsi="Garamond"/>
          <w:lang w:val="en-AU"/>
        </w:rPr>
        <w:t xml:space="preserve"> or by emailing us at </w:t>
      </w:r>
      <w:r w:rsidR="003D7B9E" w:rsidRPr="00D9161E">
        <w:rPr>
          <w:rFonts w:ascii="Garamond" w:hAnsi="Garamond" w:cs="ZWAdobeF"/>
          <w:sz w:val="2"/>
          <w:szCs w:val="2"/>
          <w:lang w:val="en-AU"/>
        </w:rPr>
        <w:t>H</w:t>
      </w:r>
      <w:hyperlink r:id="rId12" w:history="1">
        <w:r w:rsidR="003D7B9E" w:rsidRPr="00D9161E">
          <w:rPr>
            <w:rFonts w:ascii="Garamond" w:hAnsi="Garamond" w:cs="ZWAdobeF"/>
            <w:sz w:val="2"/>
            <w:szCs w:val="2"/>
            <w:lang w:val="en-AU"/>
          </w:rPr>
          <w:t>U</w:t>
        </w:r>
        <w:r w:rsidR="003D7B9E" w:rsidRPr="00D9161E">
          <w:rPr>
            <w:rStyle w:val="Hyperlink"/>
            <w:rFonts w:ascii="Garamond" w:hAnsi="Garamond"/>
            <w:lang w:val="en-AU"/>
          </w:rPr>
          <w:t>mail@safetyandquality.gov.au</w:t>
        </w:r>
        <w:r w:rsidR="003D7B9E" w:rsidRPr="00D9161E">
          <w:rPr>
            <w:rStyle w:val="Hyperlink"/>
            <w:rFonts w:ascii="Garamond" w:hAnsi="Garamond" w:cs="ZWAdobeF"/>
            <w:color w:val="auto"/>
            <w:sz w:val="2"/>
            <w:szCs w:val="2"/>
            <w:u w:val="none"/>
            <w:lang w:val="en-AU"/>
          </w:rPr>
          <w:t>U</w:t>
        </w:r>
      </w:hyperlink>
      <w:r w:rsidR="003D7B9E" w:rsidRPr="00D9161E">
        <w:rPr>
          <w:rFonts w:ascii="Garamond" w:hAnsi="Garamond"/>
          <w:lang w:val="en-AU"/>
        </w:rPr>
        <w:t xml:space="preserve">. </w:t>
      </w:r>
      <w:r w:rsidR="00E51D23" w:rsidRPr="00D9161E">
        <w:rPr>
          <w:rFonts w:ascii="Garamond" w:hAnsi="Garamond"/>
          <w:lang w:val="en-AU"/>
        </w:rPr>
        <w:br/>
      </w:r>
      <w:r w:rsidR="003D7B9E" w:rsidRPr="00D9161E">
        <w:rPr>
          <w:rFonts w:ascii="Garamond" w:hAnsi="Garamond"/>
          <w:lang w:val="en-AU"/>
        </w:rPr>
        <w:t xml:space="preserve">You can also send feedback and comments to </w:t>
      </w:r>
      <w:r w:rsidR="003D7B9E" w:rsidRPr="00D9161E">
        <w:rPr>
          <w:rFonts w:ascii="Garamond" w:hAnsi="Garamond" w:cs="ZWAdobeF"/>
          <w:sz w:val="2"/>
          <w:szCs w:val="2"/>
          <w:lang w:val="en-AU"/>
        </w:rPr>
        <w:t>H</w:t>
      </w:r>
      <w:hyperlink r:id="rId13" w:history="1">
        <w:r w:rsidR="003D7B9E" w:rsidRPr="00D9161E">
          <w:rPr>
            <w:rFonts w:ascii="Garamond" w:hAnsi="Garamond" w:cs="ZWAdobeF"/>
            <w:sz w:val="2"/>
            <w:szCs w:val="2"/>
            <w:lang w:val="en-AU"/>
          </w:rPr>
          <w:t>U</w:t>
        </w:r>
        <w:r w:rsidR="003D7B9E" w:rsidRPr="00D9161E">
          <w:rPr>
            <w:rStyle w:val="Hyperlink"/>
            <w:rFonts w:ascii="Garamond" w:hAnsi="Garamond"/>
            <w:lang w:val="en-AU"/>
          </w:rPr>
          <w:t>mail@safetyandquality.gov.au</w:t>
        </w:r>
        <w:r w:rsidR="003D7B9E" w:rsidRPr="00D9161E">
          <w:rPr>
            <w:rStyle w:val="Hyperlink"/>
            <w:rFonts w:ascii="Garamond" w:hAnsi="Garamond" w:cs="ZWAdobeF"/>
            <w:color w:val="auto"/>
            <w:sz w:val="2"/>
            <w:szCs w:val="2"/>
            <w:u w:val="none"/>
            <w:lang w:val="en-AU"/>
          </w:rPr>
          <w:t>U</w:t>
        </w:r>
      </w:hyperlink>
      <w:r w:rsidR="003D7B9E" w:rsidRPr="00D9161E">
        <w:rPr>
          <w:rFonts w:ascii="Garamond" w:hAnsi="Garamond"/>
          <w:lang w:val="en-AU"/>
        </w:rPr>
        <w:t>.</w:t>
      </w:r>
    </w:p>
    <w:p w:rsidR="00B160EF" w:rsidRPr="00D9161E" w:rsidRDefault="00B160EF" w:rsidP="00837FC4">
      <w:pPr>
        <w:tabs>
          <w:tab w:val="left" w:pos="7773"/>
        </w:tabs>
        <w:rPr>
          <w:rFonts w:ascii="Garamond" w:hAnsi="Garamond"/>
          <w:lang w:val="en-AU"/>
        </w:rPr>
      </w:pPr>
    </w:p>
    <w:p w:rsidR="00837FC4" w:rsidRPr="00D9161E" w:rsidRDefault="00B160EF" w:rsidP="004554DB">
      <w:pPr>
        <w:autoSpaceDE w:val="0"/>
        <w:rPr>
          <w:rFonts w:ascii="Garamond" w:hAnsi="Garamond"/>
          <w:lang w:val="en-AU"/>
        </w:rPr>
      </w:pPr>
      <w:bookmarkStart w:id="1" w:name="OLE_LINK1"/>
      <w:r w:rsidRPr="00D9161E">
        <w:rPr>
          <w:rFonts w:ascii="Garamond" w:hAnsi="Garamond"/>
          <w:lang w:val="en-AU"/>
        </w:rPr>
        <w:t xml:space="preserve">For information about the Commission and its programs and publications, please visit </w:t>
      </w:r>
      <w:hyperlink r:id="rId14" w:history="1">
        <w:r w:rsidR="00543EF2" w:rsidRPr="00781DEA">
          <w:rPr>
            <w:rStyle w:val="Hyperlink"/>
            <w:rFonts w:ascii="Garamond" w:hAnsi="Garamond"/>
            <w:lang w:val="en-AU"/>
          </w:rPr>
          <w:t>https://www.safetyandquality.gov.au</w:t>
        </w:r>
      </w:hyperlink>
    </w:p>
    <w:p w:rsidR="0054703F" w:rsidRPr="00D9161E" w:rsidRDefault="004554DB" w:rsidP="004554DB">
      <w:pPr>
        <w:autoSpaceDE w:val="0"/>
        <w:rPr>
          <w:rFonts w:ascii="Garamond" w:hAnsi="Garamond"/>
          <w:lang w:val="en-AU"/>
        </w:rPr>
      </w:pPr>
      <w:r w:rsidRPr="00D9161E">
        <w:rPr>
          <w:rFonts w:ascii="Garamond" w:hAnsi="Garamond"/>
          <w:lang w:val="en-AU"/>
        </w:rPr>
        <w:t>You can also follow us on Twitter @ACSQHC.</w:t>
      </w:r>
    </w:p>
    <w:p w:rsidR="00210235" w:rsidRPr="00D9161E" w:rsidRDefault="00210235" w:rsidP="00210235">
      <w:pPr>
        <w:keepNext/>
        <w:pBdr>
          <w:top w:val="single" w:sz="4" w:space="1" w:color="auto"/>
        </w:pBdr>
        <w:rPr>
          <w:rFonts w:ascii="Garamond" w:hAnsi="Garamond"/>
          <w:b/>
          <w:lang w:val="en-AU"/>
        </w:rPr>
      </w:pPr>
      <w:r w:rsidRPr="00D9161E">
        <w:rPr>
          <w:rFonts w:ascii="Garamond" w:hAnsi="Garamond"/>
          <w:b/>
          <w:lang w:val="en-AU"/>
        </w:rPr>
        <w:t>On the Radar</w:t>
      </w:r>
    </w:p>
    <w:p w:rsidR="00340157" w:rsidRPr="00D9161E" w:rsidRDefault="00340157" w:rsidP="00210235">
      <w:pPr>
        <w:keepNext/>
        <w:pBdr>
          <w:top w:val="single" w:sz="4" w:space="1" w:color="auto"/>
        </w:pBdr>
        <w:rPr>
          <w:rFonts w:ascii="Garamond" w:hAnsi="Garamond"/>
          <w:bCs/>
          <w:lang w:val="en-AU"/>
        </w:rPr>
      </w:pPr>
      <w:r w:rsidRPr="00D9161E">
        <w:rPr>
          <w:rFonts w:ascii="Garamond" w:hAnsi="Garamond"/>
          <w:bCs/>
          <w:lang w:val="en-AU"/>
        </w:rPr>
        <w:t xml:space="preserve">Editor: </w:t>
      </w:r>
      <w:r w:rsidR="00C8085B" w:rsidRPr="00D9161E">
        <w:rPr>
          <w:rFonts w:ascii="Garamond" w:hAnsi="Garamond"/>
          <w:bCs/>
          <w:lang w:val="en-AU"/>
        </w:rPr>
        <w:t xml:space="preserve">Dr </w:t>
      </w:r>
      <w:r w:rsidRPr="00D9161E">
        <w:rPr>
          <w:rFonts w:ascii="Garamond" w:hAnsi="Garamond"/>
          <w:bCs/>
          <w:lang w:val="en-AU"/>
        </w:rPr>
        <w:t xml:space="preserve">Niall Johnson </w:t>
      </w:r>
      <w:hyperlink r:id="rId15" w:history="1">
        <w:r w:rsidRPr="00D9161E">
          <w:rPr>
            <w:rStyle w:val="Hyperlink"/>
            <w:rFonts w:ascii="Garamond" w:hAnsi="Garamond"/>
            <w:bCs/>
            <w:lang w:val="en-AU"/>
          </w:rPr>
          <w:t>niall.johnson@safetyandquality.gov.au</w:t>
        </w:r>
      </w:hyperlink>
    </w:p>
    <w:p w:rsidR="009A35BE" w:rsidRPr="00D9161E" w:rsidRDefault="00210235" w:rsidP="00A8296D">
      <w:pPr>
        <w:keepNext/>
        <w:pBdr>
          <w:top w:val="single" w:sz="4" w:space="1" w:color="auto"/>
        </w:pBdr>
        <w:rPr>
          <w:rFonts w:ascii="Garamond" w:hAnsi="Garamond"/>
          <w:shd w:val="clear" w:color="auto" w:fill="FFFFFF"/>
          <w:lang w:val="en-AU"/>
        </w:rPr>
      </w:pPr>
      <w:r w:rsidRPr="00D9161E">
        <w:rPr>
          <w:rFonts w:ascii="Garamond" w:hAnsi="Garamond"/>
          <w:bCs/>
          <w:lang w:val="en-AU"/>
        </w:rPr>
        <w:t xml:space="preserve">Contributors: </w:t>
      </w:r>
      <w:r w:rsidR="0056339A" w:rsidRPr="00D9161E">
        <w:rPr>
          <w:rFonts w:ascii="Garamond" w:hAnsi="Garamond"/>
          <w:bCs/>
          <w:lang w:val="en-AU"/>
        </w:rPr>
        <w:t>Niall Johnson</w:t>
      </w:r>
      <w:bookmarkEnd w:id="1"/>
      <w:r w:rsidR="00F908BB">
        <w:rPr>
          <w:rFonts w:ascii="Garamond" w:hAnsi="Garamond"/>
          <w:bCs/>
          <w:lang w:val="en-AU"/>
        </w:rPr>
        <w:t>, Alice Bhasale</w:t>
      </w:r>
    </w:p>
    <w:p w:rsidR="00727B35" w:rsidRPr="00D9161E" w:rsidRDefault="00727B35" w:rsidP="00691DE3">
      <w:pPr>
        <w:keepLines/>
        <w:autoSpaceDE w:val="0"/>
        <w:autoSpaceDN w:val="0"/>
        <w:adjustRightInd w:val="0"/>
        <w:rPr>
          <w:rFonts w:ascii="Garamond" w:hAnsi="Garamond"/>
          <w:lang w:val="en-AU"/>
        </w:rPr>
      </w:pPr>
    </w:p>
    <w:p w:rsidR="00177F9F" w:rsidRPr="00D9161E" w:rsidRDefault="00177F9F" w:rsidP="00644660">
      <w:pPr>
        <w:keepNext/>
        <w:keepLines/>
        <w:autoSpaceDE w:val="0"/>
        <w:autoSpaceDN w:val="0"/>
        <w:adjustRightInd w:val="0"/>
        <w:rPr>
          <w:rFonts w:ascii="Garamond" w:hAnsi="Garamond"/>
          <w:b/>
          <w:lang w:val="en-AU"/>
        </w:rPr>
      </w:pPr>
      <w:r w:rsidRPr="00D9161E">
        <w:rPr>
          <w:rFonts w:ascii="Garamond" w:hAnsi="Garamond"/>
          <w:b/>
          <w:lang w:val="en-AU"/>
        </w:rPr>
        <w:t>Reports</w:t>
      </w:r>
    </w:p>
    <w:p w:rsidR="00177F9F" w:rsidRDefault="00177F9F" w:rsidP="00644660">
      <w:pPr>
        <w:keepNext/>
        <w:keepLines/>
        <w:autoSpaceDE w:val="0"/>
        <w:autoSpaceDN w:val="0"/>
        <w:adjustRightInd w:val="0"/>
        <w:rPr>
          <w:rFonts w:ascii="Garamond" w:hAnsi="Garamond"/>
          <w:b/>
          <w:lang w:val="en-AU"/>
        </w:rPr>
      </w:pPr>
    </w:p>
    <w:p w:rsidR="00995F91" w:rsidRPr="00995F91" w:rsidRDefault="00995F91" w:rsidP="00995F91">
      <w:pPr>
        <w:keepNext/>
        <w:keepLines/>
        <w:autoSpaceDE w:val="0"/>
        <w:autoSpaceDN w:val="0"/>
        <w:adjustRightInd w:val="0"/>
        <w:rPr>
          <w:rFonts w:ascii="Garamond" w:hAnsi="Garamond"/>
          <w:i/>
          <w:lang w:val="en-AU"/>
        </w:rPr>
      </w:pPr>
      <w:r w:rsidRPr="00995F91">
        <w:rPr>
          <w:rFonts w:ascii="Garamond" w:hAnsi="Garamond"/>
          <w:i/>
          <w:lang w:val="en-AU"/>
        </w:rPr>
        <w:t>Expanding healthcare quality and patient safety reporting across Queensland’s health system: Discussion paper</w:t>
      </w:r>
    </w:p>
    <w:p w:rsidR="00995F91" w:rsidRDefault="00995F91" w:rsidP="00995F91">
      <w:pPr>
        <w:keepNext/>
        <w:keepLines/>
        <w:autoSpaceDE w:val="0"/>
        <w:autoSpaceDN w:val="0"/>
        <w:adjustRightInd w:val="0"/>
        <w:rPr>
          <w:rFonts w:ascii="Garamond" w:hAnsi="Garamond"/>
          <w:lang w:val="en-AU"/>
        </w:rPr>
      </w:pPr>
      <w:r>
        <w:rPr>
          <w:rFonts w:ascii="Garamond" w:hAnsi="Garamond"/>
          <w:lang w:val="en-AU"/>
        </w:rPr>
        <w:t>Queensland Health</w:t>
      </w:r>
    </w:p>
    <w:p w:rsidR="00995F91" w:rsidRPr="00D9161E" w:rsidRDefault="00995F91" w:rsidP="00995F91">
      <w:pPr>
        <w:keepNext/>
        <w:keepLines/>
        <w:autoSpaceDE w:val="0"/>
        <w:autoSpaceDN w:val="0"/>
        <w:adjustRightInd w:val="0"/>
        <w:rPr>
          <w:rFonts w:ascii="Garamond" w:hAnsi="Garamond"/>
          <w:lang w:val="en-AU"/>
        </w:rPr>
      </w:pPr>
      <w:r>
        <w:rPr>
          <w:rFonts w:ascii="Garamond" w:hAnsi="Garamond"/>
          <w:lang w:val="en-AU"/>
        </w:rPr>
        <w:t xml:space="preserve">Brisbane, </w:t>
      </w:r>
      <w:r w:rsidRPr="00995F91">
        <w:rPr>
          <w:rFonts w:ascii="Garamond" w:hAnsi="Garamond"/>
          <w:lang w:val="en-AU"/>
        </w:rPr>
        <w:t>State of Queensland (Queensland Health), July 2017</w:t>
      </w:r>
      <w:r>
        <w:rPr>
          <w:rFonts w:ascii="Garamond" w:hAnsi="Garamond"/>
          <w:lang w:val="en-AU"/>
        </w:rPr>
        <w:t>.</w:t>
      </w:r>
      <w:r w:rsidR="00E761CB">
        <w:rPr>
          <w:rFonts w:ascii="Garamond" w:hAnsi="Garamond"/>
          <w:lang w:val="en-AU"/>
        </w:rPr>
        <w:t xml:space="preserve"> </w:t>
      </w:r>
      <w:proofErr w:type="gramStart"/>
      <w:r w:rsidR="00E761CB">
        <w:rPr>
          <w:rFonts w:ascii="Garamond" w:hAnsi="Garamond"/>
          <w:lang w:val="en-AU"/>
        </w:rPr>
        <w:t>p.32.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95F91"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995F91" w:rsidRPr="00D9161E" w:rsidRDefault="00995F91" w:rsidP="00AA29F2">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95F91" w:rsidRPr="00D9161E" w:rsidRDefault="00AA29F2" w:rsidP="00AA29F2">
            <w:pPr>
              <w:rPr>
                <w:rStyle w:val="Hyperlink"/>
                <w:rFonts w:ascii="Garamond" w:hAnsi="Garamond"/>
                <w:color w:val="auto"/>
                <w:u w:val="none"/>
                <w:lang w:val="en-AU"/>
              </w:rPr>
            </w:pPr>
            <w:hyperlink r:id="rId16" w:history="1">
              <w:r w:rsidR="00995F91" w:rsidRPr="00257377">
                <w:rPr>
                  <w:rStyle w:val="Hyperlink"/>
                  <w:rFonts w:ascii="Garamond" w:hAnsi="Garamond"/>
                  <w:lang w:val="en-AU"/>
                </w:rPr>
                <w:t>https://www.health.qld.gov.au/system-governance/strategic-direction/improving-service/expanding-patient-safety-reporting</w:t>
              </w:r>
            </w:hyperlink>
          </w:p>
        </w:tc>
      </w:tr>
      <w:tr w:rsidR="00995F91"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995F91" w:rsidRPr="00D9161E" w:rsidRDefault="00995F91"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95F91" w:rsidRPr="00995F91" w:rsidRDefault="00995F91" w:rsidP="00995F91">
            <w:pPr>
              <w:rPr>
                <w:rFonts w:ascii="Garamond" w:hAnsi="Garamond"/>
                <w:lang w:val="en-AU"/>
              </w:rPr>
            </w:pPr>
            <w:r>
              <w:rPr>
                <w:rFonts w:ascii="Garamond" w:hAnsi="Garamond"/>
                <w:lang w:val="en-AU"/>
              </w:rPr>
              <w:t xml:space="preserve">The Queensland Government has produced this Discussion paper in an effort to elicit </w:t>
            </w:r>
            <w:r w:rsidRPr="00995F91">
              <w:rPr>
                <w:rFonts w:ascii="Garamond" w:hAnsi="Garamond"/>
                <w:lang w:val="en-AU"/>
              </w:rPr>
              <w:t>the views of the community about the collection, reporting and use of healthcare quality</w:t>
            </w:r>
            <w:r>
              <w:rPr>
                <w:rFonts w:ascii="Garamond" w:hAnsi="Garamond"/>
                <w:lang w:val="en-AU"/>
              </w:rPr>
              <w:t xml:space="preserve"> and patient safety information, particularly how </w:t>
            </w:r>
            <w:r w:rsidRPr="00995F91">
              <w:rPr>
                <w:rFonts w:ascii="Garamond" w:hAnsi="Garamond"/>
                <w:lang w:val="en-AU"/>
              </w:rPr>
              <w:t>healthcare quality and patient safety reporting may be expanded.</w:t>
            </w:r>
            <w:r>
              <w:rPr>
                <w:rFonts w:ascii="Garamond" w:hAnsi="Garamond"/>
                <w:lang w:val="en-AU"/>
              </w:rPr>
              <w:t xml:space="preserve"> The professed vision is to:</w:t>
            </w:r>
            <w:r w:rsidRPr="00995F91">
              <w:rPr>
                <w:rFonts w:ascii="Garamond" w:hAnsi="Garamond"/>
                <w:lang w:val="en-AU"/>
              </w:rPr>
              <w:t xml:space="preserve"> </w:t>
            </w:r>
          </w:p>
          <w:p w:rsidR="00995F91" w:rsidRPr="00995F91" w:rsidRDefault="00995F91" w:rsidP="00995F91">
            <w:pPr>
              <w:pStyle w:val="ListParagraph"/>
              <w:numPr>
                <w:ilvl w:val="0"/>
                <w:numId w:val="21"/>
              </w:numPr>
              <w:rPr>
                <w:rFonts w:ascii="Garamond" w:hAnsi="Garamond"/>
                <w:lang w:val="en-AU"/>
              </w:rPr>
            </w:pPr>
            <w:r w:rsidRPr="00995F91">
              <w:rPr>
                <w:rFonts w:ascii="Garamond" w:hAnsi="Garamond"/>
                <w:lang w:val="en-AU"/>
              </w:rPr>
              <w:t>further enhance information available to patients;</w:t>
            </w:r>
          </w:p>
          <w:p w:rsidR="00995F91" w:rsidRPr="00995F91" w:rsidRDefault="00995F91" w:rsidP="00995F91">
            <w:pPr>
              <w:pStyle w:val="ListParagraph"/>
              <w:numPr>
                <w:ilvl w:val="0"/>
                <w:numId w:val="21"/>
              </w:numPr>
              <w:rPr>
                <w:rFonts w:ascii="Garamond" w:hAnsi="Garamond"/>
                <w:lang w:val="en-AU"/>
              </w:rPr>
            </w:pPr>
            <w:r w:rsidRPr="00995F91">
              <w:rPr>
                <w:rFonts w:ascii="Garamond" w:hAnsi="Garamond"/>
                <w:lang w:val="en-AU"/>
              </w:rPr>
              <w:t>improve transparency for healthcare professionals;</w:t>
            </w:r>
          </w:p>
          <w:p w:rsidR="00995F91" w:rsidRPr="00995F91" w:rsidRDefault="00995F91" w:rsidP="00995F91">
            <w:pPr>
              <w:pStyle w:val="ListParagraph"/>
              <w:numPr>
                <w:ilvl w:val="0"/>
                <w:numId w:val="21"/>
              </w:numPr>
              <w:rPr>
                <w:rFonts w:ascii="Garamond" w:hAnsi="Garamond"/>
                <w:lang w:val="en-AU"/>
              </w:rPr>
            </w:pPr>
            <w:r w:rsidRPr="00995F91">
              <w:rPr>
                <w:rFonts w:ascii="Garamond" w:hAnsi="Garamond"/>
                <w:lang w:val="en-AU"/>
              </w:rPr>
              <w:t>support the efforts of the stakeholders funding, reporting on and regulating healthcare services; and</w:t>
            </w:r>
          </w:p>
          <w:p w:rsidR="00995F91" w:rsidRDefault="00995F91" w:rsidP="00995F91">
            <w:pPr>
              <w:pStyle w:val="ListParagraph"/>
              <w:numPr>
                <w:ilvl w:val="0"/>
                <w:numId w:val="21"/>
              </w:numPr>
              <w:rPr>
                <w:rFonts w:ascii="Garamond" w:hAnsi="Garamond"/>
                <w:lang w:val="en-AU"/>
              </w:rPr>
            </w:pPr>
            <w:proofErr w:type="gramStart"/>
            <w:r w:rsidRPr="00995F91">
              <w:rPr>
                <w:rFonts w:ascii="Garamond" w:hAnsi="Garamond"/>
                <w:lang w:val="en-AU"/>
              </w:rPr>
              <w:t>continue</w:t>
            </w:r>
            <w:proofErr w:type="gramEnd"/>
            <w:r w:rsidRPr="00995F91">
              <w:rPr>
                <w:rFonts w:ascii="Garamond" w:hAnsi="Garamond"/>
                <w:lang w:val="en-AU"/>
              </w:rPr>
              <w:t xml:space="preserve"> to drive improvements that maintain Queensland’s leading health system.</w:t>
            </w:r>
          </w:p>
          <w:p w:rsidR="00995F91" w:rsidRPr="00995F91" w:rsidRDefault="00995F91" w:rsidP="00995F91">
            <w:pPr>
              <w:rPr>
                <w:rFonts w:ascii="Garamond" w:hAnsi="Garamond"/>
                <w:lang w:val="en-AU"/>
              </w:rPr>
            </w:pPr>
            <w:r>
              <w:rPr>
                <w:rFonts w:ascii="Garamond" w:hAnsi="Garamond"/>
                <w:lang w:val="en-AU"/>
              </w:rPr>
              <w:t xml:space="preserve">The paper’s release coincided with a </w:t>
            </w:r>
            <w:r w:rsidRPr="00995F91">
              <w:rPr>
                <w:rFonts w:ascii="Garamond" w:hAnsi="Garamond"/>
                <w:lang w:val="en-AU"/>
              </w:rPr>
              <w:t>COAG Health Council</w:t>
            </w:r>
            <w:r>
              <w:rPr>
                <w:rFonts w:ascii="Garamond" w:hAnsi="Garamond"/>
                <w:lang w:val="en-AU"/>
              </w:rPr>
              <w:t xml:space="preserve"> meeting at which </w:t>
            </w:r>
            <w:r w:rsidRPr="00995F91">
              <w:rPr>
                <w:rFonts w:ascii="Garamond" w:hAnsi="Garamond"/>
                <w:lang w:val="en-AU"/>
              </w:rPr>
              <w:t xml:space="preserve">health ministers </w:t>
            </w:r>
            <w:r>
              <w:rPr>
                <w:rFonts w:ascii="Garamond" w:hAnsi="Garamond"/>
                <w:lang w:val="en-AU"/>
              </w:rPr>
              <w:t>discussed standardised</w:t>
            </w:r>
            <w:r w:rsidRPr="00995F91">
              <w:rPr>
                <w:rFonts w:ascii="Garamond" w:hAnsi="Garamond"/>
                <w:lang w:val="en-AU"/>
              </w:rPr>
              <w:t xml:space="preserve"> patient safety and quality reporting data in all public and private hospitals.</w:t>
            </w:r>
          </w:p>
        </w:tc>
      </w:tr>
    </w:tbl>
    <w:p w:rsidR="008D4F8D" w:rsidRPr="008D4F8D" w:rsidRDefault="008D4F8D" w:rsidP="008D4F8D">
      <w:pPr>
        <w:keepNext/>
        <w:rPr>
          <w:rFonts w:ascii="Garamond" w:hAnsi="Garamond"/>
          <w:i/>
          <w:lang w:val="en-AU"/>
        </w:rPr>
      </w:pPr>
      <w:r w:rsidRPr="008D4F8D">
        <w:rPr>
          <w:rFonts w:ascii="Garamond" w:hAnsi="Garamond"/>
          <w:i/>
          <w:lang w:val="en-AU"/>
        </w:rPr>
        <w:lastRenderedPageBreak/>
        <w:t>General Surgery: GIRFT Programme National Speciality Report</w:t>
      </w:r>
    </w:p>
    <w:p w:rsidR="008D4F8D" w:rsidRDefault="008D4F8D" w:rsidP="00B37973">
      <w:pPr>
        <w:keepNext/>
        <w:rPr>
          <w:rFonts w:ascii="Garamond" w:hAnsi="Garamond"/>
          <w:lang w:val="en-AU"/>
        </w:rPr>
      </w:pPr>
      <w:r w:rsidRPr="008D4F8D">
        <w:rPr>
          <w:rFonts w:ascii="Garamond" w:hAnsi="Garamond"/>
          <w:lang w:val="en-AU"/>
        </w:rPr>
        <w:t>Abercrombie J</w:t>
      </w:r>
    </w:p>
    <w:p w:rsidR="00CA24F8" w:rsidRPr="00C570DD" w:rsidRDefault="008D4F8D" w:rsidP="00B37973">
      <w:pPr>
        <w:keepNext/>
        <w:rPr>
          <w:rFonts w:ascii="Garamond" w:hAnsi="Garamond"/>
          <w:lang w:val="en-AU"/>
        </w:rPr>
      </w:pPr>
      <w:r w:rsidRPr="008D4F8D">
        <w:rPr>
          <w:rFonts w:ascii="Garamond" w:hAnsi="Garamond"/>
          <w:lang w:val="en-AU"/>
        </w:rPr>
        <w:t>London</w:t>
      </w:r>
      <w:r w:rsidR="00995F91">
        <w:rPr>
          <w:rFonts w:ascii="Garamond" w:hAnsi="Garamond"/>
          <w:lang w:val="en-AU"/>
        </w:rPr>
        <w:t xml:space="preserve"> </w:t>
      </w:r>
      <w:r w:rsidRPr="008D4F8D">
        <w:rPr>
          <w:rFonts w:ascii="Garamond" w:hAnsi="Garamond"/>
          <w:lang w:val="en-AU"/>
        </w:rPr>
        <w:t xml:space="preserve">2017. </w:t>
      </w:r>
      <w:proofErr w:type="gramStart"/>
      <w:r w:rsidRPr="008D4F8D">
        <w:rPr>
          <w:rFonts w:ascii="Garamond" w:hAnsi="Garamond"/>
          <w:lang w:val="en-AU"/>
        </w:rPr>
        <w:t>p. 58.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37973"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B37973" w:rsidRPr="00D9161E" w:rsidRDefault="00B37973" w:rsidP="00AA29F2">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A24F8" w:rsidRPr="00D9161E" w:rsidRDefault="00AA29F2" w:rsidP="008D4F8D">
            <w:pPr>
              <w:rPr>
                <w:rStyle w:val="Hyperlink"/>
                <w:rFonts w:ascii="Garamond" w:hAnsi="Garamond"/>
                <w:color w:val="auto"/>
                <w:u w:val="none"/>
                <w:lang w:val="en-AU"/>
              </w:rPr>
            </w:pPr>
            <w:hyperlink r:id="rId17" w:history="1">
              <w:r w:rsidR="008D4F8D" w:rsidRPr="00F23EB1">
                <w:rPr>
                  <w:rStyle w:val="Hyperlink"/>
                  <w:rFonts w:ascii="Garamond" w:hAnsi="Garamond"/>
                  <w:lang w:val="en-AU"/>
                </w:rPr>
                <w:t>http://gettingitrightfirsttime.co.uk/national-general-surgery-report-published-2/</w:t>
              </w:r>
            </w:hyperlink>
          </w:p>
        </w:tc>
      </w:tr>
      <w:tr w:rsidR="00B37973"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B37973" w:rsidRPr="00D9161E" w:rsidRDefault="00B37973"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37973" w:rsidRDefault="008D4F8D" w:rsidP="008D4F8D">
            <w:pPr>
              <w:rPr>
                <w:rFonts w:ascii="Garamond" w:hAnsi="Garamond"/>
                <w:lang w:val="en-AU"/>
              </w:rPr>
            </w:pPr>
            <w:r w:rsidRPr="008D4F8D">
              <w:rPr>
                <w:rFonts w:ascii="Garamond" w:hAnsi="Garamond"/>
                <w:lang w:val="en-AU"/>
              </w:rPr>
              <w:t xml:space="preserve">The </w:t>
            </w:r>
            <w:r>
              <w:rPr>
                <w:rFonts w:ascii="Garamond" w:hAnsi="Garamond"/>
                <w:lang w:val="en-AU"/>
              </w:rPr>
              <w:t xml:space="preserve">UK’s </w:t>
            </w:r>
            <w:r w:rsidRPr="008D4F8D">
              <w:rPr>
                <w:rFonts w:ascii="Garamond" w:hAnsi="Garamond"/>
                <w:lang w:val="en-AU"/>
              </w:rPr>
              <w:t xml:space="preserve">Getting It Right First Time (GIRFT) Programme </w:t>
            </w:r>
            <w:r>
              <w:rPr>
                <w:rFonts w:ascii="Garamond" w:hAnsi="Garamond"/>
                <w:lang w:val="en-AU"/>
              </w:rPr>
              <w:t xml:space="preserve">seeks </w:t>
            </w:r>
            <w:r w:rsidRPr="008D4F8D">
              <w:rPr>
                <w:rFonts w:ascii="Garamond" w:hAnsi="Garamond"/>
                <w:lang w:val="en-AU"/>
              </w:rPr>
              <w:t>to improve the quality of care by reducing unwarranted variations, bringing efficiencies and improving patient outcomes</w:t>
            </w:r>
            <w:r>
              <w:rPr>
                <w:rFonts w:ascii="Garamond" w:hAnsi="Garamond"/>
                <w:lang w:val="en-AU"/>
              </w:rPr>
              <w:t xml:space="preserve">. The programme has just published its first report </w:t>
            </w:r>
            <w:r w:rsidR="00A540FD">
              <w:rPr>
                <w:rFonts w:ascii="Garamond" w:hAnsi="Garamond"/>
                <w:lang w:val="en-AU"/>
              </w:rPr>
              <w:t xml:space="preserve">(of a planned 30). This report examines variation in </w:t>
            </w:r>
            <w:r>
              <w:rPr>
                <w:rFonts w:ascii="Garamond" w:hAnsi="Garamond"/>
                <w:lang w:val="en-AU"/>
              </w:rPr>
              <w:t xml:space="preserve">general surgery. The report contains </w:t>
            </w:r>
            <w:r w:rsidRPr="008D4F8D">
              <w:rPr>
                <w:rFonts w:ascii="Garamond" w:hAnsi="Garamond"/>
                <w:lang w:val="en-AU"/>
              </w:rPr>
              <w:t>20 recommendations aimed at improving general surgery in order to provide better outcomes for patients, and eliminate unwarranted differences between hospitals in areas such as effective procedures, length of stay, infection rates and procurement costs.</w:t>
            </w:r>
            <w:r w:rsidR="003872F2">
              <w:rPr>
                <w:rFonts w:ascii="Garamond" w:hAnsi="Garamond"/>
                <w:lang w:val="en-AU"/>
              </w:rPr>
              <w:t xml:space="preserve"> </w:t>
            </w:r>
            <w:r w:rsidR="000C75F9">
              <w:rPr>
                <w:rFonts w:ascii="Garamond" w:hAnsi="Garamond"/>
                <w:lang w:val="en-AU"/>
              </w:rPr>
              <w:t>The recommendations</w:t>
            </w:r>
            <w:r w:rsidR="00193B09">
              <w:rPr>
                <w:rFonts w:ascii="Garamond" w:hAnsi="Garamond"/>
                <w:lang w:val="en-AU"/>
              </w:rPr>
              <w:t xml:space="preserve">, </w:t>
            </w:r>
            <w:r w:rsidR="00193B09" w:rsidRPr="00193B09">
              <w:rPr>
                <w:rFonts w:ascii="Garamond" w:hAnsi="Garamond"/>
                <w:lang w:val="en-AU"/>
              </w:rPr>
              <w:t>spread across five themes</w:t>
            </w:r>
            <w:r w:rsidR="00193B09">
              <w:rPr>
                <w:rFonts w:ascii="Garamond" w:hAnsi="Garamond"/>
                <w:lang w:val="en-AU"/>
              </w:rPr>
              <w:t>,</w:t>
            </w:r>
            <w:r w:rsidR="000C75F9">
              <w:rPr>
                <w:rFonts w:ascii="Garamond" w:hAnsi="Garamond"/>
                <w:lang w:val="en-AU"/>
              </w:rPr>
              <w:t xml:space="preserve"> include:</w:t>
            </w:r>
          </w:p>
          <w:p w:rsidR="00193B09" w:rsidRPr="00193B09" w:rsidRDefault="00193B09" w:rsidP="00193B09">
            <w:pPr>
              <w:rPr>
                <w:rFonts w:ascii="Garamond" w:hAnsi="Garamond"/>
                <w:lang w:val="en-AU"/>
              </w:rPr>
            </w:pPr>
            <w:r w:rsidRPr="00193B09">
              <w:rPr>
                <w:rFonts w:ascii="Garamond" w:hAnsi="Garamond"/>
                <w:lang w:val="en-AU"/>
              </w:rPr>
              <w:t>Theme 1: Data and performance measurement</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Improve coding of emergency general surgical activity.</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Introduce national policy levers to drive case ascertainment (completeness) in national audit programmes to a level</w:t>
            </w:r>
            <w:r>
              <w:rPr>
                <w:rFonts w:ascii="Garamond" w:hAnsi="Garamond"/>
                <w:lang w:val="en-AU"/>
              </w:rPr>
              <w:t xml:space="preserve"> </w:t>
            </w:r>
            <w:r w:rsidRPr="00193B09">
              <w:rPr>
                <w:rFonts w:ascii="Garamond" w:hAnsi="Garamond"/>
                <w:lang w:val="en-AU"/>
              </w:rPr>
              <w:t>approaching 100%.</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Improve routine data collection quality.</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Enhance national audit programmes by recording the number of patients with a relevant diagnosis, not just those who underwent a surgical procedure.</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Design and progress implementation of an optimum care pathway for colorectal patients, and review national cancer</w:t>
            </w:r>
            <w:r>
              <w:rPr>
                <w:rFonts w:ascii="Garamond" w:hAnsi="Garamond"/>
                <w:lang w:val="en-AU"/>
              </w:rPr>
              <w:t xml:space="preserve"> </w:t>
            </w:r>
            <w:r w:rsidRPr="00193B09">
              <w:rPr>
                <w:rFonts w:ascii="Garamond" w:hAnsi="Garamond"/>
                <w:lang w:val="en-AU"/>
              </w:rPr>
              <w:t>targets in light of the resulting evidence.</w:t>
            </w:r>
          </w:p>
          <w:p w:rsidR="00193B09" w:rsidRPr="00193B09" w:rsidRDefault="00193B09" w:rsidP="00193B09">
            <w:pPr>
              <w:rPr>
                <w:rFonts w:ascii="Garamond" w:hAnsi="Garamond"/>
                <w:lang w:val="en-AU"/>
              </w:rPr>
            </w:pPr>
            <w:r w:rsidRPr="00193B09">
              <w:rPr>
                <w:rFonts w:ascii="Garamond" w:hAnsi="Garamond"/>
                <w:lang w:val="en-AU"/>
              </w:rPr>
              <w:t>Theme 2: Procurement</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Instigate pricing transparency in procurement for general surgery, and use the resulting insight to deliver more cost effective procurement.</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Review options for consolidation of procurement at a national level.</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Identify centres of good procurement performance, and understand what factors lead to the most favourable procurement prices.</w:t>
            </w:r>
          </w:p>
          <w:p w:rsidR="00193B09" w:rsidRPr="00193B09" w:rsidRDefault="00193B09" w:rsidP="00193B09">
            <w:pPr>
              <w:rPr>
                <w:rFonts w:ascii="Garamond" w:hAnsi="Garamond"/>
                <w:lang w:val="en-AU"/>
              </w:rPr>
            </w:pPr>
            <w:r w:rsidRPr="00193B09">
              <w:rPr>
                <w:rFonts w:ascii="Garamond" w:hAnsi="Garamond"/>
                <w:lang w:val="en-AU"/>
              </w:rPr>
              <w:t>Theme 3: Choice, commissioning and care pathways</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Require reversible risk factors to be addressed prior to non-urgent procedures, using a patient-centred approach utilising shared decision-making.</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Where not already described, define optimal care pathways in national guidance so they can be implemented locally with minimal, if any, variation. Optimal care pathways already defined in guidance should be implemented locally with minimal, if any, variation.</w:t>
            </w:r>
          </w:p>
          <w:p w:rsidR="00193B09" w:rsidRPr="00193B09" w:rsidRDefault="00193B09" w:rsidP="00193B09">
            <w:pPr>
              <w:rPr>
                <w:rFonts w:ascii="Garamond" w:hAnsi="Garamond"/>
                <w:lang w:val="en-AU"/>
              </w:rPr>
            </w:pPr>
            <w:r w:rsidRPr="00193B09">
              <w:rPr>
                <w:rFonts w:ascii="Garamond" w:hAnsi="Garamond"/>
                <w:lang w:val="en-AU"/>
              </w:rPr>
              <w:t>Theme 4: Surgical performance</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Adopt a “zero-tolerance” approach to known avoidable surgical complications, on which there should be reliable data and national guidance.</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Strengthen the clinical morbidity and mortality meetings by expanding the current focus on deaths and major complications.</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Improve understanding of the causes of litigation and take action to reduce common errors that lead to claims.</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Make available and require at appraisal surgeon-level intelligence on activity and outcomes.</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Develop a means of identifying the best performing teams and enable others to visit them as part of continuing professional development (CPD).</w:t>
            </w:r>
          </w:p>
          <w:p w:rsidR="00193B09" w:rsidRPr="00193B09" w:rsidRDefault="00193B09" w:rsidP="00193B09">
            <w:pPr>
              <w:pStyle w:val="ListParagraph"/>
              <w:numPr>
                <w:ilvl w:val="0"/>
                <w:numId w:val="25"/>
              </w:numPr>
              <w:rPr>
                <w:rFonts w:ascii="Garamond" w:hAnsi="Garamond"/>
                <w:lang w:val="en-AU"/>
              </w:rPr>
            </w:pPr>
            <w:r w:rsidRPr="00193B09">
              <w:rPr>
                <w:rFonts w:ascii="Garamond" w:hAnsi="Garamond"/>
                <w:lang w:val="en-AU"/>
              </w:rPr>
              <w:t>Conduct a national review, assessing the NHS model of clinical autonomy against international comparators, with a view to reducing unwarranted variation in clinical practice.</w:t>
            </w:r>
          </w:p>
          <w:p w:rsidR="00193B09" w:rsidRPr="00193B09" w:rsidRDefault="00193B09" w:rsidP="00193B09">
            <w:pPr>
              <w:rPr>
                <w:rFonts w:ascii="Garamond" w:hAnsi="Garamond"/>
                <w:lang w:val="en-AU"/>
              </w:rPr>
            </w:pPr>
            <w:r w:rsidRPr="00193B09">
              <w:rPr>
                <w:rFonts w:ascii="Garamond" w:hAnsi="Garamond"/>
                <w:lang w:val="en-AU"/>
              </w:rPr>
              <w:t>Theme 5: Efficiency and emergency provision</w:t>
            </w:r>
          </w:p>
          <w:p w:rsidR="00193B09" w:rsidRPr="00A540FD" w:rsidRDefault="00193B09" w:rsidP="00A540FD">
            <w:pPr>
              <w:pStyle w:val="ListParagraph"/>
              <w:numPr>
                <w:ilvl w:val="0"/>
                <w:numId w:val="25"/>
              </w:numPr>
              <w:rPr>
                <w:rFonts w:ascii="Garamond" w:hAnsi="Garamond"/>
                <w:lang w:val="en-AU"/>
              </w:rPr>
            </w:pPr>
            <w:r w:rsidRPr="00A540FD">
              <w:rPr>
                <w:rFonts w:ascii="Garamond" w:hAnsi="Garamond"/>
                <w:lang w:val="en-AU"/>
              </w:rPr>
              <w:t>Require data to be collected routinely about operation duration to establish a measurable benchmark for different types</w:t>
            </w:r>
            <w:r w:rsidR="00A540FD" w:rsidRPr="00A540FD">
              <w:rPr>
                <w:rFonts w:ascii="Garamond" w:hAnsi="Garamond"/>
                <w:lang w:val="en-AU"/>
              </w:rPr>
              <w:t xml:space="preserve"> </w:t>
            </w:r>
            <w:r w:rsidRPr="00A540FD">
              <w:rPr>
                <w:rFonts w:ascii="Garamond" w:hAnsi="Garamond"/>
                <w:lang w:val="en-AU"/>
              </w:rPr>
              <w:t>of procedures.</w:t>
            </w:r>
          </w:p>
          <w:p w:rsidR="00193B09" w:rsidRPr="00A540FD" w:rsidRDefault="00193B09" w:rsidP="00A540FD">
            <w:pPr>
              <w:pStyle w:val="ListParagraph"/>
              <w:numPr>
                <w:ilvl w:val="0"/>
                <w:numId w:val="25"/>
              </w:numPr>
              <w:rPr>
                <w:rFonts w:ascii="Garamond" w:hAnsi="Garamond"/>
                <w:lang w:val="en-AU"/>
              </w:rPr>
            </w:pPr>
            <w:r w:rsidRPr="00A540FD">
              <w:rPr>
                <w:rFonts w:ascii="Garamond" w:hAnsi="Garamond"/>
                <w:lang w:val="en-AU"/>
              </w:rPr>
              <w:lastRenderedPageBreak/>
              <w:t>Undertake a capacity planning study to enable theatre capacity to be principally organised around emergency care.</w:t>
            </w:r>
          </w:p>
          <w:p w:rsidR="00193B09" w:rsidRPr="00A540FD" w:rsidRDefault="00193B09" w:rsidP="00A540FD">
            <w:pPr>
              <w:pStyle w:val="ListParagraph"/>
              <w:numPr>
                <w:ilvl w:val="0"/>
                <w:numId w:val="25"/>
              </w:numPr>
              <w:rPr>
                <w:rFonts w:ascii="Garamond" w:hAnsi="Garamond"/>
                <w:lang w:val="en-AU"/>
              </w:rPr>
            </w:pPr>
            <w:r w:rsidRPr="00A540FD">
              <w:rPr>
                <w:rFonts w:ascii="Garamond" w:hAnsi="Garamond"/>
                <w:lang w:val="en-AU"/>
              </w:rPr>
              <w:t>Provide consultant-delivered emergency general surgery in each trust.</w:t>
            </w:r>
          </w:p>
          <w:p w:rsidR="000C75F9" w:rsidRPr="00A540FD" w:rsidRDefault="00193B09" w:rsidP="00A540FD">
            <w:pPr>
              <w:pStyle w:val="ListParagraph"/>
              <w:numPr>
                <w:ilvl w:val="0"/>
                <w:numId w:val="25"/>
              </w:numPr>
              <w:rPr>
                <w:rFonts w:ascii="Garamond" w:hAnsi="Garamond"/>
                <w:lang w:val="en-AU"/>
              </w:rPr>
            </w:pPr>
            <w:r w:rsidRPr="00A540FD">
              <w:rPr>
                <w:rFonts w:ascii="Garamond" w:hAnsi="Garamond"/>
                <w:lang w:val="en-AU"/>
              </w:rPr>
              <w:t>Require every trust to identify a consultant lead for emergency general surgery, with allocated time in their job plan.</w:t>
            </w:r>
          </w:p>
          <w:p w:rsidR="008D0201" w:rsidRDefault="008D0201" w:rsidP="008D4F8D">
            <w:pPr>
              <w:rPr>
                <w:rFonts w:ascii="Garamond" w:hAnsi="Garamond"/>
                <w:lang w:val="en-AU"/>
              </w:rPr>
            </w:pPr>
          </w:p>
          <w:p w:rsidR="008D48E8" w:rsidRDefault="000C75F9" w:rsidP="00193B09">
            <w:pPr>
              <w:rPr>
                <w:rFonts w:ascii="Garamond" w:hAnsi="Garamond"/>
                <w:lang w:val="en-AU"/>
              </w:rPr>
            </w:pPr>
            <w:r>
              <w:rPr>
                <w:rFonts w:ascii="Garamond" w:hAnsi="Garamond"/>
                <w:lang w:val="en-AU"/>
              </w:rPr>
              <w:t xml:space="preserve">The report noted that not only are there variations in treatment and outcomes but there are also variations in cost/procurement. </w:t>
            </w:r>
            <w:r w:rsidR="008D48E8" w:rsidRPr="008D48E8">
              <w:rPr>
                <w:rFonts w:ascii="Garamond" w:hAnsi="Garamond"/>
                <w:lang w:val="en-AU"/>
              </w:rPr>
              <w:t>Th</w:t>
            </w:r>
            <w:r w:rsidR="008D48E8">
              <w:rPr>
                <w:rFonts w:ascii="Garamond" w:hAnsi="Garamond"/>
                <w:lang w:val="en-AU"/>
              </w:rPr>
              <w:t xml:space="preserve">e report also suggests that a number of changes to practice around surgery could have significant impacts, including reducing costs. One of these also would see </w:t>
            </w:r>
            <w:r w:rsidR="008D48E8" w:rsidRPr="008D48E8">
              <w:rPr>
                <w:rFonts w:ascii="Garamond" w:hAnsi="Garamond"/>
                <w:lang w:val="en-AU"/>
              </w:rPr>
              <w:t xml:space="preserve">a significant reduction in the amount of people unnecessarily admitted for emergency general surgery if more acute hospitals introduced consultant-led surgical assessments at their ‘front door’. The </w:t>
            </w:r>
            <w:r w:rsidR="008D48E8">
              <w:rPr>
                <w:rFonts w:ascii="Garamond" w:hAnsi="Garamond"/>
                <w:lang w:val="en-AU"/>
              </w:rPr>
              <w:t xml:space="preserve">report’s </w:t>
            </w:r>
            <w:r w:rsidR="008D48E8" w:rsidRPr="008D48E8">
              <w:rPr>
                <w:rFonts w:ascii="Garamond" w:hAnsi="Garamond"/>
                <w:lang w:val="en-AU"/>
              </w:rPr>
              <w:t xml:space="preserve">analysis estimates that could </w:t>
            </w:r>
            <w:r w:rsidR="008D48E8">
              <w:rPr>
                <w:rFonts w:ascii="Garamond" w:hAnsi="Garamond"/>
                <w:lang w:val="en-AU"/>
              </w:rPr>
              <w:t xml:space="preserve">see </w:t>
            </w:r>
            <w:r w:rsidR="008D48E8" w:rsidRPr="008D48E8">
              <w:rPr>
                <w:rFonts w:ascii="Garamond" w:hAnsi="Garamond"/>
                <w:lang w:val="en-AU"/>
              </w:rPr>
              <w:t>o up to 30 per cent fewer general surgery emergency admissions a year where no operation is delivered, and could cut the NHS’s annual cost for this from £361 million to £253 million.</w:t>
            </w:r>
          </w:p>
          <w:p w:rsidR="00193B09" w:rsidRPr="00193B09" w:rsidRDefault="00193B09" w:rsidP="00193B09">
            <w:pPr>
              <w:rPr>
                <w:rFonts w:ascii="Garamond" w:hAnsi="Garamond"/>
                <w:lang w:val="en-AU"/>
              </w:rPr>
            </w:pPr>
            <w:r w:rsidRPr="00193B09">
              <w:rPr>
                <w:rFonts w:ascii="Garamond" w:hAnsi="Garamond"/>
                <w:lang w:val="en-AU"/>
              </w:rPr>
              <w:t>Other opportunities to improve patient care and outcomes, and deliver potential efficiencies of over £160m annually, include:</w:t>
            </w:r>
          </w:p>
          <w:p w:rsidR="00193B09" w:rsidRPr="00193B09" w:rsidRDefault="00193B09" w:rsidP="00193B09">
            <w:pPr>
              <w:pStyle w:val="ListParagraph"/>
              <w:numPr>
                <w:ilvl w:val="0"/>
                <w:numId w:val="23"/>
              </w:numPr>
              <w:rPr>
                <w:rFonts w:ascii="Garamond" w:hAnsi="Garamond"/>
                <w:lang w:val="en-AU"/>
              </w:rPr>
            </w:pPr>
            <w:r w:rsidRPr="00193B09">
              <w:rPr>
                <w:rFonts w:ascii="Garamond" w:hAnsi="Garamond"/>
                <w:lang w:val="en-AU"/>
              </w:rPr>
              <w:t xml:space="preserve">A reduction in the length of stay for elective colorectal surgery patients from the average of 10.2 days to the 5.5 days in the best performing </w:t>
            </w:r>
            <w:proofErr w:type="gramStart"/>
            <w:r w:rsidRPr="00193B09">
              <w:rPr>
                <w:rFonts w:ascii="Garamond" w:hAnsi="Garamond"/>
                <w:lang w:val="en-AU"/>
              </w:rPr>
              <w:t>hospitals,</w:t>
            </w:r>
            <w:proofErr w:type="gramEnd"/>
            <w:r w:rsidRPr="00193B09">
              <w:rPr>
                <w:rFonts w:ascii="Garamond" w:hAnsi="Garamond"/>
                <w:lang w:val="en-AU"/>
              </w:rPr>
              <w:t xml:space="preserve"> would ensure patients </w:t>
            </w:r>
            <w:r>
              <w:rPr>
                <w:rFonts w:ascii="Garamond" w:hAnsi="Garamond"/>
                <w:lang w:val="en-AU"/>
              </w:rPr>
              <w:t xml:space="preserve">go home sooner </w:t>
            </w:r>
            <w:r w:rsidRPr="00193B09">
              <w:rPr>
                <w:rFonts w:ascii="Garamond" w:hAnsi="Garamond"/>
                <w:lang w:val="en-AU"/>
              </w:rPr>
              <w:t>and would free up to 84,000 bed days, equivalent to a saving of £23.6m.</w:t>
            </w:r>
          </w:p>
          <w:p w:rsidR="00193B09" w:rsidRPr="00193B09" w:rsidRDefault="00193B09" w:rsidP="00193B09">
            <w:pPr>
              <w:pStyle w:val="ListParagraph"/>
              <w:numPr>
                <w:ilvl w:val="0"/>
                <w:numId w:val="23"/>
              </w:numPr>
              <w:rPr>
                <w:rFonts w:ascii="Garamond" w:hAnsi="Garamond"/>
                <w:lang w:val="en-AU"/>
              </w:rPr>
            </w:pPr>
            <w:r w:rsidRPr="00193B09">
              <w:rPr>
                <w:rFonts w:ascii="Garamond" w:hAnsi="Garamond"/>
                <w:lang w:val="en-AU"/>
              </w:rPr>
              <w:t>A reduction in the length of stay for appendicectomy patients from an average of 3.5 days to 2 days would free up 30,000 bed days, equivalent to a cost reduction of £8.5m.</w:t>
            </w:r>
          </w:p>
          <w:p w:rsidR="00193B09" w:rsidRPr="00193B09" w:rsidRDefault="00193B09" w:rsidP="00193B09">
            <w:pPr>
              <w:pStyle w:val="ListParagraph"/>
              <w:numPr>
                <w:ilvl w:val="0"/>
                <w:numId w:val="23"/>
              </w:numPr>
              <w:rPr>
                <w:rFonts w:ascii="Garamond" w:hAnsi="Garamond"/>
                <w:lang w:val="en-AU"/>
              </w:rPr>
            </w:pPr>
            <w:r w:rsidRPr="00193B09">
              <w:rPr>
                <w:rFonts w:ascii="Garamond" w:hAnsi="Garamond"/>
                <w:lang w:val="en-AU"/>
              </w:rPr>
              <w:t>Reducing some hospitals’ high levels of emergency readmission at 30 days for gall bladder surgery to the national average would save £1m in bed days.</w:t>
            </w:r>
          </w:p>
          <w:p w:rsidR="00193B09" w:rsidRPr="00193B09" w:rsidRDefault="00193B09" w:rsidP="00193B09">
            <w:pPr>
              <w:pStyle w:val="ListParagraph"/>
              <w:numPr>
                <w:ilvl w:val="0"/>
                <w:numId w:val="23"/>
              </w:numPr>
              <w:rPr>
                <w:rFonts w:ascii="Garamond" w:hAnsi="Garamond"/>
                <w:lang w:val="en-AU"/>
              </w:rPr>
            </w:pPr>
            <w:r>
              <w:rPr>
                <w:rFonts w:ascii="Garamond" w:hAnsi="Garamond"/>
                <w:lang w:val="en-AU"/>
              </w:rPr>
              <w:t>I</w:t>
            </w:r>
            <w:r w:rsidRPr="00193B09">
              <w:rPr>
                <w:rFonts w:ascii="Garamond" w:hAnsi="Garamond"/>
                <w:lang w:val="en-AU"/>
              </w:rPr>
              <w:t>f providers with high 30 day emergency readmission rates following appendicectomy reduced their readmission rates to the national average, this would free up £5.8m worth of bed days.</w:t>
            </w:r>
          </w:p>
          <w:p w:rsidR="00193B09" w:rsidRPr="00193B09" w:rsidRDefault="00193B09" w:rsidP="00193B09">
            <w:pPr>
              <w:pStyle w:val="ListParagraph"/>
              <w:numPr>
                <w:ilvl w:val="0"/>
                <w:numId w:val="23"/>
              </w:numPr>
              <w:rPr>
                <w:rFonts w:ascii="Garamond" w:hAnsi="Garamond"/>
                <w:lang w:val="en-AU"/>
              </w:rPr>
            </w:pPr>
            <w:r w:rsidRPr="00193B09">
              <w:rPr>
                <w:rFonts w:ascii="Garamond" w:hAnsi="Garamond"/>
                <w:lang w:val="en-AU"/>
              </w:rPr>
              <w:t>If all patients received gall bladder surgery within 14 days of diagnosis, as opposed to the national average of 23% of patients, more people would be treated in a timely fashion with fewer readmitted for later surgery, and up to £5m saved.</w:t>
            </w:r>
          </w:p>
          <w:p w:rsidR="00193B09" w:rsidRPr="00193B09" w:rsidRDefault="00193B09" w:rsidP="00193B09">
            <w:pPr>
              <w:pStyle w:val="ListParagraph"/>
              <w:numPr>
                <w:ilvl w:val="0"/>
                <w:numId w:val="23"/>
              </w:numPr>
              <w:rPr>
                <w:rFonts w:ascii="Garamond" w:hAnsi="Garamond"/>
                <w:lang w:val="en-AU"/>
              </w:rPr>
            </w:pPr>
            <w:r w:rsidRPr="00193B09">
              <w:rPr>
                <w:rFonts w:ascii="Garamond" w:hAnsi="Garamond"/>
                <w:lang w:val="en-AU"/>
              </w:rPr>
              <w:t>If all trusts reversed surgical stomas following colorectal cancer resection, where appropriate, in the recommended time frame of 6 months rather than 18 months, this would provide a better experience for patients and could save almost £2.4 million annually.</w:t>
            </w:r>
          </w:p>
          <w:p w:rsidR="00193B09" w:rsidRPr="00193B09" w:rsidRDefault="00193B09" w:rsidP="00193B09">
            <w:pPr>
              <w:pStyle w:val="ListParagraph"/>
              <w:numPr>
                <w:ilvl w:val="0"/>
                <w:numId w:val="23"/>
              </w:numPr>
              <w:rPr>
                <w:rFonts w:ascii="Garamond" w:hAnsi="Garamond"/>
                <w:lang w:val="en-AU"/>
              </w:rPr>
            </w:pPr>
            <w:r w:rsidRPr="00193B09">
              <w:rPr>
                <w:rFonts w:ascii="Garamond" w:hAnsi="Garamond"/>
                <w:lang w:val="en-AU"/>
              </w:rPr>
              <w:t>For a basket of surgical supplies, procurement costs varied from £1,467 to £2,336. If all hospitals procured these items at the lowest price, national costs would reduce by 59%.</w:t>
            </w:r>
          </w:p>
        </w:tc>
      </w:tr>
    </w:tbl>
    <w:p w:rsidR="00B37973" w:rsidRDefault="00B37973" w:rsidP="00B37973">
      <w:pPr>
        <w:keepNext/>
        <w:rPr>
          <w:rFonts w:ascii="Garamond" w:hAnsi="Garamond"/>
          <w:lang w:val="en-AU"/>
        </w:rPr>
      </w:pPr>
    </w:p>
    <w:p w:rsidR="008D4F8D" w:rsidRDefault="008D4F8D" w:rsidP="00B37973">
      <w:pPr>
        <w:keepNext/>
        <w:rPr>
          <w:rFonts w:ascii="Garamond" w:hAnsi="Garamond"/>
          <w:lang w:val="en-AU"/>
        </w:rPr>
      </w:pPr>
      <w:r w:rsidRPr="00D9161E">
        <w:rPr>
          <w:rFonts w:ascii="Garamond" w:hAnsi="Garamond"/>
          <w:lang w:val="en-AU"/>
        </w:rPr>
        <w:t>For information the Commission’s work on</w:t>
      </w:r>
      <w:r>
        <w:rPr>
          <w:rFonts w:ascii="Garamond" w:hAnsi="Garamond"/>
          <w:lang w:val="en-AU"/>
        </w:rPr>
        <w:t xml:space="preserve"> healthcare variation, see </w:t>
      </w:r>
      <w:hyperlink r:id="rId18" w:history="1">
        <w:r w:rsidRPr="00F23EB1">
          <w:rPr>
            <w:rStyle w:val="Hyperlink"/>
            <w:rFonts w:ascii="Garamond" w:hAnsi="Garamond"/>
            <w:lang w:val="en-AU"/>
          </w:rPr>
          <w:t>https://www.safetyandquality.gov.au/atlas/</w:t>
        </w:r>
      </w:hyperlink>
    </w:p>
    <w:p w:rsidR="008D4F8D" w:rsidRDefault="008D4F8D" w:rsidP="00B37973">
      <w:pPr>
        <w:keepNext/>
        <w:rPr>
          <w:rFonts w:ascii="Garamond" w:hAnsi="Garamond"/>
          <w:lang w:val="en-AU"/>
        </w:rPr>
      </w:pPr>
    </w:p>
    <w:p w:rsidR="00E644A9" w:rsidRPr="00E644A9" w:rsidRDefault="00E644A9" w:rsidP="00E644A9">
      <w:pPr>
        <w:keepNext/>
        <w:rPr>
          <w:rFonts w:ascii="Garamond" w:hAnsi="Garamond"/>
          <w:i/>
          <w:lang w:val="en-AU"/>
        </w:rPr>
      </w:pPr>
      <w:proofErr w:type="gramStart"/>
      <w:r w:rsidRPr="00E644A9">
        <w:rPr>
          <w:rFonts w:ascii="Garamond" w:hAnsi="Garamond"/>
          <w:i/>
          <w:lang w:val="en-AU"/>
        </w:rPr>
        <w:t>IHI Framework for Improving Joy in Work.</w:t>
      </w:r>
      <w:proofErr w:type="gramEnd"/>
      <w:r w:rsidRPr="00E644A9">
        <w:rPr>
          <w:rFonts w:ascii="Garamond" w:hAnsi="Garamond"/>
          <w:i/>
          <w:lang w:val="en-AU"/>
        </w:rPr>
        <w:t xml:space="preserve"> IHI White Paper</w:t>
      </w:r>
    </w:p>
    <w:p w:rsidR="00E644A9" w:rsidRDefault="00E644A9" w:rsidP="00B37973">
      <w:pPr>
        <w:keepNext/>
        <w:rPr>
          <w:rFonts w:ascii="Garamond" w:hAnsi="Garamond"/>
          <w:lang w:val="en-AU"/>
        </w:rPr>
      </w:pPr>
      <w:r w:rsidRPr="00E644A9">
        <w:rPr>
          <w:rFonts w:ascii="Garamond" w:hAnsi="Garamond"/>
          <w:lang w:val="en-AU"/>
        </w:rPr>
        <w:t>Perlo J, Balik B, Swensen S, Kabcenell A, Landsman J, Feeley D</w:t>
      </w:r>
    </w:p>
    <w:p w:rsidR="00E644A9" w:rsidRDefault="00E644A9" w:rsidP="00B37973">
      <w:pPr>
        <w:keepNext/>
        <w:rPr>
          <w:rFonts w:ascii="Garamond" w:hAnsi="Garamond"/>
          <w:lang w:val="en-AU"/>
        </w:rPr>
      </w:pPr>
      <w:r w:rsidRPr="00E644A9">
        <w:rPr>
          <w:rFonts w:ascii="Garamond" w:hAnsi="Garamond"/>
          <w:lang w:val="en-AU"/>
        </w:rPr>
        <w:t>Cambridge, Massachusetts: Institute for Healthcare Improvement; 2017.</w:t>
      </w:r>
    </w:p>
    <w:tbl>
      <w:tblPr>
        <w:tblStyle w:val="TableGrid"/>
        <w:tblW w:w="0" w:type="auto"/>
        <w:tblInd w:w="288" w:type="dxa"/>
        <w:tblLayout w:type="fixed"/>
        <w:tblLook w:val="01E0" w:firstRow="1" w:lastRow="1" w:firstColumn="1" w:lastColumn="1" w:noHBand="0" w:noVBand="0"/>
      </w:tblPr>
      <w:tblGrid>
        <w:gridCol w:w="1080"/>
        <w:gridCol w:w="8280"/>
      </w:tblGrid>
      <w:tr w:rsidR="00E644A9"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E644A9" w:rsidRPr="00D9161E" w:rsidRDefault="00E644A9" w:rsidP="00AA29F2">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644A9" w:rsidRPr="00D9161E" w:rsidRDefault="00AA29F2" w:rsidP="00AA29F2">
            <w:pPr>
              <w:rPr>
                <w:rStyle w:val="Hyperlink"/>
                <w:rFonts w:ascii="Garamond" w:hAnsi="Garamond"/>
                <w:color w:val="auto"/>
                <w:u w:val="none"/>
                <w:lang w:val="en-AU"/>
              </w:rPr>
            </w:pPr>
            <w:hyperlink r:id="rId19" w:history="1">
              <w:r w:rsidR="00E644A9" w:rsidRPr="00257377">
                <w:rPr>
                  <w:rStyle w:val="Hyperlink"/>
                  <w:rFonts w:ascii="Garamond" w:hAnsi="Garamond"/>
                  <w:lang w:val="en-AU"/>
                </w:rPr>
                <w:t>http://www.ihi.org/resources/Pages/IHIWhitePapers/Framework-Improving-Joy-in-Work.aspx</w:t>
              </w:r>
            </w:hyperlink>
          </w:p>
        </w:tc>
      </w:tr>
      <w:tr w:rsidR="00E644A9"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E644A9" w:rsidRPr="00D9161E" w:rsidRDefault="00E644A9"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0499" w:rsidRPr="00770499" w:rsidRDefault="00E644A9" w:rsidP="00770499">
            <w:pPr>
              <w:rPr>
                <w:rFonts w:ascii="Garamond" w:hAnsi="Garamond"/>
                <w:lang w:val="en-AU"/>
              </w:rPr>
            </w:pPr>
            <w:r>
              <w:rPr>
                <w:rFonts w:ascii="Garamond" w:hAnsi="Garamond"/>
                <w:lang w:val="en-AU"/>
              </w:rPr>
              <w:t>Burnout</w:t>
            </w:r>
            <w:r w:rsidR="000C75F9">
              <w:rPr>
                <w:rFonts w:ascii="Garamond" w:hAnsi="Garamond"/>
                <w:lang w:val="en-AU"/>
              </w:rPr>
              <w:t xml:space="preserve"> has been something of a recurring theme recently</w:t>
            </w:r>
            <w:r w:rsidR="00770499">
              <w:rPr>
                <w:rFonts w:ascii="Garamond" w:hAnsi="Garamond"/>
                <w:lang w:val="en-AU"/>
              </w:rPr>
              <w:t xml:space="preserve"> (for example, see the AHRQ </w:t>
            </w:r>
            <w:r w:rsidR="00770499">
              <w:rPr>
                <w:rFonts w:ascii="Garamond" w:hAnsi="Garamond"/>
                <w:i/>
                <w:lang w:val="en-AU"/>
              </w:rPr>
              <w:t xml:space="preserve">Physician Burnout </w:t>
            </w:r>
            <w:r w:rsidR="00770499" w:rsidRPr="00770499">
              <w:rPr>
                <w:rFonts w:ascii="Garamond" w:hAnsi="Garamond"/>
                <w:lang w:val="en-AU"/>
              </w:rPr>
              <w:t>page described below)</w:t>
            </w:r>
            <w:r w:rsidR="00E761CB">
              <w:rPr>
                <w:rFonts w:ascii="Garamond" w:hAnsi="Garamond"/>
                <w:lang w:val="en-AU"/>
              </w:rPr>
              <w:t>. The [</w:t>
            </w:r>
            <w:r w:rsidR="00770499">
              <w:rPr>
                <w:rFonts w:ascii="Garamond" w:hAnsi="Garamond"/>
                <w:lang w:val="en-AU"/>
              </w:rPr>
              <w:t xml:space="preserve">US] </w:t>
            </w:r>
            <w:r w:rsidR="00770499" w:rsidRPr="00E644A9">
              <w:rPr>
                <w:rFonts w:ascii="Garamond" w:hAnsi="Garamond"/>
                <w:lang w:val="en-AU"/>
              </w:rPr>
              <w:t xml:space="preserve">Institute for Healthcare </w:t>
            </w:r>
            <w:r w:rsidR="00770499" w:rsidRPr="00E644A9">
              <w:rPr>
                <w:rFonts w:ascii="Garamond" w:hAnsi="Garamond"/>
                <w:lang w:val="en-AU"/>
              </w:rPr>
              <w:lastRenderedPageBreak/>
              <w:t>Improvement</w:t>
            </w:r>
            <w:r w:rsidR="00770499">
              <w:rPr>
                <w:rFonts w:ascii="Garamond" w:hAnsi="Garamond"/>
                <w:lang w:val="en-AU"/>
              </w:rPr>
              <w:t xml:space="preserve"> (IHI) </w:t>
            </w:r>
            <w:r w:rsidR="00770499" w:rsidRPr="00770499">
              <w:rPr>
                <w:rFonts w:ascii="Garamond" w:hAnsi="Garamond"/>
                <w:lang w:val="en-AU"/>
              </w:rPr>
              <w:t>believes an important part of the solution is to focus on restoring joy to the health care workforce.</w:t>
            </w:r>
            <w:r w:rsidR="00770499">
              <w:rPr>
                <w:rFonts w:ascii="Garamond" w:hAnsi="Garamond"/>
                <w:lang w:val="en-AU"/>
              </w:rPr>
              <w:t xml:space="preserve"> </w:t>
            </w:r>
            <w:r w:rsidR="00770499" w:rsidRPr="00770499">
              <w:rPr>
                <w:rFonts w:ascii="Garamond" w:hAnsi="Garamond"/>
                <w:lang w:val="en-AU"/>
              </w:rPr>
              <w:t>This white paper is intended to serve as</w:t>
            </w:r>
            <w:r w:rsidR="00770499">
              <w:rPr>
                <w:rFonts w:ascii="Garamond" w:hAnsi="Garamond"/>
                <w:lang w:val="en-AU"/>
              </w:rPr>
              <w:t xml:space="preserve"> a guide for health care organis</w:t>
            </w:r>
            <w:r w:rsidR="00770499" w:rsidRPr="00770499">
              <w:rPr>
                <w:rFonts w:ascii="Garamond" w:hAnsi="Garamond"/>
                <w:lang w:val="en-AU"/>
              </w:rPr>
              <w:t xml:space="preserve">ations </w:t>
            </w:r>
            <w:r w:rsidR="00770499">
              <w:rPr>
                <w:rFonts w:ascii="Garamond" w:hAnsi="Garamond"/>
                <w:lang w:val="en-AU"/>
              </w:rPr>
              <w:t xml:space="preserve">in engaging </w:t>
            </w:r>
            <w:r w:rsidR="00770499" w:rsidRPr="00770499">
              <w:rPr>
                <w:rFonts w:ascii="Garamond" w:hAnsi="Garamond"/>
                <w:lang w:val="en-AU"/>
              </w:rPr>
              <w:t>in a process where leaders ask colleagues at all levels, “What matters to you?” — enabling them to better understand the barriers to joy in work, and co-create meaningful, high-leverage strategies to address these issues.</w:t>
            </w:r>
          </w:p>
          <w:p w:rsidR="00770499" w:rsidRPr="00770499" w:rsidRDefault="00770499" w:rsidP="00770499">
            <w:pPr>
              <w:rPr>
                <w:rFonts w:ascii="Garamond" w:hAnsi="Garamond"/>
                <w:lang w:val="en-AU"/>
              </w:rPr>
            </w:pPr>
            <w:r w:rsidRPr="00770499">
              <w:rPr>
                <w:rFonts w:ascii="Garamond" w:hAnsi="Garamond"/>
                <w:lang w:val="en-AU"/>
              </w:rPr>
              <w:t>The white paper describes the following:</w:t>
            </w:r>
          </w:p>
          <w:p w:rsidR="00770499" w:rsidRPr="00770499" w:rsidRDefault="00770499" w:rsidP="00770499">
            <w:pPr>
              <w:pStyle w:val="ListParagraph"/>
              <w:numPr>
                <w:ilvl w:val="0"/>
                <w:numId w:val="22"/>
              </w:numPr>
              <w:rPr>
                <w:rFonts w:ascii="Garamond" w:hAnsi="Garamond"/>
                <w:lang w:val="en-AU"/>
              </w:rPr>
            </w:pPr>
            <w:r w:rsidRPr="00770499">
              <w:rPr>
                <w:rFonts w:ascii="Garamond" w:hAnsi="Garamond"/>
                <w:lang w:val="en-AU"/>
              </w:rPr>
              <w:t>The importance of joy in work (the “why”);</w:t>
            </w:r>
          </w:p>
          <w:p w:rsidR="00770499" w:rsidRPr="00770499" w:rsidRDefault="00770499" w:rsidP="00770499">
            <w:pPr>
              <w:pStyle w:val="ListParagraph"/>
              <w:numPr>
                <w:ilvl w:val="0"/>
                <w:numId w:val="22"/>
              </w:numPr>
              <w:rPr>
                <w:rFonts w:ascii="Garamond" w:hAnsi="Garamond"/>
                <w:lang w:val="en-AU"/>
              </w:rPr>
            </w:pPr>
            <w:r w:rsidRPr="00770499">
              <w:rPr>
                <w:rFonts w:ascii="Garamond" w:hAnsi="Garamond"/>
                <w:lang w:val="en-AU"/>
              </w:rPr>
              <w:t>Four steps leaders can take to improve joy in work (the “how”);</w:t>
            </w:r>
          </w:p>
          <w:p w:rsidR="00770499" w:rsidRPr="00770499" w:rsidRDefault="00770499" w:rsidP="00770499">
            <w:pPr>
              <w:pStyle w:val="ListParagraph"/>
              <w:numPr>
                <w:ilvl w:val="0"/>
                <w:numId w:val="22"/>
              </w:numPr>
              <w:rPr>
                <w:rFonts w:ascii="Garamond" w:hAnsi="Garamond"/>
                <w:lang w:val="en-AU"/>
              </w:rPr>
            </w:pPr>
            <w:r w:rsidRPr="00770499">
              <w:rPr>
                <w:rFonts w:ascii="Garamond" w:hAnsi="Garamond"/>
                <w:lang w:val="en-AU"/>
              </w:rPr>
              <w:t>The IHI Framework for Improving Joy in Work: nine critical components of a system for ensuring a joyful, engaged workforce (the “what”);</w:t>
            </w:r>
          </w:p>
          <w:p w:rsidR="00770499" w:rsidRPr="00770499" w:rsidRDefault="00770499" w:rsidP="00770499">
            <w:pPr>
              <w:pStyle w:val="ListParagraph"/>
              <w:numPr>
                <w:ilvl w:val="0"/>
                <w:numId w:val="22"/>
              </w:numPr>
              <w:rPr>
                <w:rFonts w:ascii="Garamond" w:hAnsi="Garamond"/>
                <w:lang w:val="en-AU"/>
              </w:rPr>
            </w:pPr>
            <w:r w:rsidRPr="00770499">
              <w:rPr>
                <w:rFonts w:ascii="Garamond" w:hAnsi="Garamond"/>
                <w:lang w:val="en-AU"/>
              </w:rPr>
              <w:t>Key change ideas for improving joy in work, along with examples from organizations that helped test them; and</w:t>
            </w:r>
          </w:p>
          <w:p w:rsidR="00770499" w:rsidRDefault="00770499" w:rsidP="00770499">
            <w:pPr>
              <w:pStyle w:val="ListParagraph"/>
              <w:numPr>
                <w:ilvl w:val="0"/>
                <w:numId w:val="22"/>
              </w:numPr>
              <w:rPr>
                <w:rFonts w:ascii="Garamond" w:hAnsi="Garamond"/>
                <w:lang w:val="en-AU"/>
              </w:rPr>
            </w:pPr>
            <w:r w:rsidRPr="00770499">
              <w:rPr>
                <w:rFonts w:ascii="Garamond" w:hAnsi="Garamond"/>
                <w:lang w:val="en-AU"/>
              </w:rPr>
              <w:t>Measurement and assessment tools for gauging efforts to improve joy in work.</w:t>
            </w:r>
          </w:p>
          <w:p w:rsidR="00770499" w:rsidRPr="00770499" w:rsidRDefault="00770499" w:rsidP="00770499">
            <w:pPr>
              <w:rPr>
                <w:rFonts w:ascii="Garamond" w:hAnsi="Garamond"/>
                <w:lang w:val="en-AU"/>
              </w:rPr>
            </w:pPr>
            <w:r>
              <w:rPr>
                <w:rFonts w:ascii="Garamond" w:hAnsi="Garamond"/>
                <w:lang w:val="en-AU"/>
              </w:rPr>
              <w:t>Word matter and language is important and care might be needed when introducing topics such as ‘joy in work’ with burnt out, jaded and/or cynical colleagues.</w:t>
            </w:r>
          </w:p>
        </w:tc>
      </w:tr>
    </w:tbl>
    <w:p w:rsidR="00C570DD" w:rsidRDefault="00C570DD" w:rsidP="00C570DD">
      <w:pPr>
        <w:keepNext/>
        <w:rPr>
          <w:rFonts w:ascii="Garamond" w:hAnsi="Garamond"/>
          <w:lang w:val="en-AU"/>
        </w:rPr>
      </w:pPr>
    </w:p>
    <w:p w:rsidR="007B089E" w:rsidRDefault="007B089E" w:rsidP="00C570DD">
      <w:pPr>
        <w:keepNext/>
        <w:rPr>
          <w:rFonts w:ascii="Garamond" w:hAnsi="Garamond"/>
          <w:lang w:val="en-AU"/>
        </w:rPr>
      </w:pPr>
    </w:p>
    <w:p w:rsidR="000C6A11" w:rsidRPr="00D9161E" w:rsidRDefault="000C6A11" w:rsidP="00644660">
      <w:pPr>
        <w:keepNext/>
        <w:keepLines/>
        <w:autoSpaceDE w:val="0"/>
        <w:autoSpaceDN w:val="0"/>
        <w:adjustRightInd w:val="0"/>
        <w:rPr>
          <w:rFonts w:ascii="Garamond" w:hAnsi="Garamond"/>
          <w:b/>
          <w:lang w:val="en-AU"/>
        </w:rPr>
      </w:pPr>
      <w:r w:rsidRPr="00D9161E">
        <w:rPr>
          <w:rFonts w:ascii="Garamond" w:hAnsi="Garamond"/>
          <w:b/>
          <w:lang w:val="en-AU"/>
        </w:rPr>
        <w:t>Journal articles</w:t>
      </w:r>
    </w:p>
    <w:p w:rsidR="0010604C" w:rsidRDefault="0010604C" w:rsidP="00644660">
      <w:pPr>
        <w:keepNext/>
        <w:keepLines/>
        <w:autoSpaceDE w:val="0"/>
        <w:autoSpaceDN w:val="0"/>
        <w:adjustRightInd w:val="0"/>
        <w:rPr>
          <w:rFonts w:ascii="Garamond" w:hAnsi="Garamond"/>
          <w:lang w:val="en-AU"/>
        </w:rPr>
      </w:pPr>
    </w:p>
    <w:p w:rsidR="004C7F9A" w:rsidRPr="004C7F9A" w:rsidRDefault="004C7F9A" w:rsidP="004C7F9A">
      <w:pPr>
        <w:keepNext/>
        <w:rPr>
          <w:rFonts w:ascii="Garamond" w:hAnsi="Garamond"/>
          <w:i/>
          <w:lang w:val="en-AU"/>
        </w:rPr>
      </w:pPr>
      <w:r w:rsidRPr="004C7F9A">
        <w:rPr>
          <w:rFonts w:ascii="Garamond" w:hAnsi="Garamond"/>
          <w:i/>
          <w:lang w:val="en-AU"/>
        </w:rPr>
        <w:t>A qualitative study on the implementation of quality systems in Australian hospitals</w:t>
      </w:r>
    </w:p>
    <w:p w:rsidR="004C7F9A" w:rsidRDefault="004C7F9A" w:rsidP="004C7F9A">
      <w:pPr>
        <w:keepNext/>
        <w:rPr>
          <w:rFonts w:ascii="Garamond" w:hAnsi="Garamond"/>
          <w:lang w:val="en-AU"/>
        </w:rPr>
      </w:pPr>
      <w:r w:rsidRPr="004C7F9A">
        <w:rPr>
          <w:rFonts w:ascii="Garamond" w:hAnsi="Garamond"/>
          <w:lang w:val="en-AU"/>
        </w:rPr>
        <w:t xml:space="preserve">Leggat </w:t>
      </w:r>
      <w:r>
        <w:rPr>
          <w:rFonts w:ascii="Garamond" w:hAnsi="Garamond"/>
          <w:lang w:val="en-AU"/>
        </w:rPr>
        <w:t xml:space="preserve">SG, </w:t>
      </w:r>
      <w:r w:rsidRPr="004C7F9A">
        <w:rPr>
          <w:rFonts w:ascii="Garamond" w:hAnsi="Garamond"/>
          <w:lang w:val="en-AU"/>
        </w:rPr>
        <w:t>Balding</w:t>
      </w:r>
      <w:r>
        <w:rPr>
          <w:rFonts w:ascii="Garamond" w:hAnsi="Garamond"/>
          <w:lang w:val="en-AU"/>
        </w:rPr>
        <w:t xml:space="preserve"> C</w:t>
      </w:r>
    </w:p>
    <w:p w:rsidR="004C7F9A" w:rsidRPr="00D9161E" w:rsidRDefault="004C7F9A" w:rsidP="004C7F9A">
      <w:pPr>
        <w:keepNext/>
        <w:rPr>
          <w:rFonts w:ascii="Garamond" w:hAnsi="Garamond"/>
          <w:lang w:val="en-AU"/>
        </w:rPr>
      </w:pPr>
      <w:proofErr w:type="gramStart"/>
      <w:r w:rsidRPr="004C7F9A">
        <w:rPr>
          <w:rFonts w:ascii="Garamond" w:hAnsi="Garamond"/>
          <w:lang w:val="en-AU"/>
        </w:rPr>
        <w:t>Health Services Management Research.</w:t>
      </w:r>
      <w:proofErr w:type="gramEnd"/>
      <w:r w:rsidRPr="004C7F9A">
        <w:rPr>
          <w:rFonts w:ascii="Garamond" w:hAnsi="Garamond"/>
          <w:lang w:val="en-AU"/>
        </w:rPr>
        <w:t xml:space="preserve"> 2017</w:t>
      </w:r>
      <w:proofErr w:type="gramStart"/>
      <w:r w:rsidRPr="004C7F9A">
        <w:rPr>
          <w:rFonts w:ascii="Garamond" w:hAnsi="Garamond"/>
          <w:lang w:val="en-AU"/>
        </w:rPr>
        <w:t>;30</w:t>
      </w:r>
      <w:proofErr w:type="gramEnd"/>
      <w:r w:rsidRPr="004C7F9A">
        <w:rPr>
          <w:rFonts w:ascii="Garamond" w:hAnsi="Garamond"/>
          <w:lang w:val="en-AU"/>
        </w:rPr>
        <w:t>(3):179-86.</w:t>
      </w:r>
    </w:p>
    <w:tbl>
      <w:tblPr>
        <w:tblStyle w:val="TableGrid"/>
        <w:tblW w:w="0" w:type="auto"/>
        <w:tblInd w:w="288" w:type="dxa"/>
        <w:tblLayout w:type="fixed"/>
        <w:tblLook w:val="01E0" w:firstRow="1" w:lastRow="1" w:firstColumn="1" w:lastColumn="1" w:noHBand="0" w:noVBand="0"/>
      </w:tblPr>
      <w:tblGrid>
        <w:gridCol w:w="1080"/>
        <w:gridCol w:w="8280"/>
      </w:tblGrid>
      <w:tr w:rsidR="004C7F9A"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4C7F9A" w:rsidRPr="00D9161E" w:rsidRDefault="004C7F9A" w:rsidP="00AA29F2">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C7F9A" w:rsidRPr="00D9161E" w:rsidRDefault="00AA29F2" w:rsidP="00AA29F2">
            <w:pPr>
              <w:rPr>
                <w:rStyle w:val="Hyperlink"/>
                <w:rFonts w:ascii="Garamond" w:hAnsi="Garamond"/>
                <w:color w:val="auto"/>
                <w:u w:val="none"/>
                <w:lang w:val="en-AU"/>
              </w:rPr>
            </w:pPr>
            <w:hyperlink r:id="rId20" w:history="1">
              <w:r w:rsidR="004C7F9A" w:rsidRPr="00F23EB1">
                <w:rPr>
                  <w:rStyle w:val="Hyperlink"/>
                  <w:rFonts w:ascii="Garamond" w:hAnsi="Garamond"/>
                  <w:lang w:val="en-AU"/>
                </w:rPr>
                <w:t>http://dx.doi.org/10.1177/0951484817715594</w:t>
              </w:r>
            </w:hyperlink>
          </w:p>
        </w:tc>
      </w:tr>
      <w:tr w:rsidR="004C7F9A"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4C7F9A" w:rsidRPr="00D9161E" w:rsidRDefault="004C7F9A"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6240" w:rsidRPr="00D9161E" w:rsidRDefault="00386240" w:rsidP="00A540FD">
            <w:pPr>
              <w:rPr>
                <w:rFonts w:ascii="Garamond" w:hAnsi="Garamond"/>
                <w:lang w:val="en-AU"/>
              </w:rPr>
            </w:pPr>
            <w:r>
              <w:rPr>
                <w:rFonts w:ascii="Garamond" w:hAnsi="Garamond"/>
                <w:lang w:val="en-AU"/>
              </w:rPr>
              <w:t>Paper describing a qualitative study of how ‘quality’ is done in Australian hospitals</w:t>
            </w:r>
            <w:r w:rsidR="000C75F9">
              <w:rPr>
                <w:rFonts w:ascii="Garamond" w:hAnsi="Garamond"/>
                <w:lang w:val="en-AU"/>
              </w:rPr>
              <w:t>, largely influenced by the needs of accreditation</w:t>
            </w:r>
            <w:r>
              <w:rPr>
                <w:rFonts w:ascii="Garamond" w:hAnsi="Garamond"/>
                <w:lang w:val="en-AU"/>
              </w:rPr>
              <w:t xml:space="preserve">. This study, based on </w:t>
            </w:r>
            <w:r w:rsidRPr="00386240">
              <w:rPr>
                <w:rFonts w:ascii="Garamond" w:hAnsi="Garamond"/>
                <w:lang w:val="en-AU"/>
              </w:rPr>
              <w:t>document review, self-evaluation and qualitative data from interviews and focus groups of 270 board members, managers and staff</w:t>
            </w:r>
            <w:r>
              <w:rPr>
                <w:rFonts w:ascii="Garamond" w:hAnsi="Garamond"/>
                <w:lang w:val="en-AU"/>
              </w:rPr>
              <w:t xml:space="preserve">, examined </w:t>
            </w:r>
            <w:r w:rsidRPr="00386240">
              <w:rPr>
                <w:rFonts w:ascii="Garamond" w:hAnsi="Garamond"/>
                <w:lang w:val="en-AU"/>
              </w:rPr>
              <w:t xml:space="preserve">the implementation of quality systems in eight Australian public hospitals. </w:t>
            </w:r>
            <w:r>
              <w:rPr>
                <w:rFonts w:ascii="Garamond" w:hAnsi="Garamond"/>
                <w:lang w:val="en-AU"/>
              </w:rPr>
              <w:t xml:space="preserve">The authors report finding </w:t>
            </w:r>
            <w:r w:rsidR="00A540FD">
              <w:rPr>
                <w:rFonts w:ascii="Garamond" w:hAnsi="Garamond"/>
                <w:lang w:val="en-AU"/>
              </w:rPr>
              <w:t xml:space="preserve"> that </w:t>
            </w:r>
            <w:r>
              <w:rPr>
                <w:rFonts w:ascii="Garamond" w:hAnsi="Garamond"/>
                <w:lang w:val="en-AU"/>
              </w:rPr>
              <w:t>“</w:t>
            </w:r>
            <w:r w:rsidRPr="00386240">
              <w:rPr>
                <w:rFonts w:ascii="Garamond" w:hAnsi="Garamond"/>
                <w:lang w:val="en-AU"/>
              </w:rPr>
              <w:t>‘Quality’ was consistently described as an ‘extra’ set of tasks to do, rather than a means to creating sustained, safe, quality care.</w:t>
            </w:r>
            <w:r>
              <w:rPr>
                <w:rFonts w:ascii="Garamond" w:hAnsi="Garamond"/>
                <w:lang w:val="en-AU"/>
              </w:rPr>
              <w:t xml:space="preserve">” While </w:t>
            </w:r>
            <w:r w:rsidRPr="00386240">
              <w:rPr>
                <w:rFonts w:ascii="Garamond" w:hAnsi="Garamond"/>
                <w:lang w:val="en-AU"/>
              </w:rPr>
              <w:t>goodwill and positive intent</w:t>
            </w:r>
            <w:r>
              <w:rPr>
                <w:rFonts w:ascii="Garamond" w:hAnsi="Garamond"/>
                <w:lang w:val="en-AU"/>
              </w:rPr>
              <w:t xml:space="preserve"> abounded</w:t>
            </w:r>
            <w:r w:rsidRPr="00386240">
              <w:rPr>
                <w:rFonts w:ascii="Garamond" w:hAnsi="Garamond"/>
                <w:lang w:val="en-AU"/>
              </w:rPr>
              <w:t>,</w:t>
            </w:r>
            <w:r>
              <w:rPr>
                <w:rFonts w:ascii="Garamond" w:hAnsi="Garamond"/>
                <w:lang w:val="en-AU"/>
              </w:rPr>
              <w:t>”</w:t>
            </w:r>
            <w:r w:rsidRPr="00386240">
              <w:rPr>
                <w:rFonts w:ascii="Garamond" w:hAnsi="Garamond"/>
                <w:lang w:val="en-AU"/>
              </w:rPr>
              <w:t xml:space="preserve"> a lack of understanding of how to effect change in the complexity of hospitals</w:t>
            </w:r>
            <w:r>
              <w:rPr>
                <w:rFonts w:ascii="Garamond" w:hAnsi="Garamond"/>
                <w:lang w:val="en-AU"/>
              </w:rPr>
              <w:t>…</w:t>
            </w:r>
            <w:r w:rsidRPr="00386240">
              <w:rPr>
                <w:rFonts w:ascii="Garamond" w:hAnsi="Garamond"/>
                <w:lang w:val="en-AU"/>
              </w:rPr>
              <w:t xml:space="preserve">led </w:t>
            </w:r>
            <w:r>
              <w:rPr>
                <w:rFonts w:ascii="Garamond" w:hAnsi="Garamond"/>
                <w:lang w:val="en-AU"/>
              </w:rPr>
              <w:t>…</w:t>
            </w:r>
            <w:r w:rsidRPr="00386240">
              <w:rPr>
                <w:rFonts w:ascii="Garamond" w:hAnsi="Garamond"/>
                <w:lang w:val="en-AU"/>
              </w:rPr>
              <w:t xml:space="preserve">to </w:t>
            </w:r>
            <w:r>
              <w:rPr>
                <w:rFonts w:ascii="Garamond" w:hAnsi="Garamond"/>
                <w:lang w:val="en-AU"/>
              </w:rPr>
              <w:t>…</w:t>
            </w:r>
            <w:r w:rsidRPr="00386240">
              <w:rPr>
                <w:rFonts w:ascii="Garamond" w:hAnsi="Garamond"/>
                <w:lang w:val="en-AU"/>
              </w:rPr>
              <w:t>a technical, top-down approach based on compliance and reactive risk.</w:t>
            </w:r>
            <w:r>
              <w:rPr>
                <w:rFonts w:ascii="Garamond" w:hAnsi="Garamond"/>
                <w:lang w:val="en-AU"/>
              </w:rPr>
              <w:t>”</w:t>
            </w:r>
            <w:r w:rsidR="00A540FD">
              <w:rPr>
                <w:rFonts w:ascii="Garamond" w:hAnsi="Garamond"/>
                <w:lang w:val="en-AU"/>
              </w:rPr>
              <w:t xml:space="preserve"> </w:t>
            </w:r>
            <w:r w:rsidR="00AA29F2">
              <w:rPr>
                <w:rFonts w:ascii="Garamond" w:hAnsi="Garamond"/>
                <w:lang w:val="en-AU"/>
              </w:rPr>
              <w:t>Thus</w:t>
            </w:r>
            <w:r w:rsidR="00A540FD">
              <w:rPr>
                <w:rFonts w:ascii="Garamond" w:hAnsi="Garamond"/>
                <w:lang w:val="en-AU"/>
              </w:rPr>
              <w:t xml:space="preserve"> the challenge may lie in how systems (and leaders) “</w:t>
            </w:r>
            <w:r w:rsidR="00A540FD" w:rsidRPr="00A540FD">
              <w:rPr>
                <w:rFonts w:ascii="Garamond" w:hAnsi="Garamond"/>
                <w:lang w:val="en-AU"/>
              </w:rPr>
              <w:t>supports and encourages meaningful staff</w:t>
            </w:r>
            <w:r w:rsidR="00A540FD">
              <w:rPr>
                <w:rFonts w:ascii="Garamond" w:hAnsi="Garamond"/>
                <w:lang w:val="en-AU"/>
              </w:rPr>
              <w:t xml:space="preserve"> </w:t>
            </w:r>
            <w:r w:rsidR="00A540FD" w:rsidRPr="00A540FD">
              <w:rPr>
                <w:rFonts w:ascii="Garamond" w:hAnsi="Garamond"/>
                <w:lang w:val="en-AU"/>
              </w:rPr>
              <w:t>engagement with creating safe, quality c</w:t>
            </w:r>
            <w:r w:rsidR="00A540FD">
              <w:rPr>
                <w:rFonts w:ascii="Garamond" w:hAnsi="Garamond"/>
                <w:lang w:val="en-AU"/>
              </w:rPr>
              <w:t>are”.</w:t>
            </w:r>
          </w:p>
        </w:tc>
      </w:tr>
    </w:tbl>
    <w:p w:rsidR="00386240" w:rsidRPr="00D9161E" w:rsidRDefault="00386240" w:rsidP="004C7F9A">
      <w:pPr>
        <w:keepNext/>
        <w:rPr>
          <w:rFonts w:ascii="Garamond" w:hAnsi="Garamond"/>
          <w:i/>
          <w:lang w:val="en-AU"/>
        </w:rPr>
      </w:pPr>
    </w:p>
    <w:p w:rsidR="00BB3040" w:rsidRPr="00BB3040" w:rsidRDefault="00BB3040" w:rsidP="00BB3040">
      <w:pPr>
        <w:keepNext/>
        <w:rPr>
          <w:rFonts w:ascii="Garamond" w:hAnsi="Garamond"/>
          <w:i/>
          <w:lang w:val="en-AU"/>
        </w:rPr>
      </w:pPr>
      <w:r w:rsidRPr="00BB3040">
        <w:rPr>
          <w:rFonts w:ascii="Garamond" w:hAnsi="Garamond"/>
          <w:i/>
          <w:lang w:val="en-AU"/>
        </w:rPr>
        <w:t>Performance data and informed consent: a duty to disclose?</w:t>
      </w:r>
    </w:p>
    <w:p w:rsidR="00BB3040" w:rsidRDefault="00BB3040" w:rsidP="00BB3040">
      <w:pPr>
        <w:keepNext/>
        <w:rPr>
          <w:rFonts w:ascii="Garamond" w:hAnsi="Garamond"/>
          <w:lang w:val="en-AU"/>
        </w:rPr>
      </w:pPr>
      <w:r w:rsidRPr="00BB3040">
        <w:rPr>
          <w:rFonts w:ascii="Garamond" w:hAnsi="Garamond"/>
          <w:lang w:val="en-AU"/>
        </w:rPr>
        <w:t>McWhirter RE</w:t>
      </w:r>
    </w:p>
    <w:p w:rsidR="00BB3040" w:rsidRDefault="00BB3040" w:rsidP="00BB3040">
      <w:pPr>
        <w:keepNext/>
        <w:rPr>
          <w:rFonts w:ascii="Garamond" w:hAnsi="Garamond"/>
          <w:lang w:val="en-AU"/>
        </w:rPr>
      </w:pPr>
      <w:proofErr w:type="gramStart"/>
      <w:r w:rsidRPr="00BB3040">
        <w:rPr>
          <w:rFonts w:ascii="Garamond" w:hAnsi="Garamond"/>
          <w:lang w:val="en-AU"/>
        </w:rPr>
        <w:t>Medical Journal of Australia.</w:t>
      </w:r>
      <w:proofErr w:type="gramEnd"/>
      <w:r w:rsidRPr="00BB3040">
        <w:rPr>
          <w:rFonts w:ascii="Garamond" w:hAnsi="Garamond"/>
          <w:lang w:val="en-AU"/>
        </w:rPr>
        <w:t xml:space="preserve"> 2017</w:t>
      </w:r>
      <w:proofErr w:type="gramStart"/>
      <w:r w:rsidRPr="00BB3040">
        <w:rPr>
          <w:rFonts w:ascii="Garamond" w:hAnsi="Garamond"/>
          <w:lang w:val="en-AU"/>
        </w:rPr>
        <w:t>;207</w:t>
      </w:r>
      <w:proofErr w:type="gramEnd"/>
      <w:r w:rsidRPr="00BB3040">
        <w:rPr>
          <w:rFonts w:ascii="Garamond" w:hAnsi="Garamond"/>
          <w:lang w:val="en-AU"/>
        </w:rPr>
        <w:t>(3):100-1.</w:t>
      </w:r>
    </w:p>
    <w:tbl>
      <w:tblPr>
        <w:tblStyle w:val="TableGrid"/>
        <w:tblW w:w="0" w:type="auto"/>
        <w:tblInd w:w="288" w:type="dxa"/>
        <w:tblLayout w:type="fixed"/>
        <w:tblLook w:val="01E0" w:firstRow="1" w:lastRow="1" w:firstColumn="1" w:lastColumn="1" w:noHBand="0" w:noVBand="0"/>
      </w:tblPr>
      <w:tblGrid>
        <w:gridCol w:w="1080"/>
        <w:gridCol w:w="8280"/>
      </w:tblGrid>
      <w:tr w:rsidR="00BB3040"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BB3040" w:rsidRPr="00D9161E" w:rsidRDefault="00BB3040" w:rsidP="00AA29F2">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B3040" w:rsidRPr="00D9161E" w:rsidRDefault="00AA29F2" w:rsidP="00AA29F2">
            <w:pPr>
              <w:rPr>
                <w:rStyle w:val="Hyperlink"/>
                <w:rFonts w:ascii="Garamond" w:hAnsi="Garamond"/>
                <w:color w:val="auto"/>
                <w:u w:val="none"/>
                <w:lang w:val="en-AU"/>
              </w:rPr>
            </w:pPr>
            <w:hyperlink r:id="rId21" w:history="1">
              <w:r w:rsidR="00BB3040" w:rsidRPr="00F23EB1">
                <w:rPr>
                  <w:rStyle w:val="Hyperlink"/>
                  <w:rFonts w:ascii="Garamond" w:hAnsi="Garamond"/>
                  <w:lang w:val="en-AU"/>
                </w:rPr>
                <w:t>http://dx.doi.org/10.5694/mja16.01195</w:t>
              </w:r>
            </w:hyperlink>
          </w:p>
        </w:tc>
      </w:tr>
      <w:tr w:rsidR="00BB3040"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BB3040" w:rsidRPr="00D9161E" w:rsidRDefault="00BB3040"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5353" w:rsidRDefault="00D62F33" w:rsidP="00C75353">
            <w:pPr>
              <w:rPr>
                <w:rFonts w:ascii="Garamond" w:hAnsi="Garamond"/>
                <w:lang w:val="en-AU"/>
              </w:rPr>
            </w:pPr>
            <w:r w:rsidRPr="00F908BB">
              <w:rPr>
                <w:rFonts w:ascii="Garamond" w:hAnsi="Garamond"/>
                <w:lang w:val="en-AU"/>
              </w:rPr>
              <w:t>This article describes some legal precedents for disclosure of past performance, skill or experience to patients considering surgical services.</w:t>
            </w:r>
            <w:r w:rsidR="00F908BB">
              <w:rPr>
                <w:rFonts w:ascii="Garamond" w:hAnsi="Garamond"/>
                <w:lang w:val="en-AU"/>
              </w:rPr>
              <w:t xml:space="preserve"> </w:t>
            </w:r>
            <w:r w:rsidR="000C75F9">
              <w:rPr>
                <w:rFonts w:ascii="Garamond" w:hAnsi="Garamond"/>
                <w:lang w:val="en-AU"/>
              </w:rPr>
              <w:t xml:space="preserve">The author observes: </w:t>
            </w:r>
            <w:r w:rsidR="00C75353">
              <w:rPr>
                <w:rFonts w:ascii="Garamond" w:hAnsi="Garamond"/>
                <w:lang w:val="en-AU"/>
              </w:rPr>
              <w:t>“</w:t>
            </w:r>
            <w:r w:rsidR="00C75353" w:rsidRPr="00C75353">
              <w:rPr>
                <w:rFonts w:ascii="Garamond" w:hAnsi="Garamond"/>
                <w:lang w:val="en-AU"/>
              </w:rPr>
              <w:t>Hospitals, colleges and other institutions increasingly collect, analyse and disseminate data relating to the performance of individual health practitioners, particularly those undertaking surgical procedures. Arguments have long been made for an ethical duty to disclose information regarding a practitioner’s experience or skill to patients as part of the process of informed consent. Significantly, recent developments suggest that practitioners may, in some circumstances, have a legal duty to disclose their performance data to patients</w:t>
            </w:r>
            <w:r w:rsidR="00C75353">
              <w:rPr>
                <w:rFonts w:ascii="Garamond" w:hAnsi="Garamond"/>
                <w:lang w:val="en-AU"/>
              </w:rPr>
              <w:t>.”</w:t>
            </w:r>
          </w:p>
          <w:p w:rsidR="00C75353" w:rsidRPr="00D9161E" w:rsidRDefault="00C75353" w:rsidP="00C75353">
            <w:pPr>
              <w:rPr>
                <w:rFonts w:ascii="Garamond" w:hAnsi="Garamond"/>
                <w:lang w:val="en-AU"/>
              </w:rPr>
            </w:pPr>
            <w:r>
              <w:rPr>
                <w:rFonts w:ascii="Garamond" w:hAnsi="Garamond"/>
                <w:lang w:val="en-AU"/>
              </w:rPr>
              <w:t xml:space="preserve">While this article </w:t>
            </w:r>
            <w:r w:rsidR="00A1099B">
              <w:rPr>
                <w:rFonts w:ascii="Garamond" w:hAnsi="Garamond"/>
                <w:lang w:val="en-AU"/>
              </w:rPr>
              <w:t xml:space="preserve">(cautiously) </w:t>
            </w:r>
            <w:r>
              <w:rPr>
                <w:rFonts w:ascii="Garamond" w:hAnsi="Garamond"/>
                <w:lang w:val="en-AU"/>
              </w:rPr>
              <w:t>suggests greater use of performance data and more patient-centric care, it would seem that the information asymmetry that characterises health care will remain.</w:t>
            </w:r>
          </w:p>
        </w:tc>
      </w:tr>
    </w:tbl>
    <w:p w:rsidR="00C17F2B" w:rsidRPr="000B72FE" w:rsidRDefault="00C17F2B" w:rsidP="00C17F2B">
      <w:pPr>
        <w:keepNext/>
        <w:rPr>
          <w:rFonts w:ascii="Garamond" w:hAnsi="Garamond"/>
          <w:i/>
          <w:lang w:val="en-AU"/>
        </w:rPr>
      </w:pPr>
      <w:r w:rsidRPr="000B72FE">
        <w:rPr>
          <w:rFonts w:ascii="Garamond" w:hAnsi="Garamond"/>
          <w:i/>
          <w:lang w:val="en-AU"/>
        </w:rPr>
        <w:lastRenderedPageBreak/>
        <w:t>What works in implementation of integrated care programs for older adults with complex needs? A realist review</w:t>
      </w:r>
    </w:p>
    <w:p w:rsidR="00C17F2B" w:rsidRDefault="00C17F2B" w:rsidP="00C17F2B">
      <w:pPr>
        <w:keepNext/>
        <w:rPr>
          <w:rFonts w:ascii="Garamond" w:hAnsi="Garamond"/>
          <w:lang w:val="en-AU"/>
        </w:rPr>
      </w:pPr>
      <w:r w:rsidRPr="000B72FE">
        <w:rPr>
          <w:rFonts w:ascii="Garamond" w:hAnsi="Garamond"/>
          <w:lang w:val="en-AU"/>
        </w:rPr>
        <w:t>Kirst M, Im J, Burns T, Baker G</w:t>
      </w:r>
      <w:r>
        <w:rPr>
          <w:rFonts w:ascii="Garamond" w:hAnsi="Garamond"/>
          <w:lang w:val="en-AU"/>
        </w:rPr>
        <w:t>R, Goldhar J, O'Campo P, et al</w:t>
      </w:r>
    </w:p>
    <w:p w:rsidR="00C17F2B" w:rsidRPr="00D9161E" w:rsidRDefault="00C17F2B" w:rsidP="00C17F2B">
      <w:pPr>
        <w:keepNext/>
        <w:rPr>
          <w:rFonts w:ascii="Garamond" w:hAnsi="Garamond"/>
          <w:lang w:val="en-AU"/>
        </w:rPr>
      </w:pPr>
      <w:proofErr w:type="gramStart"/>
      <w:r w:rsidRPr="000B72FE">
        <w:rPr>
          <w:rFonts w:ascii="Garamond" w:hAnsi="Garamond"/>
          <w:lang w:val="en-AU"/>
        </w:rPr>
        <w:t>International Journal for Quality in Health Care.</w:t>
      </w:r>
      <w:proofErr w:type="gramEnd"/>
      <w:r w:rsidRPr="000B72FE">
        <w:rPr>
          <w:rFonts w:ascii="Garamond" w:hAnsi="Garamond"/>
          <w:lang w:val="en-AU"/>
        </w:rPr>
        <w:t xml:space="preserve"> 2017.</w:t>
      </w:r>
    </w:p>
    <w:tbl>
      <w:tblPr>
        <w:tblStyle w:val="TableGrid"/>
        <w:tblW w:w="0" w:type="auto"/>
        <w:tblInd w:w="288" w:type="dxa"/>
        <w:tblLayout w:type="fixed"/>
        <w:tblLook w:val="01E0" w:firstRow="1" w:lastRow="1" w:firstColumn="1" w:lastColumn="1" w:noHBand="0" w:noVBand="0"/>
      </w:tblPr>
      <w:tblGrid>
        <w:gridCol w:w="1080"/>
        <w:gridCol w:w="8280"/>
      </w:tblGrid>
      <w:tr w:rsidR="00C17F2B"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C17F2B" w:rsidRPr="00D9161E" w:rsidRDefault="00C17F2B" w:rsidP="00AA29F2">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17F2B" w:rsidRPr="00D9161E" w:rsidRDefault="00C17F2B" w:rsidP="00AA29F2">
            <w:pPr>
              <w:rPr>
                <w:rStyle w:val="Hyperlink"/>
                <w:rFonts w:ascii="Garamond" w:hAnsi="Garamond"/>
                <w:color w:val="auto"/>
                <w:u w:val="none"/>
                <w:lang w:val="en-AU"/>
              </w:rPr>
            </w:pPr>
            <w:hyperlink r:id="rId22" w:history="1">
              <w:r w:rsidRPr="00832FDA">
                <w:rPr>
                  <w:rStyle w:val="Hyperlink"/>
                  <w:rFonts w:ascii="Garamond" w:hAnsi="Garamond"/>
                  <w:lang w:val="en-AU"/>
                </w:rPr>
                <w:t>https://doi.org/10.1093/intqhc/mzx095</w:t>
              </w:r>
            </w:hyperlink>
          </w:p>
        </w:tc>
      </w:tr>
      <w:tr w:rsidR="00C17F2B"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C17F2B" w:rsidRPr="00D9161E" w:rsidRDefault="00C17F2B"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17F2B" w:rsidRPr="00D9161E" w:rsidRDefault="00C17F2B" w:rsidP="00AA29F2">
            <w:pPr>
              <w:rPr>
                <w:rFonts w:ascii="Garamond" w:hAnsi="Garamond"/>
                <w:lang w:val="en-AU"/>
              </w:rPr>
            </w:pPr>
            <w:r>
              <w:rPr>
                <w:rFonts w:ascii="Garamond" w:hAnsi="Garamond"/>
                <w:lang w:val="en-AU"/>
              </w:rPr>
              <w:t>Integrated care is seen by many as a means for improving care, particularly for those with chronic and/or complex care needs. This article describes a ‘</w:t>
            </w:r>
            <w:r w:rsidRPr="000B72FE">
              <w:rPr>
                <w:rFonts w:ascii="Garamond" w:hAnsi="Garamond"/>
                <w:lang w:val="en-AU"/>
              </w:rPr>
              <w:t>realist</w:t>
            </w:r>
            <w:r>
              <w:rPr>
                <w:rFonts w:ascii="Garamond" w:hAnsi="Garamond"/>
                <w:lang w:val="en-AU"/>
              </w:rPr>
              <w:t>’</w:t>
            </w:r>
            <w:r w:rsidRPr="000B72FE">
              <w:rPr>
                <w:rFonts w:ascii="Garamond" w:hAnsi="Garamond"/>
                <w:lang w:val="en-AU"/>
              </w:rPr>
              <w:t xml:space="preserve"> review of the evaluative evidence on integrated care (IC) programs for older adults </w:t>
            </w:r>
            <w:r>
              <w:rPr>
                <w:rFonts w:ascii="Garamond" w:hAnsi="Garamond"/>
                <w:lang w:val="en-AU"/>
              </w:rPr>
              <w:t xml:space="preserve">that sought </w:t>
            </w:r>
            <w:r w:rsidRPr="000B72FE">
              <w:rPr>
                <w:rFonts w:ascii="Garamond" w:hAnsi="Garamond"/>
                <w:lang w:val="en-AU"/>
              </w:rPr>
              <w:t xml:space="preserve">to identify key processes </w:t>
            </w:r>
            <w:r>
              <w:rPr>
                <w:rFonts w:ascii="Garamond" w:hAnsi="Garamond"/>
                <w:lang w:val="en-AU"/>
              </w:rPr>
              <w:t xml:space="preserve">leading to </w:t>
            </w:r>
            <w:r w:rsidRPr="000B72FE">
              <w:rPr>
                <w:rFonts w:ascii="Garamond" w:hAnsi="Garamond"/>
                <w:lang w:val="en-AU"/>
              </w:rPr>
              <w:t>the success or failure of these programs in achieving outcomes such as reduced healthcare utili</w:t>
            </w:r>
            <w:r>
              <w:rPr>
                <w:rFonts w:ascii="Garamond" w:hAnsi="Garamond"/>
                <w:lang w:val="en-AU"/>
              </w:rPr>
              <w:t>s</w:t>
            </w:r>
            <w:r w:rsidRPr="000B72FE">
              <w:rPr>
                <w:rFonts w:ascii="Garamond" w:hAnsi="Garamond"/>
                <w:lang w:val="en-AU"/>
              </w:rPr>
              <w:t>ation, improved patient health, and improved patient and caregiver experience.</w:t>
            </w:r>
            <w:r>
              <w:rPr>
                <w:rFonts w:ascii="Garamond" w:hAnsi="Garamond"/>
                <w:lang w:val="en-AU"/>
              </w:rPr>
              <w:t xml:space="preserve"> From the 65 articles analysed, the review found </w:t>
            </w:r>
            <w:r w:rsidRPr="000B72FE">
              <w:rPr>
                <w:rFonts w:ascii="Garamond" w:hAnsi="Garamond"/>
                <w:lang w:val="en-AU"/>
              </w:rPr>
              <w:t xml:space="preserve">trusting </w:t>
            </w:r>
            <w:r w:rsidRPr="00C17F2B">
              <w:rPr>
                <w:rFonts w:ascii="Garamond" w:hAnsi="Garamond"/>
                <w:b/>
                <w:lang w:val="en-AU"/>
              </w:rPr>
              <w:t>multidisciplinary team relationships</w:t>
            </w:r>
            <w:r w:rsidRPr="000B72FE">
              <w:rPr>
                <w:rFonts w:ascii="Garamond" w:hAnsi="Garamond"/>
                <w:lang w:val="en-AU"/>
              </w:rPr>
              <w:t xml:space="preserve"> and </w:t>
            </w:r>
            <w:r w:rsidRPr="00C17F2B">
              <w:rPr>
                <w:rFonts w:ascii="Garamond" w:hAnsi="Garamond"/>
                <w:b/>
                <w:lang w:val="en-AU"/>
              </w:rPr>
              <w:t>provider commitment</w:t>
            </w:r>
            <w:r w:rsidRPr="000B72FE">
              <w:rPr>
                <w:rFonts w:ascii="Garamond" w:hAnsi="Garamond"/>
                <w:lang w:val="en-AU"/>
              </w:rPr>
              <w:t xml:space="preserve"> to and understanding of the model</w:t>
            </w:r>
            <w:r>
              <w:rPr>
                <w:rFonts w:ascii="Garamond" w:hAnsi="Garamond"/>
                <w:lang w:val="en-AU"/>
              </w:rPr>
              <w:t xml:space="preserve"> were important, along with c</w:t>
            </w:r>
            <w:r w:rsidRPr="000B72FE">
              <w:rPr>
                <w:rFonts w:ascii="Garamond" w:hAnsi="Garamond"/>
                <w:lang w:val="en-AU"/>
              </w:rPr>
              <w:t xml:space="preserve">ontextual factors such as </w:t>
            </w:r>
            <w:r>
              <w:rPr>
                <w:rFonts w:ascii="Garamond" w:hAnsi="Garamond"/>
                <w:lang w:val="en-AU"/>
              </w:rPr>
              <w:t>“</w:t>
            </w:r>
            <w:r w:rsidRPr="000B72FE">
              <w:rPr>
                <w:rFonts w:ascii="Garamond" w:hAnsi="Garamond"/>
                <w:lang w:val="en-AU"/>
              </w:rPr>
              <w:t xml:space="preserve">strong </w:t>
            </w:r>
            <w:r w:rsidRPr="00C17F2B">
              <w:rPr>
                <w:rFonts w:ascii="Garamond" w:hAnsi="Garamond"/>
                <w:b/>
                <w:lang w:val="en-AU"/>
              </w:rPr>
              <w:t>leadership</w:t>
            </w:r>
            <w:r w:rsidRPr="000B72FE">
              <w:rPr>
                <w:rFonts w:ascii="Garamond" w:hAnsi="Garamond"/>
                <w:lang w:val="en-AU"/>
              </w:rPr>
              <w:t xml:space="preserve"> that sets clear goals and establishes an organizational </w:t>
            </w:r>
            <w:r w:rsidRPr="00C17F2B">
              <w:rPr>
                <w:rFonts w:ascii="Garamond" w:hAnsi="Garamond"/>
                <w:b/>
                <w:lang w:val="en-AU"/>
              </w:rPr>
              <w:t>culture</w:t>
            </w:r>
            <w:r w:rsidRPr="000B72FE">
              <w:rPr>
                <w:rFonts w:ascii="Garamond" w:hAnsi="Garamond"/>
                <w:lang w:val="en-AU"/>
              </w:rPr>
              <w:t xml:space="preserve"> in support of the program, along with joint </w:t>
            </w:r>
            <w:r w:rsidRPr="00C17F2B">
              <w:rPr>
                <w:rFonts w:ascii="Garamond" w:hAnsi="Garamond"/>
                <w:b/>
                <w:lang w:val="en-AU"/>
              </w:rPr>
              <w:t>governance</w:t>
            </w:r>
            <w:r w:rsidRPr="000B72FE">
              <w:rPr>
                <w:rFonts w:ascii="Garamond" w:hAnsi="Garamond"/>
                <w:lang w:val="en-AU"/>
              </w:rPr>
              <w:t xml:space="preserve"> structures, supported </w:t>
            </w:r>
            <w:r w:rsidRPr="00E761CB">
              <w:rPr>
                <w:rFonts w:ascii="Garamond" w:hAnsi="Garamond"/>
                <w:b/>
                <w:lang w:val="en-AU"/>
              </w:rPr>
              <w:t xml:space="preserve">team </w:t>
            </w:r>
            <w:r w:rsidRPr="00C17F2B">
              <w:rPr>
                <w:rFonts w:ascii="Garamond" w:hAnsi="Garamond"/>
                <w:b/>
                <w:lang w:val="en-AU"/>
              </w:rPr>
              <w:t>collaboration</w:t>
            </w:r>
            <w:r w:rsidRPr="000B72FE">
              <w:rPr>
                <w:rFonts w:ascii="Garamond" w:hAnsi="Garamond"/>
                <w:lang w:val="en-AU"/>
              </w:rPr>
              <w:t xml:space="preserve"> and subsequent successful implementation. Furthermore, </w:t>
            </w:r>
            <w:r w:rsidRPr="00C17F2B">
              <w:rPr>
                <w:rFonts w:ascii="Garamond" w:hAnsi="Garamond"/>
                <w:b/>
                <w:lang w:val="en-AU"/>
              </w:rPr>
              <w:t>time</w:t>
            </w:r>
            <w:r w:rsidRPr="000B72FE">
              <w:rPr>
                <w:rFonts w:ascii="Garamond" w:hAnsi="Garamond"/>
                <w:lang w:val="en-AU"/>
              </w:rPr>
              <w:t xml:space="preserve"> to build an infrastructure to implement and </w:t>
            </w:r>
            <w:r w:rsidRPr="00C17F2B">
              <w:rPr>
                <w:rFonts w:ascii="Garamond" w:hAnsi="Garamond"/>
                <w:b/>
                <w:lang w:val="en-AU"/>
              </w:rPr>
              <w:t>flexibility</w:t>
            </w:r>
            <w:r w:rsidRPr="000B72FE">
              <w:rPr>
                <w:rFonts w:ascii="Garamond" w:hAnsi="Garamond"/>
                <w:lang w:val="en-AU"/>
              </w:rPr>
              <w:t xml:space="preserve"> in implementation, emerged as key processes instrumental to success of these programs.</w:t>
            </w:r>
            <w:r>
              <w:rPr>
                <w:rFonts w:ascii="Garamond" w:hAnsi="Garamond"/>
                <w:lang w:val="en-AU"/>
              </w:rPr>
              <w:t>”</w:t>
            </w:r>
          </w:p>
        </w:tc>
      </w:tr>
    </w:tbl>
    <w:p w:rsidR="00C17F2B" w:rsidRPr="00D9161E" w:rsidRDefault="00C17F2B" w:rsidP="00C17F2B">
      <w:pPr>
        <w:keepNext/>
        <w:rPr>
          <w:rFonts w:ascii="Garamond" w:hAnsi="Garamond"/>
          <w:i/>
          <w:lang w:val="en-AU"/>
        </w:rPr>
      </w:pPr>
    </w:p>
    <w:p w:rsidR="00A8223C" w:rsidRPr="00A8223C" w:rsidRDefault="00A8223C" w:rsidP="00A8223C">
      <w:pPr>
        <w:keepNext/>
        <w:rPr>
          <w:rFonts w:ascii="Garamond" w:hAnsi="Garamond"/>
          <w:i/>
          <w:lang w:val="en-AU"/>
        </w:rPr>
      </w:pPr>
      <w:r w:rsidRPr="00A8223C">
        <w:rPr>
          <w:rFonts w:ascii="Garamond" w:hAnsi="Garamond"/>
          <w:i/>
          <w:lang w:val="en-AU"/>
        </w:rPr>
        <w:t>Sharing the process of diagnostic decision making</w:t>
      </w:r>
    </w:p>
    <w:p w:rsidR="00A8223C" w:rsidRDefault="00A8223C" w:rsidP="00A8223C">
      <w:pPr>
        <w:keepNext/>
        <w:rPr>
          <w:rFonts w:ascii="Garamond" w:hAnsi="Garamond"/>
          <w:lang w:val="en-AU"/>
        </w:rPr>
      </w:pPr>
      <w:r w:rsidRPr="00A8223C">
        <w:rPr>
          <w:rFonts w:ascii="Garamond" w:hAnsi="Garamond"/>
          <w:lang w:val="en-AU"/>
        </w:rPr>
        <w:t>Brush JE, Jr, Brophy JM</w:t>
      </w:r>
    </w:p>
    <w:p w:rsidR="00A8223C" w:rsidRPr="00D9161E" w:rsidRDefault="00A8223C" w:rsidP="00A8223C">
      <w:pPr>
        <w:keepNext/>
        <w:rPr>
          <w:rFonts w:ascii="Garamond" w:hAnsi="Garamond"/>
          <w:lang w:val="en-AU"/>
        </w:rPr>
      </w:pPr>
      <w:proofErr w:type="gramStart"/>
      <w:r w:rsidRPr="00A8223C">
        <w:rPr>
          <w:rFonts w:ascii="Garamond" w:hAnsi="Garamond"/>
          <w:lang w:val="en-AU"/>
        </w:rPr>
        <w:t>JAMA Internal Medicine.</w:t>
      </w:r>
      <w:proofErr w:type="gramEnd"/>
      <w:r w:rsidRPr="00A8223C">
        <w:rPr>
          <w:rFonts w:ascii="Garamond" w:hAnsi="Garamond"/>
          <w:lang w:val="en-AU"/>
        </w:rPr>
        <w:t xml:space="preserve"> 2017.</w:t>
      </w:r>
    </w:p>
    <w:tbl>
      <w:tblPr>
        <w:tblStyle w:val="TableGrid"/>
        <w:tblW w:w="0" w:type="auto"/>
        <w:tblInd w:w="288" w:type="dxa"/>
        <w:tblLayout w:type="fixed"/>
        <w:tblLook w:val="01E0" w:firstRow="1" w:lastRow="1" w:firstColumn="1" w:lastColumn="1" w:noHBand="0" w:noVBand="0"/>
      </w:tblPr>
      <w:tblGrid>
        <w:gridCol w:w="1080"/>
        <w:gridCol w:w="8280"/>
      </w:tblGrid>
      <w:tr w:rsidR="00A8223C"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A8223C" w:rsidRPr="00D9161E" w:rsidRDefault="00A8223C" w:rsidP="00AA29F2">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8223C" w:rsidRPr="00D9161E" w:rsidRDefault="00A8223C" w:rsidP="00AA29F2">
            <w:pPr>
              <w:rPr>
                <w:rStyle w:val="Hyperlink"/>
                <w:rFonts w:ascii="Garamond" w:hAnsi="Garamond"/>
                <w:color w:val="auto"/>
                <w:u w:val="none"/>
                <w:lang w:val="en-AU"/>
              </w:rPr>
            </w:pPr>
            <w:hyperlink r:id="rId23" w:history="1">
              <w:r w:rsidRPr="00832FDA">
                <w:rPr>
                  <w:rStyle w:val="Hyperlink"/>
                  <w:rFonts w:ascii="Garamond" w:hAnsi="Garamond"/>
                  <w:lang w:val="en-AU"/>
                </w:rPr>
                <w:t>http://dx.doi.org/10.1001/jamainternmed.2017.1929</w:t>
              </w:r>
            </w:hyperlink>
          </w:p>
        </w:tc>
      </w:tr>
      <w:tr w:rsidR="00A8223C"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A8223C" w:rsidRPr="00D9161E" w:rsidRDefault="00A8223C"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223C" w:rsidRPr="00D9161E" w:rsidRDefault="00A8223C" w:rsidP="00E761CB">
            <w:pPr>
              <w:rPr>
                <w:rFonts w:ascii="Garamond" w:hAnsi="Garamond"/>
                <w:lang w:val="en-AU"/>
              </w:rPr>
            </w:pPr>
            <w:r>
              <w:rPr>
                <w:rFonts w:ascii="Garamond" w:hAnsi="Garamond"/>
                <w:lang w:val="en-AU"/>
              </w:rPr>
              <w:t>The sharing of decision making has been widely encouraged when it comes to decisions about whether to treat and what treatment options to use. This viewpoint article suggests extending the shared decision making process back to an earlier point in the clinical process to that of diagnosis. The authors believe sharing the diagnosis process with patients will contribute to better diagnoses and “</w:t>
            </w:r>
            <w:r w:rsidRPr="00A8223C">
              <w:rPr>
                <w:rFonts w:ascii="Garamond" w:hAnsi="Garamond"/>
                <w:lang w:val="en-AU"/>
              </w:rPr>
              <w:t>For clinicians, thoroughly understanding each step can help them look critically at their own practice, hone their skills, improve their performance, and involve patients and families in the process.</w:t>
            </w:r>
            <w:r>
              <w:rPr>
                <w:rFonts w:ascii="Garamond" w:hAnsi="Garamond"/>
                <w:lang w:val="en-AU"/>
              </w:rPr>
              <w:t>” The author</w:t>
            </w:r>
            <w:r w:rsidR="00E761CB">
              <w:rPr>
                <w:rFonts w:ascii="Garamond" w:hAnsi="Garamond"/>
                <w:lang w:val="en-AU"/>
              </w:rPr>
              <w:t>s</w:t>
            </w:r>
            <w:r>
              <w:rPr>
                <w:rFonts w:ascii="Garamond" w:hAnsi="Garamond"/>
                <w:lang w:val="en-AU"/>
              </w:rPr>
              <w:t xml:space="preserve"> do discuss some of the issues and challenges, one of which is likely to be that of dealing with uncertainty and probabilities.</w:t>
            </w:r>
          </w:p>
        </w:tc>
      </w:tr>
    </w:tbl>
    <w:p w:rsidR="00A8223C" w:rsidRDefault="00A8223C" w:rsidP="00A8223C">
      <w:pPr>
        <w:keepNext/>
        <w:rPr>
          <w:rFonts w:ascii="Garamond" w:hAnsi="Garamond"/>
          <w:i/>
          <w:lang w:val="en-AU"/>
        </w:rPr>
      </w:pPr>
    </w:p>
    <w:p w:rsidR="00A8223C" w:rsidRDefault="00A8223C" w:rsidP="00A8223C">
      <w:pPr>
        <w:keepNext/>
        <w:rPr>
          <w:rFonts w:ascii="Garamond" w:hAnsi="Garamond"/>
          <w:lang w:val="en-AU"/>
        </w:rPr>
      </w:pPr>
      <w:r w:rsidRPr="00D9161E">
        <w:rPr>
          <w:rFonts w:ascii="Garamond" w:hAnsi="Garamond"/>
          <w:lang w:val="en-AU"/>
        </w:rPr>
        <w:t>For information the Commission’s work on</w:t>
      </w:r>
      <w:r>
        <w:rPr>
          <w:rFonts w:ascii="Garamond" w:hAnsi="Garamond"/>
          <w:lang w:val="en-AU"/>
        </w:rPr>
        <w:t xml:space="preserve"> shared decision making, see </w:t>
      </w:r>
      <w:hyperlink r:id="rId24" w:history="1">
        <w:r w:rsidRPr="00832FDA">
          <w:rPr>
            <w:rStyle w:val="Hyperlink"/>
            <w:rFonts w:ascii="Garamond" w:hAnsi="Garamond"/>
            <w:lang w:val="en-AU"/>
          </w:rPr>
          <w:t>https://www.safetyandquality.gov.au/our-work/shared-decision-making/</w:t>
        </w:r>
      </w:hyperlink>
    </w:p>
    <w:p w:rsidR="00A8223C" w:rsidRDefault="00A8223C" w:rsidP="004C7F9A">
      <w:pPr>
        <w:keepNext/>
        <w:rPr>
          <w:rFonts w:ascii="Garamond" w:hAnsi="Garamond"/>
          <w:i/>
          <w:lang w:val="en-AU"/>
        </w:rPr>
      </w:pPr>
    </w:p>
    <w:p w:rsidR="00A8223C" w:rsidRPr="002864A3" w:rsidRDefault="00A8223C" w:rsidP="00A8223C">
      <w:pPr>
        <w:keepNext/>
        <w:rPr>
          <w:rFonts w:ascii="Garamond" w:hAnsi="Garamond"/>
          <w:i/>
          <w:lang w:val="en-AU"/>
        </w:rPr>
      </w:pPr>
      <w:r w:rsidRPr="002864A3">
        <w:rPr>
          <w:rFonts w:ascii="Garamond" w:hAnsi="Garamond"/>
          <w:i/>
          <w:lang w:val="en-AU"/>
        </w:rPr>
        <w:t xml:space="preserve">End-Of-Life Medical Spending In Last Twelve Months </w:t>
      </w:r>
      <w:proofErr w:type="gramStart"/>
      <w:r w:rsidRPr="002864A3">
        <w:rPr>
          <w:rFonts w:ascii="Garamond" w:hAnsi="Garamond"/>
          <w:i/>
          <w:lang w:val="en-AU"/>
        </w:rPr>
        <w:t>Of</w:t>
      </w:r>
      <w:proofErr w:type="gramEnd"/>
      <w:r w:rsidRPr="002864A3">
        <w:rPr>
          <w:rFonts w:ascii="Garamond" w:hAnsi="Garamond"/>
          <w:i/>
          <w:lang w:val="en-AU"/>
        </w:rPr>
        <w:t xml:space="preserve"> Life Is Lower Than Previously Reported</w:t>
      </w:r>
    </w:p>
    <w:p w:rsidR="00A8223C" w:rsidRDefault="00A8223C" w:rsidP="00A8223C">
      <w:pPr>
        <w:keepNext/>
        <w:rPr>
          <w:rFonts w:ascii="Garamond" w:hAnsi="Garamond"/>
          <w:lang w:val="en-AU"/>
        </w:rPr>
      </w:pPr>
      <w:r w:rsidRPr="002864A3">
        <w:rPr>
          <w:rFonts w:ascii="Garamond" w:hAnsi="Garamond"/>
          <w:lang w:val="en-AU"/>
        </w:rPr>
        <w:t>French EB, McCauley J, Aragon M, Bakx P, Chalkley M, Chen SH, et al</w:t>
      </w:r>
    </w:p>
    <w:p w:rsidR="00A8223C" w:rsidRPr="00D9161E" w:rsidRDefault="00A8223C" w:rsidP="00A8223C">
      <w:pPr>
        <w:keepNext/>
        <w:rPr>
          <w:rFonts w:ascii="Garamond" w:hAnsi="Garamond"/>
          <w:lang w:val="en-AU"/>
        </w:rPr>
      </w:pPr>
      <w:proofErr w:type="gramStart"/>
      <w:r w:rsidRPr="002864A3">
        <w:rPr>
          <w:rFonts w:ascii="Garamond" w:hAnsi="Garamond"/>
          <w:lang w:val="en-AU"/>
        </w:rPr>
        <w:t>Health Affairs.</w:t>
      </w:r>
      <w:proofErr w:type="gramEnd"/>
      <w:r w:rsidRPr="002864A3">
        <w:rPr>
          <w:rFonts w:ascii="Garamond" w:hAnsi="Garamond"/>
          <w:lang w:val="en-AU"/>
        </w:rPr>
        <w:t xml:space="preserve"> 2017 July 1, 2017</w:t>
      </w:r>
      <w:proofErr w:type="gramStart"/>
      <w:r w:rsidRPr="002864A3">
        <w:rPr>
          <w:rFonts w:ascii="Garamond" w:hAnsi="Garamond"/>
          <w:lang w:val="en-AU"/>
        </w:rPr>
        <w:t>;36</w:t>
      </w:r>
      <w:proofErr w:type="gramEnd"/>
      <w:r w:rsidRPr="002864A3">
        <w:rPr>
          <w:rFonts w:ascii="Garamond" w:hAnsi="Garamond"/>
          <w:lang w:val="en-AU"/>
        </w:rPr>
        <w:t>(7):1211-7.</w:t>
      </w:r>
    </w:p>
    <w:tbl>
      <w:tblPr>
        <w:tblStyle w:val="TableGrid"/>
        <w:tblW w:w="0" w:type="auto"/>
        <w:tblInd w:w="288" w:type="dxa"/>
        <w:tblLayout w:type="fixed"/>
        <w:tblLook w:val="01E0" w:firstRow="1" w:lastRow="1" w:firstColumn="1" w:lastColumn="1" w:noHBand="0" w:noVBand="0"/>
      </w:tblPr>
      <w:tblGrid>
        <w:gridCol w:w="1080"/>
        <w:gridCol w:w="8280"/>
      </w:tblGrid>
      <w:tr w:rsidR="00A8223C"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A8223C" w:rsidRPr="00D9161E" w:rsidRDefault="00A8223C" w:rsidP="00AA29F2">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8223C" w:rsidRPr="00D9161E" w:rsidRDefault="00E761CB" w:rsidP="00E761CB">
            <w:pPr>
              <w:rPr>
                <w:rStyle w:val="Hyperlink"/>
                <w:rFonts w:ascii="Garamond" w:hAnsi="Garamond"/>
                <w:color w:val="auto"/>
                <w:u w:val="none"/>
                <w:lang w:val="en-AU"/>
              </w:rPr>
            </w:pPr>
            <w:hyperlink r:id="rId25" w:history="1">
              <w:r w:rsidRPr="00832FDA">
                <w:rPr>
                  <w:rStyle w:val="Hyperlink"/>
                  <w:rFonts w:ascii="Garamond" w:hAnsi="Garamond"/>
                  <w:lang w:val="en-AU"/>
                </w:rPr>
                <w:t>http://dx.doi.org/10.1377/hlthaff.2017.0174</w:t>
              </w:r>
            </w:hyperlink>
          </w:p>
        </w:tc>
      </w:tr>
      <w:tr w:rsidR="00A8223C"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A8223C" w:rsidRPr="00D9161E" w:rsidRDefault="00A8223C"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223C" w:rsidRPr="00D9161E" w:rsidRDefault="00A8223C" w:rsidP="00AA29F2">
            <w:pPr>
              <w:rPr>
                <w:rFonts w:ascii="Garamond" w:hAnsi="Garamond"/>
                <w:lang w:val="en-AU"/>
              </w:rPr>
            </w:pPr>
            <w:r>
              <w:rPr>
                <w:rFonts w:ascii="Garamond" w:hAnsi="Garamond"/>
                <w:lang w:val="en-AU"/>
              </w:rPr>
              <w:t>There has been a pervasive belief that health spending in the last year of life represents a large proportion of total health spending. This study examined health spending in nine countries found that “s</w:t>
            </w:r>
            <w:r w:rsidRPr="002864A3">
              <w:rPr>
                <w:rFonts w:ascii="Garamond" w:hAnsi="Garamond"/>
                <w:lang w:val="en-AU"/>
              </w:rPr>
              <w:t xml:space="preserve">pending in the </w:t>
            </w:r>
            <w:r w:rsidRPr="002864A3">
              <w:rPr>
                <w:rFonts w:ascii="Garamond" w:hAnsi="Garamond"/>
                <w:b/>
                <w:lang w:val="en-AU"/>
              </w:rPr>
              <w:t>last twelve months of life</w:t>
            </w:r>
            <w:r w:rsidRPr="002864A3">
              <w:rPr>
                <w:rFonts w:ascii="Garamond" w:hAnsi="Garamond"/>
                <w:lang w:val="en-AU"/>
              </w:rPr>
              <w:t xml:space="preserve"> accounted for </w:t>
            </w:r>
            <w:r w:rsidRPr="002864A3">
              <w:rPr>
                <w:rFonts w:ascii="Garamond" w:hAnsi="Garamond"/>
                <w:b/>
                <w:lang w:val="en-AU"/>
              </w:rPr>
              <w:t>8.5–11.2</w:t>
            </w:r>
            <w:r w:rsidRPr="002864A3">
              <w:rPr>
                <w:rFonts w:ascii="Garamond" w:hAnsi="Garamond"/>
                <w:lang w:val="en-AU"/>
              </w:rPr>
              <w:t xml:space="preserve"> percent of overall</w:t>
            </w:r>
            <w:r>
              <w:rPr>
                <w:rFonts w:ascii="Garamond" w:hAnsi="Garamond"/>
                <w:lang w:val="en-AU"/>
              </w:rPr>
              <w:t>” whereas “</w:t>
            </w:r>
            <w:r w:rsidRPr="002864A3">
              <w:rPr>
                <w:rFonts w:ascii="Garamond" w:hAnsi="Garamond"/>
                <w:lang w:val="en-AU"/>
              </w:rPr>
              <w:t xml:space="preserve">spending in the </w:t>
            </w:r>
            <w:r w:rsidRPr="002864A3">
              <w:rPr>
                <w:rFonts w:ascii="Garamond" w:hAnsi="Garamond"/>
                <w:b/>
                <w:lang w:val="en-AU"/>
              </w:rPr>
              <w:t>last three years of life</w:t>
            </w:r>
            <w:r w:rsidRPr="002864A3">
              <w:rPr>
                <w:rFonts w:ascii="Garamond" w:hAnsi="Garamond"/>
                <w:lang w:val="en-AU"/>
              </w:rPr>
              <w:t xml:space="preserve"> accounted for as much as </w:t>
            </w:r>
            <w:r w:rsidRPr="002864A3">
              <w:rPr>
                <w:rFonts w:ascii="Garamond" w:hAnsi="Garamond"/>
                <w:b/>
                <w:lang w:val="en-AU"/>
              </w:rPr>
              <w:t>24.5 percent</w:t>
            </w:r>
            <w:r w:rsidRPr="002864A3">
              <w:rPr>
                <w:rFonts w:ascii="Garamond" w:hAnsi="Garamond"/>
                <w:lang w:val="en-AU"/>
              </w:rPr>
              <w:t xml:space="preserve"> of overall costs</w:t>
            </w:r>
            <w:r>
              <w:rPr>
                <w:rFonts w:ascii="Garamond" w:hAnsi="Garamond"/>
                <w:lang w:val="en-AU"/>
              </w:rPr>
              <w:t>”. The authors argue that this “</w:t>
            </w:r>
            <w:r w:rsidRPr="002864A3">
              <w:rPr>
                <w:rFonts w:ascii="Garamond" w:hAnsi="Garamond"/>
                <w:lang w:val="en-AU"/>
              </w:rPr>
              <w:t>suggests that the focus should be on reducing the costs of caring for people with chronic conditions—many of whom are approaching death</w:t>
            </w:r>
            <w:r>
              <w:rPr>
                <w:rFonts w:ascii="Garamond" w:hAnsi="Garamond"/>
                <w:lang w:val="en-AU"/>
              </w:rPr>
              <w:t>”</w:t>
            </w:r>
            <w:r w:rsidRPr="002864A3">
              <w:rPr>
                <w:rFonts w:ascii="Garamond" w:hAnsi="Garamond"/>
                <w:lang w:val="en-AU"/>
              </w:rPr>
              <w:t>.</w:t>
            </w:r>
            <w:r>
              <w:rPr>
                <w:rFonts w:ascii="Garamond" w:hAnsi="Garamond"/>
                <w:lang w:val="en-AU"/>
              </w:rPr>
              <w:t xml:space="preserve"> Consequently, </w:t>
            </w:r>
            <w:proofErr w:type="gramStart"/>
            <w:r>
              <w:rPr>
                <w:rFonts w:ascii="Garamond" w:hAnsi="Garamond"/>
                <w:lang w:val="en-AU"/>
              </w:rPr>
              <w:t>a change of end-of-life care</w:t>
            </w:r>
            <w:proofErr w:type="gramEnd"/>
            <w:r>
              <w:rPr>
                <w:rFonts w:ascii="Garamond" w:hAnsi="Garamond"/>
                <w:lang w:val="en-AU"/>
              </w:rPr>
              <w:t xml:space="preserve"> such that “</w:t>
            </w:r>
            <w:r w:rsidRPr="002864A3">
              <w:rPr>
                <w:rFonts w:ascii="Garamond" w:hAnsi="Garamond"/>
                <w:lang w:val="en-AU"/>
              </w:rPr>
              <w:t>an appropriate mix of long-term care, hospice, and home care would ensure that only those patients who wanted and needed to be in hospitals were treated there. The primary payoff would be better quality care, along with modestly lower costs.</w:t>
            </w:r>
            <w:r>
              <w:rPr>
                <w:rFonts w:ascii="Garamond" w:hAnsi="Garamond"/>
                <w:lang w:val="en-AU"/>
              </w:rPr>
              <w:t>”</w:t>
            </w:r>
          </w:p>
        </w:tc>
      </w:tr>
    </w:tbl>
    <w:p w:rsidR="00A8223C" w:rsidRDefault="00A8223C" w:rsidP="00A8223C">
      <w:pPr>
        <w:keepNext/>
        <w:rPr>
          <w:rFonts w:ascii="Garamond" w:hAnsi="Garamond"/>
          <w:lang w:val="en-AU"/>
        </w:rPr>
      </w:pPr>
      <w:r w:rsidRPr="00D9161E">
        <w:rPr>
          <w:rFonts w:ascii="Garamond" w:hAnsi="Garamond"/>
          <w:lang w:val="en-AU"/>
        </w:rPr>
        <w:lastRenderedPageBreak/>
        <w:t>For information the Commission’s work on</w:t>
      </w:r>
      <w:r>
        <w:rPr>
          <w:rFonts w:ascii="Garamond" w:hAnsi="Garamond"/>
          <w:lang w:val="en-AU"/>
        </w:rPr>
        <w:t xml:space="preserve"> end of life care, including t</w:t>
      </w:r>
      <w:r w:rsidRPr="002864A3">
        <w:rPr>
          <w:rFonts w:ascii="Garamond" w:hAnsi="Garamond"/>
          <w:lang w:val="en-AU"/>
        </w:rPr>
        <w:t xml:space="preserve">he </w:t>
      </w:r>
      <w:r w:rsidRPr="002864A3">
        <w:rPr>
          <w:rFonts w:ascii="Garamond" w:hAnsi="Garamond"/>
          <w:i/>
          <w:lang w:val="en-AU"/>
        </w:rPr>
        <w:t>National Consensus Statement: Essential elements for safe and high-quality end-of-life care</w:t>
      </w:r>
      <w:r>
        <w:rPr>
          <w:rFonts w:ascii="Garamond" w:hAnsi="Garamond"/>
          <w:lang w:val="en-AU"/>
        </w:rPr>
        <w:t>,</w:t>
      </w:r>
      <w:r w:rsidRPr="002864A3">
        <w:rPr>
          <w:rFonts w:ascii="Garamond" w:hAnsi="Garamond"/>
          <w:lang w:val="en-AU"/>
        </w:rPr>
        <w:t xml:space="preserve"> </w:t>
      </w:r>
      <w:r>
        <w:rPr>
          <w:rFonts w:ascii="Garamond" w:hAnsi="Garamond"/>
          <w:lang w:val="en-AU"/>
        </w:rPr>
        <w:t xml:space="preserve">see </w:t>
      </w:r>
      <w:hyperlink r:id="rId26" w:history="1">
        <w:r w:rsidRPr="001B315D">
          <w:rPr>
            <w:rStyle w:val="Hyperlink"/>
            <w:rFonts w:ascii="Garamond" w:hAnsi="Garamond"/>
            <w:lang w:val="en-AU"/>
          </w:rPr>
          <w:t>https://www.safetyandquality.gov.au/our-work/end-of-life-care-in-acute-hospitals/</w:t>
        </w:r>
      </w:hyperlink>
    </w:p>
    <w:p w:rsidR="00A8223C" w:rsidRPr="00D9161E" w:rsidRDefault="00A8223C" w:rsidP="00A8223C">
      <w:pPr>
        <w:keepNext/>
        <w:rPr>
          <w:rFonts w:ascii="Garamond" w:hAnsi="Garamond"/>
          <w:i/>
          <w:lang w:val="en-AU"/>
        </w:rPr>
      </w:pPr>
    </w:p>
    <w:p w:rsidR="004C7F9A" w:rsidRPr="00BB20E0" w:rsidRDefault="004C7F9A" w:rsidP="004C7F9A">
      <w:pPr>
        <w:keepNext/>
        <w:rPr>
          <w:rFonts w:ascii="Garamond" w:hAnsi="Garamond"/>
          <w:i/>
          <w:lang w:val="en-AU"/>
        </w:rPr>
      </w:pPr>
      <w:r w:rsidRPr="00BB20E0">
        <w:rPr>
          <w:rFonts w:ascii="Garamond" w:hAnsi="Garamond"/>
          <w:i/>
          <w:lang w:val="en-AU"/>
        </w:rPr>
        <w:t>Patient safety in dentistry: development of a candidate 'never event' list for primary care</w:t>
      </w:r>
    </w:p>
    <w:p w:rsidR="004C7F9A" w:rsidRDefault="004C7F9A" w:rsidP="004C7F9A">
      <w:pPr>
        <w:keepNext/>
        <w:rPr>
          <w:rFonts w:ascii="Garamond" w:hAnsi="Garamond"/>
          <w:lang w:val="en-AU"/>
        </w:rPr>
      </w:pPr>
      <w:r w:rsidRPr="00BB20E0">
        <w:rPr>
          <w:rFonts w:ascii="Garamond" w:hAnsi="Garamond"/>
          <w:lang w:val="en-AU"/>
        </w:rPr>
        <w:t>Black I, Bowie P</w:t>
      </w:r>
    </w:p>
    <w:p w:rsidR="004C7F9A" w:rsidRPr="00D9161E" w:rsidRDefault="004C7F9A" w:rsidP="004C7F9A">
      <w:pPr>
        <w:keepNext/>
        <w:rPr>
          <w:rFonts w:ascii="Garamond" w:hAnsi="Garamond"/>
          <w:lang w:val="en-AU"/>
        </w:rPr>
      </w:pPr>
      <w:proofErr w:type="gramStart"/>
      <w:r w:rsidRPr="00BB20E0">
        <w:rPr>
          <w:rFonts w:ascii="Garamond" w:hAnsi="Garamond"/>
          <w:lang w:val="en-AU"/>
        </w:rPr>
        <w:t>British Dental Journal.</w:t>
      </w:r>
      <w:proofErr w:type="gramEnd"/>
      <w:r w:rsidRPr="00BB20E0">
        <w:rPr>
          <w:rFonts w:ascii="Garamond" w:hAnsi="Garamond"/>
          <w:lang w:val="en-AU"/>
        </w:rPr>
        <w:t xml:space="preserve"> 2017</w:t>
      </w:r>
      <w:proofErr w:type="gramStart"/>
      <w:r w:rsidRPr="00BB20E0">
        <w:rPr>
          <w:rFonts w:ascii="Garamond" w:hAnsi="Garamond"/>
          <w:lang w:val="en-AU"/>
        </w:rPr>
        <w:t>;222</w:t>
      </w:r>
      <w:proofErr w:type="gramEnd"/>
      <w:r w:rsidRPr="00BB20E0">
        <w:rPr>
          <w:rFonts w:ascii="Garamond" w:hAnsi="Garamond"/>
          <w:lang w:val="en-AU"/>
        </w:rPr>
        <w:t>(10):782-8.</w:t>
      </w:r>
    </w:p>
    <w:tbl>
      <w:tblPr>
        <w:tblStyle w:val="TableGrid"/>
        <w:tblW w:w="0" w:type="auto"/>
        <w:tblInd w:w="288" w:type="dxa"/>
        <w:tblLayout w:type="fixed"/>
        <w:tblLook w:val="01E0" w:firstRow="1" w:lastRow="1" w:firstColumn="1" w:lastColumn="1" w:noHBand="0" w:noVBand="0"/>
      </w:tblPr>
      <w:tblGrid>
        <w:gridCol w:w="1080"/>
        <w:gridCol w:w="8280"/>
      </w:tblGrid>
      <w:tr w:rsidR="004C7F9A"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4C7F9A" w:rsidRPr="00D9161E" w:rsidRDefault="004C7F9A" w:rsidP="00AA29F2">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C7F9A" w:rsidRPr="00D9161E" w:rsidRDefault="00AA29F2" w:rsidP="00AA29F2">
            <w:pPr>
              <w:rPr>
                <w:rStyle w:val="Hyperlink"/>
                <w:rFonts w:ascii="Garamond" w:hAnsi="Garamond"/>
                <w:color w:val="auto"/>
                <w:u w:val="none"/>
                <w:lang w:val="en-AU"/>
              </w:rPr>
            </w:pPr>
            <w:hyperlink r:id="rId27" w:history="1">
              <w:r w:rsidR="004C7F9A" w:rsidRPr="00E02123">
                <w:rPr>
                  <w:rStyle w:val="Hyperlink"/>
                  <w:rFonts w:ascii="Garamond" w:hAnsi="Garamond"/>
                  <w:lang w:val="en-AU"/>
                </w:rPr>
                <w:t>http://dx.doi.org/10.1038/sj.bdj.2017.456</w:t>
              </w:r>
            </w:hyperlink>
          </w:p>
        </w:tc>
      </w:tr>
      <w:tr w:rsidR="004C7F9A"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4C7F9A" w:rsidRPr="00D9161E" w:rsidRDefault="004C7F9A"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540FD" w:rsidRPr="00D9161E" w:rsidRDefault="000C75F9" w:rsidP="00B15EA6">
            <w:pPr>
              <w:rPr>
                <w:rFonts w:ascii="Garamond" w:hAnsi="Garamond"/>
                <w:lang w:val="en-AU"/>
              </w:rPr>
            </w:pPr>
            <w:r>
              <w:rPr>
                <w:rFonts w:ascii="Garamond" w:hAnsi="Garamond"/>
                <w:lang w:val="en-AU"/>
              </w:rPr>
              <w:t xml:space="preserve">Patient safety can have both universal and domain-specific elements. This paper looks at the domain of dentistry, specifically how it could inform a ‘never event’ list. Never events are, as they sound, a list of things that should never occur and for which measures to prevent them should be taken. </w:t>
            </w:r>
            <w:r w:rsidR="00A540FD">
              <w:rPr>
                <w:rFonts w:ascii="Garamond" w:hAnsi="Garamond"/>
                <w:lang w:val="en-AU"/>
              </w:rPr>
              <w:t>This paper describes an attempt at developing a never list for primary care dentistry that encompassed a</w:t>
            </w:r>
            <w:r w:rsidR="00A540FD" w:rsidRPr="00A540FD">
              <w:rPr>
                <w:rFonts w:ascii="Garamond" w:hAnsi="Garamond"/>
                <w:lang w:val="en-AU"/>
              </w:rPr>
              <w:t xml:space="preserve"> literature review, eight workshops with dental practitioners and a modified Delphi with 'expert' groups</w:t>
            </w:r>
            <w:r w:rsidR="00A540FD">
              <w:rPr>
                <w:rFonts w:ascii="Garamond" w:hAnsi="Garamond"/>
                <w:lang w:val="en-AU"/>
              </w:rPr>
              <w:t xml:space="preserve">. 250 </w:t>
            </w:r>
            <w:r w:rsidR="00A540FD" w:rsidRPr="00A540FD">
              <w:rPr>
                <w:rFonts w:ascii="Garamond" w:hAnsi="Garamond"/>
                <w:lang w:val="en-AU"/>
              </w:rPr>
              <w:t>dental practitioners suggested 507 never events</w:t>
            </w:r>
            <w:r w:rsidR="00A540FD">
              <w:rPr>
                <w:rFonts w:ascii="Garamond" w:hAnsi="Garamond"/>
                <w:lang w:val="en-AU"/>
              </w:rPr>
              <w:t xml:space="preserve"> which were then </w:t>
            </w:r>
            <w:r w:rsidR="00A540FD" w:rsidRPr="00A540FD">
              <w:rPr>
                <w:rFonts w:ascii="Garamond" w:hAnsi="Garamond"/>
                <w:lang w:val="en-AU"/>
              </w:rPr>
              <w:t xml:space="preserve">reduced to 27 </w:t>
            </w:r>
            <w:r w:rsidR="00B15EA6">
              <w:rPr>
                <w:rFonts w:ascii="Garamond" w:hAnsi="Garamond"/>
                <w:lang w:val="en-AU"/>
              </w:rPr>
              <w:t xml:space="preserve">types grouped in </w:t>
            </w:r>
            <w:r w:rsidR="00A540FD" w:rsidRPr="00A540FD">
              <w:rPr>
                <w:rFonts w:ascii="Garamond" w:hAnsi="Garamond"/>
                <w:lang w:val="en-AU"/>
              </w:rPr>
              <w:t>seven themes.</w:t>
            </w:r>
            <w:r w:rsidR="00B15EA6">
              <w:rPr>
                <w:rFonts w:ascii="Garamond" w:hAnsi="Garamond"/>
                <w:lang w:val="en-AU"/>
              </w:rPr>
              <w:t xml:space="preserve"> The m</w:t>
            </w:r>
            <w:r w:rsidR="00A540FD" w:rsidRPr="00A540FD">
              <w:rPr>
                <w:rFonts w:ascii="Garamond" w:hAnsi="Garamond"/>
                <w:lang w:val="en-AU"/>
              </w:rPr>
              <w:t>ost frequently occurring themes were: 'checking medical history and prescribing' and 'infection control and decontamination'. 'Experts' endorsed nine candidate never event statements with one graded as 'extreme risk' (failure to check past medical history) and four as 'high risk' (</w:t>
            </w:r>
            <w:r w:rsidR="00B15EA6">
              <w:rPr>
                <w:rFonts w:ascii="Garamond" w:hAnsi="Garamond"/>
                <w:lang w:val="en-AU"/>
              </w:rPr>
              <w:t>including</w:t>
            </w:r>
            <w:r w:rsidR="00A540FD" w:rsidRPr="00A540FD">
              <w:rPr>
                <w:rFonts w:ascii="Garamond" w:hAnsi="Garamond"/>
                <w:lang w:val="en-AU"/>
              </w:rPr>
              <w:t>, extracting wrong tooth).</w:t>
            </w:r>
          </w:p>
        </w:tc>
      </w:tr>
    </w:tbl>
    <w:p w:rsidR="006A6E9C" w:rsidRDefault="006A6E9C" w:rsidP="006A6E9C">
      <w:pPr>
        <w:keepNext/>
        <w:rPr>
          <w:rFonts w:ascii="Garamond" w:hAnsi="Garamond"/>
          <w:lang w:val="en-AU"/>
        </w:rPr>
      </w:pPr>
    </w:p>
    <w:p w:rsidR="006A6E9C" w:rsidRPr="00A8223C" w:rsidRDefault="006A6E9C" w:rsidP="006A6E9C">
      <w:pPr>
        <w:keepNext/>
        <w:rPr>
          <w:rFonts w:ascii="Garamond" w:hAnsi="Garamond"/>
          <w:i/>
          <w:lang w:val="en-AU"/>
        </w:rPr>
      </w:pPr>
      <w:r w:rsidRPr="00A8223C">
        <w:rPr>
          <w:rFonts w:ascii="Garamond" w:hAnsi="Garamond"/>
          <w:i/>
          <w:lang w:val="en-AU"/>
        </w:rPr>
        <w:t>Association of changing hospital readmission rates with mortality rates after hospital discharge</w:t>
      </w:r>
    </w:p>
    <w:p w:rsidR="006A6E9C" w:rsidRDefault="006A6E9C" w:rsidP="006A6E9C">
      <w:pPr>
        <w:keepNext/>
        <w:rPr>
          <w:rFonts w:ascii="Garamond" w:hAnsi="Garamond"/>
          <w:lang w:val="en-AU"/>
        </w:rPr>
      </w:pPr>
      <w:r w:rsidRPr="00A8223C">
        <w:rPr>
          <w:rFonts w:ascii="Garamond" w:hAnsi="Garamond"/>
          <w:lang w:val="en-AU"/>
        </w:rPr>
        <w:t>Dharmarajan K, Wang Y, Lin Z, et al</w:t>
      </w:r>
    </w:p>
    <w:p w:rsidR="006A6E9C" w:rsidRPr="00D9161E" w:rsidRDefault="006A6E9C" w:rsidP="006A6E9C">
      <w:pPr>
        <w:keepNext/>
        <w:rPr>
          <w:rFonts w:ascii="Garamond" w:hAnsi="Garamond"/>
          <w:lang w:val="en-AU"/>
        </w:rPr>
      </w:pPr>
      <w:proofErr w:type="gramStart"/>
      <w:r w:rsidRPr="00A8223C">
        <w:rPr>
          <w:rFonts w:ascii="Garamond" w:hAnsi="Garamond"/>
          <w:lang w:val="en-AU"/>
        </w:rPr>
        <w:t>Journal of the American Medical Association.</w:t>
      </w:r>
      <w:proofErr w:type="gramEnd"/>
      <w:r w:rsidRPr="00A8223C">
        <w:rPr>
          <w:rFonts w:ascii="Garamond" w:hAnsi="Garamond"/>
          <w:lang w:val="en-AU"/>
        </w:rPr>
        <w:t xml:space="preserve"> 2017</w:t>
      </w:r>
      <w:proofErr w:type="gramStart"/>
      <w:r w:rsidRPr="00A8223C">
        <w:rPr>
          <w:rFonts w:ascii="Garamond" w:hAnsi="Garamond"/>
          <w:lang w:val="en-AU"/>
        </w:rPr>
        <w:t>;318</w:t>
      </w:r>
      <w:proofErr w:type="gramEnd"/>
      <w:r w:rsidRPr="00A8223C">
        <w:rPr>
          <w:rFonts w:ascii="Garamond" w:hAnsi="Garamond"/>
          <w:lang w:val="en-AU"/>
        </w:rPr>
        <w:t>(3):270-8.</w:t>
      </w:r>
    </w:p>
    <w:tbl>
      <w:tblPr>
        <w:tblStyle w:val="TableGrid"/>
        <w:tblW w:w="0" w:type="auto"/>
        <w:tblInd w:w="288" w:type="dxa"/>
        <w:tblLayout w:type="fixed"/>
        <w:tblLook w:val="01E0" w:firstRow="1" w:lastRow="1" w:firstColumn="1" w:lastColumn="1" w:noHBand="0" w:noVBand="0"/>
      </w:tblPr>
      <w:tblGrid>
        <w:gridCol w:w="1080"/>
        <w:gridCol w:w="8280"/>
      </w:tblGrid>
      <w:tr w:rsidR="006A6E9C"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6A6E9C" w:rsidRPr="00D9161E" w:rsidRDefault="006A6E9C" w:rsidP="00AA29F2">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A6E9C" w:rsidRPr="00D9161E" w:rsidRDefault="006A6E9C" w:rsidP="00AA29F2">
            <w:pPr>
              <w:rPr>
                <w:rStyle w:val="Hyperlink"/>
                <w:rFonts w:ascii="Garamond" w:hAnsi="Garamond"/>
                <w:color w:val="auto"/>
                <w:u w:val="none"/>
                <w:lang w:val="en-AU"/>
              </w:rPr>
            </w:pPr>
            <w:hyperlink r:id="rId28" w:history="1">
              <w:r w:rsidRPr="00832FDA">
                <w:rPr>
                  <w:rStyle w:val="Hyperlink"/>
                  <w:rFonts w:ascii="Garamond" w:hAnsi="Garamond"/>
                  <w:lang w:val="en-AU"/>
                </w:rPr>
                <w:t>http://dx.doi.org/10.1001/jama.2017.8444</w:t>
              </w:r>
            </w:hyperlink>
          </w:p>
        </w:tc>
      </w:tr>
      <w:tr w:rsidR="006A6E9C"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6A6E9C" w:rsidRPr="00D9161E" w:rsidRDefault="006A6E9C"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A6E9C" w:rsidRPr="00D9161E" w:rsidRDefault="006A6E9C" w:rsidP="00AA29F2">
            <w:pPr>
              <w:rPr>
                <w:rFonts w:ascii="Garamond" w:hAnsi="Garamond"/>
                <w:lang w:val="en-AU"/>
              </w:rPr>
            </w:pPr>
            <w:r>
              <w:rPr>
                <w:rFonts w:ascii="Garamond" w:hAnsi="Garamond"/>
                <w:lang w:val="en-AU"/>
              </w:rPr>
              <w:t xml:space="preserve">This American cohort study used the records of more than 5 million [US] Medicare </w:t>
            </w:r>
            <w:r w:rsidRPr="00A8223C">
              <w:rPr>
                <w:rFonts w:ascii="Garamond" w:hAnsi="Garamond"/>
                <w:lang w:val="en-AU"/>
              </w:rPr>
              <w:t>fee-for-service hospitalizations</w:t>
            </w:r>
            <w:r>
              <w:rPr>
                <w:rFonts w:ascii="Garamond" w:hAnsi="Garamond"/>
                <w:lang w:val="en-AU"/>
              </w:rPr>
              <w:t xml:space="preserve"> of older patients</w:t>
            </w:r>
            <w:r w:rsidRPr="00A8223C">
              <w:rPr>
                <w:rFonts w:ascii="Garamond" w:hAnsi="Garamond"/>
                <w:lang w:val="en-AU"/>
              </w:rPr>
              <w:t xml:space="preserve"> for heart failure, acute myocardial infarction, and pneumonia from 2008 to 2014</w:t>
            </w:r>
            <w:r>
              <w:rPr>
                <w:rFonts w:ascii="Garamond" w:hAnsi="Garamond"/>
                <w:lang w:val="en-AU"/>
              </w:rPr>
              <w:t xml:space="preserve"> to examine the question of whether </w:t>
            </w:r>
            <w:r w:rsidRPr="006A6E9C">
              <w:rPr>
                <w:rFonts w:ascii="Garamond" w:hAnsi="Garamond"/>
                <w:lang w:val="en-AU"/>
              </w:rPr>
              <w:t xml:space="preserve">hospital readmission reductions associated with the Affordable Care Act </w:t>
            </w:r>
            <w:r>
              <w:rPr>
                <w:rFonts w:ascii="Garamond" w:hAnsi="Garamond"/>
                <w:lang w:val="en-AU"/>
              </w:rPr>
              <w:t xml:space="preserve">(Obamacare) </w:t>
            </w:r>
            <w:r w:rsidRPr="006A6E9C">
              <w:rPr>
                <w:rFonts w:ascii="Garamond" w:hAnsi="Garamond"/>
                <w:lang w:val="en-AU"/>
              </w:rPr>
              <w:t>had the unintended consequence of increasing mortality after hospitali</w:t>
            </w:r>
            <w:r>
              <w:rPr>
                <w:rFonts w:ascii="Garamond" w:hAnsi="Garamond"/>
                <w:lang w:val="en-AU"/>
              </w:rPr>
              <w:t>s</w:t>
            </w:r>
            <w:r w:rsidRPr="006A6E9C">
              <w:rPr>
                <w:rFonts w:ascii="Garamond" w:hAnsi="Garamond"/>
                <w:lang w:val="en-AU"/>
              </w:rPr>
              <w:t>ation</w:t>
            </w:r>
            <w:r>
              <w:rPr>
                <w:rFonts w:ascii="Garamond" w:hAnsi="Garamond"/>
                <w:lang w:val="en-AU"/>
              </w:rPr>
              <w:t>. The analyses revealed that “</w:t>
            </w:r>
            <w:r w:rsidRPr="006A6E9C">
              <w:rPr>
                <w:rFonts w:ascii="Garamond" w:hAnsi="Garamond"/>
                <w:lang w:val="en-AU"/>
              </w:rPr>
              <w:t>reductions in hospital 30-day readmission rates were weakly but significantly correlated with reductions in hospital 30-day mortality rates after discharge. These findings do not support increasing postdischarge mortality related to reducing hospital readmissions.</w:t>
            </w:r>
            <w:r>
              <w:rPr>
                <w:rFonts w:ascii="Garamond" w:hAnsi="Garamond"/>
                <w:lang w:val="en-AU"/>
              </w:rPr>
              <w:t>”</w:t>
            </w:r>
          </w:p>
        </w:tc>
      </w:tr>
    </w:tbl>
    <w:p w:rsidR="006A6E9C" w:rsidRPr="00D9161E" w:rsidRDefault="006A6E9C" w:rsidP="006A6E9C">
      <w:pPr>
        <w:keepNext/>
        <w:rPr>
          <w:rFonts w:ascii="Garamond" w:hAnsi="Garamond"/>
          <w:i/>
          <w:lang w:val="en-AU"/>
        </w:rPr>
      </w:pPr>
    </w:p>
    <w:p w:rsidR="00F908BB" w:rsidRPr="00F00164" w:rsidRDefault="00F908BB" w:rsidP="00F908BB">
      <w:pPr>
        <w:keepNext/>
        <w:rPr>
          <w:rFonts w:ascii="Garamond" w:hAnsi="Garamond"/>
          <w:i/>
          <w:lang w:val="en-AU"/>
        </w:rPr>
      </w:pPr>
      <w:r w:rsidRPr="00F00164">
        <w:rPr>
          <w:rFonts w:ascii="Garamond" w:hAnsi="Garamond"/>
          <w:i/>
          <w:lang w:val="en-AU"/>
        </w:rPr>
        <w:t>Risks of using medical record and administrative data for prognostic models</w:t>
      </w:r>
    </w:p>
    <w:p w:rsidR="00F908BB" w:rsidRDefault="00F908BB" w:rsidP="00F908BB">
      <w:pPr>
        <w:keepNext/>
        <w:rPr>
          <w:rFonts w:ascii="Garamond" w:hAnsi="Garamond"/>
          <w:lang w:val="en-AU"/>
        </w:rPr>
      </w:pPr>
      <w:r>
        <w:rPr>
          <w:rFonts w:ascii="Garamond" w:hAnsi="Garamond"/>
          <w:lang w:val="en-AU"/>
        </w:rPr>
        <w:t>Alexander M, Evans SM, Wolfe R, Ball DL Burbury K.</w:t>
      </w:r>
    </w:p>
    <w:p w:rsidR="00F908BB" w:rsidRDefault="00F908BB" w:rsidP="00F908BB">
      <w:pPr>
        <w:keepNext/>
        <w:rPr>
          <w:rFonts w:ascii="Garamond" w:hAnsi="Garamond"/>
          <w:lang w:val="en-AU"/>
        </w:rPr>
      </w:pPr>
      <w:proofErr w:type="gramStart"/>
      <w:r w:rsidRPr="00BB3040">
        <w:rPr>
          <w:rFonts w:ascii="Garamond" w:hAnsi="Garamond"/>
          <w:lang w:val="en-AU"/>
        </w:rPr>
        <w:t>Medical Journal</w:t>
      </w:r>
      <w:r>
        <w:rPr>
          <w:rFonts w:ascii="Garamond" w:hAnsi="Garamond"/>
          <w:lang w:val="en-AU"/>
        </w:rPr>
        <w:t xml:space="preserve"> of Australia.</w:t>
      </w:r>
      <w:proofErr w:type="gramEnd"/>
      <w:r>
        <w:rPr>
          <w:rFonts w:ascii="Garamond" w:hAnsi="Garamond"/>
          <w:lang w:val="en-AU"/>
        </w:rPr>
        <w:t xml:space="preserve"> 2017</w:t>
      </w:r>
      <w:proofErr w:type="gramStart"/>
      <w:r>
        <w:rPr>
          <w:rFonts w:ascii="Garamond" w:hAnsi="Garamond"/>
          <w:lang w:val="en-AU"/>
        </w:rPr>
        <w:t>;207</w:t>
      </w:r>
      <w:proofErr w:type="gramEnd"/>
      <w:r>
        <w:rPr>
          <w:rFonts w:ascii="Garamond" w:hAnsi="Garamond"/>
          <w:lang w:val="en-AU"/>
        </w:rPr>
        <w:t>(3):126</w:t>
      </w:r>
      <w:r w:rsidRPr="00BB3040">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908BB"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F908BB" w:rsidRPr="00D9161E" w:rsidRDefault="00F908BB" w:rsidP="00AA29F2">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908BB" w:rsidRPr="00D9161E" w:rsidRDefault="007B089E" w:rsidP="00AA29F2">
            <w:pPr>
              <w:rPr>
                <w:rStyle w:val="Hyperlink"/>
                <w:rFonts w:ascii="Garamond" w:hAnsi="Garamond"/>
                <w:color w:val="auto"/>
                <w:u w:val="none"/>
                <w:lang w:val="en-AU"/>
              </w:rPr>
            </w:pPr>
            <w:hyperlink r:id="rId29" w:history="1">
              <w:r w:rsidRPr="00832FDA">
                <w:rPr>
                  <w:rStyle w:val="Hyperlink"/>
                  <w:rFonts w:ascii="Garamond" w:hAnsi="Garamond"/>
                  <w:lang w:val="en-AU"/>
                </w:rPr>
                <w:t>http://dx.d</w:t>
              </w:r>
              <w:r w:rsidRPr="00832FDA">
                <w:rPr>
                  <w:rStyle w:val="Hyperlink"/>
                  <w:rFonts w:ascii="Garamond" w:hAnsi="Garamond"/>
                  <w:lang w:val="en-AU"/>
                </w:rPr>
                <w:t>o</w:t>
              </w:r>
              <w:r w:rsidRPr="00832FDA">
                <w:rPr>
                  <w:rStyle w:val="Hyperlink"/>
                  <w:rFonts w:ascii="Garamond" w:hAnsi="Garamond"/>
                  <w:lang w:val="en-AU"/>
                </w:rPr>
                <w:t>i.org/10.5694/mja16.</w:t>
              </w:r>
              <w:r w:rsidRPr="00832FDA">
                <w:rPr>
                  <w:rStyle w:val="Hyperlink"/>
                  <w:rFonts w:ascii="Garamond" w:hAnsi="Garamond"/>
                  <w:lang w:val="en-AU"/>
                </w:rPr>
                <w:t>0</w:t>
              </w:r>
              <w:r w:rsidRPr="00832FDA">
                <w:rPr>
                  <w:rStyle w:val="Hyperlink"/>
                  <w:rFonts w:ascii="Garamond" w:hAnsi="Garamond"/>
                  <w:lang w:val="en-AU"/>
                </w:rPr>
                <w:t>0919</w:t>
              </w:r>
            </w:hyperlink>
          </w:p>
        </w:tc>
      </w:tr>
      <w:tr w:rsidR="00F908BB"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F908BB" w:rsidRPr="00D9161E" w:rsidRDefault="00F908BB"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08BB" w:rsidRPr="00D9161E" w:rsidRDefault="00F908BB" w:rsidP="00AA29F2">
            <w:pPr>
              <w:rPr>
                <w:rFonts w:ascii="Garamond" w:hAnsi="Garamond"/>
                <w:lang w:val="en-AU"/>
              </w:rPr>
            </w:pPr>
            <w:r>
              <w:rPr>
                <w:rFonts w:ascii="Garamond" w:hAnsi="Garamond"/>
                <w:lang w:val="en-AU"/>
              </w:rPr>
              <w:t>This paper compares three different sources of data and their use for health outcome modelling of prognosis – medical records, administrative data discharge coding and a prospective cohort study of thoracic malignancies. While there was good agreement for some aspects of the patient data – such as staging – there was poor concordance on variables such as smoking status (38% vs 83%) and recording of co-morbidity (23% vs 68%) that might be used in modelling and monitoring of long-term health outcomes, with administrative data being the least correct.</w:t>
            </w:r>
          </w:p>
        </w:tc>
      </w:tr>
    </w:tbl>
    <w:p w:rsidR="00F908BB" w:rsidRDefault="00F908BB" w:rsidP="00F908BB">
      <w:pPr>
        <w:keepNext/>
        <w:rPr>
          <w:rFonts w:ascii="Garamond" w:hAnsi="Garamond"/>
          <w:i/>
          <w:lang w:val="en-AU"/>
        </w:rPr>
      </w:pPr>
    </w:p>
    <w:p w:rsidR="00FA45E8" w:rsidRDefault="00FA45E8">
      <w:pPr>
        <w:rPr>
          <w:rFonts w:ascii="Garamond" w:hAnsi="Garamond"/>
          <w:i/>
          <w:lang w:val="en-AU"/>
        </w:rPr>
      </w:pPr>
      <w:r>
        <w:rPr>
          <w:rFonts w:ascii="Garamond" w:hAnsi="Garamond"/>
          <w:i/>
          <w:lang w:val="en-AU"/>
        </w:rPr>
        <w:br w:type="page"/>
      </w:r>
    </w:p>
    <w:p w:rsidR="00F908BB" w:rsidRPr="00507D76" w:rsidRDefault="00F908BB" w:rsidP="00F908BB">
      <w:pPr>
        <w:keepNext/>
        <w:rPr>
          <w:rFonts w:ascii="Garamond" w:hAnsi="Garamond"/>
          <w:i/>
          <w:lang w:val="en-AU"/>
        </w:rPr>
      </w:pPr>
      <w:r w:rsidRPr="00507D76">
        <w:rPr>
          <w:rFonts w:ascii="Garamond" w:hAnsi="Garamond"/>
          <w:i/>
          <w:lang w:val="en-AU"/>
        </w:rPr>
        <w:lastRenderedPageBreak/>
        <w:t>Evidence for Health Decision Making — Beyond Randomized, Controlled Trials</w:t>
      </w:r>
    </w:p>
    <w:p w:rsidR="00F908BB" w:rsidRDefault="00F908BB" w:rsidP="00F908BB">
      <w:pPr>
        <w:keepNext/>
        <w:rPr>
          <w:rFonts w:ascii="Garamond" w:hAnsi="Garamond"/>
          <w:lang w:val="en-AU"/>
        </w:rPr>
      </w:pPr>
      <w:r w:rsidRPr="00507D76">
        <w:rPr>
          <w:rFonts w:ascii="Garamond" w:hAnsi="Garamond"/>
          <w:lang w:val="en-AU"/>
        </w:rPr>
        <w:t>Frieden TR</w:t>
      </w:r>
    </w:p>
    <w:p w:rsidR="00F908BB" w:rsidRPr="00D9161E" w:rsidRDefault="00F908BB" w:rsidP="00F908BB">
      <w:pPr>
        <w:keepNext/>
        <w:rPr>
          <w:rFonts w:ascii="Garamond" w:hAnsi="Garamond"/>
          <w:lang w:val="en-AU"/>
        </w:rPr>
      </w:pPr>
      <w:proofErr w:type="gramStart"/>
      <w:r w:rsidRPr="00507D76">
        <w:rPr>
          <w:rFonts w:ascii="Garamond" w:hAnsi="Garamond"/>
          <w:lang w:val="en-AU"/>
        </w:rPr>
        <w:t>New England Journal of Medicine.</w:t>
      </w:r>
      <w:proofErr w:type="gramEnd"/>
      <w:r w:rsidRPr="00507D76">
        <w:rPr>
          <w:rFonts w:ascii="Garamond" w:hAnsi="Garamond"/>
          <w:lang w:val="en-AU"/>
        </w:rPr>
        <w:t xml:space="preserve"> 2017</w:t>
      </w:r>
      <w:proofErr w:type="gramStart"/>
      <w:r w:rsidRPr="00507D76">
        <w:rPr>
          <w:rFonts w:ascii="Garamond" w:hAnsi="Garamond"/>
          <w:lang w:val="en-AU"/>
        </w:rPr>
        <w:t>;377</w:t>
      </w:r>
      <w:proofErr w:type="gramEnd"/>
      <w:r w:rsidRPr="00507D76">
        <w:rPr>
          <w:rFonts w:ascii="Garamond" w:hAnsi="Garamond"/>
          <w:lang w:val="en-AU"/>
        </w:rPr>
        <w:t>(5):465-75.</w:t>
      </w:r>
    </w:p>
    <w:tbl>
      <w:tblPr>
        <w:tblStyle w:val="TableGrid"/>
        <w:tblW w:w="0" w:type="auto"/>
        <w:tblInd w:w="288" w:type="dxa"/>
        <w:tblLayout w:type="fixed"/>
        <w:tblLook w:val="01E0" w:firstRow="1" w:lastRow="1" w:firstColumn="1" w:lastColumn="1" w:noHBand="0" w:noVBand="0"/>
      </w:tblPr>
      <w:tblGrid>
        <w:gridCol w:w="1080"/>
        <w:gridCol w:w="8280"/>
      </w:tblGrid>
      <w:tr w:rsidR="00F908BB"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F908BB" w:rsidRPr="00D9161E" w:rsidRDefault="00F908BB" w:rsidP="00AA29F2">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908BB" w:rsidRPr="00D9161E" w:rsidRDefault="00F908BB" w:rsidP="00AA29F2">
            <w:pPr>
              <w:rPr>
                <w:rStyle w:val="Hyperlink"/>
                <w:rFonts w:ascii="Garamond" w:hAnsi="Garamond"/>
                <w:color w:val="auto"/>
                <w:u w:val="none"/>
                <w:lang w:val="en-AU"/>
              </w:rPr>
            </w:pPr>
            <w:hyperlink r:id="rId30" w:history="1">
              <w:r w:rsidRPr="001B315D">
                <w:rPr>
                  <w:rStyle w:val="Hyperlink"/>
                  <w:rFonts w:ascii="Garamond" w:hAnsi="Garamond"/>
                  <w:lang w:val="en-AU"/>
                </w:rPr>
                <w:t>http://dx.doi.org/10.1056/NEJMra1614394</w:t>
              </w:r>
            </w:hyperlink>
          </w:p>
        </w:tc>
      </w:tr>
      <w:tr w:rsidR="00F908BB"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F908BB" w:rsidRPr="00D9161E" w:rsidRDefault="00F908BB"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08BB" w:rsidRPr="00D9161E" w:rsidRDefault="00F908BB" w:rsidP="00AA29F2">
            <w:pPr>
              <w:rPr>
                <w:rFonts w:ascii="Garamond" w:hAnsi="Garamond"/>
                <w:lang w:val="en-AU"/>
              </w:rPr>
            </w:pPr>
            <w:r>
              <w:rPr>
                <w:rFonts w:ascii="Garamond" w:hAnsi="Garamond"/>
                <w:lang w:val="en-AU"/>
              </w:rPr>
              <w:t>Article describing the benefits (and limitations) of various sources of evidence for policy and decision making. Sources addressed include randomised control trials (RCTs), meta analyses, systematic reviews, prospective and retrospective cohort studies, case-control studies, cross-sectional studies, ecological studies, observational studies, program-based evidence, case reports and series, and clinical registries. The author also touches on t</w:t>
            </w:r>
            <w:r w:rsidR="00EF47C4">
              <w:rPr>
                <w:rFonts w:ascii="Garamond" w:hAnsi="Garamond"/>
                <w:lang w:val="en-AU"/>
              </w:rPr>
              <w:t xml:space="preserve">he question of ‘big data’. The </w:t>
            </w:r>
            <w:r>
              <w:rPr>
                <w:rFonts w:ascii="Garamond" w:hAnsi="Garamond"/>
                <w:lang w:val="en-AU"/>
              </w:rPr>
              <w:t>piece concludes by reminding us that the “goal must be actionable data — data that are sufficient for clinical and public health action that have been derived openly and objectively and that enable us to say ‘Here’s what I recommend and why.’”</w:t>
            </w:r>
          </w:p>
        </w:tc>
      </w:tr>
    </w:tbl>
    <w:p w:rsidR="00A8223C" w:rsidRDefault="00A8223C" w:rsidP="00A8223C">
      <w:pPr>
        <w:keepNext/>
        <w:rPr>
          <w:rFonts w:ascii="Garamond" w:hAnsi="Garamond"/>
          <w:lang w:val="en-AU"/>
        </w:rPr>
      </w:pPr>
    </w:p>
    <w:p w:rsidR="00B15EA6" w:rsidRPr="009F65E9" w:rsidRDefault="00B15EA6" w:rsidP="00B15EA6">
      <w:pPr>
        <w:keepNext/>
        <w:rPr>
          <w:rFonts w:ascii="Garamond" w:hAnsi="Garamond"/>
          <w:i/>
          <w:lang w:val="en-AU"/>
        </w:rPr>
      </w:pPr>
      <w:r w:rsidRPr="009F65E9">
        <w:rPr>
          <w:rFonts w:ascii="Garamond" w:hAnsi="Garamond"/>
          <w:i/>
          <w:lang w:val="en-AU"/>
        </w:rPr>
        <w:t>Use of Cascading A3s to Drive Systemwide Improvement</w:t>
      </w:r>
    </w:p>
    <w:p w:rsidR="00B15EA6" w:rsidRDefault="00B15EA6" w:rsidP="00B15EA6">
      <w:pPr>
        <w:keepNext/>
        <w:rPr>
          <w:rFonts w:ascii="Garamond" w:hAnsi="Garamond"/>
          <w:lang w:val="en-AU"/>
        </w:rPr>
      </w:pPr>
      <w:r w:rsidRPr="009F65E9">
        <w:rPr>
          <w:rFonts w:ascii="Garamond" w:hAnsi="Garamond"/>
          <w:lang w:val="en-AU"/>
        </w:rPr>
        <w:t>Winner LE, Burroughs TJ, Cady-Reh JA, Hill R, Hody RE, Powers RL, et al</w:t>
      </w:r>
    </w:p>
    <w:p w:rsidR="00B15EA6" w:rsidRPr="00D9161E" w:rsidRDefault="00B15EA6" w:rsidP="00B15EA6">
      <w:pPr>
        <w:keepNext/>
        <w:rPr>
          <w:rFonts w:ascii="Garamond" w:hAnsi="Garamond"/>
          <w:lang w:val="en-AU"/>
        </w:rPr>
      </w:pPr>
      <w:proofErr w:type="gramStart"/>
      <w:r w:rsidRPr="009F65E9">
        <w:rPr>
          <w:rFonts w:ascii="Garamond" w:hAnsi="Garamond"/>
          <w:lang w:val="en-AU"/>
        </w:rPr>
        <w:t>The Joint Commission Journal on Quality and Patient Safety.</w:t>
      </w:r>
      <w:proofErr w:type="gramEnd"/>
      <w:r w:rsidRPr="009F65E9">
        <w:rPr>
          <w:rFonts w:ascii="Garamond" w:hAnsi="Garamond"/>
          <w:lang w:val="en-AU"/>
        </w:rPr>
        <w:t xml:space="preserve"> 2017 2017/08/01/</w:t>
      </w:r>
      <w:proofErr w:type="gramStart"/>
      <w:r w:rsidRPr="009F65E9">
        <w:rPr>
          <w:rFonts w:ascii="Garamond" w:hAnsi="Garamond"/>
          <w:lang w:val="en-AU"/>
        </w:rPr>
        <w:t>;43</w:t>
      </w:r>
      <w:proofErr w:type="gramEnd"/>
      <w:r w:rsidRPr="009F65E9">
        <w:rPr>
          <w:rFonts w:ascii="Garamond" w:hAnsi="Garamond"/>
          <w:lang w:val="en-AU"/>
        </w:rPr>
        <w:t>(8):422-8.</w:t>
      </w:r>
    </w:p>
    <w:tbl>
      <w:tblPr>
        <w:tblStyle w:val="TableGrid"/>
        <w:tblW w:w="0" w:type="auto"/>
        <w:tblInd w:w="288" w:type="dxa"/>
        <w:tblLayout w:type="fixed"/>
        <w:tblLook w:val="01E0" w:firstRow="1" w:lastRow="1" w:firstColumn="1" w:lastColumn="1" w:noHBand="0" w:noVBand="0"/>
      </w:tblPr>
      <w:tblGrid>
        <w:gridCol w:w="1080"/>
        <w:gridCol w:w="8280"/>
      </w:tblGrid>
      <w:tr w:rsidR="00B15EA6"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B15EA6" w:rsidRPr="00D9161E" w:rsidRDefault="00B15EA6" w:rsidP="00AA29F2">
            <w:pPr>
              <w:rPr>
                <w:rStyle w:val="Hyperlink"/>
                <w:rFonts w:ascii="Garamond" w:hAnsi="Garamond"/>
                <w:lang w:val="en-AU"/>
              </w:rPr>
            </w:pPr>
            <w:r w:rsidRPr="00D9161E">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15EA6" w:rsidRPr="00D9161E" w:rsidRDefault="00AA29F2" w:rsidP="00AA29F2">
            <w:pPr>
              <w:rPr>
                <w:rStyle w:val="Hyperlink"/>
                <w:rFonts w:ascii="Garamond" w:hAnsi="Garamond"/>
                <w:color w:val="auto"/>
                <w:u w:val="none"/>
                <w:lang w:val="en-AU"/>
              </w:rPr>
            </w:pPr>
            <w:hyperlink r:id="rId31" w:history="1">
              <w:r w:rsidR="00B15EA6" w:rsidRPr="00E02123">
                <w:rPr>
                  <w:rStyle w:val="Hyperlink"/>
                  <w:rFonts w:ascii="Garamond" w:hAnsi="Garamond"/>
                  <w:lang w:val="en-AU"/>
                </w:rPr>
                <w:t>https://doi.org/10.1016/j.jcjq.2017.03.011</w:t>
              </w:r>
            </w:hyperlink>
          </w:p>
        </w:tc>
      </w:tr>
      <w:tr w:rsidR="00B15EA6" w:rsidRPr="00D9161E" w:rsidTr="00AA29F2">
        <w:tc>
          <w:tcPr>
            <w:tcW w:w="1080" w:type="dxa"/>
            <w:tcBorders>
              <w:top w:val="single" w:sz="4" w:space="0" w:color="auto"/>
              <w:left w:val="single" w:sz="4" w:space="0" w:color="auto"/>
              <w:bottom w:val="single" w:sz="4" w:space="0" w:color="auto"/>
              <w:right w:val="single" w:sz="4" w:space="0" w:color="auto"/>
            </w:tcBorders>
            <w:vAlign w:val="center"/>
          </w:tcPr>
          <w:p w:rsidR="00B15EA6" w:rsidRPr="00D9161E" w:rsidRDefault="00B15EA6" w:rsidP="00AA29F2">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84B3A" w:rsidRPr="00D9161E" w:rsidRDefault="00784B3A" w:rsidP="00E574CA">
            <w:pPr>
              <w:rPr>
                <w:rFonts w:ascii="Garamond" w:hAnsi="Garamond"/>
                <w:lang w:val="en-AU"/>
              </w:rPr>
            </w:pPr>
            <w:r>
              <w:rPr>
                <w:rFonts w:ascii="Garamond" w:hAnsi="Garamond"/>
                <w:lang w:val="en-AU"/>
              </w:rPr>
              <w:t xml:space="preserve">Paper describing elements of the </w:t>
            </w:r>
            <w:r w:rsidRPr="00784B3A">
              <w:rPr>
                <w:rFonts w:ascii="Garamond" w:hAnsi="Garamond"/>
                <w:lang w:val="en-AU"/>
              </w:rPr>
              <w:t>Johns Hopkins Medicine management system</w:t>
            </w:r>
            <w:r>
              <w:rPr>
                <w:rFonts w:ascii="Garamond" w:hAnsi="Garamond"/>
                <w:lang w:val="en-AU"/>
              </w:rPr>
              <w:t xml:space="preserve">. Adopted from Toyota’s approach, the A3 method captures the knowledge of </w:t>
            </w:r>
            <w:r w:rsidRPr="00784B3A">
              <w:rPr>
                <w:rFonts w:ascii="Garamond" w:hAnsi="Garamond"/>
                <w:lang w:val="en-AU"/>
              </w:rPr>
              <w:t xml:space="preserve">frontline experts </w:t>
            </w:r>
            <w:r w:rsidR="00E574CA">
              <w:rPr>
                <w:rFonts w:ascii="Garamond" w:hAnsi="Garamond"/>
                <w:lang w:val="en-AU"/>
              </w:rPr>
              <w:t>and “</w:t>
            </w:r>
            <w:r w:rsidRPr="00784B3A">
              <w:rPr>
                <w:rFonts w:ascii="Garamond" w:hAnsi="Garamond"/>
                <w:lang w:val="en-AU"/>
              </w:rPr>
              <w:t>promotes both objectivity through data-driven root cause analysis of poor performance and collective selection and implementation of effective interventions to resolve performance gaps.</w:t>
            </w:r>
            <w:r w:rsidR="00E574CA">
              <w:rPr>
                <w:rFonts w:ascii="Garamond" w:hAnsi="Garamond"/>
                <w:lang w:val="en-AU"/>
              </w:rPr>
              <w:t xml:space="preserve">” The authors argue that this is “a </w:t>
            </w:r>
            <w:r w:rsidRPr="00784B3A">
              <w:rPr>
                <w:rFonts w:ascii="Garamond" w:hAnsi="Garamond"/>
                <w:lang w:val="en-AU"/>
              </w:rPr>
              <w:t>disciplined way of collaborative problem solving</w:t>
            </w:r>
            <w:r w:rsidR="00E574CA">
              <w:rPr>
                <w:rFonts w:ascii="Garamond" w:hAnsi="Garamond"/>
                <w:lang w:val="en-AU"/>
              </w:rPr>
              <w:t xml:space="preserve">” and the approach encourages </w:t>
            </w:r>
            <w:r w:rsidRPr="00784B3A">
              <w:rPr>
                <w:rFonts w:ascii="Garamond" w:hAnsi="Garamond"/>
                <w:lang w:val="en-AU"/>
              </w:rPr>
              <w:t xml:space="preserve">a </w:t>
            </w:r>
            <w:r w:rsidR="00E574CA">
              <w:rPr>
                <w:rFonts w:ascii="Garamond" w:hAnsi="Garamond"/>
                <w:lang w:val="en-AU"/>
              </w:rPr>
              <w:t>“</w:t>
            </w:r>
            <w:r w:rsidRPr="00784B3A">
              <w:rPr>
                <w:rFonts w:ascii="Garamond" w:hAnsi="Garamond"/>
                <w:lang w:val="en-AU"/>
              </w:rPr>
              <w:t>workforce of problem solvers</w:t>
            </w:r>
            <w:r w:rsidR="00E574CA">
              <w:rPr>
                <w:rFonts w:ascii="Garamond" w:hAnsi="Garamond"/>
                <w:lang w:val="en-AU"/>
              </w:rPr>
              <w:t xml:space="preserve">” and by using ‘cascading A3s’” </w:t>
            </w:r>
            <w:r w:rsidRPr="00784B3A">
              <w:rPr>
                <w:rFonts w:ascii="Garamond" w:hAnsi="Garamond"/>
                <w:lang w:val="en-AU"/>
              </w:rPr>
              <w:t>can also promote strategic alignment up and down the organization</w:t>
            </w:r>
            <w:r w:rsidR="00E574CA">
              <w:rPr>
                <w:rFonts w:ascii="Garamond" w:hAnsi="Garamond"/>
                <w:lang w:val="en-AU"/>
              </w:rPr>
              <w:t>”</w:t>
            </w:r>
            <w:r w:rsidRPr="00784B3A">
              <w:rPr>
                <w:rFonts w:ascii="Garamond" w:hAnsi="Garamond"/>
                <w:lang w:val="en-AU"/>
              </w:rPr>
              <w:t>.</w:t>
            </w:r>
          </w:p>
        </w:tc>
      </w:tr>
    </w:tbl>
    <w:p w:rsidR="00A8223C" w:rsidRDefault="00A8223C" w:rsidP="007B089E">
      <w:pPr>
        <w:keepNext/>
        <w:rPr>
          <w:rFonts w:ascii="Garamond" w:hAnsi="Garamond"/>
          <w:lang w:val="en-AU"/>
        </w:rPr>
      </w:pPr>
    </w:p>
    <w:p w:rsidR="00071C0D" w:rsidRPr="006C6CBC" w:rsidRDefault="00071C0D" w:rsidP="00071C0D">
      <w:pPr>
        <w:rPr>
          <w:rFonts w:ascii="Garamond" w:hAnsi="Garamond"/>
          <w:i/>
          <w:lang w:val="en-AU"/>
        </w:rPr>
      </w:pPr>
      <w:r w:rsidRPr="006C6CBC">
        <w:rPr>
          <w:rFonts w:ascii="Garamond" w:hAnsi="Garamond"/>
          <w:i/>
          <w:lang w:val="en-AU"/>
        </w:rPr>
        <w:t>Health Affairs</w:t>
      </w:r>
    </w:p>
    <w:p w:rsidR="00071C0D" w:rsidRPr="00A45262" w:rsidRDefault="00071C0D" w:rsidP="00071C0D">
      <w:pPr>
        <w:rPr>
          <w:rFonts w:ascii="Garamond" w:hAnsi="Garamond"/>
          <w:lang w:val="en-AU"/>
        </w:rPr>
      </w:pPr>
      <w:r w:rsidRPr="00C615ED">
        <w:rPr>
          <w:rFonts w:ascii="Garamond" w:hAnsi="Garamond"/>
          <w:lang w:val="en-AU"/>
        </w:rPr>
        <w:t xml:space="preserve">1 </w:t>
      </w:r>
      <w:r>
        <w:rPr>
          <w:rFonts w:ascii="Garamond" w:hAnsi="Garamond"/>
          <w:lang w:val="en-AU"/>
        </w:rPr>
        <w:t>August 2017; Vol. 36, No. 8</w:t>
      </w:r>
    </w:p>
    <w:tbl>
      <w:tblPr>
        <w:tblStyle w:val="TableGrid"/>
        <w:tblW w:w="0" w:type="auto"/>
        <w:tblInd w:w="288" w:type="dxa"/>
        <w:tblLayout w:type="fixed"/>
        <w:tblLook w:val="01E0" w:firstRow="1" w:lastRow="1" w:firstColumn="1" w:lastColumn="1" w:noHBand="0" w:noVBand="0"/>
      </w:tblPr>
      <w:tblGrid>
        <w:gridCol w:w="1080"/>
        <w:gridCol w:w="8280"/>
      </w:tblGrid>
      <w:tr w:rsidR="00071C0D" w:rsidRPr="00A45262" w:rsidTr="00AA29F2">
        <w:tc>
          <w:tcPr>
            <w:tcW w:w="1080" w:type="dxa"/>
            <w:tcBorders>
              <w:top w:val="single" w:sz="4" w:space="0" w:color="auto"/>
              <w:left w:val="single" w:sz="4" w:space="0" w:color="auto"/>
              <w:bottom w:val="single" w:sz="4" w:space="0" w:color="auto"/>
              <w:right w:val="single" w:sz="4" w:space="0" w:color="auto"/>
            </w:tcBorders>
            <w:vAlign w:val="center"/>
          </w:tcPr>
          <w:p w:rsidR="00071C0D" w:rsidRPr="00A45262" w:rsidRDefault="00071C0D" w:rsidP="00AA29F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B7721" w:rsidRPr="00A45262" w:rsidRDefault="00071C0D" w:rsidP="00CB7721">
            <w:pPr>
              <w:rPr>
                <w:rStyle w:val="Hyperlink"/>
                <w:rFonts w:ascii="Garamond" w:hAnsi="Garamond"/>
                <w:color w:val="auto"/>
                <w:u w:val="none"/>
                <w:lang w:val="en-AU"/>
              </w:rPr>
            </w:pPr>
            <w:hyperlink r:id="rId32" w:history="1">
              <w:r w:rsidRPr="00832FDA">
                <w:rPr>
                  <w:rStyle w:val="Hyperlink"/>
                  <w:rFonts w:ascii="Garamond" w:hAnsi="Garamond"/>
                  <w:lang w:val="en-AU"/>
                </w:rPr>
                <w:t>http://content.healthaffairs.org/content/36/8.toc</w:t>
              </w:r>
            </w:hyperlink>
          </w:p>
        </w:tc>
      </w:tr>
      <w:tr w:rsidR="00071C0D" w:rsidRPr="00A45262" w:rsidTr="00AA29F2">
        <w:tc>
          <w:tcPr>
            <w:tcW w:w="1080" w:type="dxa"/>
            <w:tcBorders>
              <w:top w:val="single" w:sz="4" w:space="0" w:color="auto"/>
              <w:left w:val="single" w:sz="4" w:space="0" w:color="auto"/>
              <w:bottom w:val="single" w:sz="4" w:space="0" w:color="auto"/>
              <w:right w:val="single" w:sz="4" w:space="0" w:color="auto"/>
            </w:tcBorders>
            <w:vAlign w:val="center"/>
          </w:tcPr>
          <w:p w:rsidR="00071C0D" w:rsidRPr="00A45262" w:rsidRDefault="00071C0D" w:rsidP="00AA29F2">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1C0D" w:rsidRDefault="00071C0D" w:rsidP="00AA29F2">
            <w:pPr>
              <w:rPr>
                <w:rFonts w:ascii="Garamond" w:hAnsi="Garamond"/>
                <w:lang w:val="en-AU"/>
              </w:rPr>
            </w:pPr>
            <w:r w:rsidRPr="007763A6">
              <w:rPr>
                <w:rFonts w:ascii="Garamond" w:hAnsi="Garamond"/>
                <w:lang w:val="en-AU"/>
              </w:rPr>
              <w:t xml:space="preserve">A new issue of </w:t>
            </w:r>
            <w:r w:rsidRPr="007763A6">
              <w:rPr>
                <w:rFonts w:ascii="Garamond" w:hAnsi="Garamond"/>
                <w:i/>
                <w:lang w:val="en-AU"/>
              </w:rPr>
              <w:t>Health Affairs</w:t>
            </w:r>
            <w:r w:rsidRPr="007763A6">
              <w:rPr>
                <w:rFonts w:ascii="Garamond" w:hAnsi="Garamond"/>
                <w:lang w:val="en-AU"/>
              </w:rPr>
              <w:t xml:space="preserve"> has been published, with the </w:t>
            </w:r>
            <w:r w:rsidR="00FA45E8">
              <w:rPr>
                <w:rFonts w:ascii="Garamond" w:hAnsi="Garamond"/>
                <w:lang w:val="en-AU"/>
              </w:rPr>
              <w:t>topics</w:t>
            </w:r>
            <w:r w:rsidRPr="007763A6">
              <w:rPr>
                <w:rFonts w:ascii="Garamond" w:hAnsi="Garamond"/>
                <w:lang w:val="en-AU"/>
              </w:rPr>
              <w:t xml:space="preserve"> ‘</w:t>
            </w:r>
            <w:r w:rsidR="00FA45E8" w:rsidRPr="00FA45E8">
              <w:rPr>
                <w:rFonts w:ascii="Garamond" w:hAnsi="Garamond"/>
                <w:lang w:val="en-AU"/>
              </w:rPr>
              <w:t>Consumerism, Competition, Drug Approval &amp; More</w:t>
            </w:r>
            <w:r w:rsidRPr="007763A6">
              <w:rPr>
                <w:rFonts w:ascii="Garamond" w:hAnsi="Garamond"/>
                <w:lang w:val="en-AU"/>
              </w:rPr>
              <w:t xml:space="preserve">’. Articles in this issue of </w:t>
            </w:r>
            <w:r w:rsidRPr="007763A6">
              <w:rPr>
                <w:rFonts w:ascii="Garamond" w:hAnsi="Garamond"/>
                <w:i/>
                <w:lang w:val="en-AU"/>
              </w:rPr>
              <w:t>Health Affairs</w:t>
            </w:r>
            <w:r w:rsidRPr="007763A6">
              <w:rPr>
                <w:rFonts w:ascii="Garamond" w:hAnsi="Garamond"/>
                <w:lang w:val="en-AU"/>
              </w:rPr>
              <w:t xml:space="preserve"> include:</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b/>
                <w:lang w:val="en-AU"/>
              </w:rPr>
              <w:t>Medicare Competitive Bidding</w:t>
            </w:r>
            <w:r w:rsidRPr="00FA45E8">
              <w:rPr>
                <w:rFonts w:ascii="Garamond" w:hAnsi="Garamond"/>
                <w:lang w:val="en-AU"/>
              </w:rPr>
              <w:t xml:space="preserve"> Program Realized Price Savings For Durable Medical Equipment Purchases (David Newman, Eric Barrette, and Katharine McGraves-Lloyd</w:t>
            </w:r>
            <w:r>
              <w:rPr>
                <w:rFonts w:ascii="Garamond" w:hAnsi="Garamond"/>
                <w:lang w:val="en-AU"/>
              </w:rPr>
              <w:t>)</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lang w:val="en-AU"/>
              </w:rPr>
              <w:t xml:space="preserve">Small Cash Incentives Can Encourage </w:t>
            </w:r>
            <w:r w:rsidRPr="00FA45E8">
              <w:rPr>
                <w:rFonts w:ascii="Garamond" w:hAnsi="Garamond"/>
                <w:b/>
                <w:lang w:val="en-AU"/>
              </w:rPr>
              <w:t>Primary Care Visits</w:t>
            </w:r>
            <w:r w:rsidRPr="00FA45E8">
              <w:rPr>
                <w:rFonts w:ascii="Garamond" w:hAnsi="Garamond"/>
                <w:lang w:val="en-AU"/>
              </w:rPr>
              <w:t xml:space="preserve"> By </w:t>
            </w:r>
            <w:r w:rsidRPr="00FA45E8">
              <w:rPr>
                <w:rFonts w:ascii="Garamond" w:hAnsi="Garamond"/>
                <w:b/>
                <w:lang w:val="en-AU"/>
              </w:rPr>
              <w:t>Low-Income People</w:t>
            </w:r>
            <w:r w:rsidRPr="00FA45E8">
              <w:rPr>
                <w:rFonts w:ascii="Garamond" w:hAnsi="Garamond"/>
                <w:lang w:val="en-AU"/>
              </w:rPr>
              <w:t xml:space="preserve"> With New Health Care Coverage (Cathy J Bradley and David Neumark</w:t>
            </w:r>
            <w:r>
              <w:rPr>
                <w:rFonts w:ascii="Garamond" w:hAnsi="Garamond"/>
                <w:lang w:val="en-AU"/>
              </w:rPr>
              <w:t>)</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lang w:val="en-AU"/>
              </w:rPr>
              <w:t xml:space="preserve">Patients Are Not Given </w:t>
            </w:r>
            <w:r w:rsidRPr="00FA45E8">
              <w:rPr>
                <w:rFonts w:ascii="Garamond" w:hAnsi="Garamond"/>
                <w:b/>
                <w:lang w:val="en-AU"/>
              </w:rPr>
              <w:t>Quality-Of-Care Data</w:t>
            </w:r>
            <w:r w:rsidRPr="00FA45E8">
              <w:rPr>
                <w:rFonts w:ascii="Garamond" w:hAnsi="Garamond"/>
                <w:lang w:val="en-AU"/>
              </w:rPr>
              <w:t xml:space="preserve"> About </w:t>
            </w:r>
            <w:r w:rsidRPr="00FA45E8">
              <w:rPr>
                <w:rFonts w:ascii="Garamond" w:hAnsi="Garamond"/>
                <w:b/>
                <w:lang w:val="en-AU"/>
              </w:rPr>
              <w:t>Skilled Nursing Facilities</w:t>
            </w:r>
            <w:r w:rsidRPr="00FA45E8">
              <w:rPr>
                <w:rFonts w:ascii="Garamond" w:hAnsi="Garamond"/>
                <w:lang w:val="en-AU"/>
              </w:rPr>
              <w:t xml:space="preserve"> When Discharged From Hospitals (</w:t>
            </w:r>
            <w:r>
              <w:rPr>
                <w:rFonts w:ascii="Garamond" w:hAnsi="Garamond"/>
                <w:lang w:val="en-AU"/>
              </w:rPr>
              <w:t>Denise A</w:t>
            </w:r>
            <w:r w:rsidRPr="00FA45E8">
              <w:rPr>
                <w:rFonts w:ascii="Garamond" w:hAnsi="Garamond"/>
                <w:lang w:val="en-AU"/>
              </w:rPr>
              <w:t xml:space="preserve"> Tyler, Emily A Gadbois, John P McHugh, Renée R Shield, Ulrika Winblad, and Vincent Mor</w:t>
            </w:r>
            <w:r>
              <w:rPr>
                <w:rFonts w:ascii="Garamond" w:hAnsi="Garamond"/>
                <w:lang w:val="en-AU"/>
              </w:rPr>
              <w:t>)</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lang w:val="en-AU"/>
              </w:rPr>
              <w:t xml:space="preserve">Americans Support </w:t>
            </w:r>
            <w:r w:rsidRPr="00FA45E8">
              <w:rPr>
                <w:rFonts w:ascii="Garamond" w:hAnsi="Garamond"/>
                <w:b/>
                <w:lang w:val="en-AU"/>
              </w:rPr>
              <w:t>Price Shopping For Health Care</w:t>
            </w:r>
            <w:r w:rsidRPr="00FA45E8">
              <w:rPr>
                <w:rFonts w:ascii="Garamond" w:hAnsi="Garamond"/>
                <w:lang w:val="en-AU"/>
              </w:rPr>
              <w:t>, But Few Actually Seek Out Price Information (Ateev Mehrotra, Katie M Dean, Anna D Sinaiko, and Neeraj Sood</w:t>
            </w:r>
            <w:r>
              <w:rPr>
                <w:rFonts w:ascii="Garamond" w:hAnsi="Garamond"/>
                <w:lang w:val="en-AU"/>
              </w:rPr>
              <w:t>)</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lang w:val="en-AU"/>
              </w:rPr>
              <w:t xml:space="preserve">Offering A </w:t>
            </w:r>
            <w:r w:rsidRPr="00FA45E8">
              <w:rPr>
                <w:rFonts w:ascii="Garamond" w:hAnsi="Garamond"/>
                <w:b/>
                <w:lang w:val="en-AU"/>
              </w:rPr>
              <w:t>Price Transparency Tool</w:t>
            </w:r>
            <w:r w:rsidRPr="00FA45E8">
              <w:rPr>
                <w:rFonts w:ascii="Garamond" w:hAnsi="Garamond"/>
                <w:lang w:val="en-AU"/>
              </w:rPr>
              <w:t xml:space="preserve"> Did Not Reduce Overall Spending Among California Public Employees And Retirees (</w:t>
            </w:r>
            <w:r>
              <w:rPr>
                <w:rFonts w:ascii="Garamond" w:hAnsi="Garamond"/>
                <w:lang w:val="en-AU"/>
              </w:rPr>
              <w:t>Sunita Desai, Laura A</w:t>
            </w:r>
            <w:r w:rsidRPr="00FA45E8">
              <w:rPr>
                <w:rFonts w:ascii="Garamond" w:hAnsi="Garamond"/>
                <w:lang w:val="en-AU"/>
              </w:rPr>
              <w:t xml:space="preserve"> Hatfield, Andrew L Hicks, Anna D Sinaiko, Michael E Chernew, David Cowling, Santosh Gautam, Sze-jung Wu, and Ateev Mehrotra</w:t>
            </w:r>
            <w:r>
              <w:rPr>
                <w:rFonts w:ascii="Garamond" w:hAnsi="Garamond"/>
                <w:lang w:val="en-AU"/>
              </w:rPr>
              <w:t>)</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lang w:val="en-AU"/>
              </w:rPr>
              <w:t xml:space="preserve">Drugs Cleared Through The </w:t>
            </w:r>
            <w:r w:rsidRPr="00FA45E8">
              <w:rPr>
                <w:rFonts w:ascii="Garamond" w:hAnsi="Garamond"/>
                <w:b/>
                <w:lang w:val="en-AU"/>
              </w:rPr>
              <w:t>FDA’s Expedited Review</w:t>
            </w:r>
            <w:r w:rsidRPr="00FA45E8">
              <w:rPr>
                <w:rFonts w:ascii="Garamond" w:hAnsi="Garamond"/>
                <w:lang w:val="en-AU"/>
              </w:rPr>
              <w:t xml:space="preserve"> Offer Greater Gains Than Drugs Approved By Conventional Process (James D Chambers, Teja Thorat, Colby L Wilkinson, and Peter J Neumann</w:t>
            </w:r>
            <w:r>
              <w:rPr>
                <w:rFonts w:ascii="Garamond" w:hAnsi="Garamond"/>
                <w:lang w:val="en-AU"/>
              </w:rPr>
              <w:t>)</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lang w:val="en-AU"/>
              </w:rPr>
              <w:lastRenderedPageBreak/>
              <w:t xml:space="preserve">HITECH Act Drove Large Gains In </w:t>
            </w:r>
            <w:r w:rsidRPr="00FA45E8">
              <w:rPr>
                <w:rFonts w:ascii="Garamond" w:hAnsi="Garamond"/>
                <w:b/>
                <w:lang w:val="en-AU"/>
              </w:rPr>
              <w:t>Hospital Electronic Health Record Adoption</w:t>
            </w:r>
            <w:r w:rsidRPr="00FA45E8">
              <w:rPr>
                <w:rFonts w:ascii="Garamond" w:hAnsi="Garamond"/>
                <w:lang w:val="en-AU"/>
              </w:rPr>
              <w:t xml:space="preserve"> (Ju</w:t>
            </w:r>
            <w:r>
              <w:rPr>
                <w:rFonts w:ascii="Garamond" w:hAnsi="Garamond"/>
                <w:lang w:val="en-AU"/>
              </w:rPr>
              <w:t>lia Adler-Milstein and Ashish K</w:t>
            </w:r>
            <w:r w:rsidRPr="00FA45E8">
              <w:rPr>
                <w:rFonts w:ascii="Garamond" w:hAnsi="Garamond"/>
                <w:lang w:val="en-AU"/>
              </w:rPr>
              <w:t xml:space="preserve"> Jha</w:t>
            </w:r>
            <w:r>
              <w:rPr>
                <w:rFonts w:ascii="Garamond" w:hAnsi="Garamond"/>
                <w:lang w:val="en-AU"/>
              </w:rPr>
              <w:t>)</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lang w:val="en-AU"/>
              </w:rPr>
              <w:t xml:space="preserve">In Madagascar, Use Of Health Care Services Increased When Fees Were Removed: Lessons For </w:t>
            </w:r>
            <w:r w:rsidRPr="00FA45E8">
              <w:rPr>
                <w:rFonts w:ascii="Garamond" w:hAnsi="Garamond"/>
                <w:b/>
                <w:lang w:val="en-AU"/>
              </w:rPr>
              <w:t>Universal Health Coverage</w:t>
            </w:r>
            <w:r w:rsidRPr="00FA45E8">
              <w:rPr>
                <w:rFonts w:ascii="Garamond" w:hAnsi="Garamond"/>
                <w:lang w:val="en-AU"/>
              </w:rPr>
              <w:t xml:space="preserve"> (Andres Garchitorena, Ann C Miller, Laura F Cordier, Ranto Ramananjato, Victor R Rabeza, Megan Murray, Amber Cripps, Laura Hall, Paul Farmer, Michael Rich, Arthur Velo Orlan, Alexandre Rabemampionona, Germain Rakotozafy, Damoela Randriantsimaniry, Djordje Gikic, and Matthew H Bonds</w:t>
            </w:r>
            <w:r>
              <w:rPr>
                <w:rFonts w:ascii="Garamond" w:hAnsi="Garamond"/>
                <w:lang w:val="en-AU"/>
              </w:rPr>
              <w:t>)</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lang w:val="en-AU"/>
              </w:rPr>
              <w:t xml:space="preserve">A Voucher System To Speed Review Could Promote A New Generation Of </w:t>
            </w:r>
            <w:r w:rsidRPr="00FA45E8">
              <w:rPr>
                <w:rFonts w:ascii="Garamond" w:hAnsi="Garamond"/>
                <w:b/>
                <w:lang w:val="en-AU"/>
              </w:rPr>
              <w:t>Insecticides</w:t>
            </w:r>
            <w:r w:rsidRPr="00FA45E8">
              <w:rPr>
                <w:rFonts w:ascii="Garamond" w:hAnsi="Garamond"/>
                <w:lang w:val="en-AU"/>
              </w:rPr>
              <w:t xml:space="preserve"> To Fight </w:t>
            </w:r>
            <w:r w:rsidRPr="00FA45E8">
              <w:rPr>
                <w:rFonts w:ascii="Garamond" w:hAnsi="Garamond"/>
                <w:b/>
                <w:lang w:val="en-AU"/>
              </w:rPr>
              <w:t>Vector-Borne Diseases</w:t>
            </w:r>
            <w:r w:rsidRPr="00FA45E8">
              <w:rPr>
                <w:rFonts w:ascii="Garamond" w:hAnsi="Garamond"/>
                <w:lang w:val="en-AU"/>
              </w:rPr>
              <w:t xml:space="preserve"> (David B Ridley, Jeffrey L Moe, and Nick Hamon</w:t>
            </w:r>
            <w:r>
              <w:rPr>
                <w:rFonts w:ascii="Garamond" w:hAnsi="Garamond"/>
                <w:lang w:val="en-AU"/>
              </w:rPr>
              <w:t>)</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lang w:val="en-AU"/>
              </w:rPr>
              <w:t xml:space="preserve">Federally Qualified Health Center Clinicians And Staff Increasingly </w:t>
            </w:r>
            <w:r w:rsidRPr="00FA45E8">
              <w:rPr>
                <w:rFonts w:ascii="Garamond" w:hAnsi="Garamond"/>
                <w:b/>
                <w:lang w:val="en-AU"/>
              </w:rPr>
              <w:t xml:space="preserve">Dissatisfied </w:t>
            </w:r>
            <w:r w:rsidRPr="00FA45E8">
              <w:rPr>
                <w:rFonts w:ascii="Garamond" w:hAnsi="Garamond"/>
                <w:lang w:val="en-AU"/>
              </w:rPr>
              <w:t>With</w:t>
            </w:r>
            <w:r w:rsidRPr="00FA45E8">
              <w:rPr>
                <w:rFonts w:ascii="Garamond" w:hAnsi="Garamond"/>
                <w:b/>
                <w:lang w:val="en-AU"/>
              </w:rPr>
              <w:t xml:space="preserve"> Workplace Conditions</w:t>
            </w:r>
            <w:r w:rsidRPr="00FA45E8">
              <w:rPr>
                <w:rFonts w:ascii="Garamond" w:hAnsi="Garamond"/>
                <w:lang w:val="en-AU"/>
              </w:rPr>
              <w:t xml:space="preserve"> (Mark W Friedberg, Rachel O Reid, Justin W Timbie, Claude Setodji, Aaron Kofner, Beverly Weidmer, and Katherine Kahn</w:t>
            </w:r>
            <w:r>
              <w:rPr>
                <w:rFonts w:ascii="Garamond" w:hAnsi="Garamond"/>
                <w:lang w:val="en-AU"/>
              </w:rPr>
              <w:t>)</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lang w:val="en-AU"/>
              </w:rPr>
              <w:t xml:space="preserve">The Population </w:t>
            </w:r>
            <w:r w:rsidRPr="00FA45E8">
              <w:rPr>
                <w:rFonts w:ascii="Garamond" w:hAnsi="Garamond"/>
                <w:b/>
                <w:lang w:val="en-AU"/>
              </w:rPr>
              <w:t xml:space="preserve">Health Benefits </w:t>
            </w:r>
            <w:r w:rsidRPr="00FA45E8">
              <w:rPr>
                <w:rFonts w:ascii="Garamond" w:hAnsi="Garamond"/>
                <w:lang w:val="en-AU"/>
              </w:rPr>
              <w:t>Of A</w:t>
            </w:r>
            <w:r w:rsidRPr="00FA45E8">
              <w:rPr>
                <w:rFonts w:ascii="Garamond" w:hAnsi="Garamond"/>
                <w:b/>
                <w:lang w:val="en-AU"/>
              </w:rPr>
              <w:t xml:space="preserve"> Healthy Lifestyle</w:t>
            </w:r>
            <w:r w:rsidRPr="00FA45E8">
              <w:rPr>
                <w:rFonts w:ascii="Garamond" w:hAnsi="Garamond"/>
                <w:lang w:val="en-AU"/>
              </w:rPr>
              <w:t>: Life Expectancy Increased And Onset Of Disability Delayed (Neil Mehta and Mikko Myrskylä</w:t>
            </w:r>
            <w:r>
              <w:rPr>
                <w:rFonts w:ascii="Garamond" w:hAnsi="Garamond"/>
                <w:lang w:val="en-AU"/>
              </w:rPr>
              <w:t>)</w:t>
            </w:r>
          </w:p>
          <w:p w:rsidR="00FA45E8" w:rsidRPr="00FA45E8" w:rsidRDefault="00FA45E8" w:rsidP="00FA45E8">
            <w:pPr>
              <w:pStyle w:val="ListParagraph"/>
              <w:numPr>
                <w:ilvl w:val="0"/>
                <w:numId w:val="30"/>
              </w:numPr>
              <w:rPr>
                <w:rFonts w:ascii="Garamond" w:hAnsi="Garamond"/>
                <w:lang w:val="en-AU"/>
              </w:rPr>
            </w:pPr>
            <w:r w:rsidRPr="00FA45E8">
              <w:rPr>
                <w:rFonts w:ascii="Garamond" w:hAnsi="Garamond"/>
                <w:lang w:val="en-AU"/>
              </w:rPr>
              <w:t xml:space="preserve">The Affordable Care Act Reduced </w:t>
            </w:r>
            <w:r w:rsidRPr="00FA45E8">
              <w:rPr>
                <w:rFonts w:ascii="Garamond" w:hAnsi="Garamond"/>
                <w:b/>
                <w:lang w:val="en-AU"/>
              </w:rPr>
              <w:t>Socioeconomic Disparities</w:t>
            </w:r>
            <w:r w:rsidRPr="00FA45E8">
              <w:rPr>
                <w:rFonts w:ascii="Garamond" w:hAnsi="Garamond"/>
                <w:lang w:val="en-AU"/>
              </w:rPr>
              <w:t xml:space="preserve"> In Health Care Access (Kevin Griffith, Leigh Evans, and Jacob Bor</w:t>
            </w:r>
            <w:r>
              <w:rPr>
                <w:rFonts w:ascii="Garamond" w:hAnsi="Garamond"/>
                <w:lang w:val="en-AU"/>
              </w:rPr>
              <w:t>)</w:t>
            </w:r>
          </w:p>
          <w:p w:rsidR="00071C0D" w:rsidRPr="00215DEB" w:rsidRDefault="00FA45E8" w:rsidP="00FA45E8">
            <w:pPr>
              <w:pStyle w:val="ListParagraph"/>
              <w:numPr>
                <w:ilvl w:val="0"/>
                <w:numId w:val="30"/>
              </w:numPr>
              <w:rPr>
                <w:rFonts w:ascii="Garamond" w:hAnsi="Garamond"/>
                <w:lang w:val="en-AU"/>
              </w:rPr>
            </w:pPr>
            <w:r w:rsidRPr="00FA45E8">
              <w:rPr>
                <w:rFonts w:ascii="Garamond" w:hAnsi="Garamond"/>
                <w:lang w:val="en-AU"/>
              </w:rPr>
              <w:t xml:space="preserve">The Battle Of The </w:t>
            </w:r>
            <w:r w:rsidRPr="00FA45E8">
              <w:rPr>
                <w:rFonts w:ascii="Garamond" w:hAnsi="Garamond"/>
                <w:b/>
                <w:lang w:val="en-AU"/>
              </w:rPr>
              <w:t>Bundle</w:t>
            </w:r>
            <w:r w:rsidRPr="00FA45E8">
              <w:rPr>
                <w:rFonts w:ascii="Garamond" w:hAnsi="Garamond"/>
                <w:lang w:val="en-AU"/>
              </w:rPr>
              <w:t xml:space="preserve">: Lessons From My Mother’s Partial </w:t>
            </w:r>
            <w:r w:rsidRPr="00FA45E8">
              <w:rPr>
                <w:rFonts w:ascii="Garamond" w:hAnsi="Garamond"/>
                <w:b/>
                <w:lang w:val="en-AU"/>
              </w:rPr>
              <w:t>Hip Replacement</w:t>
            </w:r>
            <w:r>
              <w:rPr>
                <w:rFonts w:ascii="Garamond" w:hAnsi="Garamond"/>
                <w:lang w:val="en-AU"/>
              </w:rPr>
              <w:t xml:space="preserve"> (</w:t>
            </w:r>
            <w:r w:rsidRPr="00FA45E8">
              <w:rPr>
                <w:rFonts w:ascii="Garamond" w:hAnsi="Garamond"/>
                <w:lang w:val="en-AU"/>
              </w:rPr>
              <w:t>Timothy Hoff</w:t>
            </w:r>
            <w:r>
              <w:rPr>
                <w:rFonts w:ascii="Garamond" w:hAnsi="Garamond"/>
                <w:lang w:val="en-AU"/>
              </w:rPr>
              <w:t>)</w:t>
            </w:r>
          </w:p>
        </w:tc>
      </w:tr>
    </w:tbl>
    <w:p w:rsidR="00F8172B" w:rsidRDefault="00F8172B" w:rsidP="00E94F83">
      <w:pPr>
        <w:keepNext/>
        <w:rPr>
          <w:rFonts w:ascii="Garamond" w:hAnsi="Garamond"/>
          <w:lang w:val="en-AU"/>
        </w:rPr>
      </w:pPr>
    </w:p>
    <w:p w:rsidR="00FA45E8" w:rsidRPr="00F8172B" w:rsidRDefault="00FA45E8" w:rsidP="00E94F83">
      <w:pPr>
        <w:keepNext/>
        <w:rPr>
          <w:rFonts w:ascii="Garamond" w:hAnsi="Garamond"/>
          <w:lang w:val="en-AU"/>
        </w:rPr>
      </w:pPr>
    </w:p>
    <w:p w:rsidR="00177F9F" w:rsidRPr="00D9161E" w:rsidRDefault="00177F9F" w:rsidP="00177F9F">
      <w:pPr>
        <w:keepNext/>
        <w:rPr>
          <w:rFonts w:ascii="Garamond" w:hAnsi="Garamond"/>
          <w:lang w:val="en-AU"/>
        </w:rPr>
      </w:pPr>
      <w:r w:rsidRPr="00D9161E">
        <w:rPr>
          <w:rFonts w:ascii="Garamond" w:hAnsi="Garamond"/>
          <w:i/>
          <w:lang w:val="en-AU"/>
        </w:rPr>
        <w:t xml:space="preserve">BMJ Quality and Safety </w:t>
      </w:r>
      <w:r w:rsidRPr="00D9161E">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77F9F" w:rsidRPr="00D9161E" w:rsidTr="00BD6A15">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keepNext/>
              <w:rPr>
                <w:rFonts w:ascii="Garamond" w:hAnsi="Garamond"/>
                <w:lang w:val="en-AU"/>
              </w:rPr>
            </w:pPr>
            <w:r w:rsidRPr="00D9161E">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77F9F" w:rsidRPr="00D9161E" w:rsidRDefault="00AA29F2" w:rsidP="00BD6A15">
            <w:pPr>
              <w:keepNext/>
              <w:rPr>
                <w:rFonts w:ascii="Garamond" w:hAnsi="Garamond"/>
                <w:lang w:val="en-AU"/>
              </w:rPr>
            </w:pPr>
            <w:hyperlink r:id="rId33" w:history="1">
              <w:r w:rsidR="00A3512D" w:rsidRPr="00E02123">
                <w:rPr>
                  <w:rStyle w:val="Hyperlink"/>
                  <w:rFonts w:ascii="Garamond" w:hAnsi="Garamond"/>
                  <w:lang w:val="en-AU"/>
                </w:rPr>
                <w:t>https://qualitysafety.bmj.com/content/early/recent</w:t>
              </w:r>
            </w:hyperlink>
          </w:p>
        </w:tc>
      </w:tr>
      <w:tr w:rsidR="00177F9F" w:rsidRPr="00D9161E" w:rsidTr="00BD6A15">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rPr>
                <w:rFonts w:ascii="Garamond" w:hAnsi="Garamond"/>
                <w:lang w:val="en-AU"/>
              </w:rPr>
            </w:pPr>
            <w:r w:rsidRPr="00D9161E">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77F9F" w:rsidRPr="00D9161E" w:rsidRDefault="00177F9F" w:rsidP="00BD6A15">
            <w:pPr>
              <w:rPr>
                <w:rFonts w:ascii="Garamond" w:hAnsi="Garamond"/>
                <w:lang w:val="en-AU"/>
              </w:rPr>
            </w:pPr>
            <w:r w:rsidRPr="00D9161E">
              <w:rPr>
                <w:rFonts w:ascii="Garamond" w:hAnsi="Garamond"/>
                <w:i/>
                <w:lang w:val="en-AU"/>
              </w:rPr>
              <w:t>BMJ Quality and Safety</w:t>
            </w:r>
            <w:r w:rsidRPr="00D9161E">
              <w:rPr>
                <w:rFonts w:ascii="Garamond" w:hAnsi="Garamond"/>
                <w:lang w:val="en-AU"/>
              </w:rPr>
              <w:t xml:space="preserve"> has published a number of ‘online first’ articles, including:</w:t>
            </w:r>
          </w:p>
          <w:p w:rsidR="00B35735" w:rsidRPr="00B35735" w:rsidRDefault="00B35735" w:rsidP="00B35735">
            <w:pPr>
              <w:pStyle w:val="ListParagraph"/>
              <w:numPr>
                <w:ilvl w:val="0"/>
                <w:numId w:val="14"/>
              </w:numPr>
              <w:rPr>
                <w:rFonts w:ascii="Garamond" w:hAnsi="Garamond"/>
                <w:lang w:val="en-AU"/>
              </w:rPr>
            </w:pPr>
            <w:r w:rsidRPr="00B35735">
              <w:rPr>
                <w:rFonts w:ascii="Garamond" w:hAnsi="Garamond"/>
                <w:lang w:val="en-AU"/>
              </w:rPr>
              <w:t xml:space="preserve">Determining the optimal place and time for </w:t>
            </w:r>
            <w:r w:rsidRPr="00B35735">
              <w:rPr>
                <w:rFonts w:ascii="Garamond" w:hAnsi="Garamond"/>
                <w:b/>
                <w:lang w:val="en-AU"/>
              </w:rPr>
              <w:t>procedural education</w:t>
            </w:r>
            <w:r w:rsidRPr="00B35735">
              <w:rPr>
                <w:rFonts w:ascii="Garamond" w:hAnsi="Garamond"/>
                <w:lang w:val="en-AU"/>
              </w:rPr>
              <w:t xml:space="preserve"> (Martin V Pusic, Marc M Triola</w:t>
            </w:r>
            <w:r>
              <w:rPr>
                <w:rFonts w:ascii="Garamond" w:hAnsi="Garamond"/>
                <w:lang w:val="en-AU"/>
              </w:rPr>
              <w:t>)</w:t>
            </w:r>
          </w:p>
          <w:p w:rsidR="00B35735" w:rsidRPr="002028F9" w:rsidRDefault="00B35735" w:rsidP="00B35735">
            <w:pPr>
              <w:pStyle w:val="ListParagraph"/>
              <w:numPr>
                <w:ilvl w:val="0"/>
                <w:numId w:val="14"/>
              </w:numPr>
              <w:rPr>
                <w:rFonts w:ascii="Garamond" w:hAnsi="Garamond"/>
                <w:lang w:val="en-AU"/>
              </w:rPr>
            </w:pPr>
            <w:r w:rsidRPr="002028F9">
              <w:rPr>
                <w:rFonts w:ascii="Garamond" w:hAnsi="Garamond"/>
                <w:lang w:val="en-AU"/>
              </w:rPr>
              <w:t xml:space="preserve">Getting back on track: a systematic review of the outcomes of </w:t>
            </w:r>
            <w:r w:rsidRPr="002028F9">
              <w:rPr>
                <w:rFonts w:ascii="Garamond" w:hAnsi="Garamond"/>
                <w:b/>
                <w:lang w:val="en-AU"/>
              </w:rPr>
              <w:t>remediation and rehabilitation programmes for healthcare professionals</w:t>
            </w:r>
            <w:r w:rsidRPr="002028F9">
              <w:rPr>
                <w:rFonts w:ascii="Garamond" w:hAnsi="Garamond"/>
                <w:lang w:val="en-AU"/>
              </w:rPr>
              <w:t xml:space="preserve"> with performance concerns</w:t>
            </w:r>
            <w:r w:rsidR="002028F9" w:rsidRPr="002028F9">
              <w:rPr>
                <w:rFonts w:ascii="Garamond" w:hAnsi="Garamond"/>
                <w:lang w:val="en-AU"/>
              </w:rPr>
              <w:t xml:space="preserve"> (</w:t>
            </w:r>
            <w:r w:rsidRPr="002028F9">
              <w:rPr>
                <w:rFonts w:ascii="Garamond" w:hAnsi="Garamond"/>
                <w:lang w:val="en-AU"/>
              </w:rPr>
              <w:t>Jan-Willem Weenink, Rudolf B Kool, Ronald H Bartels, Gert P Westert</w:t>
            </w:r>
            <w:r w:rsidR="002028F9">
              <w:rPr>
                <w:rFonts w:ascii="Garamond" w:hAnsi="Garamond"/>
                <w:lang w:val="en-AU"/>
              </w:rPr>
              <w:t>)</w:t>
            </w:r>
          </w:p>
          <w:p w:rsidR="00B35735" w:rsidRPr="002028F9" w:rsidRDefault="00B35735" w:rsidP="00B35735">
            <w:pPr>
              <w:pStyle w:val="ListParagraph"/>
              <w:numPr>
                <w:ilvl w:val="0"/>
                <w:numId w:val="14"/>
              </w:numPr>
              <w:rPr>
                <w:rFonts w:ascii="Garamond" w:hAnsi="Garamond"/>
                <w:lang w:val="en-AU"/>
              </w:rPr>
            </w:pPr>
            <w:r w:rsidRPr="002028F9">
              <w:rPr>
                <w:rFonts w:ascii="Garamond" w:hAnsi="Garamond"/>
                <w:b/>
                <w:lang w:val="en-AU"/>
              </w:rPr>
              <w:t xml:space="preserve">Malpractice claims </w:t>
            </w:r>
            <w:r w:rsidRPr="002028F9">
              <w:rPr>
                <w:rFonts w:ascii="Garamond" w:hAnsi="Garamond"/>
                <w:lang w:val="en-AU"/>
              </w:rPr>
              <w:t>related to</w:t>
            </w:r>
            <w:r w:rsidRPr="002028F9">
              <w:rPr>
                <w:rFonts w:ascii="Garamond" w:hAnsi="Garamond"/>
                <w:b/>
                <w:lang w:val="en-AU"/>
              </w:rPr>
              <w:t xml:space="preserve"> diagnostic errors</w:t>
            </w:r>
            <w:r w:rsidRPr="002028F9">
              <w:rPr>
                <w:rFonts w:ascii="Garamond" w:hAnsi="Garamond"/>
                <w:lang w:val="en-AU"/>
              </w:rPr>
              <w:t xml:space="preserve"> in the hospital</w:t>
            </w:r>
            <w:r w:rsidR="002028F9" w:rsidRPr="002028F9">
              <w:rPr>
                <w:rFonts w:ascii="Garamond" w:hAnsi="Garamond"/>
                <w:lang w:val="en-AU"/>
              </w:rPr>
              <w:t xml:space="preserve"> (</w:t>
            </w:r>
            <w:r w:rsidRPr="002028F9">
              <w:rPr>
                <w:rFonts w:ascii="Garamond" w:hAnsi="Garamond"/>
                <w:lang w:val="en-AU"/>
              </w:rPr>
              <w:t>Ashwin Gupta, Ashley Snyder, Allen Kachalia, Scott Flanders, Sanjay Saint, V Chopra</w:t>
            </w:r>
            <w:r w:rsidR="002028F9">
              <w:rPr>
                <w:rFonts w:ascii="Garamond" w:hAnsi="Garamond"/>
                <w:lang w:val="en-AU"/>
              </w:rPr>
              <w:t>)</w:t>
            </w:r>
          </w:p>
          <w:p w:rsidR="0017236D" w:rsidRPr="0017236D" w:rsidRDefault="0017236D" w:rsidP="0017236D">
            <w:pPr>
              <w:pStyle w:val="ListParagraph"/>
              <w:numPr>
                <w:ilvl w:val="0"/>
                <w:numId w:val="14"/>
              </w:numPr>
              <w:rPr>
                <w:rFonts w:ascii="Garamond" w:hAnsi="Garamond"/>
                <w:lang w:val="en-AU"/>
              </w:rPr>
            </w:pPr>
            <w:r w:rsidRPr="0017236D">
              <w:rPr>
                <w:rFonts w:ascii="Garamond" w:hAnsi="Garamond"/>
                <w:lang w:val="en-AU"/>
              </w:rPr>
              <w:t xml:space="preserve">Identifying patient and practice characteristics associated with </w:t>
            </w:r>
            <w:r w:rsidRPr="0017236D">
              <w:rPr>
                <w:rFonts w:ascii="Garamond" w:hAnsi="Garamond"/>
                <w:b/>
                <w:lang w:val="en-AU"/>
              </w:rPr>
              <w:t>patient-reported experiences of safety problems and harm</w:t>
            </w:r>
            <w:r w:rsidRPr="0017236D">
              <w:rPr>
                <w:rFonts w:ascii="Garamond" w:hAnsi="Garamond"/>
                <w:lang w:val="en-AU"/>
              </w:rPr>
              <w:t>: a cross-sectional study using a multilevel modelling approach (Ignacio Ricci-Cabello, David Reeves</w:t>
            </w:r>
            <w:r>
              <w:rPr>
                <w:rFonts w:ascii="Garamond" w:hAnsi="Garamond"/>
                <w:lang w:val="en-AU"/>
              </w:rPr>
              <w:t>, Brian G Bell, Jose M Valderas)</w:t>
            </w:r>
          </w:p>
          <w:p w:rsidR="0017236D" w:rsidRPr="0017236D" w:rsidRDefault="0017236D" w:rsidP="0017236D">
            <w:pPr>
              <w:pStyle w:val="ListParagraph"/>
              <w:numPr>
                <w:ilvl w:val="0"/>
                <w:numId w:val="14"/>
              </w:numPr>
              <w:rPr>
                <w:rFonts w:ascii="Garamond" w:hAnsi="Garamond"/>
                <w:lang w:val="en-AU"/>
              </w:rPr>
            </w:pPr>
            <w:r w:rsidRPr="0017236D">
              <w:rPr>
                <w:rFonts w:ascii="Garamond" w:hAnsi="Garamond"/>
                <w:lang w:val="en-AU"/>
              </w:rPr>
              <w:t xml:space="preserve">Problems with </w:t>
            </w:r>
            <w:r w:rsidRPr="0017236D">
              <w:rPr>
                <w:rFonts w:ascii="Garamond" w:hAnsi="Garamond"/>
                <w:b/>
                <w:lang w:val="en-AU"/>
              </w:rPr>
              <w:t>discharge summaries</w:t>
            </w:r>
            <w:r w:rsidRPr="0017236D">
              <w:rPr>
                <w:rFonts w:ascii="Garamond" w:hAnsi="Garamond"/>
                <w:lang w:val="en-AU"/>
              </w:rPr>
              <w:t xml:space="preserve"> produced by </w:t>
            </w:r>
            <w:r w:rsidRPr="0017236D">
              <w:rPr>
                <w:rFonts w:ascii="Garamond" w:hAnsi="Garamond"/>
                <w:b/>
                <w:lang w:val="en-AU"/>
              </w:rPr>
              <w:t>electronic health records</w:t>
            </w:r>
            <w:r w:rsidRPr="0017236D">
              <w:rPr>
                <w:rFonts w:ascii="Garamond" w:hAnsi="Garamond"/>
                <w:lang w:val="en-AU"/>
              </w:rPr>
              <w:t>: why are the vendors not named? (</w:t>
            </w:r>
            <w:r>
              <w:rPr>
                <w:rFonts w:ascii="Garamond" w:hAnsi="Garamond"/>
                <w:lang w:val="en-AU"/>
              </w:rPr>
              <w:t>Walter Joseph O'Donnell)</w:t>
            </w:r>
          </w:p>
          <w:p w:rsidR="0017236D" w:rsidRPr="0017236D" w:rsidRDefault="0017236D" w:rsidP="0017236D">
            <w:pPr>
              <w:pStyle w:val="ListParagraph"/>
              <w:numPr>
                <w:ilvl w:val="0"/>
                <w:numId w:val="14"/>
              </w:numPr>
              <w:rPr>
                <w:rFonts w:ascii="Garamond" w:hAnsi="Garamond"/>
                <w:lang w:val="en-AU"/>
              </w:rPr>
            </w:pPr>
            <w:r w:rsidRPr="0017236D">
              <w:rPr>
                <w:rFonts w:ascii="Garamond" w:hAnsi="Garamond"/>
                <w:lang w:val="en-AU"/>
              </w:rPr>
              <w:t xml:space="preserve">Controlled trial to improve </w:t>
            </w:r>
            <w:r w:rsidRPr="0017236D">
              <w:rPr>
                <w:rFonts w:ascii="Garamond" w:hAnsi="Garamond"/>
                <w:b/>
                <w:lang w:val="en-AU"/>
              </w:rPr>
              <w:t>resident sign-out</w:t>
            </w:r>
            <w:r w:rsidRPr="0017236D">
              <w:rPr>
                <w:rFonts w:ascii="Garamond" w:hAnsi="Garamond"/>
                <w:lang w:val="en-AU"/>
              </w:rPr>
              <w:t xml:space="preserve"> in a medical </w:t>
            </w:r>
            <w:r w:rsidRPr="0017236D">
              <w:rPr>
                <w:rFonts w:ascii="Garamond" w:hAnsi="Garamond"/>
                <w:b/>
                <w:lang w:val="en-AU"/>
              </w:rPr>
              <w:t>intensive care unit</w:t>
            </w:r>
            <w:r w:rsidRPr="0017236D">
              <w:rPr>
                <w:rFonts w:ascii="Garamond" w:hAnsi="Garamond"/>
                <w:lang w:val="en-AU"/>
              </w:rPr>
              <w:t xml:space="preserve"> (Rahul Nanchal, Brian Aebly, Gabrielle Graves, Jonathon Truwit, Gagan Kumar, Amit Taneja, Gaurav Dagar, Jeanette Graf, Erin Hubertz, Vijaya Ramalingam, Kathlyn E Fletcher</w:t>
            </w:r>
            <w:r>
              <w:rPr>
                <w:rFonts w:ascii="Garamond" w:hAnsi="Garamond"/>
                <w:lang w:val="en-AU"/>
              </w:rPr>
              <w:t>)</w:t>
            </w:r>
          </w:p>
          <w:p w:rsidR="0062560A" w:rsidRPr="00D9161E" w:rsidRDefault="00D722F0" w:rsidP="002028F9">
            <w:pPr>
              <w:pStyle w:val="ListParagraph"/>
              <w:numPr>
                <w:ilvl w:val="0"/>
                <w:numId w:val="14"/>
              </w:numPr>
              <w:rPr>
                <w:rFonts w:ascii="Garamond" w:hAnsi="Garamond"/>
                <w:lang w:val="en-AU"/>
              </w:rPr>
            </w:pPr>
            <w:r w:rsidRPr="00D722F0">
              <w:rPr>
                <w:rFonts w:ascii="Garamond" w:hAnsi="Garamond"/>
                <w:lang w:val="en-AU"/>
              </w:rPr>
              <w:t xml:space="preserve">Nursing home </w:t>
            </w:r>
            <w:r w:rsidRPr="00D722F0">
              <w:rPr>
                <w:rFonts w:ascii="Garamond" w:hAnsi="Garamond"/>
                <w:b/>
                <w:lang w:val="en-AU"/>
              </w:rPr>
              <w:t>Facebook reviews</w:t>
            </w:r>
            <w:r w:rsidRPr="00D722F0">
              <w:rPr>
                <w:rFonts w:ascii="Garamond" w:hAnsi="Garamond"/>
                <w:lang w:val="en-AU"/>
              </w:rPr>
              <w:t xml:space="preserve">: who has them, and how do they relate to other measures of quality and experience? </w:t>
            </w:r>
            <w:r>
              <w:rPr>
                <w:rFonts w:ascii="Garamond" w:hAnsi="Garamond"/>
                <w:lang w:val="en-AU"/>
              </w:rPr>
              <w:t>(</w:t>
            </w:r>
            <w:r w:rsidRPr="00D722F0">
              <w:rPr>
                <w:rFonts w:ascii="Garamond" w:hAnsi="Garamond"/>
                <w:lang w:val="en-AU"/>
              </w:rPr>
              <w:t>Jennifer Gaudet Hefele, Yue Li, Lauren Campbell, Adrita Barooah, Joyce Wang</w:t>
            </w:r>
            <w:r>
              <w:rPr>
                <w:rFonts w:ascii="Garamond" w:hAnsi="Garamond"/>
                <w:lang w:val="en-AU"/>
              </w:rPr>
              <w:t>)</w:t>
            </w:r>
          </w:p>
        </w:tc>
      </w:tr>
    </w:tbl>
    <w:p w:rsidR="00177F9F" w:rsidRPr="00D9161E" w:rsidRDefault="00177F9F" w:rsidP="008020AC">
      <w:pPr>
        <w:rPr>
          <w:rFonts w:ascii="Garamond" w:hAnsi="Garamond"/>
          <w:lang w:val="en-AU" w:eastAsia="en-AU"/>
        </w:rPr>
      </w:pPr>
    </w:p>
    <w:p w:rsidR="00177F9F" w:rsidRPr="00D9161E" w:rsidRDefault="00177F9F" w:rsidP="00177F9F">
      <w:pPr>
        <w:keepNext/>
        <w:rPr>
          <w:rFonts w:ascii="Garamond" w:hAnsi="Garamond"/>
          <w:lang w:val="en-AU"/>
        </w:rPr>
      </w:pPr>
      <w:r w:rsidRPr="00D9161E">
        <w:rPr>
          <w:rFonts w:ascii="Garamond" w:hAnsi="Garamond"/>
          <w:i/>
          <w:lang w:val="en-AU"/>
        </w:rPr>
        <w:lastRenderedPageBreak/>
        <w:t xml:space="preserve">International Journal for Quality in Health Care </w:t>
      </w:r>
      <w:r w:rsidRPr="00D9161E">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77F9F" w:rsidRPr="00D9161E"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keepNext/>
              <w:rPr>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D9161E" w:rsidRDefault="00AA29F2" w:rsidP="00BD6A15">
            <w:pPr>
              <w:keepNext/>
              <w:rPr>
                <w:rFonts w:ascii="Garamond" w:hAnsi="Garamond"/>
                <w:lang w:val="en-AU"/>
              </w:rPr>
            </w:pPr>
            <w:hyperlink r:id="rId34" w:history="1">
              <w:r w:rsidR="00177F9F" w:rsidRPr="00D9161E">
                <w:rPr>
                  <w:rStyle w:val="Hyperlink"/>
                  <w:rFonts w:ascii="Garamond" w:hAnsi="Garamond"/>
                  <w:lang w:val="en-AU"/>
                </w:rPr>
                <w:t>https://academic.oup.com/intqhc/advance-access?papetoc</w:t>
              </w:r>
            </w:hyperlink>
          </w:p>
        </w:tc>
      </w:tr>
      <w:tr w:rsidR="00177F9F" w:rsidRPr="00D9161E" w:rsidTr="00BD6A15">
        <w:tc>
          <w:tcPr>
            <w:tcW w:w="10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rPr>
                <w:rFonts w:ascii="Garamond" w:hAnsi="Garamond"/>
                <w:lang w:val="en-AU"/>
              </w:rPr>
            </w:pPr>
            <w:r w:rsidRPr="00D9161E">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7F9F" w:rsidRPr="00D9161E" w:rsidRDefault="00177F9F" w:rsidP="00BD6A15">
            <w:pPr>
              <w:rPr>
                <w:rFonts w:ascii="Garamond" w:hAnsi="Garamond"/>
                <w:lang w:val="en-AU"/>
              </w:rPr>
            </w:pPr>
            <w:r w:rsidRPr="00D9161E">
              <w:rPr>
                <w:rFonts w:ascii="Garamond" w:hAnsi="Garamond"/>
                <w:i/>
                <w:lang w:val="en-AU"/>
              </w:rPr>
              <w:t xml:space="preserve">International Journal for Quality in Health Care </w:t>
            </w:r>
            <w:r w:rsidRPr="00D9161E">
              <w:rPr>
                <w:rFonts w:ascii="Garamond" w:hAnsi="Garamond"/>
                <w:lang w:val="en-AU"/>
              </w:rPr>
              <w:t>has published a number of ‘online first’ articles, including:</w:t>
            </w:r>
          </w:p>
          <w:p w:rsidR="00F00164" w:rsidRDefault="00F00164" w:rsidP="00F00164">
            <w:pPr>
              <w:pStyle w:val="ListParagraph"/>
              <w:numPr>
                <w:ilvl w:val="0"/>
                <w:numId w:val="14"/>
              </w:numPr>
              <w:rPr>
                <w:rFonts w:ascii="Garamond" w:hAnsi="Garamond"/>
                <w:lang w:val="en-AU"/>
              </w:rPr>
            </w:pPr>
            <w:r w:rsidRPr="00F00164">
              <w:rPr>
                <w:rFonts w:ascii="Garamond" w:hAnsi="Garamond"/>
                <w:lang w:val="en-AU"/>
              </w:rPr>
              <w:t xml:space="preserve">Dutch surgeons’ views on the </w:t>
            </w:r>
            <w:r w:rsidRPr="00F00164">
              <w:rPr>
                <w:rFonts w:ascii="Garamond" w:hAnsi="Garamond"/>
                <w:b/>
                <w:lang w:val="en-AU"/>
              </w:rPr>
              <w:t>volume–outcome mechanism in surgery</w:t>
            </w:r>
            <w:r w:rsidRPr="00F00164">
              <w:rPr>
                <w:rFonts w:ascii="Garamond" w:hAnsi="Garamond"/>
                <w:lang w:val="en-AU"/>
              </w:rPr>
              <w:t>: A qualitative interview study (R Mesman; M</w:t>
            </w:r>
            <w:r>
              <w:rPr>
                <w:rFonts w:ascii="Garamond" w:hAnsi="Garamond"/>
                <w:lang w:val="en-AU"/>
              </w:rPr>
              <w:t xml:space="preserve"> </w:t>
            </w:r>
            <w:r w:rsidRPr="00F00164">
              <w:rPr>
                <w:rFonts w:ascii="Garamond" w:hAnsi="Garamond"/>
                <w:lang w:val="en-AU"/>
              </w:rPr>
              <w:t>J Faber; G</w:t>
            </w:r>
            <w:r>
              <w:rPr>
                <w:rFonts w:ascii="Garamond" w:hAnsi="Garamond"/>
                <w:lang w:val="en-AU"/>
              </w:rPr>
              <w:t xml:space="preserve"> </w:t>
            </w:r>
            <w:r w:rsidRPr="00F00164">
              <w:rPr>
                <w:rFonts w:ascii="Garamond" w:hAnsi="Garamond"/>
                <w:lang w:val="en-AU"/>
              </w:rPr>
              <w:t>P Westert; H</w:t>
            </w:r>
            <w:r>
              <w:rPr>
                <w:rFonts w:ascii="Garamond" w:hAnsi="Garamond"/>
                <w:lang w:val="en-AU"/>
              </w:rPr>
              <w:t xml:space="preserve"> </w:t>
            </w:r>
            <w:r w:rsidRPr="00F00164">
              <w:rPr>
                <w:rFonts w:ascii="Garamond" w:hAnsi="Garamond"/>
                <w:lang w:val="en-AU"/>
              </w:rPr>
              <w:t>J</w:t>
            </w:r>
            <w:r>
              <w:rPr>
                <w:rFonts w:ascii="Garamond" w:hAnsi="Garamond"/>
                <w:lang w:val="en-AU"/>
              </w:rPr>
              <w:t xml:space="preserve"> </w:t>
            </w:r>
            <w:r w:rsidRPr="00F00164">
              <w:rPr>
                <w:rFonts w:ascii="Garamond" w:hAnsi="Garamond"/>
                <w:lang w:val="en-AU"/>
              </w:rPr>
              <w:t>J</w:t>
            </w:r>
            <w:r>
              <w:rPr>
                <w:rFonts w:ascii="Garamond" w:hAnsi="Garamond"/>
                <w:lang w:val="en-AU"/>
              </w:rPr>
              <w:t xml:space="preserve"> </w:t>
            </w:r>
            <w:r w:rsidRPr="00F00164">
              <w:rPr>
                <w:rFonts w:ascii="Garamond" w:hAnsi="Garamond"/>
                <w:lang w:val="en-AU"/>
              </w:rPr>
              <w:t>M</w:t>
            </w:r>
            <w:r>
              <w:rPr>
                <w:rFonts w:ascii="Garamond" w:hAnsi="Garamond"/>
                <w:lang w:val="en-AU"/>
              </w:rPr>
              <w:t xml:space="preserve"> Berden)</w:t>
            </w:r>
          </w:p>
          <w:p w:rsidR="0062560A" w:rsidRDefault="00F00164" w:rsidP="0062560A">
            <w:pPr>
              <w:pStyle w:val="ListParagraph"/>
              <w:numPr>
                <w:ilvl w:val="0"/>
                <w:numId w:val="14"/>
              </w:numPr>
              <w:rPr>
                <w:rFonts w:ascii="Garamond" w:hAnsi="Garamond"/>
                <w:lang w:val="en-AU"/>
              </w:rPr>
            </w:pPr>
            <w:r w:rsidRPr="00F00164">
              <w:rPr>
                <w:rFonts w:ascii="Garamond" w:hAnsi="Garamond"/>
                <w:lang w:val="en-AU"/>
              </w:rPr>
              <w:t xml:space="preserve">What works in implementation of </w:t>
            </w:r>
            <w:r w:rsidRPr="00F00164">
              <w:rPr>
                <w:rFonts w:ascii="Garamond" w:hAnsi="Garamond"/>
                <w:b/>
                <w:lang w:val="en-AU"/>
              </w:rPr>
              <w:t>integrated care</w:t>
            </w:r>
            <w:r w:rsidRPr="00F00164">
              <w:rPr>
                <w:rFonts w:ascii="Garamond" w:hAnsi="Garamond"/>
                <w:lang w:val="en-AU"/>
              </w:rPr>
              <w:t xml:space="preserve"> programs for older adults with </w:t>
            </w:r>
            <w:r w:rsidRPr="00F00164">
              <w:rPr>
                <w:rFonts w:ascii="Garamond" w:hAnsi="Garamond"/>
                <w:b/>
                <w:lang w:val="en-AU"/>
              </w:rPr>
              <w:t>complex needs</w:t>
            </w:r>
            <w:r w:rsidRPr="00F00164">
              <w:rPr>
                <w:rFonts w:ascii="Garamond" w:hAnsi="Garamond"/>
                <w:lang w:val="en-AU"/>
              </w:rPr>
              <w:t>? A realist review (</w:t>
            </w:r>
            <w:r>
              <w:rPr>
                <w:rFonts w:ascii="Garamond" w:hAnsi="Garamond"/>
                <w:lang w:val="en-AU"/>
              </w:rPr>
              <w:t>Maritt Kirst; Jennifer Im</w:t>
            </w:r>
            <w:r w:rsidRPr="00F00164">
              <w:rPr>
                <w:rFonts w:ascii="Garamond" w:hAnsi="Garamond"/>
                <w:lang w:val="en-AU"/>
              </w:rPr>
              <w:t>; Tim Burns; G. Ross Baker; Jodeme Goldhar</w:t>
            </w:r>
            <w:r w:rsidR="0062560A">
              <w:rPr>
                <w:rFonts w:ascii="Garamond" w:hAnsi="Garamond"/>
                <w:lang w:val="en-AU"/>
              </w:rPr>
              <w:t xml:space="preserve">; </w:t>
            </w:r>
            <w:r w:rsidR="0062560A" w:rsidRPr="0062560A">
              <w:rPr>
                <w:rFonts w:ascii="Garamond" w:hAnsi="Garamond"/>
                <w:lang w:val="en-AU"/>
              </w:rPr>
              <w:t>Patricia O’Campo</w:t>
            </w:r>
            <w:r w:rsidR="0062560A">
              <w:rPr>
                <w:rFonts w:ascii="Garamond" w:hAnsi="Garamond"/>
                <w:lang w:val="en-AU"/>
              </w:rPr>
              <w:t>;</w:t>
            </w:r>
            <w:r w:rsidR="0062560A" w:rsidRPr="0062560A">
              <w:rPr>
                <w:rFonts w:ascii="Garamond" w:hAnsi="Garamond"/>
                <w:lang w:val="en-AU"/>
              </w:rPr>
              <w:t xml:space="preserve"> Anne Wojtak</w:t>
            </w:r>
            <w:r w:rsidR="0062560A">
              <w:rPr>
                <w:rFonts w:ascii="Garamond" w:hAnsi="Garamond"/>
                <w:lang w:val="en-AU"/>
              </w:rPr>
              <w:t>; Walter P</w:t>
            </w:r>
            <w:r w:rsidR="0062560A" w:rsidRPr="0062560A">
              <w:rPr>
                <w:rFonts w:ascii="Garamond" w:hAnsi="Garamond"/>
                <w:lang w:val="en-AU"/>
              </w:rPr>
              <w:t xml:space="preserve"> Wodchis</w:t>
            </w:r>
            <w:r w:rsidR="0062560A">
              <w:rPr>
                <w:rFonts w:ascii="Garamond" w:hAnsi="Garamond"/>
                <w:lang w:val="en-AU"/>
              </w:rPr>
              <w:t>)</w:t>
            </w:r>
          </w:p>
          <w:p w:rsidR="00F00164" w:rsidRPr="00F00164" w:rsidRDefault="00F00164" w:rsidP="00F00164">
            <w:pPr>
              <w:pStyle w:val="ListParagraph"/>
              <w:numPr>
                <w:ilvl w:val="0"/>
                <w:numId w:val="14"/>
              </w:numPr>
              <w:rPr>
                <w:rFonts w:ascii="Garamond" w:hAnsi="Garamond"/>
                <w:lang w:val="en-AU"/>
              </w:rPr>
            </w:pPr>
            <w:r w:rsidRPr="00F00164">
              <w:rPr>
                <w:rFonts w:ascii="Garamond" w:hAnsi="Garamond"/>
                <w:b/>
                <w:lang w:val="en-AU"/>
              </w:rPr>
              <w:t>Attitudes towards accreditation</w:t>
            </w:r>
            <w:r w:rsidRPr="00F00164">
              <w:rPr>
                <w:rFonts w:ascii="Garamond" w:hAnsi="Garamond"/>
                <w:lang w:val="en-AU"/>
              </w:rPr>
              <w:t xml:space="preserve"> among hospital employees in Denmark: a cross-sectional survey (Lars Holger Ehlers; Morten Berg Jensen; Katherina Beltoft Simonsen; Gitte Sand Rasmussen ; Jeffrey Braithwaite)</w:t>
            </w:r>
          </w:p>
          <w:p w:rsidR="00F908BB" w:rsidRPr="00D9161E" w:rsidRDefault="00F00164" w:rsidP="002028F9">
            <w:pPr>
              <w:pStyle w:val="ListParagraph"/>
              <w:numPr>
                <w:ilvl w:val="0"/>
                <w:numId w:val="14"/>
              </w:numPr>
              <w:rPr>
                <w:rFonts w:ascii="Garamond" w:hAnsi="Garamond"/>
                <w:lang w:val="en-AU"/>
              </w:rPr>
            </w:pPr>
            <w:r w:rsidRPr="00F00164">
              <w:rPr>
                <w:rFonts w:ascii="Garamond" w:hAnsi="Garamond"/>
                <w:lang w:val="en-AU"/>
              </w:rPr>
              <w:t xml:space="preserve">The </w:t>
            </w:r>
            <w:r w:rsidRPr="00F00164">
              <w:rPr>
                <w:rFonts w:ascii="Garamond" w:hAnsi="Garamond"/>
                <w:b/>
                <w:lang w:val="en-AU"/>
              </w:rPr>
              <w:t>patient-centered medical home</w:t>
            </w:r>
            <w:r w:rsidRPr="00F00164">
              <w:rPr>
                <w:rFonts w:ascii="Garamond" w:hAnsi="Garamond"/>
                <w:lang w:val="en-AU"/>
              </w:rPr>
              <w:t>: a reality for HIV care in Nigeria (Aima A. Ahonkhai ; Ifeyinwa Onwuatuelo; Susan Regan; Abdulkabir Adegoke; Elena Losina</w:t>
            </w:r>
            <w:r w:rsidR="0062560A">
              <w:rPr>
                <w:rFonts w:ascii="Garamond" w:hAnsi="Garamond"/>
                <w:lang w:val="en-AU"/>
              </w:rPr>
              <w:t xml:space="preserve">; </w:t>
            </w:r>
            <w:r w:rsidR="0062560A" w:rsidRPr="0062560A">
              <w:rPr>
                <w:rFonts w:ascii="Garamond" w:hAnsi="Garamond"/>
                <w:lang w:val="en-AU"/>
              </w:rPr>
              <w:t>Bolanle Banigbe</w:t>
            </w:r>
            <w:r w:rsidR="0062560A">
              <w:rPr>
                <w:rFonts w:ascii="Garamond" w:hAnsi="Garamond"/>
                <w:lang w:val="en-AU"/>
              </w:rPr>
              <w:t>;</w:t>
            </w:r>
            <w:r w:rsidR="0062560A" w:rsidRPr="0062560A">
              <w:rPr>
                <w:rFonts w:ascii="Garamond" w:hAnsi="Garamond"/>
                <w:lang w:val="en-AU"/>
              </w:rPr>
              <w:t xml:space="preserve"> Juliet Adeola</w:t>
            </w:r>
            <w:r w:rsidR="0062560A">
              <w:rPr>
                <w:rFonts w:ascii="Garamond" w:hAnsi="Garamond"/>
                <w:lang w:val="en-AU"/>
              </w:rPr>
              <w:t>;</w:t>
            </w:r>
            <w:r w:rsidR="0062560A" w:rsidRPr="0062560A">
              <w:rPr>
                <w:rFonts w:ascii="Garamond" w:hAnsi="Garamond"/>
                <w:lang w:val="en-AU"/>
              </w:rPr>
              <w:t xml:space="preserve"> Timothy G Ferris</w:t>
            </w:r>
            <w:r w:rsidR="0062560A">
              <w:rPr>
                <w:rFonts w:ascii="Garamond" w:hAnsi="Garamond"/>
                <w:lang w:val="en-AU"/>
              </w:rPr>
              <w:t>;</w:t>
            </w:r>
            <w:r w:rsidR="0062560A" w:rsidRPr="0062560A">
              <w:rPr>
                <w:rFonts w:ascii="Garamond" w:hAnsi="Garamond"/>
                <w:lang w:val="en-AU"/>
              </w:rPr>
              <w:t xml:space="preserve"> Prosper Okonkwo</w:t>
            </w:r>
            <w:r w:rsidR="0062560A">
              <w:rPr>
                <w:rFonts w:ascii="Garamond" w:hAnsi="Garamond"/>
                <w:lang w:val="en-AU"/>
              </w:rPr>
              <w:t>;</w:t>
            </w:r>
            <w:r w:rsidR="0062560A" w:rsidRPr="0062560A">
              <w:rPr>
                <w:rFonts w:ascii="Garamond" w:hAnsi="Garamond"/>
                <w:lang w:val="en-AU"/>
              </w:rPr>
              <w:t xml:space="preserve"> Kenneth A Freedberg</w:t>
            </w:r>
            <w:r w:rsidR="0062560A">
              <w:rPr>
                <w:rFonts w:ascii="Garamond" w:hAnsi="Garamond"/>
                <w:lang w:val="en-AU"/>
              </w:rPr>
              <w:t>)</w:t>
            </w:r>
          </w:p>
        </w:tc>
      </w:tr>
    </w:tbl>
    <w:p w:rsidR="00177F9F" w:rsidRDefault="00177F9F" w:rsidP="00177F9F">
      <w:pPr>
        <w:rPr>
          <w:rFonts w:ascii="Garamond" w:hAnsi="Garamond"/>
          <w:lang w:val="en-AU"/>
        </w:rPr>
      </w:pPr>
    </w:p>
    <w:p w:rsidR="00CF3495" w:rsidRPr="00D9161E" w:rsidRDefault="00CF3495" w:rsidP="00177F9F">
      <w:pPr>
        <w:rPr>
          <w:rFonts w:ascii="Garamond" w:hAnsi="Garamond"/>
          <w:lang w:val="en-AU"/>
        </w:rPr>
      </w:pPr>
    </w:p>
    <w:p w:rsidR="00177F9F" w:rsidRPr="00D9161E" w:rsidRDefault="00177F9F" w:rsidP="00177F9F">
      <w:pPr>
        <w:keepNext/>
        <w:rPr>
          <w:rFonts w:ascii="Garamond" w:hAnsi="Garamond"/>
          <w:b/>
          <w:lang w:val="en-AU"/>
        </w:rPr>
      </w:pPr>
      <w:r w:rsidRPr="00D9161E">
        <w:rPr>
          <w:rFonts w:ascii="Garamond" w:hAnsi="Garamond"/>
          <w:b/>
          <w:lang w:val="en-AU"/>
        </w:rPr>
        <w:t>Online resources</w:t>
      </w:r>
    </w:p>
    <w:p w:rsidR="00177F9F" w:rsidRDefault="00177F9F" w:rsidP="00177F9F">
      <w:pPr>
        <w:rPr>
          <w:rFonts w:ascii="Garamond" w:hAnsi="Garamond"/>
          <w:i/>
          <w:lang w:val="en-AU"/>
        </w:rPr>
      </w:pPr>
    </w:p>
    <w:p w:rsidR="00E644A9" w:rsidRDefault="00E644A9" w:rsidP="00177F9F">
      <w:pPr>
        <w:rPr>
          <w:rFonts w:ascii="Garamond" w:hAnsi="Garamond"/>
          <w:i/>
          <w:lang w:val="en-AU"/>
        </w:rPr>
      </w:pPr>
      <w:r>
        <w:rPr>
          <w:rFonts w:ascii="Garamond" w:hAnsi="Garamond"/>
          <w:i/>
          <w:lang w:val="en-AU"/>
        </w:rPr>
        <w:t>Choose Physio</w:t>
      </w:r>
    </w:p>
    <w:p w:rsidR="00E644A9" w:rsidRDefault="00AA29F2" w:rsidP="00177F9F">
      <w:pPr>
        <w:rPr>
          <w:rFonts w:ascii="Garamond" w:hAnsi="Garamond"/>
          <w:lang w:val="en-AU"/>
        </w:rPr>
      </w:pPr>
      <w:hyperlink r:id="rId35" w:history="1">
        <w:r w:rsidR="00E644A9" w:rsidRPr="00257377">
          <w:rPr>
            <w:rStyle w:val="Hyperlink"/>
            <w:rFonts w:ascii="Garamond" w:hAnsi="Garamond"/>
            <w:lang w:val="en-AU"/>
          </w:rPr>
          <w:t>https://choose.physio/</w:t>
        </w:r>
      </w:hyperlink>
    </w:p>
    <w:p w:rsidR="00E644A9" w:rsidRPr="00E644A9" w:rsidRDefault="00E644A9" w:rsidP="00177F9F">
      <w:pPr>
        <w:rPr>
          <w:rFonts w:ascii="Garamond" w:hAnsi="Garamond"/>
          <w:lang w:val="en-AU"/>
        </w:rPr>
      </w:pPr>
      <w:r>
        <w:rPr>
          <w:rFonts w:ascii="Garamond" w:hAnsi="Garamond"/>
          <w:lang w:val="en-AU"/>
        </w:rPr>
        <w:t xml:space="preserve">This site is part of a campaign from the </w:t>
      </w:r>
      <w:r w:rsidRPr="00E644A9">
        <w:rPr>
          <w:rFonts w:ascii="Garamond" w:hAnsi="Garamond"/>
          <w:lang w:val="en-AU"/>
        </w:rPr>
        <w:t>Australian Physiotherapy Association</w:t>
      </w:r>
      <w:r>
        <w:rPr>
          <w:rFonts w:ascii="Garamond" w:hAnsi="Garamond"/>
          <w:lang w:val="en-AU"/>
        </w:rPr>
        <w:t xml:space="preserve"> to increase consumer awareness of </w:t>
      </w:r>
      <w:r w:rsidRPr="00E644A9">
        <w:rPr>
          <w:rFonts w:ascii="Garamond" w:hAnsi="Garamond"/>
          <w:lang w:val="en-AU"/>
        </w:rPr>
        <w:t xml:space="preserve">what physiotherapy encompasses </w:t>
      </w:r>
      <w:r w:rsidR="000C75F9">
        <w:rPr>
          <w:rFonts w:ascii="Garamond" w:hAnsi="Garamond"/>
          <w:lang w:val="en-AU"/>
        </w:rPr>
        <w:t>and</w:t>
      </w:r>
      <w:r w:rsidRPr="00E644A9">
        <w:rPr>
          <w:rFonts w:ascii="Garamond" w:hAnsi="Garamond"/>
          <w:lang w:val="en-AU"/>
        </w:rPr>
        <w:t xml:space="preserve"> why physiotherapy </w:t>
      </w:r>
      <w:r>
        <w:rPr>
          <w:rFonts w:ascii="Garamond" w:hAnsi="Garamond"/>
          <w:lang w:val="en-AU"/>
        </w:rPr>
        <w:t xml:space="preserve">could </w:t>
      </w:r>
      <w:r w:rsidRPr="00E644A9">
        <w:rPr>
          <w:rFonts w:ascii="Garamond" w:hAnsi="Garamond"/>
          <w:lang w:val="en-AU"/>
        </w:rPr>
        <w:t>be chosen ahead of other treatment options.</w:t>
      </w:r>
    </w:p>
    <w:p w:rsidR="00E644A9" w:rsidRDefault="00E644A9" w:rsidP="00177F9F">
      <w:pPr>
        <w:rPr>
          <w:rFonts w:ascii="Garamond" w:hAnsi="Garamond"/>
          <w:i/>
          <w:lang w:val="en-AU"/>
        </w:rPr>
      </w:pPr>
    </w:p>
    <w:p w:rsidR="00177F9F" w:rsidRPr="00D9161E" w:rsidRDefault="00177F9F" w:rsidP="00177F9F">
      <w:pPr>
        <w:keepNext/>
        <w:keepLines/>
        <w:rPr>
          <w:rFonts w:ascii="Garamond" w:hAnsi="Garamond"/>
          <w:i/>
          <w:lang w:val="en-AU"/>
        </w:rPr>
      </w:pPr>
      <w:r w:rsidRPr="00D9161E">
        <w:rPr>
          <w:rFonts w:ascii="Garamond" w:hAnsi="Garamond"/>
          <w:i/>
          <w:lang w:val="en-AU"/>
        </w:rPr>
        <w:t>[UK] NICE Guidelines and Quality Standards</w:t>
      </w:r>
    </w:p>
    <w:p w:rsidR="00177F9F" w:rsidRPr="00D9161E" w:rsidRDefault="00AA29F2" w:rsidP="00177F9F">
      <w:pPr>
        <w:keepNext/>
        <w:keepLines/>
        <w:rPr>
          <w:rFonts w:ascii="Garamond" w:hAnsi="Garamond"/>
          <w:u w:val="single"/>
          <w:lang w:val="en-AU"/>
        </w:rPr>
      </w:pPr>
      <w:hyperlink r:id="rId36" w:history="1">
        <w:r w:rsidR="00177F9F" w:rsidRPr="00D9161E">
          <w:rPr>
            <w:rStyle w:val="Hyperlink"/>
            <w:rFonts w:ascii="Garamond" w:hAnsi="Garamond"/>
            <w:lang w:val="en-AU"/>
          </w:rPr>
          <w:t>https://www.nice.org.uk</w:t>
        </w:r>
      </w:hyperlink>
    </w:p>
    <w:p w:rsidR="00177F9F" w:rsidRPr="00D9161E" w:rsidRDefault="00177F9F" w:rsidP="00177F9F">
      <w:pPr>
        <w:keepNext/>
        <w:keepLines/>
        <w:rPr>
          <w:rFonts w:ascii="Garamond" w:hAnsi="Garamond"/>
          <w:lang w:val="en-AU"/>
        </w:rPr>
      </w:pPr>
      <w:r w:rsidRPr="00D9161E">
        <w:rPr>
          <w:rFonts w:ascii="Garamond" w:hAnsi="Garamond"/>
          <w:lang w:val="en-AU"/>
        </w:rPr>
        <w:t>The UK’s National Institute for Health and Care Excellence (NICE) has published new (or updated) guidelines and quality standards. The latest reviews or updates are:</w:t>
      </w:r>
    </w:p>
    <w:p w:rsidR="00784B3A" w:rsidRDefault="00784B3A" w:rsidP="00784B3A">
      <w:pPr>
        <w:pStyle w:val="ListParagraph"/>
        <w:keepNext/>
        <w:keepLines/>
        <w:numPr>
          <w:ilvl w:val="0"/>
          <w:numId w:val="14"/>
        </w:numPr>
        <w:rPr>
          <w:rFonts w:ascii="Garamond" w:hAnsi="Garamond"/>
          <w:lang w:val="en-AU"/>
        </w:rPr>
      </w:pPr>
      <w:r>
        <w:rPr>
          <w:rFonts w:ascii="Garamond" w:hAnsi="Garamond"/>
          <w:lang w:val="en-AU"/>
        </w:rPr>
        <w:t xml:space="preserve">NICE Guideline NG72 </w:t>
      </w:r>
      <w:r w:rsidRPr="00784B3A">
        <w:rPr>
          <w:rFonts w:ascii="Garamond" w:hAnsi="Garamond"/>
          <w:b/>
          <w:i/>
          <w:lang w:val="en-AU"/>
        </w:rPr>
        <w:t>Developmental follow-up</w:t>
      </w:r>
      <w:r w:rsidRPr="00784B3A">
        <w:rPr>
          <w:rFonts w:ascii="Garamond" w:hAnsi="Garamond"/>
          <w:i/>
          <w:lang w:val="en-AU"/>
        </w:rPr>
        <w:t xml:space="preserve"> of children and young people </w:t>
      </w:r>
      <w:r w:rsidRPr="00784B3A">
        <w:rPr>
          <w:rFonts w:ascii="Garamond" w:hAnsi="Garamond"/>
          <w:b/>
          <w:i/>
          <w:lang w:val="en-AU"/>
        </w:rPr>
        <w:t>born preterm</w:t>
      </w:r>
      <w:r>
        <w:rPr>
          <w:rFonts w:ascii="Garamond" w:hAnsi="Garamond"/>
          <w:lang w:val="en-AU"/>
        </w:rPr>
        <w:t xml:space="preserve"> </w:t>
      </w:r>
      <w:hyperlink r:id="rId37" w:history="1">
        <w:r w:rsidRPr="001B315D">
          <w:rPr>
            <w:rStyle w:val="Hyperlink"/>
            <w:rFonts w:ascii="Garamond" w:hAnsi="Garamond"/>
            <w:lang w:val="en-AU"/>
          </w:rPr>
          <w:t>https://www.nice.org.uk/guidance/ng72</w:t>
        </w:r>
      </w:hyperlink>
    </w:p>
    <w:p w:rsidR="00784B3A" w:rsidRDefault="00784B3A" w:rsidP="00784B3A">
      <w:pPr>
        <w:pStyle w:val="ListParagraph"/>
        <w:keepNext/>
        <w:keepLines/>
        <w:numPr>
          <w:ilvl w:val="0"/>
          <w:numId w:val="14"/>
        </w:numPr>
        <w:rPr>
          <w:rFonts w:ascii="Garamond" w:hAnsi="Garamond"/>
          <w:lang w:val="en-AU"/>
        </w:rPr>
      </w:pPr>
      <w:r>
        <w:rPr>
          <w:rFonts w:ascii="Garamond" w:hAnsi="Garamond"/>
          <w:lang w:val="en-AU"/>
        </w:rPr>
        <w:t>Clinical Guideline CG160</w:t>
      </w:r>
      <w:r w:rsidRPr="00784B3A">
        <w:rPr>
          <w:rFonts w:ascii="Garamond" w:hAnsi="Garamond"/>
          <w:b/>
          <w:lang w:val="en-AU"/>
        </w:rPr>
        <w:t xml:space="preserve"> </w:t>
      </w:r>
      <w:r w:rsidRPr="00784B3A">
        <w:rPr>
          <w:rFonts w:ascii="Garamond" w:hAnsi="Garamond"/>
          <w:b/>
          <w:i/>
          <w:lang w:val="en-AU"/>
        </w:rPr>
        <w:t>Fever in under 5s:</w:t>
      </w:r>
      <w:r w:rsidRPr="00784B3A">
        <w:rPr>
          <w:rFonts w:ascii="Garamond" w:hAnsi="Garamond"/>
          <w:i/>
          <w:lang w:val="en-AU"/>
        </w:rPr>
        <w:t xml:space="preserve"> assessment and initial management</w:t>
      </w:r>
      <w:r>
        <w:rPr>
          <w:rFonts w:ascii="Garamond" w:hAnsi="Garamond"/>
          <w:lang w:val="en-AU"/>
        </w:rPr>
        <w:t xml:space="preserve"> </w:t>
      </w:r>
      <w:hyperlink r:id="rId38" w:history="1">
        <w:r w:rsidRPr="001B315D">
          <w:rPr>
            <w:rStyle w:val="Hyperlink"/>
            <w:rFonts w:ascii="Garamond" w:hAnsi="Garamond"/>
            <w:lang w:val="en-AU"/>
          </w:rPr>
          <w:t>https://www.nice.org.uk/guidance/cg160</w:t>
        </w:r>
      </w:hyperlink>
    </w:p>
    <w:p w:rsidR="009F65E9" w:rsidRPr="002028F9" w:rsidRDefault="009F65E9" w:rsidP="009F65E9">
      <w:pPr>
        <w:pStyle w:val="ListParagraph"/>
        <w:keepNext/>
        <w:keepLines/>
        <w:numPr>
          <w:ilvl w:val="0"/>
          <w:numId w:val="14"/>
        </w:numPr>
        <w:rPr>
          <w:rFonts w:ascii="Garamond" w:hAnsi="Garamond"/>
          <w:lang w:val="en-AU"/>
        </w:rPr>
      </w:pPr>
      <w:r w:rsidRPr="002028F9">
        <w:rPr>
          <w:rFonts w:ascii="Garamond" w:hAnsi="Garamond"/>
          <w:lang w:val="en-AU"/>
        </w:rPr>
        <w:t xml:space="preserve">Clinical Guideline CG32 </w:t>
      </w:r>
      <w:r w:rsidRPr="002028F9">
        <w:rPr>
          <w:rFonts w:ascii="Garamond" w:hAnsi="Garamond"/>
          <w:b/>
          <w:i/>
          <w:lang w:val="en-AU"/>
        </w:rPr>
        <w:t>Nutrition support</w:t>
      </w:r>
      <w:r w:rsidRPr="002028F9">
        <w:rPr>
          <w:rFonts w:ascii="Garamond" w:hAnsi="Garamond"/>
          <w:i/>
          <w:lang w:val="en-AU"/>
        </w:rPr>
        <w:t xml:space="preserve"> for adults: oral nutrition support, enteral tube feeding and parenteral nutrition</w:t>
      </w:r>
      <w:r w:rsidRPr="002028F9">
        <w:rPr>
          <w:rFonts w:ascii="Garamond" w:hAnsi="Garamond"/>
          <w:lang w:val="en-AU"/>
        </w:rPr>
        <w:t xml:space="preserve"> </w:t>
      </w:r>
      <w:hyperlink r:id="rId39" w:history="1">
        <w:r w:rsidRPr="002028F9">
          <w:rPr>
            <w:rStyle w:val="Hyperlink"/>
            <w:rFonts w:ascii="Garamond" w:hAnsi="Garamond"/>
            <w:lang w:val="en-AU"/>
          </w:rPr>
          <w:t>https://www.nice.org.uk/guidance/cg32</w:t>
        </w:r>
      </w:hyperlink>
    </w:p>
    <w:p w:rsidR="000F1C1A" w:rsidRDefault="000F1C1A" w:rsidP="00070CFE">
      <w:pPr>
        <w:rPr>
          <w:rFonts w:ascii="Garamond" w:hAnsi="Garamond"/>
          <w:i/>
          <w:lang w:val="en-AU"/>
        </w:rPr>
      </w:pPr>
    </w:p>
    <w:p w:rsidR="00FA45E8" w:rsidRDefault="00FA45E8" w:rsidP="00FA45E8">
      <w:pPr>
        <w:keepNext/>
        <w:keepLines/>
        <w:rPr>
          <w:rFonts w:ascii="Garamond" w:hAnsi="Garamond"/>
          <w:i/>
          <w:lang w:val="en-AU"/>
        </w:rPr>
      </w:pPr>
      <w:r>
        <w:rPr>
          <w:rFonts w:ascii="Garamond" w:hAnsi="Garamond"/>
          <w:i/>
          <w:lang w:val="en-AU"/>
        </w:rPr>
        <w:t xml:space="preserve">[UK] </w:t>
      </w:r>
      <w:r w:rsidRPr="00071C0D">
        <w:rPr>
          <w:rFonts w:ascii="Garamond" w:hAnsi="Garamond"/>
          <w:i/>
          <w:lang w:val="en-AU"/>
        </w:rPr>
        <w:t>A journey to improved staff engagement</w:t>
      </w:r>
    </w:p>
    <w:p w:rsidR="00FA45E8" w:rsidRDefault="00FA45E8" w:rsidP="00FA45E8">
      <w:pPr>
        <w:keepNext/>
        <w:keepLines/>
        <w:rPr>
          <w:rFonts w:ascii="Garamond" w:hAnsi="Garamond"/>
          <w:lang w:val="en-AU"/>
        </w:rPr>
      </w:pPr>
      <w:hyperlink r:id="rId40" w:history="1">
        <w:r w:rsidRPr="00832FDA">
          <w:rPr>
            <w:rStyle w:val="Hyperlink"/>
            <w:rFonts w:ascii="Garamond" w:hAnsi="Garamond"/>
            <w:lang w:val="en-AU"/>
          </w:rPr>
          <w:t>http://www.nhsemployers.org/case-studies-and-resources/2017/08/in-your-shoes-imperial-case-study</w:t>
        </w:r>
      </w:hyperlink>
    </w:p>
    <w:p w:rsidR="00FA45E8" w:rsidRDefault="00FA45E8" w:rsidP="00FA45E8">
      <w:pPr>
        <w:keepNext/>
        <w:keepLines/>
        <w:rPr>
          <w:rFonts w:ascii="Garamond" w:hAnsi="Garamond"/>
          <w:lang w:val="en-AU"/>
        </w:rPr>
      </w:pPr>
      <w:proofErr w:type="gramStart"/>
      <w:r>
        <w:rPr>
          <w:rFonts w:ascii="Garamond" w:hAnsi="Garamond"/>
          <w:lang w:val="en-AU"/>
        </w:rPr>
        <w:t>C</w:t>
      </w:r>
      <w:r w:rsidRPr="00071C0D">
        <w:rPr>
          <w:rFonts w:ascii="Garamond" w:hAnsi="Garamond"/>
          <w:lang w:val="en-AU"/>
        </w:rPr>
        <w:t xml:space="preserve">ase study </w:t>
      </w:r>
      <w:r>
        <w:rPr>
          <w:rFonts w:ascii="Garamond" w:hAnsi="Garamond"/>
          <w:lang w:val="en-AU"/>
        </w:rPr>
        <w:t xml:space="preserve">from London’s </w:t>
      </w:r>
      <w:r w:rsidRPr="00071C0D">
        <w:rPr>
          <w:rFonts w:ascii="Garamond" w:hAnsi="Garamond"/>
          <w:lang w:val="en-AU"/>
        </w:rPr>
        <w:t xml:space="preserve">Imperial College Healthcare NHS Trust </w:t>
      </w:r>
      <w:r>
        <w:rPr>
          <w:rFonts w:ascii="Garamond" w:hAnsi="Garamond"/>
          <w:lang w:val="en-AU"/>
        </w:rPr>
        <w:t xml:space="preserve">describing how they </w:t>
      </w:r>
      <w:r w:rsidRPr="00071C0D">
        <w:rPr>
          <w:rFonts w:ascii="Garamond" w:hAnsi="Garamond"/>
          <w:lang w:val="en-AU"/>
        </w:rPr>
        <w:t>significantly improved their staff engagement levels</w:t>
      </w:r>
      <w:r>
        <w:rPr>
          <w:rFonts w:ascii="Garamond" w:hAnsi="Garamond"/>
          <w:lang w:val="en-AU"/>
        </w:rPr>
        <w:t>.</w:t>
      </w:r>
      <w:proofErr w:type="gramEnd"/>
      <w:r>
        <w:rPr>
          <w:rFonts w:ascii="Garamond" w:hAnsi="Garamond"/>
          <w:lang w:val="en-AU"/>
        </w:rPr>
        <w:t xml:space="preserve"> This change was driven by </w:t>
      </w:r>
      <w:r w:rsidRPr="00071C0D">
        <w:rPr>
          <w:rFonts w:ascii="Garamond" w:hAnsi="Garamond"/>
          <w:lang w:val="en-AU"/>
        </w:rPr>
        <w:t>engaging with staff to understand more about how they are feeling at work</w:t>
      </w:r>
      <w:r>
        <w:rPr>
          <w:rFonts w:ascii="Garamond" w:hAnsi="Garamond"/>
          <w:lang w:val="en-AU"/>
        </w:rPr>
        <w:t xml:space="preserve"> including through the Our Voice, Our Trust survey, the In Our Shoes initiative and the You Said, We Did feedback video.  The case study also includes the key ‘top tips’ from the Trust’s perspective.</w:t>
      </w:r>
    </w:p>
    <w:p w:rsidR="00FA45E8" w:rsidRDefault="00FA45E8">
      <w:pPr>
        <w:rPr>
          <w:rFonts w:ascii="Garamond" w:hAnsi="Garamond"/>
          <w:i/>
          <w:lang w:val="en-AU"/>
        </w:rPr>
      </w:pPr>
      <w:r>
        <w:rPr>
          <w:rFonts w:ascii="Garamond" w:hAnsi="Garamond"/>
          <w:i/>
          <w:lang w:val="en-AU"/>
        </w:rPr>
        <w:br w:type="page"/>
      </w:r>
    </w:p>
    <w:p w:rsidR="00BB20E0" w:rsidRPr="00160029" w:rsidRDefault="00BB20E0" w:rsidP="00FA45E8">
      <w:pPr>
        <w:keepNext/>
        <w:keepLines/>
        <w:rPr>
          <w:rFonts w:ascii="Garamond" w:hAnsi="Garamond"/>
          <w:i/>
          <w:lang w:val="en-AU"/>
        </w:rPr>
      </w:pPr>
      <w:r w:rsidRPr="00160029">
        <w:rPr>
          <w:rFonts w:ascii="Garamond" w:hAnsi="Garamond"/>
          <w:i/>
          <w:lang w:val="en-AU"/>
        </w:rPr>
        <w:lastRenderedPageBreak/>
        <w:t xml:space="preserve">[USA] </w:t>
      </w:r>
      <w:r>
        <w:rPr>
          <w:rFonts w:ascii="Garamond" w:hAnsi="Garamond"/>
          <w:i/>
          <w:lang w:val="en-AU"/>
        </w:rPr>
        <w:t>Physician Burnout</w:t>
      </w:r>
    </w:p>
    <w:p w:rsidR="00BB20E0" w:rsidRPr="00BB20E0" w:rsidRDefault="00AA29F2" w:rsidP="00070CFE">
      <w:pPr>
        <w:rPr>
          <w:rFonts w:ascii="Garamond" w:hAnsi="Garamond"/>
          <w:lang w:val="en-AU"/>
        </w:rPr>
      </w:pPr>
      <w:hyperlink r:id="rId41" w:history="1">
        <w:r w:rsidR="00BB20E0" w:rsidRPr="00BB20E0">
          <w:rPr>
            <w:rStyle w:val="Hyperlink"/>
            <w:rFonts w:ascii="Garamond" w:hAnsi="Garamond"/>
            <w:lang w:val="en-AU"/>
          </w:rPr>
          <w:t>https://www.ahrq.gov/professionals/clinicians-providers/ahrq-works/burnout/index.html</w:t>
        </w:r>
      </w:hyperlink>
    </w:p>
    <w:p w:rsidR="00BB20E0" w:rsidRDefault="00BB20E0" w:rsidP="00070CFE">
      <w:pPr>
        <w:rPr>
          <w:rFonts w:ascii="Garamond" w:hAnsi="Garamond"/>
          <w:lang w:val="en-AU"/>
        </w:rPr>
      </w:pPr>
      <w:r w:rsidRPr="00BB20E0">
        <w:rPr>
          <w:rFonts w:ascii="Garamond" w:hAnsi="Garamond"/>
          <w:lang w:val="en-AU"/>
        </w:rPr>
        <w:t xml:space="preserve">The Agency for Healthcare Research and Quality </w:t>
      </w:r>
      <w:r>
        <w:rPr>
          <w:rFonts w:ascii="Garamond" w:hAnsi="Garamond"/>
          <w:lang w:val="en-AU"/>
        </w:rPr>
        <w:t xml:space="preserve">(AHRQ) has </w:t>
      </w:r>
      <w:r w:rsidR="00770499">
        <w:rPr>
          <w:rFonts w:ascii="Garamond" w:hAnsi="Garamond"/>
          <w:lang w:val="en-AU"/>
        </w:rPr>
        <w:t>produced this page summarising what is known about burnout, what are some of the cause and some interventions that can assist. “</w:t>
      </w:r>
      <w:r w:rsidR="00770499" w:rsidRPr="00770499">
        <w:rPr>
          <w:rFonts w:ascii="Garamond" w:hAnsi="Garamond"/>
          <w:lang w:val="en-AU"/>
        </w:rPr>
        <w:t>Burnout is a long-term stress reaction marked by emotional exhaustion, depersonalization, and a lack of sense of personal accomplishment.</w:t>
      </w:r>
      <w:r w:rsidR="00770499">
        <w:rPr>
          <w:rFonts w:ascii="Garamond" w:hAnsi="Garamond"/>
          <w:lang w:val="en-AU"/>
        </w:rPr>
        <w:t xml:space="preserve"> …</w:t>
      </w:r>
      <w:r w:rsidR="00770499" w:rsidRPr="00770499">
        <w:rPr>
          <w:rFonts w:ascii="Garamond" w:hAnsi="Garamond"/>
          <w:lang w:val="en-AU"/>
        </w:rPr>
        <w:t xml:space="preserve"> Burned-out doctors are more likely to leave practice, which reduces patients’ access to and continuity of care. Burnout can also threaten patient safety and care quality when depersonalization leads to poor interactions with patients and when burned-out physicians suffer from impaired attention, memory, and executive function.</w:t>
      </w:r>
      <w:r w:rsidR="00770499">
        <w:rPr>
          <w:rFonts w:ascii="Garamond" w:hAnsi="Garamond"/>
          <w:lang w:val="en-AU"/>
        </w:rPr>
        <w:t>”</w:t>
      </w:r>
    </w:p>
    <w:p w:rsidR="00BB20E0" w:rsidRPr="00BB20E0" w:rsidRDefault="00BB20E0" w:rsidP="00070CFE">
      <w:pPr>
        <w:rPr>
          <w:rFonts w:ascii="Garamond" w:hAnsi="Garamond"/>
          <w:lang w:val="en-AU"/>
        </w:rPr>
      </w:pPr>
      <w:r>
        <w:rPr>
          <w:rFonts w:ascii="Garamond" w:hAnsi="Garamond"/>
          <w:noProof/>
          <w:lang w:val="en-AU" w:eastAsia="en-AU"/>
        </w:rPr>
        <w:drawing>
          <wp:inline distT="0" distB="0" distL="0" distR="0">
            <wp:extent cx="3657600" cy="3709035"/>
            <wp:effectExtent l="0" t="0" r="0" b="5715"/>
            <wp:docPr id="1" name="Picture 1" descr="Image suggesting some interventions for physician burnout, including flexible schedules, staff surveys, work home balance, electronic health record entry and mor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AHRQ burnout_infographic_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57600" cy="3709035"/>
                    </a:xfrm>
                    <a:prstGeom prst="rect">
                      <a:avLst/>
                    </a:prstGeom>
                    <a:noFill/>
                    <a:ln>
                      <a:noFill/>
                    </a:ln>
                  </pic:spPr>
                </pic:pic>
              </a:graphicData>
            </a:graphic>
          </wp:inline>
        </w:drawing>
      </w:r>
    </w:p>
    <w:p w:rsidR="00BB20E0" w:rsidRDefault="00BB20E0" w:rsidP="00071C0D">
      <w:pPr>
        <w:rPr>
          <w:rFonts w:ascii="Garamond" w:hAnsi="Garamond"/>
          <w:i/>
          <w:lang w:val="en-AU"/>
        </w:rPr>
      </w:pPr>
    </w:p>
    <w:p w:rsidR="004E37B6" w:rsidRPr="00160029" w:rsidRDefault="004E37B6" w:rsidP="00FA45E8">
      <w:pPr>
        <w:keepLines/>
        <w:rPr>
          <w:rFonts w:ascii="Garamond" w:hAnsi="Garamond"/>
          <w:i/>
          <w:lang w:val="en-AU"/>
        </w:rPr>
      </w:pPr>
      <w:r w:rsidRPr="00160029">
        <w:rPr>
          <w:rFonts w:ascii="Garamond" w:hAnsi="Garamond"/>
          <w:i/>
          <w:lang w:val="en-AU"/>
        </w:rPr>
        <w:t>[USA] Effective Health Care Program reports</w:t>
      </w:r>
    </w:p>
    <w:p w:rsidR="004E37B6" w:rsidRPr="00160029" w:rsidRDefault="00AA29F2" w:rsidP="00FA45E8">
      <w:pPr>
        <w:keepLines/>
        <w:rPr>
          <w:rFonts w:ascii="Garamond" w:hAnsi="Garamond"/>
          <w:u w:val="single"/>
          <w:lang w:val="en-AU"/>
        </w:rPr>
      </w:pPr>
      <w:hyperlink r:id="rId43" w:history="1">
        <w:r w:rsidR="004E37B6" w:rsidRPr="00D67EE9">
          <w:rPr>
            <w:rStyle w:val="Hyperlink"/>
            <w:rFonts w:ascii="Garamond" w:hAnsi="Garamond"/>
            <w:lang w:val="en-AU"/>
          </w:rPr>
          <w:t>https://effectivehealthcare.ahrq.gov/</w:t>
        </w:r>
      </w:hyperlink>
    </w:p>
    <w:p w:rsidR="004E37B6" w:rsidRPr="00160029" w:rsidRDefault="004E37B6" w:rsidP="00FA45E8">
      <w:pPr>
        <w:keepLines/>
        <w:rPr>
          <w:rFonts w:ascii="Garamond" w:hAnsi="Garamond"/>
          <w:lang w:val="en-AU"/>
        </w:rPr>
      </w:pPr>
      <w:r w:rsidRPr="00160029">
        <w:rPr>
          <w:rFonts w:ascii="Garamond" w:hAnsi="Garamond"/>
          <w:lang w:val="en-AU"/>
        </w:rPr>
        <w:t>The US Agency for Healthcare Research and Quality (AHRQ) has an Effective Health Care (EHC) Program. The EHC has released the following final reports and updates:</w:t>
      </w:r>
    </w:p>
    <w:p w:rsidR="00FC72FF" w:rsidRDefault="009F65E9" w:rsidP="00FA45E8">
      <w:pPr>
        <w:pStyle w:val="ListParagraph"/>
        <w:keepLines/>
        <w:numPr>
          <w:ilvl w:val="0"/>
          <w:numId w:val="14"/>
        </w:numPr>
        <w:rPr>
          <w:rFonts w:ascii="Garamond" w:hAnsi="Garamond"/>
          <w:lang w:val="en-AU"/>
        </w:rPr>
      </w:pPr>
      <w:r w:rsidRPr="009F65E9">
        <w:rPr>
          <w:rFonts w:ascii="Garamond" w:hAnsi="Garamond"/>
          <w:b/>
          <w:lang w:val="en-AU"/>
        </w:rPr>
        <w:t>Omega-3 Fatty Acids and Cardiovascular Disease</w:t>
      </w:r>
      <w:r>
        <w:rPr>
          <w:rFonts w:ascii="Garamond" w:hAnsi="Garamond"/>
          <w:lang w:val="en-AU"/>
        </w:rPr>
        <w:t xml:space="preserve"> </w:t>
      </w:r>
      <w:r w:rsidR="00D722F0">
        <w:rPr>
          <w:rFonts w:ascii="Garamond" w:hAnsi="Garamond"/>
          <w:lang w:val="en-AU"/>
        </w:rPr>
        <w:br/>
        <w:t>Clinician summary:</w:t>
      </w:r>
      <w:r w:rsidR="00D722F0">
        <w:rPr>
          <w:rFonts w:ascii="Garamond" w:hAnsi="Garamond"/>
          <w:lang w:val="en-AU"/>
        </w:rPr>
        <w:br/>
      </w:r>
      <w:r w:rsidR="00D722F0" w:rsidRPr="009F65E9">
        <w:rPr>
          <w:rFonts w:ascii="Garamond" w:hAnsi="Garamond"/>
          <w:i/>
          <w:lang w:val="en-AU"/>
        </w:rPr>
        <w:t>Omega-3 Fatty Acids and Cardiovascular Disease: Current State of the Evidence</w:t>
      </w:r>
      <w:r w:rsidR="00D722F0" w:rsidRPr="009F65E9">
        <w:rPr>
          <w:rFonts w:ascii="Garamond" w:hAnsi="Garamond"/>
          <w:lang w:val="en-AU"/>
        </w:rPr>
        <w:br/>
      </w:r>
      <w:hyperlink r:id="rId44" w:history="1">
        <w:r w:rsidR="00D722F0" w:rsidRPr="00E02123">
          <w:rPr>
            <w:rStyle w:val="Hyperlink"/>
            <w:rFonts w:ascii="Garamond" w:hAnsi="Garamond"/>
            <w:lang w:val="en-AU"/>
          </w:rPr>
          <w:t>http://www.effectivehealthcare.ahrq.gov/index.cfm/search-for-guides-reviews-and-reports/?pageaction=displayproduct&amp;productid=2491</w:t>
        </w:r>
      </w:hyperlink>
      <w:r w:rsidR="00D722F0">
        <w:rPr>
          <w:rFonts w:ascii="Garamond" w:hAnsi="Garamond"/>
          <w:lang w:val="en-AU"/>
        </w:rPr>
        <w:br/>
        <w:t>Consumer summary:</w:t>
      </w:r>
      <w:r w:rsidR="00D722F0">
        <w:rPr>
          <w:rFonts w:ascii="Garamond" w:hAnsi="Garamond"/>
          <w:lang w:val="en-AU"/>
        </w:rPr>
        <w:br/>
      </w:r>
      <w:r w:rsidR="00D722F0" w:rsidRPr="009F65E9">
        <w:rPr>
          <w:rFonts w:ascii="Garamond" w:hAnsi="Garamond"/>
          <w:i/>
          <w:lang w:val="en-AU"/>
        </w:rPr>
        <w:t>Omega-3 Fatty Acids and Cardiovascular Disease: A Review of the Research for Adults</w:t>
      </w:r>
      <w:r w:rsidR="00D722F0" w:rsidRPr="009F65E9">
        <w:rPr>
          <w:rFonts w:ascii="Garamond" w:hAnsi="Garamond"/>
          <w:lang w:val="en-AU"/>
        </w:rPr>
        <w:br/>
      </w:r>
      <w:hyperlink r:id="rId45" w:history="1">
        <w:r w:rsidR="00D722F0" w:rsidRPr="00E02123">
          <w:rPr>
            <w:rStyle w:val="Hyperlink"/>
            <w:rFonts w:ascii="Garamond" w:hAnsi="Garamond"/>
            <w:lang w:val="en-AU"/>
          </w:rPr>
          <w:t>http://www.effectivehealthcare.ahrq.gov/index.cfm/search-for-guides-reviews-and-reports/?pageaction=displayproduct&amp;productid=2490</w:t>
        </w:r>
      </w:hyperlink>
    </w:p>
    <w:p w:rsidR="009F65E9" w:rsidRPr="00FC72FF" w:rsidRDefault="009F65E9" w:rsidP="00FA45E8">
      <w:pPr>
        <w:pStyle w:val="ListParagraph"/>
        <w:keepLines/>
        <w:numPr>
          <w:ilvl w:val="0"/>
          <w:numId w:val="14"/>
        </w:numPr>
        <w:rPr>
          <w:rFonts w:ascii="Garamond" w:hAnsi="Garamond"/>
          <w:lang w:val="en-AU"/>
        </w:rPr>
      </w:pPr>
      <w:r w:rsidRPr="009F65E9">
        <w:rPr>
          <w:rFonts w:ascii="Garamond" w:hAnsi="Garamond"/>
          <w:b/>
          <w:lang w:val="en-AU"/>
        </w:rPr>
        <w:lastRenderedPageBreak/>
        <w:t>Insomnia Disorder</w:t>
      </w:r>
      <w:r>
        <w:rPr>
          <w:rFonts w:ascii="Garamond" w:hAnsi="Garamond"/>
          <w:lang w:val="en-AU"/>
        </w:rPr>
        <w:br/>
        <w:t>Clinician summary:</w:t>
      </w:r>
      <w:r>
        <w:rPr>
          <w:rFonts w:ascii="Garamond" w:hAnsi="Garamond"/>
          <w:lang w:val="en-AU"/>
        </w:rPr>
        <w:br/>
      </w:r>
      <w:r w:rsidRPr="009F65E9">
        <w:rPr>
          <w:rFonts w:ascii="Garamond" w:hAnsi="Garamond"/>
          <w:i/>
          <w:lang w:val="en-AU"/>
        </w:rPr>
        <w:t>Management of Insomnia Disorder in Adults: Current State of the Evidence</w:t>
      </w:r>
      <w:r>
        <w:rPr>
          <w:rFonts w:ascii="Garamond" w:hAnsi="Garamond"/>
          <w:lang w:val="en-AU"/>
        </w:rPr>
        <w:br/>
      </w:r>
      <w:hyperlink r:id="rId46" w:history="1">
        <w:r w:rsidRPr="00E02123">
          <w:rPr>
            <w:rStyle w:val="Hyperlink"/>
            <w:rFonts w:ascii="Garamond" w:hAnsi="Garamond"/>
            <w:lang w:val="en-AU"/>
          </w:rPr>
          <w:t>http://www.effectivehealthcare.ahrq.gov/index.cfm/search-for-guides-reviews-and-reports/?pageaction=displayproduct&amp;productid=2493</w:t>
        </w:r>
      </w:hyperlink>
      <w:r>
        <w:rPr>
          <w:rFonts w:ascii="Garamond" w:hAnsi="Garamond"/>
          <w:lang w:val="en-AU"/>
        </w:rPr>
        <w:br/>
        <w:t>Consumer summary:</w:t>
      </w:r>
      <w:r>
        <w:rPr>
          <w:rFonts w:ascii="Garamond" w:hAnsi="Garamond"/>
          <w:lang w:val="en-AU"/>
        </w:rPr>
        <w:br/>
      </w:r>
      <w:r w:rsidRPr="009F65E9">
        <w:rPr>
          <w:rFonts w:ascii="Garamond" w:hAnsi="Garamond"/>
          <w:i/>
          <w:lang w:val="en-AU"/>
        </w:rPr>
        <w:t>Managing Insomnia Disorder: A Review of the Research for Adults</w:t>
      </w:r>
      <w:r>
        <w:rPr>
          <w:rFonts w:ascii="Garamond" w:hAnsi="Garamond"/>
          <w:lang w:val="en-AU"/>
        </w:rPr>
        <w:br/>
      </w:r>
      <w:hyperlink r:id="rId47" w:history="1">
        <w:r w:rsidRPr="00E02123">
          <w:rPr>
            <w:rStyle w:val="Hyperlink"/>
            <w:rFonts w:ascii="Garamond" w:hAnsi="Garamond"/>
            <w:lang w:val="en-AU"/>
          </w:rPr>
          <w:t>http://www.effectivehealthcare.ahrq.gov/index.cfm/search-for-guides-reviews-and-reports/?pageaction=displayproduct&amp;productid=2492</w:t>
        </w:r>
      </w:hyperlink>
    </w:p>
    <w:p w:rsidR="004E37B6" w:rsidRPr="00D9161E" w:rsidRDefault="004E37B6" w:rsidP="00070CFE">
      <w:pPr>
        <w:rPr>
          <w:rFonts w:ascii="Garamond" w:hAnsi="Garamond"/>
          <w:i/>
          <w:lang w:val="en-AU"/>
        </w:rPr>
      </w:pPr>
    </w:p>
    <w:p w:rsidR="00B02F6E" w:rsidRPr="00D9161E" w:rsidRDefault="00B02F6E" w:rsidP="00B02F6E">
      <w:pPr>
        <w:keepNext/>
        <w:pBdr>
          <w:top w:val="single" w:sz="4" w:space="1" w:color="auto"/>
        </w:pBdr>
        <w:rPr>
          <w:rFonts w:ascii="Garamond" w:hAnsi="Garamond"/>
          <w:b/>
          <w:lang w:val="en-AU"/>
        </w:rPr>
      </w:pPr>
      <w:r w:rsidRPr="00D9161E">
        <w:rPr>
          <w:rFonts w:ascii="Garamond" w:hAnsi="Garamond"/>
          <w:b/>
          <w:lang w:val="en-AU"/>
        </w:rPr>
        <w:t>Disclaimer</w:t>
      </w:r>
    </w:p>
    <w:p w:rsidR="00B02F6E" w:rsidRPr="00D9161E" w:rsidRDefault="00B02F6E" w:rsidP="00B17406">
      <w:pPr>
        <w:rPr>
          <w:rFonts w:ascii="Garamond" w:hAnsi="Garamond"/>
          <w:lang w:val="en-AU"/>
        </w:rPr>
      </w:pPr>
      <w:r w:rsidRPr="00D9161E">
        <w:rPr>
          <w:rFonts w:ascii="Garamond" w:hAnsi="Garamond"/>
          <w:i/>
          <w:lang w:val="en-AU"/>
        </w:rPr>
        <w:t>On the Radar</w:t>
      </w:r>
      <w:r w:rsidRPr="00D9161E">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D9161E">
        <w:rPr>
          <w:rFonts w:ascii="Garamond" w:hAnsi="Garamond"/>
          <w:lang w:val="en-AU"/>
        </w:rPr>
        <w:fldChar w:fldCharType="begin"/>
      </w:r>
      <w:r w:rsidRPr="00D9161E">
        <w:rPr>
          <w:rFonts w:ascii="Garamond" w:hAnsi="Garamond"/>
          <w:lang w:val="en-AU"/>
        </w:rPr>
        <w:instrText xml:space="preserve"> ADDIN </w:instrText>
      </w:r>
      <w:r w:rsidRPr="00D9161E">
        <w:rPr>
          <w:rFonts w:ascii="Garamond" w:hAnsi="Garamond"/>
          <w:lang w:val="en-AU"/>
        </w:rPr>
        <w:fldChar w:fldCharType="end"/>
      </w:r>
      <w:r w:rsidRPr="00D9161E">
        <w:rPr>
          <w:rFonts w:ascii="Garamond" w:hAnsi="Garamond"/>
          <w:lang w:val="en-AU"/>
        </w:rPr>
        <w:fldChar w:fldCharType="begin"/>
      </w:r>
      <w:r w:rsidRPr="00D9161E">
        <w:rPr>
          <w:rFonts w:ascii="Garamond" w:hAnsi="Garamond"/>
          <w:lang w:val="en-AU"/>
        </w:rPr>
        <w:instrText xml:space="preserve"> ADDIN </w:instrText>
      </w:r>
      <w:r w:rsidRPr="00D9161E">
        <w:rPr>
          <w:rFonts w:ascii="Garamond" w:hAnsi="Garamond"/>
          <w:lang w:val="en-AU"/>
        </w:rPr>
        <w:fldChar w:fldCharType="end"/>
      </w:r>
    </w:p>
    <w:sectPr w:rsidR="00B02F6E" w:rsidRPr="00D9161E" w:rsidSect="005C5ABC">
      <w:footerReference w:type="even" r:id="rId48"/>
      <w:footerReference w:type="default" r:id="rId4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F2" w:rsidRDefault="00AA29F2">
      <w:r>
        <w:separator/>
      </w:r>
    </w:p>
  </w:endnote>
  <w:endnote w:type="continuationSeparator" w:id="0">
    <w:p w:rsidR="00AA29F2" w:rsidRDefault="00AA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F2" w:rsidRDefault="00AA29F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41D1">
      <w:rPr>
        <w:rStyle w:val="PageNumber"/>
        <w:noProof/>
      </w:rPr>
      <w:t>2</w:t>
    </w:r>
    <w:r>
      <w:rPr>
        <w:rStyle w:val="PageNumber"/>
      </w:rPr>
      <w:fldChar w:fldCharType="end"/>
    </w:r>
  </w:p>
  <w:p w:rsidR="00AA29F2" w:rsidRPr="001E78F0" w:rsidRDefault="00AA29F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F2" w:rsidRPr="001E78F0" w:rsidRDefault="00AA29F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6341D1">
      <w:rPr>
        <w:rStyle w:val="PageNumber"/>
        <w:rFonts w:ascii="Garamond" w:hAnsi="Garamond"/>
        <w:noProof/>
      </w:rPr>
      <w:t>1</w:t>
    </w:r>
    <w:r w:rsidRPr="001E78F0">
      <w:rPr>
        <w:rStyle w:val="PageNumber"/>
        <w:rFonts w:ascii="Garamond" w:hAnsi="Garamond"/>
      </w:rPr>
      <w:fldChar w:fldCharType="end"/>
    </w:r>
  </w:p>
  <w:p w:rsidR="00AA29F2" w:rsidRPr="001E78F0" w:rsidRDefault="00AA29F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F2" w:rsidRDefault="00AA29F2">
      <w:r>
        <w:separator/>
      </w:r>
    </w:p>
  </w:footnote>
  <w:footnote w:type="continuationSeparator" w:id="0">
    <w:p w:rsidR="00AA29F2" w:rsidRDefault="00AA2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7564B"/>
    <w:multiLevelType w:val="hybridMultilevel"/>
    <w:tmpl w:val="8A3CC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3DC315A"/>
    <w:multiLevelType w:val="hybridMultilevel"/>
    <w:tmpl w:val="10BC6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6773F8"/>
    <w:multiLevelType w:val="hybridMultilevel"/>
    <w:tmpl w:val="7DCED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D0257C"/>
    <w:multiLevelType w:val="hybridMultilevel"/>
    <w:tmpl w:val="64266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400DC0"/>
    <w:multiLevelType w:val="hybridMultilevel"/>
    <w:tmpl w:val="617E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FF05AA"/>
    <w:multiLevelType w:val="hybridMultilevel"/>
    <w:tmpl w:val="F318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32607A"/>
    <w:multiLevelType w:val="hybridMultilevel"/>
    <w:tmpl w:val="C9E61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BD4EC8"/>
    <w:multiLevelType w:val="hybridMultilevel"/>
    <w:tmpl w:val="9ACE3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69B6C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310DAC"/>
    <w:multiLevelType w:val="hybridMultilevel"/>
    <w:tmpl w:val="78B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7D224E"/>
    <w:multiLevelType w:val="hybridMultilevel"/>
    <w:tmpl w:val="6174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7900A7"/>
    <w:multiLevelType w:val="hybridMultilevel"/>
    <w:tmpl w:val="70C80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AC14B56"/>
    <w:multiLevelType w:val="hybridMultilevel"/>
    <w:tmpl w:val="AE00B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5A7093"/>
    <w:multiLevelType w:val="hybridMultilevel"/>
    <w:tmpl w:val="BA10A262"/>
    <w:lvl w:ilvl="0" w:tplc="5D0881E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6167FC"/>
    <w:multiLevelType w:val="hybridMultilevel"/>
    <w:tmpl w:val="D4568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BE2653"/>
    <w:multiLevelType w:val="hybridMultilevel"/>
    <w:tmpl w:val="FF3EB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0"/>
  </w:num>
  <w:num w:numId="15">
    <w:abstractNumId w:val="14"/>
  </w:num>
  <w:num w:numId="16">
    <w:abstractNumId w:val="27"/>
  </w:num>
  <w:num w:numId="17">
    <w:abstractNumId w:val="25"/>
  </w:num>
  <w:num w:numId="18">
    <w:abstractNumId w:val="28"/>
  </w:num>
  <w:num w:numId="19">
    <w:abstractNumId w:val="21"/>
  </w:num>
  <w:num w:numId="20">
    <w:abstractNumId w:val="11"/>
  </w:num>
  <w:num w:numId="21">
    <w:abstractNumId w:val="15"/>
  </w:num>
  <w:num w:numId="22">
    <w:abstractNumId w:val="13"/>
  </w:num>
  <w:num w:numId="23">
    <w:abstractNumId w:val="16"/>
  </w:num>
  <w:num w:numId="24">
    <w:abstractNumId w:val="10"/>
  </w:num>
  <w:num w:numId="25">
    <w:abstractNumId w:val="18"/>
  </w:num>
  <w:num w:numId="26">
    <w:abstractNumId w:val="17"/>
  </w:num>
  <w:num w:numId="27">
    <w:abstractNumId w:val="24"/>
  </w:num>
  <w:num w:numId="28">
    <w:abstractNumId w:val="22"/>
  </w:num>
  <w:num w:numId="29">
    <w:abstractNumId w:val="29"/>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0D"/>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2FE"/>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B30"/>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8F9"/>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2F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05C"/>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23"/>
    <w:rsid w:val="005E2547"/>
    <w:rsid w:val="005E26A5"/>
    <w:rsid w:val="005E29FC"/>
    <w:rsid w:val="005E2B16"/>
    <w:rsid w:val="005E2B33"/>
    <w:rsid w:val="005E2F9C"/>
    <w:rsid w:val="005E30A9"/>
    <w:rsid w:val="005E3E9F"/>
    <w:rsid w:val="005E3F7E"/>
    <w:rsid w:val="005E413D"/>
    <w:rsid w:val="005E424D"/>
    <w:rsid w:val="005E4649"/>
    <w:rsid w:val="005E47F2"/>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0A"/>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1D1"/>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6E9C"/>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89E"/>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5AF"/>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BE"/>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23C"/>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9F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7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8ED"/>
    <w:rsid w:val="00BB1972"/>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F2B"/>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721"/>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495"/>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D0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1C"/>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1CB"/>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3B2"/>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C4"/>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64"/>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77EEB"/>
    <w:rsid w:val="00F806E4"/>
    <w:rsid w:val="00F808DB"/>
    <w:rsid w:val="00F808F5"/>
    <w:rsid w:val="00F8090F"/>
    <w:rsid w:val="00F81562"/>
    <w:rsid w:val="00F816C2"/>
    <w:rsid w:val="00F8172B"/>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08BB"/>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5E8"/>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D4B"/>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s://www.safetyandquality.gov.au/atlas/" TargetMode="External"/><Relationship Id="rId26" Type="http://schemas.openxmlformats.org/officeDocument/2006/relationships/hyperlink" Target="https://www.safetyandquality.gov.au/our-work/end-of-life-care-in-acute-hospitals/" TargetMode="External"/><Relationship Id="rId39" Type="http://schemas.openxmlformats.org/officeDocument/2006/relationships/hyperlink" Target="https://www.nice.org.uk/guidance/cg32" TargetMode="External"/><Relationship Id="rId3" Type="http://schemas.openxmlformats.org/officeDocument/2006/relationships/styles" Target="styles.xml"/><Relationship Id="rId21" Type="http://schemas.openxmlformats.org/officeDocument/2006/relationships/hyperlink" Target="http://dx.doi.org/10.5694/mja16.01195" TargetMode="External"/><Relationship Id="rId34" Type="http://schemas.openxmlformats.org/officeDocument/2006/relationships/hyperlink" Target="https://academic.oup.com/intqhc/advance-access?papetoc" TargetMode="External"/><Relationship Id="rId42" Type="http://schemas.openxmlformats.org/officeDocument/2006/relationships/image" Target="media/image2.jpeg"/><Relationship Id="rId47" Type="http://schemas.openxmlformats.org/officeDocument/2006/relationships/hyperlink" Target="http://www.effectivehealthcare.ahrq.gov/index.cfm/search-for-guides-reviews-and-reports/?pageaction=displayproduct&amp;productid=2492"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gettingitrightfirsttime.co.uk/national-general-surgery-report-published-2/" TargetMode="External"/><Relationship Id="rId25" Type="http://schemas.openxmlformats.org/officeDocument/2006/relationships/hyperlink" Target="http://dx.doi.org/10.1377/hlthaff.2017.0174" TargetMode="External"/><Relationship Id="rId33" Type="http://schemas.openxmlformats.org/officeDocument/2006/relationships/hyperlink" Target="https://qualitysafety.bmj.com/content/early/recent" TargetMode="External"/><Relationship Id="rId38" Type="http://schemas.openxmlformats.org/officeDocument/2006/relationships/hyperlink" Target="https://www.nice.org.uk/guidance/cg160" TargetMode="External"/><Relationship Id="rId46" Type="http://schemas.openxmlformats.org/officeDocument/2006/relationships/hyperlink" Target="http://www.effectivehealthcare.ahrq.gov/index.cfm/search-for-guides-reviews-and-reports/?pageaction=displayproduct&amp;productid=2493" TargetMode="External"/><Relationship Id="rId2" Type="http://schemas.openxmlformats.org/officeDocument/2006/relationships/numbering" Target="numbering.xml"/><Relationship Id="rId16" Type="http://schemas.openxmlformats.org/officeDocument/2006/relationships/hyperlink" Target="https://www.health.qld.gov.au/system-governance/strategic-direction/improving-service/expanding-patient-safety-reporting" TargetMode="External"/><Relationship Id="rId20" Type="http://schemas.openxmlformats.org/officeDocument/2006/relationships/hyperlink" Target="http://dx.doi.org/10.1177/0951484817715594" TargetMode="External"/><Relationship Id="rId29" Type="http://schemas.openxmlformats.org/officeDocument/2006/relationships/hyperlink" Target="http://dx.doi.org/10.5694/mja16.00919" TargetMode="External"/><Relationship Id="rId41" Type="http://schemas.openxmlformats.org/officeDocument/2006/relationships/hyperlink" Target="https://www.ahrq.gov/professionals/clinicians-providers/ahrq-works/burnout/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safetyandquality.gov.au/our-work/shared-decision-making/" TargetMode="External"/><Relationship Id="rId32" Type="http://schemas.openxmlformats.org/officeDocument/2006/relationships/hyperlink" Target="http://content.healthaffairs.org/content/36/8.toc" TargetMode="External"/><Relationship Id="rId37" Type="http://schemas.openxmlformats.org/officeDocument/2006/relationships/hyperlink" Target="https://www.nice.org.uk/guidance/ng72" TargetMode="External"/><Relationship Id="rId40" Type="http://schemas.openxmlformats.org/officeDocument/2006/relationships/hyperlink" Target="http://www.nhsemployers.org/case-studies-and-resources/2017/08/in-your-shoes-imperial-case-study" TargetMode="External"/><Relationship Id="rId45" Type="http://schemas.openxmlformats.org/officeDocument/2006/relationships/hyperlink" Target="http://www.effectivehealthcare.ahrq.gov/index.cfm/search-for-guides-reviews-and-reports/?pageaction=displayproduct&amp;productid=2490"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01/jamainternmed.2017.1929" TargetMode="External"/><Relationship Id="rId28" Type="http://schemas.openxmlformats.org/officeDocument/2006/relationships/hyperlink" Target="http://dx.doi.org/10.1001/jama.2017.8444" TargetMode="External"/><Relationship Id="rId36" Type="http://schemas.openxmlformats.org/officeDocument/2006/relationships/hyperlink" Target="https://www.nice.org.uk" TargetMode="External"/><Relationship Id="rId49" Type="http://schemas.openxmlformats.org/officeDocument/2006/relationships/footer" Target="footer2.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www.ihi.org/resources/Pages/IHIWhitePapers/Framework-Improving-Joy-in-Work.aspx" TargetMode="External"/><Relationship Id="rId31" Type="http://schemas.openxmlformats.org/officeDocument/2006/relationships/hyperlink" Target="https://doi.org/10.1016/j.jcjq.2017.03.011" TargetMode="External"/><Relationship Id="rId44" Type="http://schemas.openxmlformats.org/officeDocument/2006/relationships/hyperlink" Target="http://www.effectivehealthcare.ahrq.gov/index.cfm/search-for-guides-reviews-and-reports/?pageaction=displayproduct&amp;productid=2491"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093/intqhc/mzx095" TargetMode="External"/><Relationship Id="rId27" Type="http://schemas.openxmlformats.org/officeDocument/2006/relationships/hyperlink" Target="http://dx.doi.org/10.1038/sj.bdj.2017.456" TargetMode="External"/><Relationship Id="rId30" Type="http://schemas.openxmlformats.org/officeDocument/2006/relationships/hyperlink" Target="http://dx.doi.org/10.1056/NEJMra1614394" TargetMode="External"/><Relationship Id="rId35" Type="http://schemas.openxmlformats.org/officeDocument/2006/relationships/hyperlink" Target="https://choose.physio/" TargetMode="External"/><Relationship Id="rId43" Type="http://schemas.openxmlformats.org/officeDocument/2006/relationships/hyperlink" Target="https://effectivehealthcare.ahrq.gov/"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E944-2E63-487A-B711-9BC74881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4847</Words>
  <Characters>27633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32416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2017-08-10T04:43:00Z</dcterms:created>
  <dcterms:modified xsi:type="dcterms:W3CDTF">2017-08-10T04:43:00Z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