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D9161E" w:rsidRDefault="00715F47" w:rsidP="00B160EF">
      <w:pPr>
        <w:rPr>
          <w:rFonts w:ascii="Garamond" w:hAnsi="Garamond"/>
          <w:color w:val="000000"/>
          <w:lang w:val="en-AU"/>
        </w:rPr>
      </w:pPr>
      <w:r w:rsidRPr="00D9161E">
        <w:rPr>
          <w:rFonts w:ascii="Garamond" w:hAnsi="Garamond"/>
          <w:color w:val="000000"/>
          <w:lang w:val="en-AU"/>
        </w:rPr>
        <w:t xml:space="preserve">Issue </w:t>
      </w:r>
      <w:r w:rsidR="00252A38" w:rsidRPr="00D9161E">
        <w:rPr>
          <w:rFonts w:ascii="Garamond" w:hAnsi="Garamond"/>
          <w:color w:val="000000"/>
          <w:lang w:val="en-AU"/>
        </w:rPr>
        <w:t>3</w:t>
      </w:r>
      <w:r w:rsidR="00F02C22">
        <w:rPr>
          <w:rFonts w:ascii="Garamond" w:hAnsi="Garamond"/>
          <w:color w:val="000000"/>
          <w:lang w:val="en-AU"/>
        </w:rPr>
        <w:t>35</w:t>
      </w:r>
    </w:p>
    <w:p w:rsidR="00755242" w:rsidRPr="00D9161E" w:rsidRDefault="00F02C22" w:rsidP="00B160EF">
      <w:pPr>
        <w:rPr>
          <w:rFonts w:ascii="Garamond" w:hAnsi="Garamond"/>
          <w:lang w:val="en-AU"/>
        </w:rPr>
      </w:pPr>
      <w:r>
        <w:rPr>
          <w:rFonts w:ascii="Garamond" w:hAnsi="Garamond"/>
          <w:lang w:val="en-AU"/>
        </w:rPr>
        <w:t>2</w:t>
      </w:r>
      <w:r w:rsidR="00A3512D">
        <w:rPr>
          <w:rFonts w:ascii="Garamond" w:hAnsi="Garamond"/>
          <w:lang w:val="en-AU"/>
        </w:rPr>
        <w:t>1</w:t>
      </w:r>
      <w:r w:rsidR="001E5BD1">
        <w:rPr>
          <w:rFonts w:ascii="Garamond" w:hAnsi="Garamond"/>
          <w:lang w:val="en-AU"/>
        </w:rPr>
        <w:t xml:space="preserve"> August </w:t>
      </w:r>
      <w:r w:rsidR="00F74A58" w:rsidRPr="00D9161E">
        <w:rPr>
          <w:rFonts w:ascii="Garamond" w:hAnsi="Garamond"/>
          <w:lang w:val="en-AU"/>
        </w:rPr>
        <w:t>2017</w:t>
      </w:r>
    </w:p>
    <w:p w:rsidR="00566895" w:rsidRPr="00D9161E" w:rsidRDefault="00566895" w:rsidP="00B160EF">
      <w:pPr>
        <w:rPr>
          <w:rFonts w:ascii="Garamond" w:hAnsi="Garamond"/>
          <w:lang w:val="en-AU"/>
        </w:rPr>
      </w:pPr>
    </w:p>
    <w:p w:rsidR="00B160EF" w:rsidRPr="00D9161E" w:rsidRDefault="00B160EF" w:rsidP="00B160EF">
      <w:pPr>
        <w:rPr>
          <w:rFonts w:ascii="Garamond" w:hAnsi="Garamond"/>
          <w:b/>
          <w:lang w:val="en-AU"/>
        </w:rPr>
      </w:pPr>
      <w:r w:rsidRPr="00D9161E">
        <w:rPr>
          <w:rFonts w:ascii="Garamond" w:hAnsi="Garamond"/>
          <w:i/>
          <w:lang w:val="en-AU"/>
        </w:rPr>
        <w:t>On the Radar</w:t>
      </w:r>
      <w:r w:rsidRPr="00D9161E">
        <w:rPr>
          <w:rFonts w:ascii="Garamond" w:hAnsi="Garamond"/>
          <w:lang w:val="en-AU"/>
        </w:rPr>
        <w:t xml:space="preserve"> is a summary of some of the recent publications in </w:t>
      </w:r>
      <w:r w:rsidR="000025DB" w:rsidRPr="00D9161E">
        <w:rPr>
          <w:rFonts w:ascii="Garamond" w:hAnsi="Garamond"/>
          <w:lang w:val="en-AU"/>
        </w:rPr>
        <w:t>the</w:t>
      </w:r>
      <w:r w:rsidRPr="00D9161E">
        <w:rPr>
          <w:rFonts w:ascii="Garamond" w:hAnsi="Garamond"/>
          <w:lang w:val="en-AU"/>
        </w:rPr>
        <w:t xml:space="preserve"> areas of safety and quality in health care. Inclusion in this document is not an endorsement or recommendation of any publication or provider.</w:t>
      </w:r>
      <w:r w:rsidR="00594E21" w:rsidRPr="00D9161E">
        <w:rPr>
          <w:rFonts w:ascii="Garamond" w:hAnsi="Garamond"/>
          <w:lang w:val="en-AU"/>
        </w:rPr>
        <w:t xml:space="preserve"> </w:t>
      </w:r>
      <w:r w:rsidRPr="00D9161E">
        <w:rPr>
          <w:rFonts w:ascii="Garamond" w:hAnsi="Garamond"/>
          <w:lang w:val="en-AU"/>
        </w:rPr>
        <w:t>Access to particular documents may depend on whether they are Open Access or not, and/or your individual or institutional access to subscription sites/services.</w:t>
      </w:r>
      <w:r w:rsidR="00F460A7" w:rsidRPr="00D9161E">
        <w:rPr>
          <w:rFonts w:ascii="Garamond" w:hAnsi="Garamond"/>
          <w:lang w:val="en-AU"/>
        </w:rPr>
        <w:t xml:space="preserve"> Material that may require subscription is included as it is considered relevant.</w:t>
      </w:r>
    </w:p>
    <w:p w:rsidR="00B160EF" w:rsidRPr="00D9161E" w:rsidRDefault="00B160EF" w:rsidP="00B160EF">
      <w:pPr>
        <w:rPr>
          <w:rFonts w:ascii="Garamond" w:hAnsi="Garamond"/>
          <w:lang w:val="en-AU"/>
        </w:rPr>
      </w:pPr>
    </w:p>
    <w:p w:rsidR="00230D83" w:rsidRPr="00D9161E" w:rsidRDefault="00B160EF" w:rsidP="0045757F">
      <w:pPr>
        <w:autoSpaceDE w:val="0"/>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available </w:t>
      </w:r>
      <w:r w:rsidR="003D1E7A" w:rsidRPr="00D9161E">
        <w:rPr>
          <w:rFonts w:ascii="Garamond" w:hAnsi="Garamond"/>
          <w:lang w:val="en-AU"/>
        </w:rPr>
        <w:t xml:space="preserve">online, </w:t>
      </w:r>
      <w:r w:rsidRPr="00D9161E">
        <w:rPr>
          <w:rFonts w:ascii="Garamond" w:hAnsi="Garamond"/>
          <w:lang w:val="en-AU"/>
        </w:rPr>
        <w:t xml:space="preserve">via email or as a PDF </w:t>
      </w:r>
      <w:r w:rsidR="006F34BB" w:rsidRPr="00D9161E">
        <w:rPr>
          <w:rFonts w:ascii="Garamond" w:hAnsi="Garamond"/>
          <w:lang w:val="en-AU"/>
        </w:rPr>
        <w:t xml:space="preserve">or Word </w:t>
      </w:r>
      <w:r w:rsidRPr="00D9161E">
        <w:rPr>
          <w:rFonts w:ascii="Garamond" w:hAnsi="Garamond"/>
          <w:lang w:val="en-AU"/>
        </w:rPr>
        <w:t xml:space="preserve">document from </w:t>
      </w:r>
      <w:hyperlink r:id="rId10" w:history="1">
        <w:r w:rsidR="00543EF2" w:rsidRPr="00781DEA">
          <w:rPr>
            <w:rStyle w:val="Hyperlink"/>
            <w:rFonts w:ascii="Garamond" w:hAnsi="Garamond"/>
            <w:lang w:val="en-AU"/>
          </w:rPr>
          <w:t>https://www.safetyandquality.gov.au/publications-resources/on-the-radar/</w:t>
        </w:r>
      </w:hyperlink>
    </w:p>
    <w:p w:rsidR="0090536C" w:rsidRPr="00D9161E" w:rsidRDefault="0090536C" w:rsidP="0045757F">
      <w:pPr>
        <w:autoSpaceDE w:val="0"/>
        <w:rPr>
          <w:rFonts w:ascii="Garamond" w:hAnsi="Garamond"/>
          <w:lang w:val="en-AU"/>
        </w:rPr>
      </w:pPr>
    </w:p>
    <w:p w:rsidR="00B160EF" w:rsidRPr="00D9161E" w:rsidRDefault="00B160EF" w:rsidP="0045757F">
      <w:pPr>
        <w:autoSpaceDE w:val="0"/>
        <w:rPr>
          <w:rFonts w:ascii="Garamond" w:hAnsi="Garamond"/>
          <w:lang w:val="en-AU"/>
        </w:rPr>
      </w:pPr>
      <w:r w:rsidRPr="00D9161E">
        <w:rPr>
          <w:rFonts w:ascii="Garamond" w:hAnsi="Garamond"/>
          <w:lang w:val="en-AU"/>
        </w:rPr>
        <w:t xml:space="preserve">If you would like to receive </w:t>
      </w:r>
      <w:r w:rsidRPr="00D9161E">
        <w:rPr>
          <w:rFonts w:ascii="Garamond" w:hAnsi="Garamond"/>
          <w:i/>
          <w:lang w:val="en-AU"/>
        </w:rPr>
        <w:t>On the Radar</w:t>
      </w:r>
      <w:r w:rsidRPr="00D9161E">
        <w:rPr>
          <w:rFonts w:ascii="Garamond" w:hAnsi="Garamond"/>
          <w:lang w:val="en-AU"/>
        </w:rPr>
        <w:t xml:space="preserve"> via email</w:t>
      </w:r>
      <w:r w:rsidR="003D7B9E" w:rsidRPr="00D9161E">
        <w:rPr>
          <w:rFonts w:ascii="Garamond" w:hAnsi="Garamond"/>
          <w:lang w:val="en-AU"/>
        </w:rPr>
        <w:t>, you can</w:t>
      </w:r>
      <w:r w:rsidR="00F24F60" w:rsidRPr="00D9161E">
        <w:rPr>
          <w:rFonts w:ascii="Garamond" w:hAnsi="Garamond"/>
          <w:lang w:val="en-AU"/>
        </w:rPr>
        <w:t xml:space="preserve"> subscribe on our website </w:t>
      </w:r>
      <w:hyperlink r:id="rId11" w:history="1">
        <w:r w:rsidR="00543EF2" w:rsidRPr="00781DEA">
          <w:rPr>
            <w:rStyle w:val="Hyperlink"/>
            <w:rFonts w:ascii="Garamond" w:hAnsi="Garamond"/>
            <w:lang w:val="en-AU"/>
          </w:rPr>
          <w:t>https://www.safetyandquality.gov.au/</w:t>
        </w:r>
      </w:hyperlink>
      <w:r w:rsidR="003D7B9E" w:rsidRPr="00D9161E">
        <w:rPr>
          <w:rFonts w:ascii="Garamond" w:hAnsi="Garamond"/>
          <w:lang w:val="en-AU"/>
        </w:rPr>
        <w:t xml:space="preserve"> or by emailing us at </w:t>
      </w:r>
      <w:r w:rsidR="003D7B9E" w:rsidRPr="00D9161E">
        <w:rPr>
          <w:rFonts w:ascii="Garamond" w:hAnsi="Garamond" w:cs="ZWAdobeF"/>
          <w:sz w:val="2"/>
          <w:szCs w:val="2"/>
          <w:lang w:val="en-AU"/>
        </w:rPr>
        <w:t>H</w:t>
      </w:r>
      <w:hyperlink r:id="rId12"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 xml:space="preserve">. </w:t>
      </w:r>
      <w:r w:rsidR="00E51D23" w:rsidRPr="00D9161E">
        <w:rPr>
          <w:rFonts w:ascii="Garamond" w:hAnsi="Garamond"/>
          <w:lang w:val="en-AU"/>
        </w:rPr>
        <w:br/>
      </w:r>
      <w:r w:rsidR="003D7B9E" w:rsidRPr="00D9161E">
        <w:rPr>
          <w:rFonts w:ascii="Garamond" w:hAnsi="Garamond"/>
          <w:lang w:val="en-AU"/>
        </w:rPr>
        <w:t xml:space="preserve">You can also send feedback and comments to </w:t>
      </w:r>
      <w:r w:rsidR="003D7B9E" w:rsidRPr="00D9161E">
        <w:rPr>
          <w:rFonts w:ascii="Garamond" w:hAnsi="Garamond" w:cs="ZWAdobeF"/>
          <w:sz w:val="2"/>
          <w:szCs w:val="2"/>
          <w:lang w:val="en-AU"/>
        </w:rPr>
        <w:t>H</w:t>
      </w:r>
      <w:hyperlink r:id="rId13"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w:t>
      </w:r>
    </w:p>
    <w:p w:rsidR="00B160EF" w:rsidRPr="00D9161E" w:rsidRDefault="00B160EF" w:rsidP="00837FC4">
      <w:pPr>
        <w:tabs>
          <w:tab w:val="left" w:pos="7773"/>
        </w:tabs>
        <w:rPr>
          <w:rFonts w:ascii="Garamond" w:hAnsi="Garamond"/>
          <w:lang w:val="en-AU"/>
        </w:rPr>
      </w:pPr>
    </w:p>
    <w:p w:rsidR="00837FC4" w:rsidRPr="00D9161E" w:rsidRDefault="00B160EF" w:rsidP="004554DB">
      <w:pPr>
        <w:autoSpaceDE w:val="0"/>
        <w:rPr>
          <w:rFonts w:ascii="Garamond" w:hAnsi="Garamond"/>
          <w:lang w:val="en-AU"/>
        </w:rPr>
      </w:pPr>
      <w:bookmarkStart w:id="0" w:name="OLE_LINK1"/>
      <w:r w:rsidRPr="00D9161E">
        <w:rPr>
          <w:rFonts w:ascii="Garamond" w:hAnsi="Garamond"/>
          <w:lang w:val="en-AU"/>
        </w:rPr>
        <w:t xml:space="preserve">For information about the Commission and its programs and publications, please visit </w:t>
      </w:r>
      <w:hyperlink r:id="rId14" w:history="1">
        <w:r w:rsidR="00543EF2" w:rsidRPr="00781DEA">
          <w:rPr>
            <w:rStyle w:val="Hyperlink"/>
            <w:rFonts w:ascii="Garamond" w:hAnsi="Garamond"/>
            <w:lang w:val="en-AU"/>
          </w:rPr>
          <w:t>https://www.safetyandquality.gov.au</w:t>
        </w:r>
      </w:hyperlink>
    </w:p>
    <w:p w:rsidR="0054703F" w:rsidRPr="00D9161E" w:rsidRDefault="004554DB" w:rsidP="004554DB">
      <w:pPr>
        <w:autoSpaceDE w:val="0"/>
        <w:rPr>
          <w:rFonts w:ascii="Garamond" w:hAnsi="Garamond"/>
          <w:lang w:val="en-AU"/>
        </w:rPr>
      </w:pPr>
      <w:r w:rsidRPr="00D9161E">
        <w:rPr>
          <w:rFonts w:ascii="Garamond" w:hAnsi="Garamond"/>
          <w:lang w:val="en-AU"/>
        </w:rPr>
        <w:t>You can also follow us on Twitter @ACSQHC.</w:t>
      </w:r>
    </w:p>
    <w:p w:rsidR="00210235" w:rsidRPr="00D9161E" w:rsidRDefault="00210235" w:rsidP="00210235">
      <w:pPr>
        <w:keepNext/>
        <w:pBdr>
          <w:top w:val="single" w:sz="4" w:space="1" w:color="auto"/>
        </w:pBdr>
        <w:rPr>
          <w:rFonts w:ascii="Garamond" w:hAnsi="Garamond"/>
          <w:b/>
          <w:lang w:val="en-AU"/>
        </w:rPr>
      </w:pPr>
      <w:r w:rsidRPr="00D9161E">
        <w:rPr>
          <w:rFonts w:ascii="Garamond" w:hAnsi="Garamond"/>
          <w:b/>
          <w:lang w:val="en-AU"/>
        </w:rPr>
        <w:t>On the Radar</w:t>
      </w:r>
    </w:p>
    <w:p w:rsidR="00340157" w:rsidRPr="00D9161E" w:rsidRDefault="00340157" w:rsidP="00210235">
      <w:pPr>
        <w:keepNext/>
        <w:pBdr>
          <w:top w:val="single" w:sz="4" w:space="1" w:color="auto"/>
        </w:pBdr>
        <w:rPr>
          <w:rFonts w:ascii="Garamond" w:hAnsi="Garamond"/>
          <w:bCs/>
          <w:lang w:val="en-AU"/>
        </w:rPr>
      </w:pPr>
      <w:r w:rsidRPr="00D9161E">
        <w:rPr>
          <w:rFonts w:ascii="Garamond" w:hAnsi="Garamond"/>
          <w:bCs/>
          <w:lang w:val="en-AU"/>
        </w:rPr>
        <w:t xml:space="preserve">Editor: </w:t>
      </w:r>
      <w:r w:rsidR="00C8085B" w:rsidRPr="00D9161E">
        <w:rPr>
          <w:rFonts w:ascii="Garamond" w:hAnsi="Garamond"/>
          <w:bCs/>
          <w:lang w:val="en-AU"/>
        </w:rPr>
        <w:t xml:space="preserve">Dr </w:t>
      </w:r>
      <w:r w:rsidRPr="00D9161E">
        <w:rPr>
          <w:rFonts w:ascii="Garamond" w:hAnsi="Garamond"/>
          <w:bCs/>
          <w:lang w:val="en-AU"/>
        </w:rPr>
        <w:t xml:space="preserve">Niall Johnson </w:t>
      </w:r>
      <w:hyperlink r:id="rId15" w:history="1">
        <w:r w:rsidRPr="00D9161E">
          <w:rPr>
            <w:rStyle w:val="Hyperlink"/>
            <w:rFonts w:ascii="Garamond" w:hAnsi="Garamond"/>
            <w:bCs/>
            <w:lang w:val="en-AU"/>
          </w:rPr>
          <w:t>niall.johnson@safetyandquality.gov.au</w:t>
        </w:r>
      </w:hyperlink>
    </w:p>
    <w:p w:rsidR="009A35BE" w:rsidRPr="00D9161E" w:rsidRDefault="00210235" w:rsidP="00A8296D">
      <w:pPr>
        <w:keepNext/>
        <w:pBdr>
          <w:top w:val="single" w:sz="4" w:space="1" w:color="auto"/>
        </w:pBdr>
        <w:rPr>
          <w:rFonts w:ascii="Garamond" w:hAnsi="Garamond"/>
          <w:shd w:val="clear" w:color="auto" w:fill="FFFFFF"/>
          <w:lang w:val="en-AU"/>
        </w:rPr>
      </w:pPr>
      <w:r w:rsidRPr="00D9161E">
        <w:rPr>
          <w:rFonts w:ascii="Garamond" w:hAnsi="Garamond"/>
          <w:bCs/>
          <w:lang w:val="en-AU"/>
        </w:rPr>
        <w:t xml:space="preserve">Contributors: </w:t>
      </w:r>
      <w:r w:rsidR="0056339A" w:rsidRPr="00D9161E">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49138E" w:rsidRDefault="0049138E" w:rsidP="00691DE3">
      <w:pPr>
        <w:keepLines/>
        <w:autoSpaceDE w:val="0"/>
        <w:autoSpaceDN w:val="0"/>
        <w:adjustRightInd w:val="0"/>
        <w:rPr>
          <w:rFonts w:ascii="Garamond" w:hAnsi="Garamond"/>
          <w:lang w:val="en-AU"/>
        </w:rPr>
      </w:pPr>
    </w:p>
    <w:p w:rsidR="00F02C22" w:rsidRPr="00F02C22" w:rsidRDefault="00F02C22" w:rsidP="00F02C22">
      <w:pPr>
        <w:keepLines/>
        <w:autoSpaceDE w:val="0"/>
        <w:autoSpaceDN w:val="0"/>
        <w:adjustRightInd w:val="0"/>
        <w:rPr>
          <w:rFonts w:ascii="Garamond" w:hAnsi="Garamond"/>
          <w:b/>
          <w:lang w:val="en-AU"/>
        </w:rPr>
      </w:pPr>
      <w:r w:rsidRPr="00F02C22">
        <w:rPr>
          <w:rFonts w:ascii="Garamond" w:hAnsi="Garamond"/>
          <w:b/>
          <w:lang w:val="en-AU"/>
        </w:rPr>
        <w:t>National Consensus Statement: Essential elements for recognising and responding to deterioration in a person’s mental state</w:t>
      </w:r>
    </w:p>
    <w:p w:rsidR="00F02C22" w:rsidRPr="00F02C22" w:rsidRDefault="00F02C22" w:rsidP="00F02C22">
      <w:pPr>
        <w:keepLines/>
        <w:autoSpaceDE w:val="0"/>
        <w:autoSpaceDN w:val="0"/>
        <w:adjustRightInd w:val="0"/>
        <w:rPr>
          <w:rFonts w:ascii="Garamond" w:hAnsi="Garamond"/>
          <w:lang w:val="en-AU"/>
        </w:rPr>
      </w:pPr>
    </w:p>
    <w:p w:rsidR="00F02C22" w:rsidRDefault="00F02C22" w:rsidP="00F02C22">
      <w:pPr>
        <w:keepLines/>
        <w:autoSpaceDE w:val="0"/>
        <w:autoSpaceDN w:val="0"/>
        <w:adjustRightInd w:val="0"/>
        <w:rPr>
          <w:rFonts w:ascii="Garamond" w:hAnsi="Garamond"/>
          <w:lang w:val="en-AU"/>
        </w:rPr>
      </w:pPr>
      <w:r w:rsidRPr="00F02C22">
        <w:rPr>
          <w:rFonts w:ascii="Garamond" w:hAnsi="Garamond"/>
          <w:lang w:val="en-AU"/>
        </w:rPr>
        <w:t xml:space="preserve">The Australian Commission on Safety and Quality in Health Care has developed the </w:t>
      </w:r>
      <w:r w:rsidRPr="00F02C22">
        <w:rPr>
          <w:rFonts w:ascii="Garamond" w:hAnsi="Garamond"/>
          <w:i/>
          <w:lang w:val="en-AU"/>
        </w:rPr>
        <w:t>National Consensus Statement: Essential elements for recognising and responding to deterioration in a person’s mental state</w:t>
      </w:r>
      <w:r w:rsidRPr="00F02C22">
        <w:rPr>
          <w:rFonts w:ascii="Garamond" w:hAnsi="Garamond"/>
          <w:lang w:val="en-AU"/>
        </w:rPr>
        <w:t xml:space="preserve"> (the Consensus Statement).</w:t>
      </w:r>
    </w:p>
    <w:p w:rsidR="0049138E" w:rsidRPr="00F02C22" w:rsidRDefault="0049138E" w:rsidP="00F02C22">
      <w:pPr>
        <w:keepLines/>
        <w:autoSpaceDE w:val="0"/>
        <w:autoSpaceDN w:val="0"/>
        <w:adjustRightInd w:val="0"/>
        <w:rPr>
          <w:rFonts w:ascii="Garamond" w:hAnsi="Garamond"/>
          <w:lang w:val="en-AU"/>
        </w:rPr>
      </w:pPr>
    </w:p>
    <w:p w:rsidR="00F02C22" w:rsidRDefault="00F02C22" w:rsidP="00F02C22">
      <w:pPr>
        <w:keepLines/>
        <w:autoSpaceDE w:val="0"/>
        <w:autoSpaceDN w:val="0"/>
        <w:adjustRightInd w:val="0"/>
        <w:rPr>
          <w:rFonts w:ascii="Garamond" w:hAnsi="Garamond"/>
          <w:lang w:val="en-AU"/>
        </w:rPr>
      </w:pPr>
      <w:r w:rsidRPr="00F02C22">
        <w:rPr>
          <w:rFonts w:ascii="Garamond" w:hAnsi="Garamond"/>
          <w:lang w:val="en-AU"/>
        </w:rPr>
        <w:t xml:space="preserve">The Consensus Statement aligns with the National Safety and Quality Health Service (NSQHS) Standards (second edition) as recommended best practice. It is intended that the Consensus Statement is applied in conjunction with the existing </w:t>
      </w:r>
      <w:r w:rsidRPr="00F02C22">
        <w:rPr>
          <w:rFonts w:ascii="Garamond" w:hAnsi="Garamond"/>
          <w:i/>
          <w:lang w:val="en-AU"/>
        </w:rPr>
        <w:t>National Consensus Statement: essential elements for recognising and responding to acute physiological deterioration</w:t>
      </w:r>
      <w:r w:rsidRPr="00F02C22">
        <w:rPr>
          <w:rFonts w:ascii="Garamond" w:hAnsi="Garamond"/>
          <w:lang w:val="en-AU"/>
        </w:rPr>
        <w:t xml:space="preserve"> (second edition).</w:t>
      </w:r>
    </w:p>
    <w:p w:rsidR="0049138E" w:rsidRPr="00F02C22" w:rsidRDefault="0049138E" w:rsidP="00F02C22">
      <w:pPr>
        <w:keepLines/>
        <w:autoSpaceDE w:val="0"/>
        <w:autoSpaceDN w:val="0"/>
        <w:adjustRightInd w:val="0"/>
        <w:rPr>
          <w:rFonts w:ascii="Garamond" w:hAnsi="Garamond"/>
          <w:lang w:val="en-AU"/>
        </w:rPr>
      </w:pPr>
    </w:p>
    <w:p w:rsidR="00F02C22" w:rsidRDefault="00F02C22" w:rsidP="00F02C22">
      <w:pPr>
        <w:keepLines/>
        <w:autoSpaceDE w:val="0"/>
        <w:autoSpaceDN w:val="0"/>
        <w:adjustRightInd w:val="0"/>
        <w:rPr>
          <w:rFonts w:ascii="Garamond" w:hAnsi="Garamond"/>
          <w:lang w:val="en-AU"/>
        </w:rPr>
      </w:pPr>
      <w:r w:rsidRPr="00F02C22">
        <w:rPr>
          <w:rFonts w:ascii="Garamond" w:hAnsi="Garamond"/>
          <w:lang w:val="en-AU"/>
        </w:rPr>
        <w:t>The Consensus Statement is available on the Commission’s website at</w:t>
      </w:r>
      <w:r w:rsidR="0049138E">
        <w:rPr>
          <w:rFonts w:ascii="Garamond" w:hAnsi="Garamond"/>
          <w:lang w:val="en-AU"/>
        </w:rPr>
        <w:t xml:space="preserve"> </w:t>
      </w:r>
      <w:hyperlink r:id="rId16" w:history="1">
        <w:r w:rsidRPr="009F1BFF">
          <w:rPr>
            <w:rStyle w:val="Hyperlink"/>
            <w:rFonts w:ascii="Garamond" w:hAnsi="Garamond"/>
            <w:lang w:val="en-AU"/>
          </w:rPr>
          <w:t>https://www.safetyandquality.gov.au/publications/national-consensus-statement-essential-elements-for-recognising-and-responding-to-deterioration-in-a-persons-mental-state/</w:t>
        </w:r>
      </w:hyperlink>
    </w:p>
    <w:p w:rsidR="00F02C22" w:rsidRPr="00D9161E" w:rsidRDefault="00F02C22" w:rsidP="00F02C22">
      <w:pPr>
        <w:keepLines/>
        <w:autoSpaceDE w:val="0"/>
        <w:autoSpaceDN w:val="0"/>
        <w:adjustRightInd w:val="0"/>
        <w:rPr>
          <w:rFonts w:ascii="Garamond" w:hAnsi="Garamond"/>
          <w:lang w:val="en-AU"/>
        </w:rPr>
      </w:pPr>
    </w:p>
    <w:p w:rsidR="00CF18F6" w:rsidRDefault="00CF18F6">
      <w:pPr>
        <w:rPr>
          <w:rFonts w:ascii="Garamond" w:hAnsi="Garamond"/>
          <w:b/>
          <w:lang w:val="en-AU"/>
        </w:rPr>
      </w:pPr>
      <w:r>
        <w:rPr>
          <w:rFonts w:ascii="Garamond" w:hAnsi="Garamond"/>
          <w:b/>
          <w:lang w:val="en-AU"/>
        </w:rPr>
        <w:br w:type="page"/>
      </w:r>
    </w:p>
    <w:p w:rsidR="001743F0" w:rsidRPr="007B3F39" w:rsidRDefault="001743F0" w:rsidP="007B3F39">
      <w:pPr>
        <w:keepNext/>
        <w:keepLines/>
        <w:autoSpaceDE w:val="0"/>
        <w:autoSpaceDN w:val="0"/>
        <w:adjustRightInd w:val="0"/>
        <w:rPr>
          <w:rFonts w:ascii="Garamond" w:hAnsi="Garamond"/>
          <w:b/>
          <w:lang w:val="en-AU"/>
        </w:rPr>
      </w:pPr>
      <w:r w:rsidRPr="007B3F39">
        <w:rPr>
          <w:rFonts w:ascii="Garamond" w:hAnsi="Garamond"/>
          <w:b/>
          <w:lang w:val="en-AU"/>
        </w:rPr>
        <w:lastRenderedPageBreak/>
        <w:t>Books</w:t>
      </w:r>
    </w:p>
    <w:p w:rsidR="001743F0" w:rsidRPr="00D9161E" w:rsidRDefault="001743F0" w:rsidP="001743F0">
      <w:pPr>
        <w:keepNext/>
        <w:keepLines/>
        <w:autoSpaceDE w:val="0"/>
        <w:autoSpaceDN w:val="0"/>
        <w:adjustRightInd w:val="0"/>
        <w:rPr>
          <w:rFonts w:ascii="Garamond" w:hAnsi="Garamond"/>
          <w:b/>
          <w:lang w:val="en-AU"/>
        </w:rPr>
      </w:pPr>
    </w:p>
    <w:p w:rsidR="001743F0" w:rsidRPr="005D16B8" w:rsidRDefault="005D16B8" w:rsidP="00995F91">
      <w:pPr>
        <w:keepNext/>
        <w:keepLines/>
        <w:autoSpaceDE w:val="0"/>
        <w:autoSpaceDN w:val="0"/>
        <w:adjustRightInd w:val="0"/>
        <w:rPr>
          <w:rFonts w:ascii="Garamond" w:hAnsi="Garamond"/>
          <w:i/>
          <w:lang w:val="en-AU"/>
        </w:rPr>
      </w:pPr>
      <w:r w:rsidRPr="005D16B8">
        <w:rPr>
          <w:rFonts w:ascii="Garamond" w:hAnsi="Garamond"/>
          <w:i/>
          <w:lang w:val="en-AU"/>
        </w:rPr>
        <w:t>Optimal Resources for Surgical Quality and Safety</w:t>
      </w:r>
    </w:p>
    <w:p w:rsidR="00CF18F6" w:rsidRDefault="00CF18F6" w:rsidP="00995F91">
      <w:pPr>
        <w:keepNext/>
        <w:keepLines/>
        <w:autoSpaceDE w:val="0"/>
        <w:autoSpaceDN w:val="0"/>
        <w:adjustRightInd w:val="0"/>
        <w:rPr>
          <w:rFonts w:ascii="Garamond" w:hAnsi="Garamond"/>
          <w:lang w:val="en-AU"/>
        </w:rPr>
      </w:pPr>
      <w:r w:rsidRPr="00CF18F6">
        <w:rPr>
          <w:rFonts w:ascii="Garamond" w:hAnsi="Garamond"/>
          <w:lang w:val="en-AU"/>
        </w:rPr>
        <w:t>Hoyt DB, Ko CY, editors</w:t>
      </w:r>
    </w:p>
    <w:p w:rsidR="005D16B8" w:rsidRPr="00D9161E" w:rsidRDefault="00CF18F6" w:rsidP="00995F91">
      <w:pPr>
        <w:keepNext/>
        <w:keepLines/>
        <w:autoSpaceDE w:val="0"/>
        <w:autoSpaceDN w:val="0"/>
        <w:adjustRightInd w:val="0"/>
        <w:rPr>
          <w:rFonts w:ascii="Garamond" w:hAnsi="Garamond"/>
          <w:lang w:val="en-AU"/>
        </w:rPr>
      </w:pPr>
      <w:r w:rsidRPr="00CF18F6">
        <w:rPr>
          <w:rFonts w:ascii="Garamond" w:hAnsi="Garamond"/>
          <w:lang w:val="en-AU"/>
        </w:rPr>
        <w:t>Chicago: American College of Surgeons; 2017.</w:t>
      </w:r>
    </w:p>
    <w:tbl>
      <w:tblPr>
        <w:tblStyle w:val="TableGrid"/>
        <w:tblW w:w="0" w:type="auto"/>
        <w:tblInd w:w="288" w:type="dxa"/>
        <w:tblLayout w:type="fixed"/>
        <w:tblLook w:val="01E0" w:firstRow="1" w:lastRow="1" w:firstColumn="1" w:lastColumn="1" w:noHBand="0" w:noVBand="0"/>
      </w:tblPr>
      <w:tblGrid>
        <w:gridCol w:w="1080"/>
        <w:gridCol w:w="8280"/>
      </w:tblGrid>
      <w:tr w:rsidR="001743F0"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FF25D5">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43F0" w:rsidRPr="00D9161E" w:rsidRDefault="00A3356E" w:rsidP="00FF25D5">
            <w:pPr>
              <w:rPr>
                <w:rStyle w:val="Hyperlink"/>
                <w:rFonts w:ascii="Garamond" w:hAnsi="Garamond"/>
                <w:color w:val="auto"/>
                <w:u w:val="none"/>
                <w:lang w:val="en-AU"/>
              </w:rPr>
            </w:pPr>
            <w:hyperlink r:id="rId17" w:history="1">
              <w:r w:rsidR="00CF18F6" w:rsidRPr="00887045">
                <w:rPr>
                  <w:rStyle w:val="Hyperlink"/>
                  <w:rFonts w:ascii="Garamond" w:hAnsi="Garamond"/>
                  <w:lang w:val="en-AU"/>
                </w:rPr>
                <w:t>https://www.facs.org/quality-programs/about/optimal-resources-manual</w:t>
              </w:r>
            </w:hyperlink>
          </w:p>
        </w:tc>
      </w:tr>
      <w:tr w:rsidR="001743F0"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1743F0" w:rsidRPr="00D9161E" w:rsidRDefault="001743F0"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18F6" w:rsidRPr="001743F0" w:rsidRDefault="00CF18F6" w:rsidP="00CF18F6">
            <w:pPr>
              <w:rPr>
                <w:rFonts w:ascii="Garamond" w:hAnsi="Garamond"/>
                <w:lang w:val="en-AU"/>
              </w:rPr>
            </w:pPr>
            <w:r>
              <w:rPr>
                <w:rFonts w:ascii="Garamond" w:hAnsi="Garamond"/>
                <w:lang w:val="en-AU"/>
              </w:rPr>
              <w:t xml:space="preserve">The American College of Surgeons has published this edited volume. The book discusses the range of </w:t>
            </w:r>
            <w:r w:rsidRPr="00CF18F6">
              <w:rPr>
                <w:rFonts w:ascii="Garamond" w:hAnsi="Garamond"/>
                <w:lang w:val="en-AU"/>
              </w:rPr>
              <w:t>technical and organi</w:t>
            </w:r>
            <w:r>
              <w:rPr>
                <w:rFonts w:ascii="Garamond" w:hAnsi="Garamond"/>
                <w:lang w:val="en-AU"/>
              </w:rPr>
              <w:t>s</w:t>
            </w:r>
            <w:r w:rsidRPr="00CF18F6">
              <w:rPr>
                <w:rFonts w:ascii="Garamond" w:hAnsi="Garamond"/>
                <w:lang w:val="en-AU"/>
              </w:rPr>
              <w:t>ational</w:t>
            </w:r>
            <w:r>
              <w:rPr>
                <w:rFonts w:ascii="Garamond" w:hAnsi="Garamond"/>
                <w:lang w:val="en-AU"/>
              </w:rPr>
              <w:t xml:space="preserve"> factors that can contribute to safety and quality lapses and how to address these issues and </w:t>
            </w:r>
            <w:r w:rsidRPr="00CF18F6">
              <w:rPr>
                <w:rFonts w:ascii="Garamond" w:hAnsi="Garamond"/>
                <w:lang w:val="en-AU"/>
              </w:rPr>
              <w:t xml:space="preserve">weaknesses. Topics covered include </w:t>
            </w:r>
            <w:r>
              <w:rPr>
                <w:rFonts w:ascii="Garamond" w:hAnsi="Garamond"/>
                <w:lang w:val="en-AU"/>
              </w:rPr>
              <w:t xml:space="preserve">patient-centredness, </w:t>
            </w:r>
            <w:r w:rsidRPr="00CF18F6">
              <w:rPr>
                <w:rFonts w:ascii="Garamond" w:hAnsi="Garamond"/>
                <w:lang w:val="en-AU"/>
              </w:rPr>
              <w:t>high reliability, teamwork, c</w:t>
            </w:r>
            <w:r>
              <w:rPr>
                <w:rFonts w:ascii="Garamond" w:hAnsi="Garamond"/>
                <w:lang w:val="en-AU"/>
              </w:rPr>
              <w:t xml:space="preserve">ommunication, and </w:t>
            </w:r>
            <w:r w:rsidRPr="00CF18F6">
              <w:rPr>
                <w:rFonts w:ascii="Garamond" w:hAnsi="Garamond"/>
                <w:lang w:val="en-AU"/>
              </w:rPr>
              <w:t>culture.</w:t>
            </w:r>
          </w:p>
        </w:tc>
      </w:tr>
    </w:tbl>
    <w:p w:rsidR="001743F0" w:rsidRDefault="001743F0" w:rsidP="001743F0">
      <w:pPr>
        <w:keepNext/>
        <w:rPr>
          <w:rFonts w:ascii="Garamond" w:hAnsi="Garamond"/>
          <w:lang w:val="en-AU"/>
        </w:rPr>
      </w:pPr>
    </w:p>
    <w:p w:rsidR="001743F0" w:rsidRDefault="001743F0" w:rsidP="001743F0">
      <w:pPr>
        <w:keepNext/>
        <w:rPr>
          <w:rFonts w:ascii="Garamond" w:hAnsi="Garamond"/>
          <w:lang w:val="en-AU"/>
        </w:rPr>
      </w:pPr>
    </w:p>
    <w:p w:rsidR="00177F9F" w:rsidRPr="00D9161E" w:rsidRDefault="00177F9F" w:rsidP="00644660">
      <w:pPr>
        <w:keepNext/>
        <w:keepLines/>
        <w:autoSpaceDE w:val="0"/>
        <w:autoSpaceDN w:val="0"/>
        <w:adjustRightInd w:val="0"/>
        <w:rPr>
          <w:rFonts w:ascii="Garamond" w:hAnsi="Garamond"/>
          <w:b/>
          <w:lang w:val="en-AU"/>
        </w:rPr>
      </w:pPr>
      <w:r w:rsidRPr="00D9161E">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995F91" w:rsidRPr="00AD4050" w:rsidRDefault="00AD4050" w:rsidP="00995F91">
      <w:pPr>
        <w:keepNext/>
        <w:keepLines/>
        <w:autoSpaceDE w:val="0"/>
        <w:autoSpaceDN w:val="0"/>
        <w:adjustRightInd w:val="0"/>
        <w:rPr>
          <w:rFonts w:ascii="Garamond" w:hAnsi="Garamond"/>
          <w:i/>
          <w:lang w:val="en-AU"/>
        </w:rPr>
      </w:pPr>
      <w:r w:rsidRPr="00AD4050">
        <w:rPr>
          <w:rFonts w:ascii="Garamond" w:hAnsi="Garamond"/>
          <w:i/>
          <w:lang w:val="en-AU"/>
        </w:rPr>
        <w:t>Patient Safety in the Home: Assessment of Issues, Challenges, and Opportunities</w:t>
      </w:r>
    </w:p>
    <w:p w:rsidR="0031178E" w:rsidRDefault="0031178E" w:rsidP="00995F91">
      <w:pPr>
        <w:keepNext/>
        <w:keepLines/>
        <w:autoSpaceDE w:val="0"/>
        <w:autoSpaceDN w:val="0"/>
        <w:adjustRightInd w:val="0"/>
        <w:rPr>
          <w:rFonts w:ascii="Garamond" w:hAnsi="Garamond"/>
          <w:lang w:val="en-AU"/>
        </w:rPr>
      </w:pPr>
      <w:r w:rsidRPr="0031178E">
        <w:rPr>
          <w:rFonts w:ascii="Garamond" w:hAnsi="Garamond"/>
          <w:lang w:val="en-AU"/>
        </w:rPr>
        <w:t>Carpenter D, Famolaro T, Hassell S, Kaeberle B, Reefer S, Robins C, et al</w:t>
      </w:r>
    </w:p>
    <w:p w:rsidR="00AD4050" w:rsidRDefault="0031178E" w:rsidP="00995F91">
      <w:pPr>
        <w:keepNext/>
        <w:keepLines/>
        <w:autoSpaceDE w:val="0"/>
        <w:autoSpaceDN w:val="0"/>
        <w:adjustRightInd w:val="0"/>
        <w:rPr>
          <w:rFonts w:ascii="Garamond" w:hAnsi="Garamond"/>
          <w:lang w:val="en-AU"/>
        </w:rPr>
      </w:pPr>
      <w:r w:rsidRPr="0031178E">
        <w:rPr>
          <w:rFonts w:ascii="Garamond" w:hAnsi="Garamond"/>
          <w:lang w:val="en-AU"/>
        </w:rPr>
        <w:t xml:space="preserve">Cambridge MA: </w:t>
      </w:r>
      <w:r w:rsidR="005A35F7" w:rsidRPr="0031178E">
        <w:rPr>
          <w:rFonts w:ascii="Garamond" w:hAnsi="Garamond"/>
          <w:lang w:val="en-AU"/>
        </w:rPr>
        <w:t>Institute</w:t>
      </w:r>
      <w:r w:rsidRPr="0031178E">
        <w:rPr>
          <w:rFonts w:ascii="Garamond" w:hAnsi="Garamond"/>
          <w:lang w:val="en-AU"/>
        </w:rPr>
        <w:t xml:space="preserve"> for Healthcare Improvement; 2017. p. 54.</w:t>
      </w:r>
    </w:p>
    <w:p w:rsidR="00EC561C" w:rsidRDefault="00EC561C" w:rsidP="00995F91">
      <w:pPr>
        <w:keepNext/>
        <w:keepLines/>
        <w:autoSpaceDE w:val="0"/>
        <w:autoSpaceDN w:val="0"/>
        <w:adjustRightInd w:val="0"/>
        <w:rPr>
          <w:rFonts w:ascii="Garamond" w:hAnsi="Garamond"/>
          <w:lang w:val="en-AU"/>
        </w:rPr>
      </w:pPr>
    </w:p>
    <w:p w:rsidR="00EC561C" w:rsidRPr="00EC561C" w:rsidRDefault="00EC561C" w:rsidP="00EC561C">
      <w:pPr>
        <w:keepNext/>
        <w:keepLines/>
        <w:autoSpaceDE w:val="0"/>
        <w:autoSpaceDN w:val="0"/>
        <w:adjustRightInd w:val="0"/>
        <w:rPr>
          <w:rFonts w:ascii="Garamond" w:hAnsi="Garamond"/>
          <w:i/>
          <w:lang w:val="en-AU"/>
        </w:rPr>
      </w:pPr>
      <w:r w:rsidRPr="00EC561C">
        <w:rPr>
          <w:rFonts w:ascii="Garamond" w:hAnsi="Garamond"/>
          <w:i/>
          <w:lang w:val="en-AU"/>
        </w:rPr>
        <w:t>An Overview of Home-Based Primary Care: Learning from the Field. Issue Brief</w:t>
      </w:r>
    </w:p>
    <w:p w:rsidR="00EC561C" w:rsidRDefault="00EC561C" w:rsidP="00995F91">
      <w:pPr>
        <w:keepNext/>
        <w:keepLines/>
        <w:autoSpaceDE w:val="0"/>
        <w:autoSpaceDN w:val="0"/>
        <w:adjustRightInd w:val="0"/>
        <w:rPr>
          <w:rFonts w:ascii="Garamond" w:hAnsi="Garamond"/>
          <w:lang w:val="en-AU"/>
        </w:rPr>
      </w:pPr>
      <w:r w:rsidRPr="00EC561C">
        <w:rPr>
          <w:rFonts w:ascii="Garamond" w:hAnsi="Garamond"/>
          <w:lang w:val="en-AU"/>
        </w:rPr>
        <w:t>Klein S, Hostett</w:t>
      </w:r>
      <w:r>
        <w:rPr>
          <w:rFonts w:ascii="Garamond" w:hAnsi="Garamond"/>
          <w:lang w:val="en-AU"/>
        </w:rPr>
        <w:t xml:space="preserve">er M, McCarthy </w:t>
      </w:r>
      <w:r w:rsidRPr="00EC561C">
        <w:rPr>
          <w:rFonts w:ascii="Garamond" w:hAnsi="Garamond"/>
          <w:lang w:val="en-AU"/>
        </w:rPr>
        <w:t>D</w:t>
      </w:r>
    </w:p>
    <w:p w:rsidR="00EC561C" w:rsidRPr="00D9161E" w:rsidRDefault="00EC561C" w:rsidP="00995F91">
      <w:pPr>
        <w:keepNext/>
        <w:keepLines/>
        <w:autoSpaceDE w:val="0"/>
        <w:autoSpaceDN w:val="0"/>
        <w:adjustRightInd w:val="0"/>
        <w:rPr>
          <w:rFonts w:ascii="Garamond" w:hAnsi="Garamond"/>
          <w:lang w:val="en-AU"/>
        </w:rPr>
      </w:pPr>
      <w:r w:rsidRPr="00EC561C">
        <w:rPr>
          <w:rFonts w:ascii="Garamond" w:hAnsi="Garamond"/>
          <w:lang w:val="en-AU"/>
        </w:rPr>
        <w:t>New York: The Commonwealth Fund; 2017. p. 20.</w:t>
      </w:r>
    </w:p>
    <w:tbl>
      <w:tblPr>
        <w:tblStyle w:val="TableGrid"/>
        <w:tblW w:w="0" w:type="auto"/>
        <w:tblInd w:w="288" w:type="dxa"/>
        <w:tblLayout w:type="fixed"/>
        <w:tblLook w:val="01E0" w:firstRow="1" w:lastRow="1" w:firstColumn="1" w:lastColumn="1" w:noHBand="0" w:noVBand="0"/>
      </w:tblPr>
      <w:tblGrid>
        <w:gridCol w:w="1080"/>
        <w:gridCol w:w="8280"/>
      </w:tblGrid>
      <w:tr w:rsidR="00995F91"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FF25D5">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5F91" w:rsidRDefault="00EC561C" w:rsidP="00FF25D5">
            <w:pPr>
              <w:rPr>
                <w:rStyle w:val="Hyperlink"/>
                <w:rFonts w:ascii="Garamond" w:hAnsi="Garamond"/>
                <w:lang w:val="en-AU"/>
              </w:rPr>
            </w:pPr>
            <w:r w:rsidRPr="00EC561C">
              <w:rPr>
                <w:rFonts w:ascii="Garamond" w:hAnsi="Garamond"/>
              </w:rPr>
              <w:t xml:space="preserve">Carpenter et al </w:t>
            </w:r>
            <w:hyperlink r:id="rId18" w:history="1">
              <w:r w:rsidR="00AD4050" w:rsidRPr="00EC561C">
                <w:rPr>
                  <w:rStyle w:val="Hyperlink"/>
                  <w:rFonts w:ascii="Garamond" w:hAnsi="Garamond"/>
                  <w:lang w:val="en-AU"/>
                </w:rPr>
                <w:t>http://www.ihi.org/resources/Pages/Publications/Patient-Safety-in-the-Home.aspx</w:t>
              </w:r>
            </w:hyperlink>
          </w:p>
          <w:p w:rsidR="00EC561C" w:rsidRPr="00EC561C" w:rsidRDefault="00EC561C" w:rsidP="00EC561C">
            <w:pPr>
              <w:rPr>
                <w:rStyle w:val="Hyperlink"/>
                <w:rFonts w:ascii="Garamond" w:hAnsi="Garamond"/>
                <w:color w:val="auto"/>
                <w:u w:val="none"/>
                <w:lang w:val="en-AU"/>
              </w:rPr>
            </w:pPr>
            <w:r>
              <w:rPr>
                <w:rStyle w:val="Hyperlink"/>
                <w:rFonts w:ascii="Garamond" w:hAnsi="Garamond"/>
                <w:color w:val="auto"/>
                <w:u w:val="none"/>
                <w:lang w:val="en-AU"/>
              </w:rPr>
              <w:t xml:space="preserve">Klein at el </w:t>
            </w:r>
            <w:hyperlink r:id="rId19" w:history="1">
              <w:r w:rsidRPr="00887045">
                <w:rPr>
                  <w:rStyle w:val="Hyperlink"/>
                  <w:rFonts w:ascii="Garamond" w:hAnsi="Garamond"/>
                  <w:lang w:val="en-AU"/>
                </w:rPr>
                <w:t>http://www.commonwealthfund.org/publications/issue-briefs/2017/jun/overview-home-based-primary-care</w:t>
              </w:r>
            </w:hyperlink>
          </w:p>
        </w:tc>
      </w:tr>
      <w:tr w:rsidR="00995F91"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2009" w:rsidRDefault="007E2009" w:rsidP="007E2009">
            <w:pPr>
              <w:rPr>
                <w:rFonts w:ascii="Garamond" w:hAnsi="Garamond"/>
                <w:lang w:val="en-AU"/>
              </w:rPr>
            </w:pPr>
            <w:r>
              <w:rPr>
                <w:rFonts w:ascii="Garamond" w:hAnsi="Garamond"/>
                <w:lang w:val="en-AU"/>
              </w:rPr>
              <w:t xml:space="preserve">The (US) Institute for Healthcare Improvement has published this report examining </w:t>
            </w:r>
            <w:r w:rsidRPr="007E2009">
              <w:rPr>
                <w:rFonts w:ascii="Garamond" w:hAnsi="Garamond"/>
                <w:lang w:val="en-AU"/>
              </w:rPr>
              <w:t>patient safety in the home, including challenges, funding mechanisms, and conceptual frameworks</w:t>
            </w:r>
            <w:r>
              <w:rPr>
                <w:rFonts w:ascii="Garamond" w:hAnsi="Garamond"/>
                <w:lang w:val="en-AU"/>
              </w:rPr>
              <w:t xml:space="preserve">. The challenges found </w:t>
            </w:r>
            <w:r w:rsidRPr="007E2009">
              <w:rPr>
                <w:rFonts w:ascii="Garamond" w:hAnsi="Garamond"/>
                <w:lang w:val="en-AU"/>
              </w:rPr>
              <w:t xml:space="preserve">are wide ranging and include fragmentation of care; household hazards; ill-prepared family caregivers; limited training and regulation of home care workers; inadequate communication among patients, caregivers, and providers; and misaligned payment incentives. </w:t>
            </w:r>
          </w:p>
          <w:p w:rsidR="007E2009" w:rsidRDefault="007E2009" w:rsidP="007E2009">
            <w:pPr>
              <w:rPr>
                <w:rFonts w:ascii="Garamond" w:hAnsi="Garamond"/>
                <w:lang w:val="en-AU"/>
              </w:rPr>
            </w:pPr>
            <w:r>
              <w:rPr>
                <w:rFonts w:ascii="Garamond" w:hAnsi="Garamond"/>
                <w:lang w:val="en-AU"/>
              </w:rPr>
              <w:t xml:space="preserve">The report examined the challenges using four dimensions: </w:t>
            </w:r>
          </w:p>
          <w:p w:rsidR="007E2009" w:rsidRPr="007E2009" w:rsidRDefault="007E2009" w:rsidP="007E2009">
            <w:pPr>
              <w:pStyle w:val="ListParagraph"/>
              <w:numPr>
                <w:ilvl w:val="0"/>
                <w:numId w:val="30"/>
              </w:numPr>
              <w:rPr>
                <w:rFonts w:ascii="Garamond" w:hAnsi="Garamond"/>
                <w:lang w:val="en-AU"/>
              </w:rPr>
            </w:pPr>
            <w:r w:rsidRPr="007E2009">
              <w:rPr>
                <w:rFonts w:ascii="Garamond" w:hAnsi="Garamond"/>
                <w:lang w:val="en-AU"/>
              </w:rPr>
              <w:t>Physical – including environmental hazards such as home layout and infrastructure, clutter, and unsanitary conditions</w:t>
            </w:r>
          </w:p>
          <w:p w:rsidR="007E2009" w:rsidRPr="007E2009" w:rsidRDefault="007E2009" w:rsidP="007E2009">
            <w:pPr>
              <w:pStyle w:val="ListParagraph"/>
              <w:numPr>
                <w:ilvl w:val="0"/>
                <w:numId w:val="30"/>
              </w:numPr>
              <w:rPr>
                <w:rFonts w:ascii="Garamond" w:hAnsi="Garamond"/>
                <w:lang w:val="en-AU"/>
              </w:rPr>
            </w:pPr>
            <w:r>
              <w:rPr>
                <w:rFonts w:ascii="Garamond" w:hAnsi="Garamond"/>
                <w:lang w:val="en-AU"/>
              </w:rPr>
              <w:t>P</w:t>
            </w:r>
            <w:r w:rsidRPr="007E2009">
              <w:rPr>
                <w:rFonts w:ascii="Garamond" w:hAnsi="Garamond"/>
                <w:lang w:val="en-AU"/>
              </w:rPr>
              <w:t>rocesses of care – including medication management, infection control, nutrition, fall prevention, complex clinical care, and care coordination</w:t>
            </w:r>
          </w:p>
          <w:p w:rsidR="007E2009" w:rsidRPr="007E2009" w:rsidRDefault="007E2009" w:rsidP="007E2009">
            <w:pPr>
              <w:pStyle w:val="ListParagraph"/>
              <w:numPr>
                <w:ilvl w:val="0"/>
                <w:numId w:val="30"/>
              </w:numPr>
              <w:rPr>
                <w:rFonts w:ascii="Garamond" w:hAnsi="Garamond"/>
                <w:lang w:val="en-AU"/>
              </w:rPr>
            </w:pPr>
            <w:r>
              <w:rPr>
                <w:rFonts w:ascii="Garamond" w:hAnsi="Garamond"/>
                <w:lang w:val="en-AU"/>
              </w:rPr>
              <w:t>E</w:t>
            </w:r>
            <w:r w:rsidRPr="007E2009">
              <w:rPr>
                <w:rFonts w:ascii="Garamond" w:hAnsi="Garamond"/>
                <w:lang w:val="en-AU"/>
              </w:rPr>
              <w:t xml:space="preserve">motional – involves stress, trauma, and discomfort related to receiving and providing care., and </w:t>
            </w:r>
          </w:p>
          <w:p w:rsidR="007E2009" w:rsidRDefault="007E2009" w:rsidP="007E2009">
            <w:pPr>
              <w:pStyle w:val="ListParagraph"/>
              <w:numPr>
                <w:ilvl w:val="0"/>
                <w:numId w:val="30"/>
              </w:numPr>
              <w:rPr>
                <w:rFonts w:ascii="Garamond" w:hAnsi="Garamond"/>
                <w:lang w:val="en-AU"/>
              </w:rPr>
            </w:pPr>
            <w:r>
              <w:rPr>
                <w:rFonts w:ascii="Garamond" w:hAnsi="Garamond"/>
                <w:lang w:val="en-AU"/>
              </w:rPr>
              <w:t>S</w:t>
            </w:r>
            <w:r w:rsidRPr="007E2009">
              <w:rPr>
                <w:rFonts w:ascii="Garamond" w:hAnsi="Garamond"/>
                <w:lang w:val="en-AU"/>
              </w:rPr>
              <w:t>ocial and functional – covering the community and the network of support, and the effects of health conditions on activities of daily living.</w:t>
            </w:r>
          </w:p>
          <w:p w:rsidR="00EC561C" w:rsidRPr="00EC561C" w:rsidRDefault="00EC561C" w:rsidP="00EC561C">
            <w:pPr>
              <w:rPr>
                <w:rFonts w:ascii="Garamond" w:hAnsi="Garamond"/>
                <w:lang w:val="en-AU"/>
              </w:rPr>
            </w:pPr>
            <w:r>
              <w:rPr>
                <w:rFonts w:ascii="Garamond" w:hAnsi="Garamond"/>
                <w:lang w:val="en-AU"/>
              </w:rPr>
              <w:t xml:space="preserve">The (US) Commonwealth Fund has also produced as Issue Brief </w:t>
            </w:r>
            <w:r w:rsidRPr="00EC561C">
              <w:rPr>
                <w:rFonts w:ascii="Garamond" w:hAnsi="Garamond"/>
                <w:i/>
                <w:lang w:val="en-AU"/>
              </w:rPr>
              <w:t>An Overview of Home-Based Primary Care</w:t>
            </w:r>
            <w:r>
              <w:rPr>
                <w:rFonts w:ascii="Garamond" w:hAnsi="Garamond"/>
                <w:lang w:val="en-AU"/>
              </w:rPr>
              <w:t xml:space="preserve"> </w:t>
            </w:r>
            <w:r w:rsidRPr="00EC561C">
              <w:rPr>
                <w:rFonts w:ascii="Garamond" w:hAnsi="Garamond"/>
                <w:lang w:val="en-AU"/>
              </w:rPr>
              <w:t>based on</w:t>
            </w:r>
            <w:r>
              <w:rPr>
                <w:rFonts w:ascii="Garamond" w:hAnsi="Garamond"/>
                <w:lang w:val="en-AU"/>
              </w:rPr>
              <w:t xml:space="preserve"> the experience of a number of home-based primary care services. Their analysis found </w:t>
            </w:r>
            <w:r w:rsidRPr="00EC561C">
              <w:rPr>
                <w:rFonts w:ascii="Garamond" w:hAnsi="Garamond"/>
                <w:lang w:val="en-AU"/>
              </w:rPr>
              <w:t>interdisciplinary teams, incorporating behavio</w:t>
            </w:r>
            <w:r>
              <w:rPr>
                <w:rFonts w:ascii="Garamond" w:hAnsi="Garamond"/>
                <w:lang w:val="en-AU"/>
              </w:rPr>
              <w:t>u</w:t>
            </w:r>
            <w:r w:rsidRPr="00EC561C">
              <w:rPr>
                <w:rFonts w:ascii="Garamond" w:hAnsi="Garamond"/>
                <w:lang w:val="en-AU"/>
              </w:rPr>
              <w:t>ral care and social supports into primary care, responding rapidly to urgent and acute care needs, offering palliative care, and supporting family members and caregivers</w:t>
            </w:r>
            <w:r>
              <w:rPr>
                <w:rFonts w:ascii="Garamond" w:hAnsi="Garamond"/>
                <w:lang w:val="en-AU"/>
              </w:rPr>
              <w:t xml:space="preserve"> were all key</w:t>
            </w:r>
            <w:r w:rsidRPr="00EC561C">
              <w:rPr>
                <w:rFonts w:ascii="Garamond" w:hAnsi="Garamond"/>
                <w:lang w:val="en-AU"/>
              </w:rPr>
              <w:t xml:space="preserve">. </w:t>
            </w:r>
            <w:r>
              <w:rPr>
                <w:rFonts w:ascii="Garamond" w:hAnsi="Garamond"/>
                <w:lang w:val="en-AU"/>
              </w:rPr>
              <w:t xml:space="preserve">Savings were produced due to </w:t>
            </w:r>
            <w:r w:rsidRPr="00EC561C">
              <w:rPr>
                <w:rFonts w:ascii="Garamond" w:hAnsi="Garamond"/>
                <w:lang w:val="en-AU"/>
              </w:rPr>
              <w:t>reducing hospital use</w:t>
            </w:r>
            <w:r>
              <w:rPr>
                <w:rFonts w:ascii="Garamond" w:hAnsi="Garamond"/>
                <w:lang w:val="en-AU"/>
              </w:rPr>
              <w:t>. Challenges to making “</w:t>
            </w:r>
            <w:r w:rsidRPr="00EC561C">
              <w:rPr>
                <w:rFonts w:ascii="Garamond" w:hAnsi="Garamond"/>
                <w:lang w:val="en-AU"/>
              </w:rPr>
              <w:t>effective home-based primary care more widely available would require a better-prepared workforce, appropriate financial incentives to encourage more clinicians to provide house calls to their home-limited patients, and relevant quality measures to ensure that value-based payment is calibrated to meet the needs of patients and their families.</w:t>
            </w:r>
            <w:r>
              <w:rPr>
                <w:rFonts w:ascii="Garamond" w:hAnsi="Garamond"/>
                <w:lang w:val="en-AU"/>
              </w:rPr>
              <w:t>”</w:t>
            </w:r>
          </w:p>
        </w:tc>
      </w:tr>
    </w:tbl>
    <w:p w:rsidR="00993A53" w:rsidRPr="00993A53" w:rsidRDefault="00993A53" w:rsidP="00B37973">
      <w:pPr>
        <w:keepNext/>
        <w:rPr>
          <w:rFonts w:ascii="Garamond" w:hAnsi="Garamond"/>
          <w:i/>
          <w:lang w:val="en-AU"/>
        </w:rPr>
      </w:pPr>
      <w:r w:rsidRPr="00993A53">
        <w:rPr>
          <w:rFonts w:ascii="Garamond" w:hAnsi="Garamond"/>
          <w:i/>
          <w:lang w:val="en-AU"/>
        </w:rPr>
        <w:lastRenderedPageBreak/>
        <w:t>Improving the Working Environment For Safe Surgical Care</w:t>
      </w:r>
    </w:p>
    <w:p w:rsidR="00993A53" w:rsidRDefault="00993A53" w:rsidP="00B37973">
      <w:pPr>
        <w:keepNext/>
        <w:rPr>
          <w:rFonts w:ascii="Garamond" w:hAnsi="Garamond"/>
          <w:lang w:val="en-AU"/>
        </w:rPr>
      </w:pPr>
      <w:r w:rsidRPr="00993A53">
        <w:rPr>
          <w:rFonts w:ascii="Garamond" w:hAnsi="Garamond"/>
          <w:lang w:val="en-AU"/>
        </w:rPr>
        <w:t>The Royal College of Surgeons of Edinburgh</w:t>
      </w:r>
    </w:p>
    <w:p w:rsidR="00993A53" w:rsidRDefault="00993A53" w:rsidP="00B37973">
      <w:pPr>
        <w:keepNext/>
        <w:rPr>
          <w:rFonts w:ascii="Garamond" w:hAnsi="Garamond"/>
          <w:lang w:val="en-AU"/>
        </w:rPr>
      </w:pPr>
      <w:r w:rsidRPr="00993A53">
        <w:rPr>
          <w:rFonts w:ascii="Garamond" w:hAnsi="Garamond"/>
          <w:lang w:val="en-AU"/>
        </w:rPr>
        <w:t>Edinburgh: The Royal College of Surgeons of Edinburgh; 2017. p. 38.</w:t>
      </w:r>
    </w:p>
    <w:tbl>
      <w:tblPr>
        <w:tblStyle w:val="TableGrid"/>
        <w:tblW w:w="0" w:type="auto"/>
        <w:tblInd w:w="288" w:type="dxa"/>
        <w:tblLayout w:type="fixed"/>
        <w:tblLook w:val="01E0" w:firstRow="1" w:lastRow="1" w:firstColumn="1" w:lastColumn="1" w:noHBand="0" w:noVBand="0"/>
      </w:tblPr>
      <w:tblGrid>
        <w:gridCol w:w="1080"/>
        <w:gridCol w:w="8280"/>
      </w:tblGrid>
      <w:tr w:rsidR="00993A53"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993A53" w:rsidRPr="00D9161E" w:rsidRDefault="00993A53" w:rsidP="00FF25D5">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3A53" w:rsidRPr="00D9161E" w:rsidRDefault="00A3356E" w:rsidP="00FF25D5">
            <w:pPr>
              <w:rPr>
                <w:rStyle w:val="Hyperlink"/>
                <w:rFonts w:ascii="Garamond" w:hAnsi="Garamond"/>
                <w:color w:val="auto"/>
                <w:u w:val="none"/>
                <w:lang w:val="en-AU"/>
              </w:rPr>
            </w:pPr>
            <w:hyperlink r:id="rId20" w:history="1">
              <w:r w:rsidR="00993A53" w:rsidRPr="00197564">
                <w:rPr>
                  <w:rStyle w:val="Hyperlink"/>
                  <w:rFonts w:ascii="Garamond" w:hAnsi="Garamond"/>
                  <w:lang w:val="en-AU"/>
                </w:rPr>
                <w:t>https://www.rcsed.ac.uk/news-public-affairs/news/2017/july/rcsed-publishes-plan-for-safer-working-environment</w:t>
              </w:r>
            </w:hyperlink>
          </w:p>
        </w:tc>
      </w:tr>
      <w:tr w:rsidR="00993A53"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993A53" w:rsidRPr="00D9161E" w:rsidRDefault="00993A53"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2949" w:rsidRDefault="007E2009" w:rsidP="00DC2949">
            <w:pPr>
              <w:rPr>
                <w:rFonts w:ascii="Garamond" w:hAnsi="Garamond"/>
                <w:lang w:val="en-AU"/>
              </w:rPr>
            </w:pPr>
            <w:r>
              <w:rPr>
                <w:rFonts w:ascii="Garamond" w:hAnsi="Garamond"/>
                <w:lang w:val="en-AU"/>
              </w:rPr>
              <w:t xml:space="preserve">This report from the </w:t>
            </w:r>
            <w:r w:rsidRPr="007E2009">
              <w:rPr>
                <w:rFonts w:ascii="Garamond" w:hAnsi="Garamond"/>
                <w:lang w:val="en-AU"/>
              </w:rPr>
              <w:t>Royal College of Surgeons of Edinburgh</w:t>
            </w:r>
            <w:r>
              <w:rPr>
                <w:rFonts w:ascii="Garamond" w:hAnsi="Garamond"/>
                <w:lang w:val="en-AU"/>
              </w:rPr>
              <w:t xml:space="preserve"> focuses on how to im</w:t>
            </w:r>
            <w:r w:rsidRPr="007E2009">
              <w:rPr>
                <w:rFonts w:ascii="Garamond" w:hAnsi="Garamond"/>
                <w:lang w:val="en-AU"/>
              </w:rPr>
              <w:t>prove safety in the delivery of surgical treatment and patient care</w:t>
            </w:r>
            <w:r w:rsidR="00DC2949">
              <w:rPr>
                <w:rFonts w:ascii="Garamond" w:hAnsi="Garamond"/>
                <w:lang w:val="en-AU"/>
              </w:rPr>
              <w:t xml:space="preserve"> in the UK’s National Health Service. </w:t>
            </w:r>
            <w:r w:rsidR="00DC2949" w:rsidRPr="00DC2949">
              <w:rPr>
                <w:rFonts w:ascii="Garamond" w:hAnsi="Garamond"/>
                <w:lang w:val="en-AU"/>
              </w:rPr>
              <w:t xml:space="preserve">The </w:t>
            </w:r>
            <w:r w:rsidR="00DC2949">
              <w:rPr>
                <w:rFonts w:ascii="Garamond" w:hAnsi="Garamond"/>
                <w:lang w:val="en-AU"/>
              </w:rPr>
              <w:t xml:space="preserve">report suggests </w:t>
            </w:r>
            <w:r w:rsidR="00DC2949" w:rsidRPr="00DC2949">
              <w:rPr>
                <w:rFonts w:ascii="Garamond" w:hAnsi="Garamond"/>
                <w:lang w:val="en-AU"/>
              </w:rPr>
              <w:t xml:space="preserve">a </w:t>
            </w:r>
            <w:r w:rsidR="00DC2949">
              <w:rPr>
                <w:rFonts w:ascii="Garamond" w:hAnsi="Garamond"/>
                <w:lang w:val="en-AU"/>
              </w:rPr>
              <w:t xml:space="preserve">number </w:t>
            </w:r>
            <w:r w:rsidR="00DC2949" w:rsidRPr="00DC2949">
              <w:rPr>
                <w:rFonts w:ascii="Garamond" w:hAnsi="Garamond"/>
                <w:lang w:val="en-AU"/>
              </w:rPr>
              <w:t xml:space="preserve">of </w:t>
            </w:r>
            <w:r w:rsidR="00DC2949">
              <w:rPr>
                <w:rFonts w:ascii="Garamond" w:hAnsi="Garamond"/>
                <w:lang w:val="en-AU"/>
              </w:rPr>
              <w:t xml:space="preserve">relatively </w:t>
            </w:r>
            <w:r w:rsidR="00DC2949" w:rsidRPr="00DC2949">
              <w:rPr>
                <w:rFonts w:ascii="Garamond" w:hAnsi="Garamond"/>
                <w:lang w:val="en-AU"/>
              </w:rPr>
              <w:t xml:space="preserve">simple </w:t>
            </w:r>
            <w:r w:rsidR="00DC2949">
              <w:rPr>
                <w:rFonts w:ascii="Garamond" w:hAnsi="Garamond"/>
                <w:lang w:val="en-AU"/>
              </w:rPr>
              <w:t xml:space="preserve">measures that they argue </w:t>
            </w:r>
            <w:r w:rsidR="00DC2949" w:rsidRPr="00DC2949">
              <w:rPr>
                <w:rFonts w:ascii="Garamond" w:hAnsi="Garamond"/>
                <w:lang w:val="en-AU"/>
              </w:rPr>
              <w:t xml:space="preserve">have a cumulative effect for the better. </w:t>
            </w:r>
            <w:r w:rsidR="00DC2949">
              <w:rPr>
                <w:rFonts w:ascii="Garamond" w:hAnsi="Garamond"/>
                <w:lang w:val="en-AU"/>
              </w:rPr>
              <w:t xml:space="preserve">A number of these echo some of the recent material on addressing burnout and staff engagement. </w:t>
            </w:r>
            <w:r w:rsidR="00DC2949" w:rsidRPr="00DC2949">
              <w:rPr>
                <w:rFonts w:ascii="Garamond" w:hAnsi="Garamond"/>
                <w:lang w:val="en-AU"/>
              </w:rPr>
              <w:t>The</w:t>
            </w:r>
            <w:r w:rsidR="00DC2949">
              <w:rPr>
                <w:rFonts w:ascii="Garamond" w:hAnsi="Garamond"/>
                <w:lang w:val="en-AU"/>
              </w:rPr>
              <w:t xml:space="preserve"> </w:t>
            </w:r>
            <w:r w:rsidR="00DC2949" w:rsidRPr="00DC2949">
              <w:rPr>
                <w:rFonts w:ascii="Garamond" w:hAnsi="Garamond"/>
                <w:lang w:val="en-AU"/>
              </w:rPr>
              <w:t xml:space="preserve">recommendations include: </w:t>
            </w:r>
          </w:p>
          <w:p w:rsidR="00DC2949" w:rsidRPr="00DC2949" w:rsidRDefault="00DC2949" w:rsidP="00DC2949">
            <w:pPr>
              <w:pStyle w:val="ListParagraph"/>
              <w:numPr>
                <w:ilvl w:val="0"/>
                <w:numId w:val="31"/>
              </w:numPr>
              <w:rPr>
                <w:rFonts w:ascii="Garamond" w:hAnsi="Garamond"/>
                <w:lang w:val="en-AU"/>
              </w:rPr>
            </w:pPr>
            <w:r w:rsidRPr="00DC2949">
              <w:rPr>
                <w:rFonts w:ascii="Garamond" w:hAnsi="Garamond"/>
                <w:lang w:val="en-AU"/>
              </w:rPr>
              <w:t>Establish structured senior support</w:t>
            </w:r>
            <w:r>
              <w:rPr>
                <w:rFonts w:ascii="Garamond" w:hAnsi="Garamond"/>
                <w:lang w:val="en-AU"/>
              </w:rPr>
              <w:t xml:space="preserve"> by </w:t>
            </w:r>
            <w:r w:rsidRPr="00DC2949">
              <w:rPr>
                <w:rFonts w:ascii="Garamond" w:hAnsi="Garamond"/>
                <w:lang w:val="en-AU"/>
              </w:rPr>
              <w:t>re-establish</w:t>
            </w:r>
            <w:r>
              <w:rPr>
                <w:rFonts w:ascii="Garamond" w:hAnsi="Garamond"/>
                <w:lang w:val="en-AU"/>
              </w:rPr>
              <w:t>ing</w:t>
            </w:r>
            <w:r w:rsidRPr="00DC2949">
              <w:rPr>
                <w:rFonts w:ascii="Garamond" w:hAnsi="Garamond"/>
                <w:lang w:val="en-AU"/>
              </w:rPr>
              <w:t xml:space="preserve"> the traditional team structure</w:t>
            </w:r>
          </w:p>
          <w:p w:rsidR="00DC2949" w:rsidRPr="00DC2949" w:rsidRDefault="00DC2949" w:rsidP="00DC2949">
            <w:pPr>
              <w:pStyle w:val="ListParagraph"/>
              <w:numPr>
                <w:ilvl w:val="0"/>
                <w:numId w:val="31"/>
              </w:numPr>
              <w:rPr>
                <w:rFonts w:ascii="Garamond" w:hAnsi="Garamond"/>
                <w:lang w:val="en-AU"/>
              </w:rPr>
            </w:pPr>
            <w:r>
              <w:rPr>
                <w:rFonts w:ascii="Garamond" w:hAnsi="Garamond"/>
                <w:lang w:val="en-AU"/>
              </w:rPr>
              <w:t>Reintroducing</w:t>
            </w:r>
            <w:r w:rsidRPr="00DC2949">
              <w:rPr>
                <w:rFonts w:ascii="Garamond" w:hAnsi="Garamond"/>
                <w:lang w:val="en-AU"/>
              </w:rPr>
              <w:t xml:space="preserve"> a communal area</w:t>
            </w:r>
          </w:p>
          <w:p w:rsidR="00DC2949" w:rsidRPr="00DC2949" w:rsidRDefault="00DC2949" w:rsidP="00DC2949">
            <w:pPr>
              <w:pStyle w:val="ListParagraph"/>
              <w:numPr>
                <w:ilvl w:val="0"/>
                <w:numId w:val="31"/>
              </w:numPr>
              <w:rPr>
                <w:rFonts w:ascii="Garamond" w:hAnsi="Garamond"/>
                <w:lang w:val="en-AU"/>
              </w:rPr>
            </w:pPr>
            <w:r w:rsidRPr="00DC2949">
              <w:rPr>
                <w:rFonts w:ascii="Garamond" w:hAnsi="Garamond"/>
                <w:lang w:val="en-AU"/>
              </w:rPr>
              <w:t xml:space="preserve">Streamline and reorganise the overall workload to prioritise core clinical duties and create an integrated multidisciplinary surgical team </w:t>
            </w:r>
          </w:p>
          <w:p w:rsidR="00DC2949" w:rsidRDefault="00DC2949" w:rsidP="00DC2949">
            <w:pPr>
              <w:pStyle w:val="ListParagraph"/>
              <w:numPr>
                <w:ilvl w:val="0"/>
                <w:numId w:val="31"/>
              </w:numPr>
              <w:rPr>
                <w:rFonts w:ascii="Garamond" w:hAnsi="Garamond"/>
                <w:lang w:val="en-AU"/>
              </w:rPr>
            </w:pPr>
            <w:r w:rsidRPr="00DC2949">
              <w:rPr>
                <w:rFonts w:ascii="Garamond" w:hAnsi="Garamond"/>
                <w:lang w:val="en-AU"/>
              </w:rPr>
              <w:t>Promote human factors training</w:t>
            </w:r>
            <w:r>
              <w:rPr>
                <w:rFonts w:ascii="Garamond" w:hAnsi="Garamond"/>
                <w:lang w:val="en-AU"/>
              </w:rPr>
              <w:t xml:space="preserve"> to help ensure </w:t>
            </w:r>
            <w:r w:rsidRPr="00DC2949">
              <w:rPr>
                <w:rFonts w:ascii="Garamond" w:hAnsi="Garamond"/>
                <w:lang w:val="en-AU"/>
              </w:rPr>
              <w:t>a safety-centred team approach from the early stages of medical training</w:t>
            </w:r>
          </w:p>
          <w:p w:rsidR="00DC2949" w:rsidRPr="00DC2949" w:rsidRDefault="00DC2949" w:rsidP="00DC2949">
            <w:pPr>
              <w:pStyle w:val="ListParagraph"/>
              <w:numPr>
                <w:ilvl w:val="0"/>
                <w:numId w:val="31"/>
              </w:numPr>
              <w:rPr>
                <w:rFonts w:ascii="Garamond" w:hAnsi="Garamond"/>
                <w:lang w:val="en-AU"/>
              </w:rPr>
            </w:pPr>
            <w:r w:rsidRPr="00DC2949">
              <w:rPr>
                <w:rFonts w:ascii="Garamond" w:hAnsi="Garamond"/>
                <w:lang w:val="en-AU"/>
              </w:rPr>
              <w:t>Recognise that better training delivers better care</w:t>
            </w:r>
          </w:p>
          <w:p w:rsidR="00DC2949" w:rsidRPr="00DC2949" w:rsidRDefault="00DC2949" w:rsidP="00DC2949">
            <w:pPr>
              <w:pStyle w:val="ListParagraph"/>
              <w:numPr>
                <w:ilvl w:val="0"/>
                <w:numId w:val="31"/>
              </w:numPr>
              <w:rPr>
                <w:rFonts w:ascii="Garamond" w:hAnsi="Garamond"/>
                <w:lang w:val="en-AU"/>
              </w:rPr>
            </w:pPr>
            <w:r>
              <w:rPr>
                <w:rFonts w:ascii="Garamond" w:hAnsi="Garamond"/>
                <w:lang w:val="en-AU"/>
              </w:rPr>
              <w:t>Minimising</w:t>
            </w:r>
            <w:r w:rsidRPr="00DC2949">
              <w:rPr>
                <w:rFonts w:ascii="Garamond" w:hAnsi="Garamond"/>
                <w:lang w:val="en-AU"/>
              </w:rPr>
              <w:t xml:space="preserve"> use of shift systems</w:t>
            </w:r>
          </w:p>
          <w:p w:rsidR="00DC2949" w:rsidRPr="00DC2949" w:rsidRDefault="00DC2949" w:rsidP="00DC2949">
            <w:pPr>
              <w:pStyle w:val="ListParagraph"/>
              <w:numPr>
                <w:ilvl w:val="0"/>
                <w:numId w:val="31"/>
              </w:numPr>
              <w:rPr>
                <w:rFonts w:ascii="Garamond" w:hAnsi="Garamond"/>
                <w:lang w:val="en-AU"/>
              </w:rPr>
            </w:pPr>
            <w:r w:rsidRPr="00DC2949">
              <w:rPr>
                <w:rFonts w:ascii="Garamond" w:hAnsi="Garamond"/>
                <w:lang w:val="en-AU"/>
              </w:rPr>
              <w:t>Intelligent design of rotas</w:t>
            </w:r>
            <w:r>
              <w:rPr>
                <w:rFonts w:ascii="Garamond" w:hAnsi="Garamond"/>
                <w:lang w:val="en-AU"/>
              </w:rPr>
              <w:t xml:space="preserve"> by providing</w:t>
            </w:r>
            <w:r w:rsidRPr="00DC2949">
              <w:rPr>
                <w:rFonts w:ascii="Garamond" w:hAnsi="Garamond"/>
                <w:lang w:val="en-AU"/>
              </w:rPr>
              <w:t xml:space="preserve"> rotas 6–8 weeks in advance</w:t>
            </w:r>
          </w:p>
          <w:p w:rsidR="00DC2949" w:rsidRPr="00DC2949" w:rsidRDefault="00DC2949" w:rsidP="00DC2949">
            <w:pPr>
              <w:pStyle w:val="ListParagraph"/>
              <w:numPr>
                <w:ilvl w:val="0"/>
                <w:numId w:val="31"/>
              </w:numPr>
              <w:rPr>
                <w:rFonts w:ascii="Garamond" w:hAnsi="Garamond"/>
                <w:lang w:val="en-AU"/>
              </w:rPr>
            </w:pPr>
            <w:r w:rsidRPr="00DC2949">
              <w:rPr>
                <w:rFonts w:ascii="Garamond" w:hAnsi="Garamond"/>
                <w:lang w:val="en-AU"/>
              </w:rPr>
              <w:t xml:space="preserve">Support and </w:t>
            </w:r>
            <w:r>
              <w:rPr>
                <w:rFonts w:ascii="Garamond" w:hAnsi="Garamond"/>
                <w:lang w:val="en-AU"/>
              </w:rPr>
              <w:t>t</w:t>
            </w:r>
            <w:r w:rsidRPr="00DC2949">
              <w:rPr>
                <w:rFonts w:ascii="Garamond" w:hAnsi="Garamond"/>
                <w:lang w:val="en-AU"/>
              </w:rPr>
              <w:t xml:space="preserve">raining </w:t>
            </w:r>
            <w:r>
              <w:rPr>
                <w:rFonts w:ascii="Garamond" w:hAnsi="Garamond"/>
                <w:lang w:val="en-AU"/>
              </w:rPr>
              <w:t>of t by providing</w:t>
            </w:r>
            <w:r w:rsidRPr="00DC2949">
              <w:rPr>
                <w:rFonts w:ascii="Garamond" w:hAnsi="Garamond"/>
                <w:lang w:val="en-AU"/>
              </w:rPr>
              <w:t xml:space="preserve"> recognition and job-planning for trainers</w:t>
            </w:r>
          </w:p>
          <w:p w:rsidR="00993A53" w:rsidRPr="00DC2949" w:rsidRDefault="00DC2949" w:rsidP="00DC2949">
            <w:pPr>
              <w:pStyle w:val="ListParagraph"/>
              <w:numPr>
                <w:ilvl w:val="0"/>
                <w:numId w:val="31"/>
              </w:numPr>
              <w:rPr>
                <w:rFonts w:ascii="Garamond" w:hAnsi="Garamond"/>
                <w:lang w:val="en-AU"/>
              </w:rPr>
            </w:pPr>
            <w:r>
              <w:rPr>
                <w:rFonts w:ascii="Garamond" w:hAnsi="Garamond"/>
                <w:lang w:val="en-AU"/>
              </w:rPr>
              <w:t>Providing</w:t>
            </w:r>
            <w:r w:rsidRPr="00DC2949">
              <w:rPr>
                <w:rFonts w:ascii="Garamond" w:hAnsi="Garamond"/>
                <w:lang w:val="en-AU"/>
              </w:rPr>
              <w:t xml:space="preserve"> a better title for ‘junior doctors'.</w:t>
            </w:r>
            <w:r w:rsidR="007E2009" w:rsidRPr="00DC2949">
              <w:rPr>
                <w:rFonts w:ascii="Garamond" w:hAnsi="Garamond"/>
                <w:lang w:val="en-AU"/>
              </w:rPr>
              <w:t xml:space="preserve"> </w:t>
            </w:r>
          </w:p>
        </w:tc>
      </w:tr>
    </w:tbl>
    <w:p w:rsidR="00EC561C" w:rsidRDefault="00EC561C" w:rsidP="00824F20">
      <w:pPr>
        <w:keepNext/>
        <w:rPr>
          <w:rFonts w:ascii="Garamond" w:hAnsi="Garamond"/>
          <w:i/>
          <w:lang w:val="en-AU"/>
        </w:rPr>
      </w:pPr>
    </w:p>
    <w:p w:rsidR="00824F20" w:rsidRPr="00824F20" w:rsidRDefault="00824F20" w:rsidP="00824F20">
      <w:pPr>
        <w:keepNext/>
        <w:rPr>
          <w:rFonts w:ascii="Garamond" w:hAnsi="Garamond"/>
          <w:i/>
          <w:lang w:val="en-AU"/>
        </w:rPr>
      </w:pPr>
      <w:r w:rsidRPr="00824F20">
        <w:rPr>
          <w:rFonts w:ascii="Garamond" w:hAnsi="Garamond"/>
          <w:i/>
          <w:lang w:val="en-AU"/>
        </w:rPr>
        <w:t>Surgical Variance Report 2017: Urology</w:t>
      </w:r>
    </w:p>
    <w:p w:rsidR="00824F20" w:rsidRDefault="008B60D5" w:rsidP="00B37973">
      <w:pPr>
        <w:keepNext/>
        <w:rPr>
          <w:rFonts w:ascii="Garamond" w:hAnsi="Garamond"/>
          <w:lang w:val="en-AU"/>
        </w:rPr>
      </w:pPr>
      <w:r w:rsidRPr="008B60D5">
        <w:rPr>
          <w:rFonts w:ascii="Garamond" w:hAnsi="Garamond"/>
          <w:lang w:val="en-AU"/>
        </w:rPr>
        <w:t>Royal Australasian College of Surgeons, Medibank</w:t>
      </w:r>
    </w:p>
    <w:p w:rsidR="00993A53" w:rsidRDefault="008B60D5" w:rsidP="00B37973">
      <w:pPr>
        <w:keepNext/>
        <w:rPr>
          <w:rFonts w:ascii="Garamond" w:hAnsi="Garamond"/>
          <w:lang w:val="en-AU"/>
        </w:rPr>
      </w:pPr>
      <w:r w:rsidRPr="008B60D5">
        <w:rPr>
          <w:rFonts w:ascii="Garamond" w:hAnsi="Garamond"/>
          <w:lang w:val="en-AU"/>
        </w:rPr>
        <w:t>Melbourne: Royal Australasian College of Surgeons and Medibank; 2017. p. 36.</w:t>
      </w:r>
    </w:p>
    <w:tbl>
      <w:tblPr>
        <w:tblStyle w:val="TableGrid"/>
        <w:tblW w:w="0" w:type="auto"/>
        <w:tblInd w:w="288" w:type="dxa"/>
        <w:tblLayout w:type="fixed"/>
        <w:tblLook w:val="01E0" w:firstRow="1" w:lastRow="1" w:firstColumn="1" w:lastColumn="1" w:noHBand="0" w:noVBand="0"/>
      </w:tblPr>
      <w:tblGrid>
        <w:gridCol w:w="1080"/>
        <w:gridCol w:w="8280"/>
      </w:tblGrid>
      <w:tr w:rsidR="00824F20"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824F20" w:rsidRPr="00D9161E" w:rsidRDefault="00824F20" w:rsidP="00FF25D5">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24F20" w:rsidRPr="00D9161E" w:rsidRDefault="00A3356E" w:rsidP="00824F20">
            <w:pPr>
              <w:keepNext/>
              <w:rPr>
                <w:rStyle w:val="Hyperlink"/>
                <w:rFonts w:ascii="Garamond" w:hAnsi="Garamond"/>
                <w:color w:val="auto"/>
                <w:u w:val="none"/>
                <w:lang w:val="en-AU"/>
              </w:rPr>
            </w:pPr>
            <w:hyperlink r:id="rId21" w:history="1">
              <w:r w:rsidR="00824F20" w:rsidRPr="00086539">
                <w:rPr>
                  <w:rStyle w:val="Hyperlink"/>
                  <w:rFonts w:ascii="Garamond" w:hAnsi="Garamond"/>
                  <w:lang w:val="en-AU"/>
                </w:rPr>
                <w:t>https://www.surgeons.org/policies-publications/publications/surgical-variance-reports/</w:t>
              </w:r>
            </w:hyperlink>
          </w:p>
        </w:tc>
      </w:tr>
      <w:tr w:rsidR="00824F20"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824F20" w:rsidRPr="00D9161E" w:rsidRDefault="00824F20"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4F20" w:rsidRPr="001743F0" w:rsidRDefault="00824F20" w:rsidP="0049138E">
            <w:pPr>
              <w:keepNext/>
              <w:rPr>
                <w:rFonts w:ascii="Garamond" w:hAnsi="Garamond"/>
                <w:lang w:val="en-AU"/>
              </w:rPr>
            </w:pPr>
            <w:r>
              <w:rPr>
                <w:rFonts w:ascii="Garamond" w:hAnsi="Garamond"/>
                <w:lang w:val="en-AU"/>
              </w:rPr>
              <w:t xml:space="preserve">The latest report from the </w:t>
            </w:r>
            <w:r w:rsidRPr="008B60D5">
              <w:rPr>
                <w:rFonts w:ascii="Garamond" w:hAnsi="Garamond"/>
                <w:lang w:val="en-AU"/>
              </w:rPr>
              <w:t>Royal Australasian College of Surgeons</w:t>
            </w:r>
            <w:r>
              <w:rPr>
                <w:rFonts w:ascii="Garamond" w:hAnsi="Garamond"/>
                <w:lang w:val="en-AU"/>
              </w:rPr>
              <w:t xml:space="preserve"> and </w:t>
            </w:r>
            <w:r w:rsidRPr="008B60D5">
              <w:rPr>
                <w:rFonts w:ascii="Garamond" w:hAnsi="Garamond"/>
                <w:lang w:val="en-AU"/>
              </w:rPr>
              <w:t>Medibank</w:t>
            </w:r>
            <w:r>
              <w:rPr>
                <w:rFonts w:ascii="Garamond" w:hAnsi="Garamond"/>
                <w:lang w:val="en-AU"/>
              </w:rPr>
              <w:t xml:space="preserve">’s surgical variance work focuses on urology. This report looks at variation in </w:t>
            </w:r>
            <w:r w:rsidRPr="00824F20">
              <w:rPr>
                <w:rFonts w:ascii="Garamond" w:hAnsi="Garamond"/>
                <w:lang w:val="en-AU"/>
              </w:rPr>
              <w:t>de-identified Medibank claims data from the two most recent financial years (2015 and 2016).</w:t>
            </w:r>
            <w:r w:rsidR="00072A4E">
              <w:rPr>
                <w:rFonts w:ascii="Garamond" w:hAnsi="Garamond"/>
                <w:lang w:val="en-AU"/>
              </w:rPr>
              <w:t xml:space="preserve"> Topics covered in this report include c</w:t>
            </w:r>
            <w:r w:rsidR="00072A4E" w:rsidRPr="00072A4E">
              <w:rPr>
                <w:rFonts w:ascii="Garamond" w:hAnsi="Garamond"/>
                <w:lang w:val="en-AU"/>
              </w:rPr>
              <w:t xml:space="preserve">ystoscopy with </w:t>
            </w:r>
            <w:r w:rsidR="00072A4E">
              <w:rPr>
                <w:rFonts w:ascii="Garamond" w:hAnsi="Garamond"/>
                <w:lang w:val="en-AU"/>
              </w:rPr>
              <w:t xml:space="preserve">and without </w:t>
            </w:r>
            <w:r w:rsidR="00072A4E" w:rsidRPr="00072A4E">
              <w:rPr>
                <w:rFonts w:ascii="Garamond" w:hAnsi="Garamond"/>
                <w:lang w:val="en-AU"/>
              </w:rPr>
              <w:t>resection procedures</w:t>
            </w:r>
            <w:r w:rsidR="00072A4E">
              <w:rPr>
                <w:rFonts w:ascii="Garamond" w:hAnsi="Garamond"/>
                <w:lang w:val="en-AU"/>
              </w:rPr>
              <w:t xml:space="preserve"> and e</w:t>
            </w:r>
            <w:r w:rsidR="00072A4E" w:rsidRPr="00072A4E">
              <w:rPr>
                <w:rFonts w:ascii="Garamond" w:hAnsi="Garamond"/>
                <w:lang w:val="en-AU"/>
              </w:rPr>
              <w:t xml:space="preserve">ndoscopic </w:t>
            </w:r>
            <w:r w:rsidR="00072A4E">
              <w:rPr>
                <w:rFonts w:ascii="Garamond" w:hAnsi="Garamond"/>
                <w:lang w:val="en-AU"/>
              </w:rPr>
              <w:t xml:space="preserve">and radical </w:t>
            </w:r>
            <w:r w:rsidR="00072A4E" w:rsidRPr="00072A4E">
              <w:rPr>
                <w:rFonts w:ascii="Garamond" w:hAnsi="Garamond"/>
                <w:lang w:val="en-AU"/>
              </w:rPr>
              <w:t>prostatectom</w:t>
            </w:r>
            <w:r w:rsidR="00072A4E">
              <w:rPr>
                <w:rFonts w:ascii="Garamond" w:hAnsi="Garamond"/>
                <w:lang w:val="en-AU"/>
              </w:rPr>
              <w:t>y procedures. For each of these</w:t>
            </w:r>
            <w:r w:rsidR="0049138E">
              <w:rPr>
                <w:rFonts w:ascii="Garamond" w:hAnsi="Garamond"/>
                <w:lang w:val="en-AU"/>
              </w:rPr>
              <w:t xml:space="preserve">, </w:t>
            </w:r>
            <w:r w:rsidR="00072A4E">
              <w:rPr>
                <w:rFonts w:ascii="Garamond" w:hAnsi="Garamond"/>
                <w:lang w:val="en-AU"/>
              </w:rPr>
              <w:t>variation in aspects such as length of stay, 30 day readmissions, re-operations within 6 months, average cost, average out-of-pocket cost, complication rates are described.</w:t>
            </w:r>
          </w:p>
        </w:tc>
      </w:tr>
    </w:tbl>
    <w:p w:rsidR="0031178E" w:rsidRDefault="0031178E" w:rsidP="00B37973">
      <w:pPr>
        <w:keepNext/>
        <w:rPr>
          <w:rFonts w:ascii="Garamond" w:hAnsi="Garamond"/>
          <w:lang w:val="en-AU"/>
        </w:rPr>
      </w:pPr>
    </w:p>
    <w:p w:rsidR="00824F20" w:rsidRDefault="00824F20" w:rsidP="00824F20">
      <w:pPr>
        <w:keepNext/>
        <w:rPr>
          <w:rFonts w:ascii="Garamond" w:hAnsi="Garamond"/>
          <w:lang w:val="en-AU"/>
        </w:rPr>
      </w:pPr>
      <w:r w:rsidRPr="00D9161E">
        <w:rPr>
          <w:rFonts w:ascii="Garamond" w:hAnsi="Garamond"/>
          <w:lang w:val="en-AU"/>
        </w:rPr>
        <w:t xml:space="preserve">For information </w:t>
      </w:r>
      <w:r>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healthcare variation, including the </w:t>
      </w:r>
      <w:r w:rsidRPr="00824F20">
        <w:rPr>
          <w:rFonts w:ascii="Garamond" w:hAnsi="Garamond"/>
          <w:i/>
          <w:lang w:val="en-AU"/>
        </w:rPr>
        <w:t>Australian atlas of healthcare variation</w:t>
      </w:r>
      <w:r>
        <w:rPr>
          <w:rFonts w:ascii="Garamond" w:hAnsi="Garamond"/>
          <w:lang w:val="en-AU"/>
        </w:rPr>
        <w:t xml:space="preserve">, see </w:t>
      </w:r>
      <w:hyperlink r:id="rId22" w:history="1">
        <w:r w:rsidRPr="00F23EB1">
          <w:rPr>
            <w:rStyle w:val="Hyperlink"/>
            <w:rFonts w:ascii="Garamond" w:hAnsi="Garamond"/>
            <w:lang w:val="en-AU"/>
          </w:rPr>
          <w:t>https://www.safetyandquality.gov.au/atlas/</w:t>
        </w:r>
      </w:hyperlink>
    </w:p>
    <w:p w:rsidR="00824F20" w:rsidRDefault="00824F20" w:rsidP="00B37973">
      <w:pPr>
        <w:keepNext/>
        <w:rPr>
          <w:rFonts w:ascii="Garamond" w:hAnsi="Garamond"/>
          <w:lang w:val="en-AU"/>
        </w:rPr>
      </w:pPr>
    </w:p>
    <w:p w:rsidR="00CF18F6" w:rsidRPr="008A3C8C" w:rsidRDefault="00CF18F6" w:rsidP="00CF18F6">
      <w:pPr>
        <w:keepNext/>
        <w:rPr>
          <w:rFonts w:ascii="Garamond" w:hAnsi="Garamond"/>
          <w:i/>
          <w:lang w:val="en-AU"/>
        </w:rPr>
      </w:pPr>
      <w:r w:rsidRPr="008A3C8C">
        <w:rPr>
          <w:rFonts w:ascii="Garamond" w:hAnsi="Garamond"/>
          <w:i/>
          <w:lang w:val="en-AU"/>
        </w:rPr>
        <w:t>Complexity Science in Healthcare – Aspirations, Approaches, Applications and Accomplishments</w:t>
      </w:r>
    </w:p>
    <w:p w:rsidR="00CF18F6" w:rsidRPr="00565980" w:rsidRDefault="00CF18F6" w:rsidP="00CF18F6">
      <w:pPr>
        <w:keepNext/>
        <w:rPr>
          <w:rFonts w:ascii="Garamond" w:hAnsi="Garamond"/>
          <w:i/>
          <w:lang w:val="en-AU"/>
        </w:rPr>
      </w:pPr>
      <w:r w:rsidRPr="00565980">
        <w:rPr>
          <w:rFonts w:ascii="Garamond" w:hAnsi="Garamond"/>
          <w:i/>
          <w:lang w:val="en-AU"/>
        </w:rPr>
        <w:t>A White Paper</w:t>
      </w:r>
    </w:p>
    <w:p w:rsidR="00CF18F6" w:rsidRDefault="00CF18F6" w:rsidP="00CF18F6">
      <w:pPr>
        <w:keepNext/>
        <w:rPr>
          <w:rFonts w:ascii="Garamond" w:hAnsi="Garamond"/>
          <w:lang w:val="en-AU"/>
        </w:rPr>
      </w:pPr>
      <w:r w:rsidRPr="00565980">
        <w:rPr>
          <w:rFonts w:ascii="Garamond" w:hAnsi="Garamond"/>
          <w:lang w:val="en-AU"/>
        </w:rPr>
        <w:t>Braithwaite J, Churruca K, Ellis LA, Long J, Clay-Williams R, Damen N, et al</w:t>
      </w:r>
    </w:p>
    <w:p w:rsidR="00CF18F6" w:rsidRDefault="00CF18F6" w:rsidP="00CF18F6">
      <w:pPr>
        <w:keepNext/>
        <w:rPr>
          <w:rFonts w:ascii="Garamond" w:hAnsi="Garamond"/>
          <w:lang w:val="en-AU"/>
        </w:rPr>
      </w:pPr>
      <w:r w:rsidRPr="00565980">
        <w:rPr>
          <w:rFonts w:ascii="Garamond" w:hAnsi="Garamond"/>
          <w:lang w:val="en-AU"/>
        </w:rPr>
        <w:t>North Ryde: Australian Institute of Health Innovation, Macquarie University; 2017. p. 129.</w:t>
      </w:r>
    </w:p>
    <w:tbl>
      <w:tblPr>
        <w:tblStyle w:val="TableGrid"/>
        <w:tblW w:w="0" w:type="auto"/>
        <w:tblInd w:w="288" w:type="dxa"/>
        <w:tblLayout w:type="fixed"/>
        <w:tblLook w:val="01E0" w:firstRow="1" w:lastRow="1" w:firstColumn="1" w:lastColumn="1" w:noHBand="0" w:noVBand="0"/>
      </w:tblPr>
      <w:tblGrid>
        <w:gridCol w:w="1080"/>
        <w:gridCol w:w="8280"/>
      </w:tblGrid>
      <w:tr w:rsidR="00CF18F6" w:rsidRPr="00D9161E" w:rsidTr="00C0396D">
        <w:tc>
          <w:tcPr>
            <w:tcW w:w="1080" w:type="dxa"/>
            <w:tcBorders>
              <w:top w:val="single" w:sz="4" w:space="0" w:color="auto"/>
              <w:left w:val="single" w:sz="4" w:space="0" w:color="auto"/>
              <w:bottom w:val="single" w:sz="4" w:space="0" w:color="auto"/>
              <w:right w:val="single" w:sz="4" w:space="0" w:color="auto"/>
            </w:tcBorders>
            <w:vAlign w:val="center"/>
          </w:tcPr>
          <w:p w:rsidR="00CF18F6" w:rsidRPr="00D9161E" w:rsidRDefault="00CF18F6" w:rsidP="00C0396D">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F18F6" w:rsidRPr="00D9161E" w:rsidRDefault="00A3356E" w:rsidP="00C0396D">
            <w:pPr>
              <w:rPr>
                <w:rStyle w:val="Hyperlink"/>
                <w:rFonts w:ascii="Garamond" w:hAnsi="Garamond"/>
                <w:color w:val="auto"/>
                <w:u w:val="none"/>
                <w:lang w:val="en-AU"/>
              </w:rPr>
            </w:pPr>
            <w:hyperlink r:id="rId23" w:history="1">
              <w:r w:rsidR="00CF18F6" w:rsidRPr="00887045">
                <w:rPr>
                  <w:rStyle w:val="Hyperlink"/>
                  <w:rFonts w:ascii="Garamond" w:hAnsi="Garamond"/>
                  <w:lang w:val="en-AU"/>
                </w:rPr>
                <w:t>https://aihi.mq.edu.au/resource/complexity-science-healthcare-white-paper</w:t>
              </w:r>
            </w:hyperlink>
          </w:p>
        </w:tc>
      </w:tr>
      <w:tr w:rsidR="00CF18F6" w:rsidRPr="00D9161E" w:rsidTr="00C0396D">
        <w:tc>
          <w:tcPr>
            <w:tcW w:w="1080" w:type="dxa"/>
            <w:tcBorders>
              <w:top w:val="single" w:sz="4" w:space="0" w:color="auto"/>
              <w:left w:val="single" w:sz="4" w:space="0" w:color="auto"/>
              <w:bottom w:val="single" w:sz="4" w:space="0" w:color="auto"/>
              <w:right w:val="single" w:sz="4" w:space="0" w:color="auto"/>
            </w:tcBorders>
            <w:vAlign w:val="center"/>
          </w:tcPr>
          <w:p w:rsidR="00CF18F6" w:rsidRPr="00D9161E" w:rsidRDefault="00CF18F6" w:rsidP="00C0396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18F6" w:rsidRPr="001743F0" w:rsidRDefault="00CF18F6" w:rsidP="0061269D">
            <w:pPr>
              <w:rPr>
                <w:rFonts w:ascii="Garamond" w:hAnsi="Garamond"/>
                <w:lang w:val="en-AU"/>
              </w:rPr>
            </w:pPr>
            <w:r>
              <w:rPr>
                <w:rFonts w:ascii="Garamond" w:hAnsi="Garamond"/>
                <w:lang w:val="en-AU"/>
              </w:rPr>
              <w:t xml:space="preserve">The </w:t>
            </w:r>
            <w:r w:rsidRPr="00565980">
              <w:rPr>
                <w:rFonts w:ascii="Garamond" w:hAnsi="Garamond"/>
                <w:lang w:val="en-AU"/>
              </w:rPr>
              <w:t>Australian Institute of Health Innovation</w:t>
            </w:r>
            <w:r>
              <w:rPr>
                <w:rFonts w:ascii="Garamond" w:hAnsi="Garamond"/>
                <w:lang w:val="en-AU"/>
              </w:rPr>
              <w:t xml:space="preserve"> group at </w:t>
            </w:r>
            <w:r w:rsidRPr="00565980">
              <w:rPr>
                <w:rFonts w:ascii="Garamond" w:hAnsi="Garamond"/>
                <w:lang w:val="en-AU"/>
              </w:rPr>
              <w:t>Macquarie University</w:t>
            </w:r>
            <w:r>
              <w:rPr>
                <w:rFonts w:ascii="Garamond" w:hAnsi="Garamond"/>
                <w:lang w:val="en-AU"/>
              </w:rPr>
              <w:t xml:space="preserve"> has produced this ‘white paper’ that seeks to describe and understand how a complexity science approach to healthcare can aid our understanding, analysis and responses to health care</w:t>
            </w:r>
            <w:r w:rsidR="0061269D">
              <w:rPr>
                <w:rFonts w:ascii="Garamond" w:hAnsi="Garamond"/>
                <w:lang w:val="en-AU"/>
              </w:rPr>
              <w:t xml:space="preserve"> (a complex adaptive system).</w:t>
            </w:r>
          </w:p>
        </w:tc>
      </w:tr>
    </w:tbl>
    <w:p w:rsidR="00824F20" w:rsidRPr="00CD5C09" w:rsidRDefault="00CD5C09" w:rsidP="00CD5C09">
      <w:pPr>
        <w:keepNext/>
        <w:rPr>
          <w:rFonts w:ascii="Garamond" w:hAnsi="Garamond"/>
          <w:i/>
          <w:lang w:val="en-AU"/>
        </w:rPr>
      </w:pPr>
      <w:r w:rsidRPr="00CD5C09">
        <w:rPr>
          <w:rFonts w:ascii="Garamond" w:hAnsi="Garamond"/>
          <w:i/>
          <w:lang w:val="en-AU"/>
        </w:rPr>
        <w:lastRenderedPageBreak/>
        <w:t>Chartbook on Patient Safety: National Healthcare Quality and Disparities Report</w:t>
      </w:r>
    </w:p>
    <w:p w:rsidR="00565980" w:rsidRDefault="00565980" w:rsidP="00CD5C09">
      <w:pPr>
        <w:keepNext/>
        <w:keepLines/>
        <w:autoSpaceDE w:val="0"/>
        <w:autoSpaceDN w:val="0"/>
        <w:adjustRightInd w:val="0"/>
        <w:rPr>
          <w:rFonts w:ascii="Garamond" w:hAnsi="Garamond"/>
          <w:lang w:val="en-AU"/>
        </w:rPr>
      </w:pPr>
      <w:r w:rsidRPr="00565980">
        <w:rPr>
          <w:rFonts w:ascii="Garamond" w:hAnsi="Garamond"/>
          <w:lang w:val="en-AU"/>
        </w:rPr>
        <w:t>Agency for Healthcare Quality and Research</w:t>
      </w:r>
    </w:p>
    <w:p w:rsidR="00CD5C09" w:rsidRPr="00D9161E" w:rsidRDefault="00565980" w:rsidP="00CD5C09">
      <w:pPr>
        <w:keepNext/>
        <w:keepLines/>
        <w:autoSpaceDE w:val="0"/>
        <w:autoSpaceDN w:val="0"/>
        <w:adjustRightInd w:val="0"/>
        <w:rPr>
          <w:rFonts w:ascii="Garamond" w:hAnsi="Garamond"/>
          <w:lang w:val="en-AU"/>
        </w:rPr>
      </w:pPr>
      <w:r w:rsidRPr="00565980">
        <w:rPr>
          <w:rFonts w:ascii="Garamond" w:hAnsi="Garamond"/>
          <w:lang w:val="en-AU"/>
        </w:rPr>
        <w:t>Rockville, MD: Agency for Healthcare Research and Quality; 2017. p. 39.</w:t>
      </w:r>
    </w:p>
    <w:tbl>
      <w:tblPr>
        <w:tblStyle w:val="TableGrid"/>
        <w:tblW w:w="0" w:type="auto"/>
        <w:tblInd w:w="288" w:type="dxa"/>
        <w:tblLayout w:type="fixed"/>
        <w:tblLook w:val="01E0" w:firstRow="1" w:lastRow="1" w:firstColumn="1" w:lastColumn="1" w:noHBand="0" w:noVBand="0"/>
      </w:tblPr>
      <w:tblGrid>
        <w:gridCol w:w="1080"/>
        <w:gridCol w:w="8280"/>
      </w:tblGrid>
      <w:tr w:rsidR="00CD5C09"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CD5C09" w:rsidRPr="00D9161E" w:rsidRDefault="00CD5C09" w:rsidP="00FF25D5">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5C09" w:rsidRPr="00D9161E" w:rsidRDefault="00A3356E" w:rsidP="00FF25D5">
            <w:pPr>
              <w:rPr>
                <w:rStyle w:val="Hyperlink"/>
                <w:rFonts w:ascii="Garamond" w:hAnsi="Garamond"/>
                <w:color w:val="auto"/>
                <w:u w:val="none"/>
                <w:lang w:val="en-AU"/>
              </w:rPr>
            </w:pPr>
            <w:hyperlink r:id="rId24" w:history="1">
              <w:r w:rsidR="00CD5C09" w:rsidRPr="00707B0A">
                <w:rPr>
                  <w:rStyle w:val="Hyperlink"/>
                  <w:rFonts w:ascii="Garamond" w:hAnsi="Garamond"/>
                  <w:lang w:val="en-AU"/>
                </w:rPr>
                <w:t>https://www.ahrq.gov/research/findings/nhqrdr/chartbooks/patientsafety/index.html</w:t>
              </w:r>
            </w:hyperlink>
          </w:p>
        </w:tc>
      </w:tr>
      <w:tr w:rsidR="00CD5C09"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CD5C09" w:rsidRPr="00D9161E" w:rsidRDefault="00CD5C09"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5C09" w:rsidRPr="001743F0" w:rsidRDefault="008A3C8C" w:rsidP="00565980">
            <w:pPr>
              <w:rPr>
                <w:rFonts w:ascii="Garamond" w:hAnsi="Garamond"/>
                <w:lang w:val="en-AU"/>
              </w:rPr>
            </w:pPr>
            <w:r>
              <w:rPr>
                <w:rFonts w:ascii="Garamond" w:hAnsi="Garamond"/>
                <w:lang w:val="en-AU"/>
              </w:rPr>
              <w:t xml:space="preserve">The (US) Agency for Healthcare Research and Quality (AHRQ) has released this chartbook as a companion volume to its annual </w:t>
            </w:r>
            <w:r w:rsidRPr="008A3C8C">
              <w:rPr>
                <w:rFonts w:ascii="Garamond" w:hAnsi="Garamond"/>
                <w:i/>
                <w:lang w:val="en-AU"/>
              </w:rPr>
              <w:t>National Healthcare Quality and Disparities Report</w:t>
            </w:r>
            <w:r>
              <w:rPr>
                <w:rFonts w:ascii="Garamond" w:hAnsi="Garamond"/>
                <w:lang w:val="en-AU"/>
              </w:rPr>
              <w:t xml:space="preserve"> . The chartbook in</w:t>
            </w:r>
            <w:r w:rsidRPr="008A3C8C">
              <w:rPr>
                <w:rFonts w:ascii="Garamond" w:hAnsi="Garamond"/>
                <w:lang w:val="en-AU"/>
              </w:rPr>
              <w:t xml:space="preserve">cludes a summary of trends across measures of patient safety from the </w:t>
            </w:r>
            <w:r w:rsidRPr="008A3C8C">
              <w:rPr>
                <w:rFonts w:ascii="Garamond" w:hAnsi="Garamond"/>
                <w:i/>
                <w:lang w:val="en-AU"/>
              </w:rPr>
              <w:t>National Healthcare Quality and Disparities Report</w:t>
            </w:r>
            <w:r>
              <w:rPr>
                <w:rFonts w:ascii="Garamond" w:hAnsi="Garamond"/>
                <w:lang w:val="en-AU"/>
              </w:rPr>
              <w:t xml:space="preserve"> </w:t>
            </w:r>
            <w:r w:rsidRPr="008A3C8C">
              <w:rPr>
                <w:rFonts w:ascii="Garamond" w:hAnsi="Garamond"/>
                <w:lang w:val="en-AU"/>
              </w:rPr>
              <w:t xml:space="preserve">and </w:t>
            </w:r>
            <w:r>
              <w:rPr>
                <w:rFonts w:ascii="Garamond" w:hAnsi="Garamond"/>
                <w:lang w:val="en-AU"/>
              </w:rPr>
              <w:t xml:space="preserve">has </w:t>
            </w:r>
            <w:r w:rsidRPr="008A3C8C">
              <w:rPr>
                <w:rFonts w:ascii="Garamond" w:hAnsi="Garamond"/>
                <w:lang w:val="en-AU"/>
              </w:rPr>
              <w:t>figures illustrating select measures of patient safety. A PowerPoint version is also available that can download</w:t>
            </w:r>
            <w:r w:rsidR="00565980">
              <w:rPr>
                <w:rFonts w:ascii="Garamond" w:hAnsi="Garamond"/>
                <w:lang w:val="en-AU"/>
              </w:rPr>
              <w:t>ed</w:t>
            </w:r>
            <w:r w:rsidRPr="008A3C8C">
              <w:rPr>
                <w:rFonts w:ascii="Garamond" w:hAnsi="Garamond"/>
                <w:lang w:val="en-AU"/>
              </w:rPr>
              <w:t xml:space="preserve"> for presentations.</w:t>
            </w:r>
          </w:p>
        </w:tc>
      </w:tr>
    </w:tbl>
    <w:p w:rsidR="00CD5C09" w:rsidRDefault="00CD5C09" w:rsidP="00CD5C09">
      <w:pPr>
        <w:keepNext/>
        <w:rPr>
          <w:rFonts w:ascii="Garamond" w:hAnsi="Garamond"/>
          <w:lang w:val="en-AU"/>
        </w:rPr>
      </w:pPr>
    </w:p>
    <w:p w:rsidR="000C6A11" w:rsidRPr="00D9161E" w:rsidRDefault="000C6A11" w:rsidP="00644660">
      <w:pPr>
        <w:keepNext/>
        <w:keepLines/>
        <w:autoSpaceDE w:val="0"/>
        <w:autoSpaceDN w:val="0"/>
        <w:adjustRightInd w:val="0"/>
        <w:rPr>
          <w:rFonts w:ascii="Garamond" w:hAnsi="Garamond"/>
          <w:b/>
          <w:lang w:val="en-AU"/>
        </w:rPr>
      </w:pPr>
      <w:r w:rsidRPr="00D9161E">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49138E" w:rsidRPr="0049138E" w:rsidRDefault="0049138E" w:rsidP="0049138E">
      <w:pPr>
        <w:keepNext/>
        <w:rPr>
          <w:rFonts w:ascii="Garamond" w:hAnsi="Garamond"/>
          <w:i/>
          <w:lang w:val="en-AU"/>
        </w:rPr>
      </w:pPr>
      <w:r w:rsidRPr="0049138E">
        <w:rPr>
          <w:rFonts w:ascii="Garamond" w:hAnsi="Garamond"/>
          <w:i/>
          <w:lang w:val="en-AU"/>
        </w:rPr>
        <w:t>The burden of healthcare-associated infection in Australian hospitals: A systematic review of the literature</w:t>
      </w:r>
    </w:p>
    <w:p w:rsidR="003279B2" w:rsidRDefault="003279B2" w:rsidP="00F02C22">
      <w:pPr>
        <w:keepNext/>
        <w:rPr>
          <w:rFonts w:ascii="Garamond" w:hAnsi="Garamond"/>
          <w:lang w:val="en-AU"/>
        </w:rPr>
      </w:pPr>
      <w:r w:rsidRPr="003279B2">
        <w:rPr>
          <w:rFonts w:ascii="Garamond" w:hAnsi="Garamond"/>
          <w:lang w:val="en-AU"/>
        </w:rPr>
        <w:t>Mitchell BG, Shaban RZ, Macbeth D, Wood C-J, Russo PL</w:t>
      </w:r>
    </w:p>
    <w:p w:rsidR="00F02C22" w:rsidRPr="00D9161E" w:rsidRDefault="003279B2" w:rsidP="00F02C22">
      <w:pPr>
        <w:keepNext/>
        <w:rPr>
          <w:rFonts w:ascii="Garamond" w:hAnsi="Garamond"/>
          <w:lang w:val="en-AU"/>
        </w:rPr>
      </w:pPr>
      <w:r w:rsidRPr="003279B2">
        <w:rPr>
          <w:rFonts w:ascii="Garamond" w:hAnsi="Garamond"/>
          <w:lang w:val="en-AU"/>
        </w:rPr>
        <w:t>Infection, Disease &amp; Health. 2017</w:t>
      </w:r>
      <w:r>
        <w:rPr>
          <w:rFonts w:ascii="Garamond" w:hAnsi="Garamond"/>
          <w:lang w:val="en-AU"/>
        </w:rPr>
        <w:t xml:space="preserve"> [epub]</w:t>
      </w:r>
      <w:r w:rsidRPr="003279B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79B2" w:rsidRPr="00D9161E" w:rsidRDefault="00A3356E" w:rsidP="003279B2">
            <w:pPr>
              <w:rPr>
                <w:rStyle w:val="Hyperlink"/>
                <w:rFonts w:ascii="Garamond" w:hAnsi="Garamond"/>
                <w:color w:val="auto"/>
                <w:u w:val="none"/>
                <w:lang w:val="en-AU"/>
              </w:rPr>
            </w:pPr>
            <w:hyperlink r:id="rId25" w:history="1">
              <w:r w:rsidR="003279B2" w:rsidRPr="00086539">
                <w:rPr>
                  <w:rStyle w:val="Hyperlink"/>
                  <w:rFonts w:ascii="Garamond" w:hAnsi="Garamond"/>
                  <w:lang w:val="en-AU"/>
                </w:rPr>
                <w:t>http://dx.doi.org/10.1016/j.idh.2017.07.001</w:t>
              </w:r>
            </w:hyperlink>
          </w:p>
        </w:tc>
      </w:tr>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2C22" w:rsidRDefault="003279B2" w:rsidP="003279B2">
            <w:pPr>
              <w:rPr>
                <w:rFonts w:ascii="Garamond" w:hAnsi="Garamond"/>
                <w:lang w:val="en-AU"/>
              </w:rPr>
            </w:pPr>
            <w:r>
              <w:rPr>
                <w:rFonts w:ascii="Garamond" w:hAnsi="Garamond"/>
                <w:lang w:val="en-AU"/>
              </w:rPr>
              <w:t>Review article that attempts to estimate the incidence of healthcare-associated infection (HAI) in Australian hospitals. On their review of the literature the authors suggest that the literature is a “very large underestimate” due to the “</w:t>
            </w:r>
            <w:r w:rsidRPr="003279B2">
              <w:rPr>
                <w:rFonts w:ascii="Garamond" w:hAnsi="Garamond"/>
                <w:lang w:val="en-AU"/>
              </w:rPr>
              <w:t>lack of or incomplete data on common infections</w:t>
            </w:r>
            <w:r>
              <w:rPr>
                <w:rFonts w:ascii="Garamond" w:hAnsi="Garamond"/>
                <w:lang w:val="en-AU"/>
              </w:rPr>
              <w:t xml:space="preserve"> </w:t>
            </w:r>
            <w:r w:rsidRPr="003279B2">
              <w:rPr>
                <w:rFonts w:ascii="Garamond" w:hAnsi="Garamond"/>
                <w:lang w:val="en-AU"/>
              </w:rPr>
              <w:t>such as pneumonia, gastroenterological and bloodstream infection</w:t>
            </w:r>
            <w:r>
              <w:rPr>
                <w:rFonts w:ascii="Garamond" w:hAnsi="Garamond"/>
                <w:lang w:val="en-AU"/>
              </w:rPr>
              <w:t>”. This leads them to suggest that “t</w:t>
            </w:r>
            <w:r w:rsidRPr="003279B2">
              <w:rPr>
                <w:rFonts w:ascii="Garamond" w:hAnsi="Garamond"/>
                <w:lang w:val="en-AU"/>
              </w:rPr>
              <w:t xml:space="preserve">he </w:t>
            </w:r>
            <w:r w:rsidRPr="003279B2">
              <w:rPr>
                <w:rFonts w:ascii="Garamond" w:hAnsi="Garamond"/>
                <w:b/>
                <w:lang w:val="en-AU"/>
              </w:rPr>
              <w:t>incidence of HAIs in Australia may be closer to 165,000 per year</w:t>
            </w:r>
            <w:r>
              <w:rPr>
                <w:rFonts w:ascii="Garamond" w:hAnsi="Garamond"/>
                <w:lang w:val="en-AU"/>
              </w:rPr>
              <w:t>.”</w:t>
            </w:r>
          </w:p>
          <w:p w:rsidR="003279B2" w:rsidRPr="00D9161E" w:rsidRDefault="003279B2" w:rsidP="00A3356E">
            <w:pPr>
              <w:rPr>
                <w:rFonts w:ascii="Garamond" w:hAnsi="Garamond"/>
                <w:lang w:val="en-AU"/>
              </w:rPr>
            </w:pPr>
            <w:r>
              <w:rPr>
                <w:rFonts w:ascii="Garamond" w:hAnsi="Garamond"/>
                <w:lang w:val="en-AU"/>
              </w:rPr>
              <w:t xml:space="preserve">The lead author has also penned a companion opinion piece on The Conversation website at </w:t>
            </w:r>
            <w:hyperlink r:id="rId26" w:history="1">
              <w:r w:rsidRPr="00086539">
                <w:rPr>
                  <w:rStyle w:val="Hyperlink"/>
                  <w:rFonts w:ascii="Garamond" w:hAnsi="Garamond"/>
                  <w:lang w:val="en-AU"/>
                </w:rPr>
                <w:t>https://theconversation.com/heres-how-many-people-get-infections-in-australian-hospitals-every-year-82309</w:t>
              </w:r>
            </w:hyperlink>
            <w:r>
              <w:rPr>
                <w:rFonts w:ascii="Garamond" w:hAnsi="Garamond"/>
                <w:lang w:val="en-AU"/>
              </w:rPr>
              <w:t xml:space="preserve"> </w:t>
            </w:r>
          </w:p>
        </w:tc>
      </w:tr>
    </w:tbl>
    <w:p w:rsidR="00F02C22" w:rsidRDefault="00F02C22" w:rsidP="00F02C22">
      <w:pPr>
        <w:keepNext/>
        <w:rPr>
          <w:rFonts w:ascii="Garamond" w:hAnsi="Garamond"/>
          <w:i/>
          <w:lang w:val="en-AU"/>
        </w:rPr>
      </w:pPr>
    </w:p>
    <w:p w:rsidR="008B60D5" w:rsidRDefault="008B60D5" w:rsidP="008B60D5">
      <w:pPr>
        <w:keepNext/>
        <w:keepLines/>
        <w:autoSpaceDE w:val="0"/>
        <w:autoSpaceDN w:val="0"/>
        <w:adjustRightInd w:val="0"/>
        <w:rPr>
          <w:rFonts w:ascii="Garamond" w:hAnsi="Garamond"/>
          <w:lang w:val="en-AU"/>
        </w:rPr>
      </w:pPr>
      <w:r w:rsidRPr="00D9161E">
        <w:rPr>
          <w:rFonts w:ascii="Garamond" w:hAnsi="Garamond"/>
          <w:lang w:val="en-AU"/>
        </w:rPr>
        <w:t xml:space="preserve">For information </w:t>
      </w:r>
      <w:r w:rsidR="00824F20">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healthcare associated infection, including hand hygiene, see </w:t>
      </w:r>
      <w:hyperlink r:id="rId27" w:history="1">
        <w:r w:rsidRPr="004F5314">
          <w:rPr>
            <w:rStyle w:val="Hyperlink"/>
            <w:rFonts w:ascii="Garamond" w:hAnsi="Garamond"/>
            <w:lang w:val="en-AU"/>
          </w:rPr>
          <w:t>https://www.safetyandquality.gov.au/our-work/healthcare-associated-infection/</w:t>
        </w:r>
      </w:hyperlink>
      <w:r>
        <w:rPr>
          <w:rFonts w:ascii="Garamond" w:hAnsi="Garamond"/>
          <w:lang w:val="en-AU"/>
        </w:rPr>
        <w:t xml:space="preserve"> </w:t>
      </w:r>
    </w:p>
    <w:p w:rsidR="008B60D5" w:rsidRPr="00D9161E" w:rsidRDefault="008B60D5" w:rsidP="00F02C22">
      <w:pPr>
        <w:keepNext/>
        <w:rPr>
          <w:rFonts w:ascii="Garamond" w:hAnsi="Garamond"/>
          <w:i/>
          <w:lang w:val="en-AU"/>
        </w:rPr>
      </w:pPr>
    </w:p>
    <w:p w:rsidR="00F02C22" w:rsidRPr="009A09E4" w:rsidRDefault="009A09E4" w:rsidP="00F02C22">
      <w:pPr>
        <w:keepNext/>
        <w:rPr>
          <w:rFonts w:ascii="Garamond" w:hAnsi="Garamond"/>
          <w:i/>
          <w:lang w:val="en-AU"/>
        </w:rPr>
      </w:pPr>
      <w:r w:rsidRPr="009A09E4">
        <w:rPr>
          <w:rFonts w:ascii="Garamond" w:hAnsi="Garamond"/>
          <w:i/>
          <w:lang w:val="en-AU"/>
        </w:rPr>
        <w:t>Pharmacist-led admission medication reconciliation before and after the implementation of an electronic medication management system</w:t>
      </w:r>
    </w:p>
    <w:p w:rsidR="00EC561C" w:rsidRDefault="00EC561C" w:rsidP="00F02C22">
      <w:pPr>
        <w:keepNext/>
        <w:rPr>
          <w:rFonts w:ascii="Garamond" w:hAnsi="Garamond"/>
          <w:lang w:val="en-AU"/>
        </w:rPr>
      </w:pPr>
      <w:r w:rsidRPr="00EC561C">
        <w:rPr>
          <w:rFonts w:ascii="Garamond" w:hAnsi="Garamond"/>
          <w:lang w:val="en-AU"/>
        </w:rPr>
        <w:t>Sardaneh AA, Burke R, Ritchie A, McLachlan AJ, Lehnbom EC</w:t>
      </w:r>
    </w:p>
    <w:p w:rsidR="009A09E4" w:rsidRPr="00D9161E" w:rsidRDefault="00EC561C" w:rsidP="00F02C22">
      <w:pPr>
        <w:keepNext/>
        <w:rPr>
          <w:rFonts w:ascii="Garamond" w:hAnsi="Garamond"/>
          <w:lang w:val="en-AU"/>
        </w:rPr>
      </w:pPr>
      <w:r w:rsidRPr="00EC561C">
        <w:rPr>
          <w:rFonts w:ascii="Garamond" w:hAnsi="Garamond"/>
          <w:lang w:val="en-AU"/>
        </w:rPr>
        <w:t>International Journal of Medical Informatics. 2017;101:41-9.</w:t>
      </w:r>
    </w:p>
    <w:tbl>
      <w:tblPr>
        <w:tblStyle w:val="TableGrid"/>
        <w:tblW w:w="0" w:type="auto"/>
        <w:tblInd w:w="288" w:type="dxa"/>
        <w:tblLayout w:type="fixed"/>
        <w:tblLook w:val="01E0" w:firstRow="1" w:lastRow="1" w:firstColumn="1" w:lastColumn="1" w:noHBand="0" w:noVBand="0"/>
      </w:tblPr>
      <w:tblGrid>
        <w:gridCol w:w="1080"/>
        <w:gridCol w:w="8280"/>
      </w:tblGrid>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02C22" w:rsidRPr="00D9161E" w:rsidRDefault="00A3356E" w:rsidP="00FF25D5">
            <w:pPr>
              <w:rPr>
                <w:rStyle w:val="Hyperlink"/>
                <w:rFonts w:ascii="Garamond" w:hAnsi="Garamond"/>
                <w:color w:val="auto"/>
                <w:u w:val="none"/>
                <w:lang w:val="en-AU"/>
              </w:rPr>
            </w:pPr>
            <w:hyperlink r:id="rId28" w:history="1">
              <w:r w:rsidR="00EC561C" w:rsidRPr="00887045">
                <w:rPr>
                  <w:rStyle w:val="Hyperlink"/>
                  <w:rFonts w:ascii="Garamond" w:hAnsi="Garamond"/>
                  <w:lang w:val="en-AU"/>
                </w:rPr>
                <w:t>https://doi.org/10.1016/j.ijmedinf.2017.02.001</w:t>
              </w:r>
            </w:hyperlink>
          </w:p>
        </w:tc>
      </w:tr>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561C" w:rsidRPr="00D9161E" w:rsidRDefault="005D0A6F" w:rsidP="005324F7">
            <w:pPr>
              <w:rPr>
                <w:rFonts w:ascii="Garamond" w:hAnsi="Garamond"/>
                <w:lang w:val="en-AU"/>
              </w:rPr>
            </w:pPr>
            <w:r>
              <w:rPr>
                <w:rFonts w:ascii="Garamond" w:hAnsi="Garamond"/>
                <w:lang w:val="en-AU"/>
              </w:rPr>
              <w:t>M</w:t>
            </w:r>
            <w:r w:rsidRPr="005D0A6F">
              <w:rPr>
                <w:rFonts w:ascii="Garamond" w:hAnsi="Garamond"/>
                <w:lang w:val="en-AU"/>
              </w:rPr>
              <w:t xml:space="preserve">edication reconciliation </w:t>
            </w:r>
            <w:r w:rsidR="009A09E4">
              <w:rPr>
                <w:rFonts w:ascii="Garamond" w:hAnsi="Garamond"/>
                <w:lang w:val="en-AU"/>
              </w:rPr>
              <w:t>is recognised as an important medication safety process</w:t>
            </w:r>
            <w:r>
              <w:rPr>
                <w:rFonts w:ascii="Garamond" w:hAnsi="Garamond"/>
                <w:lang w:val="en-AU"/>
              </w:rPr>
              <w:t xml:space="preserve">. This paper describes how the implementation of </w:t>
            </w:r>
            <w:r w:rsidRPr="005D0A6F">
              <w:rPr>
                <w:rFonts w:ascii="Garamond" w:hAnsi="Garamond"/>
                <w:lang w:val="en-AU"/>
              </w:rPr>
              <w:t xml:space="preserve">an electronic medication management </w:t>
            </w:r>
            <w:r>
              <w:rPr>
                <w:rFonts w:ascii="Garamond" w:hAnsi="Garamond"/>
                <w:lang w:val="en-AU"/>
              </w:rPr>
              <w:t xml:space="preserve">(EMM) system </w:t>
            </w:r>
            <w:r w:rsidR="00EC561C">
              <w:rPr>
                <w:rFonts w:ascii="Garamond" w:hAnsi="Garamond"/>
                <w:lang w:val="en-AU"/>
              </w:rPr>
              <w:t xml:space="preserve">in an Australian hospital </w:t>
            </w:r>
            <w:r>
              <w:rPr>
                <w:rFonts w:ascii="Garamond" w:hAnsi="Garamond"/>
                <w:lang w:val="en-AU"/>
              </w:rPr>
              <w:t>contributed to changes in medication reconciliation</w:t>
            </w:r>
            <w:r w:rsidR="00EC561C">
              <w:rPr>
                <w:rFonts w:ascii="Garamond" w:hAnsi="Garamond"/>
                <w:lang w:val="en-AU"/>
              </w:rPr>
              <w:t>.</w:t>
            </w:r>
            <w:r w:rsidR="005324F7">
              <w:rPr>
                <w:rFonts w:ascii="Garamond" w:hAnsi="Garamond"/>
                <w:lang w:val="en-AU"/>
              </w:rPr>
              <w:t xml:space="preserve"> </w:t>
            </w:r>
            <w:r w:rsidR="009A09E4" w:rsidRPr="00CF18F6">
              <w:rPr>
                <w:rFonts w:ascii="Garamond" w:hAnsi="Garamond"/>
                <w:b/>
                <w:lang w:val="en-AU"/>
              </w:rPr>
              <w:t xml:space="preserve">EMM implementation </w:t>
            </w:r>
            <w:r w:rsidR="009A09E4">
              <w:rPr>
                <w:rFonts w:ascii="Garamond" w:hAnsi="Garamond"/>
                <w:lang w:val="en-AU"/>
              </w:rPr>
              <w:t xml:space="preserve">led to </w:t>
            </w:r>
            <w:r w:rsidR="005324F7">
              <w:rPr>
                <w:rFonts w:ascii="Garamond" w:hAnsi="Garamond"/>
                <w:lang w:val="en-AU"/>
              </w:rPr>
              <w:t xml:space="preserve">both an </w:t>
            </w:r>
            <w:r w:rsidR="009A09E4" w:rsidRPr="00CF18F6">
              <w:rPr>
                <w:rFonts w:ascii="Garamond" w:hAnsi="Garamond"/>
                <w:b/>
                <w:lang w:val="en-AU"/>
              </w:rPr>
              <w:t>increased rate</w:t>
            </w:r>
            <w:r w:rsidR="005324F7" w:rsidRPr="00CF18F6">
              <w:rPr>
                <w:rFonts w:ascii="Garamond" w:hAnsi="Garamond"/>
                <w:b/>
                <w:lang w:val="en-AU"/>
              </w:rPr>
              <w:t xml:space="preserve"> of and more timely</w:t>
            </w:r>
            <w:r w:rsidR="009A09E4" w:rsidRPr="00CF18F6">
              <w:rPr>
                <w:rFonts w:ascii="Garamond" w:hAnsi="Garamond"/>
                <w:b/>
                <w:lang w:val="en-AU"/>
              </w:rPr>
              <w:t xml:space="preserve"> med</w:t>
            </w:r>
            <w:r w:rsidR="00EC561C" w:rsidRPr="00CF18F6">
              <w:rPr>
                <w:rFonts w:ascii="Garamond" w:hAnsi="Garamond"/>
                <w:b/>
                <w:lang w:val="en-AU"/>
              </w:rPr>
              <w:t>ication</w:t>
            </w:r>
            <w:r w:rsidR="009A09E4" w:rsidRPr="00CF18F6">
              <w:rPr>
                <w:rFonts w:ascii="Garamond" w:hAnsi="Garamond"/>
                <w:b/>
                <w:lang w:val="en-AU"/>
              </w:rPr>
              <w:t xml:space="preserve"> rec</w:t>
            </w:r>
            <w:r w:rsidR="00EC561C" w:rsidRPr="00CF18F6">
              <w:rPr>
                <w:rFonts w:ascii="Garamond" w:hAnsi="Garamond"/>
                <w:b/>
                <w:lang w:val="en-AU"/>
              </w:rPr>
              <w:t>onciliation</w:t>
            </w:r>
            <w:r w:rsidR="00EC561C">
              <w:rPr>
                <w:rFonts w:ascii="Garamond" w:hAnsi="Garamond"/>
                <w:lang w:val="en-AU"/>
              </w:rPr>
              <w:t xml:space="preserve"> on hospital admission</w:t>
            </w:r>
            <w:r w:rsidR="005324F7">
              <w:rPr>
                <w:rFonts w:ascii="Garamond" w:hAnsi="Garamond"/>
                <w:lang w:val="en-AU"/>
              </w:rPr>
              <w:t xml:space="preserve">. </w:t>
            </w:r>
            <w:r w:rsidR="005324F7" w:rsidRPr="005324F7">
              <w:rPr>
                <w:rFonts w:ascii="Garamond" w:hAnsi="Garamond"/>
                <w:lang w:val="en-AU"/>
              </w:rPr>
              <w:t>High-risk patients</w:t>
            </w:r>
            <w:r w:rsidR="005324F7">
              <w:rPr>
                <w:rFonts w:ascii="Garamond" w:hAnsi="Garamond"/>
                <w:lang w:val="en-AU"/>
              </w:rPr>
              <w:t xml:space="preserve">, such as </w:t>
            </w:r>
            <w:r w:rsidR="005324F7" w:rsidRPr="005324F7">
              <w:rPr>
                <w:rFonts w:ascii="Garamond" w:hAnsi="Garamond"/>
                <w:lang w:val="en-AU"/>
              </w:rPr>
              <w:t xml:space="preserve">older patients and those </w:t>
            </w:r>
            <w:r w:rsidR="005324F7">
              <w:rPr>
                <w:rFonts w:ascii="Garamond" w:hAnsi="Garamond"/>
                <w:lang w:val="en-AU"/>
              </w:rPr>
              <w:t xml:space="preserve">using </w:t>
            </w:r>
            <w:r w:rsidR="005324F7" w:rsidRPr="005324F7">
              <w:rPr>
                <w:rFonts w:ascii="Garamond" w:hAnsi="Garamond"/>
                <w:lang w:val="en-AU"/>
              </w:rPr>
              <w:t>than five prescription medications</w:t>
            </w:r>
            <w:r w:rsidR="005324F7">
              <w:rPr>
                <w:rFonts w:ascii="Garamond" w:hAnsi="Garamond"/>
                <w:lang w:val="en-AU"/>
              </w:rPr>
              <w:t xml:space="preserve">, </w:t>
            </w:r>
            <w:r w:rsidR="005324F7" w:rsidRPr="005324F7">
              <w:rPr>
                <w:rFonts w:ascii="Garamond" w:hAnsi="Garamond"/>
                <w:lang w:val="en-AU"/>
              </w:rPr>
              <w:t xml:space="preserve">were more likely to receive medication reconciliation after implementation of the </w:t>
            </w:r>
            <w:r w:rsidR="005324F7">
              <w:rPr>
                <w:rFonts w:ascii="Garamond" w:hAnsi="Garamond"/>
                <w:lang w:val="en-AU"/>
              </w:rPr>
              <w:t>EMM.</w:t>
            </w:r>
          </w:p>
        </w:tc>
      </w:tr>
    </w:tbl>
    <w:p w:rsidR="00BD3B9E" w:rsidRDefault="00BD3B9E" w:rsidP="009A09E4">
      <w:pPr>
        <w:keepNext/>
        <w:rPr>
          <w:rFonts w:ascii="Garamond" w:hAnsi="Garamond"/>
          <w:lang w:val="en-AU"/>
        </w:rPr>
      </w:pPr>
    </w:p>
    <w:p w:rsidR="009A09E4" w:rsidRDefault="009A09E4" w:rsidP="009A09E4">
      <w:pPr>
        <w:keepNext/>
        <w:rPr>
          <w:rFonts w:ascii="Garamond" w:hAnsi="Garamond"/>
          <w:lang w:val="en-AU"/>
        </w:rPr>
      </w:pPr>
      <w:r w:rsidRPr="00D9161E">
        <w:rPr>
          <w:rFonts w:ascii="Garamond" w:hAnsi="Garamond"/>
          <w:lang w:val="en-AU"/>
        </w:rPr>
        <w:t xml:space="preserve">For information </w:t>
      </w:r>
      <w:r>
        <w:rPr>
          <w:rFonts w:ascii="Garamond" w:hAnsi="Garamond"/>
          <w:lang w:val="en-AU"/>
        </w:rPr>
        <w:t xml:space="preserve">on </w:t>
      </w:r>
      <w:r w:rsidRPr="00D9161E">
        <w:rPr>
          <w:rFonts w:ascii="Garamond" w:hAnsi="Garamond"/>
          <w:lang w:val="en-AU"/>
        </w:rPr>
        <w:t>the Commission’s work on</w:t>
      </w:r>
      <w:r>
        <w:rPr>
          <w:rFonts w:ascii="Garamond" w:hAnsi="Garamond"/>
          <w:lang w:val="en-AU"/>
        </w:rPr>
        <w:t xml:space="preserve"> medication safety, </w:t>
      </w:r>
      <w:r w:rsidR="005D0A6F">
        <w:rPr>
          <w:rFonts w:ascii="Garamond" w:hAnsi="Garamond"/>
          <w:lang w:val="en-AU"/>
        </w:rPr>
        <w:t xml:space="preserve">including medication reconciliation, </w:t>
      </w:r>
      <w:r>
        <w:rPr>
          <w:rFonts w:ascii="Garamond" w:hAnsi="Garamond"/>
          <w:lang w:val="en-AU"/>
        </w:rPr>
        <w:t xml:space="preserve">see </w:t>
      </w:r>
      <w:hyperlink r:id="rId29" w:history="1">
        <w:r w:rsidRPr="00C843E7">
          <w:rPr>
            <w:rStyle w:val="Hyperlink"/>
            <w:rFonts w:ascii="Garamond" w:hAnsi="Garamond"/>
            <w:lang w:val="en-AU"/>
          </w:rPr>
          <w:t>https://www.safetyandquality.gov.au/our-work/medication-safety/</w:t>
        </w:r>
      </w:hyperlink>
    </w:p>
    <w:p w:rsidR="00F02C22" w:rsidRDefault="00F02C22" w:rsidP="00F02C22">
      <w:pPr>
        <w:keepNext/>
        <w:rPr>
          <w:rFonts w:ascii="Garamond" w:hAnsi="Garamond"/>
          <w:lang w:val="en-AU"/>
        </w:rPr>
      </w:pPr>
    </w:p>
    <w:p w:rsidR="0061269D" w:rsidRDefault="0061269D">
      <w:pPr>
        <w:rPr>
          <w:rFonts w:ascii="Garamond" w:hAnsi="Garamond"/>
          <w:i/>
          <w:lang w:val="en-AU"/>
        </w:rPr>
      </w:pPr>
      <w:r>
        <w:rPr>
          <w:rFonts w:ascii="Garamond" w:hAnsi="Garamond"/>
          <w:i/>
          <w:lang w:val="en-AU"/>
        </w:rPr>
        <w:br w:type="page"/>
      </w:r>
    </w:p>
    <w:p w:rsidR="009A09E4" w:rsidRPr="009A09E4" w:rsidRDefault="009A09E4" w:rsidP="00F02C22">
      <w:pPr>
        <w:keepNext/>
        <w:rPr>
          <w:rFonts w:ascii="Garamond" w:hAnsi="Garamond"/>
          <w:i/>
          <w:lang w:val="en-AU"/>
        </w:rPr>
      </w:pPr>
      <w:r w:rsidRPr="009A09E4">
        <w:rPr>
          <w:rFonts w:ascii="Garamond" w:hAnsi="Garamond"/>
          <w:i/>
          <w:lang w:val="en-AU"/>
        </w:rPr>
        <w:lastRenderedPageBreak/>
        <w:t>Identifying high-alert medications in a university hospital by applying data from the medication error reporting system</w:t>
      </w:r>
    </w:p>
    <w:p w:rsidR="00A011A2" w:rsidRDefault="00A011A2" w:rsidP="00F02C22">
      <w:pPr>
        <w:keepNext/>
        <w:rPr>
          <w:rFonts w:ascii="Garamond" w:hAnsi="Garamond"/>
          <w:lang w:val="en-AU"/>
        </w:rPr>
      </w:pPr>
      <w:r w:rsidRPr="00A011A2">
        <w:rPr>
          <w:rFonts w:ascii="Garamond" w:hAnsi="Garamond"/>
          <w:lang w:val="en-AU"/>
        </w:rPr>
        <w:t>Tyynismaa L, Honkala A, Airaksinen M, Shermock K, Lehtonen L</w:t>
      </w:r>
    </w:p>
    <w:p w:rsidR="009A09E4" w:rsidRPr="00D9161E" w:rsidRDefault="00A011A2" w:rsidP="00F02C22">
      <w:pPr>
        <w:keepNext/>
        <w:rPr>
          <w:rFonts w:ascii="Garamond" w:hAnsi="Garamond"/>
          <w:lang w:val="en-AU"/>
        </w:rPr>
      </w:pPr>
      <w:r w:rsidRPr="00A011A2">
        <w:rPr>
          <w:rFonts w:ascii="Garamond" w:hAnsi="Garamond"/>
          <w:lang w:val="en-AU"/>
        </w:rPr>
        <w:t>Journal of Patient Safety. 2017</w:t>
      </w:r>
      <w:r>
        <w:rPr>
          <w:rFonts w:ascii="Garamond" w:hAnsi="Garamond"/>
          <w:lang w:val="en-AU"/>
        </w:rPr>
        <w:t xml:space="preserve"> [epub]</w:t>
      </w:r>
      <w:r w:rsidRPr="00A011A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02C22" w:rsidRPr="00D9161E" w:rsidRDefault="00A3356E" w:rsidP="00FF25D5">
            <w:pPr>
              <w:rPr>
                <w:rStyle w:val="Hyperlink"/>
                <w:rFonts w:ascii="Garamond" w:hAnsi="Garamond"/>
                <w:color w:val="auto"/>
                <w:u w:val="none"/>
                <w:lang w:val="en-AU"/>
              </w:rPr>
            </w:pPr>
            <w:hyperlink r:id="rId30" w:history="1">
              <w:r w:rsidR="00A011A2" w:rsidRPr="00887045">
                <w:rPr>
                  <w:rStyle w:val="Hyperlink"/>
                  <w:rFonts w:ascii="Garamond" w:hAnsi="Garamond"/>
                  <w:lang w:val="en-AU"/>
                </w:rPr>
                <w:t>Http://dx.doi.org/10.1097/PTS.0000000000000388</w:t>
              </w:r>
            </w:hyperlink>
          </w:p>
        </w:tc>
      </w:tr>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2C22" w:rsidRPr="00D9161E" w:rsidRDefault="005D0A6F" w:rsidP="0079567C">
            <w:pPr>
              <w:rPr>
                <w:rFonts w:ascii="Garamond" w:hAnsi="Garamond"/>
                <w:lang w:val="en-AU"/>
              </w:rPr>
            </w:pPr>
            <w:r>
              <w:rPr>
                <w:rFonts w:ascii="Garamond" w:hAnsi="Garamond"/>
                <w:lang w:val="en-AU"/>
              </w:rPr>
              <w:t>This paper provides a p</w:t>
            </w:r>
            <w:r w:rsidR="009A09E4">
              <w:rPr>
                <w:rFonts w:ascii="Garamond" w:hAnsi="Garamond"/>
                <w:lang w:val="en-AU"/>
              </w:rPr>
              <w:t>ractical example of a learning health system</w:t>
            </w:r>
            <w:r>
              <w:rPr>
                <w:rFonts w:ascii="Garamond" w:hAnsi="Garamond"/>
                <w:lang w:val="en-AU"/>
              </w:rPr>
              <w:t xml:space="preserve">. In this case it was </w:t>
            </w:r>
            <w:r w:rsidR="009A09E4">
              <w:rPr>
                <w:rFonts w:ascii="Garamond" w:hAnsi="Garamond"/>
                <w:lang w:val="en-AU"/>
              </w:rPr>
              <w:t xml:space="preserve">using the errors </w:t>
            </w:r>
            <w:r>
              <w:rPr>
                <w:rFonts w:ascii="Garamond" w:hAnsi="Garamond"/>
                <w:lang w:val="en-AU"/>
              </w:rPr>
              <w:t xml:space="preserve">captured in a reporting system </w:t>
            </w:r>
            <w:r w:rsidR="005D16B8">
              <w:rPr>
                <w:rFonts w:ascii="Garamond" w:hAnsi="Garamond"/>
                <w:lang w:val="en-AU"/>
              </w:rPr>
              <w:t>to improve their recognition of medications that need</w:t>
            </w:r>
            <w:r>
              <w:rPr>
                <w:rFonts w:ascii="Garamond" w:hAnsi="Garamond"/>
                <w:lang w:val="en-AU"/>
              </w:rPr>
              <w:t>ed</w:t>
            </w:r>
            <w:r w:rsidR="005D16B8">
              <w:rPr>
                <w:rFonts w:ascii="Garamond" w:hAnsi="Garamond"/>
                <w:lang w:val="en-AU"/>
              </w:rPr>
              <w:t xml:space="preserve"> alerts</w:t>
            </w:r>
            <w:r>
              <w:rPr>
                <w:rFonts w:ascii="Garamond" w:hAnsi="Garamond"/>
                <w:lang w:val="en-AU"/>
              </w:rPr>
              <w:t xml:space="preserve"> to assist healthcare workers to avoid those errors in future.</w:t>
            </w:r>
            <w:r w:rsidR="0079567C">
              <w:rPr>
                <w:rFonts w:ascii="Garamond" w:hAnsi="Garamond"/>
                <w:lang w:val="en-AU"/>
              </w:rPr>
              <w:t xml:space="preserve"> The authors believe their approach is “</w:t>
            </w:r>
            <w:r w:rsidR="0079567C" w:rsidRPr="0079567C">
              <w:rPr>
                <w:rFonts w:ascii="Garamond" w:hAnsi="Garamond"/>
                <w:lang w:val="en-AU"/>
              </w:rPr>
              <w:t xml:space="preserve">applicable for </w:t>
            </w:r>
            <w:r w:rsidR="0079567C" w:rsidRPr="00CF18F6">
              <w:rPr>
                <w:rFonts w:ascii="Garamond" w:hAnsi="Garamond"/>
                <w:b/>
                <w:lang w:val="en-AU"/>
              </w:rPr>
              <w:t>compiling a hospital-specific high-alert medication list</w:t>
            </w:r>
            <w:r w:rsidR="0079567C" w:rsidRPr="0079567C">
              <w:rPr>
                <w:rFonts w:ascii="Garamond" w:hAnsi="Garamond"/>
                <w:lang w:val="en-AU"/>
              </w:rPr>
              <w:t xml:space="preserve"> and related analysis of key process safety risks</w:t>
            </w:r>
            <w:r w:rsidR="0079567C">
              <w:rPr>
                <w:rFonts w:ascii="Garamond" w:hAnsi="Garamond"/>
                <w:lang w:val="en-AU"/>
              </w:rPr>
              <w:t>”.</w:t>
            </w:r>
          </w:p>
        </w:tc>
      </w:tr>
    </w:tbl>
    <w:p w:rsidR="00F02C22" w:rsidRPr="00D9161E" w:rsidRDefault="00F02C22" w:rsidP="00F02C22">
      <w:pPr>
        <w:keepNext/>
        <w:rPr>
          <w:rFonts w:ascii="Garamond" w:hAnsi="Garamond"/>
          <w:i/>
          <w:lang w:val="en-AU"/>
        </w:rPr>
      </w:pPr>
    </w:p>
    <w:p w:rsidR="00F02C22" w:rsidRPr="005D16B8" w:rsidRDefault="005D16B8" w:rsidP="00F02C22">
      <w:pPr>
        <w:keepNext/>
        <w:rPr>
          <w:rFonts w:ascii="Garamond" w:hAnsi="Garamond"/>
          <w:i/>
          <w:lang w:val="en-AU"/>
        </w:rPr>
      </w:pPr>
      <w:r w:rsidRPr="005D16B8">
        <w:rPr>
          <w:rFonts w:ascii="Garamond" w:hAnsi="Garamond"/>
          <w:i/>
          <w:lang w:val="en-AU"/>
        </w:rPr>
        <w:t>Impact of a restraint management bundle on restraint use in an intensive care unit</w:t>
      </w:r>
    </w:p>
    <w:p w:rsidR="0079567C" w:rsidRDefault="0079567C" w:rsidP="00F02C22">
      <w:pPr>
        <w:keepNext/>
        <w:rPr>
          <w:rFonts w:ascii="Garamond" w:hAnsi="Garamond"/>
          <w:lang w:val="en-AU"/>
        </w:rPr>
      </w:pPr>
      <w:r w:rsidRPr="0079567C">
        <w:rPr>
          <w:rFonts w:ascii="Garamond" w:hAnsi="Garamond"/>
          <w:lang w:val="en-AU"/>
        </w:rPr>
        <w:t>Hall DK, Zimbro KS, Maduro RS, Petrovitch D, Ver Schneider P, Morgan M</w:t>
      </w:r>
    </w:p>
    <w:p w:rsidR="005D16B8" w:rsidRPr="00D9161E" w:rsidRDefault="0079567C" w:rsidP="00F02C22">
      <w:pPr>
        <w:keepNext/>
        <w:rPr>
          <w:rFonts w:ascii="Garamond" w:hAnsi="Garamond"/>
          <w:lang w:val="en-AU"/>
        </w:rPr>
      </w:pPr>
      <w:r w:rsidRPr="0079567C">
        <w:rPr>
          <w:rFonts w:ascii="Garamond" w:hAnsi="Garamond"/>
          <w:lang w:val="en-AU"/>
        </w:rPr>
        <w:t>Journal of Nursing Care Quality. 2017</w:t>
      </w:r>
      <w:r>
        <w:rPr>
          <w:rFonts w:ascii="Garamond" w:hAnsi="Garamond"/>
          <w:lang w:val="en-AU"/>
        </w:rPr>
        <w:t xml:space="preserve"> [epub]</w:t>
      </w:r>
      <w:r w:rsidRPr="0079567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02C22" w:rsidRPr="00D9161E" w:rsidRDefault="00A3356E" w:rsidP="00FF25D5">
            <w:pPr>
              <w:rPr>
                <w:rStyle w:val="Hyperlink"/>
                <w:rFonts w:ascii="Garamond" w:hAnsi="Garamond"/>
                <w:color w:val="auto"/>
                <w:u w:val="none"/>
                <w:lang w:val="en-AU"/>
              </w:rPr>
            </w:pPr>
            <w:hyperlink r:id="rId31" w:history="1">
              <w:r w:rsidR="0079567C" w:rsidRPr="00887045">
                <w:rPr>
                  <w:rStyle w:val="Hyperlink"/>
                  <w:rFonts w:ascii="Garamond" w:hAnsi="Garamond"/>
                  <w:lang w:val="en-AU"/>
                </w:rPr>
                <w:t>http://dx.doi.org/10.1097/NCQ.0000000000000273</w:t>
              </w:r>
            </w:hyperlink>
          </w:p>
        </w:tc>
      </w:tr>
      <w:tr w:rsidR="00F02C22"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F02C22" w:rsidRPr="00D9161E" w:rsidRDefault="00F02C22"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5C6CB3">
            <w:pPr>
              <w:rPr>
                <w:rFonts w:ascii="Garamond" w:hAnsi="Garamond"/>
                <w:lang w:val="en-AU"/>
              </w:rPr>
            </w:pPr>
            <w:r>
              <w:rPr>
                <w:rFonts w:ascii="Garamond" w:hAnsi="Garamond"/>
                <w:lang w:val="en-AU"/>
              </w:rPr>
              <w:t>The use of restraint in various settings is contentious</w:t>
            </w:r>
            <w:r w:rsidR="005D0A6F">
              <w:rPr>
                <w:rFonts w:ascii="Garamond" w:hAnsi="Garamond"/>
                <w:lang w:val="en-AU"/>
              </w:rPr>
              <w:t xml:space="preserve"> and can be a safety risk in and of itself.</w:t>
            </w:r>
            <w:r w:rsidR="0079567C">
              <w:rPr>
                <w:rFonts w:ascii="Garamond" w:hAnsi="Garamond"/>
                <w:lang w:val="en-AU"/>
              </w:rPr>
              <w:t xml:space="preserve"> This paper examined how the implemented of a ‘bundle’ for restraint use influenced the use of restraints in </w:t>
            </w:r>
            <w:r w:rsidR="005C6CB3">
              <w:rPr>
                <w:rFonts w:ascii="Garamond" w:hAnsi="Garamond"/>
                <w:lang w:val="en-AU"/>
              </w:rPr>
              <w:t xml:space="preserve">one hospital’s </w:t>
            </w:r>
            <w:r w:rsidR="0079567C" w:rsidRPr="0079567C">
              <w:rPr>
                <w:rFonts w:ascii="Garamond" w:hAnsi="Garamond"/>
                <w:lang w:val="en-AU"/>
              </w:rPr>
              <w:t>intensive care unit</w:t>
            </w:r>
            <w:r w:rsidR="0079567C">
              <w:rPr>
                <w:rFonts w:ascii="Garamond" w:hAnsi="Garamond"/>
                <w:lang w:val="en-AU"/>
              </w:rPr>
              <w:t xml:space="preserve"> (ICU). The authors report that “</w:t>
            </w:r>
            <w:r w:rsidR="0079567C" w:rsidRPr="0079567C">
              <w:rPr>
                <w:rFonts w:ascii="Garamond" w:hAnsi="Garamond"/>
                <w:lang w:val="en-AU"/>
              </w:rPr>
              <w:t xml:space="preserve">the proportion of intensive care unit </w:t>
            </w:r>
            <w:r w:rsidR="0079567C" w:rsidRPr="00CF18F6">
              <w:rPr>
                <w:rFonts w:ascii="Garamond" w:hAnsi="Garamond"/>
                <w:b/>
                <w:lang w:val="en-AU"/>
              </w:rPr>
              <w:t xml:space="preserve">patients restrained decreased </w:t>
            </w:r>
            <w:r w:rsidR="0079567C" w:rsidRPr="0079567C">
              <w:rPr>
                <w:rFonts w:ascii="Garamond" w:hAnsi="Garamond"/>
                <w:lang w:val="en-AU"/>
              </w:rPr>
              <w:t>significantly (24.3% vs 20.9%)</w:t>
            </w:r>
            <w:r w:rsidR="0079567C">
              <w:rPr>
                <w:rFonts w:ascii="Garamond" w:hAnsi="Garamond"/>
                <w:lang w:val="en-AU"/>
              </w:rPr>
              <w:t xml:space="preserve">” after the restraint management bundle was introduced. They speculate that the bundle </w:t>
            </w:r>
            <w:r w:rsidR="0079567C" w:rsidRPr="0079567C">
              <w:rPr>
                <w:rFonts w:ascii="Garamond" w:hAnsi="Garamond"/>
                <w:lang w:val="en-AU"/>
              </w:rPr>
              <w:t>management provide</w:t>
            </w:r>
            <w:r w:rsidR="0079567C">
              <w:rPr>
                <w:rFonts w:ascii="Garamond" w:hAnsi="Garamond"/>
                <w:lang w:val="en-AU"/>
              </w:rPr>
              <w:t>d</w:t>
            </w:r>
            <w:r w:rsidR="0079567C" w:rsidRPr="0079567C">
              <w:rPr>
                <w:rFonts w:ascii="Garamond" w:hAnsi="Garamond"/>
                <w:lang w:val="en-AU"/>
              </w:rPr>
              <w:t xml:space="preserve"> </w:t>
            </w:r>
            <w:r w:rsidR="0079567C">
              <w:rPr>
                <w:rFonts w:ascii="Garamond" w:hAnsi="Garamond"/>
                <w:lang w:val="en-AU"/>
              </w:rPr>
              <w:t>“</w:t>
            </w:r>
            <w:r w:rsidR="0079567C" w:rsidRPr="0079567C">
              <w:rPr>
                <w:rFonts w:ascii="Garamond" w:hAnsi="Garamond"/>
                <w:lang w:val="en-AU"/>
              </w:rPr>
              <w:t>a framework for guiding the process to reduce restraint use, minimize harm, and improve patient safety.</w:t>
            </w:r>
            <w:r w:rsidR="0079567C">
              <w:rPr>
                <w:rFonts w:ascii="Garamond" w:hAnsi="Garamond"/>
                <w:lang w:val="en-AU"/>
              </w:rPr>
              <w:t>”</w:t>
            </w:r>
          </w:p>
        </w:tc>
      </w:tr>
    </w:tbl>
    <w:p w:rsidR="00F02C22" w:rsidRPr="00D9161E" w:rsidRDefault="00F02C22" w:rsidP="00F02C22">
      <w:pPr>
        <w:keepNext/>
        <w:rPr>
          <w:rFonts w:ascii="Garamond" w:hAnsi="Garamond"/>
          <w:i/>
          <w:lang w:val="en-AU"/>
        </w:rPr>
      </w:pPr>
    </w:p>
    <w:p w:rsidR="005D16B8" w:rsidRPr="00126C9D" w:rsidRDefault="005D16B8" w:rsidP="005D16B8">
      <w:pPr>
        <w:keepNext/>
        <w:rPr>
          <w:rFonts w:ascii="Garamond" w:hAnsi="Garamond"/>
          <w:i/>
          <w:lang w:val="en-AU"/>
        </w:rPr>
      </w:pPr>
      <w:r w:rsidRPr="00126C9D">
        <w:rPr>
          <w:rFonts w:ascii="Garamond" w:hAnsi="Garamond"/>
          <w:i/>
          <w:lang w:val="en-AU"/>
        </w:rPr>
        <w:t>A multi-state, multi-site, multi-sector healthcare improvement model: implementing evidence for practice</w:t>
      </w:r>
    </w:p>
    <w:p w:rsidR="005D16B8" w:rsidRDefault="005D16B8" w:rsidP="005D16B8">
      <w:pPr>
        <w:keepNext/>
        <w:rPr>
          <w:rFonts w:ascii="Garamond" w:hAnsi="Garamond"/>
          <w:lang w:val="en-AU"/>
        </w:rPr>
      </w:pPr>
      <w:r w:rsidRPr="00126C9D">
        <w:rPr>
          <w:rFonts w:ascii="Garamond" w:hAnsi="Garamond"/>
          <w:lang w:val="en-AU"/>
        </w:rPr>
        <w:t>Edward K-L, Walker K, Duff J</w:t>
      </w:r>
    </w:p>
    <w:p w:rsidR="005D16B8" w:rsidRPr="00D9161E" w:rsidRDefault="005D16B8" w:rsidP="005D16B8">
      <w:pPr>
        <w:keepNext/>
        <w:rPr>
          <w:rFonts w:ascii="Garamond" w:hAnsi="Garamond"/>
          <w:lang w:val="en-AU"/>
        </w:rPr>
      </w:pPr>
      <w:r w:rsidRPr="00126C9D">
        <w:rPr>
          <w:rFonts w:ascii="Garamond" w:hAnsi="Garamond"/>
          <w:lang w:val="en-AU"/>
        </w:rPr>
        <w:t>International Journal for Quality in Health Care. 2017</w:t>
      </w:r>
      <w:r>
        <w:rPr>
          <w:rFonts w:ascii="Garamond" w:hAnsi="Garamond"/>
          <w:lang w:val="en-AU"/>
        </w:rPr>
        <w:t xml:space="preserve"> [epub]</w:t>
      </w:r>
      <w:r w:rsidRPr="00126C9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Pr="00D9161E" w:rsidRDefault="00A3356E" w:rsidP="00FF25D5">
            <w:pPr>
              <w:rPr>
                <w:rStyle w:val="Hyperlink"/>
                <w:rFonts w:ascii="Garamond" w:hAnsi="Garamond"/>
                <w:color w:val="auto"/>
                <w:u w:val="none"/>
                <w:lang w:val="en-AU"/>
              </w:rPr>
            </w:pPr>
            <w:hyperlink r:id="rId32" w:history="1">
              <w:r w:rsidR="005D16B8" w:rsidRPr="00197564">
                <w:rPr>
                  <w:rStyle w:val="Hyperlink"/>
                  <w:rFonts w:ascii="Garamond" w:hAnsi="Garamond"/>
                  <w:lang w:val="en-AU"/>
                </w:rPr>
                <w:t>https://doi.org/10.1093/intqhc/mzx099</w:t>
              </w:r>
            </w:hyperlink>
          </w:p>
        </w:tc>
      </w:tr>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61269D">
            <w:pPr>
              <w:rPr>
                <w:rFonts w:ascii="Garamond" w:hAnsi="Garamond"/>
                <w:lang w:val="en-AU"/>
              </w:rPr>
            </w:pPr>
            <w:r>
              <w:rPr>
                <w:rFonts w:ascii="Garamond" w:hAnsi="Garamond"/>
                <w:lang w:val="en-AU"/>
              </w:rPr>
              <w:t>Paper reporting on a project undertaken in nine Australian hospitals seeking to improve the management of inadvertent peri-operative hypothermia. This paper focuses less on the intervention and more the approach or model adopted (or more accurately, adapted). The authors discuss taking the models developed by the Institute of Healthcare Improvement and the Johns Hopkins Quality and Safety Group and developing a ‘hybrid model’. This model focused on engaging those most affected by the intervention so as “</w:t>
            </w:r>
            <w:r w:rsidRPr="008B0347">
              <w:rPr>
                <w:rFonts w:ascii="Garamond" w:hAnsi="Garamond"/>
                <w:lang w:val="en-AU"/>
              </w:rPr>
              <w:t>to engage the hearts and minds of healthcare clinicians, and others in order to empower them to make the necessary improvements to enhance patient care quality and safety.</w:t>
            </w:r>
            <w:r>
              <w:rPr>
                <w:rFonts w:ascii="Garamond" w:hAnsi="Garamond"/>
                <w:lang w:val="en-AU"/>
              </w:rPr>
              <w:t>”</w:t>
            </w:r>
            <w:r w:rsidR="0061269D">
              <w:rPr>
                <w:rFonts w:ascii="Garamond" w:hAnsi="Garamond"/>
                <w:lang w:val="en-AU"/>
              </w:rPr>
              <w:t xml:space="preserve"> </w:t>
            </w:r>
            <w:r>
              <w:rPr>
                <w:rFonts w:ascii="Garamond" w:hAnsi="Garamond"/>
                <w:lang w:val="en-AU"/>
              </w:rPr>
              <w:t xml:space="preserve">In a sense this is an example not so much of developing models but being aware of the </w:t>
            </w:r>
            <w:r w:rsidRPr="00CF18F6">
              <w:rPr>
                <w:rFonts w:ascii="Garamond" w:hAnsi="Garamond"/>
                <w:b/>
                <w:lang w:val="en-AU"/>
              </w:rPr>
              <w:t>importance of context</w:t>
            </w:r>
            <w:r>
              <w:rPr>
                <w:rFonts w:ascii="Garamond" w:hAnsi="Garamond"/>
                <w:lang w:val="en-AU"/>
              </w:rPr>
              <w:t>. Transferability is often not so much a case of simply importing a solution but understanding the local context and making adjustments and modifications to suit the local setting.</w:t>
            </w:r>
          </w:p>
        </w:tc>
      </w:tr>
    </w:tbl>
    <w:p w:rsidR="005D16B8" w:rsidRDefault="005D16B8" w:rsidP="005D16B8">
      <w:pPr>
        <w:keepNext/>
        <w:rPr>
          <w:rFonts w:ascii="Garamond" w:hAnsi="Garamond"/>
          <w:i/>
          <w:lang w:val="en-AU"/>
        </w:rPr>
      </w:pPr>
    </w:p>
    <w:p w:rsidR="00BD3B9E" w:rsidRPr="005D16B8" w:rsidRDefault="00BD3B9E" w:rsidP="00BD3B9E">
      <w:pPr>
        <w:keepNext/>
        <w:rPr>
          <w:rFonts w:ascii="Garamond" w:hAnsi="Garamond"/>
          <w:i/>
          <w:lang w:val="en-AU"/>
        </w:rPr>
      </w:pPr>
      <w:r w:rsidRPr="005D16B8">
        <w:rPr>
          <w:rFonts w:ascii="Garamond" w:hAnsi="Garamond"/>
          <w:i/>
          <w:lang w:val="en-AU"/>
        </w:rPr>
        <w:t>High reliability leadership: a conceptual framework</w:t>
      </w:r>
    </w:p>
    <w:p w:rsidR="00BD3B9E" w:rsidRDefault="00BD3B9E" w:rsidP="00BD3B9E">
      <w:pPr>
        <w:keepNext/>
        <w:rPr>
          <w:rFonts w:ascii="Garamond" w:hAnsi="Garamond"/>
          <w:lang w:val="en-AU"/>
        </w:rPr>
      </w:pPr>
      <w:r w:rsidRPr="005C6CB3">
        <w:rPr>
          <w:rFonts w:ascii="Garamond" w:hAnsi="Garamond"/>
          <w:lang w:val="en-AU"/>
        </w:rPr>
        <w:t>Martínez-Córcoles M</w:t>
      </w:r>
    </w:p>
    <w:p w:rsidR="00BD3B9E" w:rsidRPr="00D9161E" w:rsidRDefault="00BD3B9E" w:rsidP="00BD3B9E">
      <w:pPr>
        <w:keepNext/>
        <w:rPr>
          <w:rFonts w:ascii="Garamond" w:hAnsi="Garamond"/>
          <w:lang w:val="en-AU"/>
        </w:rPr>
      </w:pPr>
      <w:r w:rsidRPr="005C6CB3">
        <w:rPr>
          <w:rFonts w:ascii="Garamond" w:hAnsi="Garamond"/>
          <w:lang w:val="en-AU"/>
        </w:rPr>
        <w:t>Journal of Contingencies and Crisis Management. 2017</w:t>
      </w:r>
      <w:r>
        <w:rPr>
          <w:rFonts w:ascii="Garamond" w:hAnsi="Garamond"/>
          <w:lang w:val="en-AU"/>
        </w:rPr>
        <w:t xml:space="preserve"> [epub]</w:t>
      </w:r>
      <w:r w:rsidRPr="005C6CB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D3B9E" w:rsidRPr="00D9161E" w:rsidTr="00C0396D">
        <w:tc>
          <w:tcPr>
            <w:tcW w:w="1080" w:type="dxa"/>
            <w:tcBorders>
              <w:top w:val="single" w:sz="4" w:space="0" w:color="auto"/>
              <w:left w:val="single" w:sz="4" w:space="0" w:color="auto"/>
              <w:bottom w:val="single" w:sz="4" w:space="0" w:color="auto"/>
              <w:right w:val="single" w:sz="4" w:space="0" w:color="auto"/>
            </w:tcBorders>
            <w:vAlign w:val="center"/>
          </w:tcPr>
          <w:p w:rsidR="00BD3B9E" w:rsidRPr="00D9161E" w:rsidRDefault="00BD3B9E" w:rsidP="00C0396D">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D3B9E" w:rsidRPr="00D9161E" w:rsidRDefault="00A3356E" w:rsidP="00C0396D">
            <w:pPr>
              <w:rPr>
                <w:rStyle w:val="Hyperlink"/>
                <w:rFonts w:ascii="Garamond" w:hAnsi="Garamond"/>
                <w:color w:val="auto"/>
                <w:u w:val="none"/>
                <w:lang w:val="en-AU"/>
              </w:rPr>
            </w:pPr>
            <w:hyperlink r:id="rId33" w:history="1">
              <w:r w:rsidR="00BD3B9E" w:rsidRPr="00887045">
                <w:rPr>
                  <w:rStyle w:val="Hyperlink"/>
                  <w:rFonts w:ascii="Garamond" w:hAnsi="Garamond"/>
                  <w:lang w:val="en-AU"/>
                </w:rPr>
                <w:t>http://dx.doi.org/10.1111/1468-5973.12187</w:t>
              </w:r>
            </w:hyperlink>
          </w:p>
        </w:tc>
      </w:tr>
      <w:tr w:rsidR="00BD3B9E" w:rsidRPr="00D9161E" w:rsidTr="00C0396D">
        <w:tc>
          <w:tcPr>
            <w:tcW w:w="1080" w:type="dxa"/>
            <w:tcBorders>
              <w:top w:val="single" w:sz="4" w:space="0" w:color="auto"/>
              <w:left w:val="single" w:sz="4" w:space="0" w:color="auto"/>
              <w:bottom w:val="single" w:sz="4" w:space="0" w:color="auto"/>
              <w:right w:val="single" w:sz="4" w:space="0" w:color="auto"/>
            </w:tcBorders>
            <w:vAlign w:val="center"/>
          </w:tcPr>
          <w:p w:rsidR="00BD3B9E" w:rsidRPr="00D9161E" w:rsidRDefault="00BD3B9E" w:rsidP="00C0396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D3B9E" w:rsidRPr="00D9161E" w:rsidRDefault="00BD3B9E" w:rsidP="00C0396D">
            <w:pPr>
              <w:rPr>
                <w:rFonts w:ascii="Garamond" w:hAnsi="Garamond"/>
                <w:lang w:val="en-AU"/>
              </w:rPr>
            </w:pPr>
            <w:r>
              <w:rPr>
                <w:rFonts w:ascii="Garamond" w:hAnsi="Garamond"/>
                <w:lang w:val="en-AU"/>
              </w:rPr>
              <w:t>The goal of a highly reliable and resilient health system has been discussed for some time. This paper describes a conceptual framework for leadership of high reliability systems (in areas other than health).</w:t>
            </w:r>
          </w:p>
        </w:tc>
      </w:tr>
    </w:tbl>
    <w:p w:rsidR="00BD3B9E" w:rsidRPr="00D9161E" w:rsidRDefault="00BD3B9E" w:rsidP="00BD3B9E">
      <w:pPr>
        <w:keepNext/>
        <w:rPr>
          <w:rFonts w:ascii="Garamond" w:hAnsi="Garamond"/>
          <w:i/>
          <w:lang w:val="en-AU"/>
        </w:rPr>
      </w:pPr>
    </w:p>
    <w:p w:rsidR="00BD3B9E" w:rsidRDefault="00BD3B9E">
      <w:pPr>
        <w:rPr>
          <w:rFonts w:ascii="Garamond" w:hAnsi="Garamond"/>
          <w:i/>
          <w:lang w:val="en-AU"/>
        </w:rPr>
      </w:pPr>
      <w:r>
        <w:rPr>
          <w:rFonts w:ascii="Garamond" w:hAnsi="Garamond"/>
          <w:i/>
          <w:lang w:val="en-AU"/>
        </w:rPr>
        <w:br w:type="page"/>
      </w:r>
    </w:p>
    <w:p w:rsidR="005D16B8" w:rsidRDefault="005D16B8" w:rsidP="005D16B8">
      <w:pPr>
        <w:keepNext/>
        <w:rPr>
          <w:rFonts w:ascii="Garamond" w:hAnsi="Garamond"/>
          <w:i/>
          <w:lang w:val="en-AU"/>
        </w:rPr>
      </w:pPr>
      <w:r w:rsidRPr="005D16B8">
        <w:rPr>
          <w:rFonts w:ascii="Garamond" w:hAnsi="Garamond"/>
          <w:i/>
          <w:lang w:val="en-AU"/>
        </w:rPr>
        <w:lastRenderedPageBreak/>
        <w:t>The relationship between patient safety climate and occupational safety climate in healthcare—a multi-level investigation</w:t>
      </w:r>
    </w:p>
    <w:p w:rsidR="005A35F7" w:rsidRDefault="00FF25D5" w:rsidP="005D16B8">
      <w:pPr>
        <w:keepNext/>
        <w:rPr>
          <w:rFonts w:ascii="Garamond" w:hAnsi="Garamond"/>
          <w:lang w:val="en-AU"/>
        </w:rPr>
      </w:pPr>
      <w:r w:rsidRPr="00FF25D5">
        <w:rPr>
          <w:rFonts w:ascii="Garamond" w:hAnsi="Garamond"/>
          <w:lang w:val="en-AU"/>
        </w:rPr>
        <w:t>Pousette</w:t>
      </w:r>
      <w:r w:rsidR="005A35F7">
        <w:rPr>
          <w:rFonts w:ascii="Garamond" w:hAnsi="Garamond"/>
          <w:lang w:val="en-AU"/>
        </w:rPr>
        <w:t xml:space="preserve"> A, Larsman P, Eklöf M, Törner</w:t>
      </w:r>
    </w:p>
    <w:p w:rsidR="005D16B8" w:rsidRPr="00FF25D5" w:rsidRDefault="00FF25D5" w:rsidP="005D16B8">
      <w:pPr>
        <w:keepNext/>
        <w:rPr>
          <w:rFonts w:ascii="Garamond" w:hAnsi="Garamond"/>
          <w:lang w:val="en-AU"/>
        </w:rPr>
      </w:pPr>
      <w:r w:rsidRPr="00FF25D5">
        <w:rPr>
          <w:rFonts w:ascii="Garamond" w:hAnsi="Garamond"/>
          <w:lang w:val="en-AU"/>
        </w:rPr>
        <w:t>Journal of Safety Research. 2017;61:187-98.</w:t>
      </w:r>
    </w:p>
    <w:tbl>
      <w:tblPr>
        <w:tblStyle w:val="TableGrid"/>
        <w:tblW w:w="0" w:type="auto"/>
        <w:tblInd w:w="288" w:type="dxa"/>
        <w:tblLayout w:type="fixed"/>
        <w:tblLook w:val="01E0" w:firstRow="1" w:lastRow="1" w:firstColumn="1" w:lastColumn="1" w:noHBand="0" w:noVBand="0"/>
      </w:tblPr>
      <w:tblGrid>
        <w:gridCol w:w="1080"/>
        <w:gridCol w:w="8280"/>
      </w:tblGrid>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Pr="00D9161E" w:rsidRDefault="00A3356E" w:rsidP="00FF25D5">
            <w:pPr>
              <w:rPr>
                <w:rStyle w:val="Hyperlink"/>
                <w:rFonts w:ascii="Garamond" w:hAnsi="Garamond"/>
                <w:color w:val="auto"/>
                <w:u w:val="none"/>
                <w:lang w:val="en-AU"/>
              </w:rPr>
            </w:pPr>
            <w:hyperlink r:id="rId34" w:history="1">
              <w:r w:rsidR="00FF25D5" w:rsidRPr="00887045">
                <w:rPr>
                  <w:rStyle w:val="Hyperlink"/>
                  <w:rFonts w:ascii="Garamond" w:hAnsi="Garamond"/>
                  <w:lang w:val="en-AU"/>
                </w:rPr>
                <w:t>http://dx.doi.org/10.1016/j.jsr.2017.02.020</w:t>
              </w:r>
            </w:hyperlink>
          </w:p>
        </w:tc>
      </w:tr>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25D5" w:rsidRPr="00D9161E" w:rsidRDefault="005D16B8" w:rsidP="00BD3B9E">
            <w:pPr>
              <w:rPr>
                <w:rFonts w:ascii="Garamond" w:hAnsi="Garamond"/>
                <w:lang w:val="en-AU"/>
              </w:rPr>
            </w:pPr>
            <w:r>
              <w:rPr>
                <w:rFonts w:ascii="Garamond" w:hAnsi="Garamond"/>
                <w:lang w:val="en-AU"/>
              </w:rPr>
              <w:t>A safe environment can help ensure safety for both patients and the clinical workforce</w:t>
            </w:r>
            <w:r w:rsidR="00FF25D5">
              <w:rPr>
                <w:rFonts w:ascii="Garamond" w:hAnsi="Garamond"/>
                <w:lang w:val="en-AU"/>
              </w:rPr>
              <w:t xml:space="preserve">. This study sought to examine </w:t>
            </w:r>
            <w:r w:rsidR="00FF25D5" w:rsidRPr="00FF25D5">
              <w:rPr>
                <w:rFonts w:ascii="Garamond" w:hAnsi="Garamond"/>
                <w:lang w:val="en-AU"/>
              </w:rPr>
              <w:t xml:space="preserve">the relationship between patient safety climate and occupational safety climate </w:t>
            </w:r>
            <w:r w:rsidR="00FF25D5">
              <w:rPr>
                <w:rFonts w:ascii="Garamond" w:hAnsi="Garamond"/>
                <w:lang w:val="en-AU"/>
              </w:rPr>
              <w:t xml:space="preserve">by surveying </w:t>
            </w:r>
            <w:r w:rsidR="00FF25D5" w:rsidRPr="00FF25D5">
              <w:rPr>
                <w:rFonts w:ascii="Garamond" w:hAnsi="Garamond"/>
                <w:lang w:val="en-AU"/>
              </w:rPr>
              <w:t>1154 nurses, 886 assistant nurses, and 324 physicians, organized in 150 work units, within hospitals (117 units), primary healthcare (5 units) and elderly care (28 units) in Sweden</w:t>
            </w:r>
            <w:r w:rsidR="00BD3B9E">
              <w:rPr>
                <w:rFonts w:ascii="Garamond" w:hAnsi="Garamond"/>
                <w:lang w:val="en-AU"/>
              </w:rPr>
              <w:t xml:space="preserve">. </w:t>
            </w:r>
            <w:r w:rsidR="00FF25D5">
              <w:rPr>
                <w:rFonts w:ascii="Garamond" w:hAnsi="Garamond"/>
                <w:lang w:val="en-AU"/>
              </w:rPr>
              <w:t>From their analyses, the authors found that</w:t>
            </w:r>
            <w:r w:rsidR="00FF25D5" w:rsidRPr="00FF25D5">
              <w:rPr>
                <w:rFonts w:ascii="Garamond" w:hAnsi="Garamond"/>
                <w:b/>
                <w:lang w:val="en-AU"/>
              </w:rPr>
              <w:t xml:space="preserve"> patient safety climate and occupational safety climate were “strongly positively related at the unit level”</w:t>
            </w:r>
            <w:r w:rsidR="00FF25D5">
              <w:rPr>
                <w:rFonts w:ascii="Garamond" w:hAnsi="Garamond"/>
                <w:lang w:val="en-AU"/>
              </w:rPr>
              <w:t xml:space="preserve"> and believe that “</w:t>
            </w:r>
            <w:r w:rsidR="00FF25D5" w:rsidRPr="00FF25D5">
              <w:rPr>
                <w:rFonts w:ascii="Garamond" w:hAnsi="Garamond"/>
                <w:lang w:val="en-AU"/>
              </w:rPr>
              <w:t>Safety improvement interventions should be planned so that both patient safety and staff safety are considered concomitantly</w:t>
            </w:r>
            <w:r w:rsidR="00FF25D5">
              <w:rPr>
                <w:rFonts w:ascii="Garamond" w:hAnsi="Garamond"/>
                <w:lang w:val="en-AU"/>
              </w:rPr>
              <w:t>.”</w:t>
            </w:r>
          </w:p>
        </w:tc>
      </w:tr>
    </w:tbl>
    <w:p w:rsidR="00BD3B9E" w:rsidRDefault="00BD3B9E" w:rsidP="00CF18F6">
      <w:pPr>
        <w:keepNext/>
        <w:rPr>
          <w:rFonts w:ascii="Garamond" w:hAnsi="Garamond"/>
          <w:i/>
          <w:lang w:val="en-AU"/>
        </w:rPr>
      </w:pPr>
    </w:p>
    <w:p w:rsidR="00CF18F6" w:rsidRDefault="00CF18F6" w:rsidP="00CF18F6">
      <w:pPr>
        <w:keepNext/>
        <w:rPr>
          <w:rFonts w:ascii="Garamond" w:hAnsi="Garamond"/>
          <w:i/>
          <w:lang w:val="en-AU"/>
        </w:rPr>
      </w:pPr>
      <w:r w:rsidRPr="00CF18F6">
        <w:rPr>
          <w:rFonts w:ascii="Garamond" w:hAnsi="Garamond"/>
          <w:i/>
          <w:lang w:val="en-AU"/>
        </w:rPr>
        <w:t>Mapping the drivers of overdiagnosis to potential solutions</w:t>
      </w:r>
    </w:p>
    <w:p w:rsidR="00CF18F6" w:rsidRPr="00CF18F6" w:rsidRDefault="00CF18F6" w:rsidP="00137F18">
      <w:pPr>
        <w:keepNext/>
        <w:rPr>
          <w:rFonts w:ascii="Garamond" w:hAnsi="Garamond"/>
          <w:lang w:val="en-AU"/>
        </w:rPr>
      </w:pPr>
      <w:r w:rsidRPr="00CF18F6">
        <w:rPr>
          <w:rFonts w:ascii="Garamond" w:hAnsi="Garamond"/>
          <w:lang w:val="en-AU"/>
        </w:rPr>
        <w:t>Pathirana T, Clark J, Moynihan R</w:t>
      </w:r>
    </w:p>
    <w:p w:rsidR="00CF18F6" w:rsidRPr="00CF18F6" w:rsidRDefault="00CF18F6" w:rsidP="00137F18">
      <w:pPr>
        <w:keepNext/>
        <w:rPr>
          <w:rFonts w:ascii="Garamond" w:hAnsi="Garamond"/>
          <w:lang w:val="en-AU"/>
        </w:rPr>
      </w:pPr>
      <w:r w:rsidRPr="00CF18F6">
        <w:rPr>
          <w:rFonts w:ascii="Garamond" w:hAnsi="Garamond"/>
          <w:lang w:val="en-AU"/>
        </w:rPr>
        <w:t>BMJ. 2017;358</w:t>
      </w:r>
      <w:r>
        <w:rPr>
          <w:rFonts w:ascii="Garamond" w:hAnsi="Garamond"/>
          <w:lang w:val="en-AU"/>
        </w:rPr>
        <w:t>:j3879</w:t>
      </w:r>
      <w:r w:rsidRPr="00CF18F6">
        <w:rPr>
          <w:rFonts w:ascii="Garamond" w:hAnsi="Garamond"/>
          <w:lang w:val="en-AU"/>
        </w:rPr>
        <w:t>.</w:t>
      </w:r>
    </w:p>
    <w:p w:rsidR="00CF18F6" w:rsidRDefault="00CF18F6" w:rsidP="00137F18">
      <w:pPr>
        <w:keepNext/>
        <w:rPr>
          <w:rFonts w:ascii="Garamond" w:hAnsi="Garamond"/>
          <w:i/>
          <w:lang w:val="en-AU"/>
        </w:rPr>
      </w:pPr>
    </w:p>
    <w:p w:rsidR="00137F18" w:rsidRPr="00137F18" w:rsidRDefault="00137F18" w:rsidP="00137F18">
      <w:pPr>
        <w:keepNext/>
        <w:rPr>
          <w:rFonts w:ascii="Garamond" w:hAnsi="Garamond"/>
          <w:i/>
          <w:lang w:val="en-AU"/>
        </w:rPr>
      </w:pPr>
      <w:r w:rsidRPr="00137F18">
        <w:rPr>
          <w:rFonts w:ascii="Garamond" w:hAnsi="Garamond"/>
          <w:i/>
          <w:lang w:val="en-AU"/>
        </w:rPr>
        <w:t>Overdiagnosis, ethics, and trolley problems: why factors other than outcomes matter—an essay by Stacy Carter</w:t>
      </w:r>
    </w:p>
    <w:p w:rsidR="00137F18" w:rsidRDefault="00137F18" w:rsidP="0031178E">
      <w:pPr>
        <w:keepNext/>
        <w:rPr>
          <w:rFonts w:ascii="Garamond" w:hAnsi="Garamond"/>
          <w:lang w:val="en-AU"/>
        </w:rPr>
      </w:pPr>
      <w:r w:rsidRPr="00137F18">
        <w:rPr>
          <w:rFonts w:ascii="Garamond" w:hAnsi="Garamond"/>
          <w:lang w:val="en-AU"/>
        </w:rPr>
        <w:t>Carter SM</w:t>
      </w:r>
    </w:p>
    <w:p w:rsidR="005D16B8" w:rsidRDefault="00137F18" w:rsidP="0031178E">
      <w:pPr>
        <w:keepNext/>
        <w:rPr>
          <w:rFonts w:ascii="Garamond" w:hAnsi="Garamond"/>
          <w:lang w:val="en-AU"/>
        </w:rPr>
      </w:pPr>
      <w:r w:rsidRPr="00137F18">
        <w:rPr>
          <w:rFonts w:ascii="Garamond" w:hAnsi="Garamond"/>
          <w:lang w:val="en-AU"/>
        </w:rPr>
        <w:t>BMJ. 2017;358</w:t>
      </w:r>
      <w:r>
        <w:rPr>
          <w:rFonts w:ascii="Garamond" w:hAnsi="Garamond"/>
          <w:lang w:val="en-AU"/>
        </w:rPr>
        <w:t>:</w:t>
      </w:r>
      <w:r w:rsidRPr="00137F18">
        <w:t xml:space="preserve"> </w:t>
      </w:r>
      <w:r w:rsidRPr="00137F18">
        <w:rPr>
          <w:rFonts w:ascii="Garamond" w:hAnsi="Garamond"/>
          <w:lang w:val="en-AU"/>
        </w:rPr>
        <w:t>j3872.</w:t>
      </w:r>
      <w:r>
        <w:rPr>
          <w:rFonts w:ascii="Garamond" w:hAnsi="Garamond"/>
          <w:lang w:val="en-AU"/>
        </w:rPr>
        <w:t xml:space="preserve"> </w:t>
      </w:r>
    </w:p>
    <w:tbl>
      <w:tblPr>
        <w:tblStyle w:val="TableGrid"/>
        <w:tblW w:w="0" w:type="auto"/>
        <w:tblInd w:w="288" w:type="dxa"/>
        <w:tblLayout w:type="fixed"/>
        <w:tblLook w:val="01E0" w:firstRow="1" w:lastRow="1" w:firstColumn="1" w:lastColumn="1" w:noHBand="0" w:noVBand="0"/>
      </w:tblPr>
      <w:tblGrid>
        <w:gridCol w:w="1080"/>
        <w:gridCol w:w="8280"/>
      </w:tblGrid>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Default="00FF25D5" w:rsidP="00FF25D5">
            <w:pPr>
              <w:rPr>
                <w:rStyle w:val="Hyperlink"/>
                <w:rFonts w:ascii="Garamond" w:hAnsi="Garamond"/>
                <w:lang w:val="en-AU"/>
              </w:rPr>
            </w:pPr>
            <w:r w:rsidRPr="00FF25D5">
              <w:rPr>
                <w:rFonts w:ascii="Garamond" w:hAnsi="Garamond"/>
              </w:rPr>
              <w:t xml:space="preserve">Carter </w:t>
            </w:r>
            <w:hyperlink r:id="rId35" w:history="1">
              <w:r w:rsidR="00137F18" w:rsidRPr="00707B0A">
                <w:rPr>
                  <w:rStyle w:val="Hyperlink"/>
                  <w:rFonts w:ascii="Garamond" w:hAnsi="Garamond"/>
                  <w:lang w:val="en-AU"/>
                </w:rPr>
                <w:t>https://doi.org/10.1136/bmj.j3872</w:t>
              </w:r>
            </w:hyperlink>
          </w:p>
          <w:p w:rsidR="00FF25D5" w:rsidRPr="00D9161E" w:rsidRDefault="00FF25D5" w:rsidP="00FF25D5">
            <w:pPr>
              <w:rPr>
                <w:rStyle w:val="Hyperlink"/>
                <w:rFonts w:ascii="Garamond" w:hAnsi="Garamond"/>
                <w:color w:val="auto"/>
                <w:u w:val="none"/>
                <w:lang w:val="en-AU"/>
              </w:rPr>
            </w:pPr>
            <w:r w:rsidRPr="00FF25D5">
              <w:rPr>
                <w:rStyle w:val="Hyperlink"/>
                <w:rFonts w:ascii="Garamond" w:hAnsi="Garamond"/>
                <w:color w:val="auto"/>
                <w:u w:val="none"/>
                <w:lang w:val="en-AU"/>
              </w:rPr>
              <w:t>Pathirana</w:t>
            </w:r>
            <w:r>
              <w:rPr>
                <w:rStyle w:val="Hyperlink"/>
                <w:rFonts w:ascii="Garamond" w:hAnsi="Garamond"/>
                <w:color w:val="auto"/>
                <w:u w:val="none"/>
                <w:lang w:val="en-AU"/>
              </w:rPr>
              <w:t xml:space="preserve"> et al </w:t>
            </w:r>
            <w:hyperlink r:id="rId36" w:history="1">
              <w:r w:rsidRPr="00887045">
                <w:rPr>
                  <w:rStyle w:val="Hyperlink"/>
                  <w:rFonts w:ascii="Garamond" w:hAnsi="Garamond"/>
                  <w:lang w:val="en-AU"/>
                </w:rPr>
                <w:t>https://doi.org/10.1136/bmj.j3879</w:t>
              </w:r>
            </w:hyperlink>
          </w:p>
        </w:tc>
      </w:tr>
      <w:tr w:rsidR="005D16B8"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5D16B8" w:rsidRPr="00D9161E" w:rsidRDefault="005D16B8"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16B8" w:rsidRDefault="00FF25D5" w:rsidP="00FF25D5">
            <w:pPr>
              <w:rPr>
                <w:rFonts w:ascii="Garamond" w:hAnsi="Garamond"/>
                <w:lang w:val="en-AU"/>
              </w:rPr>
            </w:pPr>
            <w:r>
              <w:rPr>
                <w:rFonts w:ascii="Garamond" w:hAnsi="Garamond"/>
                <w:lang w:val="en-AU"/>
              </w:rPr>
              <w:t>A pair of items published in the last few days by the BMJ looking at aspects of overdiagnosis.</w:t>
            </w:r>
          </w:p>
          <w:p w:rsidR="0061269D" w:rsidRDefault="0061269D" w:rsidP="0061269D">
            <w:pPr>
              <w:rPr>
                <w:rStyle w:val="Hyperlink"/>
                <w:rFonts w:ascii="Garamond" w:hAnsi="Garamond"/>
                <w:color w:val="auto"/>
                <w:u w:val="none"/>
                <w:lang w:val="en-AU"/>
              </w:rPr>
            </w:pPr>
            <w:r w:rsidRPr="00FF25D5">
              <w:rPr>
                <w:rStyle w:val="Hyperlink"/>
                <w:rFonts w:ascii="Garamond" w:hAnsi="Garamond"/>
                <w:color w:val="auto"/>
                <w:u w:val="none"/>
                <w:lang w:val="en-AU"/>
              </w:rPr>
              <w:t>Pathirana</w:t>
            </w:r>
            <w:r>
              <w:rPr>
                <w:rStyle w:val="Hyperlink"/>
                <w:rFonts w:ascii="Garamond" w:hAnsi="Garamond"/>
                <w:color w:val="auto"/>
                <w:u w:val="none"/>
                <w:lang w:val="en-AU"/>
              </w:rPr>
              <w:t xml:space="preserve"> and colleagues describe the issue of overdiagnosis (AKA ‘too much medicine’) and possible strategies to address it. They suggest that the drivers – and possible solutions – “</w:t>
            </w:r>
            <w:r w:rsidRPr="0061269D">
              <w:rPr>
                <w:rStyle w:val="Hyperlink"/>
                <w:rFonts w:ascii="Garamond" w:hAnsi="Garamond"/>
                <w:color w:val="auto"/>
                <w:u w:val="none"/>
                <w:lang w:val="en-AU"/>
              </w:rPr>
              <w:t>arise across five inter-related domains: culture, the health system, industry and technology,</w:t>
            </w:r>
            <w:r>
              <w:rPr>
                <w:rStyle w:val="Hyperlink"/>
                <w:rFonts w:ascii="Garamond" w:hAnsi="Garamond"/>
                <w:color w:val="auto"/>
                <w:u w:val="none"/>
                <w:lang w:val="en-AU"/>
              </w:rPr>
              <w:t xml:space="preserve"> </w:t>
            </w:r>
            <w:r w:rsidRPr="0061269D">
              <w:rPr>
                <w:rStyle w:val="Hyperlink"/>
                <w:rFonts w:ascii="Garamond" w:hAnsi="Garamond"/>
                <w:color w:val="auto"/>
                <w:u w:val="none"/>
                <w:lang w:val="en-AU"/>
              </w:rPr>
              <w:t>healthcare professionals, and patients and the public</w:t>
            </w:r>
            <w:r>
              <w:rPr>
                <w:rStyle w:val="Hyperlink"/>
                <w:rFonts w:ascii="Garamond" w:hAnsi="Garamond"/>
                <w:color w:val="auto"/>
                <w:u w:val="none"/>
                <w:lang w:val="en-AU"/>
              </w:rPr>
              <w:t>.” They consider information and education is the “</w:t>
            </w:r>
            <w:r w:rsidRPr="0061269D">
              <w:rPr>
                <w:rStyle w:val="Hyperlink"/>
                <w:rFonts w:ascii="Garamond" w:hAnsi="Garamond"/>
                <w:color w:val="auto"/>
                <w:u w:val="none"/>
                <w:lang w:val="en-AU"/>
              </w:rPr>
              <w:t>most urgent</w:t>
            </w:r>
            <w:r>
              <w:rPr>
                <w:rStyle w:val="Hyperlink"/>
                <w:rFonts w:ascii="Garamond" w:hAnsi="Garamond"/>
                <w:color w:val="auto"/>
                <w:u w:val="none"/>
                <w:lang w:val="en-AU"/>
              </w:rPr>
              <w:t xml:space="preserve"> </w:t>
            </w:r>
            <w:r w:rsidRPr="0061269D">
              <w:rPr>
                <w:rStyle w:val="Hyperlink"/>
                <w:rFonts w:ascii="Garamond" w:hAnsi="Garamond"/>
                <w:color w:val="auto"/>
                <w:u w:val="none"/>
                <w:lang w:val="en-AU"/>
              </w:rPr>
              <w:t>need</w:t>
            </w:r>
            <w:r>
              <w:rPr>
                <w:rStyle w:val="Hyperlink"/>
                <w:rFonts w:ascii="Garamond" w:hAnsi="Garamond"/>
                <w:color w:val="auto"/>
                <w:u w:val="none"/>
                <w:lang w:val="en-AU"/>
              </w:rPr>
              <w:t>” and that we need “</w:t>
            </w:r>
            <w:r w:rsidRPr="0061269D">
              <w:rPr>
                <w:rStyle w:val="Hyperlink"/>
                <w:rFonts w:ascii="Garamond" w:hAnsi="Garamond"/>
                <w:color w:val="auto"/>
                <w:u w:val="none"/>
                <w:lang w:val="en-AU"/>
              </w:rPr>
              <w:t>to generate accessible evidence based information and</w:t>
            </w:r>
            <w:r>
              <w:rPr>
                <w:rStyle w:val="Hyperlink"/>
                <w:rFonts w:ascii="Garamond" w:hAnsi="Garamond"/>
                <w:color w:val="auto"/>
                <w:u w:val="none"/>
                <w:lang w:val="en-AU"/>
              </w:rPr>
              <w:t xml:space="preserve"> </w:t>
            </w:r>
            <w:r w:rsidRPr="0061269D">
              <w:rPr>
                <w:rStyle w:val="Hyperlink"/>
                <w:rFonts w:ascii="Garamond" w:hAnsi="Garamond"/>
                <w:color w:val="auto"/>
                <w:u w:val="none"/>
                <w:lang w:val="en-AU"/>
              </w:rPr>
              <w:t>educational materials about overdiagnosis for the public,</w:t>
            </w:r>
            <w:r>
              <w:rPr>
                <w:rStyle w:val="Hyperlink"/>
                <w:rFonts w:ascii="Garamond" w:hAnsi="Garamond"/>
                <w:color w:val="auto"/>
                <w:u w:val="none"/>
                <w:lang w:val="en-AU"/>
              </w:rPr>
              <w:t xml:space="preserve"> </w:t>
            </w:r>
            <w:r w:rsidRPr="0061269D">
              <w:rPr>
                <w:rStyle w:val="Hyperlink"/>
                <w:rFonts w:ascii="Garamond" w:hAnsi="Garamond"/>
                <w:color w:val="auto"/>
                <w:u w:val="none"/>
                <w:lang w:val="en-AU"/>
              </w:rPr>
              <w:t>professionals, and decision makers—both general information</w:t>
            </w:r>
            <w:r>
              <w:rPr>
                <w:rStyle w:val="Hyperlink"/>
                <w:rFonts w:ascii="Garamond" w:hAnsi="Garamond"/>
                <w:color w:val="auto"/>
                <w:u w:val="none"/>
                <w:lang w:val="en-AU"/>
              </w:rPr>
              <w:t xml:space="preserve"> </w:t>
            </w:r>
            <w:r w:rsidRPr="0061269D">
              <w:rPr>
                <w:rStyle w:val="Hyperlink"/>
                <w:rFonts w:ascii="Garamond" w:hAnsi="Garamond"/>
                <w:color w:val="auto"/>
                <w:u w:val="none"/>
                <w:lang w:val="en-AU"/>
              </w:rPr>
              <w:t>and condition specific.</w:t>
            </w:r>
            <w:r>
              <w:rPr>
                <w:rStyle w:val="Hyperlink"/>
                <w:rFonts w:ascii="Garamond" w:hAnsi="Garamond"/>
                <w:color w:val="auto"/>
                <w:u w:val="none"/>
                <w:lang w:val="en-AU"/>
              </w:rPr>
              <w:t>”</w:t>
            </w:r>
          </w:p>
          <w:p w:rsidR="0061269D" w:rsidRDefault="0061269D" w:rsidP="0061269D">
            <w:pPr>
              <w:rPr>
                <w:rStyle w:val="Hyperlink"/>
                <w:rFonts w:ascii="Garamond" w:hAnsi="Garamond"/>
                <w:color w:val="auto"/>
                <w:u w:val="none"/>
                <w:lang w:val="en-AU"/>
              </w:rPr>
            </w:pPr>
            <w:r>
              <w:rPr>
                <w:rStyle w:val="Hyperlink"/>
                <w:rFonts w:ascii="Garamond" w:hAnsi="Garamond"/>
                <w:color w:val="auto"/>
                <w:u w:val="none"/>
                <w:lang w:val="en-AU"/>
              </w:rPr>
              <w:t>Carter takes a more philosophical approach in examining how different views on the issue emerge and influence our thinking. Her key messages include that:</w:t>
            </w:r>
          </w:p>
          <w:p w:rsidR="0061269D" w:rsidRPr="0061269D" w:rsidRDefault="0061269D" w:rsidP="0061269D">
            <w:pPr>
              <w:pStyle w:val="ListParagraph"/>
              <w:numPr>
                <w:ilvl w:val="0"/>
                <w:numId w:val="33"/>
              </w:numPr>
              <w:rPr>
                <w:rFonts w:ascii="Garamond" w:hAnsi="Garamond"/>
                <w:lang w:val="en-AU"/>
              </w:rPr>
            </w:pPr>
            <w:r w:rsidRPr="0061269D">
              <w:rPr>
                <w:rFonts w:ascii="Garamond" w:hAnsi="Garamond"/>
                <w:lang w:val="en-AU"/>
              </w:rPr>
              <w:t>Overdiagnosis occurs because the standards in healthcare systems are set at the wrong point—excessive screening targets, a condition too broadly defined, a diagnostic threshold set too low. If the problem is with the system, perhaps we should not expect individual clinicians or patients to fix it, even if armed with better information</w:t>
            </w:r>
            <w:r>
              <w:rPr>
                <w:rFonts w:ascii="Garamond" w:hAnsi="Garamond"/>
                <w:lang w:val="en-AU"/>
              </w:rPr>
              <w:t>.</w:t>
            </w:r>
          </w:p>
          <w:p w:rsidR="0061269D" w:rsidRDefault="0061269D" w:rsidP="0061269D">
            <w:pPr>
              <w:pStyle w:val="ListParagraph"/>
              <w:numPr>
                <w:ilvl w:val="0"/>
                <w:numId w:val="33"/>
              </w:numPr>
              <w:rPr>
                <w:rFonts w:ascii="Garamond" w:hAnsi="Garamond"/>
                <w:lang w:val="en-AU"/>
              </w:rPr>
            </w:pPr>
            <w:r w:rsidRPr="0061269D">
              <w:rPr>
                <w:rFonts w:ascii="Garamond" w:hAnsi="Garamond"/>
                <w:lang w:val="en-AU"/>
              </w:rPr>
              <w:t>Decision makers may stop a screening programme, or move a diagnostic boundary, to improve outcomes overall. But a few people are likely to be worse off as a result, and the new policy may seem to disregard their suffering</w:t>
            </w:r>
            <w:r>
              <w:rPr>
                <w:rFonts w:ascii="Garamond" w:hAnsi="Garamond"/>
                <w:lang w:val="en-AU"/>
              </w:rPr>
              <w:t>.</w:t>
            </w:r>
          </w:p>
          <w:p w:rsidR="0061269D" w:rsidRPr="00D9161E" w:rsidRDefault="0061269D" w:rsidP="0061269D">
            <w:pPr>
              <w:pStyle w:val="ListParagraph"/>
              <w:numPr>
                <w:ilvl w:val="0"/>
                <w:numId w:val="33"/>
              </w:numPr>
              <w:rPr>
                <w:rFonts w:ascii="Garamond" w:hAnsi="Garamond"/>
                <w:lang w:val="en-AU"/>
              </w:rPr>
            </w:pPr>
            <w:r w:rsidRPr="0061269D">
              <w:rPr>
                <w:rFonts w:ascii="Garamond" w:hAnsi="Garamond"/>
                <w:lang w:val="en-AU"/>
              </w:rPr>
              <w:t>Decision-makers should not just focus on overall utility but also publicly acknowledge that a minority might be worse off and communicate how they will be cared for</w:t>
            </w:r>
            <w:r>
              <w:rPr>
                <w:rFonts w:ascii="Garamond" w:hAnsi="Garamond"/>
                <w:lang w:val="en-AU"/>
              </w:rPr>
              <w:t>.</w:t>
            </w:r>
          </w:p>
        </w:tc>
      </w:tr>
    </w:tbl>
    <w:p w:rsidR="00FF25D5" w:rsidRDefault="00FF25D5" w:rsidP="00FF25D5">
      <w:pPr>
        <w:keepNext/>
        <w:rPr>
          <w:rFonts w:ascii="Garamond" w:hAnsi="Garamond"/>
          <w:i/>
          <w:lang w:val="en-AU"/>
        </w:rPr>
      </w:pPr>
    </w:p>
    <w:p w:rsidR="00BD3B9E" w:rsidRDefault="00BD3B9E">
      <w:pPr>
        <w:rPr>
          <w:rFonts w:ascii="Garamond" w:hAnsi="Garamond"/>
          <w:i/>
          <w:lang w:val="en-AU"/>
        </w:rPr>
      </w:pPr>
      <w:r>
        <w:rPr>
          <w:rFonts w:ascii="Garamond" w:hAnsi="Garamond"/>
          <w:i/>
          <w:lang w:val="en-AU"/>
        </w:rPr>
        <w:br w:type="page"/>
      </w:r>
    </w:p>
    <w:p w:rsidR="00211F0A" w:rsidRDefault="00211F0A" w:rsidP="00FB064D">
      <w:pPr>
        <w:rPr>
          <w:rFonts w:ascii="Garamond" w:hAnsi="Garamond"/>
          <w:i/>
          <w:lang w:val="en-AU"/>
        </w:rPr>
      </w:pPr>
      <w:r w:rsidRPr="00211F0A">
        <w:rPr>
          <w:rFonts w:ascii="Garamond" w:hAnsi="Garamond"/>
          <w:i/>
          <w:lang w:val="en-AU"/>
        </w:rPr>
        <w:lastRenderedPageBreak/>
        <w:t>Healthcare Quarterly</w:t>
      </w:r>
    </w:p>
    <w:p w:rsidR="00211F0A" w:rsidRPr="00211F0A" w:rsidRDefault="00211F0A" w:rsidP="00FB064D">
      <w:pPr>
        <w:rPr>
          <w:rFonts w:ascii="Garamond" w:hAnsi="Garamond"/>
          <w:lang w:val="en-AU"/>
        </w:rPr>
      </w:pPr>
      <w:r w:rsidRPr="00211F0A">
        <w:rPr>
          <w:rFonts w:ascii="Garamond" w:hAnsi="Garamond"/>
          <w:lang w:val="en-AU"/>
        </w:rPr>
        <w:t>Vol. 20 No. 2, 2017</w:t>
      </w:r>
    </w:p>
    <w:tbl>
      <w:tblPr>
        <w:tblStyle w:val="TableGrid"/>
        <w:tblW w:w="0" w:type="auto"/>
        <w:tblInd w:w="288" w:type="dxa"/>
        <w:tblLayout w:type="fixed"/>
        <w:tblLook w:val="01E0" w:firstRow="1" w:lastRow="1" w:firstColumn="1" w:lastColumn="1" w:noHBand="0" w:noVBand="0"/>
      </w:tblPr>
      <w:tblGrid>
        <w:gridCol w:w="1080"/>
        <w:gridCol w:w="8280"/>
      </w:tblGrid>
      <w:tr w:rsidR="00211F0A"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211F0A" w:rsidRPr="00D9161E" w:rsidRDefault="00211F0A" w:rsidP="00FF25D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11F0A" w:rsidRPr="00D9161E" w:rsidRDefault="00A3356E" w:rsidP="00FF25D5">
            <w:pPr>
              <w:rPr>
                <w:rStyle w:val="Hyperlink"/>
                <w:rFonts w:ascii="Garamond" w:hAnsi="Garamond"/>
                <w:color w:val="auto"/>
                <w:u w:val="none"/>
                <w:lang w:val="en-AU"/>
              </w:rPr>
            </w:pPr>
            <w:hyperlink r:id="rId37" w:history="1">
              <w:r w:rsidR="00211F0A" w:rsidRPr="00887045">
                <w:rPr>
                  <w:rStyle w:val="Hyperlink"/>
                  <w:rFonts w:ascii="Garamond" w:hAnsi="Garamond"/>
                  <w:lang w:val="en-AU"/>
                </w:rPr>
                <w:t>http://www.longwoods.com/publications/healthcare-quarterly/25217</w:t>
              </w:r>
            </w:hyperlink>
          </w:p>
        </w:tc>
      </w:tr>
      <w:tr w:rsidR="00211F0A"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211F0A" w:rsidRPr="00D9161E" w:rsidRDefault="00211F0A"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1F0A" w:rsidRDefault="00211F0A" w:rsidP="00211F0A">
            <w:pPr>
              <w:rPr>
                <w:rFonts w:ascii="Garamond" w:hAnsi="Garamond"/>
                <w:lang w:val="en-AU"/>
              </w:rPr>
            </w:pPr>
            <w:r w:rsidRPr="00211F0A">
              <w:rPr>
                <w:rFonts w:ascii="Garamond" w:hAnsi="Garamond"/>
                <w:lang w:val="en-AU"/>
              </w:rPr>
              <w:t xml:space="preserve">A new issue of </w:t>
            </w:r>
            <w:r w:rsidRPr="00211F0A">
              <w:rPr>
                <w:rFonts w:ascii="Garamond" w:hAnsi="Garamond"/>
                <w:i/>
                <w:lang w:val="en-AU"/>
              </w:rPr>
              <w:t>Healthcare Quarterly</w:t>
            </w:r>
            <w:r w:rsidRPr="00211F0A">
              <w:rPr>
                <w:rFonts w:ascii="Garamond" w:hAnsi="Garamond"/>
                <w:lang w:val="en-AU"/>
              </w:rPr>
              <w:t xml:space="preserve"> has been published. Articles in this issue of </w:t>
            </w:r>
            <w:r w:rsidRPr="00211F0A">
              <w:rPr>
                <w:rFonts w:ascii="Garamond" w:hAnsi="Garamond"/>
                <w:i/>
                <w:lang w:val="en-AU"/>
              </w:rPr>
              <w:t>Healthcare Quarterly</w:t>
            </w:r>
            <w:r w:rsidRPr="00211F0A">
              <w:rPr>
                <w:rFonts w:ascii="Garamond" w:hAnsi="Garamond"/>
                <w:lang w:val="en-AU"/>
              </w:rPr>
              <w:t xml:space="preserve"> include:</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The </w:t>
            </w:r>
            <w:r w:rsidRPr="00211F0A">
              <w:rPr>
                <w:rFonts w:ascii="Garamond" w:hAnsi="Garamond"/>
                <w:b/>
                <w:lang w:val="en-AU"/>
              </w:rPr>
              <w:t>Delivery of Palliative and End-of-Life Care</w:t>
            </w:r>
            <w:r w:rsidRPr="00211F0A">
              <w:rPr>
                <w:rFonts w:ascii="Garamond" w:hAnsi="Garamond"/>
                <w:lang w:val="en-AU"/>
              </w:rPr>
              <w:t xml:space="preserve"> in Ontario (Amy T Hsu and Peter Tanuseputro</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New Tools for </w:t>
            </w:r>
            <w:r w:rsidRPr="00211F0A">
              <w:rPr>
                <w:rFonts w:ascii="Garamond" w:hAnsi="Garamond"/>
                <w:b/>
                <w:lang w:val="en-AU"/>
              </w:rPr>
              <w:t>Measuring and Improving Patient Safety</w:t>
            </w:r>
            <w:r w:rsidRPr="00211F0A">
              <w:rPr>
                <w:rFonts w:ascii="Garamond" w:hAnsi="Garamond"/>
                <w:lang w:val="en-AU"/>
              </w:rPr>
              <w:t xml:space="preserve"> in Canadian </w:t>
            </w:r>
            <w:r w:rsidRPr="00211F0A">
              <w:rPr>
                <w:rFonts w:ascii="Garamond" w:hAnsi="Garamond"/>
                <w:b/>
                <w:lang w:val="en-AU"/>
              </w:rPr>
              <w:t>Hospitals</w:t>
            </w:r>
            <w:r w:rsidRPr="00211F0A">
              <w:rPr>
                <w:rFonts w:ascii="Garamond" w:hAnsi="Garamond"/>
                <w:lang w:val="en-AU"/>
              </w:rPr>
              <w:t xml:space="preserve"> (Jennifer D'Silva, Joseph Emmanuel Amuah, Vanessa Sovran, Anne MacLaurin, Jennifer Rodgers, Tracy Johnson, Kira Leeb and S Kossey</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Public and Professional Insights on </w:t>
            </w:r>
            <w:r w:rsidRPr="00211F0A">
              <w:rPr>
                <w:rFonts w:ascii="Garamond" w:hAnsi="Garamond"/>
                <w:b/>
                <w:lang w:val="en-AU"/>
              </w:rPr>
              <w:t>End-of-Life Care</w:t>
            </w:r>
            <w:r w:rsidRPr="00211F0A">
              <w:rPr>
                <w:rFonts w:ascii="Garamond" w:hAnsi="Garamond"/>
                <w:lang w:val="en-AU"/>
              </w:rPr>
              <w:t>: Results of the 2016 Health Care in Canada Survey (Terrence Montague, Joanna Nemis-White, John Aylen, Sara Ahmed, Sharon Baxter, L Martin, O Adams and A Gogovor</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b/>
                <w:lang w:val="en-AU"/>
              </w:rPr>
              <w:t>Second Medical Opinions in End-of-Life Disputes</w:t>
            </w:r>
            <w:r w:rsidRPr="00211F0A">
              <w:rPr>
                <w:rFonts w:ascii="Garamond" w:hAnsi="Garamond"/>
                <w:lang w:val="en-AU"/>
              </w:rPr>
              <w:t xml:space="preserve"> in Critical Care: An Ethics-Based Approach (Sally Bean, Phil Shin, B Henry and B H Cuthbertson</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A Survey of </w:t>
            </w:r>
            <w:r w:rsidRPr="00211F0A">
              <w:rPr>
                <w:rFonts w:ascii="Garamond" w:hAnsi="Garamond"/>
                <w:b/>
                <w:lang w:val="en-AU"/>
              </w:rPr>
              <w:t>Hospital Ethics Structures</w:t>
            </w:r>
            <w:r w:rsidRPr="00211F0A">
              <w:rPr>
                <w:rFonts w:ascii="Garamond" w:hAnsi="Garamond"/>
                <w:lang w:val="en-AU"/>
              </w:rPr>
              <w:t xml:space="preserve"> in Ontario (Jonathan Breslin</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Persistent and Non-Persistent </w:t>
            </w:r>
            <w:r w:rsidRPr="00211F0A">
              <w:rPr>
                <w:rFonts w:ascii="Garamond" w:hAnsi="Garamond"/>
                <w:b/>
                <w:lang w:val="en-AU"/>
              </w:rPr>
              <w:t>High-users of Acute Care Resources</w:t>
            </w:r>
            <w:r w:rsidRPr="00211F0A">
              <w:rPr>
                <w:rFonts w:ascii="Garamond" w:hAnsi="Garamond"/>
                <w:lang w:val="en-AU"/>
              </w:rPr>
              <w:t>: A Deeper Dive into the Patient and System Factors (Arpita Gantayet, Michelle Ang, Xingshan Cao and Ilana Halperin</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Six Change Ideas that Significantly Minimize </w:t>
            </w:r>
            <w:r w:rsidRPr="00211F0A">
              <w:rPr>
                <w:rFonts w:ascii="Garamond" w:hAnsi="Garamond"/>
                <w:b/>
                <w:lang w:val="en-AU"/>
              </w:rPr>
              <w:t>Alternative Level of Care</w:t>
            </w:r>
            <w:r w:rsidRPr="00211F0A">
              <w:rPr>
                <w:rFonts w:ascii="Garamond" w:hAnsi="Garamond"/>
                <w:lang w:val="en-AU"/>
              </w:rPr>
              <w:t xml:space="preserve"> (ALC) Days in Acute Care Hospitals (Paula Chidwick, Jill Oliver, Daniel Ball, Christopher Parkes, Terri Lynn Hansen, Francesca Fiumara, Kiki Ferrari, Cindy Hawkswell and Karyn Lumsden</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Leading Practices in </w:t>
            </w:r>
            <w:r w:rsidRPr="00211F0A">
              <w:rPr>
                <w:rFonts w:ascii="Garamond" w:hAnsi="Garamond"/>
                <w:b/>
                <w:lang w:val="en-AU"/>
              </w:rPr>
              <w:t>Alternate Levels of Care</w:t>
            </w:r>
            <w:r w:rsidRPr="00211F0A">
              <w:rPr>
                <w:rFonts w:ascii="Garamond" w:hAnsi="Garamond"/>
                <w:lang w:val="en-AU"/>
              </w:rPr>
              <w:t xml:space="preserve"> (ALC) Avoidance: A Standardized Approach (Elaine Burr and Sandra Dickau</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Conserving Quality of Life through </w:t>
            </w:r>
            <w:r w:rsidRPr="00211F0A">
              <w:rPr>
                <w:rFonts w:ascii="Garamond" w:hAnsi="Garamond"/>
                <w:b/>
                <w:lang w:val="en-AU"/>
              </w:rPr>
              <w:t>Community Paramedics</w:t>
            </w:r>
            <w:r w:rsidRPr="00211F0A">
              <w:rPr>
                <w:rFonts w:ascii="Garamond" w:hAnsi="Garamond"/>
                <w:lang w:val="en-AU"/>
              </w:rPr>
              <w:t xml:space="preserve"> (Christopher Ashton, Denise Duffie and Jeffrey Millar</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b/>
                <w:lang w:val="en-AU"/>
              </w:rPr>
              <w:t>Medication Incidents</w:t>
            </w:r>
            <w:r w:rsidRPr="00211F0A">
              <w:rPr>
                <w:rFonts w:ascii="Garamond" w:hAnsi="Garamond"/>
                <w:lang w:val="en-AU"/>
              </w:rPr>
              <w:t xml:space="preserve"> Involving </w:t>
            </w:r>
            <w:r w:rsidRPr="00211F0A">
              <w:rPr>
                <w:rFonts w:ascii="Garamond" w:hAnsi="Garamond"/>
                <w:b/>
                <w:lang w:val="en-AU"/>
              </w:rPr>
              <w:t>Antiepileptic Drugs</w:t>
            </w:r>
            <w:r w:rsidRPr="00211F0A">
              <w:rPr>
                <w:rFonts w:ascii="Garamond" w:hAnsi="Garamond"/>
                <w:lang w:val="en-AU"/>
              </w:rPr>
              <w:t xml:space="preserve"> in Canadian Hospitals: A Multi-Incident Analysis (Roger Cheng, Yu Daisy Yang, Matthew Chan and Tejal Patel</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Sustainable Benefits of a </w:t>
            </w:r>
            <w:r w:rsidRPr="00211F0A">
              <w:rPr>
                <w:rFonts w:ascii="Garamond" w:hAnsi="Garamond"/>
                <w:b/>
                <w:lang w:val="en-AU"/>
              </w:rPr>
              <w:t>Community Hospital-based Pediatric Asthma Clinic</w:t>
            </w:r>
            <w:r w:rsidRPr="00211F0A">
              <w:rPr>
                <w:rFonts w:ascii="Garamond" w:hAnsi="Garamond"/>
                <w:lang w:val="en-AU"/>
              </w:rPr>
              <w:t xml:space="preserve"> (Brian A Kuzik, Chee P Chen, Miriam J Hansen and P L Montgomery</w:t>
            </w:r>
            <w:r>
              <w:rPr>
                <w:rFonts w:ascii="Garamond" w:hAnsi="Garamond"/>
                <w:lang w:val="en-AU"/>
              </w:rPr>
              <w:t>)</w:t>
            </w:r>
          </w:p>
          <w:p w:rsidR="00211F0A" w:rsidRPr="00211F0A" w:rsidRDefault="00211F0A" w:rsidP="00211F0A">
            <w:pPr>
              <w:pStyle w:val="ListParagraph"/>
              <w:numPr>
                <w:ilvl w:val="0"/>
                <w:numId w:val="32"/>
              </w:numPr>
              <w:rPr>
                <w:rFonts w:ascii="Garamond" w:hAnsi="Garamond"/>
                <w:lang w:val="en-AU"/>
              </w:rPr>
            </w:pPr>
            <w:r w:rsidRPr="00211F0A">
              <w:rPr>
                <w:rFonts w:ascii="Garamond" w:hAnsi="Garamond"/>
                <w:lang w:val="en-AU"/>
              </w:rPr>
              <w:t xml:space="preserve">Strategic Change in Surgical Quality Improvement: The Ottawa </w:t>
            </w:r>
            <w:r w:rsidRPr="00211F0A">
              <w:rPr>
                <w:rFonts w:ascii="Garamond" w:hAnsi="Garamond"/>
                <w:b/>
                <w:lang w:val="en-AU"/>
              </w:rPr>
              <w:t>Hospital Comprehensive Unit-Based Safety Program Experience</w:t>
            </w:r>
            <w:r>
              <w:rPr>
                <w:rFonts w:ascii="Garamond" w:hAnsi="Garamond"/>
                <w:lang w:val="en-AU"/>
              </w:rPr>
              <w:t xml:space="preserve"> (</w:t>
            </w:r>
            <w:r w:rsidRPr="00211F0A">
              <w:rPr>
                <w:rFonts w:ascii="Garamond" w:hAnsi="Garamond"/>
                <w:lang w:val="en-AU"/>
              </w:rPr>
              <w:t>Caitlin Champion, Joseph Sadek and Husein Moloo</w:t>
            </w:r>
            <w:r>
              <w:rPr>
                <w:rFonts w:ascii="Garamond" w:hAnsi="Garamond"/>
                <w:lang w:val="en-AU"/>
              </w:rPr>
              <w:t>)</w:t>
            </w:r>
          </w:p>
        </w:tc>
      </w:tr>
    </w:tbl>
    <w:p w:rsidR="00262660" w:rsidRDefault="00262660" w:rsidP="00FB064D">
      <w:pPr>
        <w:rPr>
          <w:rFonts w:ascii="Garamond" w:hAnsi="Garamond"/>
          <w:i/>
          <w:lang w:val="en-AU"/>
        </w:rPr>
      </w:pPr>
    </w:p>
    <w:p w:rsidR="0049138E" w:rsidRPr="0049138E" w:rsidRDefault="0049138E" w:rsidP="0049138E">
      <w:pPr>
        <w:keepNext/>
        <w:rPr>
          <w:rFonts w:ascii="Garamond" w:hAnsi="Garamond"/>
          <w:i/>
          <w:lang w:val="en-AU"/>
        </w:rPr>
      </w:pPr>
      <w:r w:rsidRPr="0049138E">
        <w:rPr>
          <w:rFonts w:ascii="Garamond" w:hAnsi="Garamond"/>
          <w:i/>
          <w:lang w:val="en-AU"/>
        </w:rPr>
        <w:t>Pediatric Quality &amp; Safety</w:t>
      </w:r>
    </w:p>
    <w:p w:rsidR="00B92744" w:rsidRPr="0049138E" w:rsidRDefault="0049138E" w:rsidP="0049138E">
      <w:pPr>
        <w:keepNext/>
        <w:rPr>
          <w:rFonts w:ascii="Garamond" w:hAnsi="Garamond"/>
          <w:lang w:val="en-AU"/>
        </w:rPr>
      </w:pPr>
      <w:r w:rsidRPr="0049138E">
        <w:rPr>
          <w:rFonts w:ascii="Garamond" w:hAnsi="Garamond"/>
          <w:lang w:val="en-AU"/>
        </w:rPr>
        <w:t>July/August 2017 - Volume 2 - Issue 4</w:t>
      </w:r>
    </w:p>
    <w:tbl>
      <w:tblPr>
        <w:tblStyle w:val="TableGrid"/>
        <w:tblW w:w="0" w:type="auto"/>
        <w:tblInd w:w="288" w:type="dxa"/>
        <w:tblLayout w:type="fixed"/>
        <w:tblLook w:val="01E0" w:firstRow="1" w:lastRow="1" w:firstColumn="1" w:lastColumn="1" w:noHBand="0" w:noVBand="0"/>
      </w:tblPr>
      <w:tblGrid>
        <w:gridCol w:w="1080"/>
        <w:gridCol w:w="8280"/>
      </w:tblGrid>
      <w:tr w:rsidR="00B92744"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B92744" w:rsidRPr="00D9161E" w:rsidRDefault="00B92744" w:rsidP="00FF25D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2744" w:rsidRPr="00D9161E" w:rsidRDefault="00A3356E" w:rsidP="00FF25D5">
            <w:pPr>
              <w:rPr>
                <w:rStyle w:val="Hyperlink"/>
                <w:rFonts w:ascii="Garamond" w:hAnsi="Garamond"/>
                <w:color w:val="auto"/>
                <w:u w:val="none"/>
                <w:lang w:val="en-AU"/>
              </w:rPr>
            </w:pPr>
            <w:hyperlink r:id="rId38" w:history="1">
              <w:r w:rsidR="008A3C8C" w:rsidRPr="00887045">
                <w:rPr>
                  <w:rStyle w:val="Hyperlink"/>
                  <w:rFonts w:ascii="Garamond" w:hAnsi="Garamond"/>
                  <w:lang w:val="en-AU"/>
                </w:rPr>
                <w:t>http://journals.lww.com/pqs/toc/2017/07000</w:t>
              </w:r>
            </w:hyperlink>
          </w:p>
        </w:tc>
      </w:tr>
      <w:tr w:rsidR="00B92744" w:rsidRPr="00D9161E" w:rsidTr="00FF25D5">
        <w:tc>
          <w:tcPr>
            <w:tcW w:w="1080" w:type="dxa"/>
            <w:tcBorders>
              <w:top w:val="single" w:sz="4" w:space="0" w:color="auto"/>
              <w:left w:val="single" w:sz="4" w:space="0" w:color="auto"/>
              <w:bottom w:val="single" w:sz="4" w:space="0" w:color="auto"/>
              <w:right w:val="single" w:sz="4" w:space="0" w:color="auto"/>
            </w:tcBorders>
            <w:vAlign w:val="center"/>
          </w:tcPr>
          <w:p w:rsidR="00B92744" w:rsidRPr="00D9161E" w:rsidRDefault="00B92744" w:rsidP="00FF25D5">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1F0A" w:rsidRDefault="00211F0A" w:rsidP="00211F0A">
            <w:pPr>
              <w:rPr>
                <w:rFonts w:ascii="Garamond" w:hAnsi="Garamond"/>
                <w:lang w:val="en-AU"/>
              </w:rPr>
            </w:pPr>
            <w:r w:rsidRPr="00211F0A">
              <w:rPr>
                <w:rFonts w:ascii="Garamond" w:hAnsi="Garamond"/>
                <w:lang w:val="en-AU"/>
              </w:rPr>
              <w:t xml:space="preserve">A new issue of </w:t>
            </w:r>
            <w:r w:rsidRPr="0049138E">
              <w:rPr>
                <w:rFonts w:ascii="Garamond" w:hAnsi="Garamond"/>
                <w:i/>
                <w:lang w:val="en-AU"/>
              </w:rPr>
              <w:t>Pediatric Quality &amp; Safety</w:t>
            </w:r>
            <w:r w:rsidRPr="00211F0A">
              <w:rPr>
                <w:rFonts w:ascii="Garamond" w:hAnsi="Garamond"/>
                <w:i/>
                <w:lang w:val="en-AU"/>
              </w:rPr>
              <w:t xml:space="preserve"> </w:t>
            </w:r>
            <w:r w:rsidRPr="00211F0A">
              <w:rPr>
                <w:rFonts w:ascii="Garamond" w:hAnsi="Garamond"/>
                <w:lang w:val="en-AU"/>
              </w:rPr>
              <w:t xml:space="preserve">has been published. Articles in this issue of </w:t>
            </w:r>
            <w:r w:rsidRPr="0049138E">
              <w:rPr>
                <w:rFonts w:ascii="Garamond" w:hAnsi="Garamond"/>
                <w:i/>
                <w:lang w:val="en-AU"/>
              </w:rPr>
              <w:t>Pediatric Quality &amp; Safety</w:t>
            </w:r>
            <w:r w:rsidRPr="00211F0A">
              <w:rPr>
                <w:rFonts w:ascii="Garamond" w:hAnsi="Garamond"/>
                <w:i/>
                <w:lang w:val="en-AU"/>
              </w:rPr>
              <w:t xml:space="preserve"> </w:t>
            </w:r>
            <w:r w:rsidRPr="00211F0A">
              <w:rPr>
                <w:rFonts w:ascii="Garamond" w:hAnsi="Garamond"/>
                <w:lang w:val="en-AU"/>
              </w:rPr>
              <w:t>include:</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Feasibility of </w:t>
            </w:r>
            <w:r w:rsidRPr="008A3C8C">
              <w:rPr>
                <w:rFonts w:ascii="Garamond" w:hAnsi="Garamond"/>
                <w:b/>
                <w:lang w:val="en-AU"/>
              </w:rPr>
              <w:t>Episode-Based Bundled Payment</w:t>
            </w:r>
            <w:r w:rsidRPr="008A3C8C">
              <w:rPr>
                <w:rFonts w:ascii="Garamond" w:hAnsi="Garamond"/>
                <w:lang w:val="en-AU"/>
              </w:rPr>
              <w:t xml:space="preserve"> for a Pediatric Surgical Condition: Posterior Spinal Fusion (Shaughnessy, Erin E.; Sturm, Peter; Sitzman, Thomas J.</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Application of Conjoint Analysis to Improve Reliability of Dietician Consultation in </w:t>
            </w:r>
            <w:r w:rsidRPr="008A3C8C">
              <w:rPr>
                <w:rFonts w:ascii="Garamond" w:hAnsi="Garamond"/>
                <w:b/>
                <w:lang w:val="en-AU"/>
              </w:rPr>
              <w:t>Pediatric Celiac Disease</w:t>
            </w:r>
            <w:r w:rsidRPr="008A3C8C">
              <w:rPr>
                <w:rFonts w:ascii="Garamond" w:hAnsi="Garamond"/>
                <w:lang w:val="en-AU"/>
              </w:rPr>
              <w:t xml:space="preserve"> (Kulkarni, Sakil; Liss, Kim; Samson, Charles M.</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Effects of Skin-to-Skin Care on Late Preterm and Term Infants At-Risk for </w:t>
            </w:r>
            <w:r w:rsidRPr="008A3C8C">
              <w:rPr>
                <w:rFonts w:ascii="Garamond" w:hAnsi="Garamond"/>
                <w:b/>
                <w:lang w:val="en-AU"/>
              </w:rPr>
              <w:t>Neonatal Hypoglycemia</w:t>
            </w:r>
            <w:r w:rsidRPr="008A3C8C">
              <w:rPr>
                <w:rFonts w:ascii="Garamond" w:hAnsi="Garamond"/>
                <w:lang w:val="en-AU"/>
              </w:rPr>
              <w:t xml:space="preserve"> (Chiruvolu, Arpitha; Miklis, Kimberly K.; Stanzo, Karen C.; Petrey, Barbara; Groves, Chelsey G.; McCord, Kari; Qin, Huanying; </w:t>
            </w:r>
            <w:r w:rsidRPr="008A3C8C">
              <w:rPr>
                <w:rFonts w:ascii="Garamond" w:hAnsi="Garamond"/>
                <w:lang w:val="en-AU"/>
              </w:rPr>
              <w:lastRenderedPageBreak/>
              <w:t>Desai, Sujata; Tolia, Veeral N.</w:t>
            </w:r>
            <w:r>
              <w:rPr>
                <w:rFonts w:ascii="Garamond" w:hAnsi="Garamond"/>
                <w:lang w:val="en-AU"/>
              </w:rPr>
              <w:t>)</w:t>
            </w:r>
            <w:bookmarkStart w:id="1" w:name="_GoBack"/>
            <w:bookmarkEnd w:id="1"/>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Increasing </w:t>
            </w:r>
            <w:r w:rsidRPr="008A3C8C">
              <w:rPr>
                <w:rFonts w:ascii="Garamond" w:hAnsi="Garamond"/>
                <w:b/>
                <w:lang w:val="en-AU"/>
              </w:rPr>
              <w:t>Physical Exam Teaching</w:t>
            </w:r>
            <w:r w:rsidRPr="008A3C8C">
              <w:rPr>
                <w:rFonts w:ascii="Garamond" w:hAnsi="Garamond"/>
                <w:lang w:val="en-AU"/>
              </w:rPr>
              <w:t xml:space="preserve"> on Family-Centered Rounds Utilizing a Web-Based Tool (Patel, Aarti; Unaka, Ndidi; Holland, Deborah; Schuler, Christine; Mangeot, Colleen; Sucharew, Heidi; Younts, Angela; Maag, Logan; Treasure, Jennifer; Sobolewski, Brad; Statile, Angela</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b/>
                <w:lang w:val="en-AU"/>
              </w:rPr>
              <w:t>Emergency Department Asthma Medication</w:t>
            </w:r>
            <w:r w:rsidRPr="008A3C8C">
              <w:rPr>
                <w:rFonts w:ascii="Garamond" w:hAnsi="Garamond"/>
                <w:lang w:val="en-AU"/>
              </w:rPr>
              <w:t xml:space="preserve"> Delivery Program: An Initiative to Provide Discharge Prescriptions and Education (Durkin, Kayla; Montgomery, Tricia; Lamberjack, Kristen; Hafer, Cindy C.; Naprawa, James; Yarosz, Shannon</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Impact of a Successful </w:t>
            </w:r>
            <w:r w:rsidRPr="008A3C8C">
              <w:rPr>
                <w:rFonts w:ascii="Garamond" w:hAnsi="Garamond"/>
                <w:b/>
                <w:lang w:val="en-AU"/>
              </w:rPr>
              <w:t>Speaking Up</w:t>
            </w:r>
            <w:r w:rsidRPr="008A3C8C">
              <w:rPr>
                <w:rFonts w:ascii="Garamond" w:hAnsi="Garamond"/>
                <w:lang w:val="en-AU"/>
              </w:rPr>
              <w:t xml:space="preserve"> Program on </w:t>
            </w:r>
            <w:r w:rsidRPr="008A3C8C">
              <w:rPr>
                <w:rFonts w:ascii="Garamond" w:hAnsi="Garamond"/>
                <w:b/>
                <w:lang w:val="en-AU"/>
              </w:rPr>
              <w:t>Health-Care Worker Hand Hygiene</w:t>
            </w:r>
            <w:r w:rsidRPr="008A3C8C">
              <w:rPr>
                <w:rFonts w:ascii="Garamond" w:hAnsi="Garamond"/>
                <w:lang w:val="en-AU"/>
              </w:rPr>
              <w:t xml:space="preserve"> Behavior (Linam, W. Matthew; Honeycutt, Michele D.; Gilliam, Craig H.; Wisdom, Christy M.; Deshpande, Jayant K.</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Deployment of a</w:t>
            </w:r>
            <w:r w:rsidRPr="008A3C8C">
              <w:rPr>
                <w:rFonts w:ascii="Garamond" w:hAnsi="Garamond"/>
                <w:b/>
                <w:lang w:val="en-AU"/>
              </w:rPr>
              <w:t xml:space="preserve"> Second Victim Peer Support Program</w:t>
            </w:r>
            <w:r w:rsidRPr="008A3C8C">
              <w:rPr>
                <w:rFonts w:ascii="Garamond" w:hAnsi="Garamond"/>
                <w:lang w:val="en-AU"/>
              </w:rPr>
              <w:t>: A Replication Study (Merandi, Jenna; Liao, Nancy; Lewe, Dorcas; Morvay, Shelly; Stewart, Barb; Catt, Charline; Scott, Susan D.</w:t>
            </w:r>
            <w:r>
              <w:rPr>
                <w:rFonts w:ascii="Garamond" w:hAnsi="Garamond"/>
                <w:lang w:val="en-AU"/>
              </w:rPr>
              <w:t>)</w:t>
            </w:r>
          </w:p>
          <w:p w:rsidR="008A3C8C" w:rsidRPr="008A3C8C" w:rsidRDefault="008A3C8C" w:rsidP="008A3C8C">
            <w:pPr>
              <w:pStyle w:val="ListParagraph"/>
              <w:numPr>
                <w:ilvl w:val="0"/>
                <w:numId w:val="32"/>
              </w:numPr>
              <w:rPr>
                <w:rFonts w:ascii="Garamond" w:hAnsi="Garamond"/>
                <w:lang w:val="en-AU"/>
              </w:rPr>
            </w:pPr>
            <w:r w:rsidRPr="008A3C8C">
              <w:rPr>
                <w:rFonts w:ascii="Garamond" w:hAnsi="Garamond"/>
                <w:lang w:val="en-AU"/>
              </w:rPr>
              <w:t xml:space="preserve">Identification of </w:t>
            </w:r>
            <w:r w:rsidRPr="008A3C8C">
              <w:rPr>
                <w:rFonts w:ascii="Garamond" w:hAnsi="Garamond"/>
                <w:b/>
                <w:lang w:val="en-AU"/>
              </w:rPr>
              <w:t>Critical to Quality</w:t>
            </w:r>
            <w:r w:rsidRPr="008A3C8C">
              <w:rPr>
                <w:rFonts w:ascii="Garamond" w:hAnsi="Garamond"/>
                <w:lang w:val="en-AU"/>
              </w:rPr>
              <w:t xml:space="preserve"> Elements for </w:t>
            </w:r>
            <w:r w:rsidRPr="008A3C8C">
              <w:rPr>
                <w:rFonts w:ascii="Garamond" w:hAnsi="Garamond"/>
                <w:b/>
                <w:lang w:val="en-AU"/>
              </w:rPr>
              <w:t>Intensive Care</w:t>
            </w:r>
            <w:r w:rsidRPr="008A3C8C">
              <w:rPr>
                <w:rFonts w:ascii="Garamond" w:hAnsi="Garamond"/>
                <w:lang w:val="en-AU"/>
              </w:rPr>
              <w:t xml:space="preserve"> Rounds by Kano Analysis (Tripathi, Sandeep; Henrekin, Lamonica L.; Read, Cynthia D.; Welke, Karl F.</w:t>
            </w:r>
            <w:r>
              <w:rPr>
                <w:rFonts w:ascii="Garamond" w:hAnsi="Garamond"/>
                <w:lang w:val="en-AU"/>
              </w:rPr>
              <w:t>)</w:t>
            </w:r>
          </w:p>
          <w:p w:rsidR="00B92744" w:rsidRPr="00211F0A" w:rsidRDefault="008A3C8C" w:rsidP="008A3C8C">
            <w:pPr>
              <w:pStyle w:val="ListParagraph"/>
              <w:numPr>
                <w:ilvl w:val="0"/>
                <w:numId w:val="32"/>
              </w:numPr>
              <w:rPr>
                <w:rFonts w:ascii="Garamond" w:hAnsi="Garamond"/>
                <w:lang w:val="en-AU"/>
              </w:rPr>
            </w:pPr>
            <w:r w:rsidRPr="008A3C8C">
              <w:rPr>
                <w:rFonts w:ascii="Garamond" w:hAnsi="Garamond"/>
                <w:b/>
                <w:lang w:val="en-AU"/>
              </w:rPr>
              <w:t>Quality Improvement Leadership</w:t>
            </w:r>
            <w:r w:rsidRPr="008A3C8C">
              <w:rPr>
                <w:rFonts w:ascii="Garamond" w:hAnsi="Garamond"/>
                <w:lang w:val="en-AU"/>
              </w:rPr>
              <w:t xml:space="preserve"> in Academic Children’s Hospitals (Barnard, John A.; Davis, J. Terrance)</w:t>
            </w:r>
          </w:p>
        </w:tc>
      </w:tr>
    </w:tbl>
    <w:p w:rsidR="00B92744" w:rsidRDefault="00B92744" w:rsidP="00E94F83">
      <w:pPr>
        <w:keepNext/>
        <w:rPr>
          <w:rFonts w:ascii="Garamond" w:hAnsi="Garamond"/>
          <w:i/>
          <w:lang w:val="en-AU"/>
        </w:rPr>
      </w:pPr>
    </w:p>
    <w:p w:rsidR="00177F9F" w:rsidRPr="00D9161E" w:rsidRDefault="00177F9F" w:rsidP="00177F9F">
      <w:pPr>
        <w:keepNext/>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A3356E" w:rsidP="00BD6A15">
            <w:pPr>
              <w:keepNext/>
              <w:rPr>
                <w:rFonts w:ascii="Garamond" w:hAnsi="Garamond"/>
                <w:lang w:val="en-AU"/>
              </w:rPr>
            </w:pPr>
            <w:hyperlink r:id="rId39" w:history="1">
              <w:r w:rsidR="00177F9F" w:rsidRPr="00D9161E">
                <w:rPr>
                  <w:rStyle w:val="Hyperlink"/>
                  <w:rFonts w:ascii="Garamond" w:hAnsi="Garamond"/>
                  <w:lang w:val="en-AU"/>
                </w:rPr>
                <w:t>https://academic.oup.com/intqhc/advance-access?papetoc</w:t>
              </w:r>
            </w:hyperlink>
          </w:p>
        </w:tc>
      </w:tr>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has published a number of ‘online first’ articles, including:</w:t>
            </w:r>
          </w:p>
          <w:p w:rsidR="00ED5BCE" w:rsidRPr="00ED5BCE" w:rsidRDefault="00ED5BCE" w:rsidP="0031178E">
            <w:pPr>
              <w:pStyle w:val="ListParagraph"/>
              <w:numPr>
                <w:ilvl w:val="0"/>
                <w:numId w:val="14"/>
              </w:numPr>
              <w:rPr>
                <w:rFonts w:ascii="Garamond" w:hAnsi="Garamond"/>
                <w:lang w:val="en-AU"/>
              </w:rPr>
            </w:pPr>
            <w:r w:rsidRPr="0031178E">
              <w:rPr>
                <w:rFonts w:ascii="Garamond" w:hAnsi="Garamond"/>
                <w:b/>
                <w:lang w:val="en-AU"/>
              </w:rPr>
              <w:t>Rehabilitative post-acute care for stroke patients</w:t>
            </w:r>
            <w:r w:rsidRPr="00ED5BCE">
              <w:rPr>
                <w:rFonts w:ascii="Garamond" w:hAnsi="Garamond"/>
                <w:lang w:val="en-AU"/>
              </w:rPr>
              <w:t xml:space="preserve"> delivered by per-diem payment system in different hospitalization paths: A Taiwan pilot study (Chung-Yuan Wang; Yu-Ren Chen; Jia-Pei Hong; Chih-Chun Chan; Long-Chung Chang</w:t>
            </w:r>
            <w:r w:rsidR="0031178E">
              <w:rPr>
                <w:rFonts w:ascii="Garamond" w:hAnsi="Garamond"/>
                <w:lang w:val="en-AU"/>
              </w:rPr>
              <w:t xml:space="preserve">; </w:t>
            </w:r>
            <w:r w:rsidR="0031178E" w:rsidRPr="0031178E">
              <w:rPr>
                <w:rFonts w:ascii="Garamond" w:hAnsi="Garamond"/>
                <w:lang w:val="en-AU"/>
              </w:rPr>
              <w:t>Hon-Yi Shi</w:t>
            </w:r>
            <w:r w:rsidR="0031178E">
              <w:rPr>
                <w:rFonts w:ascii="Garamond" w:hAnsi="Garamond"/>
                <w:lang w:val="en-AU"/>
              </w:rPr>
              <w:t>)</w:t>
            </w:r>
          </w:p>
          <w:p w:rsidR="00F4463F" w:rsidRPr="00D9161E" w:rsidRDefault="00ED5BCE" w:rsidP="00ED5BCE">
            <w:pPr>
              <w:pStyle w:val="ListParagraph"/>
              <w:numPr>
                <w:ilvl w:val="0"/>
                <w:numId w:val="14"/>
              </w:numPr>
              <w:rPr>
                <w:rFonts w:ascii="Garamond" w:hAnsi="Garamond"/>
                <w:lang w:val="en-AU"/>
              </w:rPr>
            </w:pPr>
            <w:r w:rsidRPr="00ED5BCE">
              <w:rPr>
                <w:rFonts w:ascii="Garamond" w:hAnsi="Garamond"/>
                <w:lang w:val="en-AU"/>
              </w:rPr>
              <w:t xml:space="preserve">A multi-state, multi-site, multi-sector healthcare improvement model: </w:t>
            </w:r>
            <w:r w:rsidRPr="0031178E">
              <w:rPr>
                <w:rFonts w:ascii="Garamond" w:hAnsi="Garamond"/>
                <w:b/>
                <w:lang w:val="en-AU"/>
              </w:rPr>
              <w:t>implementing evidence for practice</w:t>
            </w:r>
            <w:r w:rsidRPr="00ED5BCE">
              <w:rPr>
                <w:rFonts w:ascii="Garamond" w:hAnsi="Garamond"/>
                <w:lang w:val="en-AU"/>
              </w:rPr>
              <w:t xml:space="preserve"> </w:t>
            </w:r>
            <w:r>
              <w:rPr>
                <w:rFonts w:ascii="Garamond" w:hAnsi="Garamond"/>
                <w:lang w:val="en-AU"/>
              </w:rPr>
              <w:t>(</w:t>
            </w:r>
            <w:r w:rsidRPr="00ED5BCE">
              <w:rPr>
                <w:rFonts w:ascii="Garamond" w:hAnsi="Garamond"/>
                <w:lang w:val="en-AU"/>
              </w:rPr>
              <w:t>Karen-Leigh Edward; Kim Walker; Jed Duff</w:t>
            </w:r>
            <w:r w:rsidR="0031178E">
              <w:rPr>
                <w:rFonts w:ascii="Garamond" w:hAnsi="Garamond"/>
                <w:lang w:val="en-AU"/>
              </w:rPr>
              <w:t>)</w:t>
            </w:r>
          </w:p>
        </w:tc>
      </w:tr>
    </w:tbl>
    <w:p w:rsidR="00177F9F" w:rsidRPr="00D9161E" w:rsidRDefault="00177F9F" w:rsidP="00177F9F">
      <w:pPr>
        <w:rPr>
          <w:rFonts w:ascii="Garamond" w:hAnsi="Garamond"/>
          <w:lang w:val="en-AU"/>
        </w:rPr>
      </w:pPr>
    </w:p>
    <w:p w:rsidR="00177F9F" w:rsidRPr="00D9161E" w:rsidRDefault="00177F9F" w:rsidP="00177F9F">
      <w:pPr>
        <w:keepNext/>
        <w:rPr>
          <w:rFonts w:ascii="Garamond" w:hAnsi="Garamond"/>
          <w:b/>
          <w:lang w:val="en-AU"/>
        </w:rPr>
      </w:pPr>
      <w:r w:rsidRPr="00D9161E">
        <w:rPr>
          <w:rFonts w:ascii="Garamond" w:hAnsi="Garamond"/>
          <w:b/>
          <w:lang w:val="en-AU"/>
        </w:rPr>
        <w:t>Online resources</w:t>
      </w:r>
    </w:p>
    <w:p w:rsidR="00177F9F" w:rsidRDefault="00177F9F" w:rsidP="00177F9F">
      <w:pPr>
        <w:rPr>
          <w:rFonts w:ascii="Garamond" w:hAnsi="Garamond"/>
          <w:i/>
          <w:lang w:val="en-AU"/>
        </w:rPr>
      </w:pPr>
    </w:p>
    <w:p w:rsidR="00177F9F" w:rsidRPr="00D9161E" w:rsidRDefault="00177F9F" w:rsidP="00177F9F">
      <w:pPr>
        <w:keepNext/>
        <w:keepLines/>
        <w:rPr>
          <w:rFonts w:ascii="Garamond" w:hAnsi="Garamond"/>
          <w:i/>
          <w:lang w:val="en-AU"/>
        </w:rPr>
      </w:pPr>
      <w:r w:rsidRPr="00D9161E">
        <w:rPr>
          <w:rFonts w:ascii="Garamond" w:hAnsi="Garamond"/>
          <w:i/>
          <w:lang w:val="en-AU"/>
        </w:rPr>
        <w:t>[UK] NICE Guidelines and Quality Standards</w:t>
      </w:r>
    </w:p>
    <w:p w:rsidR="00177F9F" w:rsidRPr="00D9161E" w:rsidRDefault="00A3356E" w:rsidP="00177F9F">
      <w:pPr>
        <w:keepNext/>
        <w:keepLines/>
        <w:rPr>
          <w:rFonts w:ascii="Garamond" w:hAnsi="Garamond"/>
          <w:u w:val="single"/>
          <w:lang w:val="en-AU"/>
        </w:rPr>
      </w:pPr>
      <w:hyperlink r:id="rId40" w:history="1">
        <w:r w:rsidR="00177F9F" w:rsidRPr="00D9161E">
          <w:rPr>
            <w:rStyle w:val="Hyperlink"/>
            <w:rFonts w:ascii="Garamond" w:hAnsi="Garamond"/>
            <w:lang w:val="en-AU"/>
          </w:rPr>
          <w:t>https://www.nice.org.uk</w:t>
        </w:r>
      </w:hyperlink>
    </w:p>
    <w:p w:rsidR="00177F9F" w:rsidRPr="00D9161E" w:rsidRDefault="00177F9F" w:rsidP="00177F9F">
      <w:pPr>
        <w:keepNext/>
        <w:keepLines/>
        <w:rPr>
          <w:rFonts w:ascii="Garamond" w:hAnsi="Garamond"/>
          <w:lang w:val="en-AU"/>
        </w:rPr>
      </w:pPr>
      <w:r w:rsidRPr="00D9161E">
        <w:rPr>
          <w:rFonts w:ascii="Garamond" w:hAnsi="Garamond"/>
          <w:lang w:val="en-AU"/>
        </w:rPr>
        <w:t>The UK’s National Institute for Health and Care Excellence (NICE) has published new (or updated) guidelines and quality standards. The latest reviews or updates are:</w:t>
      </w:r>
    </w:p>
    <w:p w:rsidR="00F02C22" w:rsidRDefault="00C55002" w:rsidP="00C55002">
      <w:pPr>
        <w:pStyle w:val="ListParagraph"/>
        <w:keepNext/>
        <w:keepLines/>
        <w:numPr>
          <w:ilvl w:val="0"/>
          <w:numId w:val="14"/>
        </w:numPr>
        <w:rPr>
          <w:rFonts w:ascii="Garamond" w:hAnsi="Garamond"/>
          <w:lang w:val="en-AU"/>
        </w:rPr>
      </w:pPr>
      <w:r>
        <w:rPr>
          <w:rFonts w:ascii="Garamond" w:hAnsi="Garamond"/>
          <w:lang w:val="en-AU"/>
        </w:rPr>
        <w:t xml:space="preserve">Clinical Guideline CG81 </w:t>
      </w:r>
      <w:r w:rsidRPr="00C55002">
        <w:rPr>
          <w:rFonts w:ascii="Garamond" w:hAnsi="Garamond"/>
          <w:b/>
          <w:i/>
          <w:lang w:val="en-AU"/>
        </w:rPr>
        <w:t>Advanced breast cancer</w:t>
      </w:r>
      <w:r w:rsidRPr="00C55002">
        <w:rPr>
          <w:rFonts w:ascii="Garamond" w:hAnsi="Garamond"/>
          <w:i/>
          <w:lang w:val="en-AU"/>
        </w:rPr>
        <w:t>: diagnosis and treatment</w:t>
      </w:r>
      <w:r>
        <w:rPr>
          <w:rFonts w:ascii="Garamond" w:hAnsi="Garamond"/>
          <w:lang w:val="en-AU"/>
        </w:rPr>
        <w:t xml:space="preserve"> </w:t>
      </w:r>
      <w:hyperlink r:id="rId41" w:history="1">
        <w:r w:rsidRPr="00707B0A">
          <w:rPr>
            <w:rStyle w:val="Hyperlink"/>
            <w:rFonts w:ascii="Garamond" w:hAnsi="Garamond"/>
            <w:lang w:val="en-AU"/>
          </w:rPr>
          <w:t>https://www.nice.org.uk/guidance/cg81</w:t>
        </w:r>
      </w:hyperlink>
    </w:p>
    <w:p w:rsidR="00C55002" w:rsidRDefault="00211F0A" w:rsidP="00211F0A">
      <w:pPr>
        <w:pStyle w:val="ListParagraph"/>
        <w:keepNext/>
        <w:keepLines/>
        <w:numPr>
          <w:ilvl w:val="0"/>
          <w:numId w:val="14"/>
        </w:numPr>
        <w:rPr>
          <w:rFonts w:ascii="Garamond" w:hAnsi="Garamond"/>
          <w:lang w:val="en-AU"/>
        </w:rPr>
      </w:pPr>
      <w:r>
        <w:rPr>
          <w:rFonts w:ascii="Garamond" w:hAnsi="Garamond"/>
          <w:lang w:val="en-AU"/>
        </w:rPr>
        <w:t xml:space="preserve">Clinical Guideline CG192 </w:t>
      </w:r>
      <w:r w:rsidRPr="00211F0A">
        <w:rPr>
          <w:rFonts w:ascii="Garamond" w:hAnsi="Garamond"/>
          <w:i/>
          <w:lang w:val="en-AU"/>
        </w:rPr>
        <w:t>A</w:t>
      </w:r>
      <w:r w:rsidRPr="00211F0A">
        <w:rPr>
          <w:rFonts w:ascii="Garamond" w:hAnsi="Garamond"/>
          <w:b/>
          <w:i/>
          <w:lang w:val="en-AU"/>
        </w:rPr>
        <w:t>ntenatal and postnatal mental health</w:t>
      </w:r>
      <w:r w:rsidRPr="00211F0A">
        <w:rPr>
          <w:rFonts w:ascii="Garamond" w:hAnsi="Garamond"/>
          <w:i/>
          <w:lang w:val="en-AU"/>
        </w:rPr>
        <w:t>: clinical management and service guidance</w:t>
      </w:r>
      <w:r>
        <w:rPr>
          <w:rFonts w:ascii="Garamond" w:hAnsi="Garamond"/>
          <w:lang w:val="en-AU"/>
        </w:rPr>
        <w:t xml:space="preserve"> </w:t>
      </w:r>
      <w:hyperlink r:id="rId42" w:history="1">
        <w:r w:rsidRPr="00887045">
          <w:rPr>
            <w:rStyle w:val="Hyperlink"/>
            <w:rFonts w:ascii="Garamond" w:hAnsi="Garamond"/>
            <w:lang w:val="en-AU"/>
          </w:rPr>
          <w:t>https://www.nice.org.uk/guidance/cg192</w:t>
        </w:r>
      </w:hyperlink>
    </w:p>
    <w:p w:rsidR="00B02F6E" w:rsidRPr="00D9161E" w:rsidRDefault="00B02F6E" w:rsidP="00B02F6E">
      <w:pPr>
        <w:keepNext/>
        <w:pBdr>
          <w:top w:val="single" w:sz="4" w:space="1" w:color="auto"/>
        </w:pBdr>
        <w:rPr>
          <w:rFonts w:ascii="Garamond" w:hAnsi="Garamond"/>
          <w:b/>
          <w:lang w:val="en-AU"/>
        </w:rPr>
      </w:pPr>
      <w:r w:rsidRPr="00D9161E">
        <w:rPr>
          <w:rFonts w:ascii="Garamond" w:hAnsi="Garamond"/>
          <w:b/>
          <w:lang w:val="en-AU"/>
        </w:rPr>
        <w:t>Disclaimer</w:t>
      </w:r>
    </w:p>
    <w:p w:rsidR="00B02F6E" w:rsidRPr="00D9161E" w:rsidRDefault="00B02F6E" w:rsidP="00B17406">
      <w:pPr>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p>
    <w:sectPr w:rsidR="00B02F6E" w:rsidRPr="00D9161E"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D5" w:rsidRDefault="00FF25D5">
      <w:r>
        <w:separator/>
      </w:r>
    </w:p>
  </w:endnote>
  <w:endnote w:type="continuationSeparator" w:id="0">
    <w:p w:rsidR="00FF25D5" w:rsidRDefault="00FF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D5" w:rsidRDefault="00FF25D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3356E">
      <w:rPr>
        <w:rStyle w:val="PageNumber"/>
        <w:noProof/>
      </w:rPr>
      <w:t>8</w:t>
    </w:r>
    <w:r>
      <w:rPr>
        <w:rStyle w:val="PageNumber"/>
      </w:rPr>
      <w:fldChar w:fldCharType="end"/>
    </w:r>
  </w:p>
  <w:p w:rsidR="00FF25D5" w:rsidRPr="001E78F0" w:rsidRDefault="00FF25D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D5" w:rsidRPr="001E78F0" w:rsidRDefault="00FF25D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3356E">
      <w:rPr>
        <w:rStyle w:val="PageNumber"/>
        <w:rFonts w:ascii="Garamond" w:hAnsi="Garamond"/>
        <w:noProof/>
      </w:rPr>
      <w:t>7</w:t>
    </w:r>
    <w:r w:rsidRPr="001E78F0">
      <w:rPr>
        <w:rStyle w:val="PageNumber"/>
        <w:rFonts w:ascii="Garamond" w:hAnsi="Garamond"/>
      </w:rPr>
      <w:fldChar w:fldCharType="end"/>
    </w:r>
  </w:p>
  <w:p w:rsidR="00FF25D5" w:rsidRPr="001E78F0" w:rsidRDefault="00FF25D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D5" w:rsidRDefault="00FF25D5">
      <w:r>
        <w:separator/>
      </w:r>
    </w:p>
  </w:footnote>
  <w:footnote w:type="continuationSeparator" w:id="0">
    <w:p w:rsidR="00FF25D5" w:rsidRDefault="00FF2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564B"/>
    <w:multiLevelType w:val="hybridMultilevel"/>
    <w:tmpl w:val="8A3CC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DC315A"/>
    <w:multiLevelType w:val="hybridMultilevel"/>
    <w:tmpl w:val="10B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3445AC"/>
    <w:multiLevelType w:val="hybridMultilevel"/>
    <w:tmpl w:val="4BB0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C50DA0"/>
    <w:multiLevelType w:val="hybridMultilevel"/>
    <w:tmpl w:val="C6B0C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D0257C"/>
    <w:multiLevelType w:val="hybridMultilevel"/>
    <w:tmpl w:val="6426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400DC0"/>
    <w:multiLevelType w:val="hybridMultilevel"/>
    <w:tmpl w:val="617E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FF05AA"/>
    <w:multiLevelType w:val="hybridMultilevel"/>
    <w:tmpl w:val="F318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32607A"/>
    <w:multiLevelType w:val="hybridMultilevel"/>
    <w:tmpl w:val="C9E6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BD4EC8"/>
    <w:multiLevelType w:val="hybridMultilevel"/>
    <w:tmpl w:val="9ACE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69B6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23556A"/>
    <w:multiLevelType w:val="hybridMultilevel"/>
    <w:tmpl w:val="210E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310DAC"/>
    <w:multiLevelType w:val="hybridMultilevel"/>
    <w:tmpl w:val="78B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7D224E"/>
    <w:multiLevelType w:val="hybridMultilevel"/>
    <w:tmpl w:val="6174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900A7"/>
    <w:multiLevelType w:val="hybridMultilevel"/>
    <w:tmpl w:val="70C80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C14B56"/>
    <w:multiLevelType w:val="hybridMultilevel"/>
    <w:tmpl w:val="AE00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B11370"/>
    <w:multiLevelType w:val="hybridMultilevel"/>
    <w:tmpl w:val="C5C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5A7093"/>
    <w:multiLevelType w:val="hybridMultilevel"/>
    <w:tmpl w:val="BA10A262"/>
    <w:lvl w:ilvl="0" w:tplc="5D0881E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6167FC"/>
    <w:multiLevelType w:val="hybridMultilevel"/>
    <w:tmpl w:val="D45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BE2653"/>
    <w:multiLevelType w:val="hybridMultilevel"/>
    <w:tmpl w:val="FF3EB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15"/>
  </w:num>
  <w:num w:numId="16">
    <w:abstractNumId w:val="30"/>
  </w:num>
  <w:num w:numId="17">
    <w:abstractNumId w:val="27"/>
  </w:num>
  <w:num w:numId="18">
    <w:abstractNumId w:val="31"/>
  </w:num>
  <w:num w:numId="19">
    <w:abstractNumId w:val="23"/>
  </w:num>
  <w:num w:numId="20">
    <w:abstractNumId w:val="11"/>
  </w:num>
  <w:num w:numId="21">
    <w:abstractNumId w:val="16"/>
  </w:num>
  <w:num w:numId="22">
    <w:abstractNumId w:val="14"/>
  </w:num>
  <w:num w:numId="23">
    <w:abstractNumId w:val="17"/>
  </w:num>
  <w:num w:numId="24">
    <w:abstractNumId w:val="10"/>
  </w:num>
  <w:num w:numId="25">
    <w:abstractNumId w:val="19"/>
  </w:num>
  <w:num w:numId="26">
    <w:abstractNumId w:val="18"/>
  </w:num>
  <w:num w:numId="27">
    <w:abstractNumId w:val="26"/>
  </w:num>
  <w:num w:numId="28">
    <w:abstractNumId w:val="24"/>
  </w:num>
  <w:num w:numId="29">
    <w:abstractNumId w:val="32"/>
  </w:num>
  <w:num w:numId="30">
    <w:abstractNumId w:val="13"/>
  </w:num>
  <w:num w:numId="31">
    <w:abstractNumId w:val="22"/>
  </w:num>
  <w:num w:numId="32">
    <w:abstractNumId w:val="28"/>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09C"/>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1F0A"/>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660"/>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4F7"/>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9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5F7"/>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CB3"/>
    <w:rsid w:val="005C6D8C"/>
    <w:rsid w:val="005C71F8"/>
    <w:rsid w:val="005C7414"/>
    <w:rsid w:val="005C7546"/>
    <w:rsid w:val="005C757E"/>
    <w:rsid w:val="005C7859"/>
    <w:rsid w:val="005C7938"/>
    <w:rsid w:val="005C79B8"/>
    <w:rsid w:val="005C7CDE"/>
    <w:rsid w:val="005C7E5A"/>
    <w:rsid w:val="005D0105"/>
    <w:rsid w:val="005D023F"/>
    <w:rsid w:val="005D035C"/>
    <w:rsid w:val="005D0A6F"/>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69D"/>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567C"/>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C8C"/>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1A2"/>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56E"/>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7B7"/>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50"/>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B9E"/>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8F6"/>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61C"/>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5D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hi.org/resources/Pages/Publications/Patient-Safety-in-the-Home.aspx" TargetMode="External"/><Relationship Id="rId26" Type="http://schemas.openxmlformats.org/officeDocument/2006/relationships/hyperlink" Target="https://theconversation.com/heres-how-many-people-get-infections-in-australian-hospitals-every-year-82309" TargetMode="External"/><Relationship Id="rId39" Type="http://schemas.openxmlformats.org/officeDocument/2006/relationships/hyperlink" Target="https://academic.oup.com/intqhc/advance-access?papetoc" TargetMode="External"/><Relationship Id="rId3" Type="http://schemas.openxmlformats.org/officeDocument/2006/relationships/styles" Target="styles.xml"/><Relationship Id="rId21" Type="http://schemas.openxmlformats.org/officeDocument/2006/relationships/hyperlink" Target="https://www.surgeons.org/policies-publications/publications/surgical-variance-reports/" TargetMode="External"/><Relationship Id="rId34" Type="http://schemas.openxmlformats.org/officeDocument/2006/relationships/hyperlink" Target="http://dx.doi.org/10.1016/j.jsr.2017.02.020" TargetMode="External"/><Relationship Id="rId42" Type="http://schemas.openxmlformats.org/officeDocument/2006/relationships/hyperlink" Target="https://www.nice.org.uk/guidance/cg192"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facs.org/quality-programs/about/optimal-resources-manual" TargetMode="External"/><Relationship Id="rId25" Type="http://schemas.openxmlformats.org/officeDocument/2006/relationships/hyperlink" Target="http://dx.doi.org/10.1016/j.idh.2017.07.001" TargetMode="External"/><Relationship Id="rId33" Type="http://schemas.openxmlformats.org/officeDocument/2006/relationships/hyperlink" Target="http://dx.doi.org/10.1111/1468-5973.12187" TargetMode="External"/><Relationship Id="rId38" Type="http://schemas.openxmlformats.org/officeDocument/2006/relationships/hyperlink" Target="http://journals.lww.com/pqs/toc/2017/0700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publications/national-consensus-statement-essential-elements-for-recognising-and-responding-to-deterioration-in-a-persons-mental-state/" TargetMode="External"/><Relationship Id="rId20" Type="http://schemas.openxmlformats.org/officeDocument/2006/relationships/hyperlink" Target="https://www.rcsed.ac.uk/news-public-affairs/news/2017/july/rcsed-publishes-plan-for-safer-working-environment" TargetMode="External"/><Relationship Id="rId29" Type="http://schemas.openxmlformats.org/officeDocument/2006/relationships/hyperlink" Target="https://www.safetyandquality.gov.au/our-work/medication-safety/" TargetMode="External"/><Relationship Id="rId41" Type="http://schemas.openxmlformats.org/officeDocument/2006/relationships/hyperlink" Target="https://www.nice.org.uk/guidance/cg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ahrq.gov/research/findings/nhqrdr/chartbooks/patientsafety/index.html" TargetMode="External"/><Relationship Id="rId32" Type="http://schemas.openxmlformats.org/officeDocument/2006/relationships/hyperlink" Target="https://doi.org/10.1093/intqhc/mzx099" TargetMode="External"/><Relationship Id="rId37" Type="http://schemas.openxmlformats.org/officeDocument/2006/relationships/hyperlink" Target="http://www.longwoods.com/publications/healthcare-quarterly/25217" TargetMode="External"/><Relationship Id="rId40" Type="http://schemas.openxmlformats.org/officeDocument/2006/relationships/hyperlink" Target="https://www.nice.org.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aihi.mq.edu.au/resource/complexity-science-healthcare-white-paper" TargetMode="External"/><Relationship Id="rId28" Type="http://schemas.openxmlformats.org/officeDocument/2006/relationships/hyperlink" Target="https://doi.org/10.1016/j.ijmedinf.2017.02.001" TargetMode="External"/><Relationship Id="rId36" Type="http://schemas.openxmlformats.org/officeDocument/2006/relationships/hyperlink" Target="https://doi.org/10.1136/bmj.j3879"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commonwealthfund.org/publications/issue-briefs/2017/jun/overview-home-based-primary-care" TargetMode="External"/><Relationship Id="rId31" Type="http://schemas.openxmlformats.org/officeDocument/2006/relationships/hyperlink" Target="http://dx.doi.org/10.1097/NCQ.0000000000000273"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atlas/" TargetMode="External"/><Relationship Id="rId27" Type="http://schemas.openxmlformats.org/officeDocument/2006/relationships/hyperlink" Target="https://www.safetyandquality.gov.au/our-work/healthcare-associated-infection/" TargetMode="External"/><Relationship Id="rId30" Type="http://schemas.openxmlformats.org/officeDocument/2006/relationships/hyperlink" Target="Http://dx.doi.org/10.1097/PTS.0000000000000388" TargetMode="External"/><Relationship Id="rId35" Type="http://schemas.openxmlformats.org/officeDocument/2006/relationships/hyperlink" Target="https://doi.org/10.1136/bmj.j3872"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E1D7-EF3F-47AB-87D2-6DC4DF36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3429</Words>
  <Characters>22049</Characters>
  <Application>Microsoft Office Word</Application>
  <DocSecurity>0</DocSecurity>
  <Lines>479</Lines>
  <Paragraphs>252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25226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2017-08-18T04:16:00Z</dcterms:created>
  <dcterms:modified xsi:type="dcterms:W3CDTF">2017-08-18T04:53:00Z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