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D9161E" w:rsidRDefault="00715F47" w:rsidP="00B160EF">
      <w:pPr>
        <w:rPr>
          <w:rFonts w:ascii="Garamond" w:hAnsi="Garamond"/>
          <w:color w:val="000000"/>
          <w:lang w:val="en-AU"/>
        </w:rPr>
      </w:pPr>
      <w:r w:rsidRPr="00D9161E">
        <w:rPr>
          <w:rFonts w:ascii="Garamond" w:hAnsi="Garamond"/>
          <w:color w:val="000000"/>
          <w:lang w:val="en-AU"/>
        </w:rPr>
        <w:t xml:space="preserve">Issue </w:t>
      </w:r>
      <w:r w:rsidR="00252A38" w:rsidRPr="00D9161E">
        <w:rPr>
          <w:rFonts w:ascii="Garamond" w:hAnsi="Garamond"/>
          <w:color w:val="000000"/>
          <w:lang w:val="en-AU"/>
        </w:rPr>
        <w:t>3</w:t>
      </w:r>
      <w:r w:rsidR="00B532DE">
        <w:rPr>
          <w:rFonts w:ascii="Garamond" w:hAnsi="Garamond"/>
          <w:color w:val="000000"/>
          <w:lang w:val="en-AU"/>
        </w:rPr>
        <w:t>37</w:t>
      </w:r>
    </w:p>
    <w:p w:rsidR="00755242" w:rsidRPr="00D9161E" w:rsidRDefault="00B532DE" w:rsidP="00B160EF">
      <w:pPr>
        <w:rPr>
          <w:rFonts w:ascii="Garamond" w:hAnsi="Garamond"/>
          <w:lang w:val="en-AU"/>
        </w:rPr>
      </w:pPr>
      <w:r>
        <w:rPr>
          <w:rFonts w:ascii="Garamond" w:hAnsi="Garamond"/>
          <w:lang w:val="en-AU"/>
        </w:rPr>
        <w:t>4 September</w:t>
      </w:r>
      <w:r w:rsidR="001E5BD1">
        <w:rPr>
          <w:rFonts w:ascii="Garamond" w:hAnsi="Garamond"/>
          <w:lang w:val="en-AU"/>
        </w:rPr>
        <w:t xml:space="preserve"> </w:t>
      </w:r>
      <w:r w:rsidR="00F74A58" w:rsidRPr="00D9161E">
        <w:rPr>
          <w:rFonts w:ascii="Garamond" w:hAnsi="Garamond"/>
          <w:lang w:val="en-AU"/>
        </w:rPr>
        <w:t>2017</w:t>
      </w:r>
    </w:p>
    <w:p w:rsidR="00566895" w:rsidRPr="00D9161E" w:rsidRDefault="00566895" w:rsidP="00B160EF">
      <w:pPr>
        <w:rPr>
          <w:rFonts w:ascii="Garamond" w:hAnsi="Garamond"/>
          <w:lang w:val="en-AU"/>
        </w:rPr>
      </w:pPr>
    </w:p>
    <w:p w:rsidR="00B160EF" w:rsidRPr="00D9161E" w:rsidRDefault="00B160EF" w:rsidP="00B160EF">
      <w:pPr>
        <w:rPr>
          <w:rFonts w:ascii="Garamond" w:hAnsi="Garamond"/>
          <w:b/>
          <w:lang w:val="en-AU"/>
        </w:rPr>
      </w:pPr>
      <w:r w:rsidRPr="00D9161E">
        <w:rPr>
          <w:rFonts w:ascii="Garamond" w:hAnsi="Garamond"/>
          <w:i/>
          <w:lang w:val="en-AU"/>
        </w:rPr>
        <w:t>On the Radar</w:t>
      </w:r>
      <w:r w:rsidRPr="00D9161E">
        <w:rPr>
          <w:rFonts w:ascii="Garamond" w:hAnsi="Garamond"/>
          <w:lang w:val="en-AU"/>
        </w:rPr>
        <w:t xml:space="preserve"> is a summary of some of the recent publications in </w:t>
      </w:r>
      <w:r w:rsidR="000025DB" w:rsidRPr="00D9161E">
        <w:rPr>
          <w:rFonts w:ascii="Garamond" w:hAnsi="Garamond"/>
          <w:lang w:val="en-AU"/>
        </w:rPr>
        <w:t>the</w:t>
      </w:r>
      <w:r w:rsidRPr="00D9161E">
        <w:rPr>
          <w:rFonts w:ascii="Garamond" w:hAnsi="Garamond"/>
          <w:lang w:val="en-AU"/>
        </w:rPr>
        <w:t xml:space="preserve"> areas of safety and quality in health care. Inclusion in this document is not an endorsement or recommendation of any publication or provider.</w:t>
      </w:r>
      <w:r w:rsidR="00594E21" w:rsidRPr="00D9161E">
        <w:rPr>
          <w:rFonts w:ascii="Garamond" w:hAnsi="Garamond"/>
          <w:lang w:val="en-AU"/>
        </w:rPr>
        <w:t xml:space="preserve"> </w:t>
      </w:r>
      <w:r w:rsidRPr="00D9161E">
        <w:rPr>
          <w:rFonts w:ascii="Garamond" w:hAnsi="Garamond"/>
          <w:lang w:val="en-AU"/>
        </w:rPr>
        <w:t>Access to particular documents may depend on whether they are Open Access or not, and/or your individual or institutional access to subscription sites/services.</w:t>
      </w:r>
      <w:r w:rsidR="00F460A7" w:rsidRPr="00D9161E">
        <w:rPr>
          <w:rFonts w:ascii="Garamond" w:hAnsi="Garamond"/>
          <w:lang w:val="en-AU"/>
        </w:rPr>
        <w:t xml:space="preserve"> Material that may require subscription is included as it is considered relevant.</w:t>
      </w:r>
    </w:p>
    <w:p w:rsidR="00B160EF" w:rsidRPr="00D9161E" w:rsidRDefault="00B160EF" w:rsidP="00B160EF">
      <w:pPr>
        <w:rPr>
          <w:rFonts w:ascii="Garamond" w:hAnsi="Garamond"/>
          <w:lang w:val="en-AU"/>
        </w:rPr>
      </w:pPr>
    </w:p>
    <w:p w:rsidR="00230D83" w:rsidRPr="00D9161E" w:rsidRDefault="00B160EF" w:rsidP="0045757F">
      <w:pPr>
        <w:autoSpaceDE w:val="0"/>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available </w:t>
      </w:r>
      <w:r w:rsidR="003D1E7A" w:rsidRPr="00D9161E">
        <w:rPr>
          <w:rFonts w:ascii="Garamond" w:hAnsi="Garamond"/>
          <w:lang w:val="en-AU"/>
        </w:rPr>
        <w:t xml:space="preserve">online, </w:t>
      </w:r>
      <w:r w:rsidRPr="00D9161E">
        <w:rPr>
          <w:rFonts w:ascii="Garamond" w:hAnsi="Garamond"/>
          <w:lang w:val="en-AU"/>
        </w:rPr>
        <w:t xml:space="preserve">via email or as a PDF </w:t>
      </w:r>
      <w:r w:rsidR="006F34BB" w:rsidRPr="00D9161E">
        <w:rPr>
          <w:rFonts w:ascii="Garamond" w:hAnsi="Garamond"/>
          <w:lang w:val="en-AU"/>
        </w:rPr>
        <w:t xml:space="preserve">or Word </w:t>
      </w:r>
      <w:r w:rsidRPr="00D9161E">
        <w:rPr>
          <w:rFonts w:ascii="Garamond" w:hAnsi="Garamond"/>
          <w:lang w:val="en-AU"/>
        </w:rPr>
        <w:t xml:space="preserve">document from </w:t>
      </w:r>
      <w:hyperlink r:id="rId10" w:history="1">
        <w:r w:rsidR="00543EF2" w:rsidRPr="00781DEA">
          <w:rPr>
            <w:rStyle w:val="Hyperlink"/>
            <w:rFonts w:ascii="Garamond" w:hAnsi="Garamond"/>
            <w:lang w:val="en-AU"/>
          </w:rPr>
          <w:t>https://www.safetyandquality.gov.au/publications-resources/on-the-radar/</w:t>
        </w:r>
      </w:hyperlink>
    </w:p>
    <w:p w:rsidR="0090536C" w:rsidRPr="00D9161E" w:rsidRDefault="0090536C" w:rsidP="0045757F">
      <w:pPr>
        <w:autoSpaceDE w:val="0"/>
        <w:rPr>
          <w:rFonts w:ascii="Garamond" w:hAnsi="Garamond"/>
          <w:lang w:val="en-AU"/>
        </w:rPr>
      </w:pPr>
    </w:p>
    <w:p w:rsidR="00B160EF" w:rsidRPr="00D9161E" w:rsidRDefault="00B160EF" w:rsidP="0045757F">
      <w:pPr>
        <w:autoSpaceDE w:val="0"/>
        <w:rPr>
          <w:rFonts w:ascii="Garamond" w:hAnsi="Garamond"/>
          <w:lang w:val="en-AU"/>
        </w:rPr>
      </w:pPr>
      <w:r w:rsidRPr="00D9161E">
        <w:rPr>
          <w:rFonts w:ascii="Garamond" w:hAnsi="Garamond"/>
          <w:lang w:val="en-AU"/>
        </w:rPr>
        <w:t xml:space="preserve">If you would like to receive </w:t>
      </w:r>
      <w:r w:rsidRPr="00D9161E">
        <w:rPr>
          <w:rFonts w:ascii="Garamond" w:hAnsi="Garamond"/>
          <w:i/>
          <w:lang w:val="en-AU"/>
        </w:rPr>
        <w:t>On the Radar</w:t>
      </w:r>
      <w:r w:rsidRPr="00D9161E">
        <w:rPr>
          <w:rFonts w:ascii="Garamond" w:hAnsi="Garamond"/>
          <w:lang w:val="en-AU"/>
        </w:rPr>
        <w:t xml:space="preserve"> via email</w:t>
      </w:r>
      <w:r w:rsidR="003D7B9E" w:rsidRPr="00D9161E">
        <w:rPr>
          <w:rFonts w:ascii="Garamond" w:hAnsi="Garamond"/>
          <w:lang w:val="en-AU"/>
        </w:rPr>
        <w:t>, you can</w:t>
      </w:r>
      <w:r w:rsidR="00F24F60" w:rsidRPr="00D9161E">
        <w:rPr>
          <w:rFonts w:ascii="Garamond" w:hAnsi="Garamond"/>
          <w:lang w:val="en-AU"/>
        </w:rPr>
        <w:t xml:space="preserve"> subscribe on our website </w:t>
      </w:r>
      <w:hyperlink r:id="rId11" w:history="1">
        <w:r w:rsidR="00543EF2" w:rsidRPr="00781DEA">
          <w:rPr>
            <w:rStyle w:val="Hyperlink"/>
            <w:rFonts w:ascii="Garamond" w:hAnsi="Garamond"/>
            <w:lang w:val="en-AU"/>
          </w:rPr>
          <w:t>https://www.safetyandquality.gov.au/</w:t>
        </w:r>
      </w:hyperlink>
      <w:r w:rsidR="003D7B9E" w:rsidRPr="00D9161E">
        <w:rPr>
          <w:rFonts w:ascii="Garamond" w:hAnsi="Garamond"/>
          <w:lang w:val="en-AU"/>
        </w:rPr>
        <w:t xml:space="preserve"> or by emailing us at </w:t>
      </w:r>
      <w:r w:rsidR="003D7B9E" w:rsidRPr="00D9161E">
        <w:rPr>
          <w:rFonts w:ascii="Garamond" w:hAnsi="Garamond" w:cs="ZWAdobeF"/>
          <w:sz w:val="2"/>
          <w:szCs w:val="2"/>
          <w:lang w:val="en-AU"/>
        </w:rPr>
        <w:t>H</w:t>
      </w:r>
      <w:hyperlink r:id="rId12"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 xml:space="preserve">. </w:t>
      </w:r>
      <w:r w:rsidR="00E51D23" w:rsidRPr="00D9161E">
        <w:rPr>
          <w:rFonts w:ascii="Garamond" w:hAnsi="Garamond"/>
          <w:lang w:val="en-AU"/>
        </w:rPr>
        <w:br/>
      </w:r>
      <w:r w:rsidR="003D7B9E" w:rsidRPr="00D9161E">
        <w:rPr>
          <w:rFonts w:ascii="Garamond" w:hAnsi="Garamond"/>
          <w:lang w:val="en-AU"/>
        </w:rPr>
        <w:t xml:space="preserve">You can also send feedback and comments to </w:t>
      </w:r>
      <w:r w:rsidR="003D7B9E" w:rsidRPr="00D9161E">
        <w:rPr>
          <w:rFonts w:ascii="Garamond" w:hAnsi="Garamond" w:cs="ZWAdobeF"/>
          <w:sz w:val="2"/>
          <w:szCs w:val="2"/>
          <w:lang w:val="en-AU"/>
        </w:rPr>
        <w:t>H</w:t>
      </w:r>
      <w:hyperlink r:id="rId13"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w:t>
      </w:r>
    </w:p>
    <w:p w:rsidR="00B160EF" w:rsidRPr="00D9161E" w:rsidRDefault="00B160EF" w:rsidP="00837FC4">
      <w:pPr>
        <w:tabs>
          <w:tab w:val="left" w:pos="7773"/>
        </w:tabs>
        <w:rPr>
          <w:rFonts w:ascii="Garamond" w:hAnsi="Garamond"/>
          <w:lang w:val="en-AU"/>
        </w:rPr>
      </w:pPr>
    </w:p>
    <w:p w:rsidR="00837FC4" w:rsidRPr="00D9161E" w:rsidRDefault="00B160EF" w:rsidP="004554DB">
      <w:pPr>
        <w:autoSpaceDE w:val="0"/>
        <w:rPr>
          <w:rFonts w:ascii="Garamond" w:hAnsi="Garamond"/>
          <w:lang w:val="en-AU"/>
        </w:rPr>
      </w:pPr>
      <w:bookmarkStart w:id="0" w:name="OLE_LINK1"/>
      <w:r w:rsidRPr="00D9161E">
        <w:rPr>
          <w:rFonts w:ascii="Garamond" w:hAnsi="Garamond"/>
          <w:lang w:val="en-AU"/>
        </w:rPr>
        <w:t xml:space="preserve">For information about the Commission and its programs and publications, please visit </w:t>
      </w:r>
      <w:hyperlink r:id="rId14" w:history="1">
        <w:r w:rsidR="00543EF2" w:rsidRPr="00781DEA">
          <w:rPr>
            <w:rStyle w:val="Hyperlink"/>
            <w:rFonts w:ascii="Garamond" w:hAnsi="Garamond"/>
            <w:lang w:val="en-AU"/>
          </w:rPr>
          <w:t>https://www.safetyandquality.gov.au</w:t>
        </w:r>
      </w:hyperlink>
    </w:p>
    <w:p w:rsidR="0054703F" w:rsidRPr="00D9161E" w:rsidRDefault="004554DB" w:rsidP="004554DB">
      <w:pPr>
        <w:autoSpaceDE w:val="0"/>
        <w:rPr>
          <w:rFonts w:ascii="Garamond" w:hAnsi="Garamond"/>
          <w:lang w:val="en-AU"/>
        </w:rPr>
      </w:pPr>
      <w:r w:rsidRPr="00D9161E">
        <w:rPr>
          <w:rFonts w:ascii="Garamond" w:hAnsi="Garamond"/>
          <w:lang w:val="en-AU"/>
        </w:rPr>
        <w:t>You can also follow us on Twitter @ACSQHC.</w:t>
      </w:r>
    </w:p>
    <w:p w:rsidR="00827643" w:rsidRDefault="00827643" w:rsidP="00210235">
      <w:pPr>
        <w:keepNext/>
        <w:pBdr>
          <w:top w:val="single" w:sz="4" w:space="1" w:color="auto"/>
        </w:pBdr>
        <w:rPr>
          <w:rFonts w:ascii="Garamond" w:hAnsi="Garamond"/>
          <w:b/>
          <w:lang w:val="en-AU"/>
        </w:rPr>
      </w:pPr>
    </w:p>
    <w:p w:rsidR="00210235" w:rsidRPr="00D9161E" w:rsidRDefault="00210235" w:rsidP="00210235">
      <w:pPr>
        <w:keepNext/>
        <w:pBdr>
          <w:top w:val="single" w:sz="4" w:space="1" w:color="auto"/>
        </w:pBdr>
        <w:rPr>
          <w:rFonts w:ascii="Garamond" w:hAnsi="Garamond"/>
          <w:b/>
          <w:lang w:val="en-AU"/>
        </w:rPr>
      </w:pPr>
      <w:r w:rsidRPr="00D9161E">
        <w:rPr>
          <w:rFonts w:ascii="Garamond" w:hAnsi="Garamond"/>
          <w:b/>
          <w:lang w:val="en-AU"/>
        </w:rPr>
        <w:t>On the Radar</w:t>
      </w:r>
    </w:p>
    <w:p w:rsidR="00340157" w:rsidRPr="00D9161E" w:rsidRDefault="00340157" w:rsidP="00210235">
      <w:pPr>
        <w:keepNext/>
        <w:pBdr>
          <w:top w:val="single" w:sz="4" w:space="1" w:color="auto"/>
        </w:pBdr>
        <w:rPr>
          <w:rFonts w:ascii="Garamond" w:hAnsi="Garamond"/>
          <w:bCs/>
          <w:lang w:val="en-AU"/>
        </w:rPr>
      </w:pPr>
      <w:r w:rsidRPr="00D9161E">
        <w:rPr>
          <w:rFonts w:ascii="Garamond" w:hAnsi="Garamond"/>
          <w:bCs/>
          <w:lang w:val="en-AU"/>
        </w:rPr>
        <w:t xml:space="preserve">Editor: </w:t>
      </w:r>
      <w:r w:rsidR="00C8085B" w:rsidRPr="00D9161E">
        <w:rPr>
          <w:rFonts w:ascii="Garamond" w:hAnsi="Garamond"/>
          <w:bCs/>
          <w:lang w:val="en-AU"/>
        </w:rPr>
        <w:t xml:space="preserve">Dr </w:t>
      </w:r>
      <w:r w:rsidRPr="00D9161E">
        <w:rPr>
          <w:rFonts w:ascii="Garamond" w:hAnsi="Garamond"/>
          <w:bCs/>
          <w:lang w:val="en-AU"/>
        </w:rPr>
        <w:t xml:space="preserve">Niall Johnson </w:t>
      </w:r>
      <w:hyperlink r:id="rId15" w:history="1">
        <w:r w:rsidRPr="00D9161E">
          <w:rPr>
            <w:rStyle w:val="Hyperlink"/>
            <w:rFonts w:ascii="Garamond" w:hAnsi="Garamond"/>
            <w:bCs/>
            <w:lang w:val="en-AU"/>
          </w:rPr>
          <w:t>niall.johnson@safetyandquality.gov.au</w:t>
        </w:r>
      </w:hyperlink>
    </w:p>
    <w:p w:rsidR="009A35BE" w:rsidRPr="00D9161E" w:rsidRDefault="00210235" w:rsidP="00A8296D">
      <w:pPr>
        <w:keepNext/>
        <w:pBdr>
          <w:top w:val="single" w:sz="4" w:space="1" w:color="auto"/>
        </w:pBdr>
        <w:rPr>
          <w:rFonts w:ascii="Garamond" w:hAnsi="Garamond"/>
          <w:shd w:val="clear" w:color="auto" w:fill="FFFFFF"/>
          <w:lang w:val="en-AU"/>
        </w:rPr>
      </w:pPr>
      <w:r w:rsidRPr="00D9161E">
        <w:rPr>
          <w:rFonts w:ascii="Garamond" w:hAnsi="Garamond"/>
          <w:bCs/>
          <w:lang w:val="en-AU"/>
        </w:rPr>
        <w:t xml:space="preserve">Contributors: </w:t>
      </w:r>
      <w:r w:rsidR="0056339A" w:rsidRPr="00D9161E">
        <w:rPr>
          <w:rFonts w:ascii="Garamond" w:hAnsi="Garamond"/>
          <w:bCs/>
          <w:lang w:val="en-AU"/>
        </w:rPr>
        <w:t>Niall Johnson</w:t>
      </w:r>
      <w:bookmarkEnd w:id="0"/>
      <w:r w:rsidR="00592B40">
        <w:rPr>
          <w:rFonts w:ascii="Garamond" w:hAnsi="Garamond"/>
          <w:bCs/>
          <w:lang w:val="en-AU"/>
        </w:rPr>
        <w:t>, Lauren Deutsch</w:t>
      </w:r>
    </w:p>
    <w:p w:rsidR="00F00D62" w:rsidRPr="00F00D62" w:rsidRDefault="00F00D62" w:rsidP="00F00D62">
      <w:pPr>
        <w:keepLines/>
        <w:autoSpaceDE w:val="0"/>
        <w:autoSpaceDN w:val="0"/>
        <w:adjustRightInd w:val="0"/>
        <w:rPr>
          <w:rFonts w:ascii="Garamond" w:hAnsi="Garamond"/>
          <w:lang w:val="en-AU"/>
        </w:rPr>
      </w:pPr>
    </w:p>
    <w:p w:rsidR="00F00D62" w:rsidRPr="00F00D62" w:rsidRDefault="00F00D62" w:rsidP="00F00D62">
      <w:pPr>
        <w:keepLines/>
        <w:autoSpaceDE w:val="0"/>
        <w:autoSpaceDN w:val="0"/>
        <w:adjustRightInd w:val="0"/>
        <w:rPr>
          <w:rFonts w:ascii="Garamond" w:hAnsi="Garamond"/>
          <w:b/>
          <w:lang w:val="en-AU"/>
        </w:rPr>
      </w:pPr>
      <w:r w:rsidRPr="00F00D62">
        <w:rPr>
          <w:rFonts w:ascii="Garamond" w:hAnsi="Garamond"/>
          <w:b/>
          <w:lang w:val="en-AU"/>
        </w:rPr>
        <w:t>Consultation open: Venous Thromboembolism Prevention Clinical Care Standard</w:t>
      </w:r>
    </w:p>
    <w:p w:rsidR="00F00D62" w:rsidRPr="00F00D62" w:rsidRDefault="00F00D62" w:rsidP="00F00D62">
      <w:pPr>
        <w:keepLines/>
        <w:autoSpaceDE w:val="0"/>
        <w:autoSpaceDN w:val="0"/>
        <w:adjustRightInd w:val="0"/>
        <w:rPr>
          <w:rFonts w:ascii="Garamond" w:hAnsi="Garamond"/>
          <w:lang w:val="en-AU"/>
        </w:rPr>
      </w:pPr>
    </w:p>
    <w:p w:rsidR="00F00D62" w:rsidRPr="00F00D62" w:rsidRDefault="00F00D62" w:rsidP="00F00D62">
      <w:pPr>
        <w:keepLines/>
        <w:autoSpaceDE w:val="0"/>
        <w:autoSpaceDN w:val="0"/>
        <w:adjustRightInd w:val="0"/>
        <w:rPr>
          <w:rFonts w:ascii="Garamond" w:hAnsi="Garamond"/>
          <w:lang w:val="en-AU"/>
        </w:rPr>
      </w:pPr>
      <w:r w:rsidRPr="00F00D62">
        <w:rPr>
          <w:rFonts w:ascii="Garamond" w:hAnsi="Garamond"/>
          <w:lang w:val="en-AU"/>
        </w:rPr>
        <w:t xml:space="preserve">In collaboration with consumers, clinicians, researchers and health organisations, the Australian Commission on Safety and Quality in Health Care (the Commission) has developed a draft </w:t>
      </w:r>
      <w:r w:rsidRPr="00F00D62">
        <w:rPr>
          <w:rFonts w:ascii="Garamond" w:hAnsi="Garamond"/>
          <w:i/>
          <w:lang w:val="en-AU"/>
        </w:rPr>
        <w:t>Venous Thromboembolism (VTE) Prevention Clinical Care Standard</w:t>
      </w:r>
      <w:r w:rsidRPr="00F00D62">
        <w:rPr>
          <w:rFonts w:ascii="Garamond" w:hAnsi="Garamond"/>
          <w:lang w:val="en-AU"/>
        </w:rPr>
        <w:t>.</w:t>
      </w:r>
    </w:p>
    <w:p w:rsidR="00F00D62" w:rsidRPr="00F00D62" w:rsidRDefault="00F00D62" w:rsidP="00F00D62">
      <w:pPr>
        <w:keepLines/>
        <w:autoSpaceDE w:val="0"/>
        <w:autoSpaceDN w:val="0"/>
        <w:adjustRightInd w:val="0"/>
        <w:rPr>
          <w:rFonts w:ascii="Garamond" w:hAnsi="Garamond"/>
          <w:lang w:val="en-AU"/>
        </w:rPr>
      </w:pPr>
    </w:p>
    <w:p w:rsidR="00F00D62" w:rsidRPr="00F00D62" w:rsidRDefault="00F00D62" w:rsidP="00F00D62">
      <w:pPr>
        <w:keepLines/>
        <w:autoSpaceDE w:val="0"/>
        <w:autoSpaceDN w:val="0"/>
        <w:adjustRightInd w:val="0"/>
        <w:rPr>
          <w:rFonts w:ascii="Garamond" w:hAnsi="Garamond"/>
          <w:lang w:val="en-AU"/>
        </w:rPr>
      </w:pPr>
      <w:r w:rsidRPr="00F00D62">
        <w:rPr>
          <w:rFonts w:ascii="Garamond" w:hAnsi="Garamond"/>
          <w:lang w:val="en-AU"/>
        </w:rPr>
        <w:t xml:space="preserve">Clinical care standards can play an important role in guiding the delivery of appropriate care and reducing unwarranted variation, as they identify and define the care people should expect to be offered, regardless of where they are treated in Australia. They target areas of variation where improvement can be made. </w:t>
      </w:r>
    </w:p>
    <w:p w:rsidR="00F00D62" w:rsidRPr="00F00D62" w:rsidRDefault="00F00D62" w:rsidP="00F00D62">
      <w:pPr>
        <w:keepLines/>
        <w:autoSpaceDE w:val="0"/>
        <w:autoSpaceDN w:val="0"/>
        <w:adjustRightInd w:val="0"/>
        <w:rPr>
          <w:rFonts w:ascii="Garamond" w:hAnsi="Garamond"/>
          <w:lang w:val="en-AU"/>
        </w:rPr>
      </w:pPr>
    </w:p>
    <w:p w:rsidR="00F00D62" w:rsidRPr="00F00D62" w:rsidRDefault="00F00D62" w:rsidP="00F00D62">
      <w:pPr>
        <w:keepLines/>
        <w:autoSpaceDE w:val="0"/>
        <w:autoSpaceDN w:val="0"/>
        <w:adjustRightInd w:val="0"/>
        <w:rPr>
          <w:rFonts w:ascii="Garamond" w:hAnsi="Garamond"/>
          <w:lang w:val="en-AU"/>
        </w:rPr>
      </w:pPr>
      <w:r w:rsidRPr="00F00D62">
        <w:rPr>
          <w:rFonts w:ascii="Garamond" w:hAnsi="Garamond"/>
          <w:lang w:val="en-AU"/>
        </w:rPr>
        <w:t>Development of a VTE Prevention Clinical Care Standard was proposed by state and territory health departments given that VTE prevention has been identified as an ongoing safety and quality issue in A</w:t>
      </w:r>
      <w:r w:rsidR="006C377D">
        <w:rPr>
          <w:rFonts w:ascii="Garamond" w:hAnsi="Garamond"/>
          <w:lang w:val="en-AU"/>
        </w:rPr>
        <w:t>ustralian hospitals.</w:t>
      </w:r>
    </w:p>
    <w:p w:rsidR="00F00D62" w:rsidRPr="00F00D62" w:rsidRDefault="00F00D62" w:rsidP="00F00D62">
      <w:pPr>
        <w:keepLines/>
        <w:autoSpaceDE w:val="0"/>
        <w:autoSpaceDN w:val="0"/>
        <w:adjustRightInd w:val="0"/>
        <w:rPr>
          <w:rFonts w:ascii="Garamond" w:hAnsi="Garamond"/>
          <w:lang w:val="en-AU"/>
        </w:rPr>
      </w:pPr>
    </w:p>
    <w:p w:rsidR="00F00D62" w:rsidRPr="00F00D62" w:rsidRDefault="00F00D62" w:rsidP="00F00D62">
      <w:pPr>
        <w:keepLines/>
        <w:autoSpaceDE w:val="0"/>
        <w:autoSpaceDN w:val="0"/>
        <w:adjustRightInd w:val="0"/>
        <w:rPr>
          <w:rFonts w:ascii="Garamond" w:hAnsi="Garamond"/>
          <w:lang w:val="en-AU"/>
        </w:rPr>
      </w:pPr>
      <w:r w:rsidRPr="00F00D62">
        <w:rPr>
          <w:rFonts w:ascii="Garamond" w:hAnsi="Garamond"/>
          <w:lang w:val="en-AU"/>
        </w:rPr>
        <w:t xml:space="preserve">Consultation on the draft VTE Prevention Clinical Care Standard and associated resources is now open until </w:t>
      </w:r>
      <w:r w:rsidRPr="00F00D62">
        <w:rPr>
          <w:rFonts w:ascii="Garamond" w:hAnsi="Garamond"/>
          <w:b/>
          <w:lang w:val="en-AU"/>
        </w:rPr>
        <w:t>30 September 2017</w:t>
      </w:r>
      <w:r w:rsidRPr="00F00D62">
        <w:rPr>
          <w:rFonts w:ascii="Garamond" w:hAnsi="Garamond"/>
          <w:lang w:val="en-AU"/>
        </w:rPr>
        <w:t>. Submissions are requested via online survey</w:t>
      </w:r>
      <w:r>
        <w:rPr>
          <w:rFonts w:ascii="Garamond" w:hAnsi="Garamond"/>
          <w:lang w:val="en-AU"/>
        </w:rPr>
        <w:t xml:space="preserve"> available at </w:t>
      </w:r>
      <w:hyperlink r:id="rId16" w:history="1">
        <w:r w:rsidRPr="00247999">
          <w:rPr>
            <w:rStyle w:val="Hyperlink"/>
            <w:rFonts w:ascii="Garamond" w:hAnsi="Garamond"/>
            <w:lang w:val="en-AU"/>
          </w:rPr>
          <w:t>https://www.surveymonkey.com/r/VTEPreventionClinicalCareStandard</w:t>
        </w:r>
      </w:hyperlink>
      <w:r w:rsidRPr="00F00D62">
        <w:rPr>
          <w:rFonts w:ascii="Garamond" w:hAnsi="Garamond"/>
          <w:lang w:val="en-AU"/>
        </w:rPr>
        <w:t xml:space="preserve"> or </w:t>
      </w:r>
      <w:r w:rsidR="006C377D" w:rsidRPr="006C377D">
        <w:rPr>
          <w:rFonts w:ascii="Garamond" w:hAnsi="Garamond"/>
          <w:lang w:val="en-AU"/>
        </w:rPr>
        <w:t>by email</w:t>
      </w:r>
      <w:r w:rsidR="006C377D">
        <w:rPr>
          <w:rFonts w:ascii="Garamond" w:hAnsi="Garamond"/>
          <w:lang w:val="en-AU"/>
        </w:rPr>
        <w:t xml:space="preserve"> to </w:t>
      </w:r>
      <w:hyperlink r:id="rId17" w:history="1">
        <w:r w:rsidR="006C377D" w:rsidRPr="00567745">
          <w:rPr>
            <w:rStyle w:val="Hyperlink"/>
            <w:rFonts w:ascii="Garamond" w:hAnsi="Garamond"/>
            <w:lang w:val="en-AU"/>
          </w:rPr>
          <w:t>CCS@health.gov.au</w:t>
        </w:r>
      </w:hyperlink>
      <w:r w:rsidR="006C377D">
        <w:rPr>
          <w:rFonts w:ascii="Garamond" w:hAnsi="Garamond"/>
          <w:lang w:val="en-AU"/>
        </w:rPr>
        <w:t>.</w:t>
      </w:r>
    </w:p>
    <w:p w:rsidR="00F00D62" w:rsidRDefault="00F00D62" w:rsidP="00F00D62">
      <w:pPr>
        <w:keepLines/>
        <w:autoSpaceDE w:val="0"/>
        <w:autoSpaceDN w:val="0"/>
        <w:adjustRightInd w:val="0"/>
        <w:rPr>
          <w:rFonts w:ascii="Garamond" w:hAnsi="Garamond"/>
          <w:lang w:val="en-AU"/>
        </w:rPr>
      </w:pPr>
    </w:p>
    <w:p w:rsidR="00827643" w:rsidRDefault="00F00D62" w:rsidP="00F00D62">
      <w:pPr>
        <w:keepLines/>
        <w:autoSpaceDE w:val="0"/>
        <w:autoSpaceDN w:val="0"/>
        <w:adjustRightInd w:val="0"/>
        <w:rPr>
          <w:rFonts w:ascii="Garamond" w:hAnsi="Garamond"/>
          <w:lang w:val="en-AU"/>
        </w:rPr>
      </w:pPr>
      <w:r>
        <w:rPr>
          <w:rFonts w:ascii="Garamond" w:hAnsi="Garamond"/>
          <w:lang w:val="en-AU"/>
        </w:rPr>
        <w:t>F</w:t>
      </w:r>
      <w:r w:rsidRPr="00F00D62">
        <w:rPr>
          <w:rFonts w:ascii="Garamond" w:hAnsi="Garamond"/>
          <w:lang w:val="en-AU"/>
        </w:rPr>
        <w:t>or more information on the consultation process, including access to</w:t>
      </w:r>
      <w:r>
        <w:rPr>
          <w:rFonts w:ascii="Garamond" w:hAnsi="Garamond"/>
          <w:lang w:val="en-AU"/>
        </w:rPr>
        <w:t xml:space="preserve"> the draft resources and survey, see </w:t>
      </w:r>
      <w:hyperlink r:id="rId18" w:history="1">
        <w:r w:rsidRPr="00247999">
          <w:rPr>
            <w:rStyle w:val="Hyperlink"/>
            <w:rFonts w:ascii="Garamond" w:hAnsi="Garamond"/>
            <w:lang w:val="en-AU"/>
          </w:rPr>
          <w:t>https://www.safetyandquality.gov.au/our-work/clinical-care-standards/current-consultations/</w:t>
        </w:r>
      </w:hyperlink>
      <w:r>
        <w:rPr>
          <w:rFonts w:ascii="Garamond" w:hAnsi="Garamond"/>
          <w:lang w:val="en-AU"/>
        </w:rPr>
        <w:t xml:space="preserve"> </w:t>
      </w:r>
    </w:p>
    <w:p w:rsidR="00177F9F" w:rsidRPr="00D9161E" w:rsidRDefault="00177F9F" w:rsidP="00644660">
      <w:pPr>
        <w:keepNext/>
        <w:keepLines/>
        <w:autoSpaceDE w:val="0"/>
        <w:autoSpaceDN w:val="0"/>
        <w:adjustRightInd w:val="0"/>
        <w:rPr>
          <w:rFonts w:ascii="Garamond" w:hAnsi="Garamond"/>
          <w:b/>
          <w:lang w:val="en-AU"/>
        </w:rPr>
      </w:pPr>
      <w:r w:rsidRPr="00D9161E">
        <w:rPr>
          <w:rFonts w:ascii="Garamond" w:hAnsi="Garamond"/>
          <w:b/>
          <w:lang w:val="en-AU"/>
        </w:rPr>
        <w:lastRenderedPageBreak/>
        <w:t>Reports</w:t>
      </w:r>
    </w:p>
    <w:p w:rsidR="00177F9F" w:rsidRDefault="00177F9F" w:rsidP="00644660">
      <w:pPr>
        <w:keepNext/>
        <w:keepLines/>
        <w:autoSpaceDE w:val="0"/>
        <w:autoSpaceDN w:val="0"/>
        <w:adjustRightInd w:val="0"/>
        <w:rPr>
          <w:rFonts w:ascii="Garamond" w:hAnsi="Garamond"/>
          <w:b/>
          <w:lang w:val="en-AU"/>
        </w:rPr>
      </w:pPr>
    </w:p>
    <w:p w:rsidR="00182EB7" w:rsidRPr="009F4874" w:rsidRDefault="009F4874" w:rsidP="00182EB7">
      <w:pPr>
        <w:keepNext/>
        <w:keepLines/>
        <w:autoSpaceDE w:val="0"/>
        <w:autoSpaceDN w:val="0"/>
        <w:adjustRightInd w:val="0"/>
        <w:rPr>
          <w:rFonts w:ascii="Garamond" w:hAnsi="Garamond"/>
          <w:i/>
          <w:lang w:val="en-AU"/>
        </w:rPr>
      </w:pPr>
      <w:r w:rsidRPr="009F4874">
        <w:rPr>
          <w:rFonts w:ascii="Garamond" w:hAnsi="Garamond"/>
          <w:i/>
          <w:lang w:val="en-AU"/>
        </w:rPr>
        <w:t>Developing accountable care systems: Lessons from Canterbury, New Zealand</w:t>
      </w:r>
    </w:p>
    <w:p w:rsidR="004277AB" w:rsidRDefault="004277AB" w:rsidP="00182EB7">
      <w:pPr>
        <w:keepNext/>
        <w:keepLines/>
        <w:autoSpaceDE w:val="0"/>
        <w:autoSpaceDN w:val="0"/>
        <w:adjustRightInd w:val="0"/>
        <w:rPr>
          <w:rFonts w:ascii="Garamond" w:hAnsi="Garamond"/>
          <w:lang w:val="en-AU"/>
        </w:rPr>
      </w:pPr>
      <w:r w:rsidRPr="004277AB">
        <w:rPr>
          <w:rFonts w:ascii="Garamond" w:hAnsi="Garamond"/>
          <w:lang w:val="en-AU"/>
        </w:rPr>
        <w:t>Charles A</w:t>
      </w:r>
    </w:p>
    <w:p w:rsidR="009F4874" w:rsidRPr="00D9161E" w:rsidRDefault="004277AB" w:rsidP="00182EB7">
      <w:pPr>
        <w:keepNext/>
        <w:keepLines/>
        <w:autoSpaceDE w:val="0"/>
        <w:autoSpaceDN w:val="0"/>
        <w:adjustRightInd w:val="0"/>
        <w:rPr>
          <w:rFonts w:ascii="Garamond" w:hAnsi="Garamond"/>
          <w:lang w:val="en-AU"/>
        </w:rPr>
      </w:pPr>
      <w:r w:rsidRPr="004277AB">
        <w:rPr>
          <w:rFonts w:ascii="Garamond" w:hAnsi="Garamond"/>
          <w:lang w:val="en-AU"/>
        </w:rPr>
        <w:t>London: The King's Fund; 2017. p. 27.</w:t>
      </w:r>
    </w:p>
    <w:tbl>
      <w:tblPr>
        <w:tblStyle w:val="TableGrid"/>
        <w:tblW w:w="0" w:type="auto"/>
        <w:tblInd w:w="288" w:type="dxa"/>
        <w:tblLayout w:type="fixed"/>
        <w:tblLook w:val="01E0" w:firstRow="1" w:lastRow="1" w:firstColumn="1" w:lastColumn="1" w:noHBand="0" w:noVBand="0"/>
      </w:tblPr>
      <w:tblGrid>
        <w:gridCol w:w="1080"/>
        <w:gridCol w:w="8280"/>
      </w:tblGrid>
      <w:tr w:rsidR="00995F91" w:rsidRPr="00D9161E" w:rsidTr="002A760C">
        <w:tc>
          <w:tcPr>
            <w:tcW w:w="1080" w:type="dxa"/>
            <w:tcBorders>
              <w:top w:val="single" w:sz="4" w:space="0" w:color="auto"/>
              <w:left w:val="single" w:sz="4" w:space="0" w:color="auto"/>
              <w:bottom w:val="single" w:sz="4" w:space="0" w:color="auto"/>
              <w:right w:val="single" w:sz="4" w:space="0" w:color="auto"/>
            </w:tcBorders>
            <w:vAlign w:val="center"/>
          </w:tcPr>
          <w:p w:rsidR="00995F91" w:rsidRPr="00D9161E" w:rsidRDefault="00995F91" w:rsidP="002A760C">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5F91" w:rsidRPr="00D9161E" w:rsidRDefault="00191DF2" w:rsidP="002A760C">
            <w:pPr>
              <w:rPr>
                <w:rStyle w:val="Hyperlink"/>
                <w:rFonts w:ascii="Garamond" w:hAnsi="Garamond"/>
                <w:color w:val="auto"/>
                <w:u w:val="none"/>
                <w:lang w:val="en-AU"/>
              </w:rPr>
            </w:pPr>
            <w:hyperlink r:id="rId19" w:history="1">
              <w:r w:rsidR="009F4874" w:rsidRPr="00C74898">
                <w:rPr>
                  <w:rStyle w:val="Hyperlink"/>
                  <w:rFonts w:ascii="Garamond" w:hAnsi="Garamond"/>
                  <w:lang w:val="en-AU"/>
                </w:rPr>
                <w:t>https://www.kingsfund.org.uk/publications/developing-accountable-care-systems</w:t>
              </w:r>
            </w:hyperlink>
          </w:p>
        </w:tc>
      </w:tr>
      <w:tr w:rsidR="00995F91" w:rsidRPr="00D9161E" w:rsidTr="002A760C">
        <w:tc>
          <w:tcPr>
            <w:tcW w:w="1080" w:type="dxa"/>
            <w:tcBorders>
              <w:top w:val="single" w:sz="4" w:space="0" w:color="auto"/>
              <w:left w:val="single" w:sz="4" w:space="0" w:color="auto"/>
              <w:bottom w:val="single" w:sz="4" w:space="0" w:color="auto"/>
              <w:right w:val="single" w:sz="4" w:space="0" w:color="auto"/>
            </w:tcBorders>
            <w:vAlign w:val="center"/>
          </w:tcPr>
          <w:p w:rsidR="00995F91" w:rsidRPr="00D9161E" w:rsidRDefault="00995F91" w:rsidP="002A760C">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701D" w:rsidRPr="00B7701D" w:rsidRDefault="004277AB" w:rsidP="00B7701D">
            <w:pPr>
              <w:rPr>
                <w:rFonts w:ascii="Garamond" w:hAnsi="Garamond"/>
                <w:lang w:val="en-AU"/>
              </w:rPr>
            </w:pPr>
            <w:r>
              <w:rPr>
                <w:rFonts w:ascii="Garamond" w:hAnsi="Garamond"/>
                <w:lang w:val="en-AU"/>
              </w:rPr>
              <w:t xml:space="preserve">The UK’s King’s Fund has published this short report </w:t>
            </w:r>
            <w:r w:rsidR="00A01C11">
              <w:rPr>
                <w:rFonts w:ascii="Garamond" w:hAnsi="Garamond"/>
                <w:lang w:val="en-AU"/>
              </w:rPr>
              <w:t>describing how integrated care was designed and implemented in Canterbury, New Zealand</w:t>
            </w:r>
            <w:r w:rsidR="00B7701D">
              <w:rPr>
                <w:rFonts w:ascii="Garamond" w:hAnsi="Garamond"/>
                <w:lang w:val="en-AU"/>
              </w:rPr>
              <w:t xml:space="preserve"> by the local </w:t>
            </w:r>
            <w:r w:rsidR="00B7701D" w:rsidRPr="00B7701D">
              <w:rPr>
                <w:rFonts w:ascii="Garamond" w:hAnsi="Garamond"/>
                <w:lang w:val="en-AU"/>
              </w:rPr>
              <w:t>Canterbury District Health Board (DHB)</w:t>
            </w:r>
            <w:r w:rsidR="00A01C11">
              <w:rPr>
                <w:rFonts w:ascii="Garamond" w:hAnsi="Garamond"/>
                <w:lang w:val="en-AU"/>
              </w:rPr>
              <w:t>.</w:t>
            </w:r>
            <w:r w:rsidR="00B7701D">
              <w:rPr>
                <w:rFonts w:ascii="Garamond" w:hAnsi="Garamond"/>
                <w:lang w:val="en-AU"/>
              </w:rPr>
              <w:t xml:space="preserve"> The report found that t</w:t>
            </w:r>
            <w:r w:rsidR="00B7701D" w:rsidRPr="00B7701D">
              <w:rPr>
                <w:rFonts w:ascii="Garamond" w:hAnsi="Garamond"/>
                <w:lang w:val="en-AU"/>
              </w:rPr>
              <w:t>hree key approaches were central:</w:t>
            </w:r>
          </w:p>
          <w:p w:rsidR="00B7701D" w:rsidRPr="002641CD" w:rsidRDefault="00B7701D" w:rsidP="00B7701D">
            <w:pPr>
              <w:pStyle w:val="ListParagraph"/>
              <w:numPr>
                <w:ilvl w:val="0"/>
                <w:numId w:val="37"/>
              </w:numPr>
              <w:rPr>
                <w:rFonts w:ascii="Garamond" w:hAnsi="Garamond"/>
                <w:lang w:val="en-AU"/>
              </w:rPr>
            </w:pPr>
            <w:r w:rsidRPr="002641CD">
              <w:rPr>
                <w:rFonts w:ascii="Garamond" w:hAnsi="Garamond"/>
                <w:lang w:val="en-AU"/>
              </w:rPr>
              <w:t xml:space="preserve">a clear, unifying </w:t>
            </w:r>
            <w:r w:rsidRPr="002641CD">
              <w:rPr>
                <w:rFonts w:ascii="Garamond" w:hAnsi="Garamond"/>
                <w:b/>
                <w:lang w:val="en-AU"/>
              </w:rPr>
              <w:t>vision</w:t>
            </w:r>
            <w:r w:rsidRPr="002641CD">
              <w:rPr>
                <w:rFonts w:ascii="Garamond" w:hAnsi="Garamond"/>
                <w:lang w:val="en-AU"/>
              </w:rPr>
              <w:t xml:space="preserve"> behind the ‘one system, one budget’</w:t>
            </w:r>
            <w:r w:rsidR="002641CD">
              <w:rPr>
                <w:rFonts w:ascii="Garamond" w:hAnsi="Garamond"/>
                <w:lang w:val="en-AU"/>
              </w:rPr>
              <w:t xml:space="preserve"> </w:t>
            </w:r>
            <w:r w:rsidRPr="002641CD">
              <w:rPr>
                <w:rFonts w:ascii="Garamond" w:hAnsi="Garamond"/>
                <w:lang w:val="en-AU"/>
              </w:rPr>
              <w:t>message</w:t>
            </w:r>
          </w:p>
          <w:p w:rsidR="00B7701D" w:rsidRPr="002641CD" w:rsidRDefault="00B7701D" w:rsidP="00B7701D">
            <w:pPr>
              <w:pStyle w:val="ListParagraph"/>
              <w:numPr>
                <w:ilvl w:val="0"/>
                <w:numId w:val="37"/>
              </w:numPr>
              <w:rPr>
                <w:rFonts w:ascii="Garamond" w:hAnsi="Garamond"/>
                <w:lang w:val="en-AU"/>
              </w:rPr>
            </w:pPr>
            <w:r w:rsidRPr="002641CD">
              <w:rPr>
                <w:rFonts w:ascii="Garamond" w:hAnsi="Garamond"/>
                <w:b/>
                <w:lang w:val="en-AU"/>
              </w:rPr>
              <w:t>sustained investment</w:t>
            </w:r>
            <w:r w:rsidRPr="002641CD">
              <w:rPr>
                <w:rFonts w:ascii="Garamond" w:hAnsi="Garamond"/>
                <w:lang w:val="en-AU"/>
              </w:rPr>
              <w:t xml:space="preserve"> in giving staff skills to support them to innovate</w:t>
            </w:r>
            <w:r w:rsidR="002641CD">
              <w:rPr>
                <w:rFonts w:ascii="Garamond" w:hAnsi="Garamond"/>
                <w:lang w:val="en-AU"/>
              </w:rPr>
              <w:t xml:space="preserve"> </w:t>
            </w:r>
            <w:r w:rsidRPr="002641CD">
              <w:rPr>
                <w:rFonts w:ascii="Garamond" w:hAnsi="Garamond"/>
                <w:lang w:val="en-AU"/>
              </w:rPr>
              <w:t>and giving them permission to do so</w:t>
            </w:r>
          </w:p>
          <w:p w:rsidR="00FE5E4D" w:rsidRDefault="00B7701D" w:rsidP="00B7701D">
            <w:pPr>
              <w:pStyle w:val="ListParagraph"/>
              <w:numPr>
                <w:ilvl w:val="0"/>
                <w:numId w:val="37"/>
              </w:numPr>
              <w:rPr>
                <w:rFonts w:ascii="Garamond" w:hAnsi="Garamond"/>
                <w:lang w:val="en-AU"/>
              </w:rPr>
            </w:pPr>
            <w:r w:rsidRPr="00B7701D">
              <w:rPr>
                <w:rFonts w:ascii="Garamond" w:hAnsi="Garamond"/>
                <w:lang w:val="en-AU"/>
              </w:rPr>
              <w:t xml:space="preserve">developing new models of </w:t>
            </w:r>
            <w:r w:rsidRPr="002641CD">
              <w:rPr>
                <w:rFonts w:ascii="Garamond" w:hAnsi="Garamond"/>
                <w:b/>
                <w:lang w:val="en-AU"/>
              </w:rPr>
              <w:t>integrated working</w:t>
            </w:r>
            <w:r w:rsidRPr="00B7701D">
              <w:rPr>
                <w:rFonts w:ascii="Garamond" w:hAnsi="Garamond"/>
                <w:lang w:val="en-AU"/>
              </w:rPr>
              <w:t xml:space="preserve"> and new forms of contracting.</w:t>
            </w:r>
          </w:p>
          <w:p w:rsidR="00B7701D" w:rsidRDefault="00B7701D" w:rsidP="002641CD">
            <w:pPr>
              <w:rPr>
                <w:rFonts w:ascii="Garamond" w:hAnsi="Garamond"/>
                <w:lang w:val="en-AU"/>
              </w:rPr>
            </w:pPr>
            <w:r>
              <w:rPr>
                <w:rFonts w:ascii="Garamond" w:hAnsi="Garamond"/>
                <w:lang w:val="en-AU"/>
              </w:rPr>
              <w:t xml:space="preserve">The transformation programme </w:t>
            </w:r>
            <w:r w:rsidRPr="00B7701D">
              <w:rPr>
                <w:rFonts w:ascii="Garamond" w:hAnsi="Garamond"/>
                <w:lang w:val="en-AU"/>
              </w:rPr>
              <w:t>focused on keeping people (particularly older people) well and healthy in their homes and communities.</w:t>
            </w:r>
            <w:r w:rsidR="002641CD">
              <w:rPr>
                <w:rFonts w:ascii="Garamond" w:hAnsi="Garamond"/>
                <w:lang w:val="en-AU"/>
              </w:rPr>
              <w:t xml:space="preserve"> </w:t>
            </w:r>
            <w:r w:rsidRPr="00B7701D">
              <w:rPr>
                <w:rFonts w:ascii="Garamond" w:hAnsi="Garamond"/>
                <w:lang w:val="en-AU"/>
              </w:rPr>
              <w:t xml:space="preserve">A number of new programmes and ways of working </w:t>
            </w:r>
            <w:r w:rsidR="002641CD">
              <w:rPr>
                <w:rFonts w:ascii="Garamond" w:hAnsi="Garamond"/>
                <w:lang w:val="en-AU"/>
              </w:rPr>
              <w:t xml:space="preserve">were </w:t>
            </w:r>
            <w:r w:rsidRPr="00B7701D">
              <w:rPr>
                <w:rFonts w:ascii="Garamond" w:hAnsi="Garamond"/>
                <w:lang w:val="en-AU"/>
              </w:rPr>
              <w:t>developed</w:t>
            </w:r>
            <w:r w:rsidR="002641CD">
              <w:rPr>
                <w:rFonts w:ascii="Garamond" w:hAnsi="Garamond"/>
                <w:lang w:val="en-AU"/>
              </w:rPr>
              <w:t xml:space="preserve"> with the c</w:t>
            </w:r>
            <w:r w:rsidRPr="00B7701D">
              <w:rPr>
                <w:rFonts w:ascii="Garamond" w:hAnsi="Garamond"/>
                <w:lang w:val="en-AU"/>
              </w:rPr>
              <w:t xml:space="preserve">ommon themes </w:t>
            </w:r>
            <w:r w:rsidR="002641CD">
              <w:rPr>
                <w:rFonts w:ascii="Garamond" w:hAnsi="Garamond"/>
                <w:lang w:val="en-AU"/>
              </w:rPr>
              <w:t xml:space="preserve">of </w:t>
            </w:r>
            <w:r w:rsidRPr="002641CD">
              <w:rPr>
                <w:rFonts w:ascii="Garamond" w:hAnsi="Garamond"/>
                <w:b/>
                <w:lang w:val="en-AU"/>
              </w:rPr>
              <w:t>integrating care</w:t>
            </w:r>
            <w:r w:rsidRPr="00B7701D">
              <w:rPr>
                <w:rFonts w:ascii="Garamond" w:hAnsi="Garamond"/>
                <w:lang w:val="en-AU"/>
              </w:rPr>
              <w:t xml:space="preserve"> across organisational and service boundaries; increasing investment in </w:t>
            </w:r>
            <w:r w:rsidRPr="002641CD">
              <w:rPr>
                <w:rFonts w:ascii="Garamond" w:hAnsi="Garamond"/>
                <w:b/>
                <w:lang w:val="en-AU"/>
              </w:rPr>
              <w:t xml:space="preserve">community-based </w:t>
            </w:r>
            <w:r w:rsidRPr="00B7701D">
              <w:rPr>
                <w:rFonts w:ascii="Garamond" w:hAnsi="Garamond"/>
                <w:lang w:val="en-AU"/>
              </w:rPr>
              <w:t xml:space="preserve">services; and strengthening </w:t>
            </w:r>
            <w:r w:rsidRPr="002641CD">
              <w:rPr>
                <w:rFonts w:ascii="Garamond" w:hAnsi="Garamond"/>
                <w:b/>
                <w:lang w:val="en-AU"/>
              </w:rPr>
              <w:t>primary care</w:t>
            </w:r>
            <w:r w:rsidRPr="00B7701D">
              <w:rPr>
                <w:rFonts w:ascii="Garamond" w:hAnsi="Garamond"/>
                <w:lang w:val="en-AU"/>
              </w:rPr>
              <w:t>.</w:t>
            </w:r>
          </w:p>
          <w:p w:rsidR="002641CD" w:rsidRPr="00B7701D" w:rsidRDefault="002641CD" w:rsidP="002641CD">
            <w:pPr>
              <w:rPr>
                <w:rFonts w:ascii="Garamond" w:hAnsi="Garamond"/>
                <w:lang w:val="en-AU"/>
              </w:rPr>
            </w:pPr>
            <w:r w:rsidRPr="002641CD">
              <w:rPr>
                <w:rFonts w:ascii="Garamond" w:hAnsi="Garamond"/>
                <w:lang w:val="en-AU"/>
              </w:rPr>
              <w:t xml:space="preserve">Canterbury’s health system has </w:t>
            </w:r>
            <w:r>
              <w:rPr>
                <w:rFonts w:ascii="Garamond" w:hAnsi="Garamond"/>
                <w:lang w:val="en-AU"/>
              </w:rPr>
              <w:t xml:space="preserve">seen </w:t>
            </w:r>
            <w:r w:rsidRPr="002641CD">
              <w:rPr>
                <w:rFonts w:ascii="Garamond" w:hAnsi="Garamond"/>
                <w:lang w:val="en-AU"/>
              </w:rPr>
              <w:t>moderated demand for hospital care, particularly among older people. Compared with the rest of New Zealand, Canterbury has lower acute medical admission rates; lower acute readmission rates; shorter average length of stay; lower emergency department attendances; higher spending on community-based services; and lower spending on emergency hospital care. Improving the interface between primary and secondary care has led to better-quality referrals, reductions in waiting times and reduced spending on pathology and imaging tests.</w:t>
            </w:r>
          </w:p>
        </w:tc>
      </w:tr>
    </w:tbl>
    <w:p w:rsidR="00B37973" w:rsidRDefault="00B37973" w:rsidP="00B37973">
      <w:pPr>
        <w:keepNext/>
        <w:rPr>
          <w:rFonts w:ascii="Garamond" w:hAnsi="Garamond"/>
          <w:lang w:val="en-AU"/>
        </w:rPr>
      </w:pPr>
    </w:p>
    <w:p w:rsidR="00F74072" w:rsidRDefault="00F74072" w:rsidP="00F74072">
      <w:pPr>
        <w:keepNext/>
        <w:keepLines/>
        <w:autoSpaceDE w:val="0"/>
        <w:autoSpaceDN w:val="0"/>
        <w:adjustRightInd w:val="0"/>
        <w:rPr>
          <w:rFonts w:ascii="Garamond" w:hAnsi="Garamond"/>
          <w:i/>
          <w:lang w:val="en-AU"/>
        </w:rPr>
      </w:pPr>
      <w:r w:rsidRPr="00F74072">
        <w:rPr>
          <w:rFonts w:ascii="Garamond" w:hAnsi="Garamond"/>
          <w:i/>
          <w:lang w:val="en-AU"/>
        </w:rPr>
        <w:t>Primary Care Home: Evaluating a new model of primary care</w:t>
      </w:r>
    </w:p>
    <w:p w:rsidR="00F74072" w:rsidRPr="00F74072" w:rsidRDefault="00F74072" w:rsidP="00F74072">
      <w:pPr>
        <w:keepNext/>
        <w:keepLines/>
        <w:autoSpaceDE w:val="0"/>
        <w:autoSpaceDN w:val="0"/>
        <w:adjustRightInd w:val="0"/>
        <w:rPr>
          <w:rFonts w:ascii="Garamond" w:hAnsi="Garamond"/>
          <w:i/>
          <w:lang w:val="en-AU"/>
        </w:rPr>
      </w:pPr>
      <w:r w:rsidRPr="00F74072">
        <w:rPr>
          <w:rFonts w:ascii="Garamond" w:hAnsi="Garamond"/>
          <w:i/>
          <w:lang w:val="en-AU"/>
        </w:rPr>
        <w:t>Research report</w:t>
      </w:r>
    </w:p>
    <w:p w:rsidR="00F74072" w:rsidRDefault="00F74072" w:rsidP="00FB0BD2">
      <w:pPr>
        <w:keepNext/>
        <w:keepLines/>
        <w:autoSpaceDE w:val="0"/>
        <w:autoSpaceDN w:val="0"/>
        <w:adjustRightInd w:val="0"/>
        <w:rPr>
          <w:rFonts w:ascii="Garamond" w:hAnsi="Garamond"/>
          <w:lang w:val="en-AU"/>
        </w:rPr>
      </w:pPr>
      <w:r w:rsidRPr="00F74072">
        <w:rPr>
          <w:rFonts w:ascii="Garamond" w:hAnsi="Garamond"/>
          <w:lang w:val="en-AU"/>
        </w:rPr>
        <w:t>Kumpunen S, Rosen R, Kossarova L, Sherlaw-Johnson C</w:t>
      </w:r>
    </w:p>
    <w:p w:rsidR="00FB0BD2" w:rsidRPr="00D9161E" w:rsidRDefault="00F74072" w:rsidP="00FB0BD2">
      <w:pPr>
        <w:keepNext/>
        <w:keepLines/>
        <w:autoSpaceDE w:val="0"/>
        <w:autoSpaceDN w:val="0"/>
        <w:adjustRightInd w:val="0"/>
        <w:rPr>
          <w:rFonts w:ascii="Garamond" w:hAnsi="Garamond"/>
          <w:lang w:val="en-AU"/>
        </w:rPr>
      </w:pPr>
      <w:r w:rsidRPr="00F74072">
        <w:rPr>
          <w:rFonts w:ascii="Garamond" w:hAnsi="Garamond"/>
          <w:lang w:val="en-AU"/>
        </w:rPr>
        <w:t>London: Nuffield Trust; 2017. p. 96.</w:t>
      </w:r>
    </w:p>
    <w:tbl>
      <w:tblPr>
        <w:tblStyle w:val="TableGrid"/>
        <w:tblW w:w="0" w:type="auto"/>
        <w:tblInd w:w="288" w:type="dxa"/>
        <w:tblLayout w:type="fixed"/>
        <w:tblLook w:val="01E0" w:firstRow="1" w:lastRow="1" w:firstColumn="1" w:lastColumn="1" w:noHBand="0" w:noVBand="0"/>
      </w:tblPr>
      <w:tblGrid>
        <w:gridCol w:w="1080"/>
        <w:gridCol w:w="8280"/>
      </w:tblGrid>
      <w:tr w:rsidR="00FB0BD2" w:rsidRPr="00D9161E" w:rsidTr="00A65631">
        <w:tc>
          <w:tcPr>
            <w:tcW w:w="1080" w:type="dxa"/>
            <w:tcBorders>
              <w:top w:val="single" w:sz="4" w:space="0" w:color="auto"/>
              <w:left w:val="single" w:sz="4" w:space="0" w:color="auto"/>
              <w:bottom w:val="single" w:sz="4" w:space="0" w:color="auto"/>
              <w:right w:val="single" w:sz="4" w:space="0" w:color="auto"/>
            </w:tcBorders>
            <w:vAlign w:val="center"/>
          </w:tcPr>
          <w:p w:rsidR="00FB0BD2" w:rsidRPr="00D9161E" w:rsidRDefault="00FB0BD2" w:rsidP="00A65631">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B0BD2" w:rsidRPr="00D9161E" w:rsidRDefault="00191DF2" w:rsidP="00A65631">
            <w:pPr>
              <w:rPr>
                <w:rStyle w:val="Hyperlink"/>
                <w:rFonts w:ascii="Garamond" w:hAnsi="Garamond"/>
                <w:color w:val="auto"/>
                <w:u w:val="none"/>
                <w:lang w:val="en-AU"/>
              </w:rPr>
            </w:pPr>
            <w:hyperlink r:id="rId20" w:history="1">
              <w:r w:rsidR="00FB0BD2" w:rsidRPr="00C74898">
                <w:rPr>
                  <w:rStyle w:val="Hyperlink"/>
                  <w:rFonts w:ascii="Garamond" w:hAnsi="Garamond"/>
                  <w:lang w:val="en-AU"/>
                </w:rPr>
                <w:t>https://www.nuffieldtrust.org.uk/research/primary-care-home-evaluating-a-new-model-of-primary-care</w:t>
              </w:r>
            </w:hyperlink>
          </w:p>
        </w:tc>
      </w:tr>
      <w:tr w:rsidR="00FB0BD2" w:rsidRPr="00D9161E" w:rsidTr="00A65631">
        <w:tc>
          <w:tcPr>
            <w:tcW w:w="1080" w:type="dxa"/>
            <w:tcBorders>
              <w:top w:val="single" w:sz="4" w:space="0" w:color="auto"/>
              <w:left w:val="single" w:sz="4" w:space="0" w:color="auto"/>
              <w:bottom w:val="single" w:sz="4" w:space="0" w:color="auto"/>
              <w:right w:val="single" w:sz="4" w:space="0" w:color="auto"/>
            </w:tcBorders>
            <w:vAlign w:val="center"/>
          </w:tcPr>
          <w:p w:rsidR="00FB0BD2" w:rsidRPr="00D9161E" w:rsidRDefault="00FB0BD2" w:rsidP="00A65631">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0BD2" w:rsidRDefault="00FB0BD2" w:rsidP="00FB0BD2">
            <w:pPr>
              <w:rPr>
                <w:rFonts w:ascii="Garamond" w:hAnsi="Garamond"/>
                <w:lang w:val="en-AU"/>
              </w:rPr>
            </w:pPr>
            <w:r>
              <w:rPr>
                <w:rFonts w:ascii="Garamond" w:hAnsi="Garamond"/>
                <w:lang w:val="en-AU"/>
              </w:rPr>
              <w:t xml:space="preserve">This report also examines an effort to re-organise primary care in order to provide better integrated care in the community. In this report from the UK’s Nuffield Trust the subject was the </w:t>
            </w:r>
            <w:r w:rsidRPr="00FB0BD2">
              <w:rPr>
                <w:rFonts w:ascii="Garamond" w:hAnsi="Garamond"/>
                <w:lang w:val="en-AU"/>
              </w:rPr>
              <w:t>Primary Care Home (PCH) model</w:t>
            </w:r>
            <w:r>
              <w:rPr>
                <w:rFonts w:ascii="Garamond" w:hAnsi="Garamond"/>
                <w:lang w:val="en-AU"/>
              </w:rPr>
              <w:t xml:space="preserve">. The model </w:t>
            </w:r>
            <w:r w:rsidRPr="00FB0BD2">
              <w:rPr>
                <w:rFonts w:ascii="Garamond" w:hAnsi="Garamond"/>
                <w:lang w:val="en-AU"/>
              </w:rPr>
              <w:t xml:space="preserve">seeks to link staff from general practice, community-based services, hospitals, mental health services, social care and voluntary organisations to deliver </w:t>
            </w:r>
            <w:r>
              <w:rPr>
                <w:rFonts w:ascii="Garamond" w:hAnsi="Garamond"/>
                <w:lang w:val="en-AU"/>
              </w:rPr>
              <w:t>more integrated</w:t>
            </w:r>
            <w:r w:rsidRPr="00FB0BD2">
              <w:rPr>
                <w:rFonts w:ascii="Garamond" w:hAnsi="Garamond"/>
                <w:lang w:val="en-AU"/>
              </w:rPr>
              <w:t xml:space="preserve"> care.</w:t>
            </w:r>
            <w:r w:rsidR="005E1871">
              <w:rPr>
                <w:rFonts w:ascii="Garamond" w:hAnsi="Garamond"/>
                <w:lang w:val="en-AU"/>
              </w:rPr>
              <w:t xml:space="preserve"> </w:t>
            </w:r>
            <w:r w:rsidR="00F74072">
              <w:rPr>
                <w:rFonts w:ascii="Garamond" w:hAnsi="Garamond"/>
                <w:lang w:val="en-AU"/>
              </w:rPr>
              <w:t xml:space="preserve">The report offers lessons from implementation and evaluation for both the services and for the greater system. </w:t>
            </w:r>
            <w:r w:rsidR="005E1871">
              <w:rPr>
                <w:rFonts w:ascii="Garamond" w:hAnsi="Garamond"/>
                <w:lang w:val="en-AU"/>
              </w:rPr>
              <w:t>Among the report’s key messages were:</w:t>
            </w:r>
          </w:p>
          <w:p w:rsidR="005E1871" w:rsidRPr="005E1871" w:rsidRDefault="005E1871" w:rsidP="005E1871">
            <w:pPr>
              <w:pStyle w:val="ListParagraph"/>
              <w:numPr>
                <w:ilvl w:val="0"/>
                <w:numId w:val="38"/>
              </w:numPr>
              <w:rPr>
                <w:rFonts w:ascii="Garamond" w:hAnsi="Garamond"/>
                <w:lang w:val="en-AU"/>
              </w:rPr>
            </w:pPr>
            <w:r w:rsidRPr="005E1871">
              <w:rPr>
                <w:rFonts w:ascii="Garamond" w:hAnsi="Garamond"/>
                <w:lang w:val="en-AU"/>
              </w:rPr>
              <w:t>Participating in the primary care home programme had strengthened inter-professional working between GPs and other health professionals, and stimulated new services and ways of working tailored to the needs of different patient groups</w:t>
            </w:r>
            <w:r w:rsidR="00F74072">
              <w:rPr>
                <w:rFonts w:ascii="Garamond" w:hAnsi="Garamond"/>
                <w:lang w:val="en-AU"/>
              </w:rPr>
              <w:t>.</w:t>
            </w:r>
          </w:p>
          <w:p w:rsidR="005E1871" w:rsidRPr="005E1871" w:rsidRDefault="005E1871" w:rsidP="005E1871">
            <w:pPr>
              <w:pStyle w:val="ListParagraph"/>
              <w:numPr>
                <w:ilvl w:val="0"/>
                <w:numId w:val="38"/>
              </w:numPr>
              <w:rPr>
                <w:rFonts w:ascii="Garamond" w:hAnsi="Garamond"/>
                <w:lang w:val="en-AU"/>
              </w:rPr>
            </w:pPr>
            <w:r w:rsidRPr="005E1871">
              <w:rPr>
                <w:rFonts w:ascii="Garamond" w:hAnsi="Garamond"/>
                <w:lang w:val="en-AU"/>
              </w:rPr>
              <w:t>Policy-makers must accept that these new working relationships will take time to establish, as widespread service change requires support from people at all levels and across organisational boundaries.</w:t>
            </w:r>
          </w:p>
          <w:p w:rsidR="005E1871" w:rsidRPr="005E1871" w:rsidRDefault="005E1871" w:rsidP="005E1871">
            <w:pPr>
              <w:pStyle w:val="ListParagraph"/>
              <w:numPr>
                <w:ilvl w:val="0"/>
                <w:numId w:val="38"/>
              </w:numPr>
              <w:rPr>
                <w:rFonts w:ascii="Garamond" w:hAnsi="Garamond"/>
                <w:lang w:val="en-AU"/>
              </w:rPr>
            </w:pPr>
            <w:r w:rsidRPr="005E1871">
              <w:rPr>
                <w:rFonts w:ascii="Garamond" w:hAnsi="Garamond"/>
                <w:lang w:val="en-AU"/>
              </w:rPr>
              <w:t>Developing the PCH model needs significant investment in time, money and support to enable change</w:t>
            </w:r>
            <w:r w:rsidR="00F74072">
              <w:rPr>
                <w:rFonts w:ascii="Garamond" w:hAnsi="Garamond"/>
                <w:lang w:val="en-AU"/>
              </w:rPr>
              <w:t>.</w:t>
            </w:r>
          </w:p>
          <w:p w:rsidR="005E1871" w:rsidRPr="005E1871" w:rsidRDefault="005E1871" w:rsidP="005E1871">
            <w:pPr>
              <w:pStyle w:val="ListParagraph"/>
              <w:numPr>
                <w:ilvl w:val="0"/>
                <w:numId w:val="38"/>
              </w:numPr>
              <w:rPr>
                <w:rFonts w:ascii="Garamond" w:hAnsi="Garamond"/>
                <w:lang w:val="en-AU"/>
              </w:rPr>
            </w:pPr>
            <w:r w:rsidRPr="005E1871">
              <w:rPr>
                <w:rFonts w:ascii="Garamond" w:hAnsi="Garamond"/>
                <w:lang w:val="en-AU"/>
              </w:rPr>
              <w:t>Good quality data – and the ability to use it – are essential for future evaluations of these models.</w:t>
            </w:r>
          </w:p>
        </w:tc>
      </w:tr>
    </w:tbl>
    <w:p w:rsidR="008A6157" w:rsidRDefault="008A6157" w:rsidP="00FB0BD2">
      <w:pPr>
        <w:keepNext/>
        <w:rPr>
          <w:rFonts w:ascii="Garamond" w:hAnsi="Garamond"/>
          <w:lang w:val="en-AU"/>
        </w:rPr>
      </w:pPr>
      <w:r w:rsidRPr="00D9161E">
        <w:rPr>
          <w:rFonts w:ascii="Garamond" w:hAnsi="Garamond"/>
          <w:lang w:val="en-AU"/>
        </w:rPr>
        <w:lastRenderedPageBreak/>
        <w:t xml:space="preserve">For information </w:t>
      </w:r>
      <w:r>
        <w:rPr>
          <w:rFonts w:ascii="Garamond" w:hAnsi="Garamond"/>
          <w:lang w:val="en-AU"/>
        </w:rPr>
        <w:t xml:space="preserve">on </w:t>
      </w:r>
      <w:r w:rsidRPr="00D9161E">
        <w:rPr>
          <w:rFonts w:ascii="Garamond" w:hAnsi="Garamond"/>
          <w:lang w:val="en-AU"/>
        </w:rPr>
        <w:t>the Commission’s work on</w:t>
      </w:r>
      <w:r>
        <w:rPr>
          <w:rFonts w:ascii="Garamond" w:hAnsi="Garamond"/>
          <w:lang w:val="en-AU"/>
        </w:rPr>
        <w:t xml:space="preserve"> primary health care, see </w:t>
      </w:r>
      <w:hyperlink r:id="rId21" w:history="1">
        <w:r w:rsidRPr="00567745">
          <w:rPr>
            <w:rStyle w:val="Hyperlink"/>
            <w:rFonts w:ascii="Garamond" w:hAnsi="Garamond"/>
            <w:lang w:val="en-AU"/>
          </w:rPr>
          <w:t>https://www.safetyandquality.gov.au/our-work/primary-health-care/</w:t>
        </w:r>
      </w:hyperlink>
    </w:p>
    <w:p w:rsidR="008A6157" w:rsidRDefault="008A6157" w:rsidP="00FB0BD2">
      <w:pPr>
        <w:keepNext/>
        <w:rPr>
          <w:rFonts w:ascii="Garamond" w:hAnsi="Garamond"/>
          <w:lang w:val="en-AU"/>
        </w:rPr>
      </w:pPr>
    </w:p>
    <w:p w:rsidR="008B7A17" w:rsidRDefault="008B7A17" w:rsidP="00FB0BD2">
      <w:pPr>
        <w:keepNext/>
        <w:rPr>
          <w:rFonts w:ascii="Garamond" w:hAnsi="Garamond"/>
          <w:lang w:val="en-AU"/>
        </w:rPr>
      </w:pPr>
    </w:p>
    <w:p w:rsidR="000C6A11" w:rsidRPr="00D9161E" w:rsidRDefault="000C6A11" w:rsidP="00644660">
      <w:pPr>
        <w:keepNext/>
        <w:keepLines/>
        <w:autoSpaceDE w:val="0"/>
        <w:autoSpaceDN w:val="0"/>
        <w:adjustRightInd w:val="0"/>
        <w:rPr>
          <w:rFonts w:ascii="Garamond" w:hAnsi="Garamond"/>
          <w:b/>
          <w:lang w:val="en-AU"/>
        </w:rPr>
      </w:pPr>
      <w:r w:rsidRPr="00D9161E">
        <w:rPr>
          <w:rFonts w:ascii="Garamond" w:hAnsi="Garamond"/>
          <w:b/>
          <w:lang w:val="en-AU"/>
        </w:rPr>
        <w:t>Journal articles</w:t>
      </w:r>
    </w:p>
    <w:p w:rsidR="0010604C" w:rsidRDefault="0010604C" w:rsidP="00644660">
      <w:pPr>
        <w:keepNext/>
        <w:keepLines/>
        <w:autoSpaceDE w:val="0"/>
        <w:autoSpaceDN w:val="0"/>
        <w:adjustRightInd w:val="0"/>
        <w:rPr>
          <w:rFonts w:ascii="Garamond" w:hAnsi="Garamond"/>
          <w:lang w:val="en-AU"/>
        </w:rPr>
      </w:pPr>
    </w:p>
    <w:p w:rsidR="0029715F" w:rsidRPr="00831783" w:rsidRDefault="00831783" w:rsidP="0029715F">
      <w:pPr>
        <w:keepNext/>
        <w:rPr>
          <w:rFonts w:ascii="Garamond" w:hAnsi="Garamond"/>
          <w:i/>
          <w:lang w:val="en-AU"/>
        </w:rPr>
      </w:pPr>
      <w:r w:rsidRPr="00831783">
        <w:rPr>
          <w:rFonts w:ascii="Garamond" w:hAnsi="Garamond"/>
          <w:i/>
          <w:lang w:val="en-AU"/>
        </w:rPr>
        <w:t>Association of Adverse Events With Antibiotic Use in Hospitalized Patients</w:t>
      </w:r>
    </w:p>
    <w:p w:rsidR="007572BD" w:rsidRDefault="007572BD" w:rsidP="0029715F">
      <w:pPr>
        <w:keepNext/>
        <w:rPr>
          <w:rFonts w:ascii="Garamond" w:hAnsi="Garamond"/>
          <w:lang w:val="en-AU"/>
        </w:rPr>
      </w:pPr>
      <w:r w:rsidRPr="007572BD">
        <w:rPr>
          <w:rFonts w:ascii="Garamond" w:hAnsi="Garamond"/>
          <w:lang w:val="en-AU"/>
        </w:rPr>
        <w:t>Tamma PD, Avdic E, Li DX, Dzintars K, Cosgrove SE</w:t>
      </w:r>
    </w:p>
    <w:p w:rsidR="00831783" w:rsidRPr="00D9161E" w:rsidRDefault="007572BD" w:rsidP="0029715F">
      <w:pPr>
        <w:keepNext/>
        <w:rPr>
          <w:rFonts w:ascii="Garamond" w:hAnsi="Garamond"/>
          <w:lang w:val="en-AU"/>
        </w:rPr>
      </w:pPr>
      <w:r w:rsidRPr="007572BD">
        <w:rPr>
          <w:rFonts w:ascii="Garamond" w:hAnsi="Garamond"/>
          <w:lang w:val="en-AU"/>
        </w:rPr>
        <w:t>JAMA Internal Medicine. 2017</w:t>
      </w:r>
      <w:r>
        <w:rPr>
          <w:rFonts w:ascii="Garamond" w:hAnsi="Garamond"/>
          <w:lang w:val="en-AU"/>
        </w:rPr>
        <w:t xml:space="preserve"> [epub]</w:t>
      </w:r>
      <w:r w:rsidRPr="007572B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9715F" w:rsidRPr="00D9161E" w:rsidTr="008F3386">
        <w:tc>
          <w:tcPr>
            <w:tcW w:w="1080" w:type="dxa"/>
            <w:tcBorders>
              <w:top w:val="single" w:sz="4" w:space="0" w:color="auto"/>
              <w:left w:val="single" w:sz="4" w:space="0" w:color="auto"/>
              <w:bottom w:val="single" w:sz="4" w:space="0" w:color="auto"/>
              <w:right w:val="single" w:sz="4" w:space="0" w:color="auto"/>
            </w:tcBorders>
            <w:vAlign w:val="center"/>
          </w:tcPr>
          <w:p w:rsidR="0029715F" w:rsidRPr="00D9161E" w:rsidRDefault="0029715F" w:rsidP="008F3386">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9715F" w:rsidRPr="00D9161E" w:rsidRDefault="00191DF2" w:rsidP="008F3386">
            <w:pPr>
              <w:rPr>
                <w:rStyle w:val="Hyperlink"/>
                <w:rFonts w:ascii="Garamond" w:hAnsi="Garamond"/>
                <w:color w:val="auto"/>
                <w:u w:val="none"/>
                <w:lang w:val="en-AU"/>
              </w:rPr>
            </w:pPr>
            <w:hyperlink r:id="rId22" w:history="1">
              <w:r w:rsidR="007572BD" w:rsidRPr="00C74898">
                <w:rPr>
                  <w:rStyle w:val="Hyperlink"/>
                  <w:rFonts w:ascii="Garamond" w:hAnsi="Garamond"/>
                  <w:lang w:val="en-AU"/>
                </w:rPr>
                <w:t>http://dx.doi.org/10.1001/jamainternmed.2017.1938</w:t>
              </w:r>
            </w:hyperlink>
          </w:p>
        </w:tc>
      </w:tr>
      <w:tr w:rsidR="0029715F" w:rsidRPr="00D9161E" w:rsidTr="008F3386">
        <w:tc>
          <w:tcPr>
            <w:tcW w:w="1080" w:type="dxa"/>
            <w:tcBorders>
              <w:top w:val="single" w:sz="4" w:space="0" w:color="auto"/>
              <w:left w:val="single" w:sz="4" w:space="0" w:color="auto"/>
              <w:bottom w:val="single" w:sz="4" w:space="0" w:color="auto"/>
              <w:right w:val="single" w:sz="4" w:space="0" w:color="auto"/>
            </w:tcBorders>
            <w:vAlign w:val="center"/>
          </w:tcPr>
          <w:p w:rsidR="0029715F" w:rsidRPr="00D9161E" w:rsidRDefault="0029715F" w:rsidP="008F338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B04AA" w:rsidRPr="00D9161E" w:rsidRDefault="00831783" w:rsidP="007572BD">
            <w:pPr>
              <w:rPr>
                <w:rFonts w:ascii="Garamond" w:hAnsi="Garamond"/>
                <w:lang w:val="en-AU"/>
              </w:rPr>
            </w:pPr>
            <w:r>
              <w:rPr>
                <w:rFonts w:ascii="Garamond" w:hAnsi="Garamond"/>
                <w:lang w:val="en-AU"/>
              </w:rPr>
              <w:t>If concerns about antimicrobial resistance and appropriateness of use were not enough to raise concerns about the use of antimicrobials this study reveals a high level of adverse drug events (ADEs) associated with their use. This cohort study reviewed the m</w:t>
            </w:r>
            <w:r w:rsidRPr="00831783">
              <w:rPr>
                <w:rFonts w:ascii="Garamond" w:hAnsi="Garamond"/>
                <w:lang w:val="en-AU"/>
              </w:rPr>
              <w:t xml:space="preserve">edical records of 1488 </w:t>
            </w:r>
            <w:r w:rsidR="007572BD">
              <w:rPr>
                <w:rFonts w:ascii="Garamond" w:hAnsi="Garamond"/>
                <w:lang w:val="en-AU"/>
              </w:rPr>
              <w:t xml:space="preserve">adult </w:t>
            </w:r>
            <w:r w:rsidRPr="00831783">
              <w:rPr>
                <w:rFonts w:ascii="Garamond" w:hAnsi="Garamond"/>
                <w:lang w:val="en-AU"/>
              </w:rPr>
              <w:t xml:space="preserve">patients </w:t>
            </w:r>
            <w:r w:rsidR="007572BD" w:rsidRPr="007572BD">
              <w:rPr>
                <w:rFonts w:ascii="Garamond" w:hAnsi="Garamond"/>
                <w:lang w:val="en-AU"/>
              </w:rPr>
              <w:t>admitted to general medicine wards at a</w:t>
            </w:r>
            <w:r w:rsidR="007572BD">
              <w:rPr>
                <w:rFonts w:ascii="Garamond" w:hAnsi="Garamond"/>
                <w:lang w:val="en-AU"/>
              </w:rPr>
              <w:t xml:space="preserve"> US</w:t>
            </w:r>
            <w:r w:rsidR="007572BD" w:rsidRPr="007572BD">
              <w:rPr>
                <w:rFonts w:ascii="Garamond" w:hAnsi="Garamond"/>
                <w:lang w:val="en-AU"/>
              </w:rPr>
              <w:t xml:space="preserve"> academic medical cent</w:t>
            </w:r>
            <w:r w:rsidR="007572BD">
              <w:rPr>
                <w:rFonts w:ascii="Garamond" w:hAnsi="Garamond"/>
                <w:lang w:val="en-AU"/>
              </w:rPr>
              <w:t xml:space="preserve">re </w:t>
            </w:r>
            <w:r w:rsidRPr="00831783">
              <w:rPr>
                <w:rFonts w:ascii="Garamond" w:hAnsi="Garamond"/>
                <w:lang w:val="en-AU"/>
              </w:rPr>
              <w:t xml:space="preserve">for 30 days after </w:t>
            </w:r>
            <w:r>
              <w:rPr>
                <w:rFonts w:ascii="Garamond" w:hAnsi="Garamond"/>
                <w:lang w:val="en-AU"/>
              </w:rPr>
              <w:t xml:space="preserve">starting </w:t>
            </w:r>
            <w:r w:rsidRPr="00831783">
              <w:rPr>
                <w:rFonts w:ascii="Garamond" w:hAnsi="Garamond"/>
                <w:lang w:val="en-AU"/>
              </w:rPr>
              <w:t>antibiotic</w:t>
            </w:r>
            <w:r>
              <w:rPr>
                <w:rFonts w:ascii="Garamond" w:hAnsi="Garamond"/>
                <w:lang w:val="en-AU"/>
              </w:rPr>
              <w:t>s</w:t>
            </w:r>
            <w:r w:rsidRPr="00831783">
              <w:rPr>
                <w:rFonts w:ascii="Garamond" w:hAnsi="Garamond"/>
                <w:lang w:val="en-AU"/>
              </w:rPr>
              <w:t xml:space="preserve"> for the development of the following antibiotic-associated ADEs: gastrointestinal, dermatologic, musculoskeletal, hematologic, hepatobiliary, renal, cardiac, and neurologic; and 90 days for the development of </w:t>
            </w:r>
            <w:r w:rsidRPr="00831783">
              <w:rPr>
                <w:rFonts w:ascii="Garamond" w:hAnsi="Garamond"/>
                <w:i/>
                <w:lang w:val="en-AU"/>
              </w:rPr>
              <w:t>Clostridium difficile</w:t>
            </w:r>
            <w:r w:rsidRPr="00831783">
              <w:rPr>
                <w:rFonts w:ascii="Garamond" w:hAnsi="Garamond"/>
                <w:lang w:val="en-AU"/>
              </w:rPr>
              <w:t xml:space="preserve"> infection or incident multidrug-resistant organism infection.</w:t>
            </w:r>
            <w:r w:rsidR="007572BD">
              <w:rPr>
                <w:rFonts w:ascii="Garamond" w:hAnsi="Garamond"/>
                <w:lang w:val="en-AU"/>
              </w:rPr>
              <w:t xml:space="preserve"> Of these 1488 patients, </w:t>
            </w:r>
            <w:r w:rsidR="007572BD" w:rsidRPr="007572BD">
              <w:rPr>
                <w:rFonts w:ascii="Garamond" w:hAnsi="Garamond"/>
                <w:lang w:val="en-AU"/>
              </w:rPr>
              <w:t xml:space="preserve">298 (20%) patients experienced at least 1 antibiotic-associated ADE. </w:t>
            </w:r>
            <w:r w:rsidR="007572BD">
              <w:rPr>
                <w:rFonts w:ascii="Garamond" w:hAnsi="Garamond"/>
                <w:lang w:val="en-AU"/>
              </w:rPr>
              <w:t xml:space="preserve">The authors also note that </w:t>
            </w:r>
            <w:r w:rsidR="007572BD" w:rsidRPr="007572BD">
              <w:rPr>
                <w:rFonts w:ascii="Garamond" w:hAnsi="Garamond"/>
                <w:lang w:val="en-AU"/>
              </w:rPr>
              <w:t xml:space="preserve">56 (20%) non–clinically indicated antibiotic regimens were associated with an ADE, including 7 cases of </w:t>
            </w:r>
            <w:r w:rsidR="007572BD" w:rsidRPr="007572BD">
              <w:rPr>
                <w:rFonts w:ascii="Garamond" w:hAnsi="Garamond"/>
                <w:i/>
                <w:lang w:val="en-AU"/>
              </w:rPr>
              <w:t>C difficile</w:t>
            </w:r>
            <w:r w:rsidR="007572BD" w:rsidRPr="007572BD">
              <w:rPr>
                <w:rFonts w:ascii="Garamond" w:hAnsi="Garamond"/>
                <w:lang w:val="en-AU"/>
              </w:rPr>
              <w:t xml:space="preserve"> infection</w:t>
            </w:r>
            <w:r w:rsidR="007572BD">
              <w:rPr>
                <w:rFonts w:ascii="Garamond" w:hAnsi="Garamond"/>
                <w:lang w:val="en-AU"/>
              </w:rPr>
              <w:t>. As the authors conclude “</w:t>
            </w:r>
            <w:r w:rsidR="007572BD" w:rsidRPr="007572BD">
              <w:rPr>
                <w:rFonts w:ascii="Garamond" w:hAnsi="Garamond"/>
                <w:lang w:val="en-AU"/>
              </w:rPr>
              <w:t>Although antibiotics may play a critical role when used appropriately, our findings underscore the importance of judicious antibiotic prescribing to reduce the harm that can result from antibiotic-associated ADEs.</w:t>
            </w:r>
            <w:r w:rsidR="007572BD">
              <w:rPr>
                <w:rFonts w:ascii="Garamond" w:hAnsi="Garamond"/>
                <w:lang w:val="en-AU"/>
              </w:rPr>
              <w:t>”</w:t>
            </w:r>
          </w:p>
        </w:tc>
      </w:tr>
    </w:tbl>
    <w:p w:rsidR="0029715F" w:rsidRDefault="0029715F" w:rsidP="00644660">
      <w:pPr>
        <w:keepNext/>
        <w:keepLines/>
        <w:autoSpaceDE w:val="0"/>
        <w:autoSpaceDN w:val="0"/>
        <w:adjustRightInd w:val="0"/>
        <w:rPr>
          <w:rFonts w:ascii="Garamond" w:hAnsi="Garamond"/>
          <w:lang w:val="en-AU"/>
        </w:rPr>
      </w:pPr>
    </w:p>
    <w:p w:rsidR="007572BD" w:rsidRDefault="007572BD" w:rsidP="007572BD">
      <w:pPr>
        <w:keepLines/>
        <w:autoSpaceDE w:val="0"/>
        <w:autoSpaceDN w:val="0"/>
        <w:adjustRightInd w:val="0"/>
        <w:rPr>
          <w:rFonts w:ascii="Garamond" w:hAnsi="Garamond"/>
          <w:lang w:val="en-AU"/>
        </w:rPr>
      </w:pPr>
      <w:r w:rsidRPr="00D9161E">
        <w:rPr>
          <w:rFonts w:ascii="Garamond" w:hAnsi="Garamond"/>
          <w:lang w:val="en-AU"/>
        </w:rPr>
        <w:t xml:space="preserve">For information </w:t>
      </w:r>
      <w:r>
        <w:rPr>
          <w:rFonts w:ascii="Garamond" w:hAnsi="Garamond"/>
          <w:lang w:val="en-AU"/>
        </w:rPr>
        <w:t xml:space="preserve">on </w:t>
      </w:r>
      <w:r w:rsidRPr="00D9161E">
        <w:rPr>
          <w:rFonts w:ascii="Garamond" w:hAnsi="Garamond"/>
          <w:lang w:val="en-AU"/>
        </w:rPr>
        <w:t>the Commission’s work on</w:t>
      </w:r>
      <w:r>
        <w:rPr>
          <w:rFonts w:ascii="Garamond" w:hAnsi="Garamond"/>
          <w:lang w:val="en-AU"/>
        </w:rPr>
        <w:t xml:space="preserve"> healthcare associated infection, see </w:t>
      </w:r>
      <w:hyperlink r:id="rId23" w:history="1">
        <w:r w:rsidRPr="004F5314">
          <w:rPr>
            <w:rStyle w:val="Hyperlink"/>
            <w:rFonts w:ascii="Garamond" w:hAnsi="Garamond"/>
            <w:lang w:val="en-AU"/>
          </w:rPr>
          <w:t>https://www.safetyandquality.gov.au/our-work/healthcare-associated-infection/</w:t>
        </w:r>
      </w:hyperlink>
    </w:p>
    <w:p w:rsidR="007572BD" w:rsidRDefault="007572BD" w:rsidP="00644660">
      <w:pPr>
        <w:keepNext/>
        <w:keepLines/>
        <w:autoSpaceDE w:val="0"/>
        <w:autoSpaceDN w:val="0"/>
        <w:adjustRightInd w:val="0"/>
        <w:rPr>
          <w:rFonts w:ascii="Garamond" w:hAnsi="Garamond"/>
          <w:lang w:val="en-AU"/>
        </w:rPr>
      </w:pPr>
    </w:p>
    <w:p w:rsidR="00CD3B90" w:rsidRPr="00CD3B90" w:rsidRDefault="00CD3B90" w:rsidP="00CD3B90">
      <w:pPr>
        <w:keepNext/>
        <w:rPr>
          <w:rFonts w:ascii="Garamond" w:hAnsi="Garamond"/>
          <w:i/>
          <w:lang w:val="en-AU"/>
        </w:rPr>
      </w:pPr>
      <w:r w:rsidRPr="00CD3B90">
        <w:rPr>
          <w:rFonts w:ascii="Garamond" w:hAnsi="Garamond"/>
          <w:i/>
          <w:lang w:val="en-AU"/>
        </w:rPr>
        <w:t>We Want to Know: Eliciting Hospitalized Patients' Perspectives on Breakdowns in Care</w:t>
      </w:r>
    </w:p>
    <w:p w:rsidR="00CD3B90" w:rsidRDefault="00CD3B90" w:rsidP="00B532DE">
      <w:pPr>
        <w:keepNext/>
        <w:rPr>
          <w:rFonts w:ascii="Garamond" w:hAnsi="Garamond"/>
          <w:lang w:val="en-AU"/>
        </w:rPr>
      </w:pPr>
      <w:r w:rsidRPr="00CD3B90">
        <w:rPr>
          <w:rFonts w:ascii="Garamond" w:hAnsi="Garamond"/>
          <w:lang w:val="en-AU"/>
        </w:rPr>
        <w:t>Fisher KA, Smith KM, Gallagher TH, Burns L, Morales C, Mazor KM</w:t>
      </w:r>
    </w:p>
    <w:p w:rsidR="00B532DE" w:rsidRPr="00D9161E" w:rsidRDefault="00CD3B90" w:rsidP="00B532DE">
      <w:pPr>
        <w:keepNext/>
        <w:rPr>
          <w:rFonts w:ascii="Garamond" w:hAnsi="Garamond"/>
          <w:lang w:val="en-AU"/>
        </w:rPr>
      </w:pPr>
      <w:r w:rsidRPr="00CD3B90">
        <w:rPr>
          <w:rFonts w:ascii="Garamond" w:hAnsi="Garamond"/>
          <w:lang w:val="en-AU"/>
        </w:rPr>
        <w:t>Journal of Hospital Medicine. 2017 Aug;12(8):603-9.</w:t>
      </w:r>
    </w:p>
    <w:tbl>
      <w:tblPr>
        <w:tblStyle w:val="TableGrid"/>
        <w:tblW w:w="0" w:type="auto"/>
        <w:tblInd w:w="288" w:type="dxa"/>
        <w:tblLayout w:type="fixed"/>
        <w:tblLook w:val="01E0" w:firstRow="1" w:lastRow="1" w:firstColumn="1" w:lastColumn="1" w:noHBand="0" w:noVBand="0"/>
      </w:tblPr>
      <w:tblGrid>
        <w:gridCol w:w="1080"/>
        <w:gridCol w:w="8280"/>
      </w:tblGrid>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532DE" w:rsidRPr="00D9161E" w:rsidRDefault="00191DF2" w:rsidP="006002CD">
            <w:pPr>
              <w:rPr>
                <w:rStyle w:val="Hyperlink"/>
                <w:rFonts w:ascii="Garamond" w:hAnsi="Garamond"/>
                <w:color w:val="auto"/>
                <w:u w:val="none"/>
                <w:lang w:val="en-AU"/>
              </w:rPr>
            </w:pPr>
            <w:hyperlink r:id="rId24" w:history="1">
              <w:r w:rsidR="00CD3B90" w:rsidRPr="00247999">
                <w:rPr>
                  <w:rStyle w:val="Hyperlink"/>
                  <w:rFonts w:ascii="Garamond" w:hAnsi="Garamond"/>
                  <w:lang w:val="en-AU"/>
                </w:rPr>
                <w:t>http://dx.doi.org/10.12788/jhm.2783</w:t>
              </w:r>
            </w:hyperlink>
          </w:p>
        </w:tc>
      </w:tr>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32DE" w:rsidRDefault="00CD3B90" w:rsidP="006002CD">
            <w:pPr>
              <w:rPr>
                <w:rFonts w:ascii="Garamond" w:hAnsi="Garamond"/>
                <w:lang w:val="en-AU"/>
              </w:rPr>
            </w:pPr>
            <w:r>
              <w:rPr>
                <w:rFonts w:ascii="Garamond" w:hAnsi="Garamond"/>
                <w:lang w:val="en-AU"/>
              </w:rPr>
              <w:t>That there are lapses in care (and these can lead to harm) and that patients have important perspectives on their care (they are only person present for the entire journey) are both now incontrovertible.</w:t>
            </w:r>
          </w:p>
          <w:p w:rsidR="00CD3B90" w:rsidRDefault="00CD3B90" w:rsidP="00CD3B90">
            <w:pPr>
              <w:rPr>
                <w:rFonts w:ascii="Garamond" w:hAnsi="Garamond"/>
                <w:lang w:val="en-AU"/>
              </w:rPr>
            </w:pPr>
            <w:r>
              <w:rPr>
                <w:rFonts w:ascii="Garamond" w:hAnsi="Garamond"/>
                <w:lang w:val="en-AU"/>
              </w:rPr>
              <w:t xml:space="preserve">This study reports on a survey of 979 patients in two American hospitals that revealed almost </w:t>
            </w:r>
            <w:r w:rsidRPr="00CD3B90">
              <w:rPr>
                <w:rFonts w:ascii="Garamond" w:hAnsi="Garamond"/>
                <w:b/>
                <w:lang w:val="en-AU"/>
              </w:rPr>
              <w:t>40%</w:t>
            </w:r>
            <w:r>
              <w:rPr>
                <w:rFonts w:ascii="Garamond" w:hAnsi="Garamond"/>
                <w:lang w:val="en-AU"/>
              </w:rPr>
              <w:t xml:space="preserve"> considered that they had </w:t>
            </w:r>
            <w:r w:rsidRPr="00CD3B90">
              <w:rPr>
                <w:rFonts w:ascii="Garamond" w:hAnsi="Garamond"/>
                <w:b/>
                <w:lang w:val="en-AU"/>
              </w:rPr>
              <w:t>experienced a breakdown in their care</w:t>
            </w:r>
            <w:r>
              <w:rPr>
                <w:rFonts w:ascii="Garamond" w:hAnsi="Garamond"/>
                <w:lang w:val="en-AU"/>
              </w:rPr>
              <w:t>.</w:t>
            </w:r>
          </w:p>
          <w:p w:rsidR="00CD3B90" w:rsidRDefault="00CD3B90" w:rsidP="00CD3B90">
            <w:pPr>
              <w:rPr>
                <w:rFonts w:ascii="Garamond" w:hAnsi="Garamond"/>
                <w:lang w:val="en-AU"/>
              </w:rPr>
            </w:pPr>
            <w:r>
              <w:rPr>
                <w:rFonts w:ascii="Garamond" w:hAnsi="Garamond"/>
                <w:lang w:val="en-AU"/>
              </w:rPr>
              <w:t>O</w:t>
            </w:r>
            <w:r w:rsidR="00C76854">
              <w:rPr>
                <w:rFonts w:ascii="Garamond" w:hAnsi="Garamond"/>
                <w:lang w:val="en-AU"/>
              </w:rPr>
              <w:t>f</w:t>
            </w:r>
            <w:r>
              <w:rPr>
                <w:rFonts w:ascii="Garamond" w:hAnsi="Garamond"/>
                <w:lang w:val="en-AU"/>
              </w:rPr>
              <w:t xml:space="preserve"> the 979 patients, </w:t>
            </w:r>
            <w:r w:rsidRPr="00CD3B90">
              <w:rPr>
                <w:rFonts w:ascii="Garamond" w:hAnsi="Garamond"/>
                <w:lang w:val="en-AU"/>
              </w:rPr>
              <w:t xml:space="preserve">386 (39.4%) believed they had experienced at least one breakdown in care. The most common reported breakdowns involved </w:t>
            </w:r>
            <w:r w:rsidRPr="00CD3B90">
              <w:rPr>
                <w:rFonts w:ascii="Garamond" w:hAnsi="Garamond"/>
                <w:b/>
                <w:lang w:val="en-AU"/>
              </w:rPr>
              <w:t>information exchange</w:t>
            </w:r>
            <w:r w:rsidRPr="00CD3B90">
              <w:rPr>
                <w:rFonts w:ascii="Garamond" w:hAnsi="Garamond"/>
                <w:lang w:val="en-AU"/>
              </w:rPr>
              <w:t xml:space="preserve"> (16.1%), </w:t>
            </w:r>
            <w:r w:rsidRPr="00CD3B90">
              <w:rPr>
                <w:rFonts w:ascii="Garamond" w:hAnsi="Garamond"/>
                <w:b/>
                <w:lang w:val="en-AU"/>
              </w:rPr>
              <w:t>medications</w:t>
            </w:r>
            <w:r w:rsidRPr="00CD3B90">
              <w:rPr>
                <w:rFonts w:ascii="Garamond" w:hAnsi="Garamond"/>
                <w:lang w:val="en-AU"/>
              </w:rPr>
              <w:t xml:space="preserve"> (12.3%), </w:t>
            </w:r>
            <w:r w:rsidRPr="00CD3B90">
              <w:rPr>
                <w:rFonts w:ascii="Garamond" w:hAnsi="Garamond"/>
                <w:b/>
                <w:lang w:val="en-AU"/>
              </w:rPr>
              <w:t>delays in admission</w:t>
            </w:r>
            <w:r w:rsidRPr="00CD3B90">
              <w:rPr>
                <w:rFonts w:ascii="Garamond" w:hAnsi="Garamond"/>
                <w:lang w:val="en-AU"/>
              </w:rPr>
              <w:t xml:space="preserve"> (9.2%), </w:t>
            </w:r>
            <w:r w:rsidRPr="00CD3B90">
              <w:rPr>
                <w:rFonts w:ascii="Garamond" w:hAnsi="Garamond"/>
                <w:b/>
                <w:lang w:val="en-AU"/>
              </w:rPr>
              <w:t>team communication</w:t>
            </w:r>
            <w:r w:rsidRPr="00CD3B90">
              <w:rPr>
                <w:rFonts w:ascii="Garamond" w:hAnsi="Garamond"/>
                <w:lang w:val="en-AU"/>
              </w:rPr>
              <w:t xml:space="preserve"> (6.6%), </w:t>
            </w:r>
            <w:r w:rsidRPr="00CD3B90">
              <w:rPr>
                <w:rFonts w:ascii="Garamond" w:hAnsi="Garamond"/>
                <w:b/>
                <w:lang w:val="en-AU"/>
              </w:rPr>
              <w:t>providers’ manner</w:t>
            </w:r>
            <w:r w:rsidRPr="00CD3B90">
              <w:rPr>
                <w:rFonts w:ascii="Garamond" w:hAnsi="Garamond"/>
                <w:lang w:val="en-AU"/>
              </w:rPr>
              <w:t xml:space="preserve"> (6.3%), and </w:t>
            </w:r>
            <w:r w:rsidRPr="00CD3B90">
              <w:rPr>
                <w:rFonts w:ascii="Garamond" w:hAnsi="Garamond"/>
                <w:b/>
                <w:lang w:val="en-AU"/>
              </w:rPr>
              <w:t>discharge</w:t>
            </w:r>
            <w:r w:rsidRPr="00CD3B90">
              <w:rPr>
                <w:rFonts w:ascii="Garamond" w:hAnsi="Garamond"/>
                <w:lang w:val="en-AU"/>
              </w:rPr>
              <w:t xml:space="preserve"> (5.7%). </w:t>
            </w:r>
          </w:p>
          <w:p w:rsidR="00CD3B90" w:rsidRDefault="00CD3B90" w:rsidP="00CD3B90">
            <w:pPr>
              <w:rPr>
                <w:rFonts w:ascii="Garamond" w:hAnsi="Garamond"/>
                <w:lang w:val="en-AU"/>
              </w:rPr>
            </w:pPr>
            <w:r w:rsidRPr="00CD3B90">
              <w:rPr>
                <w:rFonts w:ascii="Garamond" w:hAnsi="Garamond"/>
                <w:lang w:val="en-AU"/>
              </w:rPr>
              <w:t xml:space="preserve">140 </w:t>
            </w:r>
            <w:r>
              <w:rPr>
                <w:rFonts w:ascii="Garamond" w:hAnsi="Garamond"/>
                <w:lang w:val="en-AU"/>
              </w:rPr>
              <w:t xml:space="preserve">of the 386 patients </w:t>
            </w:r>
            <w:r w:rsidRPr="00CD3B90">
              <w:rPr>
                <w:rFonts w:ascii="Garamond" w:hAnsi="Garamond"/>
                <w:lang w:val="en-AU"/>
              </w:rPr>
              <w:t>(36.3%) perceived associated harm</w:t>
            </w:r>
            <w:r>
              <w:rPr>
                <w:rFonts w:ascii="Garamond" w:hAnsi="Garamond"/>
                <w:lang w:val="en-AU"/>
              </w:rPr>
              <w:t xml:space="preserve"> with the breakdown in care</w:t>
            </w:r>
            <w:r w:rsidRPr="00CD3B90">
              <w:rPr>
                <w:rFonts w:ascii="Garamond" w:hAnsi="Garamond"/>
                <w:lang w:val="en-AU"/>
              </w:rPr>
              <w:t xml:space="preserve">. </w:t>
            </w:r>
            <w:r>
              <w:rPr>
                <w:rFonts w:ascii="Garamond" w:hAnsi="Garamond"/>
                <w:lang w:val="en-AU"/>
              </w:rPr>
              <w:t xml:space="preserve">The harms they reported </w:t>
            </w:r>
            <w:r w:rsidRPr="00CD3B90">
              <w:rPr>
                <w:rFonts w:ascii="Garamond" w:hAnsi="Garamond"/>
                <w:lang w:val="en-AU"/>
              </w:rPr>
              <w:t>included physical (eg, pain), emotional (eg, distress, worry), damage to relationship with providers, need for additional care or prolonged hosp</w:t>
            </w:r>
            <w:r>
              <w:rPr>
                <w:rFonts w:ascii="Garamond" w:hAnsi="Garamond"/>
                <w:lang w:val="en-AU"/>
              </w:rPr>
              <w:t>ital stay, and life disruption.</w:t>
            </w:r>
          </w:p>
          <w:p w:rsidR="00CD3B90" w:rsidRPr="00D9161E" w:rsidRDefault="00CD3B90" w:rsidP="00CD3B90">
            <w:pPr>
              <w:rPr>
                <w:rFonts w:ascii="Garamond" w:hAnsi="Garamond"/>
                <w:lang w:val="en-AU"/>
              </w:rPr>
            </w:pPr>
            <w:r>
              <w:rPr>
                <w:rFonts w:ascii="Garamond" w:hAnsi="Garamond"/>
                <w:lang w:val="en-AU"/>
              </w:rPr>
              <w:t>The authors report that younger patients (</w:t>
            </w:r>
            <w:r w:rsidRPr="00CD3B90">
              <w:rPr>
                <w:rFonts w:ascii="Garamond" w:hAnsi="Garamond"/>
                <w:lang w:val="en-AU"/>
              </w:rPr>
              <w:t>&lt;60 years old)</w:t>
            </w:r>
            <w:r>
              <w:rPr>
                <w:rFonts w:ascii="Garamond" w:hAnsi="Garamond"/>
                <w:lang w:val="en-AU"/>
              </w:rPr>
              <w:t xml:space="preserve">, those with some level of tertiary </w:t>
            </w:r>
            <w:r w:rsidRPr="00CD3B90">
              <w:rPr>
                <w:rFonts w:ascii="Garamond" w:hAnsi="Garamond"/>
                <w:lang w:val="en-AU"/>
              </w:rPr>
              <w:t xml:space="preserve">education and those with another person (family or friend) present during the interview or interviewed in lieu of the patient </w:t>
            </w:r>
            <w:r>
              <w:rPr>
                <w:rFonts w:ascii="Garamond" w:hAnsi="Garamond"/>
                <w:lang w:val="en-AU"/>
              </w:rPr>
              <w:t>were more likely to report breakdowns.</w:t>
            </w:r>
          </w:p>
        </w:tc>
      </w:tr>
    </w:tbl>
    <w:p w:rsidR="00B532DE" w:rsidRDefault="00B532DE" w:rsidP="00B532DE">
      <w:pPr>
        <w:keepNext/>
        <w:keepLines/>
        <w:autoSpaceDE w:val="0"/>
        <w:autoSpaceDN w:val="0"/>
        <w:adjustRightInd w:val="0"/>
        <w:rPr>
          <w:rFonts w:ascii="Garamond" w:hAnsi="Garamond"/>
          <w:lang w:val="en-AU"/>
        </w:rPr>
      </w:pPr>
    </w:p>
    <w:p w:rsidR="00CD3B90" w:rsidRPr="00D9161E" w:rsidRDefault="00CD3B90" w:rsidP="00CD3B90">
      <w:pPr>
        <w:rPr>
          <w:rFonts w:ascii="Garamond" w:hAnsi="Garamond"/>
          <w:lang w:val="en-AU"/>
        </w:rPr>
      </w:pPr>
      <w:r w:rsidRPr="00D9161E">
        <w:rPr>
          <w:rFonts w:ascii="Garamond" w:hAnsi="Garamond"/>
          <w:lang w:val="en-AU"/>
        </w:rPr>
        <w:t xml:space="preserve">For information </w:t>
      </w:r>
      <w:r>
        <w:rPr>
          <w:rFonts w:ascii="Garamond" w:hAnsi="Garamond"/>
          <w:lang w:val="en-AU"/>
        </w:rPr>
        <w:t xml:space="preserve">on </w:t>
      </w:r>
      <w:r w:rsidRPr="00D9161E">
        <w:rPr>
          <w:rFonts w:ascii="Garamond" w:hAnsi="Garamond"/>
          <w:lang w:val="en-AU"/>
        </w:rPr>
        <w:t xml:space="preserve">the Commission’s work on patient and consumer centred care, see </w:t>
      </w:r>
      <w:hyperlink r:id="rId25" w:history="1">
        <w:r w:rsidRPr="00D9161E">
          <w:rPr>
            <w:rStyle w:val="Hyperlink"/>
            <w:rFonts w:ascii="Garamond" w:hAnsi="Garamond"/>
            <w:lang w:val="en-AU"/>
          </w:rPr>
          <w:t>https://www.safetyandquality.gov.au/our-work/patient-and-consumer-centred-care/</w:t>
        </w:r>
      </w:hyperlink>
    </w:p>
    <w:p w:rsidR="00B27F58" w:rsidRPr="00B27F58" w:rsidRDefault="00B27F58" w:rsidP="00B27F58">
      <w:pPr>
        <w:keepNext/>
        <w:rPr>
          <w:rFonts w:ascii="Garamond" w:hAnsi="Garamond"/>
          <w:i/>
          <w:lang w:val="en-AU"/>
        </w:rPr>
      </w:pPr>
      <w:r w:rsidRPr="00B27F58">
        <w:rPr>
          <w:rFonts w:ascii="Garamond" w:hAnsi="Garamond"/>
          <w:i/>
          <w:lang w:val="en-AU"/>
        </w:rPr>
        <w:lastRenderedPageBreak/>
        <w:t>Patient-centred care is a way of doing things: How healthcare employees conceptualize patient-centred care</w:t>
      </w:r>
    </w:p>
    <w:p w:rsidR="00403275" w:rsidRDefault="00403275" w:rsidP="00B27F58">
      <w:pPr>
        <w:keepNext/>
        <w:rPr>
          <w:rFonts w:ascii="Garamond" w:hAnsi="Garamond"/>
          <w:lang w:val="en-AU"/>
        </w:rPr>
      </w:pPr>
      <w:r w:rsidRPr="00403275">
        <w:rPr>
          <w:rFonts w:ascii="Garamond" w:hAnsi="Garamond"/>
          <w:lang w:val="en-AU"/>
        </w:rPr>
        <w:t>Fix GM, VanDeusen Lukas C, Bolton RE, Hill JN, Mueller N, LaVela SL, et al</w:t>
      </w:r>
    </w:p>
    <w:p w:rsidR="00B27F58" w:rsidRPr="00D9161E" w:rsidRDefault="00403275" w:rsidP="00B27F58">
      <w:pPr>
        <w:keepNext/>
        <w:rPr>
          <w:rFonts w:ascii="Garamond" w:hAnsi="Garamond"/>
          <w:lang w:val="en-AU"/>
        </w:rPr>
      </w:pPr>
      <w:r w:rsidRPr="00403275">
        <w:rPr>
          <w:rFonts w:ascii="Garamond" w:hAnsi="Garamond"/>
          <w:lang w:val="en-AU"/>
        </w:rPr>
        <w:t>Health Expectations. 2017</w:t>
      </w:r>
      <w:r>
        <w:rPr>
          <w:rFonts w:ascii="Garamond" w:hAnsi="Garamond"/>
          <w:lang w:val="en-AU"/>
        </w:rPr>
        <w:t xml:space="preserve"> [epub]</w:t>
      </w:r>
      <w:r w:rsidRPr="0040327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27F58" w:rsidRPr="00D9161E" w:rsidTr="00CB2C22">
        <w:tc>
          <w:tcPr>
            <w:tcW w:w="1080" w:type="dxa"/>
            <w:tcBorders>
              <w:top w:val="single" w:sz="4" w:space="0" w:color="auto"/>
              <w:left w:val="single" w:sz="4" w:space="0" w:color="auto"/>
              <w:bottom w:val="single" w:sz="4" w:space="0" w:color="auto"/>
              <w:right w:val="single" w:sz="4" w:space="0" w:color="auto"/>
            </w:tcBorders>
            <w:vAlign w:val="center"/>
          </w:tcPr>
          <w:p w:rsidR="00B27F58" w:rsidRPr="00D9161E" w:rsidRDefault="00B27F58" w:rsidP="00CB2C2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27F58" w:rsidRPr="00D9161E" w:rsidRDefault="00191DF2" w:rsidP="00CB2C22">
            <w:pPr>
              <w:rPr>
                <w:rStyle w:val="Hyperlink"/>
                <w:rFonts w:ascii="Garamond" w:hAnsi="Garamond"/>
                <w:color w:val="auto"/>
                <w:u w:val="none"/>
                <w:lang w:val="en-AU"/>
              </w:rPr>
            </w:pPr>
            <w:hyperlink r:id="rId26" w:history="1">
              <w:r w:rsidR="00403275" w:rsidRPr="00567745">
                <w:rPr>
                  <w:rStyle w:val="Hyperlink"/>
                  <w:rFonts w:ascii="Garamond" w:hAnsi="Garamond"/>
                  <w:lang w:val="en-AU"/>
                </w:rPr>
                <w:t>http://dx.doi.org/10.1111/hex.12615</w:t>
              </w:r>
            </w:hyperlink>
          </w:p>
        </w:tc>
      </w:tr>
      <w:tr w:rsidR="00B27F58" w:rsidRPr="00D9161E" w:rsidTr="00CB2C22">
        <w:tc>
          <w:tcPr>
            <w:tcW w:w="1080" w:type="dxa"/>
            <w:tcBorders>
              <w:top w:val="single" w:sz="4" w:space="0" w:color="auto"/>
              <w:left w:val="single" w:sz="4" w:space="0" w:color="auto"/>
              <w:bottom w:val="single" w:sz="4" w:space="0" w:color="auto"/>
              <w:right w:val="single" w:sz="4" w:space="0" w:color="auto"/>
            </w:tcBorders>
            <w:vAlign w:val="center"/>
          </w:tcPr>
          <w:p w:rsidR="00B27F58" w:rsidRPr="00D9161E" w:rsidRDefault="00B27F58" w:rsidP="00CB2C2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2A1A" w:rsidRPr="00D9161E" w:rsidRDefault="00EA2A1A" w:rsidP="00030DFB">
            <w:pPr>
              <w:rPr>
                <w:rFonts w:ascii="Garamond" w:hAnsi="Garamond"/>
                <w:lang w:val="en-AU"/>
              </w:rPr>
            </w:pPr>
            <w:r>
              <w:rPr>
                <w:rFonts w:ascii="Garamond" w:hAnsi="Garamond"/>
                <w:lang w:val="en-AU"/>
              </w:rPr>
              <w:t xml:space="preserve">This paper describes a study that survey </w:t>
            </w:r>
            <w:r w:rsidR="00CB0F3C" w:rsidRPr="00CB0F3C">
              <w:rPr>
                <w:rFonts w:ascii="Garamond" w:hAnsi="Garamond"/>
                <w:lang w:val="en-AU"/>
              </w:rPr>
              <w:t>107 employees</w:t>
            </w:r>
            <w:r w:rsidR="00CB0F3C">
              <w:rPr>
                <w:rFonts w:ascii="Garamond" w:hAnsi="Garamond"/>
                <w:lang w:val="en-AU"/>
              </w:rPr>
              <w:t xml:space="preserve"> (</w:t>
            </w:r>
            <w:r w:rsidR="00CB0F3C" w:rsidRPr="00CB0F3C">
              <w:rPr>
                <w:rFonts w:ascii="Garamond" w:hAnsi="Garamond"/>
                <w:lang w:val="en-AU"/>
              </w:rPr>
              <w:t xml:space="preserve"> including leadership, middle managers, front line providers and staff</w:t>
            </w:r>
            <w:r w:rsidR="00CB0F3C">
              <w:rPr>
                <w:rFonts w:ascii="Garamond" w:hAnsi="Garamond"/>
                <w:lang w:val="en-AU"/>
              </w:rPr>
              <w:t>)</w:t>
            </w:r>
            <w:r w:rsidR="00CB0F3C" w:rsidRPr="00CB0F3C">
              <w:rPr>
                <w:rFonts w:ascii="Garamond" w:hAnsi="Garamond"/>
                <w:lang w:val="en-AU"/>
              </w:rPr>
              <w:t xml:space="preserve"> at four US Veteran Health Administration (VHA) medica</w:t>
            </w:r>
            <w:r w:rsidR="00CB0F3C">
              <w:rPr>
                <w:rFonts w:ascii="Garamond" w:hAnsi="Garamond"/>
                <w:lang w:val="en-AU"/>
              </w:rPr>
              <w:t>l centres</w:t>
            </w:r>
            <w:r>
              <w:rPr>
                <w:rFonts w:ascii="Garamond" w:hAnsi="Garamond"/>
                <w:lang w:val="en-AU"/>
              </w:rPr>
              <w:t xml:space="preserve"> on their perspectives on patient-centred care. </w:t>
            </w:r>
            <w:r w:rsidR="00CB0F3C">
              <w:rPr>
                <w:rFonts w:ascii="Garamond" w:hAnsi="Garamond"/>
                <w:lang w:val="en-AU"/>
              </w:rPr>
              <w:t>From these, the authors consider that “</w:t>
            </w:r>
            <w:r w:rsidR="00CB0F3C" w:rsidRPr="00CB0F3C">
              <w:rPr>
                <w:rFonts w:ascii="Garamond" w:hAnsi="Garamond"/>
                <w:lang w:val="en-AU"/>
              </w:rPr>
              <w:t>Patient- centred care ideals have permeated into healthcare systems.</w:t>
            </w:r>
            <w:r w:rsidR="00CB0F3C">
              <w:rPr>
                <w:rFonts w:ascii="Garamond" w:hAnsi="Garamond"/>
                <w:lang w:val="en-AU"/>
              </w:rPr>
              <w:t>” Indeed, they found that “</w:t>
            </w:r>
            <w:r w:rsidR="00CB0F3C" w:rsidRPr="00CB0F3C">
              <w:rPr>
                <w:rFonts w:ascii="Garamond" w:hAnsi="Garamond"/>
                <w:lang w:val="en-AU"/>
              </w:rPr>
              <w:t>patient- centred care has been expanded to encompass a cultural shift in care delivery, beginning with patients’ experiences entering a facility.</w:t>
            </w:r>
            <w:r w:rsidR="00030DFB">
              <w:rPr>
                <w:rFonts w:ascii="Garamond" w:hAnsi="Garamond"/>
                <w:lang w:val="en-AU"/>
              </w:rPr>
              <w:t>” But it is not without concerns as “</w:t>
            </w:r>
            <w:r w:rsidR="00CB0F3C" w:rsidRPr="00CB0F3C">
              <w:rPr>
                <w:rFonts w:ascii="Garamond" w:hAnsi="Garamond"/>
                <w:lang w:val="en-AU"/>
              </w:rPr>
              <w:t>some healthcare employees, namely leadership, see patient- centred care so broadly, it encompasses on- going hospital initiatives, while others consider patient- centred care as inherent to specific positions. These latter conceptualizations risk undermining patient- centred care implementation by limiting transformational initiatives to specific providers or simply repackaging existing programmes</w:t>
            </w:r>
            <w:r w:rsidR="00030DFB">
              <w:rPr>
                <w:rFonts w:ascii="Garamond" w:hAnsi="Garamond"/>
                <w:lang w:val="en-AU"/>
              </w:rPr>
              <w:t>.</w:t>
            </w:r>
            <w:r w:rsidR="00CB0F3C">
              <w:rPr>
                <w:rFonts w:ascii="Garamond" w:hAnsi="Garamond"/>
                <w:lang w:val="en-AU"/>
              </w:rPr>
              <w:t>”</w:t>
            </w:r>
            <w:r w:rsidR="00030DFB">
              <w:rPr>
                <w:rFonts w:ascii="Garamond" w:hAnsi="Garamond"/>
                <w:lang w:val="en-AU"/>
              </w:rPr>
              <w:t xml:space="preserve"> So while patient-centred care is recognised, how it is understood within health systems and facilities varies.</w:t>
            </w:r>
          </w:p>
        </w:tc>
      </w:tr>
    </w:tbl>
    <w:p w:rsidR="00B27F58" w:rsidRDefault="00B27F58" w:rsidP="00B27F58">
      <w:pPr>
        <w:keepNext/>
        <w:keepLines/>
        <w:autoSpaceDE w:val="0"/>
        <w:autoSpaceDN w:val="0"/>
        <w:adjustRightInd w:val="0"/>
        <w:rPr>
          <w:rFonts w:ascii="Garamond" w:hAnsi="Garamond"/>
          <w:lang w:val="en-AU"/>
        </w:rPr>
      </w:pPr>
    </w:p>
    <w:p w:rsidR="00B532DE" w:rsidRPr="00ED1B6C" w:rsidRDefault="00ED1B6C" w:rsidP="00B532DE">
      <w:pPr>
        <w:keepNext/>
        <w:rPr>
          <w:rFonts w:ascii="Garamond" w:hAnsi="Garamond"/>
          <w:i/>
          <w:lang w:val="en-AU"/>
        </w:rPr>
      </w:pPr>
      <w:r w:rsidRPr="00ED1B6C">
        <w:rPr>
          <w:rFonts w:ascii="Garamond" w:hAnsi="Garamond"/>
          <w:i/>
          <w:lang w:val="en-AU"/>
        </w:rPr>
        <w:t>What role does performance information play in securing improvement in healthcare? a conceptual framework for levers of change</w:t>
      </w:r>
    </w:p>
    <w:p w:rsidR="00ED1B6C" w:rsidRDefault="00ED1B6C" w:rsidP="00B532DE">
      <w:pPr>
        <w:keepNext/>
        <w:rPr>
          <w:rFonts w:ascii="Garamond" w:hAnsi="Garamond"/>
          <w:lang w:val="en-AU"/>
        </w:rPr>
      </w:pPr>
      <w:r w:rsidRPr="00ED1B6C">
        <w:rPr>
          <w:rFonts w:ascii="Garamond" w:hAnsi="Garamond"/>
          <w:lang w:val="en-AU"/>
        </w:rPr>
        <w:t>Levesque J-F, Sutherland K</w:t>
      </w:r>
    </w:p>
    <w:p w:rsidR="00ED1B6C" w:rsidRPr="00D9161E" w:rsidRDefault="00ED1B6C" w:rsidP="00B532DE">
      <w:pPr>
        <w:keepNext/>
        <w:rPr>
          <w:rFonts w:ascii="Garamond" w:hAnsi="Garamond"/>
          <w:lang w:val="en-AU"/>
        </w:rPr>
      </w:pPr>
      <w:r w:rsidRPr="00ED1B6C">
        <w:rPr>
          <w:rFonts w:ascii="Garamond" w:hAnsi="Garamond"/>
          <w:lang w:val="en-AU"/>
        </w:rPr>
        <w:t>BMJ Open. 2017;7(8):e014825.</w:t>
      </w:r>
    </w:p>
    <w:tbl>
      <w:tblPr>
        <w:tblStyle w:val="TableGrid"/>
        <w:tblW w:w="0" w:type="auto"/>
        <w:tblInd w:w="288" w:type="dxa"/>
        <w:tblLayout w:type="fixed"/>
        <w:tblLook w:val="01E0" w:firstRow="1" w:lastRow="1" w:firstColumn="1" w:lastColumn="1" w:noHBand="0" w:noVBand="0"/>
      </w:tblPr>
      <w:tblGrid>
        <w:gridCol w:w="1080"/>
        <w:gridCol w:w="8280"/>
      </w:tblGrid>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532DE" w:rsidRPr="00D9161E" w:rsidRDefault="00191DF2" w:rsidP="006002CD">
            <w:pPr>
              <w:rPr>
                <w:rStyle w:val="Hyperlink"/>
                <w:rFonts w:ascii="Garamond" w:hAnsi="Garamond"/>
                <w:color w:val="auto"/>
                <w:u w:val="none"/>
                <w:lang w:val="en-AU"/>
              </w:rPr>
            </w:pPr>
            <w:hyperlink r:id="rId27" w:history="1">
              <w:r w:rsidR="00ED1B6C" w:rsidRPr="00247999">
                <w:rPr>
                  <w:rStyle w:val="Hyperlink"/>
                  <w:rFonts w:ascii="Garamond" w:hAnsi="Garamond"/>
                  <w:lang w:val="en-AU"/>
                </w:rPr>
                <w:t>http://dx.doi.org/10.1136/bmjopen-2016-014825</w:t>
              </w:r>
            </w:hyperlink>
          </w:p>
        </w:tc>
      </w:tr>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710B9" w:rsidRDefault="004710B9" w:rsidP="006002CD">
            <w:pPr>
              <w:rPr>
                <w:rFonts w:ascii="Garamond" w:hAnsi="Garamond"/>
                <w:lang w:val="en-AU"/>
              </w:rPr>
            </w:pPr>
            <w:r>
              <w:rPr>
                <w:rFonts w:ascii="Garamond" w:hAnsi="Garamond"/>
                <w:lang w:val="en-AU"/>
              </w:rPr>
              <w:t>In this paper the authors identify and describe e</w:t>
            </w:r>
            <w:r w:rsidR="001610F3" w:rsidRPr="001610F3">
              <w:rPr>
                <w:rFonts w:ascii="Garamond" w:hAnsi="Garamond"/>
                <w:lang w:val="en-AU"/>
              </w:rPr>
              <w:t xml:space="preserve">ight </w:t>
            </w:r>
            <w:r>
              <w:rPr>
                <w:rFonts w:ascii="Garamond" w:hAnsi="Garamond"/>
                <w:lang w:val="en-AU"/>
              </w:rPr>
              <w:t xml:space="preserve">different </w:t>
            </w:r>
            <w:r w:rsidR="001610F3" w:rsidRPr="001610F3">
              <w:rPr>
                <w:rFonts w:ascii="Garamond" w:hAnsi="Garamond"/>
                <w:lang w:val="en-AU"/>
              </w:rPr>
              <w:t xml:space="preserve">levers for change </w:t>
            </w:r>
            <w:r>
              <w:rPr>
                <w:rFonts w:ascii="Garamond" w:hAnsi="Garamond"/>
                <w:lang w:val="en-AU"/>
              </w:rPr>
              <w:t xml:space="preserve">in healthcare that are each </w:t>
            </w:r>
            <w:r w:rsidR="001610F3" w:rsidRPr="001610F3">
              <w:rPr>
                <w:rFonts w:ascii="Garamond" w:hAnsi="Garamond"/>
                <w:lang w:val="en-AU"/>
              </w:rPr>
              <w:t>enabled by performance information</w:t>
            </w:r>
            <w:r>
              <w:rPr>
                <w:rFonts w:ascii="Garamond" w:hAnsi="Garamond"/>
                <w:lang w:val="en-AU"/>
              </w:rPr>
              <w:t xml:space="preserve">. Their framework structures these levers in terms of the source of motivation (internal/external) and whether change is planned or emergent. </w:t>
            </w:r>
          </w:p>
          <w:p w:rsidR="004710B9" w:rsidRDefault="004710B9" w:rsidP="006002CD">
            <w:pPr>
              <w:rPr>
                <w:rFonts w:ascii="Garamond" w:hAnsi="Garamond"/>
                <w:lang w:val="en-AU"/>
              </w:rPr>
            </w:pPr>
            <w:r>
              <w:rPr>
                <w:rFonts w:ascii="Garamond" w:hAnsi="Garamond"/>
                <w:lang w:val="en-AU"/>
              </w:rPr>
              <w:t>The eight levers identified are:</w:t>
            </w:r>
          </w:p>
          <w:p w:rsidR="004710B9" w:rsidRDefault="00191DF2" w:rsidP="004710B9">
            <w:pPr>
              <w:pStyle w:val="ListParagraph"/>
              <w:numPr>
                <w:ilvl w:val="0"/>
                <w:numId w:val="39"/>
              </w:numPr>
              <w:rPr>
                <w:rFonts w:ascii="Garamond" w:hAnsi="Garamond"/>
                <w:lang w:val="en-AU"/>
              </w:rPr>
            </w:pPr>
            <w:r w:rsidRPr="004710B9">
              <w:rPr>
                <w:rFonts w:ascii="Garamond" w:hAnsi="Garamond"/>
                <w:lang w:val="en-AU"/>
              </w:rPr>
              <w:t>C</w:t>
            </w:r>
            <w:r w:rsidR="004710B9" w:rsidRPr="004710B9">
              <w:rPr>
                <w:rFonts w:ascii="Garamond" w:hAnsi="Garamond"/>
                <w:lang w:val="en-AU"/>
              </w:rPr>
              <w:t>ognitive</w:t>
            </w:r>
            <w:r>
              <w:rPr>
                <w:rFonts w:ascii="Garamond" w:hAnsi="Garamond"/>
                <w:lang w:val="en-AU"/>
              </w:rPr>
              <w:t xml:space="preserve"> </w:t>
            </w:r>
            <w:r w:rsidR="004710B9">
              <w:rPr>
                <w:rFonts w:ascii="Garamond" w:hAnsi="Garamond"/>
                <w:lang w:val="en-AU"/>
              </w:rPr>
              <w:t xml:space="preserve">– </w:t>
            </w:r>
            <w:r w:rsidR="00456A62">
              <w:rPr>
                <w:rFonts w:ascii="Garamond" w:hAnsi="Garamond"/>
                <w:lang w:val="en-AU"/>
              </w:rPr>
              <w:t>a means to gauge one’s own performance</w:t>
            </w:r>
          </w:p>
          <w:p w:rsidR="004710B9" w:rsidRDefault="004710B9" w:rsidP="004710B9">
            <w:pPr>
              <w:pStyle w:val="ListParagraph"/>
              <w:numPr>
                <w:ilvl w:val="0"/>
                <w:numId w:val="39"/>
              </w:numPr>
              <w:rPr>
                <w:rFonts w:ascii="Garamond" w:hAnsi="Garamond"/>
                <w:lang w:val="en-AU"/>
              </w:rPr>
            </w:pPr>
            <w:r w:rsidRPr="004710B9">
              <w:rPr>
                <w:rFonts w:ascii="Garamond" w:hAnsi="Garamond"/>
                <w:lang w:val="en-AU"/>
              </w:rPr>
              <w:t xml:space="preserve">mimetic </w:t>
            </w:r>
            <w:r>
              <w:rPr>
                <w:rFonts w:ascii="Garamond" w:hAnsi="Garamond"/>
                <w:lang w:val="en-AU"/>
              </w:rPr>
              <w:t xml:space="preserve">– </w:t>
            </w:r>
            <w:r w:rsidRPr="004710B9">
              <w:rPr>
                <w:rFonts w:ascii="Garamond" w:hAnsi="Garamond"/>
                <w:lang w:val="en-AU"/>
              </w:rPr>
              <w:t>inform about the p</w:t>
            </w:r>
            <w:r w:rsidR="00456A62">
              <w:rPr>
                <w:rFonts w:ascii="Garamond" w:hAnsi="Garamond"/>
                <w:lang w:val="en-AU"/>
              </w:rPr>
              <w:t>erformance of others</w:t>
            </w:r>
          </w:p>
          <w:p w:rsidR="004710B9" w:rsidRDefault="004710B9" w:rsidP="004710B9">
            <w:pPr>
              <w:pStyle w:val="ListParagraph"/>
              <w:numPr>
                <w:ilvl w:val="0"/>
                <w:numId w:val="39"/>
              </w:numPr>
              <w:rPr>
                <w:rFonts w:ascii="Garamond" w:hAnsi="Garamond"/>
                <w:lang w:val="en-AU"/>
              </w:rPr>
            </w:pPr>
            <w:r w:rsidRPr="004710B9">
              <w:rPr>
                <w:rFonts w:ascii="Garamond" w:hAnsi="Garamond"/>
                <w:lang w:val="en-AU"/>
              </w:rPr>
              <w:t xml:space="preserve">supportive </w:t>
            </w:r>
            <w:r>
              <w:rPr>
                <w:rFonts w:ascii="Garamond" w:hAnsi="Garamond"/>
                <w:lang w:val="en-AU"/>
              </w:rPr>
              <w:t xml:space="preserve">– </w:t>
            </w:r>
            <w:r w:rsidRPr="004710B9">
              <w:rPr>
                <w:rFonts w:ascii="Garamond" w:hAnsi="Garamond"/>
                <w:lang w:val="en-AU"/>
              </w:rPr>
              <w:t>provide facilitation, implementation tools or models of care to actively support change</w:t>
            </w:r>
          </w:p>
          <w:p w:rsidR="004710B9" w:rsidRDefault="004710B9" w:rsidP="004710B9">
            <w:pPr>
              <w:pStyle w:val="ListParagraph"/>
              <w:numPr>
                <w:ilvl w:val="0"/>
                <w:numId w:val="39"/>
              </w:numPr>
              <w:rPr>
                <w:rFonts w:ascii="Garamond" w:hAnsi="Garamond"/>
                <w:lang w:val="en-AU"/>
              </w:rPr>
            </w:pPr>
            <w:r w:rsidRPr="004710B9">
              <w:rPr>
                <w:rFonts w:ascii="Garamond" w:hAnsi="Garamond"/>
                <w:lang w:val="en-AU"/>
              </w:rPr>
              <w:t xml:space="preserve">formative </w:t>
            </w:r>
            <w:r>
              <w:rPr>
                <w:rFonts w:ascii="Garamond" w:hAnsi="Garamond"/>
                <w:lang w:val="en-AU"/>
              </w:rPr>
              <w:t xml:space="preserve">– </w:t>
            </w:r>
            <w:r w:rsidRPr="004710B9">
              <w:rPr>
                <w:rFonts w:ascii="Garamond" w:hAnsi="Garamond"/>
                <w:lang w:val="en-AU"/>
              </w:rPr>
              <w:t>develop capabilities and skills through teaching, mentoring and feedback</w:t>
            </w:r>
          </w:p>
          <w:p w:rsidR="004710B9" w:rsidRDefault="004710B9" w:rsidP="004710B9">
            <w:pPr>
              <w:pStyle w:val="ListParagraph"/>
              <w:numPr>
                <w:ilvl w:val="0"/>
                <w:numId w:val="39"/>
              </w:numPr>
              <w:rPr>
                <w:rFonts w:ascii="Garamond" w:hAnsi="Garamond"/>
                <w:lang w:val="en-AU"/>
              </w:rPr>
            </w:pPr>
            <w:r w:rsidRPr="004710B9">
              <w:rPr>
                <w:rFonts w:ascii="Garamond" w:hAnsi="Garamond"/>
                <w:lang w:val="en-AU"/>
              </w:rPr>
              <w:t xml:space="preserve">normative </w:t>
            </w:r>
            <w:r>
              <w:rPr>
                <w:rFonts w:ascii="Garamond" w:hAnsi="Garamond"/>
                <w:lang w:val="en-AU"/>
              </w:rPr>
              <w:t>–</w:t>
            </w:r>
            <w:r w:rsidR="00191DF2">
              <w:rPr>
                <w:rFonts w:ascii="Garamond" w:hAnsi="Garamond"/>
                <w:lang w:val="en-AU"/>
              </w:rPr>
              <w:t xml:space="preserve"> </w:t>
            </w:r>
            <w:r w:rsidRPr="004710B9">
              <w:rPr>
                <w:rFonts w:ascii="Garamond" w:hAnsi="Garamond"/>
                <w:lang w:val="en-AU"/>
              </w:rPr>
              <w:t xml:space="preserve">set performance against guidelines, </w:t>
            </w:r>
            <w:r w:rsidR="00456A62">
              <w:rPr>
                <w:rFonts w:ascii="Garamond" w:hAnsi="Garamond"/>
                <w:lang w:val="en-AU"/>
              </w:rPr>
              <w:t xml:space="preserve">professional </w:t>
            </w:r>
            <w:r w:rsidRPr="004710B9">
              <w:rPr>
                <w:rFonts w:ascii="Garamond" w:hAnsi="Garamond"/>
                <w:lang w:val="en-AU"/>
              </w:rPr>
              <w:t xml:space="preserve">standards, </w:t>
            </w:r>
            <w:r w:rsidR="00456A62">
              <w:rPr>
                <w:rFonts w:ascii="Garamond" w:hAnsi="Garamond"/>
                <w:lang w:val="en-AU"/>
              </w:rPr>
              <w:t xml:space="preserve">norms, </w:t>
            </w:r>
            <w:r w:rsidRPr="004710B9">
              <w:rPr>
                <w:rFonts w:ascii="Garamond" w:hAnsi="Garamond"/>
                <w:lang w:val="en-AU"/>
              </w:rPr>
              <w:t>certification and accreditation processes</w:t>
            </w:r>
          </w:p>
          <w:p w:rsidR="004710B9" w:rsidRDefault="004710B9" w:rsidP="004710B9">
            <w:pPr>
              <w:pStyle w:val="ListParagraph"/>
              <w:numPr>
                <w:ilvl w:val="0"/>
                <w:numId w:val="39"/>
              </w:numPr>
              <w:rPr>
                <w:rFonts w:ascii="Garamond" w:hAnsi="Garamond"/>
                <w:lang w:val="en-AU"/>
              </w:rPr>
            </w:pPr>
            <w:r w:rsidRPr="004710B9">
              <w:rPr>
                <w:rFonts w:ascii="Garamond" w:hAnsi="Garamond"/>
                <w:lang w:val="en-AU"/>
              </w:rPr>
              <w:t xml:space="preserve">coercive </w:t>
            </w:r>
            <w:r>
              <w:rPr>
                <w:rFonts w:ascii="Garamond" w:hAnsi="Garamond"/>
                <w:lang w:val="en-AU"/>
              </w:rPr>
              <w:t xml:space="preserve">– </w:t>
            </w:r>
            <w:r w:rsidRPr="004710B9">
              <w:rPr>
                <w:rFonts w:ascii="Garamond" w:hAnsi="Garamond"/>
                <w:lang w:val="en-AU"/>
              </w:rPr>
              <w:t>use policies, regulations incentives and disincentives to force change</w:t>
            </w:r>
          </w:p>
          <w:p w:rsidR="004710B9" w:rsidRDefault="004710B9" w:rsidP="004710B9">
            <w:pPr>
              <w:pStyle w:val="ListParagraph"/>
              <w:numPr>
                <w:ilvl w:val="0"/>
                <w:numId w:val="39"/>
              </w:numPr>
              <w:rPr>
                <w:rFonts w:ascii="Garamond" w:hAnsi="Garamond"/>
                <w:lang w:val="en-AU"/>
              </w:rPr>
            </w:pPr>
            <w:r w:rsidRPr="004710B9">
              <w:rPr>
                <w:rFonts w:ascii="Garamond" w:hAnsi="Garamond"/>
                <w:lang w:val="en-AU"/>
              </w:rPr>
              <w:t xml:space="preserve">structural </w:t>
            </w:r>
            <w:r>
              <w:rPr>
                <w:rFonts w:ascii="Garamond" w:hAnsi="Garamond"/>
                <w:lang w:val="en-AU"/>
              </w:rPr>
              <w:t>–</w:t>
            </w:r>
            <w:r w:rsidR="00191DF2">
              <w:rPr>
                <w:rFonts w:ascii="Garamond" w:hAnsi="Garamond"/>
                <w:lang w:val="en-AU"/>
              </w:rPr>
              <w:t xml:space="preserve"> </w:t>
            </w:r>
            <w:r w:rsidR="00456A62">
              <w:rPr>
                <w:rFonts w:ascii="Garamond" w:hAnsi="Garamond"/>
                <w:lang w:val="en-AU"/>
              </w:rPr>
              <w:t>organisational constraints</w:t>
            </w:r>
          </w:p>
          <w:p w:rsidR="004710B9" w:rsidRPr="004710B9" w:rsidRDefault="004710B9" w:rsidP="004710B9">
            <w:pPr>
              <w:pStyle w:val="ListParagraph"/>
              <w:numPr>
                <w:ilvl w:val="0"/>
                <w:numId w:val="39"/>
              </w:numPr>
              <w:rPr>
                <w:rFonts w:ascii="Garamond" w:hAnsi="Garamond"/>
                <w:lang w:val="en-AU"/>
              </w:rPr>
            </w:pPr>
            <w:r w:rsidRPr="004710B9">
              <w:rPr>
                <w:rFonts w:ascii="Garamond" w:hAnsi="Garamond"/>
                <w:lang w:val="en-AU"/>
              </w:rPr>
              <w:t xml:space="preserve">competitive </w:t>
            </w:r>
            <w:r>
              <w:rPr>
                <w:rFonts w:ascii="Garamond" w:hAnsi="Garamond"/>
                <w:lang w:val="en-AU"/>
              </w:rPr>
              <w:t xml:space="preserve">– </w:t>
            </w:r>
            <w:r w:rsidRPr="004710B9">
              <w:rPr>
                <w:rFonts w:ascii="Garamond" w:hAnsi="Garamond"/>
                <w:lang w:val="en-AU"/>
              </w:rPr>
              <w:t>attract patients or funders.</w:t>
            </w:r>
          </w:p>
          <w:p w:rsidR="004710B9" w:rsidRDefault="004710B9" w:rsidP="006002CD">
            <w:pPr>
              <w:rPr>
                <w:rFonts w:ascii="Garamond" w:hAnsi="Garamond"/>
                <w:lang w:val="en-AU"/>
              </w:rPr>
            </w:pPr>
            <w:r>
              <w:rPr>
                <w:rFonts w:ascii="Garamond" w:hAnsi="Garamond"/>
                <w:lang w:val="en-AU"/>
              </w:rPr>
              <w:t>These have then been mapped in a matrix of quadrants each quadrant representing a different way in which change occurs</w:t>
            </w:r>
            <w:r w:rsidR="00456A62">
              <w:rPr>
                <w:rFonts w:ascii="Garamond" w:hAnsi="Garamond"/>
                <w:lang w:val="en-AU"/>
              </w:rPr>
              <w:t xml:space="preserve"> (source of motivation and origin of change)</w:t>
            </w:r>
            <w:r>
              <w:rPr>
                <w:rFonts w:ascii="Garamond" w:hAnsi="Garamond"/>
                <w:lang w:val="en-AU"/>
              </w:rPr>
              <w:t xml:space="preserve">. </w:t>
            </w:r>
          </w:p>
          <w:p w:rsidR="004710B9" w:rsidRDefault="004710B9" w:rsidP="006002CD">
            <w:pPr>
              <w:rPr>
                <w:rFonts w:ascii="Garamond" w:hAnsi="Garamond"/>
                <w:lang w:val="en-AU"/>
              </w:rPr>
            </w:pPr>
            <w:r>
              <w:rPr>
                <w:rFonts w:ascii="Garamond" w:hAnsi="Garamond"/>
                <w:lang w:val="en-AU"/>
              </w:rPr>
              <w:t xml:space="preserve">In any given context </w:t>
            </w:r>
            <w:r w:rsidR="00456A62">
              <w:rPr>
                <w:rFonts w:ascii="Garamond" w:hAnsi="Garamond"/>
                <w:lang w:val="en-AU"/>
              </w:rPr>
              <w:t xml:space="preserve">(and context matters) </w:t>
            </w:r>
            <w:r>
              <w:rPr>
                <w:rFonts w:ascii="Garamond" w:hAnsi="Garamond"/>
                <w:lang w:val="en-AU"/>
              </w:rPr>
              <w:t>multiple levers may operate; but there are also instances whether different levers may act in different directions.</w:t>
            </w:r>
          </w:p>
          <w:p w:rsidR="004710B9" w:rsidRDefault="004710B9" w:rsidP="006002CD">
            <w:pPr>
              <w:rPr>
                <w:rFonts w:ascii="Garamond" w:hAnsi="Garamond"/>
                <w:lang w:val="en-AU"/>
              </w:rPr>
            </w:pPr>
            <w:r>
              <w:rPr>
                <w:rFonts w:ascii="Garamond" w:hAnsi="Garamond"/>
                <w:lang w:val="en-AU"/>
              </w:rPr>
              <w:t>The authors make a number of apposite observations, including:</w:t>
            </w:r>
          </w:p>
          <w:p w:rsidR="004710B9" w:rsidRDefault="004710B9" w:rsidP="004710B9">
            <w:pPr>
              <w:pStyle w:val="ListParagraph"/>
              <w:numPr>
                <w:ilvl w:val="0"/>
                <w:numId w:val="40"/>
              </w:numPr>
              <w:rPr>
                <w:rFonts w:ascii="Garamond" w:hAnsi="Garamond"/>
                <w:lang w:val="en-AU"/>
              </w:rPr>
            </w:pPr>
            <w:r w:rsidRPr="004710B9">
              <w:rPr>
                <w:rFonts w:ascii="Garamond" w:hAnsi="Garamond"/>
                <w:lang w:val="en-AU"/>
              </w:rPr>
              <w:t xml:space="preserve">Measuring performance in healthcare is …about quantifying what healthcare systems, organisations and professionals are really achieving </w:t>
            </w:r>
          </w:p>
          <w:p w:rsidR="004710B9" w:rsidRDefault="00456A62" w:rsidP="00456A62">
            <w:pPr>
              <w:pStyle w:val="ListParagraph"/>
              <w:numPr>
                <w:ilvl w:val="0"/>
                <w:numId w:val="40"/>
              </w:numPr>
              <w:rPr>
                <w:rFonts w:ascii="Garamond" w:hAnsi="Garamond"/>
                <w:lang w:val="en-AU"/>
              </w:rPr>
            </w:pPr>
            <w:r w:rsidRPr="00456A62">
              <w:rPr>
                <w:rFonts w:ascii="Garamond" w:hAnsi="Garamond"/>
                <w:lang w:val="en-AU"/>
              </w:rPr>
              <w:t>Routine release of information can guide planned efforts to improve and provide formative feedback according to agreed regular schedules. However, routine reporting can also lose salience if too many measures or too frequent reporting generates indicator chaos or fatigue.</w:t>
            </w:r>
          </w:p>
          <w:p w:rsidR="007A6C29" w:rsidRDefault="00456A62" w:rsidP="00456A62">
            <w:pPr>
              <w:pStyle w:val="ListParagraph"/>
              <w:numPr>
                <w:ilvl w:val="0"/>
                <w:numId w:val="40"/>
              </w:numPr>
              <w:rPr>
                <w:rFonts w:ascii="Garamond" w:hAnsi="Garamond"/>
                <w:lang w:val="en-AU"/>
              </w:rPr>
            </w:pPr>
            <w:r w:rsidRPr="00456A62">
              <w:rPr>
                <w:rFonts w:ascii="Garamond" w:hAnsi="Garamond"/>
                <w:lang w:val="en-AU"/>
              </w:rPr>
              <w:lastRenderedPageBreak/>
              <w:t>Levers are the way to harness the power of data to secure improvement. However, a lever rarely operates in isolation—any system, organisation or healthcare professional is subject to multiple levers simultaneously. Meaningful and sustained change is more likely to be secured when different levers work in concert—aligning and reinforcing efforts to improve</w:t>
            </w:r>
            <w:r>
              <w:rPr>
                <w:rFonts w:ascii="Garamond" w:hAnsi="Garamond"/>
                <w:lang w:val="en-AU"/>
              </w:rPr>
              <w:t>.</w:t>
            </w:r>
          </w:p>
          <w:p w:rsidR="00456A62" w:rsidRPr="00456A62" w:rsidRDefault="00456A62" w:rsidP="00456A62">
            <w:pPr>
              <w:pStyle w:val="ListParagraph"/>
              <w:numPr>
                <w:ilvl w:val="0"/>
                <w:numId w:val="40"/>
              </w:numPr>
              <w:rPr>
                <w:rFonts w:ascii="Garamond" w:hAnsi="Garamond"/>
                <w:lang w:val="en-AU"/>
              </w:rPr>
            </w:pPr>
            <w:r w:rsidRPr="00456A62">
              <w:rPr>
                <w:rFonts w:ascii="Garamond" w:hAnsi="Garamond"/>
                <w:lang w:val="en-AU"/>
              </w:rPr>
              <w:t>the efficacy of levers is context dependent…</w:t>
            </w:r>
            <w:r>
              <w:t xml:space="preserve"> </w:t>
            </w:r>
            <w:r w:rsidRPr="00456A62">
              <w:rPr>
                <w:rFonts w:ascii="Garamond" w:hAnsi="Garamond"/>
                <w:lang w:val="en-AU"/>
              </w:rPr>
              <w:t>t need informed and often nuanced application</w:t>
            </w:r>
          </w:p>
          <w:p w:rsidR="00456A62" w:rsidRPr="00456A62" w:rsidRDefault="00456A62" w:rsidP="00456A62">
            <w:pPr>
              <w:rPr>
                <w:rFonts w:ascii="Garamond" w:hAnsi="Garamond"/>
                <w:lang w:val="en-AU"/>
              </w:rPr>
            </w:pPr>
            <w:r>
              <w:rPr>
                <w:rFonts w:ascii="Garamond" w:hAnsi="Garamond"/>
                <w:noProof/>
                <w:lang w:val="en-AU" w:eastAsia="en-AU"/>
              </w:rPr>
              <w:drawing>
                <wp:inline distT="0" distB="0" distL="0" distR="0" wp14:anchorId="61407744" wp14:editId="012C48D8">
                  <wp:extent cx="5040000" cy="4656482"/>
                  <wp:effectExtent l="0" t="0" r="8255" b="0"/>
                  <wp:docPr id="1" name="Picture 1" descr="X-asis: Source of motivation. Internal to external.&#10;Y-axis: Orgin of change. Emergent to planned.&#10;Lower left quadrant (internal, emergent) contains Cognitive and Mimetic levers&#10;Upper left quadrant (internal, planned) contains Supportive and Formative.&#10;Lower right quadrant (external, emergent) contains Structural and Competitive levers&#10;Upper right quadrant (external, planned) contains Coercive and Normative." title="Integrated conceptual framework of levers for change i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jopen-2017-August-7-8--F1.large.jpg"/>
                          <pic:cNvPicPr/>
                        </pic:nvPicPr>
                        <pic:blipFill rotWithShape="1">
                          <a:blip r:embed="rId28" cstate="print">
                            <a:extLst>
                              <a:ext uri="{28A0092B-C50C-407E-A947-70E740481C1C}">
                                <a14:useLocalDpi xmlns:a14="http://schemas.microsoft.com/office/drawing/2010/main" val="0"/>
                              </a:ext>
                            </a:extLst>
                          </a:blip>
                          <a:srcRect t="-2" r="-721" b="-1632"/>
                          <a:stretch/>
                        </pic:blipFill>
                        <pic:spPr bwMode="auto">
                          <a:xfrm>
                            <a:off x="0" y="0"/>
                            <a:ext cx="5081085" cy="4694441"/>
                          </a:xfrm>
                          <a:prstGeom prst="rect">
                            <a:avLst/>
                          </a:prstGeom>
                          <a:ln>
                            <a:noFill/>
                          </a:ln>
                          <a:extLst>
                            <a:ext uri="{53640926-AAD7-44D8-BBD7-CCE9431645EC}">
                              <a14:shadowObscured xmlns:a14="http://schemas.microsoft.com/office/drawing/2010/main"/>
                            </a:ext>
                          </a:extLst>
                        </pic:spPr>
                      </pic:pic>
                    </a:graphicData>
                  </a:graphic>
                </wp:inline>
              </w:drawing>
            </w:r>
          </w:p>
        </w:tc>
      </w:tr>
    </w:tbl>
    <w:p w:rsidR="00B532DE" w:rsidRDefault="00B532DE" w:rsidP="00B532DE">
      <w:pPr>
        <w:keepNext/>
        <w:keepLines/>
        <w:autoSpaceDE w:val="0"/>
        <w:autoSpaceDN w:val="0"/>
        <w:adjustRightInd w:val="0"/>
        <w:rPr>
          <w:rFonts w:ascii="Garamond" w:hAnsi="Garamond"/>
          <w:lang w:val="en-AU"/>
        </w:rPr>
      </w:pPr>
    </w:p>
    <w:p w:rsidR="00B81E18" w:rsidRPr="00B81E18" w:rsidRDefault="00B81E18" w:rsidP="00B81E18">
      <w:pPr>
        <w:keepNext/>
        <w:rPr>
          <w:rFonts w:ascii="Garamond" w:hAnsi="Garamond"/>
          <w:i/>
          <w:lang w:val="en-AU"/>
        </w:rPr>
      </w:pPr>
      <w:r w:rsidRPr="00B81E18">
        <w:rPr>
          <w:rFonts w:ascii="Garamond" w:hAnsi="Garamond"/>
          <w:i/>
          <w:lang w:val="en-AU"/>
        </w:rPr>
        <w:t>Evaluation of the effects of the French pay-for-performance program—IFAQ pilot study</w:t>
      </w:r>
    </w:p>
    <w:p w:rsidR="00B81E18" w:rsidRDefault="00B81E18" w:rsidP="00B532DE">
      <w:pPr>
        <w:keepNext/>
        <w:rPr>
          <w:rFonts w:ascii="Garamond" w:hAnsi="Garamond"/>
          <w:lang w:val="en-AU"/>
        </w:rPr>
      </w:pPr>
      <w:r w:rsidRPr="00B81E18">
        <w:rPr>
          <w:rFonts w:ascii="Garamond" w:hAnsi="Garamond"/>
          <w:lang w:val="en-AU"/>
        </w:rPr>
        <w:t>Lalloué B, Jiang S, Girault A, Ferrua M, Minvielle E</w:t>
      </w:r>
    </w:p>
    <w:p w:rsidR="00B532DE" w:rsidRPr="00D9161E" w:rsidRDefault="00B81E18" w:rsidP="00B532DE">
      <w:pPr>
        <w:keepNext/>
        <w:rPr>
          <w:rFonts w:ascii="Garamond" w:hAnsi="Garamond"/>
          <w:lang w:val="en-AU"/>
        </w:rPr>
      </w:pPr>
      <w:r w:rsidRPr="00B81E18">
        <w:rPr>
          <w:rFonts w:ascii="Garamond" w:hAnsi="Garamond"/>
          <w:lang w:val="en-AU"/>
        </w:rPr>
        <w:t>International Journal for Quality in Health Care. 2017</w:t>
      </w:r>
      <w:r>
        <w:rPr>
          <w:rFonts w:ascii="Garamond" w:hAnsi="Garamond"/>
          <w:lang w:val="en-AU"/>
        </w:rPr>
        <w:t xml:space="preserve"> [epub]</w:t>
      </w:r>
      <w:r w:rsidRPr="00B81E1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532DE" w:rsidRPr="00D9161E" w:rsidRDefault="00191DF2" w:rsidP="006002CD">
            <w:pPr>
              <w:rPr>
                <w:rStyle w:val="Hyperlink"/>
                <w:rFonts w:ascii="Garamond" w:hAnsi="Garamond"/>
                <w:color w:val="auto"/>
                <w:u w:val="none"/>
                <w:lang w:val="en-AU"/>
              </w:rPr>
            </w:pPr>
            <w:hyperlink r:id="rId29" w:history="1">
              <w:r w:rsidR="00C53A8C" w:rsidRPr="00567745">
                <w:rPr>
                  <w:rStyle w:val="Hyperlink"/>
                  <w:rFonts w:ascii="Garamond" w:hAnsi="Garamond"/>
                  <w:lang w:val="en-AU"/>
                </w:rPr>
                <w:t>https://doi.org/10.1093/intqhc/mzx111</w:t>
              </w:r>
            </w:hyperlink>
          </w:p>
        </w:tc>
      </w:tr>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81E18" w:rsidRPr="00D9161E" w:rsidRDefault="00B81E18" w:rsidP="008B7A17">
            <w:pPr>
              <w:rPr>
                <w:rFonts w:ascii="Garamond" w:hAnsi="Garamond"/>
                <w:lang w:val="en-AU"/>
              </w:rPr>
            </w:pPr>
            <w:r>
              <w:rPr>
                <w:rFonts w:ascii="Garamond" w:hAnsi="Garamond"/>
                <w:lang w:val="en-AU"/>
              </w:rPr>
              <w:t xml:space="preserve">This evaluation of the French pay-for-performance (P4P) </w:t>
            </w:r>
            <w:r w:rsidRPr="00B81E18">
              <w:rPr>
                <w:rFonts w:ascii="Garamond" w:hAnsi="Garamond"/>
                <w:lang w:val="en-AU"/>
              </w:rPr>
              <w:t xml:space="preserve">IFAQ </w:t>
            </w:r>
            <w:r w:rsidR="00C53A8C">
              <w:rPr>
                <w:rFonts w:ascii="Garamond" w:hAnsi="Garamond"/>
                <w:lang w:val="en-AU"/>
              </w:rPr>
              <w:t xml:space="preserve">compared </w:t>
            </w:r>
            <w:r w:rsidR="00C53A8C" w:rsidRPr="00C53A8C">
              <w:rPr>
                <w:rFonts w:ascii="Garamond" w:hAnsi="Garamond"/>
                <w:lang w:val="en-AU"/>
              </w:rPr>
              <w:t xml:space="preserve">185 eligible hospitals </w:t>
            </w:r>
            <w:r w:rsidR="00C53A8C">
              <w:rPr>
                <w:rFonts w:ascii="Garamond" w:hAnsi="Garamond"/>
                <w:lang w:val="en-AU"/>
              </w:rPr>
              <w:t xml:space="preserve">that participated in a pilot program with </w:t>
            </w:r>
            <w:r w:rsidR="00C53A8C" w:rsidRPr="00C53A8C">
              <w:rPr>
                <w:rFonts w:ascii="Garamond" w:hAnsi="Garamond"/>
                <w:lang w:val="en-AU"/>
              </w:rPr>
              <w:t xml:space="preserve">192 eligible </w:t>
            </w:r>
            <w:r w:rsidR="00C53A8C">
              <w:rPr>
                <w:rFonts w:ascii="Garamond" w:hAnsi="Garamond"/>
                <w:lang w:val="en-AU"/>
              </w:rPr>
              <w:t xml:space="preserve">hospitals that were </w:t>
            </w:r>
            <w:r w:rsidR="00C53A8C" w:rsidRPr="00C53A8C">
              <w:rPr>
                <w:rFonts w:ascii="Garamond" w:hAnsi="Garamond"/>
                <w:lang w:val="en-AU"/>
              </w:rPr>
              <w:t>not selected</w:t>
            </w:r>
            <w:r w:rsidR="00C53A8C">
              <w:rPr>
                <w:rFonts w:ascii="Garamond" w:hAnsi="Garamond"/>
                <w:lang w:val="en-AU"/>
              </w:rPr>
              <w:t xml:space="preserve"> for the pilot using </w:t>
            </w:r>
            <w:r w:rsidRPr="00B81E18">
              <w:rPr>
                <w:rFonts w:ascii="Garamond" w:hAnsi="Garamond"/>
                <w:lang w:val="en-AU"/>
              </w:rPr>
              <w:t xml:space="preserve">nine process quality indicators </w:t>
            </w:r>
            <w:r w:rsidR="00C53A8C">
              <w:rPr>
                <w:rFonts w:ascii="Garamond" w:hAnsi="Garamond"/>
                <w:lang w:val="en-AU"/>
              </w:rPr>
              <w:t xml:space="preserve">to derive </w:t>
            </w:r>
            <w:r w:rsidRPr="00B81E18">
              <w:rPr>
                <w:rFonts w:ascii="Garamond" w:hAnsi="Garamond"/>
                <w:lang w:val="en-AU"/>
              </w:rPr>
              <w:t>an aggregate score Several characteristics known to have an influence on P4P results (patient age, socioeconomic status, hospital activity, casemix and location) were used to adjust the models.</w:t>
            </w:r>
            <w:r w:rsidR="008B7A17">
              <w:rPr>
                <w:rFonts w:ascii="Garamond" w:hAnsi="Garamond"/>
                <w:lang w:val="en-AU"/>
              </w:rPr>
              <w:t xml:space="preserve"> </w:t>
            </w:r>
            <w:r w:rsidR="00C53A8C">
              <w:rPr>
                <w:rFonts w:ascii="Garamond" w:hAnsi="Garamond"/>
                <w:lang w:val="en-AU"/>
              </w:rPr>
              <w:t>The analyses showed that while “</w:t>
            </w:r>
            <w:r w:rsidR="00C53A8C" w:rsidRPr="00C53A8C">
              <w:rPr>
                <w:rFonts w:ascii="Garamond" w:hAnsi="Garamond"/>
                <w:lang w:val="en-AU"/>
              </w:rPr>
              <w:t>all hospitals improved from 2012 to 2014, the difference-in-differences effect was positive but not significant both in the crude (2.89, P = 0.29) and a</w:t>
            </w:r>
            <w:r w:rsidR="00C53A8C">
              <w:rPr>
                <w:rFonts w:ascii="Garamond" w:hAnsi="Garamond"/>
                <w:lang w:val="en-AU"/>
              </w:rPr>
              <w:t xml:space="preserve">djusted models (4.07, P = 0.12)” The authors suggest that a number of factors contribute to this, including </w:t>
            </w:r>
            <w:r w:rsidR="00C53A8C" w:rsidRPr="00C53A8C">
              <w:rPr>
                <w:rFonts w:ascii="Garamond" w:hAnsi="Garamond"/>
                <w:lang w:val="en-AU"/>
              </w:rPr>
              <w:t xml:space="preserve">low level of financial incentives, unattainable goals, too short study period. </w:t>
            </w:r>
            <w:r w:rsidR="00C53A8C">
              <w:rPr>
                <w:rFonts w:ascii="Garamond" w:hAnsi="Garamond"/>
                <w:lang w:val="en-AU"/>
              </w:rPr>
              <w:t>But they also suggest that “</w:t>
            </w:r>
            <w:r w:rsidR="00C53A8C" w:rsidRPr="00C53A8C">
              <w:rPr>
                <w:rFonts w:ascii="Garamond" w:hAnsi="Garamond"/>
                <w:lang w:val="en-AU"/>
              </w:rPr>
              <w:t>lack of impact for the first year should not undermine the implementation of other P4P programs. Indeed, the pilot study helped to improve the final model used for generalization.</w:t>
            </w:r>
            <w:r w:rsidR="00C53A8C">
              <w:rPr>
                <w:rFonts w:ascii="Garamond" w:hAnsi="Garamond"/>
                <w:lang w:val="en-AU"/>
              </w:rPr>
              <w:t>”</w:t>
            </w:r>
          </w:p>
        </w:tc>
      </w:tr>
    </w:tbl>
    <w:p w:rsidR="008A6157" w:rsidRPr="008A6157" w:rsidRDefault="008A6157" w:rsidP="00B532DE">
      <w:pPr>
        <w:keepNext/>
        <w:rPr>
          <w:rFonts w:ascii="Garamond" w:hAnsi="Garamond"/>
          <w:i/>
          <w:lang w:val="en-AU"/>
        </w:rPr>
      </w:pPr>
      <w:r w:rsidRPr="008A6157">
        <w:rPr>
          <w:rFonts w:ascii="Garamond" w:hAnsi="Garamond"/>
          <w:i/>
          <w:lang w:val="en-AU"/>
        </w:rPr>
        <w:lastRenderedPageBreak/>
        <w:t>Clinical Practice Guideline: Safe Medication Use in the ICU</w:t>
      </w:r>
    </w:p>
    <w:p w:rsidR="00A91690" w:rsidRDefault="00A91690" w:rsidP="00B532DE">
      <w:pPr>
        <w:keepNext/>
        <w:rPr>
          <w:rFonts w:ascii="Garamond" w:hAnsi="Garamond"/>
          <w:lang w:val="en-AU"/>
        </w:rPr>
      </w:pPr>
      <w:r w:rsidRPr="00A91690">
        <w:rPr>
          <w:rFonts w:ascii="Garamond" w:hAnsi="Garamond"/>
          <w:lang w:val="en-AU"/>
        </w:rPr>
        <w:t>Kane-Gill SL, Dasta JF, Buckley MS, Devabhakthuni S, Liu M, Cohen H, et al</w:t>
      </w:r>
    </w:p>
    <w:p w:rsidR="008A6157" w:rsidRPr="00D9161E" w:rsidRDefault="00A91690" w:rsidP="00B532DE">
      <w:pPr>
        <w:keepNext/>
        <w:rPr>
          <w:rFonts w:ascii="Garamond" w:hAnsi="Garamond"/>
          <w:lang w:val="en-AU"/>
        </w:rPr>
      </w:pPr>
      <w:r w:rsidRPr="00A91690">
        <w:rPr>
          <w:rFonts w:ascii="Garamond" w:hAnsi="Garamond"/>
          <w:lang w:val="en-AU"/>
        </w:rPr>
        <w:t>Critical Care Medicine. 2017;45(9):e877-e915.</w:t>
      </w:r>
    </w:p>
    <w:tbl>
      <w:tblPr>
        <w:tblStyle w:val="TableGrid"/>
        <w:tblW w:w="0" w:type="auto"/>
        <w:tblInd w:w="288" w:type="dxa"/>
        <w:tblLayout w:type="fixed"/>
        <w:tblLook w:val="01E0" w:firstRow="1" w:lastRow="1" w:firstColumn="1" w:lastColumn="1" w:noHBand="0" w:noVBand="0"/>
      </w:tblPr>
      <w:tblGrid>
        <w:gridCol w:w="1080"/>
        <w:gridCol w:w="8280"/>
      </w:tblGrid>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532DE" w:rsidRPr="00D9161E" w:rsidRDefault="00191DF2" w:rsidP="006002CD">
            <w:pPr>
              <w:rPr>
                <w:rStyle w:val="Hyperlink"/>
                <w:rFonts w:ascii="Garamond" w:hAnsi="Garamond"/>
                <w:color w:val="auto"/>
                <w:u w:val="none"/>
                <w:lang w:val="en-AU"/>
              </w:rPr>
            </w:pPr>
            <w:hyperlink r:id="rId30" w:history="1">
              <w:r w:rsidR="008A6157" w:rsidRPr="00567745">
                <w:rPr>
                  <w:rStyle w:val="Hyperlink"/>
                  <w:rFonts w:ascii="Garamond" w:hAnsi="Garamond"/>
                  <w:lang w:val="en-AU"/>
                </w:rPr>
                <w:t>http://dx.doi.org/10.1097/CCM.0000000000002533</w:t>
              </w:r>
            </w:hyperlink>
          </w:p>
        </w:tc>
      </w:tr>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32DE" w:rsidRPr="00D9161E" w:rsidRDefault="008A6157" w:rsidP="00A91690">
            <w:pPr>
              <w:rPr>
                <w:rFonts w:ascii="Garamond" w:hAnsi="Garamond"/>
                <w:lang w:val="en-AU"/>
              </w:rPr>
            </w:pPr>
            <w:r>
              <w:rPr>
                <w:rFonts w:ascii="Garamond" w:hAnsi="Garamond"/>
                <w:lang w:val="en-AU"/>
              </w:rPr>
              <w:t xml:space="preserve">The </w:t>
            </w:r>
            <w:r w:rsidRPr="008A6157">
              <w:rPr>
                <w:rFonts w:ascii="Garamond" w:hAnsi="Garamond"/>
                <w:lang w:val="en-AU"/>
              </w:rPr>
              <w:t>American College of Critical Care Medicine</w:t>
            </w:r>
            <w:r>
              <w:rPr>
                <w:rFonts w:ascii="Garamond" w:hAnsi="Garamond"/>
                <w:lang w:val="en-AU"/>
              </w:rPr>
              <w:t xml:space="preserve"> has developed this clinical practice guideline in order to provide intensive care unit (ICU) </w:t>
            </w:r>
            <w:r w:rsidRPr="008A6157">
              <w:rPr>
                <w:rFonts w:ascii="Garamond" w:hAnsi="Garamond"/>
                <w:lang w:val="en-AU"/>
              </w:rPr>
              <w:t>clinicians evidence-based guidance on safe medication use practices for the critically ill.</w:t>
            </w:r>
          </w:p>
        </w:tc>
      </w:tr>
    </w:tbl>
    <w:p w:rsidR="00B532DE" w:rsidRDefault="00B532DE" w:rsidP="00B532DE">
      <w:pPr>
        <w:keepNext/>
        <w:keepLines/>
        <w:autoSpaceDE w:val="0"/>
        <w:autoSpaceDN w:val="0"/>
        <w:adjustRightInd w:val="0"/>
        <w:rPr>
          <w:rFonts w:ascii="Garamond" w:hAnsi="Garamond"/>
          <w:lang w:val="en-AU"/>
        </w:rPr>
      </w:pPr>
    </w:p>
    <w:p w:rsidR="008A6157" w:rsidRDefault="008A6157" w:rsidP="008A6157">
      <w:pPr>
        <w:rPr>
          <w:rFonts w:ascii="Garamond" w:hAnsi="Garamond"/>
          <w:lang w:val="en-AU"/>
        </w:rPr>
      </w:pPr>
      <w:r w:rsidRPr="00D9161E">
        <w:rPr>
          <w:rFonts w:ascii="Garamond" w:hAnsi="Garamond"/>
          <w:lang w:val="en-AU"/>
        </w:rPr>
        <w:t xml:space="preserve">For information </w:t>
      </w:r>
      <w:r>
        <w:rPr>
          <w:rFonts w:ascii="Garamond" w:hAnsi="Garamond"/>
          <w:lang w:val="en-AU"/>
        </w:rPr>
        <w:t xml:space="preserve">on </w:t>
      </w:r>
      <w:r w:rsidRPr="00D9161E">
        <w:rPr>
          <w:rFonts w:ascii="Garamond" w:hAnsi="Garamond"/>
          <w:lang w:val="en-AU"/>
        </w:rPr>
        <w:t>the Commission’s work on</w:t>
      </w:r>
      <w:r>
        <w:rPr>
          <w:rFonts w:ascii="Garamond" w:hAnsi="Garamond"/>
          <w:lang w:val="en-AU"/>
        </w:rPr>
        <w:t xml:space="preserve"> medication safety, see </w:t>
      </w:r>
      <w:hyperlink r:id="rId31" w:history="1">
        <w:r w:rsidRPr="00C843E7">
          <w:rPr>
            <w:rStyle w:val="Hyperlink"/>
            <w:rFonts w:ascii="Garamond" w:hAnsi="Garamond"/>
            <w:lang w:val="en-AU"/>
          </w:rPr>
          <w:t>https://www.safetyandquality.gov.au/our-work/medication-safety/</w:t>
        </w:r>
      </w:hyperlink>
    </w:p>
    <w:p w:rsidR="008A6157" w:rsidRDefault="008A6157" w:rsidP="00B532DE">
      <w:pPr>
        <w:keepNext/>
        <w:keepLines/>
        <w:autoSpaceDE w:val="0"/>
        <w:autoSpaceDN w:val="0"/>
        <w:adjustRightInd w:val="0"/>
        <w:rPr>
          <w:rFonts w:ascii="Garamond" w:hAnsi="Garamond"/>
          <w:lang w:val="en-AU"/>
        </w:rPr>
      </w:pPr>
    </w:p>
    <w:p w:rsidR="00B532DE" w:rsidRPr="00260BB3" w:rsidRDefault="00260BB3" w:rsidP="00B532DE">
      <w:pPr>
        <w:keepNext/>
        <w:rPr>
          <w:rFonts w:ascii="Garamond" w:hAnsi="Garamond"/>
          <w:i/>
          <w:lang w:val="en-AU"/>
        </w:rPr>
      </w:pPr>
      <w:r w:rsidRPr="00260BB3">
        <w:rPr>
          <w:rFonts w:ascii="Garamond" w:hAnsi="Garamond"/>
          <w:i/>
          <w:lang w:val="en-AU"/>
        </w:rPr>
        <w:t>Development of a trigger tool to identify adverse drug events in elderly patients with multimorbidity</w:t>
      </w:r>
    </w:p>
    <w:p w:rsidR="00260BB3" w:rsidRDefault="00260BB3" w:rsidP="00B532DE">
      <w:pPr>
        <w:keepNext/>
        <w:rPr>
          <w:rFonts w:ascii="Garamond" w:hAnsi="Garamond"/>
          <w:lang w:val="en-AU"/>
        </w:rPr>
      </w:pPr>
      <w:r w:rsidRPr="00260BB3">
        <w:rPr>
          <w:rFonts w:ascii="Garamond" w:hAnsi="Garamond"/>
          <w:lang w:val="en-AU"/>
        </w:rPr>
        <w:t>Toscano Guzmán MD, Galván Banqueri M, Otero MJ, Alfaro Lara ER, Casajus Lagranja P, Santos Ramos B</w:t>
      </w:r>
    </w:p>
    <w:p w:rsidR="00260BB3" w:rsidRPr="00D9161E" w:rsidRDefault="00260BB3" w:rsidP="00B532DE">
      <w:pPr>
        <w:keepNext/>
        <w:rPr>
          <w:rFonts w:ascii="Garamond" w:hAnsi="Garamond"/>
          <w:lang w:val="en-AU"/>
        </w:rPr>
      </w:pPr>
      <w:r w:rsidRPr="00260BB3">
        <w:rPr>
          <w:rFonts w:ascii="Garamond" w:hAnsi="Garamond"/>
          <w:lang w:val="en-AU"/>
        </w:rPr>
        <w:t>Journal of Patient Safety. 2017</w:t>
      </w:r>
      <w:r>
        <w:rPr>
          <w:rFonts w:ascii="Garamond" w:hAnsi="Garamond"/>
          <w:lang w:val="en-AU"/>
        </w:rPr>
        <w:t xml:space="preserve"> [epub]</w:t>
      </w:r>
      <w:r w:rsidRPr="00260BB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532DE" w:rsidRPr="00D9161E" w:rsidRDefault="00191DF2" w:rsidP="00260BB3">
            <w:pPr>
              <w:rPr>
                <w:rStyle w:val="Hyperlink"/>
                <w:rFonts w:ascii="Garamond" w:hAnsi="Garamond"/>
                <w:color w:val="auto"/>
                <w:u w:val="none"/>
                <w:lang w:val="en-AU"/>
              </w:rPr>
            </w:pPr>
            <w:hyperlink r:id="rId32" w:history="1">
              <w:r w:rsidR="00260BB3" w:rsidRPr="00567745">
                <w:rPr>
                  <w:rStyle w:val="Hyperlink"/>
                  <w:rFonts w:ascii="Garamond" w:hAnsi="Garamond"/>
                  <w:lang w:val="en-AU"/>
                </w:rPr>
                <w:t>http://dx.doi.org/10.1097/PTS.0000000000000389</w:t>
              </w:r>
            </w:hyperlink>
          </w:p>
        </w:tc>
      </w:tr>
      <w:tr w:rsidR="00B532DE" w:rsidRPr="00D9161E" w:rsidTr="006002CD">
        <w:tc>
          <w:tcPr>
            <w:tcW w:w="1080" w:type="dxa"/>
            <w:tcBorders>
              <w:top w:val="single" w:sz="4" w:space="0" w:color="auto"/>
              <w:left w:val="single" w:sz="4" w:space="0" w:color="auto"/>
              <w:bottom w:val="single" w:sz="4" w:space="0" w:color="auto"/>
              <w:right w:val="single" w:sz="4" w:space="0" w:color="auto"/>
            </w:tcBorders>
            <w:vAlign w:val="center"/>
          </w:tcPr>
          <w:p w:rsidR="00B532DE" w:rsidRPr="00D9161E" w:rsidRDefault="00B532DE" w:rsidP="006002CD">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32DE" w:rsidRPr="00D9161E" w:rsidRDefault="00260BB3" w:rsidP="00260BB3">
            <w:pPr>
              <w:rPr>
                <w:rFonts w:ascii="Garamond" w:hAnsi="Garamond"/>
                <w:lang w:val="en-AU"/>
              </w:rPr>
            </w:pPr>
            <w:r>
              <w:rPr>
                <w:rFonts w:ascii="Garamond" w:hAnsi="Garamond"/>
                <w:lang w:val="en-AU"/>
              </w:rPr>
              <w:t>Multimorbidity (and polypharmacy) are known contributors to adverse drug events (ADEs) and other forms of medication misuse. This paper describes the development of a</w:t>
            </w:r>
            <w:r w:rsidRPr="00260BB3">
              <w:rPr>
                <w:rFonts w:ascii="Garamond" w:hAnsi="Garamond"/>
                <w:lang w:val="en-AU"/>
              </w:rPr>
              <w:t xml:space="preserve"> set of </w:t>
            </w:r>
            <w:r>
              <w:rPr>
                <w:rFonts w:ascii="Garamond" w:hAnsi="Garamond"/>
                <w:lang w:val="en-AU"/>
              </w:rPr>
              <w:t xml:space="preserve">(51) </w:t>
            </w:r>
            <w:r w:rsidRPr="00260BB3">
              <w:rPr>
                <w:rFonts w:ascii="Garamond" w:hAnsi="Garamond"/>
                <w:lang w:val="en-AU"/>
              </w:rPr>
              <w:t xml:space="preserve">triggers for detecting ADEs in elderly patients with multimorbidity. </w:t>
            </w:r>
            <w:r>
              <w:rPr>
                <w:rFonts w:ascii="Garamond" w:hAnsi="Garamond"/>
                <w:lang w:val="en-AU"/>
              </w:rPr>
              <w:t>This is a work in progress as, the authors observe, “</w:t>
            </w:r>
            <w:r w:rsidRPr="00260BB3">
              <w:rPr>
                <w:rFonts w:ascii="Garamond" w:hAnsi="Garamond"/>
                <w:lang w:val="en-AU"/>
              </w:rPr>
              <w:t>Subsequent validation in clinical practice is needed to confirm the accuracy and efficiency of these triggers for this population.</w:t>
            </w:r>
            <w:r>
              <w:rPr>
                <w:rFonts w:ascii="Garamond" w:hAnsi="Garamond"/>
                <w:lang w:val="en-AU"/>
              </w:rPr>
              <w:t>”</w:t>
            </w:r>
          </w:p>
        </w:tc>
      </w:tr>
    </w:tbl>
    <w:p w:rsidR="00B532DE" w:rsidRDefault="00B532DE" w:rsidP="00B532DE">
      <w:pPr>
        <w:keepNext/>
        <w:keepLines/>
        <w:autoSpaceDE w:val="0"/>
        <w:autoSpaceDN w:val="0"/>
        <w:adjustRightInd w:val="0"/>
        <w:rPr>
          <w:rFonts w:ascii="Garamond" w:hAnsi="Garamond"/>
          <w:lang w:val="en-AU"/>
        </w:rPr>
      </w:pPr>
    </w:p>
    <w:p w:rsidR="00177F9F" w:rsidRPr="00D9161E" w:rsidRDefault="00177F9F" w:rsidP="00177F9F">
      <w:pPr>
        <w:keepNext/>
        <w:rPr>
          <w:rFonts w:ascii="Garamond" w:hAnsi="Garamond"/>
          <w:lang w:val="en-AU"/>
        </w:rPr>
      </w:pPr>
      <w:r w:rsidRPr="00D9161E">
        <w:rPr>
          <w:rFonts w:ascii="Garamond" w:hAnsi="Garamond"/>
          <w:i/>
          <w:lang w:val="en-AU"/>
        </w:rPr>
        <w:t xml:space="preserve">BMJ Quality and Safety </w:t>
      </w:r>
      <w:r w:rsidRPr="00D9161E">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77F9F" w:rsidRPr="00D9161E" w:rsidTr="00BD6A15">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keepNext/>
              <w:rPr>
                <w:rFonts w:ascii="Garamond" w:hAnsi="Garamond"/>
                <w:lang w:val="en-AU"/>
              </w:rPr>
            </w:pPr>
            <w:r w:rsidRPr="00D9161E">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77F9F" w:rsidRPr="00D9161E" w:rsidRDefault="00191DF2" w:rsidP="00BD6A15">
            <w:pPr>
              <w:keepNext/>
              <w:rPr>
                <w:rFonts w:ascii="Garamond" w:hAnsi="Garamond"/>
                <w:lang w:val="en-AU"/>
              </w:rPr>
            </w:pPr>
            <w:hyperlink r:id="rId33" w:history="1">
              <w:r w:rsidR="00A3512D" w:rsidRPr="00E02123">
                <w:rPr>
                  <w:rStyle w:val="Hyperlink"/>
                  <w:rFonts w:ascii="Garamond" w:hAnsi="Garamond"/>
                  <w:lang w:val="en-AU"/>
                </w:rPr>
                <w:t>https://qualitysafety.bmj.com/content/early/recent</w:t>
              </w:r>
            </w:hyperlink>
          </w:p>
        </w:tc>
      </w:tr>
      <w:tr w:rsidR="00177F9F" w:rsidRPr="00D9161E" w:rsidTr="00BD6A15">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77F9F" w:rsidRPr="00D9161E" w:rsidRDefault="00177F9F" w:rsidP="00BD6A15">
            <w:pPr>
              <w:rPr>
                <w:rFonts w:ascii="Garamond" w:hAnsi="Garamond"/>
                <w:lang w:val="en-AU"/>
              </w:rPr>
            </w:pPr>
            <w:r w:rsidRPr="00D9161E">
              <w:rPr>
                <w:rFonts w:ascii="Garamond" w:hAnsi="Garamond"/>
                <w:i/>
                <w:lang w:val="en-AU"/>
              </w:rPr>
              <w:t>BMJ Quality and Safety</w:t>
            </w:r>
            <w:r w:rsidRPr="00D9161E">
              <w:rPr>
                <w:rFonts w:ascii="Garamond" w:hAnsi="Garamond"/>
                <w:lang w:val="en-AU"/>
              </w:rPr>
              <w:t xml:space="preserve"> has published a number of ‘online first’ articles, including:</w:t>
            </w:r>
          </w:p>
          <w:p w:rsidR="003F373F" w:rsidRPr="00D9161E" w:rsidRDefault="00717CAE" w:rsidP="00717CAE">
            <w:pPr>
              <w:pStyle w:val="ListParagraph"/>
              <w:numPr>
                <w:ilvl w:val="0"/>
                <w:numId w:val="14"/>
              </w:numPr>
              <w:rPr>
                <w:rFonts w:ascii="Garamond" w:hAnsi="Garamond"/>
                <w:lang w:val="en-AU"/>
              </w:rPr>
            </w:pPr>
            <w:r w:rsidRPr="00717CAE">
              <w:rPr>
                <w:rFonts w:ascii="Garamond" w:hAnsi="Garamond"/>
                <w:lang w:val="en-AU"/>
              </w:rPr>
              <w:t xml:space="preserve">Variation and statistical reliability of publicly reported </w:t>
            </w:r>
            <w:r w:rsidRPr="00717CAE">
              <w:rPr>
                <w:rFonts w:ascii="Garamond" w:hAnsi="Garamond"/>
                <w:b/>
                <w:lang w:val="en-AU"/>
              </w:rPr>
              <w:t>primary care diagnostic activity indicators for cancer</w:t>
            </w:r>
            <w:r w:rsidRPr="00717CAE">
              <w:rPr>
                <w:rFonts w:ascii="Garamond" w:hAnsi="Garamond"/>
                <w:lang w:val="en-AU"/>
              </w:rPr>
              <w:t xml:space="preserve">: a cross-sectional ecological study of routine data </w:t>
            </w:r>
            <w:r>
              <w:rPr>
                <w:rFonts w:ascii="Garamond" w:hAnsi="Garamond"/>
                <w:lang w:val="en-AU"/>
              </w:rPr>
              <w:t xml:space="preserve"> (</w:t>
            </w:r>
            <w:r w:rsidRPr="00717CAE">
              <w:rPr>
                <w:rFonts w:ascii="Garamond" w:hAnsi="Garamond"/>
                <w:lang w:val="en-AU"/>
              </w:rPr>
              <w:t>Gary Abel, Catherine L Saunders, Silvia C Mendonca, Carolynn Gildea, Sean McPhail, Georgios Lyratzopoulos</w:t>
            </w:r>
            <w:r>
              <w:rPr>
                <w:rFonts w:ascii="Garamond" w:hAnsi="Garamond"/>
                <w:lang w:val="en-AU"/>
              </w:rPr>
              <w:t>)</w:t>
            </w:r>
          </w:p>
        </w:tc>
      </w:tr>
    </w:tbl>
    <w:p w:rsidR="00177F9F" w:rsidRPr="00D9161E" w:rsidRDefault="00177F9F" w:rsidP="008020AC">
      <w:pPr>
        <w:rPr>
          <w:rFonts w:ascii="Garamond" w:hAnsi="Garamond"/>
          <w:lang w:val="en-AU" w:eastAsia="en-AU"/>
        </w:rPr>
      </w:pPr>
    </w:p>
    <w:p w:rsidR="00177F9F" w:rsidRPr="00D9161E" w:rsidRDefault="00177F9F" w:rsidP="00177F9F">
      <w:pPr>
        <w:keepNext/>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D9161E"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keepNext/>
              <w:rPr>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D9161E" w:rsidRDefault="00191DF2" w:rsidP="00BD6A15">
            <w:pPr>
              <w:keepNext/>
              <w:rPr>
                <w:rFonts w:ascii="Garamond" w:hAnsi="Garamond"/>
                <w:lang w:val="en-AU"/>
              </w:rPr>
            </w:pPr>
            <w:hyperlink r:id="rId34" w:history="1">
              <w:r w:rsidR="00177F9F" w:rsidRPr="00D9161E">
                <w:rPr>
                  <w:rStyle w:val="Hyperlink"/>
                  <w:rFonts w:ascii="Garamond" w:hAnsi="Garamond"/>
                  <w:lang w:val="en-AU"/>
                </w:rPr>
                <w:t>https://academic.oup.com/intqhc/advance-access?papetoc</w:t>
              </w:r>
            </w:hyperlink>
          </w:p>
        </w:tc>
      </w:tr>
      <w:tr w:rsidR="00177F9F" w:rsidRPr="00D9161E"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has published a number of ‘online first’ articles, including:</w:t>
            </w:r>
          </w:p>
          <w:p w:rsidR="00F4463F" w:rsidRDefault="00717CAE" w:rsidP="00717CAE">
            <w:pPr>
              <w:pStyle w:val="ListParagraph"/>
              <w:numPr>
                <w:ilvl w:val="0"/>
                <w:numId w:val="14"/>
              </w:numPr>
              <w:rPr>
                <w:rFonts w:ascii="Garamond" w:hAnsi="Garamond"/>
                <w:lang w:val="en-AU"/>
              </w:rPr>
            </w:pPr>
            <w:r w:rsidRPr="00717CAE">
              <w:rPr>
                <w:rFonts w:ascii="Garamond" w:hAnsi="Garamond"/>
                <w:lang w:val="en-AU"/>
              </w:rPr>
              <w:t xml:space="preserve">How well do </w:t>
            </w:r>
            <w:r w:rsidRPr="00717CAE">
              <w:rPr>
                <w:rFonts w:ascii="Garamond" w:hAnsi="Garamond"/>
                <w:b/>
                <w:lang w:val="en-AU"/>
              </w:rPr>
              <w:t>general practitioners</w:t>
            </w:r>
            <w:r w:rsidRPr="00717CAE">
              <w:rPr>
                <w:rFonts w:ascii="Garamond" w:hAnsi="Garamond"/>
                <w:lang w:val="en-AU"/>
              </w:rPr>
              <w:t xml:space="preserve"> manage </w:t>
            </w:r>
            <w:r w:rsidRPr="00717CAE">
              <w:rPr>
                <w:rFonts w:ascii="Garamond" w:hAnsi="Garamond"/>
                <w:b/>
                <w:lang w:val="en-AU"/>
              </w:rPr>
              <w:t>laboratory test results</w:t>
            </w:r>
            <w:r w:rsidRPr="00717CAE">
              <w:rPr>
                <w:rFonts w:ascii="Garamond" w:hAnsi="Garamond"/>
                <w:lang w:val="en-AU"/>
              </w:rPr>
              <w:t xml:space="preserve"> for patients with diabetes mellitus and cardiovascular disease?: A systematic review </w:t>
            </w:r>
            <w:r>
              <w:rPr>
                <w:rFonts w:ascii="Garamond" w:hAnsi="Garamond"/>
                <w:lang w:val="en-AU"/>
              </w:rPr>
              <w:t>(</w:t>
            </w:r>
            <w:r w:rsidRPr="00717CAE">
              <w:rPr>
                <w:rFonts w:ascii="Garamond" w:hAnsi="Garamond"/>
                <w:lang w:val="en-AU"/>
              </w:rPr>
              <w:t>Euan J. McCaughey; Julie Li; Tony C. Badrick; Johanna I. Westbrook; Andrew Georgiou</w:t>
            </w:r>
            <w:r>
              <w:rPr>
                <w:rFonts w:ascii="Garamond" w:hAnsi="Garamond"/>
                <w:lang w:val="en-AU"/>
              </w:rPr>
              <w:t>)</w:t>
            </w:r>
          </w:p>
          <w:p w:rsidR="00D56776" w:rsidRDefault="00D56776" w:rsidP="00D56776">
            <w:pPr>
              <w:pStyle w:val="ListParagraph"/>
              <w:numPr>
                <w:ilvl w:val="0"/>
                <w:numId w:val="14"/>
              </w:numPr>
              <w:rPr>
                <w:rFonts w:ascii="Garamond" w:hAnsi="Garamond"/>
                <w:lang w:val="en-AU"/>
              </w:rPr>
            </w:pPr>
            <w:r w:rsidRPr="00D56776">
              <w:rPr>
                <w:rFonts w:ascii="Garamond" w:hAnsi="Garamond"/>
                <w:b/>
                <w:lang w:val="en-AU"/>
              </w:rPr>
              <w:t>Avoidable emergency department visits</w:t>
            </w:r>
            <w:r w:rsidRPr="00D56776">
              <w:rPr>
                <w:rFonts w:ascii="Garamond" w:hAnsi="Garamond"/>
                <w:lang w:val="en-AU"/>
              </w:rPr>
              <w:t>: a starting point (Renee Y Hsia; Matthew Niedzwiecki</w:t>
            </w:r>
            <w:r>
              <w:rPr>
                <w:rFonts w:ascii="Garamond" w:hAnsi="Garamond"/>
                <w:lang w:val="en-AU"/>
              </w:rPr>
              <w:t>)</w:t>
            </w:r>
          </w:p>
          <w:p w:rsidR="00403275" w:rsidRPr="00D9161E" w:rsidRDefault="00403275" w:rsidP="00403275">
            <w:pPr>
              <w:pStyle w:val="ListParagraph"/>
              <w:numPr>
                <w:ilvl w:val="0"/>
                <w:numId w:val="14"/>
              </w:numPr>
              <w:rPr>
                <w:rFonts w:ascii="Garamond" w:hAnsi="Garamond"/>
                <w:lang w:val="en-AU"/>
              </w:rPr>
            </w:pPr>
            <w:r w:rsidRPr="00403275">
              <w:rPr>
                <w:rFonts w:ascii="Garamond" w:hAnsi="Garamond"/>
                <w:lang w:val="en-AU"/>
              </w:rPr>
              <w:t xml:space="preserve">Evaluation of the effects of the French </w:t>
            </w:r>
            <w:r w:rsidRPr="00403275">
              <w:rPr>
                <w:rFonts w:ascii="Garamond" w:hAnsi="Garamond"/>
                <w:b/>
                <w:lang w:val="en-AU"/>
              </w:rPr>
              <w:t>pay-for-performance</w:t>
            </w:r>
            <w:r w:rsidRPr="00403275">
              <w:rPr>
                <w:rFonts w:ascii="Garamond" w:hAnsi="Garamond"/>
                <w:lang w:val="en-AU"/>
              </w:rPr>
              <w:t xml:space="preserve"> program—IFAQ pilot study</w:t>
            </w:r>
            <w:r>
              <w:rPr>
                <w:rFonts w:ascii="Garamond" w:hAnsi="Garamond"/>
                <w:lang w:val="en-AU"/>
              </w:rPr>
              <w:t xml:space="preserve"> (</w:t>
            </w:r>
            <w:r w:rsidRPr="00403275">
              <w:rPr>
                <w:rFonts w:ascii="Garamond" w:hAnsi="Garamond"/>
                <w:lang w:val="en-AU"/>
              </w:rPr>
              <w:t>Benoît Lalloué  Shu Jiang  Anne Girault  Marie Ferrua  Philippe Loirat Etienne Minvielle</w:t>
            </w:r>
            <w:r>
              <w:rPr>
                <w:rFonts w:ascii="Garamond" w:hAnsi="Garamond"/>
                <w:lang w:val="en-AU"/>
              </w:rPr>
              <w:t>)</w:t>
            </w:r>
          </w:p>
        </w:tc>
      </w:tr>
    </w:tbl>
    <w:p w:rsidR="00177F9F" w:rsidRPr="00D9161E" w:rsidRDefault="00177F9F" w:rsidP="00177F9F">
      <w:pPr>
        <w:rPr>
          <w:rFonts w:ascii="Garamond" w:hAnsi="Garamond"/>
          <w:lang w:val="en-AU"/>
        </w:rPr>
      </w:pPr>
    </w:p>
    <w:p w:rsidR="008B7A17" w:rsidRDefault="008B7A17">
      <w:pPr>
        <w:rPr>
          <w:rFonts w:ascii="Garamond" w:hAnsi="Garamond"/>
          <w:b/>
          <w:lang w:val="en-AU"/>
        </w:rPr>
      </w:pPr>
      <w:r>
        <w:rPr>
          <w:rFonts w:ascii="Garamond" w:hAnsi="Garamond"/>
          <w:b/>
          <w:lang w:val="en-AU"/>
        </w:rPr>
        <w:br w:type="page"/>
      </w:r>
    </w:p>
    <w:p w:rsidR="00177F9F" w:rsidRPr="00D9161E" w:rsidRDefault="00177F9F" w:rsidP="00177F9F">
      <w:pPr>
        <w:keepNext/>
        <w:rPr>
          <w:rFonts w:ascii="Garamond" w:hAnsi="Garamond"/>
          <w:b/>
          <w:lang w:val="en-AU"/>
        </w:rPr>
      </w:pPr>
      <w:r w:rsidRPr="00D9161E">
        <w:rPr>
          <w:rFonts w:ascii="Garamond" w:hAnsi="Garamond"/>
          <w:b/>
          <w:lang w:val="en-AU"/>
        </w:rPr>
        <w:lastRenderedPageBreak/>
        <w:t>Online resources</w:t>
      </w:r>
    </w:p>
    <w:p w:rsidR="00177F9F" w:rsidRDefault="00177F9F" w:rsidP="00177F9F">
      <w:pPr>
        <w:rPr>
          <w:rFonts w:ascii="Garamond" w:hAnsi="Garamond"/>
          <w:i/>
          <w:lang w:val="en-AU"/>
        </w:rPr>
      </w:pPr>
    </w:p>
    <w:p w:rsidR="004277AB" w:rsidRDefault="004277AB" w:rsidP="002F571F">
      <w:pPr>
        <w:keepNext/>
        <w:keepLines/>
        <w:rPr>
          <w:rFonts w:ascii="Garamond" w:hAnsi="Garamond"/>
          <w:i/>
          <w:lang w:val="en-AU"/>
        </w:rPr>
      </w:pPr>
      <w:r>
        <w:rPr>
          <w:rFonts w:ascii="Garamond" w:hAnsi="Garamond"/>
          <w:i/>
          <w:lang w:val="en-AU"/>
        </w:rPr>
        <w:t xml:space="preserve">[USA] </w:t>
      </w:r>
      <w:r w:rsidRPr="004277AB">
        <w:rPr>
          <w:rFonts w:ascii="Garamond" w:hAnsi="Garamond"/>
          <w:i/>
          <w:lang w:val="en-AU"/>
        </w:rPr>
        <w:t>Public Reporting of Surgical Outcomes: Surgeons, Hospitals, or Both?</w:t>
      </w:r>
    </w:p>
    <w:p w:rsidR="004277AB" w:rsidRPr="004277AB" w:rsidRDefault="00191DF2" w:rsidP="002F571F">
      <w:pPr>
        <w:keepNext/>
        <w:keepLines/>
        <w:rPr>
          <w:rFonts w:ascii="Garamond" w:hAnsi="Garamond"/>
          <w:lang w:val="en-AU"/>
        </w:rPr>
      </w:pPr>
      <w:hyperlink r:id="rId35" w:history="1">
        <w:r w:rsidR="004277AB" w:rsidRPr="004277AB">
          <w:rPr>
            <w:rStyle w:val="Hyperlink"/>
            <w:rFonts w:ascii="Garamond" w:hAnsi="Garamond"/>
            <w:lang w:val="en-AU"/>
          </w:rPr>
          <w:t>https://newsatjama.jama.com/2017/08/24/jama-forum-public-reporting-of-surgical-outcomes-surgeons-hospitals-or-both/</w:t>
        </w:r>
      </w:hyperlink>
    </w:p>
    <w:p w:rsidR="004277AB" w:rsidRDefault="004277AB" w:rsidP="002F571F">
      <w:pPr>
        <w:keepNext/>
        <w:keepLines/>
        <w:rPr>
          <w:rFonts w:ascii="Garamond" w:hAnsi="Garamond"/>
          <w:lang w:val="en-AU"/>
        </w:rPr>
      </w:pPr>
      <w:r w:rsidRPr="004277AB">
        <w:rPr>
          <w:rFonts w:ascii="Garamond" w:hAnsi="Garamond"/>
          <w:lang w:val="en-AU"/>
        </w:rPr>
        <w:t xml:space="preserve">Post on the JAMA Forum </w:t>
      </w:r>
      <w:r>
        <w:rPr>
          <w:rFonts w:ascii="Garamond" w:hAnsi="Garamond"/>
          <w:lang w:val="en-AU"/>
        </w:rPr>
        <w:t>by Ashish Jha providing a succinct summary of the arguments around public reporting, focusing on surgical outcomes and the issue of whether reporting should be about individual surgeon performance, the hospitals (or units) they operate within or both. Public reporting is not necessarily used by the public (to date) but rather the importance of timely feedback and reporting can be a spur to quality and safety, Jha’s final sentence urges us forward to individual reporting “</w:t>
      </w:r>
      <w:r w:rsidRPr="004277AB">
        <w:rPr>
          <w:rFonts w:ascii="Garamond" w:hAnsi="Garamond"/>
          <w:lang w:val="en-AU"/>
        </w:rPr>
        <w:t>Because if the goal is to improve surgical care, we must ensure that the person most influential in the process remains accountable for its outcome.</w:t>
      </w:r>
      <w:r>
        <w:rPr>
          <w:rFonts w:ascii="Garamond" w:hAnsi="Garamond"/>
          <w:lang w:val="en-AU"/>
        </w:rPr>
        <w:t>”</w:t>
      </w:r>
    </w:p>
    <w:p w:rsidR="004277AB" w:rsidRDefault="004277AB" w:rsidP="004277AB">
      <w:pPr>
        <w:keepLines/>
        <w:rPr>
          <w:rFonts w:ascii="Garamond" w:hAnsi="Garamond"/>
          <w:i/>
          <w:lang w:val="en-AU"/>
        </w:rPr>
      </w:pPr>
    </w:p>
    <w:p w:rsidR="002F571F" w:rsidRPr="007A47A8" w:rsidRDefault="002F571F" w:rsidP="002F571F">
      <w:pPr>
        <w:keepNext/>
        <w:keepLines/>
        <w:rPr>
          <w:rFonts w:ascii="Garamond" w:hAnsi="Garamond"/>
          <w:i/>
          <w:lang w:val="en-AU"/>
        </w:rPr>
      </w:pPr>
      <w:r w:rsidRPr="007A47A8">
        <w:rPr>
          <w:rFonts w:ascii="Garamond" w:hAnsi="Garamond"/>
          <w:i/>
          <w:lang w:val="en-AU"/>
        </w:rPr>
        <w:t>[UK] National Institute for Health Research</w:t>
      </w:r>
    </w:p>
    <w:p w:rsidR="002F571F" w:rsidRPr="007A47A8" w:rsidRDefault="002F571F" w:rsidP="002F571F">
      <w:pPr>
        <w:keepNext/>
        <w:keepLines/>
        <w:rPr>
          <w:rStyle w:val="Hyperlink"/>
          <w:rFonts w:ascii="Garamond" w:hAnsi="Garamond"/>
          <w:lang w:val="en-AU"/>
        </w:rPr>
      </w:pPr>
      <w:bookmarkStart w:id="1" w:name="_GoBack"/>
      <w:r w:rsidRPr="0054200E">
        <w:rPr>
          <w:rStyle w:val="Hyperlink"/>
          <w:rFonts w:ascii="Garamond" w:hAnsi="Garamond"/>
          <w:lang w:val="en-AU"/>
        </w:rPr>
        <w:t>https://discover.dc.nihr.ac.uk/portal/search/signals</w:t>
      </w:r>
    </w:p>
    <w:p w:rsidR="002F571F" w:rsidRDefault="002F571F" w:rsidP="002F571F">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lang w:val="en-AU"/>
        </w:rPr>
        <w:t>Drug reduces deaths</w:t>
      </w:r>
      <w:r>
        <w:rPr>
          <w:rFonts w:ascii="Garamond" w:hAnsi="Garamond"/>
          <w:lang w:val="en-AU"/>
        </w:rPr>
        <w:t xml:space="preserve"> from </w:t>
      </w:r>
      <w:r w:rsidRPr="002F571F">
        <w:rPr>
          <w:rFonts w:ascii="Garamond" w:hAnsi="Garamond"/>
          <w:b/>
          <w:lang w:val="en-AU"/>
        </w:rPr>
        <w:t>bleeding after childbirth</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b/>
          <w:lang w:val="en-AU"/>
        </w:rPr>
        <w:t>Carers of stroke survivors</w:t>
      </w:r>
      <w:r w:rsidRPr="002F571F">
        <w:rPr>
          <w:rFonts w:ascii="Garamond" w:hAnsi="Garamond"/>
          <w:lang w:val="en-AU"/>
        </w:rPr>
        <w:t xml:space="preserve"> voice an unmet need for </w:t>
      </w:r>
      <w:r>
        <w:rPr>
          <w:rFonts w:ascii="Garamond" w:hAnsi="Garamond"/>
          <w:lang w:val="en-AU"/>
        </w:rPr>
        <w:t>practical and emotional support</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b/>
          <w:lang w:val="en-AU"/>
        </w:rPr>
        <w:t>Humidified oxygen</w:t>
      </w:r>
      <w:r w:rsidRPr="002F571F">
        <w:rPr>
          <w:rFonts w:ascii="Garamond" w:hAnsi="Garamond"/>
          <w:lang w:val="en-AU"/>
        </w:rPr>
        <w:t xml:space="preserve"> linke</w:t>
      </w:r>
      <w:r>
        <w:rPr>
          <w:rFonts w:ascii="Garamond" w:hAnsi="Garamond"/>
          <w:lang w:val="en-AU"/>
        </w:rPr>
        <w:t xml:space="preserve">d to increased </w:t>
      </w:r>
      <w:r w:rsidRPr="002F571F">
        <w:rPr>
          <w:rFonts w:ascii="Garamond" w:hAnsi="Garamond"/>
          <w:b/>
          <w:lang w:val="en-AU"/>
        </w:rPr>
        <w:t>chest infections</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b/>
          <w:lang w:val="en-AU"/>
        </w:rPr>
        <w:t>Silk</w:t>
      </w:r>
      <w:r w:rsidRPr="002F571F">
        <w:rPr>
          <w:rFonts w:ascii="Garamond" w:hAnsi="Garamond"/>
          <w:lang w:val="en-AU"/>
        </w:rPr>
        <w:t xml:space="preserve"> clothing for children does not reduce object</w:t>
      </w:r>
      <w:r>
        <w:rPr>
          <w:rFonts w:ascii="Garamond" w:hAnsi="Garamond"/>
          <w:lang w:val="en-AU"/>
        </w:rPr>
        <w:t xml:space="preserve">ive measures of </w:t>
      </w:r>
      <w:r w:rsidRPr="002F571F">
        <w:rPr>
          <w:rFonts w:ascii="Garamond" w:hAnsi="Garamond"/>
          <w:b/>
          <w:lang w:val="en-AU"/>
        </w:rPr>
        <w:t>eczema severity</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lang w:val="en-AU"/>
        </w:rPr>
        <w:t xml:space="preserve">Using </w:t>
      </w:r>
      <w:r w:rsidRPr="002F571F">
        <w:rPr>
          <w:rFonts w:ascii="Garamond" w:hAnsi="Garamond"/>
          <w:b/>
          <w:lang w:val="en-AU"/>
        </w:rPr>
        <w:t>mesh</w:t>
      </w:r>
      <w:r w:rsidRPr="002F571F">
        <w:rPr>
          <w:rFonts w:ascii="Garamond" w:hAnsi="Garamond"/>
          <w:lang w:val="en-AU"/>
        </w:rPr>
        <w:t xml:space="preserve"> does not improve resu</w:t>
      </w:r>
      <w:r>
        <w:rPr>
          <w:rFonts w:ascii="Garamond" w:hAnsi="Garamond"/>
          <w:lang w:val="en-AU"/>
        </w:rPr>
        <w:t xml:space="preserve">lts in </w:t>
      </w:r>
      <w:r w:rsidRPr="002F571F">
        <w:rPr>
          <w:rFonts w:ascii="Garamond" w:hAnsi="Garamond"/>
          <w:b/>
          <w:lang w:val="en-AU"/>
        </w:rPr>
        <w:t>vaginal prolapse surgery</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b/>
          <w:lang w:val="en-AU"/>
        </w:rPr>
        <w:t>Talking therapy</w:t>
      </w:r>
      <w:r w:rsidRPr="002F571F">
        <w:rPr>
          <w:rFonts w:ascii="Garamond" w:hAnsi="Garamond"/>
          <w:lang w:val="en-AU"/>
        </w:rPr>
        <w:t xml:space="preserve"> given by parents shows promise for </w:t>
      </w:r>
      <w:r w:rsidRPr="002F571F">
        <w:rPr>
          <w:rFonts w:ascii="Garamond" w:hAnsi="Garamond"/>
          <w:b/>
          <w:lang w:val="en-AU"/>
        </w:rPr>
        <w:t>childhood anxiety disorders</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lang w:val="en-AU"/>
        </w:rPr>
        <w:t xml:space="preserve">Stop smoking services can work for people in treatment or recovery </w:t>
      </w:r>
      <w:r>
        <w:rPr>
          <w:rFonts w:ascii="Garamond" w:hAnsi="Garamond"/>
          <w:lang w:val="en-AU"/>
        </w:rPr>
        <w:t xml:space="preserve">from </w:t>
      </w:r>
      <w:r w:rsidRPr="002F571F">
        <w:rPr>
          <w:rFonts w:ascii="Garamond" w:hAnsi="Garamond"/>
          <w:b/>
          <w:lang w:val="en-AU"/>
        </w:rPr>
        <w:t>substance misuse disorders</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lang w:val="en-AU"/>
        </w:rPr>
        <w:t xml:space="preserve">Treating </w:t>
      </w:r>
      <w:r w:rsidRPr="002F571F">
        <w:rPr>
          <w:rFonts w:ascii="Garamond" w:hAnsi="Garamond"/>
          <w:b/>
          <w:lang w:val="en-AU"/>
        </w:rPr>
        <w:t>subclinical thyroid dysfunction</w:t>
      </w:r>
      <w:r w:rsidRPr="002F571F">
        <w:rPr>
          <w:rFonts w:ascii="Garamond" w:hAnsi="Garamond"/>
          <w:lang w:val="en-AU"/>
        </w:rPr>
        <w:t xml:space="preserve"> in pregnancy probably has no benefit </w:t>
      </w:r>
    </w:p>
    <w:p w:rsidR="002F571F" w:rsidRPr="002F571F" w:rsidRDefault="002F571F" w:rsidP="002F571F">
      <w:pPr>
        <w:pStyle w:val="ListParagraph"/>
        <w:keepNext/>
        <w:keepLines/>
        <w:numPr>
          <w:ilvl w:val="0"/>
          <w:numId w:val="14"/>
        </w:numPr>
        <w:rPr>
          <w:rFonts w:ascii="Garamond" w:hAnsi="Garamond"/>
          <w:lang w:val="en-AU"/>
        </w:rPr>
      </w:pPr>
      <w:r w:rsidRPr="002F571F">
        <w:rPr>
          <w:rFonts w:ascii="Garamond" w:hAnsi="Garamond"/>
          <w:lang w:val="en-AU"/>
        </w:rPr>
        <w:t xml:space="preserve">Dexamethasone before </w:t>
      </w:r>
      <w:r w:rsidRPr="002F571F">
        <w:rPr>
          <w:rFonts w:ascii="Garamond" w:hAnsi="Garamond"/>
          <w:b/>
          <w:lang w:val="en-AU"/>
        </w:rPr>
        <w:t>bowel surgery</w:t>
      </w:r>
      <w:r w:rsidRPr="002F571F">
        <w:rPr>
          <w:rFonts w:ascii="Garamond" w:hAnsi="Garamond"/>
          <w:lang w:val="en-AU"/>
        </w:rPr>
        <w:t xml:space="preserve"> reduces postoperat</w:t>
      </w:r>
      <w:r>
        <w:rPr>
          <w:rFonts w:ascii="Garamond" w:hAnsi="Garamond"/>
          <w:lang w:val="en-AU"/>
        </w:rPr>
        <w:t>ive nausea and vomiting</w:t>
      </w:r>
    </w:p>
    <w:p w:rsidR="002F571F" w:rsidRDefault="002F571F" w:rsidP="002F571F">
      <w:pPr>
        <w:pStyle w:val="ListParagraph"/>
        <w:keepNext/>
        <w:keepLines/>
        <w:numPr>
          <w:ilvl w:val="0"/>
          <w:numId w:val="14"/>
        </w:numPr>
        <w:rPr>
          <w:rFonts w:ascii="Garamond" w:hAnsi="Garamond"/>
          <w:lang w:val="en-AU"/>
        </w:rPr>
      </w:pPr>
      <w:r w:rsidRPr="002F571F">
        <w:rPr>
          <w:rFonts w:ascii="Garamond" w:hAnsi="Garamond"/>
          <w:lang w:val="en-AU"/>
        </w:rPr>
        <w:t xml:space="preserve">Prescribing regular drugs to prevent </w:t>
      </w:r>
      <w:r w:rsidRPr="002F571F">
        <w:rPr>
          <w:rFonts w:ascii="Garamond" w:hAnsi="Garamond"/>
          <w:b/>
          <w:lang w:val="en-AU"/>
        </w:rPr>
        <w:t>febrile convulsions</w:t>
      </w:r>
      <w:r w:rsidRPr="002F571F">
        <w:rPr>
          <w:rFonts w:ascii="Garamond" w:hAnsi="Garamond"/>
          <w:lang w:val="en-AU"/>
        </w:rPr>
        <w:t xml:space="preserve"> risks more harm than benefit</w:t>
      </w:r>
    </w:p>
    <w:bookmarkEnd w:id="1"/>
    <w:p w:rsidR="002F571F" w:rsidRDefault="002F571F" w:rsidP="00177F9F">
      <w:pPr>
        <w:rPr>
          <w:rFonts w:ascii="Garamond" w:hAnsi="Garamond"/>
          <w:i/>
          <w:lang w:val="en-AU"/>
        </w:rPr>
      </w:pPr>
    </w:p>
    <w:p w:rsidR="004E37B6" w:rsidRDefault="004E37B6" w:rsidP="00070CFE">
      <w:pPr>
        <w:rPr>
          <w:rFonts w:ascii="Garamond" w:hAnsi="Garamond"/>
          <w:i/>
          <w:lang w:val="en-AU"/>
        </w:rPr>
      </w:pPr>
    </w:p>
    <w:p w:rsidR="007807E6" w:rsidRPr="00D9161E" w:rsidRDefault="007807E6" w:rsidP="00070CFE">
      <w:pPr>
        <w:rPr>
          <w:rFonts w:ascii="Garamond" w:hAnsi="Garamond"/>
          <w:i/>
          <w:lang w:val="en-AU"/>
        </w:rPr>
      </w:pPr>
    </w:p>
    <w:p w:rsidR="00B02F6E" w:rsidRPr="00D9161E" w:rsidRDefault="00B02F6E" w:rsidP="00B02F6E">
      <w:pPr>
        <w:keepNext/>
        <w:pBdr>
          <w:top w:val="single" w:sz="4" w:space="1" w:color="auto"/>
        </w:pBdr>
        <w:rPr>
          <w:rFonts w:ascii="Garamond" w:hAnsi="Garamond"/>
          <w:b/>
          <w:lang w:val="en-AU"/>
        </w:rPr>
      </w:pPr>
      <w:r w:rsidRPr="00D9161E">
        <w:rPr>
          <w:rFonts w:ascii="Garamond" w:hAnsi="Garamond"/>
          <w:b/>
          <w:lang w:val="en-AU"/>
        </w:rPr>
        <w:t>Disclaimer</w:t>
      </w:r>
    </w:p>
    <w:p w:rsidR="00B02F6E" w:rsidRPr="00D9161E" w:rsidRDefault="00B02F6E" w:rsidP="00B17406">
      <w:pPr>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D9161E">
        <w:rPr>
          <w:rFonts w:ascii="Garamond" w:hAnsi="Garamond"/>
          <w:lang w:val="en-AU"/>
        </w:rPr>
        <w:fldChar w:fldCharType="begin"/>
      </w:r>
      <w:r w:rsidRPr="00D9161E">
        <w:rPr>
          <w:rFonts w:ascii="Garamond" w:hAnsi="Garamond"/>
          <w:lang w:val="en-AU"/>
        </w:rPr>
        <w:instrText xml:space="preserve"> ADDIN </w:instrText>
      </w:r>
      <w:r w:rsidRPr="00D9161E">
        <w:rPr>
          <w:rFonts w:ascii="Garamond" w:hAnsi="Garamond"/>
          <w:lang w:val="en-AU"/>
        </w:rPr>
        <w:fldChar w:fldCharType="end"/>
      </w:r>
      <w:r w:rsidRPr="00D9161E">
        <w:rPr>
          <w:rFonts w:ascii="Garamond" w:hAnsi="Garamond"/>
          <w:lang w:val="en-AU"/>
        </w:rPr>
        <w:fldChar w:fldCharType="begin"/>
      </w:r>
      <w:r w:rsidRPr="00D9161E">
        <w:rPr>
          <w:rFonts w:ascii="Garamond" w:hAnsi="Garamond"/>
          <w:lang w:val="en-AU"/>
        </w:rPr>
        <w:instrText xml:space="preserve"> ADDIN </w:instrText>
      </w:r>
      <w:r w:rsidRPr="00D9161E">
        <w:rPr>
          <w:rFonts w:ascii="Garamond" w:hAnsi="Garamond"/>
          <w:lang w:val="en-AU"/>
        </w:rPr>
        <w:fldChar w:fldCharType="end"/>
      </w:r>
    </w:p>
    <w:sectPr w:rsidR="00B02F6E" w:rsidRPr="00D9161E"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15" w:rsidRDefault="00BD6A15">
      <w:r>
        <w:separator/>
      </w:r>
    </w:p>
  </w:endnote>
  <w:endnote w:type="continuationSeparator" w:id="0">
    <w:p w:rsidR="00BD6A15" w:rsidRDefault="00BD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Default="00BD6A15"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91DF2">
      <w:rPr>
        <w:rStyle w:val="PageNumber"/>
        <w:noProof/>
      </w:rPr>
      <w:t>6</w:t>
    </w:r>
    <w:r>
      <w:rPr>
        <w:rStyle w:val="PageNumber"/>
      </w:rPr>
      <w:fldChar w:fldCharType="end"/>
    </w:r>
  </w:p>
  <w:p w:rsidR="00BD6A15" w:rsidRPr="001E78F0" w:rsidRDefault="00BD6A15"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5455F4">
      <w:rPr>
        <w:rFonts w:ascii="Garamond" w:hAnsi="Garamond"/>
      </w:rPr>
      <w:t xml:space="preserve"> Issue 33</w:t>
    </w:r>
    <w:r w:rsidR="00B532DE">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Pr="001E78F0" w:rsidRDefault="00BD6A15"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91DF2">
      <w:rPr>
        <w:rStyle w:val="PageNumber"/>
        <w:rFonts w:ascii="Garamond" w:hAnsi="Garamond"/>
        <w:noProof/>
      </w:rPr>
      <w:t>7</w:t>
    </w:r>
    <w:r w:rsidRPr="001E78F0">
      <w:rPr>
        <w:rStyle w:val="PageNumber"/>
        <w:rFonts w:ascii="Garamond" w:hAnsi="Garamond"/>
      </w:rPr>
      <w:fldChar w:fldCharType="end"/>
    </w:r>
  </w:p>
  <w:p w:rsidR="00BD6A15" w:rsidRPr="001E78F0" w:rsidRDefault="00BD6A15"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532DE">
      <w:rPr>
        <w:rFonts w:ascii="Garamond" w:hAnsi="Garamond"/>
      </w:rPr>
      <w:t xml:space="preserve"> Issue 337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15" w:rsidRDefault="00BD6A15">
      <w:r>
        <w:separator/>
      </w:r>
    </w:p>
  </w:footnote>
  <w:footnote w:type="continuationSeparator" w:id="0">
    <w:p w:rsidR="00BD6A15" w:rsidRDefault="00BD6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7564B"/>
    <w:multiLevelType w:val="hybridMultilevel"/>
    <w:tmpl w:val="8A3CC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3DC315A"/>
    <w:multiLevelType w:val="hybridMultilevel"/>
    <w:tmpl w:val="10BC6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E74D19"/>
    <w:multiLevelType w:val="hybridMultilevel"/>
    <w:tmpl w:val="D5AE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C50DA0"/>
    <w:multiLevelType w:val="hybridMultilevel"/>
    <w:tmpl w:val="C6B0C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D0257C"/>
    <w:multiLevelType w:val="hybridMultilevel"/>
    <w:tmpl w:val="64266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400DC0"/>
    <w:multiLevelType w:val="hybridMultilevel"/>
    <w:tmpl w:val="617E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451E67"/>
    <w:multiLevelType w:val="hybridMultilevel"/>
    <w:tmpl w:val="1E585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FF05AA"/>
    <w:multiLevelType w:val="hybridMultilevel"/>
    <w:tmpl w:val="F318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32607A"/>
    <w:multiLevelType w:val="hybridMultilevel"/>
    <w:tmpl w:val="C9E61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BD4EC8"/>
    <w:multiLevelType w:val="hybridMultilevel"/>
    <w:tmpl w:val="9ACE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69B6C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C522F0"/>
    <w:multiLevelType w:val="hybridMultilevel"/>
    <w:tmpl w:val="2052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23556A"/>
    <w:multiLevelType w:val="hybridMultilevel"/>
    <w:tmpl w:val="210E9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B1794F"/>
    <w:multiLevelType w:val="hybridMultilevel"/>
    <w:tmpl w:val="4482B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310DAC"/>
    <w:multiLevelType w:val="hybridMultilevel"/>
    <w:tmpl w:val="78B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0813D9"/>
    <w:multiLevelType w:val="hybridMultilevel"/>
    <w:tmpl w:val="60DA0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7D224E"/>
    <w:multiLevelType w:val="hybridMultilevel"/>
    <w:tmpl w:val="6174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80686C"/>
    <w:multiLevelType w:val="hybridMultilevel"/>
    <w:tmpl w:val="ACF8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7900A7"/>
    <w:multiLevelType w:val="hybridMultilevel"/>
    <w:tmpl w:val="70C80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323C6C"/>
    <w:multiLevelType w:val="hybridMultilevel"/>
    <w:tmpl w:val="6EAAF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C14B56"/>
    <w:multiLevelType w:val="hybridMultilevel"/>
    <w:tmpl w:val="AE00B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2F08CF"/>
    <w:multiLevelType w:val="hybridMultilevel"/>
    <w:tmpl w:val="3C387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5A7093"/>
    <w:multiLevelType w:val="hybridMultilevel"/>
    <w:tmpl w:val="BA10A262"/>
    <w:lvl w:ilvl="0" w:tplc="5D0881E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6167FC"/>
    <w:multiLevelType w:val="hybridMultilevel"/>
    <w:tmpl w:val="D456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ABE2653"/>
    <w:multiLevelType w:val="hybridMultilevel"/>
    <w:tmpl w:val="FF3EB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2"/>
  </w:num>
  <w:num w:numId="15">
    <w:abstractNumId w:val="15"/>
  </w:num>
  <w:num w:numId="16">
    <w:abstractNumId w:val="37"/>
  </w:num>
  <w:num w:numId="17">
    <w:abstractNumId w:val="34"/>
  </w:num>
  <w:num w:numId="18">
    <w:abstractNumId w:val="38"/>
  </w:num>
  <w:num w:numId="19">
    <w:abstractNumId w:val="26"/>
  </w:num>
  <w:num w:numId="20">
    <w:abstractNumId w:val="11"/>
  </w:num>
  <w:num w:numId="21">
    <w:abstractNumId w:val="16"/>
  </w:num>
  <w:num w:numId="22">
    <w:abstractNumId w:val="14"/>
  </w:num>
  <w:num w:numId="23">
    <w:abstractNumId w:val="18"/>
  </w:num>
  <w:num w:numId="24">
    <w:abstractNumId w:val="10"/>
  </w:num>
  <w:num w:numId="25">
    <w:abstractNumId w:val="20"/>
  </w:num>
  <w:num w:numId="26">
    <w:abstractNumId w:val="19"/>
  </w:num>
  <w:num w:numId="27">
    <w:abstractNumId w:val="32"/>
  </w:num>
  <w:num w:numId="28">
    <w:abstractNumId w:val="28"/>
  </w:num>
  <w:num w:numId="29">
    <w:abstractNumId w:val="39"/>
  </w:num>
  <w:num w:numId="30">
    <w:abstractNumId w:val="13"/>
  </w:num>
  <w:num w:numId="31">
    <w:abstractNumId w:val="24"/>
  </w:num>
  <w:num w:numId="32">
    <w:abstractNumId w:val="36"/>
  </w:num>
  <w:num w:numId="33">
    <w:abstractNumId w:val="12"/>
  </w:num>
  <w:num w:numId="34">
    <w:abstractNumId w:val="30"/>
  </w:num>
  <w:num w:numId="35">
    <w:abstractNumId w:val="17"/>
  </w:num>
  <w:num w:numId="36">
    <w:abstractNumId w:val="27"/>
  </w:num>
  <w:num w:numId="37">
    <w:abstractNumId w:val="23"/>
  </w:num>
  <w:num w:numId="38">
    <w:abstractNumId w:val="25"/>
  </w:num>
  <w:num w:numId="39">
    <w:abstractNumId w:val="31"/>
  </w:num>
  <w:num w:numId="4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DFB"/>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DF2"/>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431"/>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BB3"/>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275"/>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A62"/>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0B9"/>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B40"/>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E9F"/>
    <w:rsid w:val="005E3F7E"/>
    <w:rsid w:val="005E413D"/>
    <w:rsid w:val="005E424D"/>
    <w:rsid w:val="005E4649"/>
    <w:rsid w:val="005E47F2"/>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77D"/>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391C"/>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157"/>
    <w:rsid w:val="008A69AE"/>
    <w:rsid w:val="008A69F2"/>
    <w:rsid w:val="008A725C"/>
    <w:rsid w:val="008A726C"/>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A17"/>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966"/>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690"/>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50"/>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58"/>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1E18"/>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8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854"/>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0F3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776"/>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A1A"/>
    <w:rsid w:val="00EA2B04"/>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clinical-care-standards/current-consultations/" TargetMode="External"/><Relationship Id="rId26" Type="http://schemas.openxmlformats.org/officeDocument/2006/relationships/hyperlink" Target="http://dx.doi.org/10.1111/hex.1261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fetyandquality.gov.au/our-work/primary-health-care/" TargetMode="External"/><Relationship Id="rId34" Type="http://schemas.openxmlformats.org/officeDocument/2006/relationships/hyperlink" Target="https://academic.oup.com/intqhc/advance-access?papetoc"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CCS@health.gov.au" TargetMode="External"/><Relationship Id="rId25" Type="http://schemas.openxmlformats.org/officeDocument/2006/relationships/hyperlink" Target="https://www.safetyandquality.gov.au/our-work/patient-and-consumer-centred-care/" TargetMode="External"/><Relationship Id="rId33" Type="http://schemas.openxmlformats.org/officeDocument/2006/relationships/hyperlink" Target="https://qualitysafety.bmj.com/content/early/rece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urveymonkey.com/r/VTEPreventionClinicalCareStandard" TargetMode="External"/><Relationship Id="rId20" Type="http://schemas.openxmlformats.org/officeDocument/2006/relationships/hyperlink" Target="https://www.nuffieldtrust.org.uk/research/primary-care-home-evaluating-a-new-model-of-primary-care" TargetMode="External"/><Relationship Id="rId29" Type="http://schemas.openxmlformats.org/officeDocument/2006/relationships/hyperlink" Target="https://doi.org/10.1093/intqhc/mzx1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2788/jhm.2783" TargetMode="External"/><Relationship Id="rId32" Type="http://schemas.openxmlformats.org/officeDocument/2006/relationships/hyperlink" Target="http://dx.doi.org/10.1097/PTS.0000000000000389"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healthcare-associated-infection/" TargetMode="External"/><Relationship Id="rId28" Type="http://schemas.openxmlformats.org/officeDocument/2006/relationships/image" Target="media/image2.jpg"/><Relationship Id="rId36" Type="http://schemas.openxmlformats.org/officeDocument/2006/relationships/footer" Target="footer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kingsfund.org.uk/publications/developing-accountable-care-systems" TargetMode="External"/><Relationship Id="rId31" Type="http://schemas.openxmlformats.org/officeDocument/2006/relationships/hyperlink" Target="https://www.safetyandquality.gov.au/our-work/medication-safety/"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x.doi.org/10.1001/jamainternmed.2017.1938" TargetMode="External"/><Relationship Id="rId27" Type="http://schemas.openxmlformats.org/officeDocument/2006/relationships/hyperlink" Target="http://dx.doi.org/10.1136/bmjopen-2016-014825" TargetMode="External"/><Relationship Id="rId30" Type="http://schemas.openxmlformats.org/officeDocument/2006/relationships/hyperlink" Target="http://dx.doi.org/10.1097/CCM.0000000000002533" TargetMode="External"/><Relationship Id="rId35" Type="http://schemas.openxmlformats.org/officeDocument/2006/relationships/hyperlink" Target="https://newsatjama.jama.com/2017/08/24/jama-forum-public-reporting-of-surgical-outcomes-surgeons-hospitals-or-b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5659-DF04-43CC-9CEB-8DB7B496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2862</Words>
  <Characters>18002</Characters>
  <Application>Microsoft Office Word</Application>
  <DocSecurity>0</DocSecurity>
  <Lines>367</Lines>
  <Paragraphs>189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20675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2017-05-19T05:23:00Z</cp:lastPrinted>
  <dcterms:created xsi:type="dcterms:W3CDTF">2017-09-01T02:16:00Z</dcterms:created>
  <dcterms:modified xsi:type="dcterms:W3CDTF">2017-09-01T04:54:00Z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