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782F25" w:rsidRPr="00C3014C">
        <w:rPr>
          <w:rFonts w:ascii="Garamond" w:hAnsi="Garamond"/>
          <w:color w:val="000000"/>
          <w:lang w:val="en-AU"/>
        </w:rPr>
        <w:t>39</w:t>
      </w:r>
    </w:p>
    <w:p w:rsidR="00755242" w:rsidRPr="00C3014C" w:rsidRDefault="00263FBC" w:rsidP="00B160EF">
      <w:pPr>
        <w:rPr>
          <w:rFonts w:ascii="Garamond" w:hAnsi="Garamond"/>
          <w:lang w:val="en-AU"/>
        </w:rPr>
      </w:pPr>
      <w:r w:rsidRPr="00C3014C">
        <w:rPr>
          <w:rFonts w:ascii="Garamond" w:hAnsi="Garamond"/>
          <w:lang w:val="en-AU"/>
        </w:rPr>
        <w:t>1</w:t>
      </w:r>
      <w:r w:rsidR="00782F25" w:rsidRPr="00C3014C">
        <w:rPr>
          <w:rFonts w:ascii="Garamond" w:hAnsi="Garamond"/>
          <w:lang w:val="en-AU"/>
        </w:rPr>
        <w:t>8</w:t>
      </w:r>
      <w:r w:rsidR="00B532DE" w:rsidRPr="00C3014C">
        <w:rPr>
          <w:rFonts w:ascii="Garamond" w:hAnsi="Garamond"/>
          <w:lang w:val="en-AU"/>
        </w:rPr>
        <w:t xml:space="preserve"> September</w:t>
      </w:r>
      <w:r w:rsidR="001E5BD1" w:rsidRPr="00C3014C">
        <w:rPr>
          <w:rFonts w:ascii="Garamond" w:hAnsi="Garamond"/>
          <w:lang w:val="en-AU"/>
        </w:rPr>
        <w:t xml:space="preserve">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0"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90E63" w:rsidRPr="00C3014C" w:rsidRDefault="00290E63" w:rsidP="00210235">
      <w:pPr>
        <w:keepNext/>
        <w:pBdr>
          <w:top w:val="single" w:sz="4" w:space="1" w:color="auto"/>
        </w:pBdr>
        <w:rPr>
          <w:rFonts w:ascii="Garamond" w:hAnsi="Garamond"/>
          <w:b/>
          <w:lang w:val="en-AU"/>
        </w:rPr>
      </w:pP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A8296D">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0"/>
    </w:p>
    <w:p w:rsidR="00727B35" w:rsidRPr="00C3014C" w:rsidRDefault="00727B35" w:rsidP="00691DE3">
      <w:pPr>
        <w:keepLines/>
        <w:autoSpaceDE w:val="0"/>
        <w:autoSpaceDN w:val="0"/>
        <w:adjustRightInd w:val="0"/>
        <w:rPr>
          <w:rFonts w:ascii="Garamond" w:hAnsi="Garamond"/>
          <w:lang w:val="en-AU"/>
        </w:rPr>
      </w:pPr>
    </w:p>
    <w:p w:rsidR="00290E63" w:rsidRPr="00C3014C" w:rsidRDefault="00290E63" w:rsidP="00691DE3">
      <w:pPr>
        <w:keepLines/>
        <w:autoSpaceDE w:val="0"/>
        <w:autoSpaceDN w:val="0"/>
        <w:adjustRightInd w:val="0"/>
        <w:rPr>
          <w:rFonts w:ascii="Garamond" w:hAnsi="Garamond"/>
          <w:lang w:val="en-AU"/>
        </w:rPr>
      </w:pPr>
    </w:p>
    <w:p w:rsidR="00177F9F" w:rsidRPr="00C3014C" w:rsidRDefault="00177F9F" w:rsidP="00644660">
      <w:pPr>
        <w:keepNext/>
        <w:keepLines/>
        <w:autoSpaceDE w:val="0"/>
        <w:autoSpaceDN w:val="0"/>
        <w:adjustRightInd w:val="0"/>
        <w:rPr>
          <w:rFonts w:ascii="Garamond" w:hAnsi="Garamond"/>
          <w:b/>
          <w:lang w:val="en-AU"/>
        </w:rPr>
      </w:pPr>
      <w:r w:rsidRPr="00C3014C">
        <w:rPr>
          <w:rFonts w:ascii="Garamond" w:hAnsi="Garamond"/>
          <w:b/>
          <w:lang w:val="en-AU"/>
        </w:rPr>
        <w:t>Reports</w:t>
      </w:r>
    </w:p>
    <w:p w:rsidR="00177F9F" w:rsidRPr="00C3014C" w:rsidRDefault="00177F9F" w:rsidP="00644660">
      <w:pPr>
        <w:keepNext/>
        <w:keepLines/>
        <w:autoSpaceDE w:val="0"/>
        <w:autoSpaceDN w:val="0"/>
        <w:adjustRightInd w:val="0"/>
        <w:rPr>
          <w:rFonts w:ascii="Garamond" w:hAnsi="Garamond"/>
          <w:b/>
          <w:lang w:val="en-AU"/>
        </w:rPr>
      </w:pPr>
    </w:p>
    <w:p w:rsidR="009B68EE" w:rsidRPr="00C3014C" w:rsidRDefault="0052266E" w:rsidP="003B745A">
      <w:pPr>
        <w:keepNext/>
        <w:keepLines/>
        <w:autoSpaceDE w:val="0"/>
        <w:autoSpaceDN w:val="0"/>
        <w:adjustRightInd w:val="0"/>
        <w:rPr>
          <w:rFonts w:ascii="Garamond" w:hAnsi="Garamond"/>
          <w:i/>
          <w:lang w:val="en-AU"/>
        </w:rPr>
      </w:pPr>
      <w:r w:rsidRPr="00C3014C">
        <w:rPr>
          <w:rFonts w:ascii="Garamond" w:hAnsi="Garamond"/>
          <w:i/>
          <w:lang w:val="en-AU"/>
        </w:rPr>
        <w:t>Communicating Clearly About Medicines: Proceedings of a Workshop</w:t>
      </w:r>
    </w:p>
    <w:p w:rsidR="00034111" w:rsidRDefault="00034111" w:rsidP="003B745A">
      <w:pPr>
        <w:keepNext/>
        <w:keepLines/>
        <w:autoSpaceDE w:val="0"/>
        <w:autoSpaceDN w:val="0"/>
        <w:adjustRightInd w:val="0"/>
        <w:rPr>
          <w:rFonts w:ascii="Garamond" w:hAnsi="Garamond"/>
          <w:lang w:val="en-AU"/>
        </w:rPr>
      </w:pPr>
      <w:r w:rsidRPr="00034111">
        <w:rPr>
          <w:rFonts w:ascii="Garamond" w:hAnsi="Garamond"/>
          <w:lang w:val="en-AU"/>
        </w:rPr>
        <w:t>National Academies of Sciences, Engineering, Medicine</w:t>
      </w:r>
    </w:p>
    <w:p w:rsidR="00034111" w:rsidRDefault="00034111" w:rsidP="003B745A">
      <w:pPr>
        <w:keepNext/>
        <w:keepLines/>
        <w:autoSpaceDE w:val="0"/>
        <w:autoSpaceDN w:val="0"/>
        <w:adjustRightInd w:val="0"/>
        <w:rPr>
          <w:rFonts w:ascii="Garamond" w:hAnsi="Garamond"/>
          <w:lang w:val="en-AU"/>
        </w:rPr>
      </w:pPr>
      <w:r w:rsidRPr="00034111">
        <w:rPr>
          <w:rFonts w:ascii="Garamond" w:hAnsi="Garamond"/>
          <w:lang w:val="en-AU"/>
        </w:rPr>
        <w:t>Alper J, editor</w:t>
      </w:r>
    </w:p>
    <w:p w:rsidR="0052266E" w:rsidRPr="00C3014C" w:rsidRDefault="00034111" w:rsidP="003B745A">
      <w:pPr>
        <w:keepNext/>
        <w:keepLines/>
        <w:autoSpaceDE w:val="0"/>
        <w:autoSpaceDN w:val="0"/>
        <w:adjustRightInd w:val="0"/>
        <w:rPr>
          <w:rFonts w:ascii="Garamond" w:hAnsi="Garamond"/>
          <w:lang w:val="en-AU"/>
        </w:rPr>
      </w:pPr>
      <w:r w:rsidRPr="00034111">
        <w:rPr>
          <w:rFonts w:ascii="Garamond" w:hAnsi="Garamond"/>
          <w:lang w:val="en-AU"/>
        </w:rPr>
        <w:t>Washington, DC: The National Academies Press; 2017. 124 p.</w:t>
      </w:r>
    </w:p>
    <w:tbl>
      <w:tblPr>
        <w:tblStyle w:val="TableGrid"/>
        <w:tblW w:w="0" w:type="auto"/>
        <w:tblInd w:w="288" w:type="dxa"/>
        <w:tblLayout w:type="fixed"/>
        <w:tblLook w:val="01E0" w:firstRow="1" w:lastRow="1" w:firstColumn="1" w:lastColumn="1" w:noHBand="0" w:noVBand="0"/>
      </w:tblPr>
      <w:tblGrid>
        <w:gridCol w:w="1080"/>
        <w:gridCol w:w="8280"/>
      </w:tblGrid>
      <w:tr w:rsidR="003B745A" w:rsidRPr="00C3014C" w:rsidTr="00AC2D6F">
        <w:tc>
          <w:tcPr>
            <w:tcW w:w="1080" w:type="dxa"/>
            <w:tcBorders>
              <w:top w:val="single" w:sz="4" w:space="0" w:color="auto"/>
              <w:left w:val="single" w:sz="4" w:space="0" w:color="auto"/>
              <w:bottom w:val="single" w:sz="4" w:space="0" w:color="auto"/>
              <w:right w:val="single" w:sz="4" w:space="0" w:color="auto"/>
            </w:tcBorders>
            <w:vAlign w:val="center"/>
          </w:tcPr>
          <w:p w:rsidR="003B745A" w:rsidRPr="00C3014C" w:rsidRDefault="003B745A" w:rsidP="00AC2D6F">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A6A47" w:rsidRPr="00C3014C" w:rsidRDefault="004F60FB" w:rsidP="00AA6A47">
            <w:pPr>
              <w:rPr>
                <w:rStyle w:val="Hyperlink"/>
                <w:rFonts w:ascii="Garamond" w:hAnsi="Garamond"/>
                <w:color w:val="auto"/>
                <w:u w:val="none"/>
                <w:lang w:val="en-AU"/>
              </w:rPr>
            </w:pPr>
            <w:hyperlink r:id="rId16" w:history="1">
              <w:r w:rsidR="00AA6A47" w:rsidRPr="00D52FE0">
                <w:rPr>
                  <w:rStyle w:val="Hyperlink"/>
                  <w:rFonts w:ascii="Garamond" w:hAnsi="Garamond"/>
                  <w:lang w:val="en-AU"/>
                </w:rPr>
                <w:t>https://www.nap.edu/catalog/24814/communicating-clearly-about-medicines-proceedings-of-a-workshop</w:t>
              </w:r>
            </w:hyperlink>
          </w:p>
        </w:tc>
      </w:tr>
      <w:tr w:rsidR="003B745A" w:rsidRPr="00C3014C" w:rsidTr="00AC2D6F">
        <w:tc>
          <w:tcPr>
            <w:tcW w:w="1080" w:type="dxa"/>
            <w:tcBorders>
              <w:top w:val="single" w:sz="4" w:space="0" w:color="auto"/>
              <w:left w:val="single" w:sz="4" w:space="0" w:color="auto"/>
              <w:bottom w:val="single" w:sz="4" w:space="0" w:color="auto"/>
              <w:right w:val="single" w:sz="4" w:space="0" w:color="auto"/>
            </w:tcBorders>
            <w:vAlign w:val="center"/>
          </w:tcPr>
          <w:p w:rsidR="003B745A" w:rsidRPr="00C3014C" w:rsidRDefault="003B745A" w:rsidP="00AC2D6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745A" w:rsidRPr="00C3014C" w:rsidRDefault="00A6752B" w:rsidP="00A6752B">
            <w:pPr>
              <w:rPr>
                <w:rFonts w:ascii="Garamond" w:hAnsi="Garamond"/>
                <w:lang w:val="en-AU"/>
              </w:rPr>
            </w:pPr>
            <w:r w:rsidRPr="00A6752B">
              <w:rPr>
                <w:rFonts w:ascii="Garamond" w:hAnsi="Garamond"/>
                <w:lang w:val="en-AU"/>
              </w:rPr>
              <w:t>The Roundtable on Health Literacy of the</w:t>
            </w:r>
            <w:r>
              <w:rPr>
                <w:rFonts w:ascii="Garamond" w:hAnsi="Garamond"/>
                <w:lang w:val="en-AU"/>
              </w:rPr>
              <w:t xml:space="preserve"> (US)</w:t>
            </w:r>
            <w:r w:rsidRPr="00A6752B">
              <w:rPr>
                <w:rFonts w:ascii="Garamond" w:hAnsi="Garamond"/>
                <w:lang w:val="en-AU"/>
              </w:rPr>
              <w:t xml:space="preserve"> National Academies of Sciences, Engineering, and Medicine convened a workshop on communicating clearly about medicines. The workshop focused on the clarity of written information given to patients and consumers. The workshop explored the design of health-literate written materials. The workshop rapporteurs have prepared this </w:t>
            </w:r>
            <w:r>
              <w:rPr>
                <w:rFonts w:ascii="Garamond" w:hAnsi="Garamond"/>
                <w:lang w:val="en-AU"/>
              </w:rPr>
              <w:t xml:space="preserve">summary </w:t>
            </w:r>
            <w:r w:rsidRPr="00A6752B">
              <w:rPr>
                <w:rFonts w:ascii="Garamond" w:hAnsi="Garamond"/>
                <w:lang w:val="en-AU"/>
              </w:rPr>
              <w:t>of the discussions</w:t>
            </w:r>
            <w:r>
              <w:rPr>
                <w:rFonts w:ascii="Garamond" w:hAnsi="Garamond"/>
                <w:lang w:val="en-AU"/>
              </w:rPr>
              <w:t>.</w:t>
            </w:r>
          </w:p>
        </w:tc>
      </w:tr>
    </w:tbl>
    <w:p w:rsidR="006150B3" w:rsidRDefault="006150B3" w:rsidP="00644660">
      <w:pPr>
        <w:keepNext/>
        <w:keepLines/>
        <w:autoSpaceDE w:val="0"/>
        <w:autoSpaceDN w:val="0"/>
        <w:adjustRightInd w:val="0"/>
        <w:rPr>
          <w:rFonts w:ascii="Garamond" w:hAnsi="Garamond"/>
          <w:b/>
          <w:lang w:val="en-AU"/>
        </w:rPr>
      </w:pPr>
    </w:p>
    <w:p w:rsidR="00AD3423" w:rsidRDefault="00AD3423" w:rsidP="00AD3423">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medication safety, see </w:t>
      </w:r>
      <w:hyperlink r:id="rId17" w:history="1">
        <w:r w:rsidRPr="0034426A">
          <w:rPr>
            <w:rStyle w:val="Hyperlink"/>
            <w:rFonts w:ascii="Garamond" w:hAnsi="Garamond"/>
            <w:lang w:val="en-AU"/>
          </w:rPr>
          <w:t>https://www.safetyandquality.gov.au/our-work/medication-safety/</w:t>
        </w:r>
      </w:hyperlink>
    </w:p>
    <w:p w:rsidR="00AD3423" w:rsidRDefault="00AD3423">
      <w:pPr>
        <w:rPr>
          <w:rFonts w:ascii="Garamond" w:hAnsi="Garamond"/>
          <w:b/>
          <w:lang w:val="en-AU"/>
        </w:rPr>
      </w:pPr>
      <w:r>
        <w:rPr>
          <w:rFonts w:ascii="Garamond" w:hAnsi="Garamond"/>
          <w:b/>
          <w:lang w:val="en-AU"/>
        </w:rPr>
        <w:br w:type="page"/>
      </w: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lastRenderedPageBreak/>
        <w:t>Journal articles</w:t>
      </w:r>
    </w:p>
    <w:p w:rsidR="0010604C" w:rsidRPr="00C3014C" w:rsidRDefault="0010604C" w:rsidP="00644660">
      <w:pPr>
        <w:keepNext/>
        <w:keepLines/>
        <w:autoSpaceDE w:val="0"/>
        <w:autoSpaceDN w:val="0"/>
        <w:adjustRightInd w:val="0"/>
        <w:rPr>
          <w:rFonts w:ascii="Garamond" w:hAnsi="Garamond"/>
          <w:lang w:val="en-AU"/>
        </w:rPr>
      </w:pPr>
    </w:p>
    <w:p w:rsidR="00AD3423" w:rsidRPr="00C3014C" w:rsidRDefault="00AD3423" w:rsidP="00AD3423">
      <w:pPr>
        <w:keepLines/>
        <w:autoSpaceDE w:val="0"/>
        <w:autoSpaceDN w:val="0"/>
        <w:adjustRightInd w:val="0"/>
        <w:rPr>
          <w:rFonts w:ascii="Garamond" w:hAnsi="Garamond"/>
          <w:lang w:val="en-AU"/>
        </w:rPr>
      </w:pPr>
    </w:p>
    <w:p w:rsidR="00AD3423" w:rsidRPr="00513774" w:rsidRDefault="00AD3423" w:rsidP="00AD3423">
      <w:pPr>
        <w:keepNext/>
        <w:rPr>
          <w:rFonts w:ascii="Garamond" w:hAnsi="Garamond"/>
          <w:i/>
          <w:lang w:val="en-AU"/>
        </w:rPr>
      </w:pPr>
      <w:r w:rsidRPr="00513774">
        <w:rPr>
          <w:rFonts w:ascii="Garamond" w:hAnsi="Garamond"/>
          <w:i/>
          <w:lang w:val="en-AU"/>
        </w:rPr>
        <w:t>Frequency and Nature of Medication Errors and Adverse Drug Events in Mental Health Hospitals: a Systematic Review</w:t>
      </w:r>
    </w:p>
    <w:p w:rsidR="00AD3423" w:rsidRDefault="00AD3423" w:rsidP="00AD3423">
      <w:pPr>
        <w:keepNext/>
        <w:rPr>
          <w:rFonts w:ascii="Garamond" w:hAnsi="Garamond"/>
          <w:lang w:val="en-AU"/>
        </w:rPr>
      </w:pPr>
      <w:r w:rsidRPr="00513774">
        <w:rPr>
          <w:rFonts w:ascii="Garamond" w:hAnsi="Garamond"/>
          <w:lang w:val="en-AU"/>
        </w:rPr>
        <w:t>Alshehri GH, Keers RN, Ashcroft DM</w:t>
      </w:r>
    </w:p>
    <w:p w:rsidR="00AD3423" w:rsidRPr="00C3014C" w:rsidRDefault="00AD3423" w:rsidP="00AD3423">
      <w:pPr>
        <w:keepNext/>
        <w:rPr>
          <w:rFonts w:ascii="Garamond" w:hAnsi="Garamond"/>
          <w:lang w:val="en-AU"/>
        </w:rPr>
      </w:pPr>
      <w:r w:rsidRPr="00513774">
        <w:rPr>
          <w:rFonts w:ascii="Garamond" w:hAnsi="Garamond"/>
          <w:lang w:val="en-AU"/>
        </w:rPr>
        <w:t>Drug Safety. 2017</w:t>
      </w:r>
      <w:r>
        <w:rPr>
          <w:rFonts w:ascii="Garamond" w:hAnsi="Garamond"/>
          <w:lang w:val="en-AU"/>
        </w:rPr>
        <w:t xml:space="preserve"> [epub]</w:t>
      </w:r>
      <w:r w:rsidRPr="0051377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D3423"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AD3423" w:rsidRPr="00C3014C" w:rsidRDefault="00AD3423" w:rsidP="007F583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3423" w:rsidRPr="00C3014C" w:rsidRDefault="004F60FB" w:rsidP="007F5832">
            <w:pPr>
              <w:rPr>
                <w:rStyle w:val="Hyperlink"/>
                <w:rFonts w:ascii="Garamond" w:hAnsi="Garamond"/>
                <w:color w:val="auto"/>
                <w:u w:val="none"/>
                <w:lang w:val="en-AU"/>
              </w:rPr>
            </w:pPr>
            <w:hyperlink r:id="rId18" w:history="1">
              <w:r w:rsidR="00AD3423" w:rsidRPr="00BC76F9">
                <w:rPr>
                  <w:rStyle w:val="Hyperlink"/>
                  <w:rFonts w:ascii="Garamond" w:hAnsi="Garamond"/>
                  <w:lang w:val="en-AU"/>
                </w:rPr>
                <w:t>http://dx.doi.org/10.1007/s40264-017-0557-7</w:t>
              </w:r>
            </w:hyperlink>
          </w:p>
        </w:tc>
      </w:tr>
      <w:tr w:rsidR="00AD3423"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AD3423" w:rsidRPr="00C3014C" w:rsidRDefault="00AD3423" w:rsidP="007F583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3423" w:rsidRDefault="00AD3423" w:rsidP="00AD3423">
            <w:pPr>
              <w:rPr>
                <w:rFonts w:ascii="Garamond" w:hAnsi="Garamond"/>
                <w:lang w:val="en-AU"/>
              </w:rPr>
            </w:pPr>
            <w:r>
              <w:rPr>
                <w:rFonts w:ascii="Garamond" w:hAnsi="Garamond"/>
                <w:lang w:val="en-AU"/>
              </w:rPr>
              <w:t>In mental health care the focus is (obviously) on the mental health aspects, but this can create a gap in which other issues may arise. This can include lack of attention to other conditions, physical health and medications (both those for mental health care and others). This review sought to understand the scale of the medication errors (MEs) and adverse drug events (ADEs) in the mental health hospital setting. The review found that such errors “</w:t>
            </w:r>
            <w:r w:rsidRPr="00AD3423">
              <w:rPr>
                <w:rFonts w:ascii="Garamond" w:hAnsi="Garamond"/>
                <w:b/>
                <w:lang w:val="en-AU"/>
              </w:rPr>
              <w:t>occur frequently in mental health hospitals</w:t>
            </w:r>
            <w:r w:rsidRPr="00AD3423">
              <w:rPr>
                <w:rFonts w:ascii="Garamond" w:hAnsi="Garamond"/>
                <w:lang w:val="en-AU"/>
              </w:rPr>
              <w:t xml:space="preserve"> and are associated with risk of patient harm</w:t>
            </w:r>
            <w:r>
              <w:rPr>
                <w:rFonts w:ascii="Garamond" w:hAnsi="Garamond"/>
                <w:lang w:val="en-AU"/>
              </w:rPr>
              <w:t xml:space="preserve">”. </w:t>
            </w:r>
          </w:p>
          <w:p w:rsidR="00AD3423" w:rsidRDefault="00AD3423" w:rsidP="00AD3423">
            <w:pPr>
              <w:rPr>
                <w:rFonts w:ascii="Garamond" w:hAnsi="Garamond"/>
                <w:lang w:val="en-AU"/>
              </w:rPr>
            </w:pPr>
            <w:r>
              <w:rPr>
                <w:rFonts w:ascii="Garamond" w:hAnsi="Garamond"/>
                <w:lang w:val="en-AU"/>
              </w:rPr>
              <w:t>From the 20 studies that the review focused upon:</w:t>
            </w:r>
          </w:p>
          <w:p w:rsidR="00AD3423" w:rsidRPr="00AD3423" w:rsidRDefault="00AD3423" w:rsidP="006F2725">
            <w:pPr>
              <w:pStyle w:val="ListParagraph"/>
              <w:numPr>
                <w:ilvl w:val="0"/>
                <w:numId w:val="17"/>
              </w:numPr>
              <w:rPr>
                <w:rFonts w:ascii="Garamond" w:hAnsi="Garamond"/>
                <w:lang w:val="en-AU"/>
              </w:rPr>
            </w:pPr>
            <w:r w:rsidRPr="00AD3423">
              <w:rPr>
                <w:rFonts w:ascii="Garamond" w:hAnsi="Garamond"/>
                <w:lang w:val="en-AU"/>
              </w:rPr>
              <w:t xml:space="preserve">rate of </w:t>
            </w:r>
            <w:r w:rsidRPr="00AD3423">
              <w:rPr>
                <w:rFonts w:ascii="Garamond" w:hAnsi="Garamond"/>
                <w:b/>
                <w:lang w:val="en-AU"/>
              </w:rPr>
              <w:t>MEs</w:t>
            </w:r>
            <w:r w:rsidRPr="00AD3423">
              <w:rPr>
                <w:rFonts w:ascii="Garamond" w:hAnsi="Garamond"/>
                <w:lang w:val="en-AU"/>
              </w:rPr>
              <w:t xml:space="preserve"> ranged from </w:t>
            </w:r>
            <w:r w:rsidRPr="00AD3423">
              <w:rPr>
                <w:rFonts w:ascii="Garamond" w:hAnsi="Garamond"/>
                <w:b/>
                <w:lang w:val="en-AU"/>
              </w:rPr>
              <w:t>10.6 to 17.5 per 1000 patient-days</w:t>
            </w:r>
          </w:p>
          <w:p w:rsidR="00AD3423" w:rsidRPr="00AD3423" w:rsidRDefault="00AD3423" w:rsidP="006F2725">
            <w:pPr>
              <w:pStyle w:val="ListParagraph"/>
              <w:numPr>
                <w:ilvl w:val="0"/>
                <w:numId w:val="17"/>
              </w:numPr>
              <w:rPr>
                <w:rFonts w:ascii="Garamond" w:hAnsi="Garamond"/>
                <w:lang w:val="en-AU"/>
              </w:rPr>
            </w:pPr>
            <w:r w:rsidRPr="00AD3423">
              <w:rPr>
                <w:rFonts w:ascii="Garamond" w:hAnsi="Garamond"/>
                <w:lang w:val="en-AU"/>
              </w:rPr>
              <w:t xml:space="preserve">rate of </w:t>
            </w:r>
            <w:r w:rsidRPr="00AD3423">
              <w:rPr>
                <w:rFonts w:ascii="Garamond" w:hAnsi="Garamond"/>
                <w:b/>
                <w:lang w:val="en-AU"/>
              </w:rPr>
              <w:t>ADEs</w:t>
            </w:r>
            <w:r w:rsidRPr="00AD3423">
              <w:rPr>
                <w:rFonts w:ascii="Garamond" w:hAnsi="Garamond"/>
                <w:lang w:val="en-AU"/>
              </w:rPr>
              <w:t xml:space="preserve"> ranged from </w:t>
            </w:r>
            <w:r w:rsidRPr="00AD3423">
              <w:rPr>
                <w:rFonts w:ascii="Garamond" w:hAnsi="Garamond"/>
                <w:b/>
                <w:lang w:val="en-AU"/>
              </w:rPr>
              <w:t>10.0 to 42.0 per 1000 patient-days</w:t>
            </w:r>
          </w:p>
          <w:p w:rsidR="00AD3423" w:rsidRPr="00AD3423" w:rsidRDefault="00AD3423" w:rsidP="006F2725">
            <w:pPr>
              <w:pStyle w:val="ListParagraph"/>
              <w:numPr>
                <w:ilvl w:val="0"/>
                <w:numId w:val="17"/>
              </w:numPr>
              <w:rPr>
                <w:rFonts w:ascii="Garamond" w:hAnsi="Garamond"/>
                <w:lang w:val="en-AU"/>
              </w:rPr>
            </w:pPr>
            <w:r w:rsidRPr="00AD3423">
              <w:rPr>
                <w:rFonts w:ascii="Garamond" w:hAnsi="Garamond"/>
                <w:b/>
                <w:lang w:val="en-AU"/>
              </w:rPr>
              <w:t>13.0–17.3%</w:t>
            </w:r>
            <w:r w:rsidRPr="00AD3423">
              <w:rPr>
                <w:rFonts w:ascii="Garamond" w:hAnsi="Garamond"/>
                <w:lang w:val="en-AU"/>
              </w:rPr>
              <w:t xml:space="preserve"> of </w:t>
            </w:r>
            <w:r w:rsidRPr="00AD3423">
              <w:rPr>
                <w:rFonts w:ascii="Garamond" w:hAnsi="Garamond"/>
                <w:b/>
                <w:lang w:val="en-AU"/>
              </w:rPr>
              <w:t>ADEs</w:t>
            </w:r>
            <w:r w:rsidRPr="00AD3423">
              <w:rPr>
                <w:rFonts w:ascii="Garamond" w:hAnsi="Garamond"/>
                <w:lang w:val="en-AU"/>
              </w:rPr>
              <w:t xml:space="preserve"> found to be </w:t>
            </w:r>
            <w:r w:rsidRPr="00AD3423">
              <w:rPr>
                <w:rFonts w:ascii="Garamond" w:hAnsi="Garamond"/>
                <w:b/>
                <w:lang w:val="en-AU"/>
              </w:rPr>
              <w:t>preventable</w:t>
            </w:r>
          </w:p>
          <w:p w:rsidR="00AD3423" w:rsidRPr="00AD3423" w:rsidRDefault="00AD3423" w:rsidP="006F2725">
            <w:pPr>
              <w:pStyle w:val="ListParagraph"/>
              <w:numPr>
                <w:ilvl w:val="0"/>
                <w:numId w:val="17"/>
              </w:numPr>
              <w:rPr>
                <w:rFonts w:ascii="Garamond" w:hAnsi="Garamond"/>
                <w:lang w:val="en-AU"/>
              </w:rPr>
            </w:pPr>
            <w:r w:rsidRPr="00AD3423">
              <w:rPr>
                <w:rFonts w:ascii="Garamond" w:hAnsi="Garamond"/>
                <w:lang w:val="en-AU"/>
              </w:rPr>
              <w:t>ADEs were rated as clinically significant (66.0–71.0%), serious (28.0–31.0%), or life threatening (1.4–2.0%)</w:t>
            </w:r>
          </w:p>
          <w:p w:rsidR="00AD3423" w:rsidRPr="00AD3423" w:rsidRDefault="00AD3423" w:rsidP="006F2725">
            <w:pPr>
              <w:pStyle w:val="ListParagraph"/>
              <w:numPr>
                <w:ilvl w:val="0"/>
                <w:numId w:val="17"/>
              </w:numPr>
              <w:rPr>
                <w:rFonts w:ascii="Garamond" w:hAnsi="Garamond"/>
                <w:lang w:val="en-AU"/>
              </w:rPr>
            </w:pPr>
            <w:r w:rsidRPr="00AD3423">
              <w:rPr>
                <w:rFonts w:ascii="Garamond" w:hAnsi="Garamond"/>
                <w:b/>
                <w:lang w:val="en-AU"/>
              </w:rPr>
              <w:t>prescribing errors</w:t>
            </w:r>
            <w:r w:rsidRPr="00AD3423">
              <w:rPr>
                <w:rFonts w:ascii="Garamond" w:hAnsi="Garamond"/>
                <w:lang w:val="en-AU"/>
              </w:rPr>
              <w:t xml:space="preserve"> occurred in </w:t>
            </w:r>
            <w:r w:rsidRPr="00AD3423">
              <w:rPr>
                <w:rFonts w:ascii="Garamond" w:hAnsi="Garamond"/>
                <w:b/>
                <w:lang w:val="en-AU"/>
              </w:rPr>
              <w:t>4.5–6.3%</w:t>
            </w:r>
            <w:r w:rsidRPr="00AD3423">
              <w:rPr>
                <w:rFonts w:ascii="Garamond" w:hAnsi="Garamond"/>
                <w:lang w:val="en-AU"/>
              </w:rPr>
              <w:t xml:space="preserve"> of newly written or omitted prescription items</w:t>
            </w:r>
          </w:p>
          <w:p w:rsidR="00AD3423" w:rsidRPr="00AD3423" w:rsidRDefault="00AD3423" w:rsidP="006F2725">
            <w:pPr>
              <w:pStyle w:val="ListParagraph"/>
              <w:numPr>
                <w:ilvl w:val="0"/>
                <w:numId w:val="17"/>
              </w:numPr>
              <w:rPr>
                <w:rFonts w:ascii="Garamond" w:hAnsi="Garamond"/>
                <w:lang w:val="en-AU"/>
              </w:rPr>
            </w:pPr>
            <w:r w:rsidRPr="00AD3423">
              <w:rPr>
                <w:rFonts w:ascii="Garamond" w:hAnsi="Garamond"/>
                <w:b/>
                <w:lang w:val="en-AU"/>
              </w:rPr>
              <w:t>dispensing errors</w:t>
            </w:r>
            <w:r w:rsidRPr="00AD3423">
              <w:rPr>
                <w:rFonts w:ascii="Garamond" w:hAnsi="Garamond"/>
                <w:lang w:val="en-AU"/>
              </w:rPr>
              <w:t xml:space="preserve"> occurred in 4.6% of opportunities for error and in 8.8% of patients </w:t>
            </w:r>
            <w:r w:rsidRPr="00AD3423">
              <w:rPr>
                <w:rFonts w:ascii="Garamond" w:hAnsi="Garamond"/>
                <w:b/>
                <w:lang w:val="en-AU"/>
              </w:rPr>
              <w:t>medication administration errors</w:t>
            </w:r>
            <w:r w:rsidRPr="00AD3423">
              <w:rPr>
                <w:rFonts w:ascii="Garamond" w:hAnsi="Garamond"/>
                <w:lang w:val="en-AU"/>
              </w:rPr>
              <w:t xml:space="preserve"> occurred in 3.3–48.0% of opportunities for error</w:t>
            </w:r>
          </w:p>
          <w:p w:rsidR="00AD3423" w:rsidRPr="00AD3423" w:rsidRDefault="00AD3423" w:rsidP="006F2725">
            <w:pPr>
              <w:pStyle w:val="ListParagraph"/>
              <w:numPr>
                <w:ilvl w:val="0"/>
                <w:numId w:val="17"/>
              </w:numPr>
              <w:rPr>
                <w:rFonts w:ascii="Garamond" w:hAnsi="Garamond"/>
                <w:lang w:val="en-AU"/>
              </w:rPr>
            </w:pPr>
            <w:r w:rsidRPr="00AD3423">
              <w:rPr>
                <w:rFonts w:ascii="Garamond" w:hAnsi="Garamond"/>
                <w:lang w:val="en-AU"/>
              </w:rPr>
              <w:t>MEs and ADEs were frequently associated with psychotropics, with atypical antipsychotic drugs commonly involved.</w:t>
            </w:r>
          </w:p>
        </w:tc>
      </w:tr>
    </w:tbl>
    <w:p w:rsidR="00AD3423" w:rsidRDefault="00AD3423" w:rsidP="00AD3423">
      <w:pPr>
        <w:keepLines/>
        <w:autoSpaceDE w:val="0"/>
        <w:autoSpaceDN w:val="0"/>
        <w:adjustRightInd w:val="0"/>
        <w:rPr>
          <w:rFonts w:ascii="Garamond" w:hAnsi="Garamond"/>
          <w:lang w:val="en-AU"/>
        </w:rPr>
      </w:pPr>
    </w:p>
    <w:p w:rsidR="00AD3423" w:rsidRDefault="00AD3423" w:rsidP="00AD3423">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medication safety, see </w:t>
      </w:r>
      <w:hyperlink r:id="rId19" w:history="1">
        <w:r w:rsidRPr="0034426A">
          <w:rPr>
            <w:rStyle w:val="Hyperlink"/>
            <w:rFonts w:ascii="Garamond" w:hAnsi="Garamond"/>
            <w:lang w:val="en-AU"/>
          </w:rPr>
          <w:t>https://www.safetyandquality.gov.au/our-work/medication-safety/</w:t>
        </w:r>
      </w:hyperlink>
    </w:p>
    <w:p w:rsidR="00AD3423" w:rsidRDefault="00AD3423" w:rsidP="00AD3423">
      <w:pPr>
        <w:keepLines/>
        <w:autoSpaceDE w:val="0"/>
        <w:autoSpaceDN w:val="0"/>
        <w:adjustRightInd w:val="0"/>
        <w:rPr>
          <w:rFonts w:ascii="Garamond" w:hAnsi="Garamond"/>
          <w:lang w:val="en-AU"/>
        </w:rPr>
      </w:pPr>
    </w:p>
    <w:p w:rsidR="007F6F5D" w:rsidRPr="00C3014C" w:rsidRDefault="007F6F5D" w:rsidP="00352A80">
      <w:pPr>
        <w:keepLines/>
        <w:autoSpaceDE w:val="0"/>
        <w:autoSpaceDN w:val="0"/>
        <w:adjustRightInd w:val="0"/>
        <w:rPr>
          <w:rFonts w:ascii="Garamond" w:hAnsi="Garamond"/>
          <w:i/>
          <w:lang w:val="en-AU"/>
        </w:rPr>
      </w:pPr>
      <w:r w:rsidRPr="00C3014C">
        <w:rPr>
          <w:rFonts w:ascii="Garamond" w:hAnsi="Garamond"/>
          <w:i/>
          <w:lang w:val="en-AU"/>
        </w:rPr>
        <w:t>Major health service transformation and the public voice: conflict, challenge or complicity?</w:t>
      </w:r>
    </w:p>
    <w:p w:rsidR="007F6F5D" w:rsidRPr="00C3014C" w:rsidRDefault="007F6F5D" w:rsidP="00352A80">
      <w:pPr>
        <w:keepLines/>
        <w:autoSpaceDE w:val="0"/>
        <w:autoSpaceDN w:val="0"/>
        <w:adjustRightInd w:val="0"/>
        <w:rPr>
          <w:rFonts w:ascii="Garamond" w:hAnsi="Garamond"/>
          <w:lang w:val="en-AU"/>
        </w:rPr>
      </w:pPr>
      <w:r w:rsidRPr="00C3014C">
        <w:rPr>
          <w:rFonts w:ascii="Garamond" w:hAnsi="Garamond"/>
          <w:lang w:val="en-AU"/>
        </w:rPr>
        <w:t>Martin GP, Carter P, Dent M</w:t>
      </w:r>
    </w:p>
    <w:p w:rsidR="007F6F5D" w:rsidRPr="00C3014C" w:rsidRDefault="007F6F5D" w:rsidP="00352A80">
      <w:pPr>
        <w:keepLines/>
        <w:autoSpaceDE w:val="0"/>
        <w:autoSpaceDN w:val="0"/>
        <w:adjustRightInd w:val="0"/>
        <w:rPr>
          <w:rFonts w:ascii="Garamond" w:hAnsi="Garamond"/>
          <w:lang w:val="en-AU"/>
        </w:rPr>
      </w:pPr>
      <w:r w:rsidRPr="00C3014C">
        <w:rPr>
          <w:rFonts w:ascii="Garamond" w:hAnsi="Garamond"/>
          <w:lang w:val="en-AU"/>
        </w:rPr>
        <w:t>Journal of Health Services Research &amp; Policy</w:t>
      </w:r>
      <w:r w:rsidR="00034111" w:rsidRPr="00C3014C">
        <w:rPr>
          <w:rFonts w:ascii="Garamond" w:hAnsi="Garamond"/>
          <w:lang w:val="en-AU"/>
        </w:rPr>
        <w:t>. 2017</w:t>
      </w:r>
      <w:r w:rsidRPr="00C3014C">
        <w:rPr>
          <w:rFonts w:ascii="Garamond" w:hAnsi="Garamond"/>
          <w:lang w:val="en-AU"/>
        </w:rPr>
        <w:t xml:space="preserve"> [epub].</w:t>
      </w:r>
    </w:p>
    <w:p w:rsidR="007F6F5D" w:rsidRPr="00C3014C" w:rsidRDefault="007F6F5D" w:rsidP="00352A80">
      <w:pPr>
        <w:keepLines/>
        <w:autoSpaceDE w:val="0"/>
        <w:autoSpaceDN w:val="0"/>
        <w:adjustRightInd w:val="0"/>
        <w:rPr>
          <w:rFonts w:ascii="Garamond" w:hAnsi="Garamond"/>
          <w:lang w:val="en-AU"/>
        </w:rPr>
      </w:pPr>
    </w:p>
    <w:p w:rsidR="00140775" w:rsidRPr="00C3014C" w:rsidRDefault="00FA1139" w:rsidP="00140775">
      <w:pPr>
        <w:keepNext/>
        <w:rPr>
          <w:rFonts w:ascii="Garamond" w:hAnsi="Garamond"/>
          <w:i/>
          <w:lang w:val="en-AU"/>
        </w:rPr>
      </w:pPr>
      <w:r w:rsidRPr="00C3014C">
        <w:rPr>
          <w:rFonts w:ascii="Garamond" w:hAnsi="Garamond"/>
          <w:i/>
          <w:lang w:val="en-AU"/>
        </w:rPr>
        <w:t>Is There a Mismatch Between the Perspectives of Patients and Regulators on Healthcare Quality? A Survey Study</w:t>
      </w:r>
    </w:p>
    <w:p w:rsidR="008413F5" w:rsidRPr="00C3014C" w:rsidRDefault="008413F5" w:rsidP="00140775">
      <w:pPr>
        <w:keepNext/>
        <w:rPr>
          <w:rFonts w:ascii="Garamond" w:hAnsi="Garamond"/>
          <w:lang w:val="en-AU"/>
        </w:rPr>
      </w:pPr>
      <w:r w:rsidRPr="00C3014C">
        <w:rPr>
          <w:rFonts w:ascii="Garamond" w:hAnsi="Garamond"/>
          <w:lang w:val="en-AU"/>
        </w:rPr>
        <w:t>Bouwman R, Bomhoff M, Robben P, Friele R</w:t>
      </w:r>
    </w:p>
    <w:p w:rsidR="00FA1139" w:rsidRPr="00C3014C" w:rsidRDefault="008413F5" w:rsidP="00140775">
      <w:pPr>
        <w:keepNext/>
        <w:rPr>
          <w:rFonts w:ascii="Garamond" w:hAnsi="Garamond"/>
          <w:lang w:val="en-AU"/>
        </w:rPr>
      </w:pPr>
      <w:r w:rsidRPr="00C3014C">
        <w:rPr>
          <w:rFonts w:ascii="Garamond" w:hAnsi="Garamond"/>
          <w:lang w:val="en-AU"/>
        </w:rPr>
        <w:t>Journal of Patient Safety. 2017 [epub].</w:t>
      </w:r>
    </w:p>
    <w:p w:rsidR="007F6F5D" w:rsidRPr="00C3014C" w:rsidRDefault="007F6F5D" w:rsidP="00140775">
      <w:pPr>
        <w:keepNext/>
        <w:rPr>
          <w:rFonts w:ascii="Garamond" w:hAnsi="Garamond"/>
          <w:lang w:val="en-AU"/>
        </w:rPr>
      </w:pPr>
    </w:p>
    <w:p w:rsidR="007F6F5D" w:rsidRPr="00C3014C" w:rsidRDefault="007F6F5D" w:rsidP="00140775">
      <w:pPr>
        <w:keepNext/>
        <w:rPr>
          <w:rFonts w:ascii="Garamond" w:hAnsi="Garamond"/>
          <w:i/>
          <w:lang w:val="en-AU"/>
        </w:rPr>
      </w:pPr>
      <w:r w:rsidRPr="00C3014C">
        <w:rPr>
          <w:rFonts w:ascii="Garamond" w:hAnsi="Garamond"/>
          <w:i/>
          <w:lang w:val="en-AU"/>
        </w:rPr>
        <w:t>When Patients and Their Families Feel Like Hostages to Health Care</w:t>
      </w:r>
    </w:p>
    <w:p w:rsidR="007F6F5D" w:rsidRPr="00C3014C" w:rsidRDefault="007F6F5D" w:rsidP="00140775">
      <w:pPr>
        <w:keepNext/>
        <w:rPr>
          <w:rFonts w:ascii="Garamond" w:hAnsi="Garamond"/>
          <w:lang w:val="en-AU"/>
        </w:rPr>
      </w:pPr>
      <w:r w:rsidRPr="00C3014C">
        <w:rPr>
          <w:rFonts w:ascii="Garamond" w:hAnsi="Garamond"/>
          <w:lang w:val="en-AU"/>
        </w:rPr>
        <w:t>Berry LL, Danaher TS, Beckham D, Awdish RLA, Mate KS</w:t>
      </w:r>
    </w:p>
    <w:p w:rsidR="007F6F5D" w:rsidRPr="00C3014C" w:rsidRDefault="007F6F5D" w:rsidP="00140775">
      <w:pPr>
        <w:keepNext/>
        <w:rPr>
          <w:rFonts w:ascii="Garamond" w:hAnsi="Garamond"/>
          <w:lang w:val="en-AU"/>
        </w:rPr>
      </w:pPr>
      <w:r w:rsidRPr="00C3014C">
        <w:rPr>
          <w:rFonts w:ascii="Garamond" w:hAnsi="Garamond"/>
          <w:lang w:val="en-AU"/>
        </w:rPr>
        <w:t>Mayo Clinic proceedings. 2017;92(9):1373-81.</w:t>
      </w:r>
    </w:p>
    <w:tbl>
      <w:tblPr>
        <w:tblStyle w:val="TableGrid"/>
        <w:tblW w:w="0" w:type="auto"/>
        <w:tblInd w:w="288" w:type="dxa"/>
        <w:tblLayout w:type="fixed"/>
        <w:tblLook w:val="01E0" w:firstRow="1" w:lastRow="1" w:firstColumn="1" w:lastColumn="1" w:noHBand="0" w:noVBand="0"/>
      </w:tblPr>
      <w:tblGrid>
        <w:gridCol w:w="1080"/>
        <w:gridCol w:w="8280"/>
      </w:tblGrid>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F6F5D" w:rsidRPr="00C3014C" w:rsidRDefault="007F6F5D" w:rsidP="00FA1139">
            <w:pPr>
              <w:rPr>
                <w:rFonts w:ascii="Garamond" w:hAnsi="Garamond"/>
                <w:lang w:val="en-AU"/>
              </w:rPr>
            </w:pPr>
            <w:r w:rsidRPr="00C3014C">
              <w:rPr>
                <w:rFonts w:ascii="Garamond" w:hAnsi="Garamond"/>
                <w:lang w:val="en-AU"/>
              </w:rPr>
              <w:t xml:space="preserve">Martin et al </w:t>
            </w:r>
            <w:hyperlink r:id="rId20" w:history="1">
              <w:r w:rsidRPr="00C3014C">
                <w:rPr>
                  <w:rStyle w:val="Hyperlink"/>
                  <w:rFonts w:ascii="Garamond" w:hAnsi="Garamond"/>
                  <w:lang w:val="en-AU"/>
                </w:rPr>
                <w:t>https://doi.org/10.1177</w:t>
              </w:r>
              <w:r w:rsidRPr="00C3014C">
                <w:rPr>
                  <w:rStyle w:val="Hyperlink"/>
                  <w:lang w:val="en-AU"/>
                </w:rPr>
                <w:t>/</w:t>
              </w:r>
              <w:r w:rsidRPr="00C3014C">
                <w:rPr>
                  <w:rStyle w:val="Hyperlink"/>
                  <w:rFonts w:ascii="Garamond" w:hAnsi="Garamond"/>
                  <w:lang w:val="en-AU"/>
                </w:rPr>
                <w:t>1355819617728530</w:t>
              </w:r>
            </w:hyperlink>
          </w:p>
          <w:p w:rsidR="00140775" w:rsidRPr="00C3014C" w:rsidRDefault="007F6F5D" w:rsidP="00FA1139">
            <w:pPr>
              <w:rPr>
                <w:rStyle w:val="Hyperlink"/>
                <w:rFonts w:ascii="Garamond" w:hAnsi="Garamond"/>
                <w:lang w:val="en-AU"/>
              </w:rPr>
            </w:pPr>
            <w:r w:rsidRPr="00C3014C">
              <w:rPr>
                <w:rFonts w:ascii="Garamond" w:hAnsi="Garamond"/>
                <w:lang w:val="en-AU"/>
              </w:rPr>
              <w:t xml:space="preserve">Bouwman et al </w:t>
            </w:r>
            <w:hyperlink r:id="rId21" w:history="1">
              <w:r w:rsidR="00FA1139" w:rsidRPr="00C3014C">
                <w:rPr>
                  <w:rStyle w:val="Hyperlink"/>
                  <w:rFonts w:ascii="Garamond" w:hAnsi="Garamond"/>
                  <w:lang w:val="en-AU"/>
                </w:rPr>
                <w:t>http://dx.doi.org/10.1097/PTS.0000000000000413</w:t>
              </w:r>
            </w:hyperlink>
          </w:p>
          <w:p w:rsidR="007F6F5D" w:rsidRPr="00C3014C" w:rsidRDefault="007F6F5D" w:rsidP="00FA1139">
            <w:pPr>
              <w:rPr>
                <w:rStyle w:val="Hyperlink"/>
                <w:rFonts w:ascii="Garamond" w:hAnsi="Garamond"/>
                <w:color w:val="auto"/>
                <w:u w:val="none"/>
                <w:lang w:val="en-AU"/>
              </w:rPr>
            </w:pPr>
            <w:r w:rsidRPr="00C3014C">
              <w:rPr>
                <w:rFonts w:ascii="Garamond" w:hAnsi="Garamond"/>
                <w:lang w:val="en-AU"/>
              </w:rPr>
              <w:t xml:space="preserve">Berry et al </w:t>
            </w:r>
            <w:hyperlink r:id="rId22" w:history="1">
              <w:r w:rsidRPr="00C3014C">
                <w:rPr>
                  <w:rStyle w:val="Hyperlink"/>
                  <w:rFonts w:ascii="Garamond" w:hAnsi="Garamond"/>
                  <w:lang w:val="en-AU"/>
                </w:rPr>
                <w:t>http://dx.doi.org/10.1016/j.mayocp.2017.05.015</w:t>
              </w:r>
            </w:hyperlink>
          </w:p>
        </w:tc>
      </w:tr>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Default="007F6F5D" w:rsidP="00E1719F">
            <w:pPr>
              <w:rPr>
                <w:rFonts w:ascii="Garamond" w:hAnsi="Garamond"/>
                <w:lang w:val="en-AU"/>
              </w:rPr>
            </w:pPr>
            <w:r w:rsidRPr="00C3014C">
              <w:rPr>
                <w:rFonts w:ascii="Garamond" w:hAnsi="Garamond"/>
                <w:lang w:val="en-AU"/>
              </w:rPr>
              <w:t>That patients should be engaged in (their) health care is now regarded as standard and appropriate. These papers all, in their own way, look at issues that problemati</w:t>
            </w:r>
            <w:r w:rsidR="00C3014C">
              <w:rPr>
                <w:rFonts w:ascii="Garamond" w:hAnsi="Garamond"/>
                <w:lang w:val="en-AU"/>
              </w:rPr>
              <w:t>z</w:t>
            </w:r>
            <w:r w:rsidRPr="00C3014C">
              <w:rPr>
                <w:rFonts w:ascii="Garamond" w:hAnsi="Garamond"/>
                <w:lang w:val="en-AU"/>
              </w:rPr>
              <w:t>e the engagement of patients with either involvement in their (or their family member’s) care, the transformation of care at the system or service level and what they perceive as important to the quality of care as compared with the views of regulators.</w:t>
            </w:r>
          </w:p>
          <w:p w:rsidR="00DA15A7" w:rsidRDefault="00A4451B" w:rsidP="00DA15A7">
            <w:pPr>
              <w:rPr>
                <w:rFonts w:ascii="Garamond" w:hAnsi="Garamond"/>
                <w:lang w:val="en-AU"/>
              </w:rPr>
            </w:pPr>
            <w:r w:rsidRPr="00C3014C">
              <w:rPr>
                <w:rFonts w:ascii="Garamond" w:hAnsi="Garamond"/>
                <w:lang w:val="en-AU"/>
              </w:rPr>
              <w:lastRenderedPageBreak/>
              <w:t xml:space="preserve">Martin et al </w:t>
            </w:r>
            <w:r w:rsidR="00DA15A7">
              <w:rPr>
                <w:rFonts w:ascii="Garamond" w:hAnsi="Garamond"/>
                <w:lang w:val="en-AU"/>
              </w:rPr>
              <w:t xml:space="preserve">examined the extent and nature, including design and function, of </w:t>
            </w:r>
            <w:r w:rsidR="00DA15A7" w:rsidRPr="00DA15A7">
              <w:rPr>
                <w:rFonts w:ascii="Garamond" w:hAnsi="Garamond"/>
                <w:lang w:val="en-AU"/>
              </w:rPr>
              <w:t xml:space="preserve">public involvement in </w:t>
            </w:r>
            <w:r w:rsidR="00DA15A7">
              <w:rPr>
                <w:rFonts w:ascii="Garamond" w:hAnsi="Garamond"/>
                <w:lang w:val="en-AU"/>
              </w:rPr>
              <w:t xml:space="preserve">two </w:t>
            </w:r>
            <w:r w:rsidR="00DA15A7" w:rsidRPr="00DA15A7">
              <w:rPr>
                <w:rFonts w:ascii="Garamond" w:hAnsi="Garamond"/>
                <w:lang w:val="en-AU"/>
              </w:rPr>
              <w:t xml:space="preserve">reconfiguration </w:t>
            </w:r>
            <w:r w:rsidR="00DA15A7">
              <w:rPr>
                <w:rFonts w:ascii="Garamond" w:hAnsi="Garamond"/>
                <w:lang w:val="en-AU"/>
              </w:rPr>
              <w:t>projects</w:t>
            </w:r>
            <w:r w:rsidR="00DA15A7" w:rsidRPr="00DA15A7">
              <w:rPr>
                <w:rFonts w:ascii="Garamond" w:hAnsi="Garamond"/>
                <w:lang w:val="en-AU"/>
              </w:rPr>
              <w:t xml:space="preserve"> within the English NHS.</w:t>
            </w:r>
            <w:r w:rsidR="00DA15A7">
              <w:rPr>
                <w:rFonts w:ascii="Garamond" w:hAnsi="Garamond"/>
                <w:lang w:val="en-AU"/>
              </w:rPr>
              <w:t xml:space="preserve"> As they note, “</w:t>
            </w:r>
            <w:r w:rsidR="00DA15A7" w:rsidRPr="00DA15A7">
              <w:rPr>
                <w:rFonts w:ascii="Garamond" w:hAnsi="Garamond"/>
                <w:lang w:val="en-AU"/>
              </w:rPr>
              <w:t>public involvement is fraught with challenges, and little research has focused on involvement in the health service transformation initiatives</w:t>
            </w:r>
            <w:r w:rsidR="00DA15A7">
              <w:rPr>
                <w:rFonts w:ascii="Garamond" w:hAnsi="Garamond"/>
                <w:lang w:val="en-AU"/>
              </w:rPr>
              <w:t>”. Using q</w:t>
            </w:r>
            <w:r w:rsidR="00DA15A7" w:rsidRPr="00DA15A7">
              <w:rPr>
                <w:rFonts w:ascii="Garamond" w:hAnsi="Garamond"/>
                <w:lang w:val="en-AU"/>
              </w:rPr>
              <w:t>ualitative data</w:t>
            </w:r>
            <w:r w:rsidR="00DA15A7">
              <w:rPr>
                <w:rFonts w:ascii="Garamond" w:hAnsi="Garamond"/>
                <w:lang w:val="en-AU"/>
              </w:rPr>
              <w:t>,</w:t>
            </w:r>
            <w:r w:rsidR="00DA15A7" w:rsidRPr="00DA15A7">
              <w:rPr>
                <w:rFonts w:ascii="Garamond" w:hAnsi="Garamond"/>
                <w:lang w:val="en-AU"/>
              </w:rPr>
              <w:t xml:space="preserve"> including interviews, observation and documents</w:t>
            </w:r>
            <w:r w:rsidR="00DA15A7">
              <w:rPr>
                <w:rFonts w:ascii="Garamond" w:hAnsi="Garamond"/>
                <w:lang w:val="en-AU"/>
              </w:rPr>
              <w:t>, the authors found that “</w:t>
            </w:r>
            <w:r w:rsidR="00DA15A7" w:rsidRPr="00DA15A7">
              <w:rPr>
                <w:rFonts w:ascii="Garamond" w:hAnsi="Garamond"/>
                <w:lang w:val="en-AU"/>
              </w:rPr>
              <w:t xml:space="preserve">Public involvement </w:t>
            </w:r>
            <w:r w:rsidR="00DA15A7">
              <w:rPr>
                <w:rFonts w:ascii="Garamond" w:hAnsi="Garamond"/>
                <w:lang w:val="en-AU"/>
              </w:rPr>
              <w:t>…</w:t>
            </w:r>
            <w:r w:rsidR="00DA15A7" w:rsidRPr="00DA15A7">
              <w:rPr>
                <w:rFonts w:ascii="Garamond" w:hAnsi="Garamond"/>
                <w:lang w:val="en-AU"/>
              </w:rPr>
              <w:t xml:space="preserve">was extensive but its terms of reference, and the individuals involved, were </w:t>
            </w:r>
            <w:r w:rsidR="00DA15A7" w:rsidRPr="00DA15A7">
              <w:rPr>
                <w:rFonts w:ascii="Garamond" w:hAnsi="Garamond"/>
                <w:b/>
                <w:lang w:val="en-AU"/>
              </w:rPr>
              <w:t>restricted by policy pressures and programme objectives</w:t>
            </w:r>
            <w:r w:rsidR="00DA15A7" w:rsidRPr="00DA15A7">
              <w:rPr>
                <w:rFonts w:ascii="Garamond" w:hAnsi="Garamond"/>
                <w:lang w:val="en-AU"/>
              </w:rPr>
              <w:t xml:space="preserve">. The degree to which participants descriptively or substantively represented the wider public was limited; participants sought to ‘speak for’ this public but their views on </w:t>
            </w:r>
            <w:r w:rsidR="00DA15A7" w:rsidRPr="00DA15A7">
              <w:rPr>
                <w:rFonts w:ascii="Garamond" w:hAnsi="Garamond"/>
                <w:b/>
                <w:lang w:val="en-AU"/>
              </w:rPr>
              <w:t>what was ‘acceptable’</w:t>
            </w:r>
            <w:r w:rsidR="00DA15A7" w:rsidRPr="00DA15A7">
              <w:rPr>
                <w:rFonts w:ascii="Garamond" w:hAnsi="Garamond"/>
                <w:lang w:val="en-AU"/>
              </w:rPr>
              <w:t xml:space="preserve"> and likely to influence decision-making led them to </w:t>
            </w:r>
            <w:r w:rsidR="00DA15A7" w:rsidRPr="00DA15A7">
              <w:rPr>
                <w:rFonts w:ascii="Garamond" w:hAnsi="Garamond"/>
                <w:b/>
                <w:lang w:val="en-AU"/>
              </w:rPr>
              <w:t>constrain their contributions</w:t>
            </w:r>
            <w:r w:rsidR="00DA15A7" w:rsidRPr="00DA15A7">
              <w:rPr>
                <w:rFonts w:ascii="Garamond" w:hAnsi="Garamond"/>
                <w:lang w:val="en-AU"/>
              </w:rPr>
              <w:t>.</w:t>
            </w:r>
            <w:r w:rsidR="00DA15A7">
              <w:rPr>
                <w:rFonts w:ascii="Garamond" w:hAnsi="Garamond"/>
                <w:lang w:val="en-AU"/>
              </w:rPr>
              <w:t>”</w:t>
            </w:r>
          </w:p>
          <w:p w:rsidR="00A4451B" w:rsidRDefault="00A4451B" w:rsidP="00A4451B">
            <w:pPr>
              <w:rPr>
                <w:rFonts w:ascii="Garamond" w:hAnsi="Garamond"/>
                <w:lang w:val="en-AU"/>
              </w:rPr>
            </w:pPr>
            <w:r w:rsidRPr="00C3014C">
              <w:rPr>
                <w:rFonts w:ascii="Garamond" w:hAnsi="Garamond"/>
                <w:lang w:val="en-AU"/>
              </w:rPr>
              <w:t xml:space="preserve">Bouwman et al </w:t>
            </w:r>
            <w:r w:rsidR="006150B3">
              <w:rPr>
                <w:rFonts w:ascii="Garamond" w:hAnsi="Garamond"/>
                <w:lang w:val="en-AU"/>
              </w:rPr>
              <w:t xml:space="preserve">report on a survey that contacted </w:t>
            </w:r>
            <w:r w:rsidR="006150B3" w:rsidRPr="006150B3">
              <w:rPr>
                <w:rFonts w:ascii="Garamond" w:hAnsi="Garamond"/>
                <w:lang w:val="en-AU"/>
              </w:rPr>
              <w:t>996 people who had registered a complaint with the Dutch Healthcare Inspectorate</w:t>
            </w:r>
            <w:r w:rsidR="006150B3">
              <w:rPr>
                <w:rFonts w:ascii="Garamond" w:hAnsi="Garamond"/>
                <w:lang w:val="en-AU"/>
              </w:rPr>
              <w:t xml:space="preserve">. The survey sought </w:t>
            </w:r>
            <w:r w:rsidR="006150B3" w:rsidRPr="006150B3">
              <w:rPr>
                <w:rFonts w:ascii="Garamond" w:hAnsi="Garamond"/>
                <w:lang w:val="en-AU"/>
              </w:rPr>
              <w:t xml:space="preserve">to measure </w:t>
            </w:r>
            <w:r w:rsidR="006150B3">
              <w:rPr>
                <w:rFonts w:ascii="Garamond" w:hAnsi="Garamond"/>
                <w:lang w:val="en-AU"/>
              </w:rPr>
              <w:t xml:space="preserve">their </w:t>
            </w:r>
            <w:r w:rsidR="006150B3" w:rsidRPr="006150B3">
              <w:rPr>
                <w:rFonts w:ascii="Garamond" w:hAnsi="Garamond"/>
                <w:lang w:val="en-AU"/>
              </w:rPr>
              <w:t xml:space="preserve">expectations of and experiences with the Inspectorate. </w:t>
            </w:r>
            <w:r w:rsidR="006150B3">
              <w:rPr>
                <w:rFonts w:ascii="Garamond" w:hAnsi="Garamond"/>
                <w:lang w:val="en-AU"/>
              </w:rPr>
              <w:t xml:space="preserve">54% responded and from their responses the authors found that </w:t>
            </w:r>
            <w:r w:rsidR="005E3AE8">
              <w:rPr>
                <w:rFonts w:ascii="Garamond" w:hAnsi="Garamond"/>
                <w:lang w:val="en-AU"/>
              </w:rPr>
              <w:t xml:space="preserve">complaints </w:t>
            </w:r>
            <w:r w:rsidR="005E3AE8" w:rsidRPr="005E3AE8">
              <w:rPr>
                <w:rFonts w:ascii="Garamond" w:hAnsi="Garamond"/>
                <w:lang w:val="en-AU"/>
              </w:rPr>
              <w:t xml:space="preserve">about clinical issues (56%) were </w:t>
            </w:r>
            <w:r w:rsidR="005E3AE8">
              <w:rPr>
                <w:rFonts w:ascii="Garamond" w:hAnsi="Garamond"/>
                <w:lang w:val="en-AU"/>
              </w:rPr>
              <w:t xml:space="preserve">more likely to be </w:t>
            </w:r>
            <w:r w:rsidR="005E3AE8" w:rsidRPr="005E3AE8">
              <w:rPr>
                <w:rFonts w:ascii="Garamond" w:hAnsi="Garamond"/>
                <w:lang w:val="en-AU"/>
              </w:rPr>
              <w:t>investigated by the regulator than complaints about organizational (37%) and relational issues (51%).</w:t>
            </w:r>
            <w:r w:rsidR="005E3AE8">
              <w:rPr>
                <w:rFonts w:ascii="Garamond" w:hAnsi="Garamond"/>
                <w:lang w:val="en-AU"/>
              </w:rPr>
              <w:t xml:space="preserve">  These, and other survey responses, led the authors to conclude “</w:t>
            </w:r>
            <w:r w:rsidR="005E3AE8" w:rsidRPr="005E3AE8">
              <w:rPr>
                <w:rFonts w:ascii="Garamond" w:hAnsi="Garamond"/>
                <w:lang w:val="en-AU"/>
              </w:rPr>
              <w:t xml:space="preserve">The predominant clinical </w:t>
            </w:r>
            <w:r w:rsidR="005E3AE8" w:rsidRPr="005E3AE8">
              <w:rPr>
                <w:rFonts w:ascii="Garamond" w:hAnsi="Garamond"/>
                <w:b/>
                <w:lang w:val="en-AU"/>
              </w:rPr>
              <w:t>approach taken by regulators does not match the patients' perspective of what is relevant for healthcare quality</w:t>
            </w:r>
            <w:r w:rsidR="005E3AE8" w:rsidRPr="005E3AE8">
              <w:rPr>
                <w:rFonts w:ascii="Garamond" w:hAnsi="Garamond"/>
                <w:lang w:val="en-AU"/>
              </w:rPr>
              <w:t>. In addition, patients seem to be more tolerant of what they perceive to be clinical or management errors than of perceived relational deficiencies in care providers. If regulators want to give patients a voice, they should expand their horizon beyond the medical framework.</w:t>
            </w:r>
            <w:r w:rsidR="005E3AE8">
              <w:rPr>
                <w:rFonts w:ascii="Garamond" w:hAnsi="Garamond"/>
                <w:lang w:val="en-AU"/>
              </w:rPr>
              <w:t>”</w:t>
            </w:r>
          </w:p>
          <w:p w:rsidR="007F6F5D" w:rsidRPr="00C3014C" w:rsidRDefault="00A4451B" w:rsidP="00C93829">
            <w:pPr>
              <w:rPr>
                <w:rFonts w:ascii="Garamond" w:hAnsi="Garamond"/>
                <w:lang w:val="en-AU"/>
              </w:rPr>
            </w:pPr>
            <w:r w:rsidRPr="00C3014C">
              <w:rPr>
                <w:rFonts w:ascii="Garamond" w:hAnsi="Garamond"/>
                <w:lang w:val="en-AU"/>
              </w:rPr>
              <w:t>Berry et al</w:t>
            </w:r>
            <w:r w:rsidR="00DA15A7">
              <w:rPr>
                <w:rFonts w:ascii="Garamond" w:hAnsi="Garamond"/>
                <w:lang w:val="en-AU"/>
              </w:rPr>
              <w:t xml:space="preserve"> focused more at the clinical interaction for the individual patient and their family, where there is an often a marked asymmetry in information, agency and power</w:t>
            </w:r>
            <w:r w:rsidR="00C93829">
              <w:rPr>
                <w:rFonts w:ascii="Garamond" w:hAnsi="Garamond"/>
                <w:lang w:val="en-AU"/>
              </w:rPr>
              <w:t>.</w:t>
            </w:r>
            <w:r w:rsidR="00DA15A7">
              <w:rPr>
                <w:rFonts w:ascii="Garamond" w:hAnsi="Garamond"/>
                <w:lang w:val="en-AU"/>
              </w:rPr>
              <w:t xml:space="preserve"> </w:t>
            </w:r>
            <w:r w:rsidR="00C93829">
              <w:rPr>
                <w:rFonts w:ascii="Garamond" w:hAnsi="Garamond"/>
                <w:lang w:val="en-AU"/>
              </w:rPr>
              <w:t>T</w:t>
            </w:r>
            <w:r w:rsidR="00DA15A7">
              <w:rPr>
                <w:rFonts w:ascii="Garamond" w:hAnsi="Garamond"/>
                <w:lang w:val="en-AU"/>
              </w:rPr>
              <w:t>he authors suggest that this can lead to patients being “</w:t>
            </w:r>
            <w:r w:rsidR="00DA15A7" w:rsidRPr="00DA15A7">
              <w:rPr>
                <w:rFonts w:ascii="Garamond" w:hAnsi="Garamond"/>
                <w:lang w:val="en-AU"/>
              </w:rPr>
              <w:t>susceptible to “</w:t>
            </w:r>
            <w:r w:rsidR="00DA15A7" w:rsidRPr="00DA15A7">
              <w:rPr>
                <w:rFonts w:ascii="Garamond" w:hAnsi="Garamond"/>
                <w:b/>
                <w:lang w:val="en-AU"/>
              </w:rPr>
              <w:t>hostage bargaining syndrome</w:t>
            </w:r>
            <w:r w:rsidR="00DA15A7" w:rsidRPr="00DA15A7">
              <w:rPr>
                <w:rFonts w:ascii="Garamond" w:hAnsi="Garamond"/>
                <w:lang w:val="en-AU"/>
              </w:rPr>
              <w:t>” (HBS), whereby they behave as if negotiating for their health from a position of fear and confusion. It may manifest as understating a concern, asking for less than what is desired or needed, or even remaining silent against one's better judgment.</w:t>
            </w:r>
            <w:r w:rsidR="00DA15A7">
              <w:rPr>
                <w:rFonts w:ascii="Garamond" w:hAnsi="Garamond"/>
                <w:lang w:val="en-AU"/>
              </w:rPr>
              <w:t>” They suggest that to avert this, “</w:t>
            </w:r>
            <w:r w:rsidR="00DA15A7" w:rsidRPr="00DA15A7">
              <w:rPr>
                <w:rFonts w:ascii="Garamond" w:hAnsi="Garamond"/>
                <w:b/>
                <w:lang w:val="en-AU"/>
              </w:rPr>
              <w:t>clinicians</w:t>
            </w:r>
            <w:r w:rsidR="00DA15A7" w:rsidRPr="00DA15A7">
              <w:rPr>
                <w:rFonts w:ascii="Garamond" w:hAnsi="Garamond"/>
                <w:lang w:val="en-AU"/>
              </w:rPr>
              <w:t xml:space="preserve"> must aim to be sensitive to the power imbalance inherent in the </w:t>
            </w:r>
            <w:r w:rsidR="00DA15A7" w:rsidRPr="00DA15A7">
              <w:rPr>
                <w:rFonts w:ascii="Garamond" w:hAnsi="Garamond"/>
                <w:b/>
                <w:lang w:val="en-AU"/>
              </w:rPr>
              <w:t>clinician-patient relationship</w:t>
            </w:r>
            <w:r w:rsidR="00DA15A7" w:rsidRPr="00DA15A7">
              <w:rPr>
                <w:rFonts w:ascii="Garamond" w:hAnsi="Garamond"/>
                <w:lang w:val="en-AU"/>
              </w:rPr>
              <w:t xml:space="preserve">. They should then actively and mindfully pursue </w:t>
            </w:r>
            <w:r w:rsidR="00DA15A7" w:rsidRPr="00DA15A7">
              <w:rPr>
                <w:rFonts w:ascii="Garamond" w:hAnsi="Garamond"/>
                <w:b/>
                <w:lang w:val="en-AU"/>
              </w:rPr>
              <w:t>shared decision making</w:t>
            </w:r>
            <w:r w:rsidR="00DA15A7" w:rsidRPr="00DA15A7">
              <w:rPr>
                <w:rFonts w:ascii="Garamond" w:hAnsi="Garamond"/>
                <w:lang w:val="en-AU"/>
              </w:rPr>
              <w:t xml:space="preserve"> by helping patients trust that it is safe to </w:t>
            </w:r>
            <w:r w:rsidR="00DA15A7" w:rsidRPr="00DA15A7">
              <w:rPr>
                <w:rFonts w:ascii="Garamond" w:hAnsi="Garamond"/>
                <w:b/>
                <w:lang w:val="en-AU"/>
              </w:rPr>
              <w:t>communicate</w:t>
            </w:r>
            <w:r w:rsidR="00DA15A7" w:rsidRPr="00DA15A7">
              <w:rPr>
                <w:rFonts w:ascii="Garamond" w:hAnsi="Garamond"/>
                <w:lang w:val="en-AU"/>
              </w:rPr>
              <w:t xml:space="preserve"> their concerns and priorities, ask questions about the available </w:t>
            </w:r>
            <w:r w:rsidR="00DA15A7" w:rsidRPr="00DA15A7">
              <w:rPr>
                <w:rFonts w:ascii="Garamond" w:hAnsi="Garamond"/>
                <w:b/>
                <w:lang w:val="en-AU"/>
              </w:rPr>
              <w:t>clinical options</w:t>
            </w:r>
            <w:r w:rsidR="00DA15A7" w:rsidRPr="00DA15A7">
              <w:rPr>
                <w:rFonts w:ascii="Garamond" w:hAnsi="Garamond"/>
                <w:lang w:val="en-AU"/>
              </w:rPr>
              <w:t>, and contribute knowledge of self to clinical decisions about their care.</w:t>
            </w:r>
            <w:r w:rsidR="00DA15A7">
              <w:rPr>
                <w:rFonts w:ascii="Garamond" w:hAnsi="Garamond"/>
                <w:lang w:val="en-AU"/>
              </w:rPr>
              <w:t>”</w:t>
            </w:r>
          </w:p>
        </w:tc>
      </w:tr>
    </w:tbl>
    <w:p w:rsidR="00140775" w:rsidRPr="00C3014C" w:rsidRDefault="00140775" w:rsidP="00140775">
      <w:pPr>
        <w:keepLines/>
        <w:autoSpaceDE w:val="0"/>
        <w:autoSpaceDN w:val="0"/>
        <w:adjustRightInd w:val="0"/>
        <w:rPr>
          <w:rFonts w:ascii="Garamond" w:hAnsi="Garamond"/>
          <w:lang w:val="en-AU"/>
        </w:rPr>
      </w:pPr>
    </w:p>
    <w:p w:rsidR="0098444C" w:rsidRDefault="0098444C" w:rsidP="0098444C">
      <w:pPr>
        <w:keepLines/>
        <w:autoSpaceDE w:val="0"/>
        <w:autoSpaceDN w:val="0"/>
        <w:adjustRightInd w:val="0"/>
        <w:rPr>
          <w:rStyle w:val="Hyperlink"/>
          <w:rFonts w:ascii="Garamond" w:hAnsi="Garamond"/>
          <w:lang w:val="en-AU"/>
        </w:rPr>
      </w:pPr>
      <w:r w:rsidRPr="00C3014C">
        <w:rPr>
          <w:rFonts w:ascii="Garamond" w:hAnsi="Garamond"/>
          <w:lang w:val="en-AU"/>
        </w:rPr>
        <w:t xml:space="preserve">For information on the Commission’s work on </w:t>
      </w:r>
      <w:r w:rsidR="00A02DA2" w:rsidRPr="00C3014C">
        <w:rPr>
          <w:rFonts w:ascii="Garamond" w:hAnsi="Garamond"/>
          <w:lang w:val="en-AU"/>
        </w:rPr>
        <w:t xml:space="preserve">patient and consumer centred care, see </w:t>
      </w:r>
      <w:hyperlink r:id="rId23" w:history="1">
        <w:r w:rsidR="00A02DA2" w:rsidRPr="00C3014C">
          <w:rPr>
            <w:rStyle w:val="Hyperlink"/>
            <w:rFonts w:ascii="Garamond" w:hAnsi="Garamond"/>
            <w:lang w:val="en-AU"/>
          </w:rPr>
          <w:t>https://www.safetyandquality.gov.au/our-work/patient-and-consumer-centred-care/</w:t>
        </w:r>
      </w:hyperlink>
    </w:p>
    <w:p w:rsidR="00DA15A7" w:rsidRDefault="00DA15A7" w:rsidP="0098444C">
      <w:pPr>
        <w:keepLines/>
        <w:autoSpaceDE w:val="0"/>
        <w:autoSpaceDN w:val="0"/>
        <w:adjustRightInd w:val="0"/>
        <w:rPr>
          <w:rFonts w:ascii="Garamond" w:hAnsi="Garamond"/>
          <w:lang w:val="en-AU"/>
        </w:rPr>
      </w:pPr>
    </w:p>
    <w:p w:rsidR="00DA15A7" w:rsidRDefault="00DA15A7" w:rsidP="0098444C">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shared decision making, see </w:t>
      </w:r>
      <w:hyperlink r:id="rId24" w:history="1">
        <w:r w:rsidRPr="0034426A">
          <w:rPr>
            <w:rStyle w:val="Hyperlink"/>
            <w:rFonts w:ascii="Garamond" w:hAnsi="Garamond"/>
            <w:lang w:val="en-AU"/>
          </w:rPr>
          <w:t>https://www.safetyandquality.gov.au/our-work/shared-decision-making/</w:t>
        </w:r>
      </w:hyperlink>
    </w:p>
    <w:p w:rsidR="0098444C" w:rsidRPr="00C3014C" w:rsidRDefault="0098444C" w:rsidP="00140775">
      <w:pPr>
        <w:keepLines/>
        <w:autoSpaceDE w:val="0"/>
        <w:autoSpaceDN w:val="0"/>
        <w:adjustRightInd w:val="0"/>
        <w:rPr>
          <w:rFonts w:ascii="Garamond" w:hAnsi="Garamond"/>
          <w:lang w:val="en-AU"/>
        </w:rPr>
      </w:pPr>
    </w:p>
    <w:p w:rsidR="00DA15A7" w:rsidRPr="00C3014C" w:rsidRDefault="00DA15A7" w:rsidP="00DA15A7">
      <w:pPr>
        <w:keepNext/>
        <w:rPr>
          <w:rFonts w:ascii="Garamond" w:hAnsi="Garamond"/>
          <w:i/>
          <w:lang w:val="en-AU"/>
        </w:rPr>
      </w:pPr>
      <w:r w:rsidRPr="00C3014C">
        <w:rPr>
          <w:rFonts w:ascii="Garamond" w:hAnsi="Garamond"/>
          <w:i/>
          <w:lang w:val="en-AU"/>
        </w:rPr>
        <w:t>Clinician-targeted interventions to influence antibiotic prescribing behaviour for acute respiratory infections in primary care: an overview of systematic reviews</w:t>
      </w:r>
    </w:p>
    <w:p w:rsidR="00DA15A7" w:rsidRPr="00C3014C" w:rsidRDefault="00DA15A7" w:rsidP="00DA15A7">
      <w:pPr>
        <w:keepNext/>
        <w:rPr>
          <w:rFonts w:ascii="Garamond" w:hAnsi="Garamond"/>
          <w:lang w:val="en-AU"/>
        </w:rPr>
      </w:pPr>
      <w:r w:rsidRPr="00C3014C">
        <w:rPr>
          <w:rFonts w:ascii="Garamond" w:hAnsi="Garamond"/>
          <w:lang w:val="en-AU"/>
        </w:rPr>
        <w:t xml:space="preserve">Tonkin-Crine SKG, Tan PS, van Hecke O, Wang K, Roberts NW, McCullough A, et al. </w:t>
      </w:r>
    </w:p>
    <w:p w:rsidR="00DA15A7" w:rsidRPr="00C3014C" w:rsidRDefault="00DA15A7" w:rsidP="00DA15A7">
      <w:pPr>
        <w:keepNext/>
        <w:rPr>
          <w:rFonts w:ascii="Garamond" w:hAnsi="Garamond"/>
          <w:lang w:val="en-AU"/>
        </w:rPr>
      </w:pPr>
      <w:r w:rsidRPr="00C3014C">
        <w:rPr>
          <w:rFonts w:ascii="Garamond" w:hAnsi="Garamond"/>
          <w:lang w:val="en-AU"/>
        </w:rPr>
        <w:t>Cochrane Database of Systematic Reviews. 2017 (9).</w:t>
      </w:r>
    </w:p>
    <w:tbl>
      <w:tblPr>
        <w:tblStyle w:val="TableGrid"/>
        <w:tblW w:w="0" w:type="auto"/>
        <w:tblInd w:w="288" w:type="dxa"/>
        <w:tblLayout w:type="fixed"/>
        <w:tblLook w:val="01E0" w:firstRow="1" w:lastRow="1" w:firstColumn="1" w:lastColumn="1" w:noHBand="0" w:noVBand="0"/>
      </w:tblPr>
      <w:tblGrid>
        <w:gridCol w:w="1080"/>
        <w:gridCol w:w="8280"/>
      </w:tblGrid>
      <w:tr w:rsidR="00DA15A7"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DA15A7" w:rsidRPr="00C3014C" w:rsidRDefault="00DA15A7" w:rsidP="007F583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15A7" w:rsidRPr="00C3014C" w:rsidRDefault="004F60FB" w:rsidP="007F5832">
            <w:pPr>
              <w:rPr>
                <w:rStyle w:val="Hyperlink"/>
                <w:rFonts w:ascii="Garamond" w:hAnsi="Garamond"/>
                <w:color w:val="auto"/>
                <w:u w:val="none"/>
                <w:lang w:val="en-AU"/>
              </w:rPr>
            </w:pPr>
            <w:hyperlink r:id="rId25" w:history="1">
              <w:r w:rsidR="00DA15A7" w:rsidRPr="00C3014C">
                <w:rPr>
                  <w:rStyle w:val="Hyperlink"/>
                  <w:rFonts w:ascii="Garamond" w:hAnsi="Garamond"/>
                  <w:lang w:val="en-AU"/>
                </w:rPr>
                <w:t>http://dx.doi.org/10.1002/14651858.CD012252.pub2</w:t>
              </w:r>
            </w:hyperlink>
          </w:p>
        </w:tc>
      </w:tr>
      <w:tr w:rsidR="00DA15A7"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DA15A7" w:rsidRPr="00C3014C" w:rsidRDefault="00DA15A7" w:rsidP="007F583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15A7" w:rsidRDefault="00DA15A7" w:rsidP="007F5832">
            <w:pPr>
              <w:rPr>
                <w:rFonts w:ascii="Garamond" w:hAnsi="Garamond"/>
                <w:lang w:val="en-AU"/>
              </w:rPr>
            </w:pPr>
            <w:r>
              <w:rPr>
                <w:rFonts w:ascii="Garamond" w:hAnsi="Garamond"/>
                <w:lang w:val="en-AU"/>
              </w:rPr>
              <w:t xml:space="preserve">This </w:t>
            </w:r>
            <w:r w:rsidRPr="00F2476E">
              <w:rPr>
                <w:rFonts w:ascii="Garamond" w:hAnsi="Garamond"/>
                <w:lang w:val="en-AU"/>
              </w:rPr>
              <w:t xml:space="preserve">Cochrane Review </w:t>
            </w:r>
            <w:r>
              <w:rPr>
                <w:rFonts w:ascii="Garamond" w:hAnsi="Garamond"/>
                <w:lang w:val="en-AU"/>
              </w:rPr>
              <w:t>sought to “</w:t>
            </w:r>
            <w:r w:rsidRPr="00281AA6">
              <w:rPr>
                <w:rFonts w:ascii="Garamond" w:hAnsi="Garamond"/>
                <w:lang w:val="en-AU"/>
              </w:rPr>
              <w:t xml:space="preserve">systematically review the existing evidence from systematic reviews on the effects of interventions aimed at influencing clinician antibiotic prescribing behaviour for ARIs </w:t>
            </w:r>
            <w:r>
              <w:rPr>
                <w:rFonts w:ascii="Garamond" w:hAnsi="Garamond"/>
                <w:lang w:val="en-AU"/>
              </w:rPr>
              <w:t>[</w:t>
            </w:r>
            <w:r w:rsidRPr="00281AA6">
              <w:rPr>
                <w:rFonts w:ascii="Garamond" w:hAnsi="Garamond"/>
                <w:lang w:val="en-AU"/>
              </w:rPr>
              <w:t>acute respiratory infections</w:t>
            </w:r>
            <w:r>
              <w:rPr>
                <w:rFonts w:ascii="Garamond" w:hAnsi="Garamond"/>
                <w:lang w:val="en-AU"/>
              </w:rPr>
              <w:t xml:space="preserve">] </w:t>
            </w:r>
            <w:r w:rsidRPr="00281AA6">
              <w:rPr>
                <w:rFonts w:ascii="Garamond" w:hAnsi="Garamond"/>
                <w:lang w:val="en-AU"/>
              </w:rPr>
              <w:t>in primary care</w:t>
            </w:r>
            <w:r>
              <w:rPr>
                <w:rFonts w:ascii="Garamond" w:hAnsi="Garamond"/>
                <w:lang w:val="en-AU"/>
              </w:rPr>
              <w:t>”</w:t>
            </w:r>
            <w:r w:rsidRPr="00281AA6">
              <w:rPr>
                <w:rFonts w:ascii="Garamond" w:hAnsi="Garamond"/>
                <w:lang w:val="en-AU"/>
              </w:rPr>
              <w:t>.</w:t>
            </w:r>
            <w:r>
              <w:rPr>
                <w:rFonts w:ascii="Garamond" w:hAnsi="Garamond"/>
                <w:lang w:val="en-AU"/>
              </w:rPr>
              <w:t xml:space="preserve"> The review </w:t>
            </w:r>
            <w:r w:rsidRPr="00F2476E">
              <w:rPr>
                <w:rFonts w:ascii="Garamond" w:hAnsi="Garamond"/>
                <w:lang w:val="en-AU"/>
              </w:rPr>
              <w:t xml:space="preserve">identified </w:t>
            </w:r>
            <w:r>
              <w:rPr>
                <w:rFonts w:ascii="Garamond" w:hAnsi="Garamond"/>
                <w:lang w:val="en-AU"/>
              </w:rPr>
              <w:t xml:space="preserve">moderate quality evidence for </w:t>
            </w:r>
            <w:r w:rsidRPr="00F2476E">
              <w:rPr>
                <w:rFonts w:ascii="Garamond" w:hAnsi="Garamond"/>
                <w:lang w:val="en-AU"/>
              </w:rPr>
              <w:t xml:space="preserve">three clinician-focused strategies that may reduce prescribing </w:t>
            </w:r>
          </w:p>
          <w:p w:rsidR="00DA15A7" w:rsidRDefault="00DA15A7" w:rsidP="006F2725">
            <w:pPr>
              <w:pStyle w:val="ListParagraph"/>
              <w:numPr>
                <w:ilvl w:val="0"/>
                <w:numId w:val="16"/>
              </w:numPr>
              <w:rPr>
                <w:rFonts w:ascii="Garamond" w:hAnsi="Garamond"/>
                <w:lang w:val="en-AU"/>
              </w:rPr>
            </w:pPr>
            <w:r>
              <w:rPr>
                <w:rFonts w:ascii="Garamond" w:hAnsi="Garamond"/>
                <w:lang w:val="en-AU"/>
              </w:rPr>
              <w:lastRenderedPageBreak/>
              <w:t>encouraging</w:t>
            </w:r>
            <w:r w:rsidRPr="00281AA6">
              <w:rPr>
                <w:rFonts w:ascii="Garamond" w:hAnsi="Garamond"/>
                <w:lang w:val="en-AU"/>
              </w:rPr>
              <w:t xml:space="preserve"> the use of shared decision making between doctors and their patients</w:t>
            </w:r>
          </w:p>
          <w:p w:rsidR="00DA15A7" w:rsidRDefault="00DA15A7" w:rsidP="006F2725">
            <w:pPr>
              <w:pStyle w:val="ListParagraph"/>
              <w:numPr>
                <w:ilvl w:val="0"/>
                <w:numId w:val="16"/>
              </w:numPr>
              <w:rPr>
                <w:rFonts w:ascii="Garamond" w:hAnsi="Garamond"/>
                <w:lang w:val="en-AU"/>
              </w:rPr>
            </w:pPr>
            <w:r w:rsidRPr="00281AA6">
              <w:rPr>
                <w:rFonts w:ascii="Garamond" w:hAnsi="Garamond"/>
                <w:lang w:val="en-AU"/>
              </w:rPr>
              <w:t>C-reactive protein tests</w:t>
            </w:r>
            <w:r>
              <w:rPr>
                <w:rFonts w:ascii="Garamond" w:hAnsi="Garamond"/>
                <w:lang w:val="en-AU"/>
              </w:rPr>
              <w:t xml:space="preserve"> </w:t>
            </w:r>
            <w:r w:rsidRPr="00281AA6">
              <w:rPr>
                <w:rFonts w:ascii="Garamond" w:hAnsi="Garamond"/>
                <w:lang w:val="en-AU"/>
              </w:rPr>
              <w:t>(CRP) point-of-care testing</w:t>
            </w:r>
          </w:p>
          <w:p w:rsidR="00DA15A7" w:rsidRDefault="00DA15A7" w:rsidP="006F2725">
            <w:pPr>
              <w:pStyle w:val="ListParagraph"/>
              <w:numPr>
                <w:ilvl w:val="0"/>
                <w:numId w:val="16"/>
              </w:numPr>
              <w:rPr>
                <w:rFonts w:ascii="Garamond" w:hAnsi="Garamond"/>
                <w:lang w:val="en-AU"/>
              </w:rPr>
            </w:pPr>
            <w:r w:rsidRPr="00281AA6">
              <w:rPr>
                <w:rFonts w:ascii="Garamond" w:hAnsi="Garamond"/>
                <w:lang w:val="en-AU"/>
              </w:rPr>
              <w:t>procalcitonin-guided management (both tests that measure the amount of proteins in the blood, which may be raised in the case of infection</w:t>
            </w:r>
            <w:r w:rsidR="00AD3423">
              <w:rPr>
                <w:rFonts w:ascii="Garamond" w:hAnsi="Garamond"/>
                <w:lang w:val="en-AU"/>
              </w:rPr>
              <w:t>).</w:t>
            </w:r>
          </w:p>
          <w:p w:rsidR="00DA15A7" w:rsidRPr="00C3014C" w:rsidRDefault="00DA15A7" w:rsidP="007F5832">
            <w:pPr>
              <w:rPr>
                <w:rFonts w:ascii="Garamond" w:hAnsi="Garamond"/>
                <w:lang w:val="en-AU"/>
              </w:rPr>
            </w:pPr>
            <w:r>
              <w:rPr>
                <w:rFonts w:ascii="Garamond" w:hAnsi="Garamond"/>
                <w:lang w:val="en-AU"/>
              </w:rPr>
              <w:t xml:space="preserve">These strategies </w:t>
            </w:r>
            <w:r w:rsidRPr="00F2476E">
              <w:rPr>
                <w:rFonts w:ascii="Garamond" w:hAnsi="Garamond"/>
                <w:lang w:val="en-AU"/>
              </w:rPr>
              <w:t>probably reduce antibiotic prescribing for patients with ARIs, and therefore may reduce overall antibiotic consumption.</w:t>
            </w:r>
            <w:r>
              <w:rPr>
                <w:rFonts w:ascii="Garamond" w:hAnsi="Garamond"/>
                <w:lang w:val="en-AU"/>
              </w:rPr>
              <w:t xml:space="preserve"> However, </w:t>
            </w:r>
            <w:r w:rsidRPr="00F2476E">
              <w:rPr>
                <w:rFonts w:ascii="Garamond" w:hAnsi="Garamond"/>
                <w:lang w:val="en-AU"/>
              </w:rPr>
              <w:t>the overall effect of</w:t>
            </w:r>
            <w:r>
              <w:rPr>
                <w:rFonts w:ascii="Garamond" w:hAnsi="Garamond"/>
                <w:lang w:val="en-AU"/>
              </w:rPr>
              <w:t xml:space="preserve"> these interventions was small,</w:t>
            </w:r>
            <w:r w:rsidRPr="00F2476E">
              <w:rPr>
                <w:rFonts w:ascii="Garamond" w:hAnsi="Garamond"/>
                <w:lang w:val="en-AU"/>
              </w:rPr>
              <w:t xml:space="preserve"> but the impact is likely to be clinically important. They </w:t>
            </w:r>
            <w:r>
              <w:rPr>
                <w:rFonts w:ascii="Garamond" w:hAnsi="Garamond"/>
                <w:lang w:val="en-AU"/>
              </w:rPr>
              <w:t xml:space="preserve">also </w:t>
            </w:r>
            <w:r w:rsidRPr="00F2476E">
              <w:rPr>
                <w:rFonts w:ascii="Garamond" w:hAnsi="Garamond"/>
                <w:lang w:val="en-AU"/>
              </w:rPr>
              <w:t>note</w:t>
            </w:r>
            <w:r>
              <w:rPr>
                <w:rFonts w:ascii="Garamond" w:hAnsi="Garamond"/>
                <w:lang w:val="en-AU"/>
              </w:rPr>
              <w:t>d</w:t>
            </w:r>
            <w:r w:rsidRPr="00F2476E">
              <w:rPr>
                <w:rFonts w:ascii="Garamond" w:hAnsi="Garamond"/>
                <w:lang w:val="en-AU"/>
              </w:rPr>
              <w:t xml:space="preserve"> none of the reviewed studies compared these interventions against one another</w:t>
            </w:r>
            <w:r>
              <w:rPr>
                <w:rFonts w:ascii="Garamond" w:hAnsi="Garamond"/>
                <w:lang w:val="en-AU"/>
              </w:rPr>
              <w:t xml:space="preserve"> and consequently </w:t>
            </w:r>
            <w:r w:rsidRPr="00F2476E">
              <w:rPr>
                <w:rFonts w:ascii="Garamond" w:hAnsi="Garamond"/>
                <w:lang w:val="en-AU"/>
              </w:rPr>
              <w:t>cannot say which are most effective.</w:t>
            </w:r>
          </w:p>
        </w:tc>
      </w:tr>
    </w:tbl>
    <w:p w:rsidR="00DA15A7" w:rsidRPr="00C3014C" w:rsidRDefault="00DA15A7" w:rsidP="00DA15A7">
      <w:pPr>
        <w:keepLines/>
        <w:autoSpaceDE w:val="0"/>
        <w:autoSpaceDN w:val="0"/>
        <w:adjustRightInd w:val="0"/>
        <w:rPr>
          <w:rFonts w:ascii="Garamond" w:hAnsi="Garamond"/>
          <w:lang w:val="en-AU"/>
        </w:rPr>
      </w:pPr>
    </w:p>
    <w:p w:rsidR="0098444C" w:rsidRPr="00C3014C" w:rsidRDefault="0098444C" w:rsidP="0098444C">
      <w:pPr>
        <w:keepNext/>
        <w:rPr>
          <w:rFonts w:ascii="Garamond" w:hAnsi="Garamond"/>
          <w:i/>
          <w:lang w:val="en-AU"/>
        </w:rPr>
      </w:pPr>
      <w:r w:rsidRPr="00C3014C">
        <w:rPr>
          <w:rFonts w:ascii="Garamond" w:hAnsi="Garamond"/>
          <w:i/>
          <w:lang w:val="en-AU"/>
        </w:rPr>
        <w:t>Impact of clinical registries on quality of patient care and clinical outcomes: A systematic review</w:t>
      </w:r>
    </w:p>
    <w:p w:rsidR="0098444C" w:rsidRPr="00C3014C" w:rsidRDefault="0098444C" w:rsidP="00140775">
      <w:pPr>
        <w:keepNext/>
        <w:rPr>
          <w:rFonts w:ascii="Garamond" w:hAnsi="Garamond"/>
          <w:lang w:val="en-AU"/>
        </w:rPr>
      </w:pPr>
      <w:r w:rsidRPr="00C3014C">
        <w:rPr>
          <w:rFonts w:ascii="Garamond" w:hAnsi="Garamond"/>
          <w:lang w:val="en-AU"/>
        </w:rPr>
        <w:t>Hoque DME, Kumari V, Hoque M, Ruseckaite R, Romero L, Evans SM</w:t>
      </w:r>
    </w:p>
    <w:p w:rsidR="00140775" w:rsidRPr="00C3014C" w:rsidRDefault="0098444C" w:rsidP="00140775">
      <w:pPr>
        <w:keepNext/>
        <w:rPr>
          <w:rFonts w:ascii="Garamond" w:hAnsi="Garamond"/>
          <w:lang w:val="en-AU"/>
        </w:rPr>
      </w:pPr>
      <w:r w:rsidRPr="00C3014C">
        <w:rPr>
          <w:rFonts w:ascii="Garamond" w:hAnsi="Garamond"/>
          <w:lang w:val="en-AU"/>
        </w:rPr>
        <w:t>PLoS ONE. 2017;12(9):e0183667.</w:t>
      </w:r>
    </w:p>
    <w:tbl>
      <w:tblPr>
        <w:tblStyle w:val="TableGrid"/>
        <w:tblW w:w="0" w:type="auto"/>
        <w:tblInd w:w="288" w:type="dxa"/>
        <w:tblLayout w:type="fixed"/>
        <w:tblLook w:val="01E0" w:firstRow="1" w:lastRow="1" w:firstColumn="1" w:lastColumn="1" w:noHBand="0" w:noVBand="0"/>
      </w:tblPr>
      <w:tblGrid>
        <w:gridCol w:w="1080"/>
        <w:gridCol w:w="8280"/>
      </w:tblGrid>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Pr="00C3014C" w:rsidRDefault="004F60FB" w:rsidP="00E1719F">
            <w:pPr>
              <w:rPr>
                <w:rStyle w:val="Hyperlink"/>
                <w:rFonts w:ascii="Garamond" w:hAnsi="Garamond"/>
                <w:color w:val="auto"/>
                <w:u w:val="none"/>
                <w:lang w:val="en-AU"/>
              </w:rPr>
            </w:pPr>
            <w:hyperlink r:id="rId26" w:history="1">
              <w:r w:rsidR="0098444C" w:rsidRPr="00C3014C">
                <w:rPr>
                  <w:rStyle w:val="Hyperlink"/>
                  <w:rFonts w:ascii="Garamond" w:hAnsi="Garamond"/>
                  <w:lang w:val="en-AU"/>
                </w:rPr>
                <w:t>https://doi.org/10.1371/journal.pone.0183667</w:t>
              </w:r>
            </w:hyperlink>
          </w:p>
        </w:tc>
      </w:tr>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Pr="00C3014C" w:rsidRDefault="005E3AE8" w:rsidP="00F57EA9">
            <w:pPr>
              <w:rPr>
                <w:rFonts w:ascii="Garamond" w:hAnsi="Garamond"/>
                <w:lang w:val="en-AU"/>
              </w:rPr>
            </w:pPr>
            <w:r>
              <w:rPr>
                <w:rFonts w:ascii="Garamond" w:hAnsi="Garamond"/>
                <w:lang w:val="en-AU"/>
              </w:rPr>
              <w:t xml:space="preserve">Clinical quality registries have the potential to provide high-quality real-world information that can be used in a range of </w:t>
            </w:r>
            <w:r w:rsidR="00F57EA9">
              <w:rPr>
                <w:rFonts w:ascii="Garamond" w:hAnsi="Garamond"/>
                <w:lang w:val="en-AU"/>
              </w:rPr>
              <w:t>ways to improve and monitor the safety and quality of care. However, a lot of that potential has yet to be resolved, with some nations and some domains much further advanced than others. This review attempted to determine the impact of clinical quality registries to date. The authors found that while there is a volume of literature using data and information from clinical quality registries, there is explicitly considering or evaluating “</w:t>
            </w:r>
            <w:r w:rsidR="00F57EA9" w:rsidRPr="00F57EA9">
              <w:rPr>
                <w:rFonts w:ascii="Garamond" w:hAnsi="Garamond"/>
                <w:lang w:val="en-AU"/>
              </w:rPr>
              <w:t>the impact of the registry as an intervention on improving health outcomes. Those that have evaluated this impact have mostly found a positive impact on healthcare processes and outcomes.</w:t>
            </w:r>
            <w:r w:rsidR="00F57EA9">
              <w:rPr>
                <w:rFonts w:ascii="Garamond" w:hAnsi="Garamond"/>
                <w:lang w:val="en-AU"/>
              </w:rPr>
              <w:t>”</w:t>
            </w:r>
          </w:p>
        </w:tc>
      </w:tr>
    </w:tbl>
    <w:p w:rsidR="00140775" w:rsidRPr="00C3014C" w:rsidRDefault="00140775" w:rsidP="00140775">
      <w:pPr>
        <w:keepLines/>
        <w:autoSpaceDE w:val="0"/>
        <w:autoSpaceDN w:val="0"/>
        <w:adjustRightInd w:val="0"/>
        <w:rPr>
          <w:rFonts w:ascii="Garamond" w:hAnsi="Garamond"/>
          <w:lang w:val="en-AU"/>
        </w:rPr>
      </w:pPr>
    </w:p>
    <w:p w:rsidR="0098444C" w:rsidRPr="00C3014C" w:rsidRDefault="0098444C" w:rsidP="0098444C">
      <w:pPr>
        <w:keepLines/>
        <w:autoSpaceDE w:val="0"/>
        <w:autoSpaceDN w:val="0"/>
        <w:adjustRightInd w:val="0"/>
        <w:rPr>
          <w:rFonts w:ascii="Garamond" w:hAnsi="Garamond"/>
          <w:lang w:val="en-AU"/>
        </w:rPr>
      </w:pPr>
      <w:r w:rsidRPr="00C3014C">
        <w:rPr>
          <w:rFonts w:ascii="Garamond" w:hAnsi="Garamond"/>
          <w:lang w:val="en-AU"/>
        </w:rPr>
        <w:t xml:space="preserve">For information on the Commission’s work on clinical quality registries, see </w:t>
      </w:r>
      <w:hyperlink r:id="rId27" w:history="1">
        <w:r w:rsidRPr="00C3014C">
          <w:rPr>
            <w:rStyle w:val="Hyperlink"/>
            <w:rFonts w:ascii="Garamond" w:hAnsi="Garamond"/>
            <w:lang w:val="en-AU"/>
          </w:rPr>
          <w:t>https://www.safetyandquality.gov.au/our-work/information-strategy/clinical-quality-registries/</w:t>
        </w:r>
      </w:hyperlink>
    </w:p>
    <w:p w:rsidR="0098444C" w:rsidRPr="00C3014C" w:rsidRDefault="0098444C" w:rsidP="0098444C">
      <w:pPr>
        <w:keepNext/>
        <w:rPr>
          <w:rFonts w:ascii="Garamond" w:hAnsi="Garamond"/>
          <w:i/>
          <w:lang w:val="en-AU"/>
        </w:rPr>
      </w:pPr>
    </w:p>
    <w:p w:rsidR="00140775" w:rsidRPr="00C3014C" w:rsidRDefault="00A02DA2" w:rsidP="00A02DA2">
      <w:pPr>
        <w:keepNext/>
        <w:rPr>
          <w:rFonts w:ascii="Garamond" w:hAnsi="Garamond"/>
          <w:i/>
          <w:lang w:val="en-AU"/>
        </w:rPr>
      </w:pPr>
      <w:r w:rsidRPr="00C3014C">
        <w:rPr>
          <w:rFonts w:ascii="Garamond" w:hAnsi="Garamond"/>
          <w:i/>
          <w:lang w:val="en-AU"/>
        </w:rPr>
        <w:t>Guideline: Recommendations on screening for abdominal aortic aneurysm in primary care</w:t>
      </w:r>
    </w:p>
    <w:p w:rsidR="00A02DA2" w:rsidRPr="00C3014C" w:rsidRDefault="00A02DA2" w:rsidP="00A02DA2">
      <w:pPr>
        <w:keepNext/>
        <w:rPr>
          <w:rFonts w:ascii="Garamond" w:hAnsi="Garamond"/>
          <w:lang w:val="en-AU"/>
        </w:rPr>
      </w:pPr>
      <w:r w:rsidRPr="00C3014C">
        <w:rPr>
          <w:rFonts w:ascii="Garamond" w:hAnsi="Garamond"/>
          <w:lang w:val="en-AU"/>
        </w:rPr>
        <w:t>Canadian Task Force on Preventive Health Care</w:t>
      </w:r>
    </w:p>
    <w:p w:rsidR="00A02DA2" w:rsidRPr="00C3014C" w:rsidRDefault="00A02DA2" w:rsidP="00A02DA2">
      <w:pPr>
        <w:keepNext/>
        <w:rPr>
          <w:rFonts w:ascii="Garamond" w:hAnsi="Garamond"/>
          <w:lang w:val="en-AU"/>
        </w:rPr>
      </w:pPr>
      <w:r w:rsidRPr="00C3014C">
        <w:rPr>
          <w:rFonts w:ascii="Garamond" w:hAnsi="Garamond"/>
          <w:lang w:val="en-AU"/>
        </w:rPr>
        <w:t>Canadian Medical Association Journal. 2017 September 11, 2017;189(36):E1137-E45.</w:t>
      </w:r>
    </w:p>
    <w:tbl>
      <w:tblPr>
        <w:tblStyle w:val="TableGrid"/>
        <w:tblW w:w="0" w:type="auto"/>
        <w:tblInd w:w="288" w:type="dxa"/>
        <w:tblLayout w:type="fixed"/>
        <w:tblLook w:val="01E0" w:firstRow="1" w:lastRow="1" w:firstColumn="1" w:lastColumn="1" w:noHBand="0" w:noVBand="0"/>
      </w:tblPr>
      <w:tblGrid>
        <w:gridCol w:w="1080"/>
        <w:gridCol w:w="8280"/>
      </w:tblGrid>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Pr="00C3014C" w:rsidRDefault="004F60FB" w:rsidP="00A02DA2">
            <w:pPr>
              <w:rPr>
                <w:rStyle w:val="Hyperlink"/>
                <w:rFonts w:ascii="Garamond" w:hAnsi="Garamond"/>
                <w:color w:val="auto"/>
                <w:u w:val="none"/>
                <w:lang w:val="en-AU"/>
              </w:rPr>
            </w:pPr>
            <w:hyperlink r:id="rId28" w:history="1">
              <w:r w:rsidR="00A02DA2" w:rsidRPr="00C3014C">
                <w:rPr>
                  <w:rStyle w:val="Hyperlink"/>
                  <w:rFonts w:ascii="Garamond" w:hAnsi="Garamond"/>
                  <w:lang w:val="en-AU"/>
                </w:rPr>
                <w:t>http://dx.doi.org/10.1503/cmaj.170118</w:t>
              </w:r>
            </w:hyperlink>
          </w:p>
        </w:tc>
      </w:tr>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Default="00A02DA2" w:rsidP="007F6F5D">
            <w:pPr>
              <w:rPr>
                <w:rFonts w:ascii="Garamond" w:hAnsi="Garamond"/>
                <w:lang w:val="en-AU"/>
              </w:rPr>
            </w:pPr>
            <w:r w:rsidRPr="00C3014C">
              <w:rPr>
                <w:rFonts w:ascii="Garamond" w:hAnsi="Garamond"/>
                <w:lang w:val="en-AU"/>
              </w:rPr>
              <w:t xml:space="preserve">This guideline from the Canadian Task Force on Preventive Health Care </w:t>
            </w:r>
            <w:r w:rsidR="007F6F5D" w:rsidRPr="00C3014C">
              <w:rPr>
                <w:rFonts w:ascii="Garamond" w:hAnsi="Garamond"/>
                <w:lang w:val="en-AU"/>
              </w:rPr>
              <w:t xml:space="preserve">on screening for abdominal aortic aneurysm (AAA) </w:t>
            </w:r>
            <w:r w:rsidR="00C93829">
              <w:rPr>
                <w:rFonts w:ascii="Garamond" w:hAnsi="Garamond"/>
                <w:lang w:val="en-AU"/>
              </w:rPr>
              <w:t xml:space="preserve">{weakly) </w:t>
            </w:r>
            <w:r w:rsidR="007F6F5D" w:rsidRPr="00C3014C">
              <w:rPr>
                <w:rFonts w:ascii="Garamond" w:hAnsi="Garamond"/>
                <w:lang w:val="en-AU"/>
              </w:rPr>
              <w:t xml:space="preserve">recommends screening men aged 65 to 80. </w:t>
            </w:r>
            <w:r w:rsidR="00C93829">
              <w:rPr>
                <w:rFonts w:ascii="Garamond" w:hAnsi="Garamond"/>
                <w:lang w:val="en-AU"/>
              </w:rPr>
              <w:t>The key points include:</w:t>
            </w:r>
          </w:p>
          <w:p w:rsidR="00C93829" w:rsidRPr="00C93829" w:rsidRDefault="00C93829" w:rsidP="006F2725">
            <w:pPr>
              <w:pStyle w:val="ListParagraph"/>
              <w:numPr>
                <w:ilvl w:val="0"/>
                <w:numId w:val="18"/>
              </w:numPr>
              <w:rPr>
                <w:rFonts w:ascii="Garamond" w:hAnsi="Garamond"/>
                <w:lang w:val="en-AU"/>
              </w:rPr>
            </w:pPr>
            <w:r w:rsidRPr="00C93829">
              <w:rPr>
                <w:rFonts w:ascii="Garamond" w:hAnsi="Garamond"/>
                <w:lang w:val="en-AU"/>
              </w:rPr>
              <w:t xml:space="preserve">Pooled analyses from four population-based RCTs with men older than 65 years show that </w:t>
            </w:r>
            <w:r w:rsidRPr="00C93829">
              <w:rPr>
                <w:rFonts w:ascii="Garamond" w:hAnsi="Garamond"/>
                <w:b/>
                <w:lang w:val="en-AU"/>
              </w:rPr>
              <w:t>one-time screening</w:t>
            </w:r>
            <w:r w:rsidRPr="00C93829">
              <w:rPr>
                <w:rFonts w:ascii="Garamond" w:hAnsi="Garamond"/>
                <w:lang w:val="en-AU"/>
              </w:rPr>
              <w:t xml:space="preserve"> with ultrasonography for AAA </w:t>
            </w:r>
            <w:r w:rsidRPr="00C93829">
              <w:rPr>
                <w:rFonts w:ascii="Garamond" w:hAnsi="Garamond"/>
                <w:b/>
                <w:lang w:val="en-AU"/>
              </w:rPr>
              <w:t>reduces the risk of aneurysm-related death, rupture and emergency repair</w:t>
            </w:r>
            <w:r w:rsidRPr="00C93829">
              <w:rPr>
                <w:rFonts w:ascii="Garamond" w:hAnsi="Garamond"/>
                <w:lang w:val="en-AU"/>
              </w:rPr>
              <w:t>.</w:t>
            </w:r>
          </w:p>
          <w:p w:rsidR="00C93829" w:rsidRPr="00C93829" w:rsidRDefault="00C93829" w:rsidP="006F2725">
            <w:pPr>
              <w:pStyle w:val="ListParagraph"/>
              <w:numPr>
                <w:ilvl w:val="0"/>
                <w:numId w:val="18"/>
              </w:numPr>
              <w:rPr>
                <w:rFonts w:ascii="Garamond" w:hAnsi="Garamond"/>
                <w:lang w:val="en-AU"/>
              </w:rPr>
            </w:pPr>
            <w:r w:rsidRPr="00C93829">
              <w:rPr>
                <w:rFonts w:ascii="Garamond" w:hAnsi="Garamond"/>
                <w:lang w:val="en-AU"/>
              </w:rPr>
              <w:t>Screening leads to identification of aneurysms that would not dilate or rupture, and increases the likelihood of elective repair procedures for these patients.</w:t>
            </w:r>
          </w:p>
          <w:p w:rsidR="00C93829" w:rsidRPr="00C93829" w:rsidRDefault="00C93829" w:rsidP="006F2725">
            <w:pPr>
              <w:pStyle w:val="ListParagraph"/>
              <w:numPr>
                <w:ilvl w:val="0"/>
                <w:numId w:val="18"/>
              </w:numPr>
              <w:rPr>
                <w:rFonts w:ascii="Garamond" w:hAnsi="Garamond"/>
                <w:lang w:val="en-AU"/>
              </w:rPr>
            </w:pPr>
            <w:r w:rsidRPr="00C93829">
              <w:rPr>
                <w:rFonts w:ascii="Garamond" w:hAnsi="Garamond"/>
                <w:lang w:val="en-AU"/>
              </w:rPr>
              <w:t xml:space="preserve">A weak recommendation in favour of screening suggests the </w:t>
            </w:r>
            <w:r w:rsidRPr="00C93829">
              <w:rPr>
                <w:rFonts w:ascii="Garamond" w:hAnsi="Garamond"/>
                <w:b/>
                <w:lang w:val="en-AU"/>
              </w:rPr>
              <w:t>importance of shared decision-</w:t>
            </w:r>
            <w:r w:rsidRPr="00C93829">
              <w:rPr>
                <w:rFonts w:ascii="Garamond" w:hAnsi="Garamond"/>
                <w:lang w:val="en-AU"/>
              </w:rPr>
              <w:t>making with the primary care provider and patient, with discussion of patient preferences for screening.</w:t>
            </w:r>
          </w:p>
          <w:p w:rsidR="00C93829" w:rsidRPr="00C93829" w:rsidRDefault="00C93829" w:rsidP="006F2725">
            <w:pPr>
              <w:pStyle w:val="ListParagraph"/>
              <w:numPr>
                <w:ilvl w:val="0"/>
                <w:numId w:val="18"/>
              </w:numPr>
              <w:rPr>
                <w:rFonts w:ascii="Garamond" w:hAnsi="Garamond"/>
                <w:lang w:val="en-AU"/>
              </w:rPr>
            </w:pPr>
            <w:r w:rsidRPr="00C93829">
              <w:rPr>
                <w:rFonts w:ascii="Garamond" w:hAnsi="Garamond"/>
                <w:lang w:val="en-AU"/>
              </w:rPr>
              <w:t>The prevalence of AAA in screened populations has declined since the RCTs were conducted, reducing the absolute benefit of screening.</w:t>
            </w:r>
          </w:p>
          <w:p w:rsidR="00C93829" w:rsidRPr="00C93829" w:rsidRDefault="00C93829" w:rsidP="006F2725">
            <w:pPr>
              <w:pStyle w:val="ListParagraph"/>
              <w:numPr>
                <w:ilvl w:val="0"/>
                <w:numId w:val="18"/>
              </w:numPr>
              <w:rPr>
                <w:rFonts w:ascii="Garamond" w:hAnsi="Garamond"/>
                <w:lang w:val="en-AU"/>
              </w:rPr>
            </w:pPr>
            <w:r w:rsidRPr="00C93829">
              <w:rPr>
                <w:rFonts w:ascii="Garamond" w:hAnsi="Garamond"/>
                <w:lang w:val="en-AU"/>
              </w:rPr>
              <w:t xml:space="preserve">Women have much lower rates of AAA than men, and there is </w:t>
            </w:r>
            <w:r w:rsidRPr="00C93829">
              <w:rPr>
                <w:rFonts w:ascii="Garamond" w:hAnsi="Garamond"/>
                <w:b/>
                <w:lang w:val="en-AU"/>
              </w:rPr>
              <w:t>no direct evidence that screening women has a positive impact</w:t>
            </w:r>
            <w:r w:rsidRPr="00C93829">
              <w:rPr>
                <w:rFonts w:ascii="Garamond" w:hAnsi="Garamond"/>
                <w:lang w:val="en-AU"/>
              </w:rPr>
              <w:t xml:space="preserve"> on their health.</w:t>
            </w:r>
          </w:p>
          <w:p w:rsidR="0092070C" w:rsidRPr="00C93829" w:rsidRDefault="00C93829" w:rsidP="006F2725">
            <w:pPr>
              <w:pStyle w:val="ListParagraph"/>
              <w:numPr>
                <w:ilvl w:val="0"/>
                <w:numId w:val="18"/>
              </w:numPr>
              <w:rPr>
                <w:rFonts w:ascii="Garamond" w:hAnsi="Garamond"/>
                <w:lang w:val="en-AU"/>
              </w:rPr>
            </w:pPr>
            <w:r w:rsidRPr="00C93829">
              <w:rPr>
                <w:rFonts w:ascii="Garamond" w:hAnsi="Garamond"/>
                <w:lang w:val="en-AU"/>
              </w:rPr>
              <w:t xml:space="preserve">Evidence on the impact of AAA screening on </w:t>
            </w:r>
            <w:r w:rsidRPr="00C93829">
              <w:rPr>
                <w:rFonts w:ascii="Garamond" w:hAnsi="Garamond"/>
                <w:b/>
                <w:lang w:val="en-AU"/>
              </w:rPr>
              <w:t>men older than 80</w:t>
            </w:r>
            <w:r w:rsidRPr="00C93829">
              <w:rPr>
                <w:rFonts w:ascii="Garamond" w:hAnsi="Garamond"/>
                <w:lang w:val="en-AU"/>
              </w:rPr>
              <w:t xml:space="preserve"> years of age is indirect, meaning </w:t>
            </w:r>
            <w:r w:rsidRPr="00C93829">
              <w:rPr>
                <w:rFonts w:ascii="Garamond" w:hAnsi="Garamond"/>
                <w:b/>
                <w:lang w:val="en-AU"/>
              </w:rPr>
              <w:t>any potential benefit is uncertain</w:t>
            </w:r>
            <w:r w:rsidRPr="00C93829">
              <w:rPr>
                <w:rFonts w:ascii="Garamond" w:hAnsi="Garamond"/>
                <w:lang w:val="en-AU"/>
              </w:rPr>
              <w:t>.</w:t>
            </w:r>
          </w:p>
        </w:tc>
      </w:tr>
    </w:tbl>
    <w:p w:rsidR="00140775" w:rsidRPr="00C3014C" w:rsidRDefault="00140775" w:rsidP="00140775">
      <w:pPr>
        <w:keepLines/>
        <w:autoSpaceDE w:val="0"/>
        <w:autoSpaceDN w:val="0"/>
        <w:adjustRightInd w:val="0"/>
        <w:rPr>
          <w:rFonts w:ascii="Garamond" w:hAnsi="Garamond"/>
          <w:lang w:val="en-AU"/>
        </w:rPr>
      </w:pPr>
    </w:p>
    <w:p w:rsidR="00034111" w:rsidRPr="00034111" w:rsidRDefault="00034111" w:rsidP="00034111">
      <w:pPr>
        <w:keepNext/>
        <w:rPr>
          <w:rFonts w:ascii="Garamond" w:hAnsi="Garamond"/>
          <w:i/>
          <w:lang w:val="en-AU"/>
        </w:rPr>
      </w:pPr>
      <w:r w:rsidRPr="00034111">
        <w:rPr>
          <w:rFonts w:ascii="Garamond" w:hAnsi="Garamond"/>
          <w:i/>
          <w:lang w:val="en-AU"/>
        </w:rPr>
        <w:lastRenderedPageBreak/>
        <w:t>Hospital-Readmission Risk — Isolating Hospital Effects from Patient Effects</w:t>
      </w:r>
    </w:p>
    <w:p w:rsidR="00034111" w:rsidRDefault="00034111" w:rsidP="00140775">
      <w:pPr>
        <w:keepNext/>
        <w:rPr>
          <w:rFonts w:ascii="Garamond" w:hAnsi="Garamond"/>
          <w:lang w:val="en-AU"/>
        </w:rPr>
      </w:pPr>
      <w:r w:rsidRPr="00034111">
        <w:rPr>
          <w:rFonts w:ascii="Garamond" w:hAnsi="Garamond"/>
          <w:lang w:val="en-AU"/>
        </w:rPr>
        <w:t>Krumholz HM, Wang K, Lin Z, Dharmarajan K, Horwitz LI, Ross JS, et al</w:t>
      </w:r>
    </w:p>
    <w:p w:rsidR="00140775" w:rsidRPr="00C3014C" w:rsidRDefault="00034111" w:rsidP="00140775">
      <w:pPr>
        <w:keepNext/>
        <w:rPr>
          <w:rFonts w:ascii="Garamond" w:hAnsi="Garamond"/>
          <w:lang w:val="en-AU"/>
        </w:rPr>
      </w:pPr>
      <w:r w:rsidRPr="00034111">
        <w:rPr>
          <w:rFonts w:ascii="Garamond" w:hAnsi="Garamond"/>
          <w:lang w:val="en-AU"/>
        </w:rPr>
        <w:t>New England Journal of Medicine. 2017;377(11):1055-64.</w:t>
      </w:r>
    </w:p>
    <w:tbl>
      <w:tblPr>
        <w:tblStyle w:val="TableGrid"/>
        <w:tblW w:w="0" w:type="auto"/>
        <w:tblInd w:w="288" w:type="dxa"/>
        <w:tblLayout w:type="fixed"/>
        <w:tblLook w:val="01E0" w:firstRow="1" w:lastRow="1" w:firstColumn="1" w:lastColumn="1" w:noHBand="0" w:noVBand="0"/>
      </w:tblPr>
      <w:tblGrid>
        <w:gridCol w:w="1080"/>
        <w:gridCol w:w="8280"/>
      </w:tblGrid>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Pr="00C3014C" w:rsidRDefault="004F60FB" w:rsidP="00034111">
            <w:pPr>
              <w:rPr>
                <w:rStyle w:val="Hyperlink"/>
                <w:rFonts w:ascii="Garamond" w:hAnsi="Garamond"/>
                <w:color w:val="auto"/>
                <w:u w:val="none"/>
                <w:lang w:val="en-AU"/>
              </w:rPr>
            </w:pPr>
            <w:hyperlink r:id="rId29" w:history="1">
              <w:r w:rsidR="00034111" w:rsidRPr="00BC76F9">
                <w:rPr>
                  <w:rStyle w:val="Hyperlink"/>
                  <w:rFonts w:ascii="Garamond" w:hAnsi="Garamond"/>
                  <w:lang w:val="en-AU"/>
                </w:rPr>
                <w:t>http://dx.doi.org/10.1056/NEJMsa1702321</w:t>
              </w:r>
            </w:hyperlink>
          </w:p>
        </w:tc>
      </w:tr>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93829" w:rsidRDefault="00034111" w:rsidP="00C93829">
            <w:pPr>
              <w:rPr>
                <w:rFonts w:ascii="Garamond" w:hAnsi="Garamond"/>
                <w:lang w:val="en-AU"/>
              </w:rPr>
            </w:pPr>
            <w:r>
              <w:rPr>
                <w:rFonts w:ascii="Garamond" w:hAnsi="Garamond"/>
                <w:lang w:val="en-AU"/>
              </w:rPr>
              <w:t>Rates of readmission are not uncommonly suggested or used as measures of hospital performance and/or quality. This US study</w:t>
            </w:r>
            <w:r w:rsidR="00C93829">
              <w:rPr>
                <w:rFonts w:ascii="Garamond" w:hAnsi="Garamond"/>
                <w:lang w:val="en-AU"/>
              </w:rPr>
              <w:t xml:space="preserve"> </w:t>
            </w:r>
            <w:r w:rsidR="00C93829" w:rsidRPr="00C93829">
              <w:rPr>
                <w:rFonts w:ascii="Garamond" w:hAnsi="Garamond"/>
                <w:lang w:val="en-AU"/>
              </w:rPr>
              <w:t>examined readmission outcomes among patients who had multiple admissions for a similar diagnosis at more than one hospital within a given year</w:t>
            </w:r>
            <w:r w:rsidR="00C93829">
              <w:rPr>
                <w:rFonts w:ascii="Garamond" w:hAnsi="Garamond"/>
                <w:lang w:val="en-AU"/>
              </w:rPr>
              <w:t xml:space="preserve"> in order to attempt to </w:t>
            </w:r>
            <w:r w:rsidR="00C93829" w:rsidRPr="00C93829">
              <w:rPr>
                <w:rFonts w:ascii="Garamond" w:hAnsi="Garamond"/>
                <w:lang w:val="en-AU"/>
              </w:rPr>
              <w:t>isolate hospital effects on risk-standardized hospital-readmission rates</w:t>
            </w:r>
            <w:r w:rsidR="00C93829">
              <w:rPr>
                <w:rFonts w:ascii="Garamond" w:hAnsi="Garamond"/>
                <w:lang w:val="en-AU"/>
              </w:rPr>
              <w:t>.</w:t>
            </w:r>
          </w:p>
          <w:p w:rsidR="00034111" w:rsidRPr="00C3014C" w:rsidRDefault="00C93829" w:rsidP="006F2725">
            <w:pPr>
              <w:rPr>
                <w:rFonts w:ascii="Garamond" w:hAnsi="Garamond"/>
                <w:lang w:val="en-AU"/>
              </w:rPr>
            </w:pPr>
            <w:r>
              <w:rPr>
                <w:rFonts w:ascii="Garamond" w:hAnsi="Garamond"/>
                <w:lang w:val="en-AU"/>
              </w:rPr>
              <w:t xml:space="preserve">The study used </w:t>
            </w:r>
            <w:r w:rsidR="006F2725">
              <w:rPr>
                <w:rFonts w:ascii="Garamond" w:hAnsi="Garamond"/>
                <w:lang w:val="en-AU"/>
              </w:rPr>
              <w:t>data on (US) Medicare patients (≥ 65 years of age). Data were used to calculate</w:t>
            </w:r>
            <w:r w:rsidR="006F2725" w:rsidRPr="006F2725">
              <w:rPr>
                <w:rFonts w:ascii="Garamond" w:hAnsi="Garamond"/>
                <w:lang w:val="en-AU"/>
              </w:rPr>
              <w:t xml:space="preserve"> </w:t>
            </w:r>
            <w:r w:rsidR="006F2725">
              <w:rPr>
                <w:rFonts w:ascii="Garamond" w:hAnsi="Garamond"/>
                <w:lang w:val="en-AU"/>
              </w:rPr>
              <w:t xml:space="preserve">the </w:t>
            </w:r>
            <w:r w:rsidR="006F2725" w:rsidRPr="006F2725">
              <w:rPr>
                <w:rFonts w:ascii="Garamond" w:hAnsi="Garamond"/>
                <w:lang w:val="en-AU"/>
              </w:rPr>
              <w:t>risk-standardi</w:t>
            </w:r>
            <w:r w:rsidR="006F2725">
              <w:rPr>
                <w:rFonts w:ascii="Garamond" w:hAnsi="Garamond"/>
                <w:lang w:val="en-AU"/>
              </w:rPr>
              <w:t>s</w:t>
            </w:r>
            <w:r w:rsidR="006F2725" w:rsidRPr="006F2725">
              <w:rPr>
                <w:rFonts w:ascii="Garamond" w:hAnsi="Garamond"/>
                <w:lang w:val="en-AU"/>
              </w:rPr>
              <w:t xml:space="preserve">ed readmission rate within 30 days for each hospital, and hospitals </w:t>
            </w:r>
            <w:r w:rsidR="006F2725">
              <w:rPr>
                <w:rFonts w:ascii="Garamond" w:hAnsi="Garamond"/>
                <w:lang w:val="en-AU"/>
              </w:rPr>
              <w:t xml:space="preserve">were classified </w:t>
            </w:r>
            <w:r w:rsidR="006F2725" w:rsidRPr="006F2725">
              <w:rPr>
                <w:rFonts w:ascii="Garamond" w:hAnsi="Garamond"/>
                <w:lang w:val="en-AU"/>
              </w:rPr>
              <w:t>into performance</w:t>
            </w:r>
            <w:r w:rsidR="006F2725">
              <w:rPr>
                <w:rFonts w:ascii="Garamond" w:hAnsi="Garamond"/>
                <w:lang w:val="en-AU"/>
              </w:rPr>
              <w:t xml:space="preserve"> groups. A  study sample </w:t>
            </w:r>
            <w:r w:rsidR="006F2725" w:rsidRPr="00C93829">
              <w:rPr>
                <w:rFonts w:ascii="Garamond" w:hAnsi="Garamond"/>
                <w:lang w:val="en-AU"/>
              </w:rPr>
              <w:t>included 37,508 patients who had two admissions for similar diagnoses at a total of 4272 different hospitals</w:t>
            </w:r>
            <w:r w:rsidR="006F2725">
              <w:rPr>
                <w:rFonts w:ascii="Garamond" w:hAnsi="Garamond"/>
                <w:lang w:val="en-AU"/>
              </w:rPr>
              <w:t xml:space="preserve"> and was used to </w:t>
            </w:r>
            <w:r w:rsidR="006F2725" w:rsidRPr="006F2725">
              <w:rPr>
                <w:rFonts w:ascii="Garamond" w:hAnsi="Garamond"/>
                <w:lang w:val="en-AU"/>
              </w:rPr>
              <w:t>compare the observed readmission rates among patients who had been admitted to hospitals in different performance quartiles.</w:t>
            </w:r>
            <w:r w:rsidR="006F2725">
              <w:rPr>
                <w:rFonts w:ascii="Garamond" w:hAnsi="Garamond"/>
                <w:lang w:val="en-AU"/>
              </w:rPr>
              <w:t xml:space="preserve"> From these analyses, t</w:t>
            </w:r>
            <w:r w:rsidR="00034111">
              <w:rPr>
                <w:rFonts w:ascii="Garamond" w:hAnsi="Garamond"/>
                <w:lang w:val="en-AU"/>
              </w:rPr>
              <w:t>he authors concluded “</w:t>
            </w:r>
            <w:r w:rsidR="00034111" w:rsidRPr="00034111">
              <w:rPr>
                <w:rFonts w:ascii="Garamond" w:hAnsi="Garamond"/>
                <w:lang w:val="en-AU"/>
              </w:rPr>
              <w:t xml:space="preserve">there was a </w:t>
            </w:r>
            <w:r w:rsidR="00034111" w:rsidRPr="00034111">
              <w:rPr>
                <w:rFonts w:ascii="Garamond" w:hAnsi="Garamond"/>
                <w:b/>
                <w:lang w:val="en-AU"/>
              </w:rPr>
              <w:t>significant difference in rates of readmission</w:t>
            </w:r>
            <w:r w:rsidR="00034111" w:rsidRPr="00034111">
              <w:rPr>
                <w:rFonts w:ascii="Garamond" w:hAnsi="Garamond"/>
                <w:lang w:val="en-AU"/>
              </w:rPr>
              <w:t xml:space="preserve"> within 30 days. The findings suggest that </w:t>
            </w:r>
            <w:r w:rsidR="00034111" w:rsidRPr="00034111">
              <w:rPr>
                <w:rFonts w:ascii="Garamond" w:hAnsi="Garamond"/>
                <w:b/>
                <w:lang w:val="en-AU"/>
              </w:rPr>
              <w:t>hospital quality contributes in part to readmission rates independent of factors involving patients</w:t>
            </w:r>
            <w:r w:rsidR="00034111">
              <w:rPr>
                <w:rFonts w:ascii="Garamond" w:hAnsi="Garamond"/>
                <w:lang w:val="en-AU"/>
              </w:rPr>
              <w:t>”.</w:t>
            </w:r>
          </w:p>
        </w:tc>
      </w:tr>
    </w:tbl>
    <w:p w:rsidR="00140775" w:rsidRPr="00C3014C" w:rsidRDefault="00140775" w:rsidP="00140775">
      <w:pPr>
        <w:keepLines/>
        <w:autoSpaceDE w:val="0"/>
        <w:autoSpaceDN w:val="0"/>
        <w:adjustRightInd w:val="0"/>
        <w:rPr>
          <w:rFonts w:ascii="Garamond" w:hAnsi="Garamond"/>
          <w:lang w:val="en-AU"/>
        </w:rPr>
      </w:pPr>
    </w:p>
    <w:p w:rsidR="006150B3" w:rsidRPr="00C3014C" w:rsidRDefault="006150B3" w:rsidP="006150B3">
      <w:pPr>
        <w:keepNext/>
        <w:rPr>
          <w:rFonts w:ascii="Garamond" w:hAnsi="Garamond"/>
          <w:i/>
          <w:lang w:val="en-AU"/>
        </w:rPr>
      </w:pPr>
      <w:r w:rsidRPr="00C3014C">
        <w:rPr>
          <w:rFonts w:ascii="Garamond" w:hAnsi="Garamond"/>
          <w:i/>
          <w:lang w:val="en-AU"/>
        </w:rPr>
        <w:t>Why do surgeons receive more complaints than their physician peers?</w:t>
      </w:r>
    </w:p>
    <w:p w:rsidR="006150B3" w:rsidRPr="00C3014C" w:rsidRDefault="006150B3" w:rsidP="006150B3">
      <w:pPr>
        <w:keepNext/>
        <w:rPr>
          <w:rFonts w:ascii="Garamond" w:hAnsi="Garamond"/>
          <w:lang w:val="en-AU"/>
        </w:rPr>
      </w:pPr>
      <w:r w:rsidRPr="00C3014C">
        <w:rPr>
          <w:rFonts w:ascii="Garamond" w:hAnsi="Garamond"/>
          <w:lang w:val="en-AU"/>
        </w:rPr>
        <w:t>Tibble HM, Broughton NS, Studdert DM, Spittal MJ, Hill N, Morris JM, et al</w:t>
      </w:r>
    </w:p>
    <w:p w:rsidR="006150B3" w:rsidRPr="00C3014C" w:rsidRDefault="006150B3" w:rsidP="006150B3">
      <w:pPr>
        <w:keepNext/>
        <w:rPr>
          <w:rFonts w:ascii="Garamond" w:hAnsi="Garamond"/>
          <w:lang w:val="en-AU"/>
        </w:rPr>
      </w:pPr>
      <w:r w:rsidRPr="00C3014C">
        <w:rPr>
          <w:rFonts w:ascii="Garamond" w:hAnsi="Garamond"/>
          <w:lang w:val="en-AU"/>
        </w:rPr>
        <w:t>ANZ Journal of Surgery. 2017 [epub].</w:t>
      </w:r>
    </w:p>
    <w:tbl>
      <w:tblPr>
        <w:tblStyle w:val="TableGrid"/>
        <w:tblW w:w="0" w:type="auto"/>
        <w:tblInd w:w="288" w:type="dxa"/>
        <w:tblLayout w:type="fixed"/>
        <w:tblLook w:val="01E0" w:firstRow="1" w:lastRow="1" w:firstColumn="1" w:lastColumn="1" w:noHBand="0" w:noVBand="0"/>
      </w:tblPr>
      <w:tblGrid>
        <w:gridCol w:w="1080"/>
        <w:gridCol w:w="8280"/>
      </w:tblGrid>
      <w:tr w:rsidR="006150B3"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6150B3" w:rsidRPr="00C3014C" w:rsidRDefault="006150B3" w:rsidP="007F583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150B3" w:rsidRPr="00C3014C" w:rsidRDefault="004F60FB" w:rsidP="007F5832">
            <w:pPr>
              <w:rPr>
                <w:rStyle w:val="Hyperlink"/>
                <w:rFonts w:ascii="Garamond" w:hAnsi="Garamond"/>
                <w:color w:val="auto"/>
                <w:u w:val="none"/>
                <w:lang w:val="en-AU"/>
              </w:rPr>
            </w:pPr>
            <w:hyperlink r:id="rId30" w:history="1">
              <w:r w:rsidR="006150B3" w:rsidRPr="00C3014C">
                <w:rPr>
                  <w:rStyle w:val="Hyperlink"/>
                  <w:rFonts w:ascii="Garamond" w:hAnsi="Garamond"/>
                  <w:lang w:val="en-AU"/>
                </w:rPr>
                <w:t>http://dx.doi.org/10.1111/ans.14225</w:t>
              </w:r>
            </w:hyperlink>
          </w:p>
        </w:tc>
      </w:tr>
      <w:tr w:rsidR="006150B3"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6150B3" w:rsidRPr="00C3014C" w:rsidRDefault="006150B3" w:rsidP="007F583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50B3" w:rsidRPr="00C3014C" w:rsidRDefault="005E3AE8" w:rsidP="005E3AE8">
            <w:pPr>
              <w:rPr>
                <w:rFonts w:ascii="Garamond" w:hAnsi="Garamond"/>
                <w:lang w:val="en-AU"/>
              </w:rPr>
            </w:pPr>
            <w:r>
              <w:rPr>
                <w:rFonts w:ascii="Garamond" w:hAnsi="Garamond"/>
                <w:lang w:val="en-AU"/>
              </w:rPr>
              <w:t>This study started with the compilation of a n</w:t>
            </w:r>
            <w:r w:rsidRPr="005E3AE8">
              <w:rPr>
                <w:rFonts w:ascii="Garamond" w:hAnsi="Garamond"/>
                <w:lang w:val="en-AU"/>
              </w:rPr>
              <w:t>ational data set of complaints about surgeons and physicians lodged with medical regulators in Australia from 2011 to 2016.</w:t>
            </w:r>
            <w:r>
              <w:rPr>
                <w:rFonts w:ascii="Garamond" w:hAnsi="Garamond"/>
                <w:lang w:val="en-AU"/>
              </w:rPr>
              <w:t xml:space="preserve"> This database was then used to study the </w:t>
            </w:r>
            <w:r w:rsidRPr="005E3AE8">
              <w:rPr>
                <w:rFonts w:ascii="Garamond" w:hAnsi="Garamond"/>
                <w:lang w:val="en-AU"/>
              </w:rPr>
              <w:t>frequency and nature of complaints involving surgeons compared with physicians</w:t>
            </w:r>
            <w:r>
              <w:rPr>
                <w:rFonts w:ascii="Garamond" w:hAnsi="Garamond"/>
                <w:lang w:val="en-AU"/>
              </w:rPr>
              <w:t>. The authors report that “</w:t>
            </w:r>
            <w:r w:rsidRPr="005E3AE8">
              <w:rPr>
                <w:rFonts w:ascii="Garamond" w:hAnsi="Garamond"/>
                <w:lang w:val="en-AU"/>
              </w:rPr>
              <w:t>The rate of complaints was 2.3 times higher for surgeons than physicians (112 compared with 48 complaints per 1000 practice years, P</w:t>
            </w:r>
            <w:r w:rsidRPr="005E3AE8">
              <w:rPr>
                <w:lang w:val="en-AU"/>
              </w:rPr>
              <w:t> </w:t>
            </w:r>
            <w:r w:rsidRPr="005E3AE8">
              <w:rPr>
                <w:rFonts w:ascii="Garamond" w:hAnsi="Garamond"/>
                <w:lang w:val="en-AU"/>
              </w:rPr>
              <w:t>&lt;</w:t>
            </w:r>
            <w:r w:rsidRPr="005E3AE8">
              <w:rPr>
                <w:lang w:val="en-AU"/>
              </w:rPr>
              <w:t> </w:t>
            </w:r>
            <w:r w:rsidRPr="005E3AE8">
              <w:rPr>
                <w:rFonts w:ascii="Garamond" w:hAnsi="Garamond"/>
                <w:lang w:val="en-AU"/>
              </w:rPr>
              <w:t xml:space="preserve">0.001). Two-fifths (41%) of the higher rate of complaints among surgeons was attributable to issues other than </w:t>
            </w:r>
            <w:r w:rsidRPr="005E3AE8">
              <w:rPr>
                <w:rFonts w:ascii="Garamond" w:hAnsi="Garamond"/>
                <w:b/>
                <w:lang w:val="en-AU"/>
              </w:rPr>
              <w:t>treatments</w:t>
            </w:r>
            <w:r w:rsidRPr="005E3AE8">
              <w:rPr>
                <w:rFonts w:ascii="Garamond" w:hAnsi="Garamond"/>
                <w:lang w:val="en-AU"/>
              </w:rPr>
              <w:t xml:space="preserve"> and </w:t>
            </w:r>
            <w:r w:rsidRPr="005E3AE8">
              <w:rPr>
                <w:rFonts w:ascii="Garamond" w:hAnsi="Garamond"/>
                <w:b/>
                <w:lang w:val="en-AU"/>
              </w:rPr>
              <w:t>procedures</w:t>
            </w:r>
            <w:r w:rsidRPr="005E3AE8">
              <w:rPr>
                <w:rFonts w:ascii="Garamond" w:hAnsi="Garamond"/>
                <w:lang w:val="en-AU"/>
              </w:rPr>
              <w:t xml:space="preserve">, including </w:t>
            </w:r>
            <w:r w:rsidRPr="005E3AE8">
              <w:rPr>
                <w:rFonts w:ascii="Garamond" w:hAnsi="Garamond"/>
                <w:b/>
                <w:lang w:val="en-AU"/>
              </w:rPr>
              <w:t>fees</w:t>
            </w:r>
            <w:r w:rsidRPr="005E3AE8">
              <w:rPr>
                <w:rFonts w:ascii="Garamond" w:hAnsi="Garamond"/>
                <w:lang w:val="en-AU"/>
              </w:rPr>
              <w:t xml:space="preserve"> (IRR</w:t>
            </w:r>
            <w:r w:rsidRPr="005E3AE8">
              <w:rPr>
                <w:lang w:val="en-AU"/>
              </w:rPr>
              <w:t> </w:t>
            </w:r>
            <w:r w:rsidRPr="005E3AE8">
              <w:rPr>
                <w:rFonts w:ascii="Garamond" w:hAnsi="Garamond"/>
                <w:lang w:val="en-AU"/>
              </w:rPr>
              <w:t>=</w:t>
            </w:r>
            <w:r w:rsidRPr="005E3AE8">
              <w:rPr>
                <w:lang w:val="en-AU"/>
              </w:rPr>
              <w:t> </w:t>
            </w:r>
            <w:r w:rsidRPr="005E3AE8">
              <w:rPr>
                <w:rFonts w:ascii="Garamond" w:hAnsi="Garamond"/>
                <w:lang w:val="en-AU"/>
              </w:rPr>
              <w:t xml:space="preserve">2.68), </w:t>
            </w:r>
            <w:r w:rsidRPr="005E3AE8">
              <w:rPr>
                <w:rFonts w:ascii="Garamond" w:hAnsi="Garamond"/>
                <w:b/>
                <w:lang w:val="en-AU"/>
              </w:rPr>
              <w:t>substance use</w:t>
            </w:r>
            <w:r w:rsidRPr="005E3AE8">
              <w:rPr>
                <w:rFonts w:ascii="Garamond" w:hAnsi="Garamond"/>
                <w:lang w:val="en-AU"/>
              </w:rPr>
              <w:t xml:space="preserve"> (IRR</w:t>
            </w:r>
            <w:r w:rsidRPr="005E3AE8">
              <w:rPr>
                <w:lang w:val="en-AU"/>
              </w:rPr>
              <w:t> </w:t>
            </w:r>
            <w:r w:rsidRPr="005E3AE8">
              <w:rPr>
                <w:rFonts w:ascii="Garamond" w:hAnsi="Garamond"/>
                <w:lang w:val="en-AU"/>
              </w:rPr>
              <w:t>=</w:t>
            </w:r>
            <w:r w:rsidRPr="005E3AE8">
              <w:rPr>
                <w:lang w:val="en-AU"/>
              </w:rPr>
              <w:t> </w:t>
            </w:r>
            <w:r w:rsidRPr="005E3AE8">
              <w:rPr>
                <w:rFonts w:ascii="Garamond" w:hAnsi="Garamond"/>
                <w:lang w:val="en-AU"/>
              </w:rPr>
              <w:t xml:space="preserve">2.10), </w:t>
            </w:r>
            <w:r w:rsidRPr="005E3AE8">
              <w:rPr>
                <w:rFonts w:ascii="Garamond" w:hAnsi="Garamond"/>
                <w:b/>
                <w:lang w:val="en-AU"/>
              </w:rPr>
              <w:t>communication</w:t>
            </w:r>
            <w:r w:rsidRPr="005E3AE8">
              <w:rPr>
                <w:rFonts w:ascii="Garamond" w:hAnsi="Garamond"/>
                <w:lang w:val="en-AU"/>
              </w:rPr>
              <w:t xml:space="preserve"> (IRR</w:t>
            </w:r>
            <w:r w:rsidRPr="005E3AE8">
              <w:rPr>
                <w:lang w:val="en-AU"/>
              </w:rPr>
              <w:t> </w:t>
            </w:r>
            <w:r w:rsidRPr="005E3AE8">
              <w:rPr>
                <w:rFonts w:ascii="Garamond" w:hAnsi="Garamond"/>
                <w:lang w:val="en-AU"/>
              </w:rPr>
              <w:t>=</w:t>
            </w:r>
            <w:r w:rsidRPr="005E3AE8">
              <w:rPr>
                <w:lang w:val="en-AU"/>
              </w:rPr>
              <w:t> </w:t>
            </w:r>
            <w:r w:rsidRPr="005E3AE8">
              <w:rPr>
                <w:rFonts w:ascii="Garamond" w:hAnsi="Garamond"/>
                <w:lang w:val="en-AU"/>
              </w:rPr>
              <w:t xml:space="preserve">1.98) and </w:t>
            </w:r>
            <w:r w:rsidRPr="005E3AE8">
              <w:rPr>
                <w:rFonts w:ascii="Garamond" w:hAnsi="Garamond"/>
                <w:b/>
                <w:lang w:val="en-AU"/>
              </w:rPr>
              <w:t>interpersonal behaviour</w:t>
            </w:r>
            <w:r w:rsidRPr="005E3AE8">
              <w:rPr>
                <w:rFonts w:ascii="Garamond" w:hAnsi="Garamond"/>
                <w:lang w:val="en-AU"/>
              </w:rPr>
              <w:t xml:space="preserve"> (IRR</w:t>
            </w:r>
            <w:r w:rsidRPr="005E3AE8">
              <w:rPr>
                <w:lang w:val="en-AU"/>
              </w:rPr>
              <w:t> </w:t>
            </w:r>
            <w:r w:rsidRPr="005E3AE8">
              <w:rPr>
                <w:rFonts w:ascii="Garamond" w:hAnsi="Garamond"/>
                <w:lang w:val="en-AU"/>
              </w:rPr>
              <w:t>=</w:t>
            </w:r>
            <w:r w:rsidRPr="005E3AE8">
              <w:rPr>
                <w:lang w:val="en-AU"/>
              </w:rPr>
              <w:t> </w:t>
            </w:r>
            <w:r w:rsidRPr="005E3AE8">
              <w:rPr>
                <w:rFonts w:ascii="Garamond" w:hAnsi="Garamond"/>
                <w:lang w:val="en-AU"/>
              </w:rPr>
              <w:t xml:space="preserve">1.92). </w:t>
            </w:r>
            <w:r w:rsidRPr="005E3AE8">
              <w:rPr>
                <w:rFonts w:ascii="Garamond" w:hAnsi="Garamond"/>
                <w:b/>
                <w:lang w:val="en-AU"/>
              </w:rPr>
              <w:t>Male surgeons</w:t>
            </w:r>
            <w:r w:rsidRPr="005E3AE8">
              <w:rPr>
                <w:rFonts w:ascii="Garamond" w:hAnsi="Garamond"/>
                <w:lang w:val="en-AU"/>
              </w:rPr>
              <w:t xml:space="preserve"> were at a higher risk of complaints, as were specialists in </w:t>
            </w:r>
            <w:r w:rsidRPr="005E3AE8">
              <w:rPr>
                <w:rFonts w:ascii="Garamond" w:hAnsi="Garamond"/>
                <w:b/>
                <w:lang w:val="en-AU"/>
              </w:rPr>
              <w:t>orthopaedics</w:t>
            </w:r>
            <w:r w:rsidRPr="005E3AE8">
              <w:rPr>
                <w:rFonts w:ascii="Garamond" w:hAnsi="Garamond"/>
                <w:lang w:val="en-AU"/>
              </w:rPr>
              <w:t xml:space="preserve">, </w:t>
            </w:r>
            <w:r w:rsidRPr="005E3AE8">
              <w:rPr>
                <w:rFonts w:ascii="Garamond" w:hAnsi="Garamond"/>
                <w:b/>
                <w:lang w:val="en-AU"/>
              </w:rPr>
              <w:t>plastic surgery</w:t>
            </w:r>
            <w:r w:rsidRPr="005E3AE8">
              <w:rPr>
                <w:rFonts w:ascii="Garamond" w:hAnsi="Garamond"/>
                <w:lang w:val="en-AU"/>
              </w:rPr>
              <w:t xml:space="preserve"> and </w:t>
            </w:r>
            <w:r w:rsidRPr="005E3AE8">
              <w:rPr>
                <w:rFonts w:ascii="Garamond" w:hAnsi="Garamond"/>
                <w:b/>
                <w:lang w:val="en-AU"/>
              </w:rPr>
              <w:t>neurosurgery</w:t>
            </w:r>
            <w:r w:rsidRPr="005E3AE8">
              <w:rPr>
                <w:rFonts w:ascii="Garamond" w:hAnsi="Garamond"/>
                <w:lang w:val="en-AU"/>
              </w:rPr>
              <w:t>.</w:t>
            </w:r>
            <w:r>
              <w:rPr>
                <w:rFonts w:ascii="Garamond" w:hAnsi="Garamond"/>
                <w:lang w:val="en-AU"/>
              </w:rPr>
              <w:t>”</w:t>
            </w:r>
          </w:p>
        </w:tc>
      </w:tr>
    </w:tbl>
    <w:p w:rsidR="006150B3" w:rsidRPr="00C3014C" w:rsidRDefault="006150B3" w:rsidP="006150B3">
      <w:pPr>
        <w:keepLines/>
        <w:autoSpaceDE w:val="0"/>
        <w:autoSpaceDN w:val="0"/>
        <w:adjustRightInd w:val="0"/>
        <w:rPr>
          <w:rFonts w:ascii="Garamond" w:hAnsi="Garamond"/>
          <w:lang w:val="en-AU"/>
        </w:rPr>
      </w:pPr>
    </w:p>
    <w:p w:rsidR="00140775" w:rsidRPr="00074D99" w:rsidRDefault="00074D99" w:rsidP="00140775">
      <w:pPr>
        <w:keepNext/>
        <w:rPr>
          <w:rFonts w:ascii="Garamond" w:hAnsi="Garamond"/>
          <w:i/>
          <w:lang w:val="en-AU"/>
        </w:rPr>
      </w:pPr>
      <w:r w:rsidRPr="00074D99">
        <w:rPr>
          <w:rFonts w:ascii="Garamond" w:hAnsi="Garamond"/>
          <w:i/>
          <w:lang w:val="en-AU"/>
        </w:rPr>
        <w:t>Understanding middle managers' influence in implementing patient safety culture</w:t>
      </w:r>
    </w:p>
    <w:p w:rsidR="00074D99" w:rsidRDefault="00074D99" w:rsidP="00140775">
      <w:pPr>
        <w:keepNext/>
        <w:rPr>
          <w:rFonts w:ascii="Garamond" w:hAnsi="Garamond"/>
          <w:lang w:val="en-AU"/>
        </w:rPr>
      </w:pPr>
      <w:r w:rsidRPr="00074D99">
        <w:rPr>
          <w:rFonts w:ascii="Garamond" w:hAnsi="Garamond"/>
          <w:lang w:val="en-AU"/>
        </w:rPr>
        <w:t>Gutberg J, Berta W</w:t>
      </w:r>
    </w:p>
    <w:p w:rsidR="00074D99" w:rsidRPr="00C3014C" w:rsidRDefault="00074D99" w:rsidP="00140775">
      <w:pPr>
        <w:keepNext/>
        <w:rPr>
          <w:rFonts w:ascii="Garamond" w:hAnsi="Garamond"/>
          <w:lang w:val="en-AU"/>
        </w:rPr>
      </w:pPr>
      <w:r w:rsidRPr="00074D99">
        <w:rPr>
          <w:rFonts w:ascii="Garamond" w:hAnsi="Garamond"/>
          <w:lang w:val="en-AU"/>
        </w:rPr>
        <w:t>BMC Health Services Research. 2017 August 22;17(1):582.</w:t>
      </w:r>
    </w:p>
    <w:tbl>
      <w:tblPr>
        <w:tblStyle w:val="TableGrid"/>
        <w:tblW w:w="0" w:type="auto"/>
        <w:tblInd w:w="288" w:type="dxa"/>
        <w:tblLayout w:type="fixed"/>
        <w:tblLook w:val="01E0" w:firstRow="1" w:lastRow="1" w:firstColumn="1" w:lastColumn="1" w:noHBand="0" w:noVBand="0"/>
      </w:tblPr>
      <w:tblGrid>
        <w:gridCol w:w="1080"/>
        <w:gridCol w:w="8280"/>
      </w:tblGrid>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Pr="00C3014C" w:rsidRDefault="004F60FB" w:rsidP="00E1719F">
            <w:pPr>
              <w:rPr>
                <w:rStyle w:val="Hyperlink"/>
                <w:rFonts w:ascii="Garamond" w:hAnsi="Garamond"/>
                <w:color w:val="auto"/>
                <w:u w:val="none"/>
                <w:lang w:val="en-AU"/>
              </w:rPr>
            </w:pPr>
            <w:hyperlink r:id="rId31" w:history="1">
              <w:r w:rsidR="00074D99" w:rsidRPr="00BC76F9">
                <w:rPr>
                  <w:rStyle w:val="Hyperlink"/>
                  <w:rFonts w:ascii="Garamond" w:hAnsi="Garamond"/>
                  <w:lang w:val="en-AU"/>
                </w:rPr>
                <w:t>https://doi.org/10.1186/s12913-017-2533-4</w:t>
              </w:r>
            </w:hyperlink>
          </w:p>
        </w:tc>
      </w:tr>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4D99" w:rsidRDefault="00074D99" w:rsidP="00074D99">
            <w:pPr>
              <w:rPr>
                <w:rFonts w:ascii="Garamond" w:hAnsi="Garamond"/>
                <w:lang w:val="en-AU"/>
              </w:rPr>
            </w:pPr>
            <w:r>
              <w:rPr>
                <w:rFonts w:ascii="Garamond" w:hAnsi="Garamond"/>
                <w:lang w:val="en-AU"/>
              </w:rPr>
              <w:t>Culture change is often discussed in terms of ‘top down’ or ‘bottom up’. This paper looks at the role some of those in the middle, the middle managers, can play.</w:t>
            </w:r>
            <w:r w:rsidR="0016422E">
              <w:rPr>
                <w:rFonts w:ascii="Garamond" w:hAnsi="Garamond"/>
                <w:lang w:val="en-AU"/>
              </w:rPr>
              <w:t xml:space="preserve"> The authors argue that “</w:t>
            </w:r>
            <w:r w:rsidR="0016422E" w:rsidRPr="0016422E">
              <w:rPr>
                <w:rFonts w:ascii="Garamond" w:hAnsi="Garamond"/>
                <w:lang w:val="en-AU"/>
              </w:rPr>
              <w:t xml:space="preserve">middle managers can capitalize on their </w:t>
            </w:r>
            <w:r w:rsidR="0016422E" w:rsidRPr="0016422E">
              <w:rPr>
                <w:rFonts w:ascii="Garamond" w:hAnsi="Garamond"/>
                <w:b/>
                <w:lang w:val="en-AU"/>
              </w:rPr>
              <w:t>unique position</w:t>
            </w:r>
            <w:r w:rsidR="0016422E" w:rsidRPr="0016422E">
              <w:rPr>
                <w:rFonts w:ascii="Garamond" w:hAnsi="Garamond"/>
                <w:lang w:val="en-AU"/>
              </w:rPr>
              <w:t xml:space="preserve"> between upper and lower levels in the organization and engage in ‘ambidextrous’ learning that is critical to implementing and sustaining radical change. This organizational learning perspective offers an innovative way of framing the mid-level managers’ role, through both explorative and exploitative activities, which further considers the necessary organizational context in which they operate.</w:t>
            </w:r>
            <w:r w:rsidR="0016422E">
              <w:rPr>
                <w:rFonts w:ascii="Garamond" w:hAnsi="Garamond"/>
                <w:lang w:val="en-AU"/>
              </w:rPr>
              <w:t>”</w:t>
            </w:r>
          </w:p>
          <w:p w:rsidR="00140775" w:rsidRPr="00C3014C" w:rsidRDefault="0016422E" w:rsidP="0016422E">
            <w:pPr>
              <w:rPr>
                <w:rFonts w:ascii="Garamond" w:hAnsi="Garamond"/>
                <w:lang w:val="en-AU"/>
              </w:rPr>
            </w:pPr>
            <w:r>
              <w:rPr>
                <w:rFonts w:ascii="Garamond" w:hAnsi="Garamond"/>
                <w:lang w:val="en-AU"/>
              </w:rPr>
              <w:t>Ultimately though</w:t>
            </w:r>
            <w:r w:rsidR="00074D99">
              <w:rPr>
                <w:rFonts w:ascii="Garamond" w:hAnsi="Garamond"/>
                <w:lang w:val="en-AU"/>
              </w:rPr>
              <w:t>, culture is everyone’s business, the culture of an organisation is the culture that is lived and demonstrated every day</w:t>
            </w:r>
            <w:r>
              <w:rPr>
                <w:rFonts w:ascii="Garamond" w:hAnsi="Garamond"/>
                <w:lang w:val="en-AU"/>
              </w:rPr>
              <w:t xml:space="preserve"> throughout an organisation</w:t>
            </w:r>
            <w:r w:rsidR="00074D99">
              <w:rPr>
                <w:rFonts w:ascii="Garamond" w:hAnsi="Garamond"/>
                <w:lang w:val="en-AU"/>
              </w:rPr>
              <w:t>.</w:t>
            </w:r>
          </w:p>
        </w:tc>
      </w:tr>
    </w:tbl>
    <w:p w:rsidR="00140775" w:rsidRPr="00C3014C" w:rsidRDefault="00140775" w:rsidP="00140775">
      <w:pPr>
        <w:keepLines/>
        <w:autoSpaceDE w:val="0"/>
        <w:autoSpaceDN w:val="0"/>
        <w:adjustRightInd w:val="0"/>
        <w:rPr>
          <w:rFonts w:ascii="Garamond" w:hAnsi="Garamond"/>
          <w:lang w:val="en-AU"/>
        </w:rPr>
      </w:pPr>
    </w:p>
    <w:p w:rsidR="00E737A0" w:rsidRPr="00E737A0" w:rsidRDefault="00E737A0" w:rsidP="00E737A0">
      <w:pPr>
        <w:keepNext/>
        <w:rPr>
          <w:rFonts w:ascii="Garamond" w:hAnsi="Garamond"/>
          <w:i/>
          <w:lang w:val="en-AU"/>
        </w:rPr>
      </w:pPr>
      <w:r w:rsidRPr="00E737A0">
        <w:rPr>
          <w:rFonts w:ascii="Garamond" w:hAnsi="Garamond"/>
          <w:i/>
          <w:lang w:val="en-AU"/>
        </w:rPr>
        <w:lastRenderedPageBreak/>
        <w:t>Post-operative mortality, missed care and nurse staffing in nine countries: A cross-sectional study</w:t>
      </w:r>
    </w:p>
    <w:p w:rsidR="00E737A0" w:rsidRDefault="00E737A0" w:rsidP="00140775">
      <w:pPr>
        <w:keepNext/>
        <w:rPr>
          <w:rFonts w:ascii="Garamond" w:hAnsi="Garamond"/>
          <w:lang w:val="en-AU"/>
        </w:rPr>
      </w:pPr>
      <w:r w:rsidRPr="00E737A0">
        <w:rPr>
          <w:rFonts w:ascii="Garamond" w:hAnsi="Garamond"/>
          <w:lang w:val="en-AU"/>
        </w:rPr>
        <w:t>Ball JE, Bruyneel L, Aiken LH, Sermeus W, Sloane DM, Rafferty AM, et al</w:t>
      </w:r>
    </w:p>
    <w:p w:rsidR="00140775" w:rsidRPr="00C3014C" w:rsidRDefault="00E737A0" w:rsidP="00140775">
      <w:pPr>
        <w:keepNext/>
        <w:rPr>
          <w:rFonts w:ascii="Garamond" w:hAnsi="Garamond"/>
          <w:lang w:val="en-AU"/>
        </w:rPr>
      </w:pPr>
      <w:r w:rsidRPr="00E737A0">
        <w:rPr>
          <w:rFonts w:ascii="Garamond" w:hAnsi="Garamond"/>
          <w:lang w:val="en-AU"/>
        </w:rPr>
        <w:t>International Journal of Nursing Studies. 2017</w:t>
      </w:r>
      <w:r w:rsidR="00513774">
        <w:rPr>
          <w:rFonts w:ascii="Garamond" w:hAnsi="Garamond"/>
          <w:lang w:val="en-AU"/>
        </w:rPr>
        <w:t xml:space="preserve"> [epub]</w:t>
      </w:r>
      <w:r w:rsidRPr="00E737A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Pr="00C3014C" w:rsidRDefault="004F60FB" w:rsidP="00E1719F">
            <w:pPr>
              <w:rPr>
                <w:rStyle w:val="Hyperlink"/>
                <w:rFonts w:ascii="Garamond" w:hAnsi="Garamond"/>
                <w:color w:val="auto"/>
                <w:u w:val="none"/>
                <w:lang w:val="en-AU"/>
              </w:rPr>
            </w:pPr>
            <w:hyperlink r:id="rId32" w:history="1">
              <w:r w:rsidR="00E737A0" w:rsidRPr="00BC76F9">
                <w:rPr>
                  <w:rStyle w:val="Hyperlink"/>
                  <w:rFonts w:ascii="Garamond" w:hAnsi="Garamond"/>
                  <w:lang w:val="en-AU"/>
                </w:rPr>
                <w:t>http://dx.doi.org/10.1016/j.ijnurstu.2017.08.004</w:t>
              </w:r>
            </w:hyperlink>
          </w:p>
        </w:tc>
      </w:tr>
      <w:tr w:rsidR="00140775" w:rsidRPr="00C3014C" w:rsidTr="00E1719F">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0775" w:rsidRPr="00C3014C" w:rsidRDefault="0016422E" w:rsidP="000B4398">
            <w:pPr>
              <w:rPr>
                <w:rFonts w:ascii="Garamond" w:hAnsi="Garamond"/>
                <w:lang w:val="en-AU"/>
              </w:rPr>
            </w:pPr>
            <w:r>
              <w:rPr>
                <w:rFonts w:ascii="Garamond" w:hAnsi="Garamond"/>
                <w:lang w:val="en-AU"/>
              </w:rPr>
              <w:t xml:space="preserve">The importance of nursing care is not always appreciated, while the importance of nurse staffing is contentious. This study sought to examine if </w:t>
            </w:r>
            <w:r w:rsidRPr="0016422E">
              <w:rPr>
                <w:rFonts w:ascii="Garamond" w:hAnsi="Garamond"/>
                <w:lang w:val="en-AU"/>
              </w:rPr>
              <w:t xml:space="preserve">missed nursing care mediates the </w:t>
            </w:r>
            <w:r>
              <w:rPr>
                <w:rFonts w:ascii="Garamond" w:hAnsi="Garamond"/>
                <w:lang w:val="en-AU"/>
              </w:rPr>
              <w:t xml:space="preserve">previously </w:t>
            </w:r>
            <w:r w:rsidRPr="0016422E">
              <w:rPr>
                <w:rFonts w:ascii="Garamond" w:hAnsi="Garamond"/>
                <w:lang w:val="en-AU"/>
              </w:rPr>
              <w:t>observed association between nurse staffing levels and mortality.</w:t>
            </w:r>
            <w:r>
              <w:rPr>
                <w:rFonts w:ascii="Garamond" w:hAnsi="Garamond"/>
                <w:lang w:val="en-AU"/>
              </w:rPr>
              <w:t xml:space="preserve"> The study combined </w:t>
            </w:r>
            <w:r w:rsidRPr="0016422E">
              <w:rPr>
                <w:rFonts w:ascii="Garamond" w:hAnsi="Garamond"/>
                <w:lang w:val="en-AU"/>
              </w:rPr>
              <w:t xml:space="preserve">data on 422,730 surgical patients from 300 general acute hospitals in 9 countries, with survey data from 26,516 registered nurses, to examine </w:t>
            </w:r>
            <w:r>
              <w:rPr>
                <w:rFonts w:ascii="Garamond" w:hAnsi="Garamond"/>
                <w:lang w:val="en-AU"/>
              </w:rPr>
              <w:t xml:space="preserve">any </w:t>
            </w:r>
            <w:r w:rsidRPr="0016422E">
              <w:rPr>
                <w:rFonts w:ascii="Garamond" w:hAnsi="Garamond"/>
                <w:lang w:val="en-AU"/>
              </w:rPr>
              <w:t>associations between nurses’ staffing, missed care and 30-day in-patient mortality.</w:t>
            </w:r>
            <w:r>
              <w:rPr>
                <w:rFonts w:ascii="Garamond" w:hAnsi="Garamond"/>
                <w:lang w:val="en-AU"/>
              </w:rPr>
              <w:t xml:space="preserve"> The </w:t>
            </w:r>
            <w:r w:rsidR="000B4398">
              <w:rPr>
                <w:rFonts w:ascii="Garamond" w:hAnsi="Garamond"/>
                <w:lang w:val="en-AU"/>
              </w:rPr>
              <w:t xml:space="preserve">authors report finding that </w:t>
            </w:r>
            <w:r w:rsidR="000B4398" w:rsidRPr="000B4398">
              <w:rPr>
                <w:rFonts w:ascii="Garamond" w:hAnsi="Garamond"/>
                <w:b/>
                <w:lang w:val="en-AU"/>
              </w:rPr>
              <w:t>nurse staffing</w:t>
            </w:r>
            <w:r w:rsidR="000B4398" w:rsidRPr="000B4398">
              <w:rPr>
                <w:rFonts w:ascii="Garamond" w:hAnsi="Garamond"/>
                <w:lang w:val="en-AU"/>
              </w:rPr>
              <w:t xml:space="preserve"> and </w:t>
            </w:r>
            <w:r w:rsidR="000B4398" w:rsidRPr="000B4398">
              <w:rPr>
                <w:rFonts w:ascii="Garamond" w:hAnsi="Garamond"/>
                <w:b/>
                <w:lang w:val="en-AU"/>
              </w:rPr>
              <w:t>missed nursing care</w:t>
            </w:r>
            <w:r w:rsidR="000B4398" w:rsidRPr="000B4398">
              <w:rPr>
                <w:rFonts w:ascii="Garamond" w:hAnsi="Garamond"/>
                <w:lang w:val="en-AU"/>
              </w:rPr>
              <w:t xml:space="preserve"> were </w:t>
            </w:r>
            <w:r w:rsidR="000B4398" w:rsidRPr="000B4398">
              <w:rPr>
                <w:rFonts w:ascii="Garamond" w:hAnsi="Garamond"/>
                <w:b/>
                <w:lang w:val="en-AU"/>
              </w:rPr>
              <w:t>significantly associated with 30-day case-mix adjusted mortality</w:t>
            </w:r>
            <w:r w:rsidR="000B4398">
              <w:rPr>
                <w:rFonts w:ascii="Garamond" w:hAnsi="Garamond"/>
                <w:lang w:val="en-AU"/>
              </w:rPr>
              <w:t>, with a</w:t>
            </w:r>
            <w:r w:rsidR="000B4398" w:rsidRPr="000B4398">
              <w:rPr>
                <w:rFonts w:ascii="Garamond" w:hAnsi="Garamond"/>
                <w:lang w:val="en-AU"/>
              </w:rPr>
              <w:t>n increase in a nurse’s workload by one patient and a 10% increase in the percent of missed nursing care were associated with a 7% and 16% increase in the odds of a patient dying within 30 days of admission respectively.</w:t>
            </w:r>
            <w:r w:rsidR="000B4398">
              <w:rPr>
                <w:rFonts w:ascii="Garamond" w:hAnsi="Garamond"/>
                <w:lang w:val="en-AU"/>
              </w:rPr>
              <w:t xml:space="preserve"> </w:t>
            </w:r>
          </w:p>
        </w:tc>
      </w:tr>
    </w:tbl>
    <w:p w:rsidR="00C93829" w:rsidRDefault="00C93829" w:rsidP="00140775">
      <w:pPr>
        <w:keepLines/>
        <w:autoSpaceDE w:val="0"/>
        <w:autoSpaceDN w:val="0"/>
        <w:adjustRightInd w:val="0"/>
        <w:rPr>
          <w:rFonts w:ascii="Garamond" w:hAnsi="Garamond"/>
          <w:i/>
          <w:lang w:val="en-AU"/>
        </w:rPr>
      </w:pPr>
    </w:p>
    <w:p w:rsidR="00932B5D" w:rsidRPr="00932B5D" w:rsidRDefault="00932B5D" w:rsidP="00140775">
      <w:pPr>
        <w:keepLines/>
        <w:autoSpaceDE w:val="0"/>
        <w:autoSpaceDN w:val="0"/>
        <w:adjustRightInd w:val="0"/>
        <w:rPr>
          <w:rFonts w:ascii="Garamond" w:hAnsi="Garamond"/>
          <w:i/>
          <w:lang w:val="en-AU"/>
        </w:rPr>
      </w:pPr>
      <w:r w:rsidRPr="00932B5D">
        <w:rPr>
          <w:rFonts w:ascii="Garamond" w:hAnsi="Garamond"/>
          <w:i/>
          <w:lang w:val="en-AU"/>
        </w:rPr>
        <w:t>Frequency of low-value care in Alberta, Canada: a retrospective cohort study</w:t>
      </w:r>
    </w:p>
    <w:p w:rsidR="001D01D2" w:rsidRDefault="001D01D2" w:rsidP="00140775">
      <w:pPr>
        <w:keepLines/>
        <w:autoSpaceDE w:val="0"/>
        <w:autoSpaceDN w:val="0"/>
        <w:adjustRightInd w:val="0"/>
        <w:rPr>
          <w:rFonts w:ascii="Garamond" w:hAnsi="Garamond"/>
          <w:lang w:val="en-AU"/>
        </w:rPr>
      </w:pPr>
      <w:r w:rsidRPr="001D01D2">
        <w:rPr>
          <w:rFonts w:ascii="Garamond" w:hAnsi="Garamond"/>
          <w:lang w:val="en-AU"/>
        </w:rPr>
        <w:t>McAlister FA, Lin M, Bakal J, Dean S</w:t>
      </w:r>
    </w:p>
    <w:p w:rsidR="00932B5D" w:rsidRDefault="001D01D2" w:rsidP="00140775">
      <w:pPr>
        <w:keepLines/>
        <w:autoSpaceDE w:val="0"/>
        <w:autoSpaceDN w:val="0"/>
        <w:adjustRightInd w:val="0"/>
        <w:rPr>
          <w:rFonts w:ascii="Garamond" w:hAnsi="Garamond"/>
          <w:lang w:val="en-AU"/>
        </w:rPr>
      </w:pPr>
      <w:r w:rsidRPr="001D01D2">
        <w:rPr>
          <w:rFonts w:ascii="Garamond" w:hAnsi="Garamond"/>
          <w:lang w:val="en-AU"/>
        </w:rPr>
        <w:t>BMJ Quality &amp; Safety. 2017</w:t>
      </w:r>
      <w:r w:rsidR="004F60FB">
        <w:rPr>
          <w:rFonts w:ascii="Garamond" w:hAnsi="Garamond"/>
          <w:lang w:val="en-AU"/>
        </w:rPr>
        <w:t xml:space="preserve"> [epub]</w:t>
      </w:r>
      <w:r w:rsidRPr="001D01D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32B5D"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932B5D" w:rsidRPr="00C3014C" w:rsidRDefault="00932B5D" w:rsidP="007F583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2B5D" w:rsidRPr="00C3014C" w:rsidRDefault="004F60FB" w:rsidP="007F5832">
            <w:pPr>
              <w:rPr>
                <w:rStyle w:val="Hyperlink"/>
                <w:rFonts w:ascii="Garamond" w:hAnsi="Garamond"/>
                <w:color w:val="auto"/>
                <w:u w:val="none"/>
                <w:lang w:val="en-AU"/>
              </w:rPr>
            </w:pPr>
            <w:hyperlink r:id="rId33" w:history="1">
              <w:r w:rsidR="001D01D2" w:rsidRPr="0034426A">
                <w:rPr>
                  <w:rStyle w:val="Hyperlink"/>
                  <w:rFonts w:ascii="Garamond" w:hAnsi="Garamond"/>
                  <w:lang w:val="en-AU"/>
                </w:rPr>
                <w:t>http://dx.doi.org/10.1136/bmjqs-2017-006778</w:t>
              </w:r>
            </w:hyperlink>
          </w:p>
        </w:tc>
      </w:tr>
      <w:tr w:rsidR="00932B5D"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932B5D" w:rsidRPr="00C3014C" w:rsidRDefault="00932B5D" w:rsidP="007F583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4398" w:rsidRPr="000B4398" w:rsidRDefault="000B4398" w:rsidP="000B4398">
            <w:pPr>
              <w:rPr>
                <w:rFonts w:ascii="Garamond" w:hAnsi="Garamond"/>
                <w:lang w:val="en-AU"/>
              </w:rPr>
            </w:pPr>
            <w:r>
              <w:rPr>
                <w:rFonts w:ascii="Garamond" w:hAnsi="Garamond"/>
                <w:lang w:val="en-AU"/>
              </w:rPr>
              <w:t xml:space="preserve">This Canadian </w:t>
            </w:r>
            <w:r w:rsidRPr="000B4398">
              <w:rPr>
                <w:rFonts w:ascii="Garamond" w:hAnsi="Garamond"/>
                <w:lang w:val="en-AU"/>
              </w:rPr>
              <w:t>retrospective cohort study</w:t>
            </w:r>
            <w:r>
              <w:rPr>
                <w:rFonts w:ascii="Garamond" w:hAnsi="Garamond"/>
                <w:lang w:val="en-AU"/>
              </w:rPr>
              <w:t xml:space="preserve"> used </w:t>
            </w:r>
            <w:r w:rsidRPr="000B4398">
              <w:rPr>
                <w:rFonts w:ascii="Garamond" w:hAnsi="Garamond"/>
                <w:lang w:val="en-AU"/>
              </w:rPr>
              <w:t>routinely collected health data from five linked data sets from 2012 to 2015</w:t>
            </w:r>
            <w:r>
              <w:rPr>
                <w:rFonts w:ascii="Garamond" w:hAnsi="Garamond"/>
                <w:lang w:val="en-AU"/>
              </w:rPr>
              <w:t xml:space="preserve"> in order to estimate </w:t>
            </w:r>
            <w:r w:rsidRPr="000B4398">
              <w:rPr>
                <w:rFonts w:ascii="Garamond" w:hAnsi="Garamond"/>
                <w:lang w:val="en-AU"/>
              </w:rPr>
              <w:t xml:space="preserve">how frequently 10 low-value services highlighted by </w:t>
            </w:r>
            <w:r>
              <w:rPr>
                <w:rFonts w:ascii="Garamond" w:hAnsi="Garamond"/>
                <w:lang w:val="en-AU"/>
              </w:rPr>
              <w:t xml:space="preserve">the </w:t>
            </w:r>
            <w:r w:rsidRPr="000B4398">
              <w:rPr>
                <w:rFonts w:ascii="Garamond" w:hAnsi="Garamond"/>
                <w:lang w:val="en-AU"/>
              </w:rPr>
              <w:t xml:space="preserve">Choosing Wisely </w:t>
            </w:r>
            <w:r>
              <w:rPr>
                <w:rFonts w:ascii="Garamond" w:hAnsi="Garamond"/>
                <w:lang w:val="en-AU"/>
              </w:rPr>
              <w:t xml:space="preserve">campaign </w:t>
            </w:r>
            <w:r w:rsidRPr="000B4398">
              <w:rPr>
                <w:rFonts w:ascii="Garamond" w:hAnsi="Garamond"/>
                <w:lang w:val="en-AU"/>
              </w:rPr>
              <w:t>are done and what factors influence their provision.</w:t>
            </w:r>
          </w:p>
          <w:p w:rsidR="001D01D2" w:rsidRPr="001D01D2" w:rsidRDefault="001D01D2" w:rsidP="001D01D2">
            <w:pPr>
              <w:rPr>
                <w:rFonts w:ascii="Garamond" w:hAnsi="Garamond"/>
                <w:lang w:val="en-AU"/>
              </w:rPr>
            </w:pPr>
            <w:r>
              <w:rPr>
                <w:rFonts w:ascii="Garamond" w:hAnsi="Garamond"/>
                <w:lang w:val="en-AU"/>
              </w:rPr>
              <w:t xml:space="preserve">In the period 2002 to 2015, </w:t>
            </w:r>
            <w:r w:rsidRPr="001D01D2">
              <w:rPr>
                <w:rFonts w:ascii="Garamond" w:hAnsi="Garamond"/>
                <w:lang w:val="en-AU"/>
              </w:rPr>
              <w:t>162</w:t>
            </w:r>
            <w:r w:rsidRPr="001D01D2">
              <w:rPr>
                <w:lang w:val="en-AU"/>
              </w:rPr>
              <w:t> </w:t>
            </w:r>
            <w:r w:rsidRPr="001D01D2">
              <w:rPr>
                <w:rFonts w:ascii="Garamond" w:hAnsi="Garamond"/>
                <w:lang w:val="en-AU"/>
              </w:rPr>
              <w:t>143 people (</w:t>
            </w:r>
            <w:r w:rsidRPr="001D01D2">
              <w:rPr>
                <w:rFonts w:ascii="Garamond" w:hAnsi="Garamond"/>
                <w:b/>
                <w:lang w:val="en-AU"/>
              </w:rPr>
              <w:t>4%</w:t>
            </w:r>
            <w:r w:rsidRPr="001D01D2">
              <w:rPr>
                <w:rFonts w:ascii="Garamond" w:hAnsi="Garamond"/>
                <w:lang w:val="en-AU"/>
              </w:rPr>
              <w:t xml:space="preserve"> of all adult</w:t>
            </w:r>
            <w:r>
              <w:rPr>
                <w:rFonts w:ascii="Garamond" w:hAnsi="Garamond"/>
                <w:lang w:val="en-AU"/>
              </w:rPr>
              <w:t xml:space="preserve">s in the province of </w:t>
            </w:r>
            <w:r w:rsidRPr="001D01D2">
              <w:rPr>
                <w:rFonts w:ascii="Garamond" w:hAnsi="Garamond"/>
                <w:lang w:val="en-AU"/>
              </w:rPr>
              <w:t xml:space="preserve">Alberta and 5% of the </w:t>
            </w:r>
            <w:r>
              <w:rPr>
                <w:rFonts w:ascii="Garamond" w:hAnsi="Garamond"/>
                <w:lang w:val="en-AU"/>
              </w:rPr>
              <w:t xml:space="preserve">people </w:t>
            </w:r>
            <w:r w:rsidRPr="001D01D2">
              <w:rPr>
                <w:rFonts w:ascii="Garamond" w:hAnsi="Garamond"/>
                <w:lang w:val="en-AU"/>
              </w:rPr>
              <w:t xml:space="preserve">who saw a physician at least once) </w:t>
            </w:r>
            <w:r w:rsidRPr="001D01D2">
              <w:rPr>
                <w:rFonts w:ascii="Garamond" w:hAnsi="Garamond"/>
                <w:b/>
                <w:lang w:val="en-AU"/>
              </w:rPr>
              <w:t>received at least one of the 10 low-value services</w:t>
            </w:r>
            <w:r w:rsidRPr="001D01D2">
              <w:rPr>
                <w:rFonts w:ascii="Garamond" w:hAnsi="Garamond"/>
                <w:lang w:val="en-AU"/>
              </w:rPr>
              <w:t xml:space="preserve">, including 29.8% of Albertans older than 75 years. The proportion receiving low-value services ranged from carotid artery imaging in 0.1% of asymptomatic adults without cerebrovascular disease, to prostate-specific antigen </w:t>
            </w:r>
            <w:r w:rsidRPr="001D01D2">
              <w:rPr>
                <w:rFonts w:ascii="Garamond" w:hAnsi="Garamond"/>
                <w:b/>
                <w:lang w:val="en-AU"/>
              </w:rPr>
              <w:t>(PSA) testing in 55.5%</w:t>
            </w:r>
            <w:r w:rsidRPr="001D01D2">
              <w:rPr>
                <w:rFonts w:ascii="Garamond" w:hAnsi="Garamond"/>
                <w:lang w:val="en-AU"/>
              </w:rPr>
              <w:t xml:space="preserve"> of men 75 years or older without a history of prostate cancer. The low-value services which resulted in the </w:t>
            </w:r>
            <w:r w:rsidRPr="001D01D2">
              <w:rPr>
                <w:rFonts w:ascii="Garamond" w:hAnsi="Garamond"/>
                <w:b/>
                <w:lang w:val="en-AU"/>
              </w:rPr>
              <w:t>greatest costs</w:t>
            </w:r>
            <w:r w:rsidRPr="001D01D2">
              <w:rPr>
                <w:rFonts w:ascii="Garamond" w:hAnsi="Garamond"/>
                <w:lang w:val="en-AU"/>
              </w:rPr>
              <w:t xml:space="preserve"> to the healthcare system were </w:t>
            </w:r>
            <w:r w:rsidRPr="001D01D2">
              <w:rPr>
                <w:rFonts w:ascii="Garamond" w:hAnsi="Garamond"/>
                <w:b/>
                <w:lang w:val="en-AU"/>
              </w:rPr>
              <w:t>cervical cancer screening</w:t>
            </w:r>
            <w:r w:rsidRPr="001D01D2">
              <w:rPr>
                <w:rFonts w:ascii="Garamond" w:hAnsi="Garamond"/>
                <w:lang w:val="en-AU"/>
              </w:rPr>
              <w:t xml:space="preserve"> in women older than 65 without history of cervical dysplasia or genital cancer, </w:t>
            </w:r>
            <w:r w:rsidRPr="001D01D2">
              <w:rPr>
                <w:rFonts w:ascii="Garamond" w:hAnsi="Garamond"/>
                <w:b/>
                <w:lang w:val="en-AU"/>
              </w:rPr>
              <w:t>PSA testing</w:t>
            </w:r>
            <w:r w:rsidRPr="001D01D2">
              <w:rPr>
                <w:rFonts w:ascii="Garamond" w:hAnsi="Garamond"/>
                <w:lang w:val="en-AU"/>
              </w:rPr>
              <w:t xml:space="preserve"> in men older than 75 without history of prostate cancer and </w:t>
            </w:r>
            <w:r w:rsidRPr="001D01D2">
              <w:rPr>
                <w:rFonts w:ascii="Garamond" w:hAnsi="Garamond"/>
                <w:b/>
                <w:lang w:val="en-AU"/>
              </w:rPr>
              <w:t>preoperative stress testing/cardiac imaging</w:t>
            </w:r>
            <w:r w:rsidRPr="001D01D2">
              <w:rPr>
                <w:rFonts w:ascii="Garamond" w:hAnsi="Garamond"/>
                <w:lang w:val="en-AU"/>
              </w:rPr>
              <w:t xml:space="preserve"> before non-cardiac surgery.</w:t>
            </w:r>
          </w:p>
          <w:p w:rsidR="001D01D2" w:rsidRPr="00C3014C" w:rsidRDefault="001D01D2" w:rsidP="001D01D2">
            <w:pPr>
              <w:rPr>
                <w:rFonts w:ascii="Garamond" w:hAnsi="Garamond"/>
                <w:lang w:val="en-AU"/>
              </w:rPr>
            </w:pPr>
            <w:r>
              <w:rPr>
                <w:rFonts w:ascii="Garamond" w:hAnsi="Garamond"/>
                <w:lang w:val="en-AU"/>
              </w:rPr>
              <w:t>The author</w:t>
            </w:r>
            <w:r w:rsidR="004F60FB">
              <w:rPr>
                <w:rFonts w:ascii="Garamond" w:hAnsi="Garamond"/>
                <w:lang w:val="en-AU"/>
              </w:rPr>
              <w:t>s</w:t>
            </w:r>
            <w:r>
              <w:rPr>
                <w:rFonts w:ascii="Garamond" w:hAnsi="Garamond"/>
                <w:lang w:val="en-AU"/>
              </w:rPr>
              <w:t xml:space="preserve"> conclude that “</w:t>
            </w:r>
            <w:r w:rsidRPr="001D01D2">
              <w:rPr>
                <w:rFonts w:ascii="Garamond" w:hAnsi="Garamond"/>
                <w:lang w:val="en-AU"/>
              </w:rPr>
              <w:t>Even within a universal coverage healthcare system, the proportion of patients receiving low-value services varied widely (from &lt;0.1%</w:t>
            </w:r>
            <w:r w:rsidRPr="001D01D2">
              <w:rPr>
                <w:lang w:val="en-AU"/>
              </w:rPr>
              <w:t> </w:t>
            </w:r>
            <w:r w:rsidRPr="001D01D2">
              <w:rPr>
                <w:rFonts w:ascii="Garamond" w:hAnsi="Garamond"/>
                <w:lang w:val="en-AU"/>
              </w:rPr>
              <w:t>to 56%). Increased use was associated with higher socioeconomic status, increased frequency of specialist contact and higher ratio of specialists to primary care physicians.</w:t>
            </w:r>
            <w:r>
              <w:rPr>
                <w:rFonts w:ascii="Garamond" w:hAnsi="Garamond"/>
                <w:lang w:val="en-AU"/>
              </w:rPr>
              <w:t>”</w:t>
            </w:r>
          </w:p>
        </w:tc>
      </w:tr>
    </w:tbl>
    <w:p w:rsidR="00E737A0" w:rsidRPr="00C3014C" w:rsidRDefault="00E737A0" w:rsidP="00140775">
      <w:pPr>
        <w:keepLines/>
        <w:autoSpaceDE w:val="0"/>
        <w:autoSpaceDN w:val="0"/>
        <w:adjustRightInd w:val="0"/>
        <w:rPr>
          <w:rFonts w:ascii="Garamond" w:hAnsi="Garamond"/>
          <w:lang w:val="en-AU"/>
        </w:rPr>
      </w:pPr>
    </w:p>
    <w:p w:rsidR="00140775" w:rsidRPr="00C3014C" w:rsidRDefault="007F6F5D" w:rsidP="0092070C">
      <w:pPr>
        <w:keepNext/>
        <w:rPr>
          <w:rFonts w:ascii="Garamond" w:hAnsi="Garamond"/>
          <w:i/>
          <w:lang w:val="en-AU"/>
        </w:rPr>
      </w:pPr>
      <w:r w:rsidRPr="00C3014C">
        <w:rPr>
          <w:rFonts w:ascii="Garamond" w:hAnsi="Garamond"/>
          <w:i/>
          <w:lang w:val="en-AU"/>
        </w:rPr>
        <w:t>HealthcarePapers</w:t>
      </w:r>
    </w:p>
    <w:p w:rsidR="007F6F5D" w:rsidRPr="00C3014C" w:rsidRDefault="007F6F5D" w:rsidP="007F6F5D">
      <w:pPr>
        <w:keepNext/>
        <w:rPr>
          <w:rFonts w:ascii="Garamond" w:hAnsi="Garamond"/>
          <w:lang w:val="en-AU"/>
        </w:rPr>
      </w:pPr>
      <w:r w:rsidRPr="00C3014C">
        <w:rPr>
          <w:rFonts w:ascii="Garamond" w:hAnsi="Garamond"/>
          <w:lang w:val="en-AU"/>
        </w:rPr>
        <w:t>Vol. 16, No. 4, 2017</w:t>
      </w:r>
    </w:p>
    <w:tbl>
      <w:tblPr>
        <w:tblStyle w:val="TableGrid"/>
        <w:tblW w:w="0" w:type="auto"/>
        <w:tblInd w:w="288" w:type="dxa"/>
        <w:tblLayout w:type="fixed"/>
        <w:tblLook w:val="01E0" w:firstRow="1" w:lastRow="1" w:firstColumn="1" w:lastColumn="1" w:noHBand="0" w:noVBand="0"/>
      </w:tblPr>
      <w:tblGrid>
        <w:gridCol w:w="1080"/>
        <w:gridCol w:w="8280"/>
      </w:tblGrid>
      <w:tr w:rsidR="007F6F5D" w:rsidRPr="00C3014C" w:rsidTr="00DC60AF">
        <w:tc>
          <w:tcPr>
            <w:tcW w:w="1080" w:type="dxa"/>
            <w:tcBorders>
              <w:top w:val="single" w:sz="4" w:space="0" w:color="auto"/>
              <w:left w:val="single" w:sz="4" w:space="0" w:color="auto"/>
              <w:bottom w:val="single" w:sz="4" w:space="0" w:color="auto"/>
              <w:right w:val="single" w:sz="4" w:space="0" w:color="auto"/>
            </w:tcBorders>
            <w:vAlign w:val="center"/>
          </w:tcPr>
          <w:p w:rsidR="007F6F5D" w:rsidRPr="00C3014C" w:rsidRDefault="007F6F5D" w:rsidP="00DC60AF">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F6F5D" w:rsidRPr="00C3014C" w:rsidRDefault="004F60FB" w:rsidP="00DC60AF">
            <w:pPr>
              <w:rPr>
                <w:rStyle w:val="Hyperlink"/>
                <w:rFonts w:ascii="Garamond" w:hAnsi="Garamond"/>
                <w:color w:val="auto"/>
                <w:u w:val="none"/>
                <w:lang w:val="en-AU"/>
              </w:rPr>
            </w:pPr>
            <w:hyperlink r:id="rId34" w:history="1">
              <w:r w:rsidR="007F6F5D" w:rsidRPr="00C3014C">
                <w:rPr>
                  <w:rStyle w:val="Hyperlink"/>
                  <w:rFonts w:ascii="Garamond" w:hAnsi="Garamond"/>
                  <w:lang w:val="en-AU"/>
                </w:rPr>
                <w:t>http://www.longwoods.com/publications/healthcarepapers/25197</w:t>
              </w:r>
            </w:hyperlink>
          </w:p>
        </w:tc>
      </w:tr>
      <w:tr w:rsidR="007F6F5D" w:rsidRPr="00C3014C" w:rsidTr="00DC60AF">
        <w:tc>
          <w:tcPr>
            <w:tcW w:w="1080" w:type="dxa"/>
            <w:tcBorders>
              <w:top w:val="single" w:sz="4" w:space="0" w:color="auto"/>
              <w:left w:val="single" w:sz="4" w:space="0" w:color="auto"/>
              <w:bottom w:val="single" w:sz="4" w:space="0" w:color="auto"/>
              <w:right w:val="single" w:sz="4" w:space="0" w:color="auto"/>
            </w:tcBorders>
            <w:vAlign w:val="center"/>
          </w:tcPr>
          <w:p w:rsidR="007F6F5D" w:rsidRPr="00C3014C" w:rsidRDefault="007F6F5D" w:rsidP="00DC60AF">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7F00" w:rsidRPr="00C3014C" w:rsidRDefault="00587F00" w:rsidP="00DC60AF">
            <w:pPr>
              <w:rPr>
                <w:rFonts w:ascii="Garamond" w:hAnsi="Garamond"/>
                <w:lang w:val="en-AU"/>
              </w:rPr>
            </w:pPr>
            <w:r w:rsidRPr="00C3014C">
              <w:rPr>
                <w:rFonts w:ascii="Garamond" w:hAnsi="Garamond"/>
                <w:lang w:val="en-AU"/>
              </w:rPr>
              <w:t xml:space="preserve">A new issue of </w:t>
            </w:r>
            <w:r w:rsidRPr="00C3014C">
              <w:rPr>
                <w:rFonts w:ascii="Garamond" w:hAnsi="Garamond"/>
                <w:i/>
                <w:lang w:val="en-AU"/>
              </w:rPr>
              <w:t xml:space="preserve">HealthcarePapers </w:t>
            </w:r>
            <w:r w:rsidRPr="00C3014C">
              <w:rPr>
                <w:rFonts w:ascii="Garamond" w:hAnsi="Garamond"/>
                <w:lang w:val="en-AU"/>
              </w:rPr>
              <w:t xml:space="preserve">has been published, with the theme ‘Enabling Evolving Practice for Healthcare Professionals: A Regulator’s Journey’. Articles in this issue of </w:t>
            </w:r>
            <w:r w:rsidRPr="00C3014C">
              <w:rPr>
                <w:rFonts w:ascii="Garamond" w:hAnsi="Garamond"/>
                <w:i/>
                <w:lang w:val="en-AU"/>
              </w:rPr>
              <w:t xml:space="preserve">HealthcarePapers </w:t>
            </w:r>
            <w:r w:rsidRPr="00C3014C">
              <w:rPr>
                <w:rFonts w:ascii="Garamond" w:hAnsi="Garamond"/>
                <w:lang w:val="en-AU"/>
              </w:rPr>
              <w:t>include:</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lang w:val="en-AU"/>
              </w:rPr>
              <w:t xml:space="preserve">Defining </w:t>
            </w:r>
            <w:r w:rsidRPr="00C3014C">
              <w:rPr>
                <w:rFonts w:ascii="Garamond" w:hAnsi="Garamond"/>
                <w:b/>
                <w:lang w:val="en-AU"/>
              </w:rPr>
              <w:t>Health Profession Regulators’ Roles</w:t>
            </w:r>
            <w:r w:rsidRPr="00C3014C">
              <w:rPr>
                <w:rFonts w:ascii="Garamond" w:hAnsi="Garamond"/>
                <w:lang w:val="en-AU"/>
              </w:rPr>
              <w:t xml:space="preserve"> in the Canadian Healthcare System (Joshua Tepper, Humayun Ahmed and Adalsteinn D. Brown)</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lang w:val="en-AU"/>
              </w:rPr>
              <w:t xml:space="preserve">Enabling </w:t>
            </w:r>
            <w:r w:rsidRPr="00C3014C">
              <w:rPr>
                <w:rFonts w:ascii="Garamond" w:hAnsi="Garamond"/>
                <w:b/>
                <w:lang w:val="en-AU"/>
              </w:rPr>
              <w:t>Evolving Practice for Healthcare Professionals</w:t>
            </w:r>
            <w:r w:rsidRPr="00C3014C">
              <w:rPr>
                <w:rFonts w:ascii="Garamond" w:hAnsi="Garamond"/>
                <w:lang w:val="en-AU"/>
              </w:rPr>
              <w:t>: A Regulator’s Journey (Kathy Wilkie and John Tzountzouris)</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b/>
                <w:lang w:val="en-AU"/>
              </w:rPr>
              <w:lastRenderedPageBreak/>
              <w:t>Professional Healthcare Regulation and Practice</w:t>
            </w:r>
            <w:r w:rsidRPr="00C3014C">
              <w:rPr>
                <w:rFonts w:ascii="Garamond" w:hAnsi="Garamond"/>
                <w:lang w:val="en-AU"/>
              </w:rPr>
              <w:t>: The Case of Medicine in Britain (Mike Saks)</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b/>
                <w:lang w:val="en-AU"/>
              </w:rPr>
              <w:t>Evolving Professional Regulation</w:t>
            </w:r>
            <w:r w:rsidRPr="00C3014C">
              <w:rPr>
                <w:rFonts w:ascii="Garamond" w:hAnsi="Garamond"/>
                <w:lang w:val="en-AU"/>
              </w:rPr>
              <w:t>: Keeping up with Health System Evolution (Elizabeth F. Wenghofer and Sophia M Kam)</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lang w:val="en-AU"/>
              </w:rPr>
              <w:t xml:space="preserve">Medical </w:t>
            </w:r>
            <w:r w:rsidRPr="00C3014C">
              <w:rPr>
                <w:rFonts w:ascii="Garamond" w:hAnsi="Garamond"/>
                <w:b/>
                <w:lang w:val="en-AU"/>
              </w:rPr>
              <w:t>Laboratory Technologists</w:t>
            </w:r>
            <w:r w:rsidRPr="00C3014C">
              <w:rPr>
                <w:rFonts w:ascii="Garamond" w:hAnsi="Garamond"/>
                <w:lang w:val="en-AU"/>
              </w:rPr>
              <w:t xml:space="preserve"> as Positive </w:t>
            </w:r>
            <w:r w:rsidRPr="00C3014C">
              <w:rPr>
                <w:rFonts w:ascii="Garamond" w:hAnsi="Garamond"/>
                <w:b/>
                <w:lang w:val="en-AU"/>
              </w:rPr>
              <w:t>Quality Improvement Team Members</w:t>
            </w:r>
            <w:r w:rsidRPr="00C3014C">
              <w:rPr>
                <w:rFonts w:ascii="Garamond" w:hAnsi="Garamond"/>
                <w:lang w:val="en-AU"/>
              </w:rPr>
              <w:t xml:space="preserve"> (Dennis Kendel)</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lang w:val="en-AU"/>
              </w:rPr>
              <w:t xml:space="preserve">Using Trends to </w:t>
            </w:r>
            <w:r w:rsidRPr="00C3014C">
              <w:rPr>
                <w:rFonts w:ascii="Garamond" w:hAnsi="Garamond"/>
                <w:b/>
                <w:lang w:val="en-AU"/>
              </w:rPr>
              <w:t>Inform Regulatory Practices</w:t>
            </w:r>
            <w:r w:rsidRPr="00C3014C">
              <w:rPr>
                <w:rFonts w:ascii="Garamond" w:hAnsi="Garamond"/>
                <w:lang w:val="en-AU"/>
              </w:rPr>
              <w:t xml:space="preserve"> (Christine Penney and Alison Wainwright)</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lang w:val="en-AU"/>
              </w:rPr>
              <w:t xml:space="preserve">Ensuring Proactive </w:t>
            </w:r>
            <w:r w:rsidRPr="00C3014C">
              <w:rPr>
                <w:rFonts w:ascii="Garamond" w:hAnsi="Garamond"/>
                <w:b/>
                <w:lang w:val="en-AU"/>
              </w:rPr>
              <w:t>Regulatory Initiatives</w:t>
            </w:r>
            <w:r w:rsidRPr="00C3014C">
              <w:rPr>
                <w:rFonts w:ascii="Garamond" w:hAnsi="Garamond"/>
                <w:lang w:val="en-AU"/>
              </w:rPr>
              <w:t xml:space="preserve"> Align with the </w:t>
            </w:r>
            <w:r w:rsidRPr="00C3014C">
              <w:rPr>
                <w:rFonts w:ascii="Garamond" w:hAnsi="Garamond"/>
                <w:b/>
                <w:lang w:val="en-AU"/>
              </w:rPr>
              <w:t>Public Interest</w:t>
            </w:r>
            <w:r w:rsidRPr="00C3014C">
              <w:rPr>
                <w:rFonts w:ascii="Garamond" w:hAnsi="Garamond"/>
                <w:lang w:val="en-AU"/>
              </w:rPr>
              <w:t xml:space="preserve"> (Kathleen Leslie and Sioban Nelson)</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lang w:val="en-AU"/>
              </w:rPr>
              <w:t xml:space="preserve">Enhancing the </w:t>
            </w:r>
            <w:r w:rsidRPr="00C3014C">
              <w:rPr>
                <w:rFonts w:ascii="Garamond" w:hAnsi="Garamond"/>
                <w:b/>
                <w:lang w:val="en-AU"/>
              </w:rPr>
              <w:t xml:space="preserve">Relationship Between Regulators </w:t>
            </w:r>
            <w:r w:rsidRPr="00C3014C">
              <w:rPr>
                <w:rFonts w:ascii="Garamond" w:hAnsi="Garamond"/>
                <w:lang w:val="en-AU"/>
              </w:rPr>
              <w:t>and Their</w:t>
            </w:r>
            <w:r w:rsidRPr="00C3014C">
              <w:rPr>
                <w:rFonts w:ascii="Garamond" w:hAnsi="Garamond"/>
                <w:b/>
                <w:lang w:val="en-AU"/>
              </w:rPr>
              <w:t xml:space="preserve"> Profession</w:t>
            </w:r>
            <w:r w:rsidRPr="00C3014C">
              <w:rPr>
                <w:rFonts w:ascii="Garamond" w:hAnsi="Garamond"/>
                <w:lang w:val="en-AU"/>
              </w:rPr>
              <w:t xml:space="preserve"> (Zubin Austin)</w:t>
            </w:r>
          </w:p>
          <w:p w:rsidR="00587F00" w:rsidRPr="00C3014C" w:rsidRDefault="00587F00" w:rsidP="006F2725">
            <w:pPr>
              <w:pStyle w:val="ListParagraph"/>
              <w:numPr>
                <w:ilvl w:val="0"/>
                <w:numId w:val="15"/>
              </w:numPr>
              <w:rPr>
                <w:rFonts w:ascii="Garamond" w:hAnsi="Garamond"/>
                <w:lang w:val="en-AU"/>
              </w:rPr>
            </w:pPr>
            <w:r w:rsidRPr="00C3014C">
              <w:rPr>
                <w:rFonts w:ascii="Garamond" w:hAnsi="Garamond"/>
                <w:lang w:val="en-AU"/>
              </w:rPr>
              <w:t xml:space="preserve">Acting in the </w:t>
            </w:r>
            <w:r w:rsidRPr="00C3014C">
              <w:rPr>
                <w:rFonts w:ascii="Garamond" w:hAnsi="Garamond"/>
                <w:b/>
                <w:lang w:val="en-AU"/>
              </w:rPr>
              <w:t>Public Interest</w:t>
            </w:r>
            <w:r w:rsidRPr="00C3014C">
              <w:rPr>
                <w:rFonts w:ascii="Garamond" w:hAnsi="Garamond"/>
                <w:lang w:val="en-AU"/>
              </w:rPr>
              <w:t xml:space="preserve">: The Heart of </w:t>
            </w:r>
            <w:r w:rsidRPr="00C3014C">
              <w:rPr>
                <w:rFonts w:ascii="Garamond" w:hAnsi="Garamond"/>
                <w:b/>
                <w:lang w:val="en-AU"/>
              </w:rPr>
              <w:t>Professional Regulation</w:t>
            </w:r>
            <w:r w:rsidRPr="00C3014C">
              <w:rPr>
                <w:rFonts w:ascii="Garamond" w:hAnsi="Garamond"/>
                <w:lang w:val="en-AU"/>
              </w:rPr>
              <w:t xml:space="preserve"> (Heidi M Oetter and Cynthia Johansen)</w:t>
            </w:r>
          </w:p>
          <w:p w:rsidR="007F6F5D" w:rsidRPr="00C3014C" w:rsidRDefault="00587F00" w:rsidP="006F2725">
            <w:pPr>
              <w:pStyle w:val="ListParagraph"/>
              <w:numPr>
                <w:ilvl w:val="0"/>
                <w:numId w:val="15"/>
              </w:numPr>
              <w:rPr>
                <w:rFonts w:ascii="Garamond" w:hAnsi="Garamond"/>
                <w:lang w:val="en-AU"/>
              </w:rPr>
            </w:pPr>
            <w:r w:rsidRPr="00C3014C">
              <w:rPr>
                <w:rFonts w:ascii="Garamond" w:hAnsi="Garamond"/>
                <w:b/>
                <w:lang w:val="en-AU"/>
              </w:rPr>
              <w:t xml:space="preserve">Regulatory Models </w:t>
            </w:r>
            <w:r w:rsidRPr="00C3014C">
              <w:rPr>
                <w:rFonts w:ascii="Garamond" w:hAnsi="Garamond"/>
                <w:lang w:val="en-AU"/>
              </w:rPr>
              <w:t>and</w:t>
            </w:r>
            <w:r w:rsidRPr="00C3014C">
              <w:rPr>
                <w:rFonts w:ascii="Garamond" w:hAnsi="Garamond"/>
                <w:b/>
                <w:lang w:val="en-AU"/>
              </w:rPr>
              <w:t xml:space="preserve"> Model Behaviours</w:t>
            </w:r>
            <w:r w:rsidRPr="00C3014C">
              <w:rPr>
                <w:rFonts w:ascii="Garamond" w:hAnsi="Garamond"/>
                <w:lang w:val="en-AU"/>
              </w:rPr>
              <w:t xml:space="preserve"> (Kathy Wilkie and John Tzountzouris)</w:t>
            </w:r>
          </w:p>
        </w:tc>
      </w:tr>
    </w:tbl>
    <w:p w:rsidR="007F6F5D" w:rsidRPr="00C3014C" w:rsidRDefault="007F6F5D" w:rsidP="007F6F5D">
      <w:pPr>
        <w:keepLines/>
        <w:autoSpaceDE w:val="0"/>
        <w:autoSpaceDN w:val="0"/>
        <w:adjustRightInd w:val="0"/>
        <w:rPr>
          <w:rFonts w:ascii="Garamond" w:hAnsi="Garamond"/>
          <w:lang w:val="en-AU"/>
        </w:rPr>
      </w:pPr>
    </w:p>
    <w:p w:rsidR="00140775" w:rsidRPr="00C3014C" w:rsidRDefault="00140775" w:rsidP="00140775">
      <w:pPr>
        <w:keepNext/>
        <w:rPr>
          <w:rFonts w:ascii="Garamond" w:hAnsi="Garamond"/>
          <w:lang w:val="en-AU"/>
        </w:rPr>
      </w:pPr>
      <w:r w:rsidRPr="00C3014C">
        <w:rPr>
          <w:rFonts w:ascii="Garamond" w:hAnsi="Garamond"/>
          <w:i/>
          <w:lang w:val="en-AU"/>
        </w:rPr>
        <w:t xml:space="preserve">BMJ Quality and Safety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40775" w:rsidRPr="00C3014C" w:rsidTr="00E1719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keepNext/>
              <w:rPr>
                <w:rFonts w:ascii="Garamond" w:hAnsi="Garamond"/>
                <w:lang w:val="en-AU"/>
              </w:rPr>
            </w:pPr>
            <w:r w:rsidRPr="00C3014C">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40775" w:rsidRPr="00C3014C" w:rsidRDefault="004F60FB" w:rsidP="00E1719F">
            <w:pPr>
              <w:keepNext/>
              <w:rPr>
                <w:rFonts w:ascii="Garamond" w:hAnsi="Garamond"/>
                <w:lang w:val="en-AU"/>
              </w:rPr>
            </w:pPr>
            <w:hyperlink r:id="rId35" w:history="1">
              <w:r w:rsidR="00140775" w:rsidRPr="00C3014C">
                <w:rPr>
                  <w:rStyle w:val="Hyperlink"/>
                  <w:rFonts w:ascii="Garamond" w:hAnsi="Garamond"/>
                  <w:lang w:val="en-AU"/>
                </w:rPr>
                <w:t>https://qualitysafety.bmj.com/content/early/recent</w:t>
              </w:r>
            </w:hyperlink>
          </w:p>
        </w:tc>
      </w:tr>
      <w:tr w:rsidR="00140775" w:rsidRPr="00C3014C" w:rsidTr="00E1719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rPr>
            </w:pPr>
            <w:r w:rsidRPr="00C3014C">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40775" w:rsidRPr="00C3014C" w:rsidRDefault="00140775" w:rsidP="00E1719F">
            <w:pPr>
              <w:rPr>
                <w:rFonts w:ascii="Garamond" w:hAnsi="Garamond"/>
                <w:lang w:val="en-AU"/>
              </w:rPr>
            </w:pPr>
            <w:r w:rsidRPr="00C3014C">
              <w:rPr>
                <w:rFonts w:ascii="Garamond" w:hAnsi="Garamond"/>
                <w:i/>
                <w:lang w:val="en-AU"/>
              </w:rPr>
              <w:t>BMJ Quality and Safety</w:t>
            </w:r>
            <w:r w:rsidRPr="00C3014C">
              <w:rPr>
                <w:rFonts w:ascii="Garamond" w:hAnsi="Garamond"/>
                <w:lang w:val="en-AU"/>
              </w:rPr>
              <w:t xml:space="preserve"> has published a number of ‘online first’ articles, including:</w:t>
            </w:r>
          </w:p>
          <w:p w:rsidR="00140775" w:rsidRPr="00C3014C" w:rsidRDefault="00EB203C" w:rsidP="00EB203C">
            <w:pPr>
              <w:pStyle w:val="ListParagraph"/>
              <w:numPr>
                <w:ilvl w:val="0"/>
                <w:numId w:val="14"/>
              </w:numPr>
              <w:rPr>
                <w:rFonts w:ascii="Garamond" w:hAnsi="Garamond"/>
                <w:lang w:val="en-AU"/>
              </w:rPr>
            </w:pPr>
            <w:r w:rsidRPr="00C3014C">
              <w:rPr>
                <w:rFonts w:ascii="Garamond" w:hAnsi="Garamond"/>
                <w:lang w:val="en-AU"/>
              </w:rPr>
              <w:t xml:space="preserve">Editorial: </w:t>
            </w:r>
            <w:r w:rsidRPr="00C3014C">
              <w:rPr>
                <w:rFonts w:ascii="Garamond" w:hAnsi="Garamond"/>
                <w:b/>
                <w:lang w:val="en-AU"/>
              </w:rPr>
              <w:t>Handoffs</w:t>
            </w:r>
            <w:r w:rsidRPr="00C3014C">
              <w:rPr>
                <w:rFonts w:ascii="Garamond" w:hAnsi="Garamond"/>
                <w:lang w:val="en-AU"/>
              </w:rPr>
              <w:t>: what’s good for residents is good for nurses…so what’s next?  (Rebecca R Kitzmiller, Sim B Sitkin, Arpana R Vidyarthi)</w:t>
            </w:r>
          </w:p>
          <w:p w:rsidR="00197212" w:rsidRDefault="00197212" w:rsidP="00197212">
            <w:pPr>
              <w:pStyle w:val="ListParagraph"/>
              <w:numPr>
                <w:ilvl w:val="0"/>
                <w:numId w:val="14"/>
              </w:numPr>
              <w:rPr>
                <w:rFonts w:ascii="Garamond" w:hAnsi="Garamond"/>
                <w:lang w:val="en-AU"/>
              </w:rPr>
            </w:pPr>
            <w:r w:rsidRPr="00C3014C">
              <w:rPr>
                <w:rFonts w:ascii="Garamond" w:hAnsi="Garamond"/>
                <w:lang w:val="en-AU"/>
              </w:rPr>
              <w:t xml:space="preserve">Do the stars align? </w:t>
            </w:r>
            <w:r w:rsidRPr="00C3014C">
              <w:rPr>
                <w:rFonts w:ascii="Garamond" w:hAnsi="Garamond"/>
                <w:b/>
                <w:lang w:val="en-AU"/>
              </w:rPr>
              <w:t>Distribution of high-quality ratings</w:t>
            </w:r>
            <w:r w:rsidRPr="00C3014C">
              <w:rPr>
                <w:rFonts w:ascii="Garamond" w:hAnsi="Garamond"/>
                <w:lang w:val="en-AU"/>
              </w:rPr>
              <w:t xml:space="preserve"> of healthcare sectors across US markets  (Jose Figueroa, Yevgeniy Feyman, Daniel Blumenthal, Ashish Jha)</w:t>
            </w:r>
          </w:p>
          <w:p w:rsidR="00BD18C7" w:rsidRPr="00BD18C7" w:rsidRDefault="00BD18C7" w:rsidP="00BD18C7">
            <w:pPr>
              <w:pStyle w:val="ListParagraph"/>
              <w:numPr>
                <w:ilvl w:val="0"/>
                <w:numId w:val="14"/>
              </w:numPr>
              <w:rPr>
                <w:rFonts w:ascii="Garamond" w:hAnsi="Garamond"/>
                <w:lang w:val="en-AU"/>
              </w:rPr>
            </w:pPr>
            <w:r w:rsidRPr="00BD18C7">
              <w:rPr>
                <w:rFonts w:ascii="Garamond" w:hAnsi="Garamond"/>
                <w:b/>
                <w:lang w:val="en-AU"/>
              </w:rPr>
              <w:t>Frequency of low-value care</w:t>
            </w:r>
            <w:r w:rsidRPr="00BD18C7">
              <w:rPr>
                <w:rFonts w:ascii="Garamond" w:hAnsi="Garamond"/>
                <w:lang w:val="en-AU"/>
              </w:rPr>
              <w:t xml:space="preserve"> in Alberta, Canada: a retrospective cohort study (Finlay A McAlister, Meng</w:t>
            </w:r>
            <w:r>
              <w:rPr>
                <w:rFonts w:ascii="Garamond" w:hAnsi="Garamond"/>
                <w:lang w:val="en-AU"/>
              </w:rPr>
              <w:t xml:space="preserve"> Lin, Jeff Bakal, Stafford Dean)</w:t>
            </w:r>
          </w:p>
          <w:p w:rsidR="00BD18C7" w:rsidRPr="00C3014C" w:rsidRDefault="00BD18C7" w:rsidP="00BD18C7">
            <w:pPr>
              <w:pStyle w:val="ListParagraph"/>
              <w:numPr>
                <w:ilvl w:val="0"/>
                <w:numId w:val="14"/>
              </w:numPr>
              <w:rPr>
                <w:rFonts w:ascii="Garamond" w:hAnsi="Garamond"/>
                <w:lang w:val="en-AU"/>
              </w:rPr>
            </w:pPr>
            <w:r w:rsidRPr="00BD18C7">
              <w:rPr>
                <w:rFonts w:ascii="Garamond" w:hAnsi="Garamond"/>
                <w:b/>
                <w:lang w:val="en-AU"/>
              </w:rPr>
              <w:t>Standard admission order sets</w:t>
            </w:r>
            <w:r w:rsidRPr="00BD18C7">
              <w:rPr>
                <w:rFonts w:ascii="Garamond" w:hAnsi="Garamond"/>
                <w:lang w:val="en-AU"/>
              </w:rPr>
              <w:t xml:space="preserve"> promote </w:t>
            </w:r>
            <w:r w:rsidRPr="00BD18C7">
              <w:rPr>
                <w:rFonts w:ascii="Garamond" w:hAnsi="Garamond"/>
                <w:b/>
                <w:lang w:val="en-AU"/>
              </w:rPr>
              <w:t>ordering of unnecessary investigations</w:t>
            </w:r>
            <w:r w:rsidRPr="00BD18C7">
              <w:rPr>
                <w:rFonts w:ascii="Garamond" w:hAnsi="Garamond"/>
                <w:lang w:val="en-AU"/>
              </w:rPr>
              <w:t xml:space="preserve">: a quasi-randomised evaluation in a simulated setting </w:t>
            </w:r>
            <w:r>
              <w:rPr>
                <w:rFonts w:ascii="Garamond" w:hAnsi="Garamond"/>
                <w:lang w:val="en-AU"/>
              </w:rPr>
              <w:t>(</w:t>
            </w:r>
            <w:r w:rsidRPr="00BD18C7">
              <w:rPr>
                <w:rFonts w:ascii="Garamond" w:hAnsi="Garamond"/>
                <w:lang w:val="en-AU"/>
              </w:rPr>
              <w:t>Benjamin Leis, Andrew Frost, Rhonda Bryce, Kelly Coverett</w:t>
            </w:r>
            <w:r>
              <w:rPr>
                <w:rFonts w:ascii="Garamond" w:hAnsi="Garamond"/>
                <w:lang w:val="en-AU"/>
              </w:rPr>
              <w:t>)</w:t>
            </w:r>
          </w:p>
        </w:tc>
      </w:tr>
    </w:tbl>
    <w:p w:rsidR="00140775" w:rsidRPr="00C3014C" w:rsidRDefault="00140775" w:rsidP="00B532DE">
      <w:pPr>
        <w:keepNext/>
        <w:rPr>
          <w:rFonts w:ascii="Garamond" w:hAnsi="Garamond"/>
          <w:lang w:val="en-AU"/>
        </w:rPr>
      </w:pPr>
    </w:p>
    <w:p w:rsidR="00177F9F" w:rsidRPr="00C3014C" w:rsidRDefault="00177F9F" w:rsidP="00177F9F">
      <w:pPr>
        <w:keepNext/>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C3014C"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C3014C" w:rsidRDefault="00177F9F" w:rsidP="00BD6A15">
            <w:pPr>
              <w:keepNext/>
              <w:rPr>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C3014C" w:rsidRDefault="004F60FB" w:rsidP="00BD6A15">
            <w:pPr>
              <w:keepNext/>
              <w:rPr>
                <w:rFonts w:ascii="Garamond" w:hAnsi="Garamond"/>
                <w:lang w:val="en-AU"/>
              </w:rPr>
            </w:pPr>
            <w:hyperlink r:id="rId36" w:history="1">
              <w:r w:rsidR="00177F9F" w:rsidRPr="00C3014C">
                <w:rPr>
                  <w:rStyle w:val="Hyperlink"/>
                  <w:rFonts w:ascii="Garamond" w:hAnsi="Garamond"/>
                  <w:lang w:val="en-AU"/>
                </w:rPr>
                <w:t>https://academic.oup.com/intqhc/advance-access?papetoc</w:t>
              </w:r>
            </w:hyperlink>
          </w:p>
        </w:tc>
      </w:tr>
      <w:tr w:rsidR="00177F9F" w:rsidRPr="00C3014C"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C3014C" w:rsidRDefault="00177F9F" w:rsidP="00BD6A15">
            <w:pPr>
              <w:rPr>
                <w:rFonts w:ascii="Garamond" w:hAnsi="Garamond"/>
                <w:lang w:val="en-AU"/>
              </w:rPr>
            </w:pPr>
            <w:r w:rsidRPr="00C3014C">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C3014C" w:rsidRDefault="00177F9F" w:rsidP="00BD6A15">
            <w:pPr>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has published a number of ‘online first’ articles, including:</w:t>
            </w:r>
          </w:p>
          <w:p w:rsidR="00F4463F" w:rsidRDefault="00A02DA2" w:rsidP="00A02DA2">
            <w:pPr>
              <w:pStyle w:val="ListParagraph"/>
              <w:numPr>
                <w:ilvl w:val="0"/>
                <w:numId w:val="14"/>
              </w:numPr>
              <w:rPr>
                <w:rFonts w:ascii="Garamond" w:hAnsi="Garamond"/>
                <w:lang w:val="en-AU"/>
              </w:rPr>
            </w:pPr>
            <w:r w:rsidRPr="00C3014C">
              <w:rPr>
                <w:rFonts w:ascii="Garamond" w:hAnsi="Garamond"/>
                <w:lang w:val="en-AU"/>
              </w:rPr>
              <w:t xml:space="preserve">Comparative epidemiology of </w:t>
            </w:r>
            <w:r w:rsidRPr="00C3014C">
              <w:rPr>
                <w:rFonts w:ascii="Garamond" w:hAnsi="Garamond"/>
                <w:b/>
                <w:i/>
                <w:lang w:val="en-AU"/>
              </w:rPr>
              <w:t>Clostridium difficile</w:t>
            </w:r>
            <w:r w:rsidRPr="00C3014C">
              <w:rPr>
                <w:rFonts w:ascii="Garamond" w:hAnsi="Garamond"/>
                <w:lang w:val="en-AU"/>
              </w:rPr>
              <w:t xml:space="preserve"> infection: England and the USA (Alice King; Benjamin H. Mullish; Horace R.T. Williams; Paul Aylin)</w:t>
            </w:r>
          </w:p>
          <w:p w:rsidR="00BE0903" w:rsidRPr="00BE0903" w:rsidRDefault="00BE0903" w:rsidP="00BE0903">
            <w:pPr>
              <w:pStyle w:val="ListParagraph"/>
              <w:numPr>
                <w:ilvl w:val="0"/>
                <w:numId w:val="14"/>
              </w:numPr>
              <w:rPr>
                <w:rFonts w:ascii="Garamond" w:hAnsi="Garamond"/>
                <w:lang w:val="en-AU"/>
              </w:rPr>
            </w:pPr>
            <w:r w:rsidRPr="00BE0903">
              <w:rPr>
                <w:rFonts w:ascii="Garamond" w:hAnsi="Garamond"/>
                <w:b/>
                <w:lang w:val="en-AU"/>
              </w:rPr>
              <w:t>Senior services</w:t>
            </w:r>
            <w:r w:rsidRPr="00BE0903">
              <w:rPr>
                <w:rFonts w:ascii="Garamond" w:hAnsi="Garamond"/>
                <w:lang w:val="en-AU"/>
              </w:rPr>
              <w:t xml:space="preserve"> in US hospitals and </w:t>
            </w:r>
            <w:r w:rsidRPr="00BE0903">
              <w:rPr>
                <w:rFonts w:ascii="Garamond" w:hAnsi="Garamond"/>
                <w:b/>
                <w:lang w:val="en-AU"/>
              </w:rPr>
              <w:t>readmission risk</w:t>
            </w:r>
            <w:r w:rsidRPr="00BE0903">
              <w:rPr>
                <w:rFonts w:ascii="Garamond" w:hAnsi="Garamond"/>
                <w:lang w:val="en-AU"/>
              </w:rPr>
              <w:t xml:space="preserve"> in the Medicare population (Alicia I. Arbaje; Qilu Yu; Jiangxia Wang; Bruce Leff</w:t>
            </w:r>
            <w:r>
              <w:rPr>
                <w:rFonts w:ascii="Garamond" w:hAnsi="Garamond"/>
                <w:lang w:val="en-AU"/>
              </w:rPr>
              <w:t>)</w:t>
            </w:r>
          </w:p>
          <w:p w:rsidR="00BE0903" w:rsidRDefault="00BE0903" w:rsidP="00BE0903">
            <w:pPr>
              <w:pStyle w:val="ListParagraph"/>
              <w:numPr>
                <w:ilvl w:val="0"/>
                <w:numId w:val="14"/>
              </w:numPr>
              <w:rPr>
                <w:rFonts w:ascii="Garamond" w:hAnsi="Garamond"/>
                <w:lang w:val="en-AU"/>
              </w:rPr>
            </w:pPr>
            <w:r w:rsidRPr="00BE0903">
              <w:rPr>
                <w:rFonts w:ascii="Garamond" w:hAnsi="Garamond"/>
                <w:lang w:val="en-AU"/>
              </w:rPr>
              <w:t xml:space="preserve">Physicians’ and pharmacists’ perceptions on </w:t>
            </w:r>
            <w:r w:rsidRPr="00BE0903">
              <w:rPr>
                <w:rFonts w:ascii="Garamond" w:hAnsi="Garamond"/>
                <w:b/>
                <w:lang w:val="en-AU"/>
              </w:rPr>
              <w:t>real-time drug utilization review system</w:t>
            </w:r>
            <w:r w:rsidRPr="00BE0903">
              <w:rPr>
                <w:rFonts w:ascii="Garamond" w:hAnsi="Garamond"/>
                <w:lang w:val="en-AU"/>
              </w:rPr>
              <w:t xml:space="preserve">: a nationwide survey </w:t>
            </w:r>
            <w:r>
              <w:rPr>
                <w:rFonts w:ascii="Garamond" w:hAnsi="Garamond"/>
                <w:lang w:val="en-AU"/>
              </w:rPr>
              <w:t>(</w:t>
            </w:r>
            <w:r w:rsidRPr="00BE0903">
              <w:rPr>
                <w:rFonts w:ascii="Garamond" w:hAnsi="Garamond"/>
                <w:lang w:val="en-AU"/>
              </w:rPr>
              <w:t>Seung-Mi Lee; Soo-Ok Lee; Dong-Sook Kim</w:t>
            </w:r>
            <w:r>
              <w:rPr>
                <w:rFonts w:ascii="Garamond" w:hAnsi="Garamond"/>
                <w:lang w:val="en-AU"/>
              </w:rPr>
              <w:t>)</w:t>
            </w:r>
          </w:p>
          <w:p w:rsidR="00CF56A8" w:rsidRPr="00C3014C" w:rsidRDefault="00CF56A8" w:rsidP="00CF56A8">
            <w:pPr>
              <w:pStyle w:val="ListParagraph"/>
              <w:numPr>
                <w:ilvl w:val="0"/>
                <w:numId w:val="14"/>
              </w:numPr>
              <w:rPr>
                <w:rFonts w:ascii="Garamond" w:hAnsi="Garamond"/>
                <w:lang w:val="en-AU"/>
              </w:rPr>
            </w:pPr>
            <w:r w:rsidRPr="00CF56A8">
              <w:rPr>
                <w:rFonts w:ascii="Garamond" w:hAnsi="Garamond"/>
                <w:lang w:val="en-AU"/>
              </w:rPr>
              <w:t xml:space="preserve">The role of patient perception of crowding in the determination of </w:t>
            </w:r>
            <w:r w:rsidRPr="00CF56A8">
              <w:rPr>
                <w:rFonts w:ascii="Garamond" w:hAnsi="Garamond"/>
                <w:b/>
                <w:lang w:val="en-AU"/>
              </w:rPr>
              <w:t>real-time patient satisfaction at Emergency Department</w:t>
            </w:r>
            <w:r>
              <w:rPr>
                <w:rFonts w:ascii="Garamond" w:hAnsi="Garamond"/>
                <w:lang w:val="en-AU"/>
              </w:rPr>
              <w:t xml:space="preserve"> (</w:t>
            </w:r>
            <w:r w:rsidRPr="00CF56A8">
              <w:rPr>
                <w:rFonts w:ascii="Garamond" w:hAnsi="Garamond"/>
                <w:lang w:val="en-AU"/>
              </w:rPr>
              <w:t>Hao Wang</w:t>
            </w:r>
            <w:r>
              <w:rPr>
                <w:rFonts w:ascii="Garamond" w:hAnsi="Garamond"/>
                <w:lang w:val="en-AU"/>
              </w:rPr>
              <w:t>;</w:t>
            </w:r>
            <w:r w:rsidRPr="00CF56A8">
              <w:rPr>
                <w:rFonts w:ascii="Garamond" w:hAnsi="Garamond"/>
                <w:lang w:val="en-AU"/>
              </w:rPr>
              <w:t xml:space="preserve"> Jeffrey A Kline</w:t>
            </w:r>
            <w:r>
              <w:rPr>
                <w:rFonts w:ascii="Garamond" w:hAnsi="Garamond"/>
                <w:lang w:val="en-AU"/>
              </w:rPr>
              <w:t>;</w:t>
            </w:r>
            <w:r w:rsidRPr="00CF56A8">
              <w:rPr>
                <w:rFonts w:ascii="Garamond" w:hAnsi="Garamond"/>
                <w:lang w:val="en-AU"/>
              </w:rPr>
              <w:t xml:space="preserve"> Bradford E Jackson</w:t>
            </w:r>
            <w:r>
              <w:rPr>
                <w:rFonts w:ascii="Garamond" w:hAnsi="Garamond"/>
                <w:lang w:val="en-AU"/>
              </w:rPr>
              <w:t>;</w:t>
            </w:r>
            <w:r w:rsidRPr="00CF56A8">
              <w:rPr>
                <w:rFonts w:ascii="Garamond" w:hAnsi="Garamond"/>
                <w:lang w:val="en-AU"/>
              </w:rPr>
              <w:t xml:space="preserve"> Richard D Robinson</w:t>
            </w:r>
            <w:r>
              <w:rPr>
                <w:rFonts w:ascii="Garamond" w:hAnsi="Garamond"/>
                <w:lang w:val="en-AU"/>
              </w:rPr>
              <w:t>;</w:t>
            </w:r>
            <w:r w:rsidRPr="00CF56A8">
              <w:rPr>
                <w:rFonts w:ascii="Garamond" w:hAnsi="Garamond"/>
                <w:lang w:val="en-AU"/>
              </w:rPr>
              <w:t xml:space="preserve"> Matthew Sullivan</w:t>
            </w:r>
            <w:r>
              <w:rPr>
                <w:rFonts w:ascii="Garamond" w:hAnsi="Garamond"/>
                <w:lang w:val="en-AU"/>
              </w:rPr>
              <w:t>;</w:t>
            </w:r>
            <w:r w:rsidRPr="00CF56A8">
              <w:rPr>
                <w:rFonts w:ascii="Garamond" w:hAnsi="Garamond"/>
                <w:lang w:val="en-AU"/>
              </w:rPr>
              <w:t xml:space="preserve"> Marcus Holmes</w:t>
            </w:r>
            <w:r>
              <w:rPr>
                <w:rFonts w:ascii="Garamond" w:hAnsi="Garamond"/>
                <w:lang w:val="en-AU"/>
              </w:rPr>
              <w:t>;</w:t>
            </w:r>
            <w:r w:rsidRPr="00CF56A8">
              <w:rPr>
                <w:rFonts w:ascii="Garamond" w:hAnsi="Garamond"/>
                <w:lang w:val="en-AU"/>
              </w:rPr>
              <w:t xml:space="preserve"> Katherine A Watson</w:t>
            </w:r>
            <w:r>
              <w:rPr>
                <w:rFonts w:ascii="Garamond" w:hAnsi="Garamond"/>
                <w:lang w:val="en-AU"/>
              </w:rPr>
              <w:t>;</w:t>
            </w:r>
            <w:r w:rsidRPr="00CF56A8">
              <w:rPr>
                <w:rFonts w:ascii="Garamond" w:hAnsi="Garamond"/>
                <w:lang w:val="en-AU"/>
              </w:rPr>
              <w:t xml:space="preserve"> Chad D Cowden</w:t>
            </w:r>
            <w:r>
              <w:rPr>
                <w:rFonts w:ascii="Garamond" w:hAnsi="Garamond"/>
                <w:lang w:val="en-AU"/>
              </w:rPr>
              <w:t>;</w:t>
            </w:r>
            <w:r w:rsidRPr="00CF56A8">
              <w:rPr>
                <w:rFonts w:ascii="Garamond" w:hAnsi="Garamond"/>
                <w:lang w:val="en-AU"/>
              </w:rPr>
              <w:t xml:space="preserve"> Jessica Laureano Phillips</w:t>
            </w:r>
            <w:r>
              <w:rPr>
                <w:rFonts w:ascii="Garamond" w:hAnsi="Garamond"/>
                <w:lang w:val="en-AU"/>
              </w:rPr>
              <w:t>;</w:t>
            </w:r>
            <w:r w:rsidRPr="00CF56A8">
              <w:rPr>
                <w:rFonts w:ascii="Garamond" w:hAnsi="Garamond"/>
                <w:lang w:val="en-AU"/>
              </w:rPr>
              <w:t xml:space="preserve"> Chet D Schrader</w:t>
            </w:r>
            <w:r>
              <w:rPr>
                <w:rFonts w:ascii="Garamond" w:hAnsi="Garamond"/>
                <w:lang w:val="en-AU"/>
              </w:rPr>
              <w:t>;</w:t>
            </w:r>
            <w:r w:rsidRPr="00CF56A8">
              <w:rPr>
                <w:rFonts w:ascii="Garamond" w:hAnsi="Garamond"/>
                <w:lang w:val="en-AU"/>
              </w:rPr>
              <w:t xml:space="preserve"> JoAnna Leuck</w:t>
            </w:r>
            <w:r>
              <w:rPr>
                <w:rFonts w:ascii="Garamond" w:hAnsi="Garamond"/>
                <w:lang w:val="en-AU"/>
              </w:rPr>
              <w:t xml:space="preserve">; </w:t>
            </w:r>
            <w:r w:rsidRPr="00CF56A8">
              <w:rPr>
                <w:rFonts w:ascii="Garamond" w:hAnsi="Garamond"/>
                <w:lang w:val="en-AU"/>
              </w:rPr>
              <w:t>Nestor R Zenarosa</w:t>
            </w:r>
            <w:r>
              <w:rPr>
                <w:rFonts w:ascii="Garamond" w:hAnsi="Garamond"/>
                <w:lang w:val="en-AU"/>
              </w:rPr>
              <w:t>)</w:t>
            </w:r>
          </w:p>
        </w:tc>
      </w:tr>
    </w:tbl>
    <w:p w:rsidR="0018329A" w:rsidRDefault="0018329A" w:rsidP="0018329A">
      <w:pPr>
        <w:rPr>
          <w:rFonts w:ascii="Garamond" w:hAnsi="Garamond"/>
          <w:lang w:val="en-AU" w:eastAsia="en-AU"/>
        </w:rPr>
      </w:pPr>
    </w:p>
    <w:p w:rsidR="007229BA" w:rsidRPr="00C3014C" w:rsidRDefault="007229BA" w:rsidP="0018329A">
      <w:pPr>
        <w:rPr>
          <w:rFonts w:ascii="Garamond" w:hAnsi="Garamond"/>
          <w:lang w:val="en-AU" w:eastAsia="en-AU"/>
        </w:rPr>
      </w:pPr>
    </w:p>
    <w:p w:rsidR="00177F9F" w:rsidRPr="00C3014C" w:rsidRDefault="00177F9F" w:rsidP="00177F9F">
      <w:pPr>
        <w:keepNext/>
        <w:rPr>
          <w:rFonts w:ascii="Garamond" w:hAnsi="Garamond"/>
          <w:b/>
          <w:lang w:val="en-AU"/>
        </w:rPr>
      </w:pPr>
      <w:r w:rsidRPr="00C3014C">
        <w:rPr>
          <w:rFonts w:ascii="Garamond" w:hAnsi="Garamond"/>
          <w:b/>
          <w:lang w:val="en-AU"/>
        </w:rPr>
        <w:lastRenderedPageBreak/>
        <w:t>Online resources</w:t>
      </w:r>
    </w:p>
    <w:p w:rsidR="00177F9F" w:rsidRPr="00C3014C" w:rsidRDefault="00177F9F" w:rsidP="00177F9F">
      <w:pPr>
        <w:rPr>
          <w:rFonts w:ascii="Garamond" w:hAnsi="Garamond"/>
          <w:i/>
          <w:lang w:val="en-AU"/>
        </w:rPr>
      </w:pPr>
    </w:p>
    <w:p w:rsidR="007229BA" w:rsidRDefault="007229BA" w:rsidP="00177F9F">
      <w:pPr>
        <w:keepNext/>
        <w:keepLines/>
        <w:rPr>
          <w:rFonts w:ascii="Garamond" w:hAnsi="Garamond"/>
          <w:i/>
          <w:lang w:val="en-AU"/>
        </w:rPr>
      </w:pPr>
      <w:r>
        <w:rPr>
          <w:rFonts w:ascii="Garamond" w:hAnsi="Garamond"/>
          <w:i/>
          <w:lang w:val="en-AU"/>
        </w:rPr>
        <w:t xml:space="preserve">[UK] </w:t>
      </w:r>
      <w:r w:rsidRPr="007229BA">
        <w:rPr>
          <w:rFonts w:ascii="Garamond" w:hAnsi="Garamond"/>
          <w:i/>
          <w:lang w:val="en-AU"/>
        </w:rPr>
        <w:t xml:space="preserve">Guides to help staff support people with access needs </w:t>
      </w:r>
    </w:p>
    <w:p w:rsidR="00C93829" w:rsidRDefault="004F60FB" w:rsidP="00177F9F">
      <w:pPr>
        <w:keepNext/>
        <w:keepLines/>
        <w:rPr>
          <w:rFonts w:ascii="Garamond" w:hAnsi="Garamond"/>
          <w:lang w:val="en-AU"/>
        </w:rPr>
      </w:pPr>
      <w:hyperlink r:id="rId37" w:history="1">
        <w:r w:rsidR="00C93829" w:rsidRPr="0034426A">
          <w:rPr>
            <w:rStyle w:val="Hyperlink"/>
            <w:rFonts w:ascii="Garamond" w:hAnsi="Garamond"/>
            <w:lang w:val="en-AU"/>
          </w:rPr>
          <w:t>https://www.england.nhs.uk/publication/guides-to-help-staff-support-people-with-access-needs/</w:t>
        </w:r>
      </w:hyperlink>
    </w:p>
    <w:p w:rsidR="007229BA" w:rsidRPr="007229BA" w:rsidRDefault="007229BA" w:rsidP="00177F9F">
      <w:pPr>
        <w:keepNext/>
        <w:keepLines/>
        <w:rPr>
          <w:rFonts w:ascii="Garamond" w:hAnsi="Garamond"/>
          <w:i/>
          <w:lang w:val="en-AU"/>
        </w:rPr>
      </w:pPr>
      <w:r>
        <w:rPr>
          <w:rFonts w:ascii="Garamond" w:hAnsi="Garamond"/>
          <w:lang w:val="en-AU"/>
        </w:rPr>
        <w:t xml:space="preserve">NHS England has produced this </w:t>
      </w:r>
      <w:r w:rsidRPr="007229BA">
        <w:rPr>
          <w:rFonts w:ascii="Garamond" w:hAnsi="Garamond"/>
          <w:lang w:val="en-AU"/>
        </w:rPr>
        <w:t xml:space="preserve">set of guides to help GP practice staff support people with access needs to </w:t>
      </w:r>
      <w:r>
        <w:rPr>
          <w:rFonts w:ascii="Garamond" w:hAnsi="Garamond"/>
          <w:lang w:val="en-AU"/>
        </w:rPr>
        <w:t xml:space="preserve">use </w:t>
      </w:r>
      <w:r w:rsidRPr="007229BA">
        <w:rPr>
          <w:rFonts w:ascii="Garamond" w:hAnsi="Garamond"/>
          <w:lang w:val="en-AU"/>
        </w:rPr>
        <w:t>online services.</w:t>
      </w:r>
      <w:r>
        <w:rPr>
          <w:rFonts w:ascii="Garamond" w:hAnsi="Garamond"/>
          <w:lang w:val="en-AU"/>
        </w:rPr>
        <w:t xml:space="preserve"> The guides include:</w:t>
      </w:r>
    </w:p>
    <w:p w:rsidR="007229BA" w:rsidRPr="007229BA" w:rsidRDefault="007229BA" w:rsidP="007229BA">
      <w:pPr>
        <w:pStyle w:val="ListParagraph"/>
        <w:keepNext/>
        <w:keepLines/>
        <w:numPr>
          <w:ilvl w:val="0"/>
          <w:numId w:val="14"/>
        </w:numPr>
        <w:rPr>
          <w:rFonts w:ascii="Garamond" w:hAnsi="Garamond"/>
          <w:i/>
          <w:lang w:val="en-AU"/>
        </w:rPr>
      </w:pPr>
      <w:r w:rsidRPr="007229BA">
        <w:rPr>
          <w:rFonts w:ascii="Garamond" w:hAnsi="Garamond"/>
          <w:i/>
          <w:lang w:val="en-AU"/>
        </w:rPr>
        <w:t>How to support people with learning disabilities - A guide for GP practice staff</w:t>
      </w:r>
    </w:p>
    <w:p w:rsidR="007229BA" w:rsidRPr="007229BA" w:rsidRDefault="007229BA" w:rsidP="007229BA">
      <w:pPr>
        <w:pStyle w:val="ListParagraph"/>
        <w:keepNext/>
        <w:keepLines/>
        <w:numPr>
          <w:ilvl w:val="0"/>
          <w:numId w:val="14"/>
        </w:numPr>
        <w:rPr>
          <w:rFonts w:ascii="Garamond" w:hAnsi="Garamond"/>
          <w:i/>
          <w:lang w:val="en-AU"/>
        </w:rPr>
      </w:pPr>
      <w:r w:rsidRPr="007229BA">
        <w:rPr>
          <w:rFonts w:ascii="Garamond" w:hAnsi="Garamond"/>
          <w:i/>
          <w:lang w:val="en-AU"/>
        </w:rPr>
        <w:t>How to support autistic people - A guide for GP practice staff</w:t>
      </w:r>
    </w:p>
    <w:p w:rsidR="007229BA" w:rsidRPr="007229BA" w:rsidRDefault="007229BA" w:rsidP="007229BA">
      <w:pPr>
        <w:pStyle w:val="ListParagraph"/>
        <w:keepNext/>
        <w:keepLines/>
        <w:numPr>
          <w:ilvl w:val="0"/>
          <w:numId w:val="14"/>
        </w:numPr>
        <w:rPr>
          <w:rFonts w:ascii="Garamond" w:hAnsi="Garamond"/>
          <w:i/>
          <w:lang w:val="en-AU"/>
        </w:rPr>
      </w:pPr>
      <w:r w:rsidRPr="007229BA">
        <w:rPr>
          <w:rFonts w:ascii="Garamond" w:hAnsi="Garamond"/>
          <w:i/>
          <w:lang w:val="en-AU"/>
        </w:rPr>
        <w:t>How to support people who are blind or have sight loss - A guide for GP practice staff</w:t>
      </w:r>
    </w:p>
    <w:p w:rsidR="007229BA" w:rsidRPr="007229BA" w:rsidRDefault="007229BA" w:rsidP="007229BA">
      <w:pPr>
        <w:pStyle w:val="ListParagraph"/>
        <w:keepNext/>
        <w:keepLines/>
        <w:numPr>
          <w:ilvl w:val="0"/>
          <w:numId w:val="14"/>
        </w:numPr>
        <w:rPr>
          <w:rFonts w:ascii="Garamond" w:hAnsi="Garamond"/>
          <w:i/>
          <w:lang w:val="en-AU"/>
        </w:rPr>
      </w:pPr>
      <w:r w:rsidRPr="007229BA">
        <w:rPr>
          <w:rFonts w:ascii="Garamond" w:hAnsi="Garamond"/>
          <w:i/>
          <w:lang w:val="en-AU"/>
        </w:rPr>
        <w:t>How to support people with hearing loss - A guide for GP practice staff Patient.</w:t>
      </w:r>
    </w:p>
    <w:p w:rsidR="007229BA" w:rsidRPr="007229BA" w:rsidRDefault="007229BA" w:rsidP="007229BA">
      <w:pPr>
        <w:rPr>
          <w:rFonts w:ascii="Garamond" w:hAnsi="Garamond"/>
          <w:lang w:val="en-AU"/>
        </w:rPr>
      </w:pPr>
    </w:p>
    <w:p w:rsidR="00177F9F" w:rsidRPr="00C3014C" w:rsidRDefault="00177F9F" w:rsidP="00177F9F">
      <w:pPr>
        <w:keepNext/>
        <w:keepLines/>
        <w:rPr>
          <w:rFonts w:ascii="Garamond" w:hAnsi="Garamond"/>
          <w:i/>
          <w:lang w:val="en-AU"/>
        </w:rPr>
      </w:pPr>
      <w:r w:rsidRPr="00C3014C">
        <w:rPr>
          <w:rFonts w:ascii="Garamond" w:hAnsi="Garamond"/>
          <w:i/>
          <w:lang w:val="en-AU"/>
        </w:rPr>
        <w:t>[UK] NICE Guidelines and Quality Standards</w:t>
      </w:r>
    </w:p>
    <w:p w:rsidR="00177F9F" w:rsidRPr="00C3014C" w:rsidRDefault="004F60FB" w:rsidP="00177F9F">
      <w:pPr>
        <w:keepNext/>
        <w:keepLines/>
        <w:rPr>
          <w:rFonts w:ascii="Garamond" w:hAnsi="Garamond"/>
          <w:u w:val="single"/>
          <w:lang w:val="en-AU"/>
        </w:rPr>
      </w:pPr>
      <w:hyperlink r:id="rId38" w:history="1">
        <w:r w:rsidR="00177F9F" w:rsidRPr="00C3014C">
          <w:rPr>
            <w:rStyle w:val="Hyperlink"/>
            <w:rFonts w:ascii="Garamond" w:hAnsi="Garamond"/>
            <w:lang w:val="en-AU"/>
          </w:rPr>
          <w:t>https://www.nice.org.uk</w:t>
        </w:r>
      </w:hyperlink>
    </w:p>
    <w:p w:rsidR="00177F9F" w:rsidRPr="00C3014C" w:rsidRDefault="00177F9F" w:rsidP="00177F9F">
      <w:pPr>
        <w:keepNext/>
        <w:keepLines/>
        <w:rPr>
          <w:rFonts w:ascii="Garamond" w:hAnsi="Garamond"/>
          <w:lang w:val="en-AU"/>
        </w:rPr>
      </w:pPr>
      <w:r w:rsidRPr="00C3014C">
        <w:rPr>
          <w:rFonts w:ascii="Garamond" w:hAnsi="Garamond"/>
          <w:lang w:val="en-AU"/>
        </w:rPr>
        <w:t>The UK’s National Institute for Health and Care Excellence (NICE) has published new (or updated) guidelines and quality standards. The latest reviews or updates are:</w:t>
      </w:r>
    </w:p>
    <w:p w:rsidR="00140775" w:rsidRPr="00C3014C" w:rsidRDefault="00340F88" w:rsidP="00340F88">
      <w:pPr>
        <w:pStyle w:val="ListParagraph"/>
        <w:keepNext/>
        <w:keepLines/>
        <w:numPr>
          <w:ilvl w:val="0"/>
          <w:numId w:val="14"/>
        </w:numPr>
        <w:rPr>
          <w:rFonts w:ascii="Garamond" w:hAnsi="Garamond"/>
          <w:lang w:val="en-AU"/>
        </w:rPr>
      </w:pPr>
      <w:bookmarkStart w:id="1" w:name="_GoBack"/>
      <w:r w:rsidRPr="00C3014C">
        <w:rPr>
          <w:rFonts w:ascii="Garamond" w:hAnsi="Garamond"/>
          <w:lang w:val="en-AU"/>
        </w:rPr>
        <w:t xml:space="preserve">Quality Standard QS159 </w:t>
      </w:r>
      <w:r w:rsidRPr="00C3014C">
        <w:rPr>
          <w:rFonts w:ascii="Garamond" w:hAnsi="Garamond"/>
          <w:b/>
          <w:i/>
          <w:lang w:val="en-AU"/>
        </w:rPr>
        <w:t>Transition between inpatient mental health</w:t>
      </w:r>
      <w:r w:rsidRPr="00C3014C">
        <w:rPr>
          <w:rFonts w:ascii="Garamond" w:hAnsi="Garamond"/>
          <w:i/>
          <w:lang w:val="en-AU"/>
        </w:rPr>
        <w:t xml:space="preserve"> settings and community or care home settings</w:t>
      </w:r>
      <w:r w:rsidRPr="00C3014C">
        <w:rPr>
          <w:rFonts w:ascii="Garamond" w:hAnsi="Garamond"/>
          <w:lang w:val="en-AU"/>
        </w:rPr>
        <w:t xml:space="preserve"> </w:t>
      </w:r>
      <w:hyperlink r:id="rId39" w:history="1">
        <w:r w:rsidRPr="00C3014C">
          <w:rPr>
            <w:rStyle w:val="Hyperlink"/>
            <w:rFonts w:ascii="Garamond" w:hAnsi="Garamond"/>
            <w:lang w:val="en-AU"/>
          </w:rPr>
          <w:t>https://www.nice.org.uk/guidance/qs159</w:t>
        </w:r>
      </w:hyperlink>
    </w:p>
    <w:p w:rsidR="00340F88" w:rsidRPr="0092070C" w:rsidRDefault="00340F88" w:rsidP="00340F88">
      <w:pPr>
        <w:pStyle w:val="ListParagraph"/>
        <w:keepNext/>
        <w:keepLines/>
        <w:numPr>
          <w:ilvl w:val="0"/>
          <w:numId w:val="14"/>
        </w:numPr>
        <w:rPr>
          <w:rStyle w:val="Hyperlink"/>
          <w:rFonts w:ascii="Garamond" w:hAnsi="Garamond"/>
          <w:color w:val="auto"/>
          <w:u w:val="none"/>
          <w:lang w:val="en-AU"/>
        </w:rPr>
      </w:pPr>
      <w:r w:rsidRPr="00C3014C">
        <w:rPr>
          <w:rFonts w:ascii="Garamond" w:hAnsi="Garamond"/>
          <w:lang w:val="en-AU"/>
        </w:rPr>
        <w:t xml:space="preserve">Quality Standard QS160 </w:t>
      </w:r>
      <w:r w:rsidRPr="00C3014C">
        <w:rPr>
          <w:rFonts w:ascii="Garamond" w:hAnsi="Garamond"/>
          <w:b/>
          <w:i/>
          <w:lang w:val="en-AU"/>
        </w:rPr>
        <w:t>End of life care</w:t>
      </w:r>
      <w:r w:rsidRPr="00C3014C">
        <w:rPr>
          <w:rFonts w:ascii="Garamond" w:hAnsi="Garamond"/>
          <w:i/>
          <w:lang w:val="en-AU"/>
        </w:rPr>
        <w:t xml:space="preserve"> for infants, children and young people</w:t>
      </w:r>
      <w:r w:rsidRPr="00C3014C">
        <w:rPr>
          <w:rFonts w:ascii="Garamond" w:hAnsi="Garamond"/>
          <w:lang w:val="en-AU"/>
        </w:rPr>
        <w:t xml:space="preserve"> </w:t>
      </w:r>
      <w:hyperlink r:id="rId40" w:history="1">
        <w:r w:rsidRPr="00C3014C">
          <w:rPr>
            <w:rStyle w:val="Hyperlink"/>
            <w:rFonts w:ascii="Garamond" w:hAnsi="Garamond"/>
            <w:lang w:val="en-AU"/>
          </w:rPr>
          <w:t>https://www.nice.org.uk/guidance/qs160</w:t>
        </w:r>
      </w:hyperlink>
    </w:p>
    <w:p w:rsidR="0092070C" w:rsidRPr="00C3014C" w:rsidRDefault="0092070C" w:rsidP="0092070C">
      <w:pPr>
        <w:pStyle w:val="ListParagraph"/>
        <w:keepNext/>
        <w:keepLines/>
        <w:numPr>
          <w:ilvl w:val="0"/>
          <w:numId w:val="14"/>
        </w:numPr>
        <w:rPr>
          <w:rFonts w:ascii="Garamond" w:hAnsi="Garamond"/>
          <w:lang w:val="en-AU"/>
        </w:rPr>
      </w:pPr>
      <w:r w:rsidRPr="00C3014C">
        <w:rPr>
          <w:rFonts w:ascii="Garamond" w:hAnsi="Garamond"/>
          <w:lang w:val="en-AU"/>
        </w:rPr>
        <w:t>Quality Standard QS16</w:t>
      </w:r>
      <w:r>
        <w:rPr>
          <w:rFonts w:ascii="Garamond" w:hAnsi="Garamond"/>
          <w:lang w:val="en-AU"/>
        </w:rPr>
        <w:t xml:space="preserve">1 </w:t>
      </w:r>
      <w:r w:rsidRPr="0092070C">
        <w:rPr>
          <w:rFonts w:ascii="Garamond" w:hAnsi="Garamond"/>
          <w:b/>
          <w:lang w:val="en-AU"/>
        </w:rPr>
        <w:t>Sepsis</w:t>
      </w:r>
      <w:r>
        <w:rPr>
          <w:rFonts w:ascii="Garamond" w:hAnsi="Garamond"/>
          <w:lang w:val="en-AU"/>
        </w:rPr>
        <w:t xml:space="preserve"> </w:t>
      </w:r>
      <w:hyperlink r:id="rId41" w:history="1">
        <w:r w:rsidRPr="00D52FE0">
          <w:rPr>
            <w:rStyle w:val="Hyperlink"/>
            <w:rFonts w:ascii="Garamond" w:hAnsi="Garamond"/>
            <w:lang w:val="en-AU"/>
          </w:rPr>
          <w:t>https://www.nice.org.uk/guidance/qs161</w:t>
        </w:r>
      </w:hyperlink>
    </w:p>
    <w:bookmarkEnd w:id="1"/>
    <w:p w:rsidR="004E37B6" w:rsidRPr="00C3014C" w:rsidRDefault="004E37B6" w:rsidP="00070CFE">
      <w:pPr>
        <w:rPr>
          <w:rFonts w:ascii="Garamond" w:hAnsi="Garamond"/>
          <w:i/>
          <w:lang w:val="en-AU"/>
        </w:rPr>
      </w:pPr>
    </w:p>
    <w:p w:rsidR="007807E6" w:rsidRPr="00C3014C" w:rsidRDefault="007807E6" w:rsidP="00070CFE">
      <w:pPr>
        <w:rPr>
          <w:rFonts w:ascii="Garamond" w:hAnsi="Garamond"/>
          <w:i/>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6F" w:rsidRDefault="00AC2D6F">
      <w:r>
        <w:separator/>
      </w:r>
    </w:p>
  </w:endnote>
  <w:endnote w:type="continuationSeparator" w:id="0">
    <w:p w:rsidR="00AC2D6F" w:rsidRDefault="00AC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Default="00AC2D6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F60FB">
      <w:rPr>
        <w:rStyle w:val="PageNumber"/>
        <w:noProof/>
      </w:rPr>
      <w:t>8</w:t>
    </w:r>
    <w:r>
      <w:rPr>
        <w:rStyle w:val="PageNumber"/>
      </w:rPr>
      <w:fldChar w:fldCharType="end"/>
    </w:r>
  </w:p>
  <w:p w:rsidR="00AC2D6F" w:rsidRPr="001E78F0" w:rsidRDefault="00AC2D6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82F25">
      <w:rPr>
        <w:rFonts w:ascii="Garamond" w:hAnsi="Garamond"/>
      </w:rPr>
      <w:t xml:space="preserve"> Issue 339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Pr="001E78F0" w:rsidRDefault="00AC2D6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F60FB">
      <w:rPr>
        <w:rStyle w:val="PageNumber"/>
        <w:rFonts w:ascii="Garamond" w:hAnsi="Garamond"/>
        <w:noProof/>
      </w:rPr>
      <w:t>7</w:t>
    </w:r>
    <w:r w:rsidRPr="001E78F0">
      <w:rPr>
        <w:rStyle w:val="PageNumber"/>
        <w:rFonts w:ascii="Garamond" w:hAnsi="Garamond"/>
      </w:rPr>
      <w:fldChar w:fldCharType="end"/>
    </w:r>
  </w:p>
  <w:p w:rsidR="00AC2D6F" w:rsidRPr="001E78F0" w:rsidRDefault="00AC2D6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33</w:t>
    </w:r>
    <w:r w:rsidR="00782F25">
      <w:rPr>
        <w:rFonts w:ascii="Garamond" w:hAnsi="Garamon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6F" w:rsidRDefault="00AC2D6F">
      <w:r>
        <w:separator/>
      </w:r>
    </w:p>
  </w:footnote>
  <w:footnote w:type="continuationSeparator" w:id="0">
    <w:p w:rsidR="00AC2D6F" w:rsidRDefault="00AC2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0"/>
  </w:num>
  <w:num w:numId="16">
    <w:abstractNumId w:val="14"/>
  </w:num>
  <w:num w:numId="17">
    <w:abstractNumId w:val="16"/>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238"/>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0FB"/>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209"/>
    <w:rsid w:val="00783218"/>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7FD"/>
    <w:rsid w:val="00A02AA4"/>
    <w:rsid w:val="00A02B5A"/>
    <w:rsid w:val="00A02BDF"/>
    <w:rsid w:val="00A02DA2"/>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4D9A"/>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07/s40264-017-0557-7" TargetMode="External"/><Relationship Id="rId26" Type="http://schemas.openxmlformats.org/officeDocument/2006/relationships/hyperlink" Target="https://doi.org/10.1371/journal.pone.0183667" TargetMode="External"/><Relationship Id="rId39" Type="http://schemas.openxmlformats.org/officeDocument/2006/relationships/hyperlink" Target="https://www.nice.org.uk/guidance/qs159" TargetMode="External"/><Relationship Id="rId3" Type="http://schemas.openxmlformats.org/officeDocument/2006/relationships/styles" Target="styles.xml"/><Relationship Id="rId21" Type="http://schemas.openxmlformats.org/officeDocument/2006/relationships/hyperlink" Target="http://dx.doi.org/10.1097/PTS.0000000000000413" TargetMode="External"/><Relationship Id="rId34" Type="http://schemas.openxmlformats.org/officeDocument/2006/relationships/hyperlink" Target="http://www.longwoods.com/publications/healthcarepapers/25197"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medication-safety/" TargetMode="External"/><Relationship Id="rId25" Type="http://schemas.openxmlformats.org/officeDocument/2006/relationships/hyperlink" Target="http://dx.doi.org/10.1002/14651858.CD012252.pub2" TargetMode="External"/><Relationship Id="rId33" Type="http://schemas.openxmlformats.org/officeDocument/2006/relationships/hyperlink" Target="http://dx.doi.org/10.1136/bmjqs-2017-006778" TargetMode="External"/><Relationship Id="rId38" Type="http://schemas.openxmlformats.org/officeDocument/2006/relationships/hyperlink" Target="https://www.nice.org.uk" TargetMode="External"/><Relationship Id="rId2" Type="http://schemas.openxmlformats.org/officeDocument/2006/relationships/numbering" Target="numbering.xml"/><Relationship Id="rId16" Type="http://schemas.openxmlformats.org/officeDocument/2006/relationships/hyperlink" Target="https://www.nap.edu/catalog/24814/communicating-clearly-about-medicines-proceedings-of-a-workshop" TargetMode="External"/><Relationship Id="rId20" Type="http://schemas.openxmlformats.org/officeDocument/2006/relationships/hyperlink" Target="https://doi.org/10.1177/1355819617728530" TargetMode="External"/><Relationship Id="rId29" Type="http://schemas.openxmlformats.org/officeDocument/2006/relationships/hyperlink" Target="http://dx.doi.org/10.1056/NEJMsa1702321" TargetMode="External"/><Relationship Id="rId41" Type="http://schemas.openxmlformats.org/officeDocument/2006/relationships/hyperlink" Target="https://www.nice.org.uk/guidance/qs1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safetyandquality.gov.au/our-work/shared-decision-making/" TargetMode="External"/><Relationship Id="rId32" Type="http://schemas.openxmlformats.org/officeDocument/2006/relationships/hyperlink" Target="http://dx.doi.org/10.1016/j.ijnurstu.2017.08.004" TargetMode="External"/><Relationship Id="rId37" Type="http://schemas.openxmlformats.org/officeDocument/2006/relationships/hyperlink" Target="https://www.england.nhs.uk/publication/guides-to-help-staff-support-people-with-access-needs/" TargetMode="External"/><Relationship Id="rId40" Type="http://schemas.openxmlformats.org/officeDocument/2006/relationships/hyperlink" Target="https://www.nice.org.uk/guidance/qs16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patient-and-consumer-centred-care/" TargetMode="External"/><Relationship Id="rId28" Type="http://schemas.openxmlformats.org/officeDocument/2006/relationships/hyperlink" Target="http://dx.doi.org/10.1503/cmaj.170118" TargetMode="External"/><Relationship Id="rId36" Type="http://schemas.openxmlformats.org/officeDocument/2006/relationships/hyperlink" Target="https://academic.oup.com/intqhc/advance-access?papetoc"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medication-safety/" TargetMode="External"/><Relationship Id="rId31" Type="http://schemas.openxmlformats.org/officeDocument/2006/relationships/hyperlink" Target="https://doi.org/10.1186/s12913-017-2533-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x.doi.org/10.1016/j.mayocp.2017.05.015" TargetMode="External"/><Relationship Id="rId27" Type="http://schemas.openxmlformats.org/officeDocument/2006/relationships/hyperlink" Target="https://www.safetyandquality.gov.au/our-work/information-strategy/clinical-quality-registries/" TargetMode="External"/><Relationship Id="rId30" Type="http://schemas.openxmlformats.org/officeDocument/2006/relationships/hyperlink" Target="http://dx.doi.org/10.1111/ans.14225" TargetMode="External"/><Relationship Id="rId35" Type="http://schemas.openxmlformats.org/officeDocument/2006/relationships/hyperlink" Target="https://qualitysafety.bmj.com/content/early/recent"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79BCC-D4B7-4A45-A7D5-03D57EF2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3552</Words>
  <Characters>21672</Characters>
  <Application>Microsoft Office Word</Application>
  <DocSecurity>0</DocSecurity>
  <Lines>442</Lines>
  <Paragraphs>227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24997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2017-09-15T04:28:00Z</dcterms:created>
  <dcterms:modified xsi:type="dcterms:W3CDTF">2017-09-15T05:10:00Z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