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C3014C" w:rsidRDefault="00824B99" w:rsidP="00597B4F">
      <w:pPr>
        <w:pStyle w:val="Heading1"/>
        <w:ind w:left="1440" w:hanging="1440"/>
        <w:jc w:val="both"/>
        <w:rPr>
          <w:rFonts w:ascii="Bookman Old Style" w:hAnsi="Bookman Old Style"/>
          <w:sz w:val="48"/>
          <w:szCs w:val="48"/>
          <w:lang w:val="en-AU"/>
        </w:rPr>
      </w:pPr>
      <w:r w:rsidRPr="00C3014C">
        <w:rPr>
          <w:rFonts w:ascii="Bookman Old Style" w:hAnsi="Bookman Old Style"/>
          <w:noProof/>
          <w:sz w:val="48"/>
          <w:szCs w:val="48"/>
          <w:lang w:val="en-AU" w:eastAsia="en-AU"/>
        </w:rPr>
        <w:drawing>
          <wp:anchor distT="0" distB="0" distL="114300" distR="114300" simplePos="0" relativeHeight="251659264" behindDoc="1" locked="0" layoutInCell="1" allowOverlap="1" wp14:anchorId="5BCBCBA4" wp14:editId="3450295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C3014C">
        <w:rPr>
          <w:rFonts w:ascii="Bookman Old Style" w:hAnsi="Bookman Old Style"/>
          <w:sz w:val="48"/>
          <w:szCs w:val="48"/>
          <w:lang w:val="en-AU"/>
        </w:rPr>
        <w:t>On the Radar</w:t>
      </w:r>
    </w:p>
    <w:p w:rsidR="00B160EF" w:rsidRPr="00C3014C" w:rsidRDefault="00715F47" w:rsidP="00B160EF">
      <w:pPr>
        <w:rPr>
          <w:rFonts w:ascii="Garamond" w:hAnsi="Garamond"/>
          <w:color w:val="000000"/>
          <w:lang w:val="en-AU"/>
        </w:rPr>
      </w:pPr>
      <w:r w:rsidRPr="00C3014C">
        <w:rPr>
          <w:rFonts w:ascii="Garamond" w:hAnsi="Garamond"/>
          <w:color w:val="000000"/>
          <w:lang w:val="en-AU"/>
        </w:rPr>
        <w:t xml:space="preserve">Issue </w:t>
      </w:r>
      <w:r w:rsidR="00252A38" w:rsidRPr="00C3014C">
        <w:rPr>
          <w:rFonts w:ascii="Garamond" w:hAnsi="Garamond"/>
          <w:color w:val="000000"/>
          <w:lang w:val="en-AU"/>
        </w:rPr>
        <w:t>3</w:t>
      </w:r>
      <w:r w:rsidR="00DC1E06">
        <w:rPr>
          <w:rFonts w:ascii="Garamond" w:hAnsi="Garamond"/>
          <w:color w:val="000000"/>
          <w:lang w:val="en-AU"/>
        </w:rPr>
        <w:t>40</w:t>
      </w:r>
    </w:p>
    <w:p w:rsidR="00755242" w:rsidRPr="00C3014C" w:rsidRDefault="00DC1E06" w:rsidP="00B160EF">
      <w:pPr>
        <w:rPr>
          <w:rFonts w:ascii="Garamond" w:hAnsi="Garamond"/>
          <w:lang w:val="en-AU"/>
        </w:rPr>
      </w:pPr>
      <w:r>
        <w:rPr>
          <w:rFonts w:ascii="Garamond" w:hAnsi="Garamond"/>
          <w:lang w:val="en-AU"/>
        </w:rPr>
        <w:t>25</w:t>
      </w:r>
      <w:r w:rsidR="00B532DE" w:rsidRPr="00C3014C">
        <w:rPr>
          <w:rFonts w:ascii="Garamond" w:hAnsi="Garamond"/>
          <w:lang w:val="en-AU"/>
        </w:rPr>
        <w:t xml:space="preserve"> September</w:t>
      </w:r>
      <w:r w:rsidR="001E5BD1" w:rsidRPr="00C3014C">
        <w:rPr>
          <w:rFonts w:ascii="Garamond" w:hAnsi="Garamond"/>
          <w:lang w:val="en-AU"/>
        </w:rPr>
        <w:t xml:space="preserve"> </w:t>
      </w:r>
      <w:r w:rsidR="00F74A58" w:rsidRPr="00C3014C">
        <w:rPr>
          <w:rFonts w:ascii="Garamond" w:hAnsi="Garamond"/>
          <w:lang w:val="en-AU"/>
        </w:rPr>
        <w:t>2017</w:t>
      </w:r>
    </w:p>
    <w:p w:rsidR="00566895" w:rsidRPr="00C3014C" w:rsidRDefault="00566895" w:rsidP="00B160EF">
      <w:pPr>
        <w:rPr>
          <w:rFonts w:ascii="Garamond" w:hAnsi="Garamond"/>
          <w:lang w:val="en-AU"/>
        </w:rPr>
      </w:pPr>
    </w:p>
    <w:p w:rsidR="00B160EF" w:rsidRPr="00C3014C" w:rsidRDefault="00B160EF" w:rsidP="00B160EF">
      <w:pPr>
        <w:rPr>
          <w:rFonts w:ascii="Garamond" w:hAnsi="Garamond"/>
          <w:b/>
          <w:lang w:val="en-AU"/>
        </w:rPr>
      </w:pPr>
      <w:r w:rsidRPr="00C3014C">
        <w:rPr>
          <w:rFonts w:ascii="Garamond" w:hAnsi="Garamond"/>
          <w:i/>
          <w:lang w:val="en-AU"/>
        </w:rPr>
        <w:t>On the Radar</w:t>
      </w:r>
      <w:r w:rsidRPr="00C3014C">
        <w:rPr>
          <w:rFonts w:ascii="Garamond" w:hAnsi="Garamond"/>
          <w:lang w:val="en-AU"/>
        </w:rPr>
        <w:t xml:space="preserve"> is a summary of some of the recent publications in </w:t>
      </w:r>
      <w:r w:rsidR="000025DB" w:rsidRPr="00C3014C">
        <w:rPr>
          <w:rFonts w:ascii="Garamond" w:hAnsi="Garamond"/>
          <w:lang w:val="en-AU"/>
        </w:rPr>
        <w:t>the</w:t>
      </w:r>
      <w:r w:rsidRPr="00C3014C">
        <w:rPr>
          <w:rFonts w:ascii="Garamond" w:hAnsi="Garamond"/>
          <w:lang w:val="en-AU"/>
        </w:rPr>
        <w:t xml:space="preserve"> areas of safety and quality in health care. Inclusion in this document is not an endorsement or recommendation of any publication or provider.</w:t>
      </w:r>
      <w:r w:rsidR="00594E21" w:rsidRPr="00C3014C">
        <w:rPr>
          <w:rFonts w:ascii="Garamond" w:hAnsi="Garamond"/>
          <w:lang w:val="en-AU"/>
        </w:rPr>
        <w:t xml:space="preserve"> </w:t>
      </w:r>
      <w:r w:rsidRPr="00C3014C">
        <w:rPr>
          <w:rFonts w:ascii="Garamond" w:hAnsi="Garamond"/>
          <w:lang w:val="en-AU"/>
        </w:rPr>
        <w:t>Access to particular documents may depend on whether they are Open Access or not, and/or your individual or institutional access to subscription sites/services.</w:t>
      </w:r>
      <w:r w:rsidR="00F460A7" w:rsidRPr="00C3014C">
        <w:rPr>
          <w:rFonts w:ascii="Garamond" w:hAnsi="Garamond"/>
          <w:lang w:val="en-AU"/>
        </w:rPr>
        <w:t xml:space="preserve"> Material that may require subscription is included as it is considered relevant.</w:t>
      </w:r>
    </w:p>
    <w:p w:rsidR="00B160EF" w:rsidRPr="00C3014C" w:rsidRDefault="00B160EF" w:rsidP="00B160EF">
      <w:pPr>
        <w:rPr>
          <w:rFonts w:ascii="Garamond" w:hAnsi="Garamond"/>
          <w:lang w:val="en-AU"/>
        </w:rPr>
      </w:pPr>
    </w:p>
    <w:p w:rsidR="00230D83" w:rsidRPr="00C3014C" w:rsidRDefault="00B160EF" w:rsidP="0045757F">
      <w:pPr>
        <w:autoSpaceDE w:val="0"/>
        <w:rPr>
          <w:rFonts w:ascii="Garamond" w:hAnsi="Garamond"/>
          <w:lang w:val="en-AU"/>
        </w:rPr>
      </w:pPr>
      <w:r w:rsidRPr="00C3014C">
        <w:rPr>
          <w:rFonts w:ascii="Garamond" w:hAnsi="Garamond"/>
          <w:i/>
          <w:lang w:val="en-AU"/>
        </w:rPr>
        <w:t>On the Radar</w:t>
      </w:r>
      <w:r w:rsidRPr="00C3014C">
        <w:rPr>
          <w:rFonts w:ascii="Garamond" w:hAnsi="Garamond"/>
          <w:lang w:val="en-AU"/>
        </w:rPr>
        <w:t xml:space="preserve"> is available </w:t>
      </w:r>
      <w:r w:rsidR="003D1E7A" w:rsidRPr="00C3014C">
        <w:rPr>
          <w:rFonts w:ascii="Garamond" w:hAnsi="Garamond"/>
          <w:lang w:val="en-AU"/>
        </w:rPr>
        <w:t xml:space="preserve">online, </w:t>
      </w:r>
      <w:r w:rsidRPr="00C3014C">
        <w:rPr>
          <w:rFonts w:ascii="Garamond" w:hAnsi="Garamond"/>
          <w:lang w:val="en-AU"/>
        </w:rPr>
        <w:t xml:space="preserve">via email or as a PDF </w:t>
      </w:r>
      <w:r w:rsidR="006F34BB" w:rsidRPr="00C3014C">
        <w:rPr>
          <w:rFonts w:ascii="Garamond" w:hAnsi="Garamond"/>
          <w:lang w:val="en-AU"/>
        </w:rPr>
        <w:t xml:space="preserve">or Word </w:t>
      </w:r>
      <w:r w:rsidRPr="00C3014C">
        <w:rPr>
          <w:rFonts w:ascii="Garamond" w:hAnsi="Garamond"/>
          <w:lang w:val="en-AU"/>
        </w:rPr>
        <w:t xml:space="preserve">document from </w:t>
      </w:r>
      <w:hyperlink r:id="rId10" w:history="1">
        <w:r w:rsidR="00543EF2" w:rsidRPr="00C3014C">
          <w:rPr>
            <w:rStyle w:val="Hyperlink"/>
            <w:rFonts w:ascii="Garamond" w:hAnsi="Garamond"/>
            <w:lang w:val="en-AU"/>
          </w:rPr>
          <w:t>https://www.safetyandquality.gov.au/publications-resources/on-the-radar/</w:t>
        </w:r>
      </w:hyperlink>
    </w:p>
    <w:p w:rsidR="0090536C" w:rsidRPr="00C3014C" w:rsidRDefault="0090536C" w:rsidP="0045757F">
      <w:pPr>
        <w:autoSpaceDE w:val="0"/>
        <w:rPr>
          <w:rFonts w:ascii="Garamond" w:hAnsi="Garamond"/>
          <w:lang w:val="en-AU"/>
        </w:rPr>
      </w:pPr>
    </w:p>
    <w:p w:rsidR="00B160EF" w:rsidRPr="00C3014C" w:rsidRDefault="00B160EF" w:rsidP="0045757F">
      <w:pPr>
        <w:autoSpaceDE w:val="0"/>
        <w:rPr>
          <w:rFonts w:ascii="Garamond" w:hAnsi="Garamond"/>
          <w:lang w:val="en-AU"/>
        </w:rPr>
      </w:pPr>
      <w:r w:rsidRPr="00C3014C">
        <w:rPr>
          <w:rFonts w:ascii="Garamond" w:hAnsi="Garamond"/>
          <w:lang w:val="en-AU"/>
        </w:rPr>
        <w:t xml:space="preserve">If you would like to receive </w:t>
      </w:r>
      <w:r w:rsidRPr="00C3014C">
        <w:rPr>
          <w:rFonts w:ascii="Garamond" w:hAnsi="Garamond"/>
          <w:i/>
          <w:lang w:val="en-AU"/>
        </w:rPr>
        <w:t>On the Radar</w:t>
      </w:r>
      <w:r w:rsidRPr="00C3014C">
        <w:rPr>
          <w:rFonts w:ascii="Garamond" w:hAnsi="Garamond"/>
          <w:lang w:val="en-AU"/>
        </w:rPr>
        <w:t xml:space="preserve"> via email</w:t>
      </w:r>
      <w:r w:rsidR="003D7B9E" w:rsidRPr="00C3014C">
        <w:rPr>
          <w:rFonts w:ascii="Garamond" w:hAnsi="Garamond"/>
          <w:lang w:val="en-AU"/>
        </w:rPr>
        <w:t>, you can</w:t>
      </w:r>
      <w:r w:rsidR="00F24F60" w:rsidRPr="00C3014C">
        <w:rPr>
          <w:rFonts w:ascii="Garamond" w:hAnsi="Garamond"/>
          <w:lang w:val="en-AU"/>
        </w:rPr>
        <w:t xml:space="preserve"> subscribe on our website </w:t>
      </w:r>
      <w:hyperlink r:id="rId11" w:history="1">
        <w:r w:rsidR="00543EF2" w:rsidRPr="00C3014C">
          <w:rPr>
            <w:rStyle w:val="Hyperlink"/>
            <w:rFonts w:ascii="Garamond" w:hAnsi="Garamond"/>
            <w:lang w:val="en-AU"/>
          </w:rPr>
          <w:t>https://www.safetyandquality.gov.au/</w:t>
        </w:r>
      </w:hyperlink>
      <w:r w:rsidR="003D7B9E" w:rsidRPr="00C3014C">
        <w:rPr>
          <w:rFonts w:ascii="Garamond" w:hAnsi="Garamond"/>
          <w:lang w:val="en-AU"/>
        </w:rPr>
        <w:t xml:space="preserve"> or by emailing us at </w:t>
      </w:r>
      <w:r w:rsidR="003D7B9E" w:rsidRPr="00C3014C">
        <w:rPr>
          <w:rFonts w:ascii="Garamond" w:hAnsi="Garamond" w:cs="ZWAdobeF"/>
          <w:sz w:val="2"/>
          <w:szCs w:val="2"/>
          <w:lang w:val="en-AU"/>
        </w:rPr>
        <w:t>H</w:t>
      </w:r>
      <w:hyperlink r:id="rId12" w:history="1">
        <w:r w:rsidR="003D7B9E" w:rsidRPr="00C3014C">
          <w:rPr>
            <w:rFonts w:ascii="Garamond" w:hAnsi="Garamond" w:cs="ZWAdobeF"/>
            <w:sz w:val="2"/>
            <w:szCs w:val="2"/>
            <w:lang w:val="en-AU"/>
          </w:rPr>
          <w:t>U</w:t>
        </w:r>
        <w:r w:rsidR="003D7B9E" w:rsidRPr="00C3014C">
          <w:rPr>
            <w:rStyle w:val="Hyperlink"/>
            <w:rFonts w:ascii="Garamond" w:hAnsi="Garamond"/>
            <w:lang w:val="en-AU"/>
          </w:rPr>
          <w:t>mail@safetyandquality.gov.au</w:t>
        </w:r>
        <w:r w:rsidR="003D7B9E" w:rsidRPr="00C3014C">
          <w:rPr>
            <w:rStyle w:val="Hyperlink"/>
            <w:rFonts w:ascii="Garamond" w:hAnsi="Garamond" w:cs="ZWAdobeF"/>
            <w:color w:val="auto"/>
            <w:sz w:val="2"/>
            <w:szCs w:val="2"/>
            <w:u w:val="none"/>
            <w:lang w:val="en-AU"/>
          </w:rPr>
          <w:t>U</w:t>
        </w:r>
      </w:hyperlink>
      <w:r w:rsidR="003D7B9E" w:rsidRPr="00C3014C">
        <w:rPr>
          <w:rFonts w:ascii="Garamond" w:hAnsi="Garamond"/>
          <w:lang w:val="en-AU"/>
        </w:rPr>
        <w:t xml:space="preserve">. </w:t>
      </w:r>
      <w:r w:rsidR="00E51D23" w:rsidRPr="00C3014C">
        <w:rPr>
          <w:rFonts w:ascii="Garamond" w:hAnsi="Garamond"/>
          <w:lang w:val="en-AU"/>
        </w:rPr>
        <w:br/>
      </w:r>
      <w:r w:rsidR="003D7B9E" w:rsidRPr="00C3014C">
        <w:rPr>
          <w:rFonts w:ascii="Garamond" w:hAnsi="Garamond"/>
          <w:lang w:val="en-AU"/>
        </w:rPr>
        <w:t xml:space="preserve">You can also send feedback and comments to </w:t>
      </w:r>
      <w:r w:rsidR="003D7B9E" w:rsidRPr="00C3014C">
        <w:rPr>
          <w:rFonts w:ascii="Garamond" w:hAnsi="Garamond" w:cs="ZWAdobeF"/>
          <w:sz w:val="2"/>
          <w:szCs w:val="2"/>
          <w:lang w:val="en-AU"/>
        </w:rPr>
        <w:t>H</w:t>
      </w:r>
      <w:hyperlink r:id="rId13" w:history="1">
        <w:r w:rsidR="003D7B9E" w:rsidRPr="00C3014C">
          <w:rPr>
            <w:rFonts w:ascii="Garamond" w:hAnsi="Garamond" w:cs="ZWAdobeF"/>
            <w:sz w:val="2"/>
            <w:szCs w:val="2"/>
            <w:lang w:val="en-AU"/>
          </w:rPr>
          <w:t>U</w:t>
        </w:r>
        <w:r w:rsidR="003D7B9E" w:rsidRPr="00C3014C">
          <w:rPr>
            <w:rStyle w:val="Hyperlink"/>
            <w:rFonts w:ascii="Garamond" w:hAnsi="Garamond"/>
            <w:lang w:val="en-AU"/>
          </w:rPr>
          <w:t>mail@safetyandquality.gov.au</w:t>
        </w:r>
        <w:r w:rsidR="003D7B9E" w:rsidRPr="00C3014C">
          <w:rPr>
            <w:rStyle w:val="Hyperlink"/>
            <w:rFonts w:ascii="Garamond" w:hAnsi="Garamond" w:cs="ZWAdobeF"/>
            <w:color w:val="auto"/>
            <w:sz w:val="2"/>
            <w:szCs w:val="2"/>
            <w:u w:val="none"/>
            <w:lang w:val="en-AU"/>
          </w:rPr>
          <w:t>U</w:t>
        </w:r>
      </w:hyperlink>
      <w:r w:rsidR="003D7B9E" w:rsidRPr="00C3014C">
        <w:rPr>
          <w:rFonts w:ascii="Garamond" w:hAnsi="Garamond"/>
          <w:lang w:val="en-AU"/>
        </w:rPr>
        <w:t>.</w:t>
      </w:r>
    </w:p>
    <w:p w:rsidR="00B160EF" w:rsidRPr="00C3014C" w:rsidRDefault="00B160EF" w:rsidP="00837FC4">
      <w:pPr>
        <w:tabs>
          <w:tab w:val="left" w:pos="7773"/>
        </w:tabs>
        <w:rPr>
          <w:rFonts w:ascii="Garamond" w:hAnsi="Garamond"/>
          <w:lang w:val="en-AU"/>
        </w:rPr>
      </w:pPr>
    </w:p>
    <w:p w:rsidR="00837FC4" w:rsidRPr="00C3014C" w:rsidRDefault="00B160EF" w:rsidP="004554DB">
      <w:pPr>
        <w:autoSpaceDE w:val="0"/>
        <w:rPr>
          <w:rFonts w:ascii="Garamond" w:hAnsi="Garamond"/>
          <w:lang w:val="en-AU"/>
        </w:rPr>
      </w:pPr>
      <w:bookmarkStart w:id="0" w:name="OLE_LINK1"/>
      <w:r w:rsidRPr="00C3014C">
        <w:rPr>
          <w:rFonts w:ascii="Garamond" w:hAnsi="Garamond"/>
          <w:lang w:val="en-AU"/>
        </w:rPr>
        <w:t xml:space="preserve">For information about the Commission and its programs and publications, please visit </w:t>
      </w:r>
      <w:hyperlink r:id="rId14" w:history="1">
        <w:r w:rsidR="00543EF2" w:rsidRPr="00C3014C">
          <w:rPr>
            <w:rStyle w:val="Hyperlink"/>
            <w:rFonts w:ascii="Garamond" w:hAnsi="Garamond"/>
            <w:lang w:val="en-AU"/>
          </w:rPr>
          <w:t>https://www.safetyandquality.gov.au</w:t>
        </w:r>
      </w:hyperlink>
    </w:p>
    <w:p w:rsidR="0054703F" w:rsidRPr="00C3014C" w:rsidRDefault="004554DB" w:rsidP="004554DB">
      <w:pPr>
        <w:autoSpaceDE w:val="0"/>
        <w:rPr>
          <w:rFonts w:ascii="Garamond" w:hAnsi="Garamond"/>
          <w:lang w:val="en-AU"/>
        </w:rPr>
      </w:pPr>
      <w:r w:rsidRPr="00C3014C">
        <w:rPr>
          <w:rFonts w:ascii="Garamond" w:hAnsi="Garamond"/>
          <w:lang w:val="en-AU"/>
        </w:rPr>
        <w:t>You can also follow us on Twitter @ACSQHC.</w:t>
      </w:r>
    </w:p>
    <w:p w:rsidR="00210235" w:rsidRPr="00C3014C" w:rsidRDefault="00210235" w:rsidP="00210235">
      <w:pPr>
        <w:keepNext/>
        <w:pBdr>
          <w:top w:val="single" w:sz="4" w:space="1" w:color="auto"/>
        </w:pBdr>
        <w:rPr>
          <w:rFonts w:ascii="Garamond" w:hAnsi="Garamond"/>
          <w:b/>
          <w:lang w:val="en-AU"/>
        </w:rPr>
      </w:pPr>
      <w:r w:rsidRPr="00C3014C">
        <w:rPr>
          <w:rFonts w:ascii="Garamond" w:hAnsi="Garamond"/>
          <w:b/>
          <w:lang w:val="en-AU"/>
        </w:rPr>
        <w:t>On the Radar</w:t>
      </w:r>
    </w:p>
    <w:p w:rsidR="00340157" w:rsidRPr="00C3014C" w:rsidRDefault="00340157" w:rsidP="00210235">
      <w:pPr>
        <w:keepNext/>
        <w:pBdr>
          <w:top w:val="single" w:sz="4" w:space="1" w:color="auto"/>
        </w:pBdr>
        <w:rPr>
          <w:rFonts w:ascii="Garamond" w:hAnsi="Garamond"/>
          <w:bCs/>
          <w:lang w:val="en-AU"/>
        </w:rPr>
      </w:pPr>
      <w:r w:rsidRPr="00C3014C">
        <w:rPr>
          <w:rFonts w:ascii="Garamond" w:hAnsi="Garamond"/>
          <w:bCs/>
          <w:lang w:val="en-AU"/>
        </w:rPr>
        <w:t xml:space="preserve">Editor: </w:t>
      </w:r>
      <w:r w:rsidR="00C8085B" w:rsidRPr="00C3014C">
        <w:rPr>
          <w:rFonts w:ascii="Garamond" w:hAnsi="Garamond"/>
          <w:bCs/>
          <w:lang w:val="en-AU"/>
        </w:rPr>
        <w:t xml:space="preserve">Dr </w:t>
      </w:r>
      <w:r w:rsidRPr="00C3014C">
        <w:rPr>
          <w:rFonts w:ascii="Garamond" w:hAnsi="Garamond"/>
          <w:bCs/>
          <w:lang w:val="en-AU"/>
        </w:rPr>
        <w:t xml:space="preserve">Niall Johnson </w:t>
      </w:r>
      <w:hyperlink r:id="rId15" w:history="1">
        <w:r w:rsidRPr="00C3014C">
          <w:rPr>
            <w:rStyle w:val="Hyperlink"/>
            <w:rFonts w:ascii="Garamond" w:hAnsi="Garamond"/>
            <w:bCs/>
            <w:lang w:val="en-AU"/>
          </w:rPr>
          <w:t>niall.johnson@safetyandquality.gov.au</w:t>
        </w:r>
      </w:hyperlink>
    </w:p>
    <w:p w:rsidR="009A35BE" w:rsidRPr="00C3014C" w:rsidRDefault="00210235" w:rsidP="00A8296D">
      <w:pPr>
        <w:keepNext/>
        <w:pBdr>
          <w:top w:val="single" w:sz="4" w:space="1" w:color="auto"/>
        </w:pBdr>
        <w:rPr>
          <w:rFonts w:ascii="Garamond" w:hAnsi="Garamond"/>
          <w:shd w:val="clear" w:color="auto" w:fill="FFFFFF"/>
          <w:lang w:val="en-AU"/>
        </w:rPr>
      </w:pPr>
      <w:r w:rsidRPr="00C3014C">
        <w:rPr>
          <w:rFonts w:ascii="Garamond" w:hAnsi="Garamond"/>
          <w:bCs/>
          <w:lang w:val="en-AU"/>
        </w:rPr>
        <w:t xml:space="preserve">Contributors: </w:t>
      </w:r>
      <w:r w:rsidR="0056339A" w:rsidRPr="00C3014C">
        <w:rPr>
          <w:rFonts w:ascii="Garamond" w:hAnsi="Garamond"/>
          <w:bCs/>
          <w:lang w:val="en-AU"/>
        </w:rPr>
        <w:t>Niall Johnson</w:t>
      </w:r>
      <w:bookmarkEnd w:id="0"/>
    </w:p>
    <w:p w:rsidR="00290E63" w:rsidRDefault="00290E63" w:rsidP="00691DE3">
      <w:pPr>
        <w:keepLines/>
        <w:autoSpaceDE w:val="0"/>
        <w:autoSpaceDN w:val="0"/>
        <w:adjustRightInd w:val="0"/>
        <w:rPr>
          <w:rFonts w:ascii="Garamond" w:hAnsi="Garamond"/>
          <w:lang w:val="en-AU"/>
        </w:rPr>
      </w:pPr>
    </w:p>
    <w:p w:rsidR="00491913" w:rsidRPr="00C3014C" w:rsidRDefault="00491913" w:rsidP="00691DE3">
      <w:pPr>
        <w:keepLines/>
        <w:autoSpaceDE w:val="0"/>
        <w:autoSpaceDN w:val="0"/>
        <w:adjustRightInd w:val="0"/>
        <w:rPr>
          <w:rFonts w:ascii="Garamond" w:hAnsi="Garamond"/>
          <w:lang w:val="en-AU"/>
        </w:rPr>
      </w:pPr>
    </w:p>
    <w:p w:rsidR="000C6A11" w:rsidRPr="00C3014C" w:rsidRDefault="000C6A11" w:rsidP="00644660">
      <w:pPr>
        <w:keepNext/>
        <w:keepLines/>
        <w:autoSpaceDE w:val="0"/>
        <w:autoSpaceDN w:val="0"/>
        <w:adjustRightInd w:val="0"/>
        <w:rPr>
          <w:rFonts w:ascii="Garamond" w:hAnsi="Garamond"/>
          <w:b/>
          <w:lang w:val="en-AU"/>
        </w:rPr>
      </w:pPr>
      <w:r w:rsidRPr="00C3014C">
        <w:rPr>
          <w:rFonts w:ascii="Garamond" w:hAnsi="Garamond"/>
          <w:b/>
          <w:lang w:val="en-AU"/>
        </w:rPr>
        <w:t>Journal articles</w:t>
      </w:r>
    </w:p>
    <w:p w:rsidR="001E1067" w:rsidRDefault="001E1067" w:rsidP="0061618B">
      <w:pPr>
        <w:keepLines/>
        <w:autoSpaceDE w:val="0"/>
        <w:autoSpaceDN w:val="0"/>
        <w:adjustRightInd w:val="0"/>
        <w:rPr>
          <w:rFonts w:ascii="Garamond" w:hAnsi="Garamond"/>
          <w:lang w:val="en-AU"/>
        </w:rPr>
      </w:pPr>
    </w:p>
    <w:p w:rsidR="00491913" w:rsidRDefault="00491913" w:rsidP="0061618B">
      <w:pPr>
        <w:keepLines/>
        <w:autoSpaceDE w:val="0"/>
        <w:autoSpaceDN w:val="0"/>
        <w:adjustRightInd w:val="0"/>
        <w:rPr>
          <w:rFonts w:ascii="Garamond" w:hAnsi="Garamond"/>
          <w:lang w:val="en-AU"/>
        </w:rPr>
      </w:pPr>
    </w:p>
    <w:p w:rsidR="00AD3423" w:rsidRPr="001F3A9E" w:rsidRDefault="001F3A9E" w:rsidP="001F3A9E">
      <w:pPr>
        <w:keepNext/>
        <w:rPr>
          <w:rFonts w:ascii="Garamond" w:hAnsi="Garamond"/>
          <w:i/>
          <w:lang w:val="en-AU"/>
        </w:rPr>
      </w:pPr>
      <w:r w:rsidRPr="001F3A9E">
        <w:rPr>
          <w:rFonts w:ascii="Garamond" w:hAnsi="Garamond"/>
          <w:i/>
          <w:lang w:val="en-AU"/>
        </w:rPr>
        <w:t>Nature of Blame in Patient Safety Incident Reports: Mixed Methods Analysis of a National Database</w:t>
      </w:r>
    </w:p>
    <w:p w:rsidR="001F3A9E" w:rsidRDefault="001F3A9E" w:rsidP="001F3A9E">
      <w:pPr>
        <w:keepNext/>
        <w:rPr>
          <w:rFonts w:ascii="Garamond" w:hAnsi="Garamond"/>
          <w:lang w:val="en-AU"/>
        </w:rPr>
      </w:pPr>
      <w:r w:rsidRPr="001F3A9E">
        <w:rPr>
          <w:rFonts w:ascii="Garamond" w:hAnsi="Garamond"/>
          <w:lang w:val="en-AU"/>
        </w:rPr>
        <w:t>Cooper J, Edwards A, Williams H, Sheikh A, Parry G, Hibbert P, et al</w:t>
      </w:r>
    </w:p>
    <w:p w:rsidR="001F3A9E" w:rsidRPr="00C3014C" w:rsidRDefault="001F3A9E" w:rsidP="001F3A9E">
      <w:pPr>
        <w:keepNext/>
        <w:rPr>
          <w:rFonts w:ascii="Garamond" w:hAnsi="Garamond"/>
          <w:lang w:val="en-AU"/>
        </w:rPr>
      </w:pPr>
      <w:r w:rsidRPr="001F3A9E">
        <w:rPr>
          <w:rFonts w:ascii="Garamond" w:hAnsi="Garamond"/>
          <w:lang w:val="en-AU"/>
        </w:rPr>
        <w:t>The Annals of Family Medicine. 2017;15(5):455-61.</w:t>
      </w:r>
    </w:p>
    <w:tbl>
      <w:tblPr>
        <w:tblStyle w:val="TableGrid"/>
        <w:tblW w:w="0" w:type="auto"/>
        <w:tblInd w:w="288" w:type="dxa"/>
        <w:tblLayout w:type="fixed"/>
        <w:tblLook w:val="01E0" w:firstRow="1" w:lastRow="1" w:firstColumn="1" w:lastColumn="1" w:noHBand="0" w:noVBand="0"/>
      </w:tblPr>
      <w:tblGrid>
        <w:gridCol w:w="1080"/>
        <w:gridCol w:w="8280"/>
      </w:tblGrid>
      <w:tr w:rsidR="00AD3423" w:rsidRPr="00C3014C" w:rsidTr="007F5832">
        <w:tc>
          <w:tcPr>
            <w:tcW w:w="1080" w:type="dxa"/>
            <w:tcBorders>
              <w:top w:val="single" w:sz="4" w:space="0" w:color="auto"/>
              <w:left w:val="single" w:sz="4" w:space="0" w:color="auto"/>
              <w:bottom w:val="single" w:sz="4" w:space="0" w:color="auto"/>
              <w:right w:val="single" w:sz="4" w:space="0" w:color="auto"/>
            </w:tcBorders>
            <w:vAlign w:val="center"/>
          </w:tcPr>
          <w:p w:rsidR="00AD3423" w:rsidRPr="00C3014C" w:rsidRDefault="00AD3423" w:rsidP="007F5832">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D3423" w:rsidRPr="00C3014C" w:rsidRDefault="00FB47D9" w:rsidP="001F3A9E">
            <w:pPr>
              <w:rPr>
                <w:rStyle w:val="Hyperlink"/>
                <w:rFonts w:ascii="Garamond" w:hAnsi="Garamond"/>
                <w:color w:val="auto"/>
                <w:u w:val="none"/>
                <w:lang w:val="en-AU"/>
              </w:rPr>
            </w:pPr>
            <w:hyperlink r:id="rId16" w:history="1">
              <w:r w:rsidR="001F3A9E" w:rsidRPr="008F42A6">
                <w:rPr>
                  <w:rStyle w:val="Hyperlink"/>
                  <w:rFonts w:ascii="Garamond" w:hAnsi="Garamond"/>
                  <w:lang w:val="en-AU"/>
                </w:rPr>
                <w:t>https://doi.org/10.1370/afm.2123</w:t>
              </w:r>
            </w:hyperlink>
          </w:p>
        </w:tc>
      </w:tr>
      <w:tr w:rsidR="00AD3423" w:rsidRPr="00C3014C" w:rsidTr="007F5832">
        <w:tc>
          <w:tcPr>
            <w:tcW w:w="1080" w:type="dxa"/>
            <w:tcBorders>
              <w:top w:val="single" w:sz="4" w:space="0" w:color="auto"/>
              <w:left w:val="single" w:sz="4" w:space="0" w:color="auto"/>
              <w:bottom w:val="single" w:sz="4" w:space="0" w:color="auto"/>
              <w:right w:val="single" w:sz="4" w:space="0" w:color="auto"/>
            </w:tcBorders>
            <w:vAlign w:val="center"/>
          </w:tcPr>
          <w:p w:rsidR="00AD3423" w:rsidRPr="00C3014C" w:rsidRDefault="00AD3423" w:rsidP="007F5832">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F3A9E" w:rsidRPr="00DC1E06" w:rsidRDefault="001F3A9E" w:rsidP="001F3A9E">
            <w:pPr>
              <w:rPr>
                <w:rFonts w:ascii="Garamond" w:hAnsi="Garamond"/>
                <w:lang w:val="en-AU"/>
              </w:rPr>
            </w:pPr>
            <w:r>
              <w:rPr>
                <w:rFonts w:ascii="Garamond" w:hAnsi="Garamond"/>
                <w:lang w:val="en-AU"/>
              </w:rPr>
              <w:t xml:space="preserve">Members of this group have published a number of papers based on analyses of information from UK national datasets, particular the </w:t>
            </w:r>
            <w:r w:rsidRPr="001F3A9E">
              <w:rPr>
                <w:rFonts w:ascii="Garamond" w:hAnsi="Garamond"/>
                <w:lang w:val="en-AU"/>
              </w:rPr>
              <w:t>England and Wales National Reporting and Learning</w:t>
            </w:r>
            <w:r>
              <w:rPr>
                <w:rFonts w:ascii="Garamond" w:hAnsi="Garamond"/>
                <w:lang w:val="en-AU"/>
              </w:rPr>
              <w:t xml:space="preserve"> </w:t>
            </w:r>
            <w:r w:rsidRPr="001F3A9E">
              <w:rPr>
                <w:rFonts w:ascii="Garamond" w:hAnsi="Garamond"/>
                <w:lang w:val="en-AU"/>
              </w:rPr>
              <w:t>System</w:t>
            </w:r>
            <w:r>
              <w:rPr>
                <w:rFonts w:ascii="Garamond" w:hAnsi="Garamond"/>
                <w:lang w:val="en-AU"/>
              </w:rPr>
              <w:t xml:space="preserve"> (as the case in this paper). This study analysed a </w:t>
            </w:r>
            <w:r w:rsidRPr="001F3A9E">
              <w:rPr>
                <w:rFonts w:ascii="Garamond" w:hAnsi="Garamond"/>
                <w:lang w:val="en-AU"/>
              </w:rPr>
              <w:t>random sample of family practice patient safety</w:t>
            </w:r>
            <w:r>
              <w:rPr>
                <w:rFonts w:ascii="Garamond" w:hAnsi="Garamond"/>
                <w:lang w:val="en-AU"/>
              </w:rPr>
              <w:t xml:space="preserve"> </w:t>
            </w:r>
            <w:r w:rsidRPr="001F3A9E">
              <w:rPr>
                <w:rFonts w:ascii="Garamond" w:hAnsi="Garamond"/>
                <w:lang w:val="en-AU"/>
              </w:rPr>
              <w:t xml:space="preserve">incident reports </w:t>
            </w:r>
            <w:r>
              <w:rPr>
                <w:rFonts w:ascii="Garamond" w:hAnsi="Garamond"/>
                <w:lang w:val="en-AU"/>
              </w:rPr>
              <w:t xml:space="preserve">to examine </w:t>
            </w:r>
            <w:r w:rsidRPr="001F3A9E">
              <w:rPr>
                <w:rFonts w:ascii="Garamond" w:hAnsi="Garamond"/>
                <w:lang w:val="en-AU"/>
              </w:rPr>
              <w:t>the nature of blame in family</w:t>
            </w:r>
            <w:r>
              <w:rPr>
                <w:rFonts w:ascii="Garamond" w:hAnsi="Garamond"/>
                <w:lang w:val="en-AU"/>
              </w:rPr>
              <w:t xml:space="preserve"> </w:t>
            </w:r>
            <w:r w:rsidRPr="001F3A9E">
              <w:rPr>
                <w:rFonts w:ascii="Garamond" w:hAnsi="Garamond"/>
                <w:lang w:val="en-AU"/>
              </w:rPr>
              <w:t>practice safety incident reports.</w:t>
            </w:r>
            <w:r>
              <w:rPr>
                <w:rFonts w:ascii="Garamond" w:hAnsi="Garamond"/>
                <w:lang w:val="en-AU"/>
              </w:rPr>
              <w:t xml:space="preserve"> As the authors note, “</w:t>
            </w:r>
            <w:r w:rsidRPr="001F3A9E">
              <w:rPr>
                <w:rFonts w:ascii="Garamond" w:hAnsi="Garamond"/>
                <w:lang w:val="en-AU"/>
              </w:rPr>
              <w:t>A culture of blame and fear of retribution are recognized barriers</w:t>
            </w:r>
            <w:r>
              <w:rPr>
                <w:rFonts w:ascii="Garamond" w:hAnsi="Garamond"/>
                <w:lang w:val="en-AU"/>
              </w:rPr>
              <w:t xml:space="preserve"> </w:t>
            </w:r>
            <w:r w:rsidRPr="001F3A9E">
              <w:rPr>
                <w:rFonts w:ascii="Garamond" w:hAnsi="Garamond"/>
                <w:lang w:val="en-AU"/>
              </w:rPr>
              <w:t>to reporting patient safety incidents. The extent of blame attribution in safety</w:t>
            </w:r>
            <w:r>
              <w:rPr>
                <w:rFonts w:ascii="Garamond" w:hAnsi="Garamond"/>
                <w:lang w:val="en-AU"/>
              </w:rPr>
              <w:t xml:space="preserve"> </w:t>
            </w:r>
            <w:r w:rsidRPr="001F3A9E">
              <w:rPr>
                <w:rFonts w:ascii="Garamond" w:hAnsi="Garamond"/>
                <w:lang w:val="en-AU"/>
              </w:rPr>
              <w:t>incident reports, which may reflect the underlying safety culture of health care</w:t>
            </w:r>
            <w:r>
              <w:rPr>
                <w:rFonts w:ascii="Garamond" w:hAnsi="Garamond"/>
                <w:lang w:val="en-AU"/>
              </w:rPr>
              <w:t xml:space="preserve"> </w:t>
            </w:r>
            <w:r w:rsidRPr="001F3A9E">
              <w:rPr>
                <w:rFonts w:ascii="Garamond" w:hAnsi="Garamond"/>
                <w:lang w:val="en-AU"/>
              </w:rPr>
              <w:t>systems, is unknown.</w:t>
            </w:r>
            <w:r>
              <w:rPr>
                <w:rFonts w:ascii="Garamond" w:hAnsi="Garamond"/>
                <w:lang w:val="en-AU"/>
              </w:rPr>
              <w:t>”</w:t>
            </w:r>
          </w:p>
          <w:p w:rsidR="001F3A9E" w:rsidRDefault="001F3A9E" w:rsidP="001F3A9E">
            <w:pPr>
              <w:rPr>
                <w:rFonts w:ascii="Garamond" w:hAnsi="Garamond"/>
                <w:lang w:val="en-AU"/>
              </w:rPr>
            </w:pPr>
            <w:r>
              <w:rPr>
                <w:rFonts w:ascii="Garamond" w:hAnsi="Garamond"/>
                <w:lang w:val="en-AU"/>
              </w:rPr>
              <w:t xml:space="preserve">In their sample of family practice incident reports, the authors found that in 45% of case the health professional making the report apportioned blame to a specific person </w:t>
            </w:r>
            <w:r w:rsidRPr="001F3A9E">
              <w:rPr>
                <w:rFonts w:ascii="Garamond" w:hAnsi="Garamond"/>
                <w:lang w:val="en-AU"/>
              </w:rPr>
              <w:t>in 45% of cases (n = 975 of 2,148)</w:t>
            </w:r>
            <w:r>
              <w:rPr>
                <w:rFonts w:ascii="Garamond" w:hAnsi="Garamond"/>
                <w:lang w:val="en-AU"/>
              </w:rPr>
              <w:t xml:space="preserve"> with </w:t>
            </w:r>
            <w:r w:rsidRPr="001F3A9E">
              <w:rPr>
                <w:rFonts w:ascii="Garamond" w:hAnsi="Garamond"/>
                <w:lang w:val="en-AU"/>
              </w:rPr>
              <w:t>36% of cases</w:t>
            </w:r>
            <w:r>
              <w:rPr>
                <w:rFonts w:ascii="Garamond" w:hAnsi="Garamond"/>
                <w:lang w:val="en-AU"/>
              </w:rPr>
              <w:t xml:space="preserve"> attributing</w:t>
            </w:r>
            <w:r w:rsidRPr="001F3A9E">
              <w:rPr>
                <w:rFonts w:ascii="Garamond" w:hAnsi="Garamond"/>
                <w:lang w:val="en-AU"/>
              </w:rPr>
              <w:t xml:space="preserve"> fault to another</w:t>
            </w:r>
            <w:r>
              <w:rPr>
                <w:rFonts w:ascii="Garamond" w:hAnsi="Garamond"/>
                <w:lang w:val="en-AU"/>
              </w:rPr>
              <w:t xml:space="preserve"> </w:t>
            </w:r>
            <w:r w:rsidRPr="001F3A9E">
              <w:rPr>
                <w:rFonts w:ascii="Garamond" w:hAnsi="Garamond"/>
                <w:lang w:val="en-AU"/>
              </w:rPr>
              <w:t xml:space="preserve">person, </w:t>
            </w:r>
            <w:r>
              <w:rPr>
                <w:rFonts w:ascii="Garamond" w:hAnsi="Garamond"/>
                <w:lang w:val="en-AU"/>
              </w:rPr>
              <w:t xml:space="preserve">and </w:t>
            </w:r>
            <w:r w:rsidRPr="001F3A9E">
              <w:rPr>
                <w:rFonts w:ascii="Garamond" w:hAnsi="Garamond"/>
                <w:lang w:val="en-AU"/>
              </w:rPr>
              <w:t>2%</w:t>
            </w:r>
            <w:r>
              <w:rPr>
                <w:rFonts w:ascii="Garamond" w:hAnsi="Garamond"/>
                <w:lang w:val="en-AU"/>
              </w:rPr>
              <w:t xml:space="preserve"> of those reporting acknowledging</w:t>
            </w:r>
            <w:r w:rsidRPr="001F3A9E">
              <w:rPr>
                <w:rFonts w:ascii="Garamond" w:hAnsi="Garamond"/>
                <w:lang w:val="en-AU"/>
              </w:rPr>
              <w:t xml:space="preserve"> personal responsibility.</w:t>
            </w:r>
            <w:r>
              <w:rPr>
                <w:rFonts w:ascii="Garamond" w:hAnsi="Garamond"/>
                <w:lang w:val="en-AU"/>
              </w:rPr>
              <w:t xml:space="preserve"> The authors also observed that b</w:t>
            </w:r>
            <w:r w:rsidRPr="001F3A9E">
              <w:rPr>
                <w:rFonts w:ascii="Garamond" w:hAnsi="Garamond"/>
                <w:lang w:val="en-AU"/>
              </w:rPr>
              <w:t>lame was commonly associated with incidents where a complaint was</w:t>
            </w:r>
            <w:r>
              <w:rPr>
                <w:rFonts w:ascii="Garamond" w:hAnsi="Garamond"/>
                <w:lang w:val="en-AU"/>
              </w:rPr>
              <w:t xml:space="preserve"> </w:t>
            </w:r>
            <w:r w:rsidRPr="001F3A9E">
              <w:rPr>
                <w:rFonts w:ascii="Garamond" w:hAnsi="Garamond"/>
                <w:lang w:val="en-AU"/>
              </w:rPr>
              <w:t>anticipated</w:t>
            </w:r>
            <w:r>
              <w:rPr>
                <w:rFonts w:ascii="Garamond" w:hAnsi="Garamond"/>
                <w:lang w:val="en-AU"/>
              </w:rPr>
              <w:t xml:space="preserve">. </w:t>
            </w:r>
          </w:p>
          <w:p w:rsidR="001F3A9E" w:rsidRPr="00DC1E06" w:rsidRDefault="001F3A9E" w:rsidP="001F3A9E">
            <w:pPr>
              <w:rPr>
                <w:rFonts w:ascii="Garamond" w:hAnsi="Garamond"/>
                <w:lang w:val="en-AU"/>
              </w:rPr>
            </w:pPr>
            <w:r>
              <w:rPr>
                <w:rFonts w:ascii="Garamond" w:hAnsi="Garamond"/>
                <w:lang w:val="en-AU"/>
              </w:rPr>
              <w:lastRenderedPageBreak/>
              <w:t xml:space="preserve">These results indicate that </w:t>
            </w:r>
            <w:r w:rsidRPr="00356977">
              <w:rPr>
                <w:rFonts w:ascii="Garamond" w:hAnsi="Garamond"/>
                <w:b/>
                <w:lang w:val="en-AU"/>
              </w:rPr>
              <w:t xml:space="preserve">British family practice </w:t>
            </w:r>
            <w:r>
              <w:rPr>
                <w:rFonts w:ascii="Garamond" w:hAnsi="Garamond"/>
                <w:lang w:val="en-AU"/>
              </w:rPr>
              <w:t>may have a “</w:t>
            </w:r>
            <w:r w:rsidRPr="00356977">
              <w:rPr>
                <w:rFonts w:ascii="Garamond" w:hAnsi="Garamond"/>
                <w:b/>
                <w:lang w:val="en-AU"/>
              </w:rPr>
              <w:t>culture</w:t>
            </w:r>
            <w:r w:rsidRPr="001F3A9E">
              <w:rPr>
                <w:rFonts w:ascii="Garamond" w:hAnsi="Garamond"/>
                <w:lang w:val="en-AU"/>
              </w:rPr>
              <w:t xml:space="preserve"> that leads to </w:t>
            </w:r>
            <w:r w:rsidRPr="00356977">
              <w:rPr>
                <w:rFonts w:ascii="Garamond" w:hAnsi="Garamond"/>
                <w:b/>
                <w:lang w:val="en-AU"/>
              </w:rPr>
              <w:t>blame and retribution</w:t>
            </w:r>
            <w:r w:rsidRPr="001F3A9E">
              <w:rPr>
                <w:rFonts w:ascii="Garamond" w:hAnsi="Garamond"/>
                <w:lang w:val="en-AU"/>
              </w:rPr>
              <w:t>, rather than to</w:t>
            </w:r>
            <w:r>
              <w:rPr>
                <w:rFonts w:ascii="Garamond" w:hAnsi="Garamond"/>
                <w:lang w:val="en-AU"/>
              </w:rPr>
              <w:t xml:space="preserve"> </w:t>
            </w:r>
            <w:r w:rsidRPr="001F3A9E">
              <w:rPr>
                <w:rFonts w:ascii="Garamond" w:hAnsi="Garamond"/>
                <w:lang w:val="en-AU"/>
              </w:rPr>
              <w:t xml:space="preserve">identifying areas for </w:t>
            </w:r>
            <w:r w:rsidRPr="00356977">
              <w:rPr>
                <w:rFonts w:ascii="Garamond" w:hAnsi="Garamond"/>
                <w:b/>
                <w:lang w:val="en-AU"/>
              </w:rPr>
              <w:t>learning and improvement</w:t>
            </w:r>
            <w:r w:rsidRPr="001F3A9E">
              <w:rPr>
                <w:rFonts w:ascii="Garamond" w:hAnsi="Garamond"/>
                <w:lang w:val="en-AU"/>
              </w:rPr>
              <w:t>, and a failure to appreciate the</w:t>
            </w:r>
            <w:r>
              <w:rPr>
                <w:rFonts w:ascii="Garamond" w:hAnsi="Garamond"/>
                <w:lang w:val="en-AU"/>
              </w:rPr>
              <w:t xml:space="preserve"> </w:t>
            </w:r>
            <w:r w:rsidRPr="001F3A9E">
              <w:rPr>
                <w:rFonts w:ascii="Garamond" w:hAnsi="Garamond"/>
                <w:lang w:val="en-AU"/>
              </w:rPr>
              <w:t>contribution of system factors in others’ behavior. Successful improvement in</w:t>
            </w:r>
            <w:r>
              <w:rPr>
                <w:rFonts w:ascii="Garamond" w:hAnsi="Garamond"/>
                <w:lang w:val="en-AU"/>
              </w:rPr>
              <w:t xml:space="preserve"> </w:t>
            </w:r>
            <w:r w:rsidRPr="001F3A9E">
              <w:rPr>
                <w:rFonts w:ascii="Garamond" w:hAnsi="Garamond"/>
                <w:lang w:val="en-AU"/>
              </w:rPr>
              <w:t>patient safety through the analysis of incident reports is unlikely without achieving</w:t>
            </w:r>
            <w:r>
              <w:rPr>
                <w:rFonts w:ascii="Garamond" w:hAnsi="Garamond"/>
                <w:lang w:val="en-AU"/>
              </w:rPr>
              <w:t xml:space="preserve"> </w:t>
            </w:r>
            <w:r w:rsidRPr="001F3A9E">
              <w:rPr>
                <w:rFonts w:ascii="Garamond" w:hAnsi="Garamond"/>
                <w:lang w:val="en-AU"/>
              </w:rPr>
              <w:t>a blame-free culture.</w:t>
            </w:r>
          </w:p>
        </w:tc>
      </w:tr>
    </w:tbl>
    <w:p w:rsidR="00AD3423" w:rsidRDefault="00AD3423" w:rsidP="00AD3423">
      <w:pPr>
        <w:keepLines/>
        <w:autoSpaceDE w:val="0"/>
        <w:autoSpaceDN w:val="0"/>
        <w:adjustRightInd w:val="0"/>
        <w:rPr>
          <w:rFonts w:ascii="Garamond" w:hAnsi="Garamond"/>
          <w:lang w:val="en-AU"/>
        </w:rPr>
      </w:pPr>
    </w:p>
    <w:p w:rsidR="00491913" w:rsidRPr="009131EB" w:rsidRDefault="00491913" w:rsidP="00491913">
      <w:pPr>
        <w:keepNext/>
        <w:rPr>
          <w:rFonts w:ascii="Garamond" w:hAnsi="Garamond"/>
          <w:i/>
          <w:lang w:val="en-AU"/>
        </w:rPr>
      </w:pPr>
      <w:r w:rsidRPr="009131EB">
        <w:rPr>
          <w:rFonts w:ascii="Garamond" w:hAnsi="Garamond"/>
          <w:i/>
          <w:lang w:val="en-AU"/>
        </w:rPr>
        <w:t>False Dawns and New Horizons in Patient Safety Research and Practice</w:t>
      </w:r>
    </w:p>
    <w:p w:rsidR="00491913" w:rsidRDefault="00491913" w:rsidP="00491913">
      <w:pPr>
        <w:keepNext/>
        <w:rPr>
          <w:rFonts w:ascii="Garamond" w:hAnsi="Garamond"/>
          <w:lang w:val="en-AU"/>
        </w:rPr>
      </w:pPr>
      <w:r w:rsidRPr="009131EB">
        <w:rPr>
          <w:rFonts w:ascii="Garamond" w:hAnsi="Garamond"/>
          <w:lang w:val="en-AU"/>
        </w:rPr>
        <w:t>Mannion R, Braithwaite J</w:t>
      </w:r>
    </w:p>
    <w:p w:rsidR="00491913" w:rsidRPr="00C3014C" w:rsidRDefault="00491913" w:rsidP="00491913">
      <w:pPr>
        <w:keepNext/>
        <w:rPr>
          <w:rFonts w:ascii="Garamond" w:hAnsi="Garamond"/>
          <w:lang w:val="en-AU"/>
        </w:rPr>
      </w:pPr>
      <w:r w:rsidRPr="009131EB">
        <w:rPr>
          <w:rFonts w:ascii="Garamond" w:hAnsi="Garamond"/>
          <w:lang w:val="en-AU"/>
        </w:rPr>
        <w:t>International Journal of Health Policy and Management. 2017</w:t>
      </w:r>
      <w:r>
        <w:rPr>
          <w:rFonts w:ascii="Garamond" w:hAnsi="Garamond"/>
          <w:lang w:val="en-AU"/>
        </w:rPr>
        <w:t xml:space="preserve"> [</w:t>
      </w:r>
      <w:r w:rsidR="00376AFE">
        <w:rPr>
          <w:rFonts w:ascii="Garamond" w:hAnsi="Garamond"/>
          <w:lang w:val="en-AU"/>
        </w:rPr>
        <w:t>e</w:t>
      </w:r>
      <w:r>
        <w:rPr>
          <w:rFonts w:ascii="Garamond" w:hAnsi="Garamond"/>
          <w:lang w:val="en-AU"/>
        </w:rPr>
        <w:t>pub]</w:t>
      </w:r>
      <w:r w:rsidRPr="009131EB">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491913" w:rsidRPr="00C3014C" w:rsidTr="00F543DB">
        <w:tc>
          <w:tcPr>
            <w:tcW w:w="1080" w:type="dxa"/>
            <w:tcBorders>
              <w:top w:val="single" w:sz="4" w:space="0" w:color="auto"/>
              <w:left w:val="single" w:sz="4" w:space="0" w:color="auto"/>
              <w:bottom w:val="single" w:sz="4" w:space="0" w:color="auto"/>
              <w:right w:val="single" w:sz="4" w:space="0" w:color="auto"/>
            </w:tcBorders>
            <w:vAlign w:val="center"/>
          </w:tcPr>
          <w:p w:rsidR="00491913" w:rsidRPr="00C3014C" w:rsidRDefault="00491913" w:rsidP="00F543DB">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91913" w:rsidRDefault="00FB47D9" w:rsidP="00F543DB">
            <w:pPr>
              <w:rPr>
                <w:rStyle w:val="Hyperlink"/>
                <w:rFonts w:ascii="Garamond" w:hAnsi="Garamond"/>
                <w:color w:val="auto"/>
                <w:u w:val="none"/>
                <w:lang w:val="en-AU"/>
              </w:rPr>
            </w:pPr>
            <w:hyperlink r:id="rId17" w:history="1">
              <w:r w:rsidR="00491913" w:rsidRPr="002E587A">
                <w:rPr>
                  <w:rStyle w:val="Hyperlink"/>
                  <w:rFonts w:ascii="Garamond" w:hAnsi="Garamond"/>
                  <w:lang w:val="en-AU"/>
                </w:rPr>
                <w:t>http://www.ijhpm.com/article_3419.html</w:t>
              </w:r>
            </w:hyperlink>
          </w:p>
          <w:p w:rsidR="00491913" w:rsidRPr="00C3014C" w:rsidRDefault="00FB47D9" w:rsidP="00F543DB">
            <w:pPr>
              <w:rPr>
                <w:rStyle w:val="Hyperlink"/>
                <w:rFonts w:ascii="Garamond" w:hAnsi="Garamond"/>
                <w:color w:val="auto"/>
                <w:u w:val="none"/>
                <w:lang w:val="en-AU"/>
              </w:rPr>
            </w:pPr>
            <w:hyperlink r:id="rId18" w:history="1">
              <w:r w:rsidR="00491913" w:rsidRPr="002E587A">
                <w:rPr>
                  <w:rStyle w:val="Hyperlink"/>
                  <w:rFonts w:ascii="Garamond" w:hAnsi="Garamond"/>
                  <w:lang w:val="en-AU"/>
                </w:rPr>
                <w:t>http://dx.doi.org/10.15171/ijhpm.2017.115</w:t>
              </w:r>
            </w:hyperlink>
          </w:p>
        </w:tc>
      </w:tr>
      <w:tr w:rsidR="00491913" w:rsidRPr="00C3014C" w:rsidTr="00F543DB">
        <w:tc>
          <w:tcPr>
            <w:tcW w:w="1080" w:type="dxa"/>
            <w:tcBorders>
              <w:top w:val="single" w:sz="4" w:space="0" w:color="auto"/>
              <w:left w:val="single" w:sz="4" w:space="0" w:color="auto"/>
              <w:bottom w:val="single" w:sz="4" w:space="0" w:color="auto"/>
              <w:right w:val="single" w:sz="4" w:space="0" w:color="auto"/>
            </w:tcBorders>
            <w:vAlign w:val="center"/>
          </w:tcPr>
          <w:p w:rsidR="00491913" w:rsidRPr="00C3014C" w:rsidRDefault="00491913" w:rsidP="00F543DB">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91913" w:rsidRPr="00DC1E06" w:rsidRDefault="00491913" w:rsidP="00376AFE">
            <w:pPr>
              <w:rPr>
                <w:rFonts w:ascii="Garamond" w:hAnsi="Garamond"/>
                <w:lang w:val="en-AU"/>
              </w:rPr>
            </w:pPr>
            <w:r>
              <w:rPr>
                <w:rFonts w:ascii="Garamond" w:hAnsi="Garamond"/>
                <w:lang w:val="en-AU"/>
              </w:rPr>
              <w:t xml:space="preserve">In this editorial the authors lament the apparent inability to sustain and generalise </w:t>
            </w:r>
            <w:r w:rsidRPr="009131EB">
              <w:rPr>
                <w:rFonts w:ascii="Garamond" w:hAnsi="Garamond"/>
                <w:lang w:val="en-AU"/>
              </w:rPr>
              <w:t xml:space="preserve">improvements in </w:t>
            </w:r>
            <w:r>
              <w:rPr>
                <w:rFonts w:ascii="Garamond" w:hAnsi="Garamond"/>
                <w:lang w:val="en-AU"/>
              </w:rPr>
              <w:t xml:space="preserve">the </w:t>
            </w:r>
            <w:r w:rsidRPr="009131EB">
              <w:rPr>
                <w:rFonts w:ascii="Garamond" w:hAnsi="Garamond"/>
                <w:lang w:val="en-AU"/>
              </w:rPr>
              <w:t xml:space="preserve">safety </w:t>
            </w:r>
            <w:r>
              <w:rPr>
                <w:rFonts w:ascii="Garamond" w:hAnsi="Garamond"/>
                <w:lang w:val="en-AU"/>
              </w:rPr>
              <w:t xml:space="preserve">of health care and asserting that </w:t>
            </w:r>
            <w:r w:rsidRPr="009131EB">
              <w:rPr>
                <w:rFonts w:ascii="Garamond" w:hAnsi="Garamond"/>
                <w:lang w:val="en-AU"/>
              </w:rPr>
              <w:t xml:space="preserve">there has been no measurable, systems-level improvement in the overall rates of preventable harm. </w:t>
            </w:r>
            <w:r>
              <w:rPr>
                <w:rFonts w:ascii="Garamond" w:hAnsi="Garamond"/>
                <w:lang w:val="en-AU"/>
              </w:rPr>
              <w:t xml:space="preserve">They suggest the conceptualisation of safety in health may be hindering change and flag other </w:t>
            </w:r>
            <w:r w:rsidRPr="009131EB">
              <w:rPr>
                <w:rFonts w:ascii="Garamond" w:hAnsi="Garamond"/>
                <w:lang w:val="en-AU"/>
              </w:rPr>
              <w:t>approaches to understanding and addressing patient safety in complex, dynamic health systems</w:t>
            </w:r>
            <w:r>
              <w:rPr>
                <w:rFonts w:ascii="Garamond" w:hAnsi="Garamond"/>
                <w:lang w:val="en-AU"/>
              </w:rPr>
              <w:t>, particularly the Safety-II perspective and embracing the complexity of health the produces both positive and negative outcomes</w:t>
            </w:r>
            <w:r w:rsidRPr="009131EB">
              <w:rPr>
                <w:rFonts w:ascii="Garamond" w:hAnsi="Garamond"/>
                <w:lang w:val="en-AU"/>
              </w:rPr>
              <w:t>.</w:t>
            </w:r>
          </w:p>
        </w:tc>
      </w:tr>
    </w:tbl>
    <w:p w:rsidR="00491913" w:rsidRPr="00C3014C" w:rsidRDefault="00491913" w:rsidP="00491913">
      <w:pPr>
        <w:keepNext/>
        <w:keepLines/>
        <w:autoSpaceDE w:val="0"/>
        <w:autoSpaceDN w:val="0"/>
        <w:adjustRightInd w:val="0"/>
        <w:rPr>
          <w:rFonts w:ascii="Garamond" w:hAnsi="Garamond"/>
          <w:lang w:val="en-AU"/>
        </w:rPr>
      </w:pPr>
    </w:p>
    <w:p w:rsidR="00E26798" w:rsidRPr="00E26798" w:rsidRDefault="00E26798" w:rsidP="00E26798">
      <w:pPr>
        <w:keepNext/>
        <w:rPr>
          <w:rFonts w:ascii="Garamond" w:hAnsi="Garamond"/>
          <w:i/>
          <w:lang w:val="en-AU"/>
        </w:rPr>
      </w:pPr>
      <w:r w:rsidRPr="00E26798">
        <w:rPr>
          <w:rFonts w:ascii="Garamond" w:hAnsi="Garamond"/>
          <w:i/>
          <w:lang w:val="en-AU"/>
        </w:rPr>
        <w:t>The Age-Friendly Health System Imperative</w:t>
      </w:r>
    </w:p>
    <w:p w:rsidR="00E26798" w:rsidRDefault="00E26798" w:rsidP="00DC1E06">
      <w:pPr>
        <w:keepNext/>
        <w:rPr>
          <w:rFonts w:ascii="Garamond" w:hAnsi="Garamond"/>
          <w:lang w:val="en-AU"/>
        </w:rPr>
      </w:pPr>
      <w:r w:rsidRPr="00E26798">
        <w:rPr>
          <w:rFonts w:ascii="Garamond" w:hAnsi="Garamond"/>
          <w:lang w:val="en-AU"/>
        </w:rPr>
        <w:t>Fulmer T, Mate KS, Berman A</w:t>
      </w:r>
    </w:p>
    <w:p w:rsidR="00DC1E06" w:rsidRDefault="00E26798" w:rsidP="00DC1E06">
      <w:pPr>
        <w:keepNext/>
        <w:rPr>
          <w:rFonts w:ascii="Garamond" w:hAnsi="Garamond"/>
          <w:lang w:val="en-AU"/>
        </w:rPr>
      </w:pPr>
      <w:r w:rsidRPr="00E26798">
        <w:rPr>
          <w:rFonts w:ascii="Garamond" w:hAnsi="Garamond"/>
          <w:lang w:val="en-AU"/>
        </w:rPr>
        <w:t>Journal of the American Geriatrics Society. 2017</w:t>
      </w:r>
      <w:r>
        <w:rPr>
          <w:rFonts w:ascii="Garamond" w:hAnsi="Garamond"/>
          <w:lang w:val="en-AU"/>
        </w:rPr>
        <w:t xml:space="preserve"> [epub]</w:t>
      </w:r>
      <w:r w:rsidRPr="00E26798">
        <w:rPr>
          <w:rFonts w:ascii="Garamond" w:hAnsi="Garamond"/>
          <w:lang w:val="en-AU"/>
        </w:rPr>
        <w:t>.</w:t>
      </w:r>
    </w:p>
    <w:p w:rsidR="00E26798" w:rsidRDefault="00E26798" w:rsidP="00DC1E06">
      <w:pPr>
        <w:keepNext/>
        <w:rPr>
          <w:rFonts w:ascii="Garamond" w:hAnsi="Garamond"/>
          <w:lang w:val="en-AU"/>
        </w:rPr>
      </w:pPr>
    </w:p>
    <w:p w:rsidR="00E26798" w:rsidRPr="00E26798" w:rsidRDefault="00E26798" w:rsidP="00E26798">
      <w:pPr>
        <w:keepNext/>
        <w:rPr>
          <w:rFonts w:ascii="Garamond" w:hAnsi="Garamond"/>
          <w:i/>
          <w:lang w:val="en-AU"/>
        </w:rPr>
      </w:pPr>
      <w:r w:rsidRPr="00E26798">
        <w:rPr>
          <w:rFonts w:ascii="Garamond" w:hAnsi="Garamond"/>
          <w:i/>
          <w:lang w:val="en-AU"/>
        </w:rPr>
        <w:t>A bipartisan “moonshot” in health: Improving care for high-need patients</w:t>
      </w:r>
    </w:p>
    <w:p w:rsidR="00E26798" w:rsidRDefault="00E26798" w:rsidP="00DC1E06">
      <w:pPr>
        <w:keepNext/>
        <w:rPr>
          <w:rFonts w:ascii="Garamond" w:hAnsi="Garamond"/>
          <w:lang w:val="en-AU"/>
        </w:rPr>
      </w:pPr>
      <w:r w:rsidRPr="00E26798">
        <w:rPr>
          <w:rFonts w:ascii="Garamond" w:hAnsi="Garamond"/>
          <w:lang w:val="en-AU"/>
        </w:rPr>
        <w:t>Chokshi DA</w:t>
      </w:r>
    </w:p>
    <w:p w:rsidR="00E26798" w:rsidRPr="00C3014C" w:rsidRDefault="00E26798" w:rsidP="00DC1E06">
      <w:pPr>
        <w:keepNext/>
        <w:rPr>
          <w:rFonts w:ascii="Garamond" w:hAnsi="Garamond"/>
          <w:lang w:val="en-AU"/>
        </w:rPr>
      </w:pPr>
      <w:r w:rsidRPr="00E26798">
        <w:rPr>
          <w:rFonts w:ascii="Garamond" w:hAnsi="Garamond"/>
          <w:lang w:val="en-AU"/>
        </w:rPr>
        <w:t>Journal of the American Medical Association. 2017;318(9):788-9.</w:t>
      </w:r>
    </w:p>
    <w:tbl>
      <w:tblPr>
        <w:tblStyle w:val="TableGrid"/>
        <w:tblW w:w="0" w:type="auto"/>
        <w:tblInd w:w="288" w:type="dxa"/>
        <w:tblLayout w:type="fixed"/>
        <w:tblLook w:val="01E0" w:firstRow="1" w:lastRow="1" w:firstColumn="1" w:lastColumn="1" w:noHBand="0" w:noVBand="0"/>
      </w:tblPr>
      <w:tblGrid>
        <w:gridCol w:w="1080"/>
        <w:gridCol w:w="8280"/>
      </w:tblGrid>
      <w:tr w:rsidR="00DC1E06" w:rsidRPr="00C3014C" w:rsidTr="00D87F4A">
        <w:tc>
          <w:tcPr>
            <w:tcW w:w="1080" w:type="dxa"/>
            <w:tcBorders>
              <w:top w:val="single" w:sz="4" w:space="0" w:color="auto"/>
              <w:left w:val="single" w:sz="4" w:space="0" w:color="auto"/>
              <w:bottom w:val="single" w:sz="4" w:space="0" w:color="auto"/>
              <w:right w:val="single" w:sz="4" w:space="0" w:color="auto"/>
            </w:tcBorders>
            <w:vAlign w:val="center"/>
          </w:tcPr>
          <w:p w:rsidR="00DC1E06" w:rsidRPr="00C3014C" w:rsidRDefault="00DC1E06" w:rsidP="00D87F4A">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C1E06" w:rsidRDefault="00E26798" w:rsidP="00D87F4A">
            <w:pPr>
              <w:rPr>
                <w:rFonts w:ascii="Garamond" w:hAnsi="Garamond"/>
                <w:lang w:val="en-AU"/>
              </w:rPr>
            </w:pPr>
            <w:r w:rsidRPr="00E26798">
              <w:rPr>
                <w:rFonts w:ascii="Garamond" w:hAnsi="Garamond"/>
                <w:lang w:val="en-AU"/>
              </w:rPr>
              <w:t>Fulmer</w:t>
            </w:r>
            <w:r>
              <w:rPr>
                <w:rFonts w:ascii="Garamond" w:hAnsi="Garamond"/>
                <w:lang w:val="en-AU"/>
              </w:rPr>
              <w:t xml:space="preserve"> et al </w:t>
            </w:r>
            <w:hyperlink r:id="rId19" w:history="1">
              <w:r w:rsidRPr="00770AE3">
                <w:rPr>
                  <w:rStyle w:val="Hyperlink"/>
                  <w:rFonts w:ascii="Garamond" w:hAnsi="Garamond"/>
                  <w:lang w:val="en-AU"/>
                </w:rPr>
                <w:t>http://dx.doi.org/10.1111/jgs.15076</w:t>
              </w:r>
            </w:hyperlink>
          </w:p>
          <w:p w:rsidR="00E26798" w:rsidRPr="00C3014C" w:rsidRDefault="00E26798" w:rsidP="00E26798">
            <w:pPr>
              <w:rPr>
                <w:rStyle w:val="Hyperlink"/>
                <w:rFonts w:ascii="Garamond" w:hAnsi="Garamond"/>
                <w:color w:val="auto"/>
                <w:u w:val="none"/>
                <w:lang w:val="en-AU"/>
              </w:rPr>
            </w:pPr>
            <w:r>
              <w:rPr>
                <w:rStyle w:val="Hyperlink"/>
                <w:rFonts w:ascii="Garamond" w:hAnsi="Garamond"/>
                <w:color w:val="auto"/>
                <w:u w:val="none"/>
                <w:lang w:val="en-AU"/>
              </w:rPr>
              <w:t xml:space="preserve">Chokshi </w:t>
            </w:r>
            <w:hyperlink r:id="rId20" w:history="1">
              <w:r w:rsidRPr="00770AE3">
                <w:rPr>
                  <w:rStyle w:val="Hyperlink"/>
                  <w:rFonts w:ascii="Garamond" w:hAnsi="Garamond"/>
                  <w:lang w:val="en-AU"/>
                </w:rPr>
                <w:t>http://dx.doi.org/10.1001/jama.2017.10801</w:t>
              </w:r>
            </w:hyperlink>
          </w:p>
        </w:tc>
      </w:tr>
      <w:tr w:rsidR="00DC1E06" w:rsidRPr="00C3014C" w:rsidTr="00D87F4A">
        <w:tc>
          <w:tcPr>
            <w:tcW w:w="1080" w:type="dxa"/>
            <w:tcBorders>
              <w:top w:val="single" w:sz="4" w:space="0" w:color="auto"/>
              <w:left w:val="single" w:sz="4" w:space="0" w:color="auto"/>
              <w:bottom w:val="single" w:sz="4" w:space="0" w:color="auto"/>
              <w:right w:val="single" w:sz="4" w:space="0" w:color="auto"/>
            </w:tcBorders>
            <w:vAlign w:val="center"/>
          </w:tcPr>
          <w:p w:rsidR="00DC1E06" w:rsidRPr="00C3014C" w:rsidRDefault="00DC1E06" w:rsidP="00D87F4A">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C1E06" w:rsidRDefault="00E9216A" w:rsidP="00D87F4A">
            <w:pPr>
              <w:rPr>
                <w:rFonts w:ascii="Garamond" w:hAnsi="Garamond"/>
                <w:lang w:val="en-AU"/>
              </w:rPr>
            </w:pPr>
            <w:r>
              <w:rPr>
                <w:rFonts w:ascii="Garamond" w:hAnsi="Garamond"/>
                <w:lang w:val="en-AU"/>
              </w:rPr>
              <w:t>The push for a health system that focuses more on patients and their needs</w:t>
            </w:r>
            <w:r w:rsidR="00B875E6">
              <w:rPr>
                <w:rFonts w:ascii="Garamond" w:hAnsi="Garamond"/>
                <w:lang w:val="en-AU"/>
              </w:rPr>
              <w:t xml:space="preserve"> </w:t>
            </w:r>
            <w:r>
              <w:rPr>
                <w:rFonts w:ascii="Garamond" w:hAnsi="Garamond"/>
                <w:lang w:val="en-AU"/>
              </w:rPr>
              <w:t xml:space="preserve">(and those of their families and carers) </w:t>
            </w:r>
            <w:r w:rsidR="005F65E7">
              <w:rPr>
                <w:rFonts w:ascii="Garamond" w:hAnsi="Garamond"/>
                <w:lang w:val="en-AU"/>
              </w:rPr>
              <w:t xml:space="preserve">has also seen a number of particular groups as being identified. These articles discuss the needs of a couple of these groups, namely ageing patients (and many nations have a growing proportion of aged people) and those with </w:t>
            </w:r>
            <w:r w:rsidR="00356977">
              <w:rPr>
                <w:rFonts w:ascii="Garamond" w:hAnsi="Garamond"/>
                <w:lang w:val="en-AU"/>
              </w:rPr>
              <w:t>‘</w:t>
            </w:r>
            <w:r w:rsidR="005F65E7">
              <w:rPr>
                <w:rFonts w:ascii="Garamond" w:hAnsi="Garamond"/>
                <w:lang w:val="en-AU"/>
              </w:rPr>
              <w:t>high needs</w:t>
            </w:r>
            <w:r w:rsidR="00356977">
              <w:rPr>
                <w:rFonts w:ascii="Garamond" w:hAnsi="Garamond"/>
                <w:lang w:val="en-AU"/>
              </w:rPr>
              <w:t>’</w:t>
            </w:r>
            <w:r w:rsidR="005F65E7">
              <w:rPr>
                <w:rFonts w:ascii="Garamond" w:hAnsi="Garamond"/>
                <w:lang w:val="en-AU"/>
              </w:rPr>
              <w:t>.</w:t>
            </w:r>
          </w:p>
          <w:p w:rsidR="00B875E6" w:rsidRPr="00B875E6" w:rsidRDefault="00E26798" w:rsidP="00B875E6">
            <w:pPr>
              <w:rPr>
                <w:rFonts w:ascii="Garamond" w:hAnsi="Garamond"/>
                <w:lang w:val="en-AU"/>
              </w:rPr>
            </w:pPr>
            <w:r>
              <w:rPr>
                <w:rFonts w:ascii="Garamond" w:hAnsi="Garamond"/>
                <w:lang w:val="en-AU"/>
              </w:rPr>
              <w:t xml:space="preserve">Fulmer at el </w:t>
            </w:r>
            <w:r w:rsidR="00B875E6">
              <w:rPr>
                <w:rFonts w:ascii="Garamond" w:hAnsi="Garamond"/>
                <w:lang w:val="en-AU"/>
              </w:rPr>
              <w:t>describe a collaboration that is attempting to imagine and prototype “</w:t>
            </w:r>
            <w:r w:rsidR="00B875E6" w:rsidRPr="00B875E6">
              <w:rPr>
                <w:rFonts w:ascii="Garamond" w:hAnsi="Garamond"/>
                <w:lang w:val="en-AU"/>
              </w:rPr>
              <w:t xml:space="preserve">an </w:t>
            </w:r>
            <w:r w:rsidR="00B875E6" w:rsidRPr="00356977">
              <w:rPr>
                <w:rFonts w:ascii="Garamond" w:hAnsi="Garamond"/>
                <w:b/>
                <w:lang w:val="en-AU"/>
              </w:rPr>
              <w:t>age-friendly health system</w:t>
            </w:r>
            <w:r w:rsidR="00B875E6" w:rsidRPr="00B875E6">
              <w:rPr>
                <w:rFonts w:ascii="Garamond" w:hAnsi="Garamond"/>
                <w:lang w:val="en-AU"/>
              </w:rPr>
              <w:t xml:space="preserve"> of the future</w:t>
            </w:r>
            <w:r w:rsidR="00B875E6">
              <w:rPr>
                <w:rFonts w:ascii="Garamond" w:hAnsi="Garamond"/>
                <w:lang w:val="en-AU"/>
              </w:rPr>
              <w:t>”</w:t>
            </w:r>
            <w:r w:rsidR="00B875E6" w:rsidRPr="00B875E6">
              <w:rPr>
                <w:rFonts w:ascii="Garamond" w:hAnsi="Garamond"/>
                <w:lang w:val="en-AU"/>
              </w:rPr>
              <w:t>.</w:t>
            </w:r>
            <w:r w:rsidR="00B875E6">
              <w:rPr>
                <w:rFonts w:ascii="Garamond" w:hAnsi="Garamond"/>
                <w:lang w:val="en-AU"/>
              </w:rPr>
              <w:t xml:space="preserve"> This is an effort to address </w:t>
            </w:r>
            <w:r w:rsidR="00B875E6" w:rsidRPr="00B875E6">
              <w:rPr>
                <w:rFonts w:ascii="Garamond" w:hAnsi="Garamond"/>
                <w:lang w:val="en-AU"/>
              </w:rPr>
              <w:t xml:space="preserve">the complex and interrelated needs of older </w:t>
            </w:r>
            <w:r w:rsidR="00B875E6">
              <w:rPr>
                <w:rFonts w:ascii="Garamond" w:hAnsi="Garamond"/>
                <w:lang w:val="en-AU"/>
              </w:rPr>
              <w:t xml:space="preserve">people in shaping </w:t>
            </w:r>
            <w:r w:rsidR="00B875E6" w:rsidRPr="00B875E6">
              <w:rPr>
                <w:rFonts w:ascii="Garamond" w:hAnsi="Garamond"/>
                <w:lang w:val="en-AU"/>
              </w:rPr>
              <w:t xml:space="preserve">a more-effective, patient-directed, safer healthcare system. </w:t>
            </w:r>
            <w:r w:rsidR="00B875E6">
              <w:rPr>
                <w:rFonts w:ascii="Garamond" w:hAnsi="Garamond"/>
                <w:lang w:val="en-AU"/>
              </w:rPr>
              <w:t>The [US] Institute for Healthcare Improvement (IHI) defines a</w:t>
            </w:r>
            <w:r w:rsidR="00B875E6" w:rsidRPr="00B875E6">
              <w:rPr>
                <w:rFonts w:ascii="Garamond" w:hAnsi="Garamond"/>
                <w:lang w:val="en-AU"/>
              </w:rPr>
              <w:t xml:space="preserve">n age-friendly health care system </w:t>
            </w:r>
            <w:r w:rsidR="00B875E6">
              <w:rPr>
                <w:rFonts w:ascii="Garamond" w:hAnsi="Garamond"/>
                <w:lang w:val="en-AU"/>
              </w:rPr>
              <w:t xml:space="preserve">as one </w:t>
            </w:r>
            <w:r w:rsidR="00B875E6" w:rsidRPr="00B875E6">
              <w:rPr>
                <w:rFonts w:ascii="Garamond" w:hAnsi="Garamond"/>
                <w:lang w:val="en-AU"/>
              </w:rPr>
              <w:t>in which:</w:t>
            </w:r>
          </w:p>
          <w:p w:rsidR="00B875E6" w:rsidRPr="00B875E6" w:rsidRDefault="00B875E6" w:rsidP="00B875E6">
            <w:pPr>
              <w:pStyle w:val="ListParagraph"/>
              <w:numPr>
                <w:ilvl w:val="0"/>
                <w:numId w:val="19"/>
              </w:numPr>
              <w:rPr>
                <w:rFonts w:ascii="Garamond" w:hAnsi="Garamond"/>
                <w:lang w:val="en-AU"/>
              </w:rPr>
            </w:pPr>
            <w:r w:rsidRPr="00B875E6">
              <w:rPr>
                <w:rFonts w:ascii="Garamond" w:hAnsi="Garamond"/>
                <w:lang w:val="en-AU"/>
              </w:rPr>
              <w:t>Older adults get the best care possible;</w:t>
            </w:r>
          </w:p>
          <w:p w:rsidR="00B875E6" w:rsidRPr="00B875E6" w:rsidRDefault="00B875E6" w:rsidP="00B875E6">
            <w:pPr>
              <w:pStyle w:val="ListParagraph"/>
              <w:numPr>
                <w:ilvl w:val="0"/>
                <w:numId w:val="19"/>
              </w:numPr>
              <w:rPr>
                <w:rFonts w:ascii="Garamond" w:hAnsi="Garamond"/>
                <w:lang w:val="en-AU"/>
              </w:rPr>
            </w:pPr>
            <w:r w:rsidRPr="00B875E6">
              <w:rPr>
                <w:rFonts w:ascii="Garamond" w:hAnsi="Garamond"/>
                <w:lang w:val="en-AU"/>
              </w:rPr>
              <w:t>Healthcare-related harms to older adults are dramatically reduced and approaching zero;</w:t>
            </w:r>
          </w:p>
          <w:p w:rsidR="00B875E6" w:rsidRPr="00B875E6" w:rsidRDefault="00B875E6" w:rsidP="00B875E6">
            <w:pPr>
              <w:pStyle w:val="ListParagraph"/>
              <w:numPr>
                <w:ilvl w:val="0"/>
                <w:numId w:val="19"/>
              </w:numPr>
              <w:rPr>
                <w:rFonts w:ascii="Garamond" w:hAnsi="Garamond"/>
                <w:lang w:val="en-AU"/>
              </w:rPr>
            </w:pPr>
            <w:r w:rsidRPr="00B875E6">
              <w:rPr>
                <w:rFonts w:ascii="Garamond" w:hAnsi="Garamond"/>
                <w:lang w:val="en-AU"/>
              </w:rPr>
              <w:t>Older adults are satisfied with their care; and</w:t>
            </w:r>
          </w:p>
          <w:p w:rsidR="00B875E6" w:rsidRPr="00B875E6" w:rsidRDefault="00B875E6" w:rsidP="00B875E6">
            <w:pPr>
              <w:pStyle w:val="ListParagraph"/>
              <w:numPr>
                <w:ilvl w:val="0"/>
                <w:numId w:val="19"/>
              </w:numPr>
              <w:rPr>
                <w:rFonts w:ascii="Garamond" w:hAnsi="Garamond"/>
                <w:lang w:val="en-AU"/>
              </w:rPr>
            </w:pPr>
            <w:r w:rsidRPr="00B875E6">
              <w:rPr>
                <w:rFonts w:ascii="Garamond" w:hAnsi="Garamond"/>
                <w:lang w:val="en-AU"/>
              </w:rPr>
              <w:t>Value is optimised for all — patients, families, caregivers, health care providers and health systems.</w:t>
            </w:r>
          </w:p>
          <w:p w:rsidR="00356977" w:rsidRDefault="00E26798" w:rsidP="00B875E6">
            <w:pPr>
              <w:rPr>
                <w:rFonts w:ascii="Garamond" w:hAnsi="Garamond"/>
                <w:lang w:val="en-AU"/>
              </w:rPr>
            </w:pPr>
            <w:r>
              <w:rPr>
                <w:rFonts w:ascii="Garamond" w:hAnsi="Garamond"/>
                <w:lang w:val="en-AU"/>
              </w:rPr>
              <w:t xml:space="preserve">In various issues of </w:t>
            </w:r>
            <w:r w:rsidRPr="00E26798">
              <w:rPr>
                <w:rFonts w:ascii="Garamond" w:hAnsi="Garamond"/>
                <w:i/>
                <w:lang w:val="en-AU"/>
              </w:rPr>
              <w:t>On the Radar</w:t>
            </w:r>
            <w:r>
              <w:rPr>
                <w:rFonts w:ascii="Garamond" w:hAnsi="Garamond"/>
                <w:lang w:val="en-AU"/>
              </w:rPr>
              <w:t xml:space="preserve"> there have been items on ‘high needs’ patients. Chokshi’s commentary is the latest addition to the literature.</w:t>
            </w:r>
            <w:r w:rsidR="00B875E6">
              <w:rPr>
                <w:rFonts w:ascii="Garamond" w:hAnsi="Garamond"/>
                <w:lang w:val="en-AU"/>
              </w:rPr>
              <w:t xml:space="preserve"> This commentary focuses on a recent [US] </w:t>
            </w:r>
            <w:r w:rsidR="00B875E6" w:rsidRPr="00B875E6">
              <w:rPr>
                <w:rFonts w:ascii="Garamond" w:hAnsi="Garamond"/>
                <w:lang w:val="en-AU"/>
              </w:rPr>
              <w:t>National Academy of Medicine</w:t>
            </w:r>
            <w:r w:rsidR="00B875E6">
              <w:rPr>
                <w:rFonts w:ascii="Garamond" w:hAnsi="Garamond"/>
                <w:lang w:val="en-AU"/>
              </w:rPr>
              <w:t xml:space="preserve"> report, </w:t>
            </w:r>
            <w:r w:rsidR="00B875E6" w:rsidRPr="00B875E6">
              <w:rPr>
                <w:rFonts w:ascii="Garamond" w:hAnsi="Garamond"/>
                <w:i/>
                <w:lang w:val="en-AU"/>
              </w:rPr>
              <w:t>Effective Care for High-Need Patients: Opportunities for Improving Outcomes, Value, and Health</w:t>
            </w:r>
            <w:r w:rsidR="00B875E6">
              <w:rPr>
                <w:rFonts w:ascii="Garamond" w:hAnsi="Garamond"/>
                <w:i/>
                <w:lang w:val="en-AU"/>
              </w:rPr>
              <w:t xml:space="preserve"> </w:t>
            </w:r>
            <w:r w:rsidR="00356977">
              <w:rPr>
                <w:rFonts w:ascii="Garamond" w:hAnsi="Garamond"/>
                <w:lang w:val="en-AU"/>
              </w:rPr>
              <w:t xml:space="preserve">(previously covered in </w:t>
            </w:r>
            <w:r w:rsidR="00356977" w:rsidRPr="00356977">
              <w:rPr>
                <w:rFonts w:ascii="Garamond" w:hAnsi="Garamond"/>
                <w:i/>
                <w:lang w:val="en-AU"/>
              </w:rPr>
              <w:t>On the Radar</w:t>
            </w:r>
            <w:r w:rsidR="00356977">
              <w:rPr>
                <w:rFonts w:ascii="Garamond" w:hAnsi="Garamond"/>
                <w:lang w:val="en-AU"/>
              </w:rPr>
              <w:t xml:space="preserve"> and available at </w:t>
            </w:r>
            <w:hyperlink r:id="rId21" w:history="1">
              <w:r w:rsidR="00356977" w:rsidRPr="002E587A">
                <w:rPr>
                  <w:rStyle w:val="Hyperlink"/>
                  <w:rFonts w:ascii="Garamond" w:hAnsi="Garamond"/>
                  <w:lang w:val="en-AU"/>
                </w:rPr>
                <w:t>https://nam.edu/effective-care-for-high-need-patients/</w:t>
              </w:r>
            </w:hyperlink>
            <w:r w:rsidR="00356977">
              <w:rPr>
                <w:rFonts w:ascii="Garamond" w:hAnsi="Garamond"/>
                <w:lang w:val="en-AU"/>
              </w:rPr>
              <w:t>)</w:t>
            </w:r>
          </w:p>
          <w:p w:rsidR="005F65E7" w:rsidRPr="00DC1E06" w:rsidRDefault="00B875E6" w:rsidP="00B875E6">
            <w:pPr>
              <w:rPr>
                <w:rFonts w:ascii="Garamond" w:hAnsi="Garamond"/>
                <w:lang w:val="en-AU"/>
              </w:rPr>
            </w:pPr>
            <w:r>
              <w:rPr>
                <w:rFonts w:ascii="Garamond" w:hAnsi="Garamond"/>
                <w:lang w:val="en-AU"/>
              </w:rPr>
              <w:t xml:space="preserve">As with the ‘age friendly’ models, key elements must be a </w:t>
            </w:r>
            <w:r w:rsidRPr="00B875E6">
              <w:rPr>
                <w:rFonts w:ascii="Garamond" w:hAnsi="Garamond"/>
                <w:b/>
                <w:lang w:val="en-AU"/>
              </w:rPr>
              <w:t>focus on the individual</w:t>
            </w:r>
            <w:r>
              <w:rPr>
                <w:rFonts w:ascii="Garamond" w:hAnsi="Garamond"/>
                <w:lang w:val="en-AU"/>
              </w:rPr>
              <w:t xml:space="preserve"> and </w:t>
            </w:r>
            <w:r w:rsidRPr="00B875E6">
              <w:rPr>
                <w:rFonts w:ascii="Garamond" w:hAnsi="Garamond"/>
                <w:b/>
                <w:lang w:val="en-AU"/>
              </w:rPr>
              <w:t>co-ordination</w:t>
            </w:r>
            <w:r>
              <w:rPr>
                <w:rFonts w:ascii="Garamond" w:hAnsi="Garamond"/>
                <w:lang w:val="en-AU"/>
              </w:rPr>
              <w:t xml:space="preserve"> and </w:t>
            </w:r>
            <w:r w:rsidRPr="00B875E6">
              <w:rPr>
                <w:rFonts w:ascii="Garamond" w:hAnsi="Garamond"/>
                <w:b/>
                <w:lang w:val="en-AU"/>
              </w:rPr>
              <w:t>continuity of care</w:t>
            </w:r>
            <w:r>
              <w:rPr>
                <w:rFonts w:ascii="Garamond" w:hAnsi="Garamond"/>
                <w:lang w:val="en-AU"/>
              </w:rPr>
              <w:t>.</w:t>
            </w:r>
          </w:p>
        </w:tc>
      </w:tr>
    </w:tbl>
    <w:p w:rsidR="00602D0F" w:rsidRDefault="00602D0F" w:rsidP="00602D0F">
      <w:pPr>
        <w:keepLines/>
        <w:autoSpaceDE w:val="0"/>
        <w:autoSpaceDN w:val="0"/>
        <w:adjustRightInd w:val="0"/>
        <w:rPr>
          <w:rStyle w:val="Hyperlink"/>
          <w:rFonts w:ascii="Garamond" w:hAnsi="Garamond"/>
          <w:lang w:val="en-AU"/>
        </w:rPr>
      </w:pPr>
      <w:r w:rsidRPr="00C3014C">
        <w:rPr>
          <w:rFonts w:ascii="Garamond" w:hAnsi="Garamond"/>
          <w:lang w:val="en-AU"/>
        </w:rPr>
        <w:lastRenderedPageBreak/>
        <w:t xml:space="preserve">For information on the Commission’s work on patient and consumer centred care, see </w:t>
      </w:r>
      <w:hyperlink r:id="rId22" w:history="1">
        <w:r w:rsidRPr="00C3014C">
          <w:rPr>
            <w:rStyle w:val="Hyperlink"/>
            <w:rFonts w:ascii="Garamond" w:hAnsi="Garamond"/>
            <w:lang w:val="en-AU"/>
          </w:rPr>
          <w:t>https://www.safetyandquality.gov.au/our-work/patient-and-consumer-centred-care/</w:t>
        </w:r>
      </w:hyperlink>
    </w:p>
    <w:p w:rsidR="00602D0F" w:rsidRDefault="00602D0F" w:rsidP="00602D0F">
      <w:pPr>
        <w:keepLines/>
        <w:autoSpaceDE w:val="0"/>
        <w:autoSpaceDN w:val="0"/>
        <w:adjustRightInd w:val="0"/>
        <w:rPr>
          <w:rFonts w:ascii="Garamond" w:hAnsi="Garamond"/>
          <w:lang w:val="en-AU"/>
        </w:rPr>
      </w:pPr>
    </w:p>
    <w:p w:rsidR="005F65E7" w:rsidRPr="005F65E7" w:rsidRDefault="005F65E7" w:rsidP="005F65E7">
      <w:pPr>
        <w:keepNext/>
        <w:rPr>
          <w:rFonts w:ascii="Garamond" w:hAnsi="Garamond"/>
          <w:i/>
          <w:lang w:val="en-AU"/>
        </w:rPr>
      </w:pPr>
      <w:r w:rsidRPr="005F65E7">
        <w:rPr>
          <w:rFonts w:ascii="Garamond" w:hAnsi="Garamond"/>
          <w:i/>
          <w:lang w:val="en-AU"/>
        </w:rPr>
        <w:t>Public reporting of clinician-level data</w:t>
      </w:r>
    </w:p>
    <w:p w:rsidR="005F65E7" w:rsidRDefault="005F65E7" w:rsidP="00DC1E06">
      <w:pPr>
        <w:keepNext/>
        <w:rPr>
          <w:rFonts w:ascii="Garamond" w:hAnsi="Garamond"/>
          <w:lang w:val="en-AU"/>
        </w:rPr>
      </w:pPr>
      <w:r w:rsidRPr="005F65E7">
        <w:rPr>
          <w:rFonts w:ascii="Garamond" w:hAnsi="Garamond"/>
          <w:lang w:val="en-AU"/>
        </w:rPr>
        <w:t>Canaway R, Bismark MM, Dunt D, Kelaher MA</w:t>
      </w:r>
    </w:p>
    <w:p w:rsidR="00DC1E06" w:rsidRPr="00C3014C" w:rsidRDefault="005F65E7" w:rsidP="00DC1E06">
      <w:pPr>
        <w:keepNext/>
        <w:rPr>
          <w:rFonts w:ascii="Garamond" w:hAnsi="Garamond"/>
          <w:lang w:val="en-AU"/>
        </w:rPr>
      </w:pPr>
      <w:r w:rsidRPr="005F65E7">
        <w:rPr>
          <w:rFonts w:ascii="Garamond" w:hAnsi="Garamond"/>
          <w:lang w:val="en-AU"/>
        </w:rPr>
        <w:t>Medical Journal of Australia. 2017;207(6):231-2.</w:t>
      </w:r>
    </w:p>
    <w:tbl>
      <w:tblPr>
        <w:tblStyle w:val="TableGrid"/>
        <w:tblW w:w="0" w:type="auto"/>
        <w:tblInd w:w="288" w:type="dxa"/>
        <w:tblLayout w:type="fixed"/>
        <w:tblLook w:val="01E0" w:firstRow="1" w:lastRow="1" w:firstColumn="1" w:lastColumn="1" w:noHBand="0" w:noVBand="0"/>
      </w:tblPr>
      <w:tblGrid>
        <w:gridCol w:w="1080"/>
        <w:gridCol w:w="8280"/>
      </w:tblGrid>
      <w:tr w:rsidR="00DC1E06" w:rsidRPr="00C3014C" w:rsidTr="00D87F4A">
        <w:tc>
          <w:tcPr>
            <w:tcW w:w="1080" w:type="dxa"/>
            <w:tcBorders>
              <w:top w:val="single" w:sz="4" w:space="0" w:color="auto"/>
              <w:left w:val="single" w:sz="4" w:space="0" w:color="auto"/>
              <w:bottom w:val="single" w:sz="4" w:space="0" w:color="auto"/>
              <w:right w:val="single" w:sz="4" w:space="0" w:color="auto"/>
            </w:tcBorders>
            <w:vAlign w:val="center"/>
          </w:tcPr>
          <w:p w:rsidR="00DC1E06" w:rsidRPr="00C3014C" w:rsidRDefault="00DC1E06" w:rsidP="00D87F4A">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C1E06" w:rsidRPr="00C3014C" w:rsidRDefault="00FB47D9" w:rsidP="00D87F4A">
            <w:pPr>
              <w:rPr>
                <w:rStyle w:val="Hyperlink"/>
                <w:rFonts w:ascii="Garamond" w:hAnsi="Garamond"/>
                <w:color w:val="auto"/>
                <w:u w:val="none"/>
                <w:lang w:val="en-AU"/>
              </w:rPr>
            </w:pPr>
            <w:hyperlink r:id="rId23" w:history="1">
              <w:r w:rsidR="005F65E7" w:rsidRPr="00770AE3">
                <w:rPr>
                  <w:rStyle w:val="Hyperlink"/>
                  <w:rFonts w:ascii="Garamond" w:hAnsi="Garamond"/>
                  <w:lang w:val="en-AU"/>
                </w:rPr>
                <w:t>http://dx.doi.org/10.5694/mja16.01402</w:t>
              </w:r>
            </w:hyperlink>
          </w:p>
        </w:tc>
      </w:tr>
      <w:tr w:rsidR="00DC1E06" w:rsidRPr="00C3014C" w:rsidTr="00D87F4A">
        <w:tc>
          <w:tcPr>
            <w:tcW w:w="1080" w:type="dxa"/>
            <w:tcBorders>
              <w:top w:val="single" w:sz="4" w:space="0" w:color="auto"/>
              <w:left w:val="single" w:sz="4" w:space="0" w:color="auto"/>
              <w:bottom w:val="single" w:sz="4" w:space="0" w:color="auto"/>
              <w:right w:val="single" w:sz="4" w:space="0" w:color="auto"/>
            </w:tcBorders>
            <w:vAlign w:val="center"/>
          </w:tcPr>
          <w:p w:rsidR="00DC1E06" w:rsidRPr="00C3014C" w:rsidRDefault="00DC1E06" w:rsidP="00D87F4A">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7119F" w:rsidRDefault="0047119F" w:rsidP="0047119F">
            <w:pPr>
              <w:rPr>
                <w:rFonts w:ascii="Garamond" w:hAnsi="Garamond"/>
                <w:lang w:val="en-AU"/>
              </w:rPr>
            </w:pPr>
            <w:r>
              <w:rPr>
                <w:rFonts w:ascii="Garamond" w:hAnsi="Garamond"/>
                <w:lang w:val="en-AU"/>
              </w:rPr>
              <w:t>In this Perspective piece, the authors provide a brief description of the use of public reporting internationally and in Australia. To date, i</w:t>
            </w:r>
            <w:r w:rsidRPr="0047119F">
              <w:rPr>
                <w:rFonts w:ascii="Garamond" w:hAnsi="Garamond"/>
                <w:lang w:val="en-AU"/>
              </w:rPr>
              <w:t xml:space="preserve">ndividual clinician-level public reporting </w:t>
            </w:r>
            <w:r>
              <w:rPr>
                <w:rFonts w:ascii="Garamond" w:hAnsi="Garamond"/>
                <w:lang w:val="en-AU"/>
              </w:rPr>
              <w:t xml:space="preserve">has not been part of </w:t>
            </w:r>
            <w:r w:rsidRPr="0047119F">
              <w:rPr>
                <w:rFonts w:ascii="Garamond" w:hAnsi="Garamond"/>
                <w:lang w:val="en-AU"/>
              </w:rPr>
              <w:t xml:space="preserve">public reporting of hospital performance in Australia. </w:t>
            </w:r>
            <w:r>
              <w:rPr>
                <w:rFonts w:ascii="Garamond" w:hAnsi="Garamond"/>
                <w:lang w:val="en-AU"/>
              </w:rPr>
              <w:t xml:space="preserve">They observe that the </w:t>
            </w:r>
            <w:r w:rsidRPr="0047119F">
              <w:rPr>
                <w:rFonts w:ascii="Garamond" w:hAnsi="Garamond"/>
                <w:lang w:val="en-AU"/>
              </w:rPr>
              <w:t>research on the impacts of clinician-level reporting is</w:t>
            </w:r>
            <w:r>
              <w:rPr>
                <w:rFonts w:ascii="Garamond" w:hAnsi="Garamond"/>
                <w:lang w:val="en-AU"/>
              </w:rPr>
              <w:t xml:space="preserve"> limited but argue that it should be investigated and discussed. They also no</w:t>
            </w:r>
            <w:r w:rsidR="00C754BA">
              <w:rPr>
                <w:rFonts w:ascii="Garamond" w:hAnsi="Garamond"/>
                <w:lang w:val="en-AU"/>
              </w:rPr>
              <w:t>te that “</w:t>
            </w:r>
            <w:r w:rsidRPr="0047119F">
              <w:rPr>
                <w:rFonts w:ascii="Garamond" w:hAnsi="Garamond"/>
                <w:lang w:val="en-AU"/>
              </w:rPr>
              <w:t>Public reporting of hospital performance data at any level, however, remains just one mechanism for the continuous improvement of hospital quality and safety</w:t>
            </w:r>
            <w:r w:rsidR="00C754BA">
              <w:rPr>
                <w:rFonts w:ascii="Garamond" w:hAnsi="Garamond"/>
                <w:lang w:val="en-AU"/>
              </w:rPr>
              <w:t>.”</w:t>
            </w:r>
          </w:p>
          <w:p w:rsidR="002A473A" w:rsidRPr="00DC1E06" w:rsidRDefault="002A473A" w:rsidP="00C754BA">
            <w:pPr>
              <w:rPr>
                <w:rFonts w:ascii="Garamond" w:hAnsi="Garamond"/>
                <w:lang w:val="en-AU"/>
              </w:rPr>
            </w:pPr>
            <w:r>
              <w:rPr>
                <w:rFonts w:ascii="Garamond" w:hAnsi="Garamond"/>
                <w:lang w:val="en-AU"/>
              </w:rPr>
              <w:t xml:space="preserve">Ina recent issue of </w:t>
            </w:r>
            <w:r w:rsidRPr="002A473A">
              <w:rPr>
                <w:rFonts w:ascii="Garamond" w:hAnsi="Garamond"/>
                <w:i/>
                <w:lang w:val="en-AU"/>
              </w:rPr>
              <w:t>On the Radar</w:t>
            </w:r>
            <w:r>
              <w:rPr>
                <w:rFonts w:ascii="Garamond" w:hAnsi="Garamond"/>
                <w:lang w:val="en-AU"/>
              </w:rPr>
              <w:t xml:space="preserve">, we included </w:t>
            </w:r>
            <w:r w:rsidRPr="002A473A">
              <w:rPr>
                <w:rFonts w:ascii="Garamond" w:hAnsi="Garamond"/>
                <w:lang w:val="en-AU"/>
              </w:rPr>
              <w:t>Ashish Jha</w:t>
            </w:r>
            <w:r>
              <w:rPr>
                <w:rFonts w:ascii="Garamond" w:hAnsi="Garamond"/>
                <w:lang w:val="en-AU"/>
              </w:rPr>
              <w:t>’s p</w:t>
            </w:r>
            <w:r w:rsidRPr="002A473A">
              <w:rPr>
                <w:rFonts w:ascii="Garamond" w:hAnsi="Garamond"/>
                <w:lang w:val="en-AU"/>
              </w:rPr>
              <w:t xml:space="preserve">ost on the JAMA Forum </w:t>
            </w:r>
            <w:r w:rsidRPr="002A473A">
              <w:rPr>
                <w:rFonts w:ascii="Garamond" w:hAnsi="Garamond"/>
                <w:i/>
                <w:lang w:val="en-AU"/>
              </w:rPr>
              <w:t>Public Reporting of Surgical Outcomes: Surgeons, Hospitals, or Both?</w:t>
            </w:r>
            <w:r>
              <w:rPr>
                <w:rFonts w:ascii="Garamond" w:hAnsi="Garamond"/>
                <w:lang w:val="en-AU"/>
              </w:rPr>
              <w:t xml:space="preserve"> (</w:t>
            </w:r>
            <w:hyperlink r:id="rId24" w:history="1">
              <w:r w:rsidRPr="00770AE3">
                <w:rPr>
                  <w:rStyle w:val="Hyperlink"/>
                  <w:rFonts w:ascii="Garamond" w:hAnsi="Garamond"/>
                  <w:lang w:val="en-AU"/>
                </w:rPr>
                <w:t>https://newsatjama.jama.com/2017/08/24/jama-forum-public-reporting-of-surgical-outcomes-surgeons-hospitals-or-both/</w:t>
              </w:r>
            </w:hyperlink>
            <w:r>
              <w:rPr>
                <w:rFonts w:ascii="Garamond" w:hAnsi="Garamond"/>
                <w:lang w:val="en-AU"/>
              </w:rPr>
              <w:t xml:space="preserve">) Jha gave </w:t>
            </w:r>
            <w:r w:rsidRPr="002A473A">
              <w:rPr>
                <w:rFonts w:ascii="Garamond" w:hAnsi="Garamond"/>
                <w:lang w:val="en-AU"/>
              </w:rPr>
              <w:t xml:space="preserve">a succinct summary of the arguments around public reporting, </w:t>
            </w:r>
            <w:r>
              <w:rPr>
                <w:rFonts w:ascii="Garamond" w:hAnsi="Garamond"/>
                <w:lang w:val="en-AU"/>
              </w:rPr>
              <w:t>noting t</w:t>
            </w:r>
            <w:r w:rsidRPr="002A473A">
              <w:rPr>
                <w:rFonts w:ascii="Garamond" w:hAnsi="Garamond"/>
                <w:lang w:val="en-AU"/>
              </w:rPr>
              <w:t xml:space="preserve">he importance of timely feedback and reporting </w:t>
            </w:r>
            <w:r>
              <w:rPr>
                <w:rFonts w:ascii="Garamond" w:hAnsi="Garamond"/>
                <w:lang w:val="en-AU"/>
              </w:rPr>
              <w:t xml:space="preserve">as </w:t>
            </w:r>
            <w:r w:rsidRPr="002A473A">
              <w:rPr>
                <w:rFonts w:ascii="Garamond" w:hAnsi="Garamond"/>
                <w:lang w:val="en-AU"/>
              </w:rPr>
              <w:t>a spur to quality and safety</w:t>
            </w:r>
            <w:r>
              <w:rPr>
                <w:rFonts w:ascii="Garamond" w:hAnsi="Garamond"/>
                <w:lang w:val="en-AU"/>
              </w:rPr>
              <w:t>.</w:t>
            </w:r>
            <w:r w:rsidR="00C754BA">
              <w:rPr>
                <w:rFonts w:ascii="Garamond" w:hAnsi="Garamond"/>
                <w:lang w:val="en-AU"/>
              </w:rPr>
              <w:t xml:space="preserve"> He was much less equivocal on the subject than this piece.</w:t>
            </w:r>
          </w:p>
        </w:tc>
      </w:tr>
    </w:tbl>
    <w:p w:rsidR="00DC1E06" w:rsidRDefault="00DC1E06" w:rsidP="00DC1E06">
      <w:pPr>
        <w:keepLines/>
        <w:autoSpaceDE w:val="0"/>
        <w:autoSpaceDN w:val="0"/>
        <w:adjustRightInd w:val="0"/>
        <w:rPr>
          <w:rFonts w:ascii="Garamond" w:hAnsi="Garamond"/>
          <w:lang w:val="en-AU"/>
        </w:rPr>
      </w:pPr>
    </w:p>
    <w:p w:rsidR="00376AFE" w:rsidRDefault="002A473A" w:rsidP="00DC1E06">
      <w:pPr>
        <w:keepNext/>
        <w:rPr>
          <w:rFonts w:ascii="Garamond" w:hAnsi="Garamond"/>
          <w:i/>
          <w:lang w:val="en-AU"/>
        </w:rPr>
      </w:pPr>
      <w:r w:rsidRPr="002A473A">
        <w:rPr>
          <w:rFonts w:ascii="Garamond" w:hAnsi="Garamond"/>
          <w:i/>
          <w:lang w:val="en-AU"/>
        </w:rPr>
        <w:t>The value of inpatient rehabilitation after uncomplicated knee arthroplasty: a propensity score analysis</w:t>
      </w:r>
    </w:p>
    <w:p w:rsidR="002A473A" w:rsidRDefault="002A473A" w:rsidP="00DC1E06">
      <w:pPr>
        <w:keepNext/>
        <w:rPr>
          <w:rFonts w:ascii="Garamond" w:hAnsi="Garamond"/>
          <w:lang w:val="en-AU"/>
        </w:rPr>
      </w:pPr>
      <w:r w:rsidRPr="002A473A">
        <w:rPr>
          <w:rFonts w:ascii="Garamond" w:hAnsi="Garamond"/>
          <w:lang w:val="en-AU"/>
        </w:rPr>
        <w:t>Naylor JM, Hart A, Mittal R, Harris I, Xuan W</w:t>
      </w:r>
    </w:p>
    <w:p w:rsidR="00DC1E06" w:rsidRDefault="002A473A" w:rsidP="00DC1E06">
      <w:pPr>
        <w:keepNext/>
        <w:rPr>
          <w:rFonts w:ascii="Garamond" w:hAnsi="Garamond"/>
          <w:lang w:val="en-AU"/>
        </w:rPr>
      </w:pPr>
      <w:r w:rsidRPr="002A473A">
        <w:rPr>
          <w:rFonts w:ascii="Garamond" w:hAnsi="Garamond"/>
          <w:lang w:val="en-AU"/>
        </w:rPr>
        <w:t>Medical Journal of Australia. 2017;207(6):250-5.</w:t>
      </w:r>
    </w:p>
    <w:p w:rsidR="002A473A" w:rsidRDefault="002A473A" w:rsidP="00DC1E06">
      <w:pPr>
        <w:keepNext/>
        <w:rPr>
          <w:rFonts w:ascii="Garamond" w:hAnsi="Garamond"/>
          <w:lang w:val="en-AU"/>
        </w:rPr>
      </w:pPr>
    </w:p>
    <w:p w:rsidR="002A473A" w:rsidRPr="002A473A" w:rsidRDefault="002A473A" w:rsidP="002A473A">
      <w:pPr>
        <w:keepNext/>
        <w:rPr>
          <w:rFonts w:ascii="Garamond" w:hAnsi="Garamond"/>
          <w:i/>
          <w:lang w:val="en-AU"/>
        </w:rPr>
      </w:pPr>
      <w:r w:rsidRPr="002A473A">
        <w:rPr>
          <w:rFonts w:ascii="Garamond" w:hAnsi="Garamond"/>
          <w:i/>
          <w:lang w:val="en-AU"/>
        </w:rPr>
        <w:t>Is inpatient rehabilitation after a routine total knee replacement justified?</w:t>
      </w:r>
    </w:p>
    <w:p w:rsidR="002A473A" w:rsidRDefault="002A473A" w:rsidP="00DC1E06">
      <w:pPr>
        <w:keepNext/>
        <w:rPr>
          <w:rFonts w:ascii="Garamond" w:hAnsi="Garamond"/>
          <w:lang w:val="en-AU"/>
        </w:rPr>
      </w:pPr>
      <w:r w:rsidRPr="002A473A">
        <w:rPr>
          <w:rFonts w:ascii="Garamond" w:hAnsi="Garamond"/>
          <w:lang w:val="en-AU"/>
        </w:rPr>
        <w:t>Loefler A</w:t>
      </w:r>
    </w:p>
    <w:p w:rsidR="002A473A" w:rsidRPr="00C3014C" w:rsidRDefault="002A473A" w:rsidP="00DC1E06">
      <w:pPr>
        <w:keepNext/>
        <w:rPr>
          <w:rFonts w:ascii="Garamond" w:hAnsi="Garamond"/>
          <w:lang w:val="en-AU"/>
        </w:rPr>
      </w:pPr>
      <w:r w:rsidRPr="002A473A">
        <w:rPr>
          <w:rFonts w:ascii="Garamond" w:hAnsi="Garamond"/>
          <w:lang w:val="en-AU"/>
        </w:rPr>
        <w:t>Medical Journal of Australia. 2017;207(6):241-2.</w:t>
      </w:r>
    </w:p>
    <w:tbl>
      <w:tblPr>
        <w:tblStyle w:val="TableGrid"/>
        <w:tblW w:w="0" w:type="auto"/>
        <w:tblInd w:w="288" w:type="dxa"/>
        <w:tblLayout w:type="fixed"/>
        <w:tblLook w:val="01E0" w:firstRow="1" w:lastRow="1" w:firstColumn="1" w:lastColumn="1" w:noHBand="0" w:noVBand="0"/>
      </w:tblPr>
      <w:tblGrid>
        <w:gridCol w:w="1080"/>
        <w:gridCol w:w="8280"/>
      </w:tblGrid>
      <w:tr w:rsidR="00DC1E06" w:rsidRPr="00C3014C" w:rsidTr="00D87F4A">
        <w:tc>
          <w:tcPr>
            <w:tcW w:w="1080" w:type="dxa"/>
            <w:tcBorders>
              <w:top w:val="single" w:sz="4" w:space="0" w:color="auto"/>
              <w:left w:val="single" w:sz="4" w:space="0" w:color="auto"/>
              <w:bottom w:val="single" w:sz="4" w:space="0" w:color="auto"/>
              <w:right w:val="single" w:sz="4" w:space="0" w:color="auto"/>
            </w:tcBorders>
            <w:vAlign w:val="center"/>
          </w:tcPr>
          <w:p w:rsidR="00DC1E06" w:rsidRPr="00C3014C" w:rsidRDefault="00DC1E06" w:rsidP="00D87F4A">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C1E06" w:rsidRDefault="002A473A" w:rsidP="00D87F4A">
            <w:pPr>
              <w:rPr>
                <w:rStyle w:val="Hyperlink"/>
                <w:rFonts w:ascii="Garamond" w:hAnsi="Garamond"/>
                <w:color w:val="auto"/>
                <w:u w:val="none"/>
                <w:lang w:val="en-AU"/>
              </w:rPr>
            </w:pPr>
            <w:r>
              <w:rPr>
                <w:rStyle w:val="Hyperlink"/>
                <w:rFonts w:ascii="Garamond" w:hAnsi="Garamond"/>
                <w:color w:val="auto"/>
                <w:u w:val="none"/>
                <w:lang w:val="en-AU"/>
              </w:rPr>
              <w:t xml:space="preserve">Naylor et al </w:t>
            </w:r>
            <w:hyperlink r:id="rId25" w:history="1">
              <w:r w:rsidRPr="00770AE3">
                <w:rPr>
                  <w:rStyle w:val="Hyperlink"/>
                  <w:rFonts w:ascii="Garamond" w:hAnsi="Garamond"/>
                  <w:lang w:val="en-AU"/>
                </w:rPr>
                <w:t>http://dx.doi.org/10.5694/mja16.01362</w:t>
              </w:r>
            </w:hyperlink>
          </w:p>
          <w:p w:rsidR="002A473A" w:rsidRPr="00C3014C" w:rsidRDefault="002A473A" w:rsidP="00D87F4A">
            <w:pPr>
              <w:rPr>
                <w:rStyle w:val="Hyperlink"/>
                <w:rFonts w:ascii="Garamond" w:hAnsi="Garamond"/>
                <w:color w:val="auto"/>
                <w:u w:val="none"/>
                <w:lang w:val="en-AU"/>
              </w:rPr>
            </w:pPr>
            <w:r w:rsidRPr="002A473A">
              <w:rPr>
                <w:rFonts w:ascii="Garamond" w:hAnsi="Garamond"/>
                <w:lang w:val="en-AU"/>
              </w:rPr>
              <w:t>Loefler</w:t>
            </w:r>
            <w:r>
              <w:rPr>
                <w:rFonts w:ascii="Garamond" w:hAnsi="Garamond"/>
                <w:lang w:val="en-AU"/>
              </w:rPr>
              <w:t xml:space="preserve"> </w:t>
            </w:r>
            <w:hyperlink r:id="rId26" w:history="1">
              <w:r w:rsidRPr="00770AE3">
                <w:rPr>
                  <w:rStyle w:val="Hyperlink"/>
                  <w:rFonts w:ascii="Garamond" w:hAnsi="Garamond"/>
                  <w:lang w:val="en-AU"/>
                </w:rPr>
                <w:t>http://dx.doi.org/10.5694/mja17.00362</w:t>
              </w:r>
            </w:hyperlink>
          </w:p>
        </w:tc>
      </w:tr>
      <w:tr w:rsidR="00DC1E06" w:rsidRPr="00C3014C" w:rsidTr="00D87F4A">
        <w:tc>
          <w:tcPr>
            <w:tcW w:w="1080" w:type="dxa"/>
            <w:tcBorders>
              <w:top w:val="single" w:sz="4" w:space="0" w:color="auto"/>
              <w:left w:val="single" w:sz="4" w:space="0" w:color="auto"/>
              <w:bottom w:val="single" w:sz="4" w:space="0" w:color="auto"/>
              <w:right w:val="single" w:sz="4" w:space="0" w:color="auto"/>
            </w:tcBorders>
            <w:vAlign w:val="center"/>
          </w:tcPr>
          <w:p w:rsidR="00DC1E06" w:rsidRPr="00C3014C" w:rsidRDefault="00DC1E06" w:rsidP="00D87F4A">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754BA" w:rsidRDefault="00C754BA" w:rsidP="00D87F4A">
            <w:pPr>
              <w:rPr>
                <w:rFonts w:ascii="Garamond" w:hAnsi="Garamond"/>
                <w:lang w:val="en-AU"/>
              </w:rPr>
            </w:pPr>
            <w:r>
              <w:rPr>
                <w:rFonts w:ascii="Garamond" w:hAnsi="Garamond"/>
                <w:lang w:val="en-AU"/>
              </w:rPr>
              <w:t>Rehabilitation after total knee replacement is standard practice. The value (or otherwise) of completing this as an inpatient (often in a private hospital in the Australian context) or as an outpatient or in the community has been debated.</w:t>
            </w:r>
          </w:p>
          <w:p w:rsidR="00C754BA" w:rsidRDefault="00C754BA" w:rsidP="00D87F4A">
            <w:pPr>
              <w:rPr>
                <w:rFonts w:ascii="Garamond" w:hAnsi="Garamond"/>
                <w:lang w:val="en-AU"/>
              </w:rPr>
            </w:pPr>
            <w:r>
              <w:rPr>
                <w:rFonts w:ascii="Garamond" w:hAnsi="Garamond"/>
                <w:lang w:val="en-AU"/>
              </w:rPr>
              <w:t>Naylor and colleagues have used p</w:t>
            </w:r>
            <w:r w:rsidRPr="00C754BA">
              <w:rPr>
                <w:rFonts w:ascii="Garamond" w:hAnsi="Garamond"/>
                <w:lang w:val="en-AU"/>
              </w:rPr>
              <w:t xml:space="preserve">atient-reported knee pain and function and health rating </w:t>
            </w:r>
            <w:r>
              <w:rPr>
                <w:rFonts w:ascii="Garamond" w:hAnsi="Garamond"/>
                <w:lang w:val="en-AU"/>
              </w:rPr>
              <w:t xml:space="preserve">scores from 258 patients (129 pairs of matched patients) to </w:t>
            </w:r>
            <w:r w:rsidRPr="00C754BA">
              <w:rPr>
                <w:rFonts w:ascii="Garamond" w:hAnsi="Garamond"/>
                <w:lang w:val="en-AU"/>
              </w:rPr>
              <w:t xml:space="preserve">compare the effectiveness of rehabilitation after total knee arthroplasty (TKA) after </w:t>
            </w:r>
            <w:r>
              <w:rPr>
                <w:rFonts w:ascii="Garamond" w:hAnsi="Garamond"/>
                <w:lang w:val="en-AU"/>
              </w:rPr>
              <w:t xml:space="preserve">discharge </w:t>
            </w:r>
            <w:r w:rsidRPr="00C754BA">
              <w:rPr>
                <w:rFonts w:ascii="Garamond" w:hAnsi="Garamond"/>
                <w:lang w:val="en-AU"/>
              </w:rPr>
              <w:t>to an inpatient rehabilitation facility or home.</w:t>
            </w:r>
            <w:r>
              <w:rPr>
                <w:rFonts w:ascii="Garamond" w:hAnsi="Garamond"/>
                <w:lang w:val="en-AU"/>
              </w:rPr>
              <w:t xml:space="preserve"> Their analyses led to the conclusion “p</w:t>
            </w:r>
            <w:r w:rsidRPr="00C754BA">
              <w:rPr>
                <w:rFonts w:ascii="Garamond" w:hAnsi="Garamond"/>
                <w:lang w:val="en-AU"/>
              </w:rPr>
              <w:t>athways incorporating inpatient rehabilitation did not achieve better joint-specific outcomes or health scores than alternatives not including inpatient rehabilitation</w:t>
            </w:r>
            <w:r>
              <w:rPr>
                <w:rFonts w:ascii="Garamond" w:hAnsi="Garamond"/>
                <w:lang w:val="en-AU"/>
              </w:rPr>
              <w:t>”</w:t>
            </w:r>
          </w:p>
          <w:p w:rsidR="002A473A" w:rsidRDefault="002A473A" w:rsidP="00723815">
            <w:pPr>
              <w:rPr>
                <w:rFonts w:ascii="Garamond" w:hAnsi="Garamond"/>
                <w:lang w:val="en-AU"/>
              </w:rPr>
            </w:pPr>
            <w:r>
              <w:rPr>
                <w:rFonts w:ascii="Garamond" w:hAnsi="Garamond"/>
                <w:lang w:val="en-AU"/>
              </w:rPr>
              <w:t>In</w:t>
            </w:r>
            <w:r w:rsidR="0054489B">
              <w:rPr>
                <w:rFonts w:ascii="Garamond" w:hAnsi="Garamond"/>
                <w:lang w:val="en-AU"/>
              </w:rPr>
              <w:t xml:space="preserve"> </w:t>
            </w:r>
            <w:r>
              <w:rPr>
                <w:rFonts w:ascii="Garamond" w:hAnsi="Garamond"/>
                <w:lang w:val="en-AU"/>
              </w:rPr>
              <w:t xml:space="preserve">a related editorial, Loefler </w:t>
            </w:r>
            <w:r w:rsidR="00723815">
              <w:rPr>
                <w:rFonts w:ascii="Garamond" w:hAnsi="Garamond"/>
                <w:lang w:val="en-AU"/>
              </w:rPr>
              <w:t>observes that this study has “</w:t>
            </w:r>
            <w:r w:rsidR="00723815" w:rsidRPr="00723815">
              <w:rPr>
                <w:rFonts w:ascii="Garamond" w:hAnsi="Garamond"/>
                <w:lang w:val="en-AU"/>
              </w:rPr>
              <w:t xml:space="preserve">clearly shown that </w:t>
            </w:r>
            <w:r w:rsidR="00723815" w:rsidRPr="00723815">
              <w:rPr>
                <w:rFonts w:ascii="Garamond" w:hAnsi="Garamond"/>
                <w:b/>
                <w:lang w:val="en-AU"/>
              </w:rPr>
              <w:t>inpatient rehabilitation</w:t>
            </w:r>
            <w:r w:rsidR="00723815" w:rsidRPr="00723815">
              <w:rPr>
                <w:rFonts w:ascii="Garamond" w:hAnsi="Garamond"/>
                <w:lang w:val="en-AU"/>
              </w:rPr>
              <w:t xml:space="preserve"> after an uncomplicated total knee replacement is </w:t>
            </w:r>
            <w:r w:rsidR="00723815" w:rsidRPr="00723815">
              <w:rPr>
                <w:rFonts w:ascii="Garamond" w:hAnsi="Garamond"/>
                <w:b/>
                <w:lang w:val="en-AU"/>
              </w:rPr>
              <w:t>more expensive</w:t>
            </w:r>
            <w:r w:rsidR="00723815" w:rsidRPr="00723815">
              <w:rPr>
                <w:rFonts w:ascii="Garamond" w:hAnsi="Garamond"/>
                <w:lang w:val="en-AU"/>
              </w:rPr>
              <w:t xml:space="preserve"> than outpatient rehabilitation, yet the </w:t>
            </w:r>
            <w:r w:rsidR="00723815" w:rsidRPr="00723815">
              <w:rPr>
                <w:rFonts w:ascii="Garamond" w:hAnsi="Garamond"/>
                <w:b/>
                <w:lang w:val="en-AU"/>
              </w:rPr>
              <w:t>functional outcomes are the same</w:t>
            </w:r>
            <w:r w:rsidR="00723815" w:rsidRPr="00723815">
              <w:rPr>
                <w:rFonts w:ascii="Garamond" w:hAnsi="Garamond"/>
                <w:lang w:val="en-AU"/>
              </w:rPr>
              <w:t>. If there are indeed some individuals in our large pool of patients who need extra time and care in hospital, we will need to further analyse the benefits of inpatient rehabilitation for such subgroups. And we should perhaps ask the rehabilitation industry to show cause and to justify their costs.</w:t>
            </w:r>
            <w:r w:rsidR="00723815">
              <w:rPr>
                <w:rFonts w:ascii="Garamond" w:hAnsi="Garamond"/>
                <w:lang w:val="en-AU"/>
              </w:rPr>
              <w:t>”</w:t>
            </w:r>
          </w:p>
          <w:p w:rsidR="00491913" w:rsidRPr="00DC1E06" w:rsidRDefault="00491913" w:rsidP="00491913">
            <w:pPr>
              <w:rPr>
                <w:rFonts w:ascii="Garamond" w:hAnsi="Garamond"/>
                <w:lang w:val="en-AU"/>
              </w:rPr>
            </w:pPr>
            <w:r>
              <w:rPr>
                <w:rFonts w:ascii="Garamond" w:hAnsi="Garamond"/>
                <w:lang w:val="en-AU"/>
              </w:rPr>
              <w:t xml:space="preserve">Variation in knee replacement surgery in Australia </w:t>
            </w:r>
            <w:r w:rsidRPr="00491913">
              <w:rPr>
                <w:rFonts w:ascii="Garamond" w:hAnsi="Garamond"/>
                <w:lang w:val="en-AU"/>
              </w:rPr>
              <w:t xml:space="preserve">was examined in </w:t>
            </w:r>
            <w:r>
              <w:rPr>
                <w:rFonts w:ascii="Garamond" w:hAnsi="Garamond"/>
                <w:lang w:val="en-AU"/>
              </w:rPr>
              <w:t xml:space="preserve">the </w:t>
            </w:r>
            <w:r w:rsidRPr="00491913">
              <w:rPr>
                <w:rFonts w:ascii="Garamond" w:hAnsi="Garamond"/>
                <w:i/>
                <w:lang w:val="en-AU"/>
              </w:rPr>
              <w:t>Second Australian Atlas of Healthcare Variation</w:t>
            </w:r>
            <w:r w:rsidRPr="00491913">
              <w:rPr>
                <w:rFonts w:ascii="Garamond" w:hAnsi="Garamond"/>
                <w:lang w:val="en-AU"/>
              </w:rPr>
              <w:t xml:space="preserve">. For </w:t>
            </w:r>
            <w:r>
              <w:rPr>
                <w:rFonts w:ascii="Garamond" w:hAnsi="Garamond"/>
                <w:lang w:val="en-AU"/>
              </w:rPr>
              <w:t xml:space="preserve">further </w:t>
            </w:r>
            <w:r w:rsidRPr="00491913">
              <w:rPr>
                <w:rFonts w:ascii="Garamond" w:hAnsi="Garamond"/>
                <w:lang w:val="en-AU"/>
              </w:rPr>
              <w:t xml:space="preserve">information, see </w:t>
            </w:r>
            <w:hyperlink r:id="rId27" w:history="1">
              <w:r w:rsidRPr="002E587A">
                <w:rPr>
                  <w:rStyle w:val="Hyperlink"/>
                  <w:rFonts w:ascii="Garamond" w:hAnsi="Garamond"/>
                  <w:lang w:val="en-AU"/>
                </w:rPr>
                <w:t>http://safetyandquality.gov.au/atlas</w:t>
              </w:r>
            </w:hyperlink>
          </w:p>
        </w:tc>
      </w:tr>
    </w:tbl>
    <w:p w:rsidR="00DC1E06" w:rsidRDefault="00DC1E06" w:rsidP="00DC1E06">
      <w:pPr>
        <w:keepLines/>
        <w:autoSpaceDE w:val="0"/>
        <w:autoSpaceDN w:val="0"/>
        <w:adjustRightInd w:val="0"/>
        <w:rPr>
          <w:rFonts w:ascii="Garamond" w:hAnsi="Garamond"/>
          <w:lang w:val="en-AU"/>
        </w:rPr>
      </w:pPr>
    </w:p>
    <w:p w:rsidR="002A473A" w:rsidRPr="002A473A" w:rsidRDefault="002A473A" w:rsidP="002A473A">
      <w:pPr>
        <w:keepNext/>
        <w:rPr>
          <w:rFonts w:ascii="Garamond" w:hAnsi="Garamond"/>
          <w:i/>
          <w:lang w:val="en-AU"/>
        </w:rPr>
      </w:pPr>
      <w:r w:rsidRPr="002A473A">
        <w:rPr>
          <w:rFonts w:ascii="Garamond" w:hAnsi="Garamond"/>
          <w:i/>
          <w:lang w:val="en-AU"/>
        </w:rPr>
        <w:lastRenderedPageBreak/>
        <w:t>Cataract surgery coverage rates for Indigenous and non-Indigenous Australians: the National Eye Health Survey</w:t>
      </w:r>
    </w:p>
    <w:p w:rsidR="002A473A" w:rsidRDefault="002A473A" w:rsidP="00DC1E06">
      <w:pPr>
        <w:keepNext/>
        <w:rPr>
          <w:rFonts w:ascii="Garamond" w:hAnsi="Garamond"/>
          <w:lang w:val="en-AU"/>
        </w:rPr>
      </w:pPr>
      <w:r w:rsidRPr="002A473A">
        <w:rPr>
          <w:rFonts w:ascii="Garamond" w:hAnsi="Garamond"/>
          <w:lang w:val="en-AU"/>
        </w:rPr>
        <w:t>Foreman J, Xie J, Keel S, van Wijngaarden P, Crowston J, Taylor HR, et al</w:t>
      </w:r>
    </w:p>
    <w:p w:rsidR="00DC1E06" w:rsidRPr="00C3014C" w:rsidRDefault="002A473A" w:rsidP="00DC1E06">
      <w:pPr>
        <w:keepNext/>
        <w:rPr>
          <w:rFonts w:ascii="Garamond" w:hAnsi="Garamond"/>
          <w:lang w:val="en-AU"/>
        </w:rPr>
      </w:pPr>
      <w:r w:rsidRPr="002A473A">
        <w:rPr>
          <w:rFonts w:ascii="Garamond" w:hAnsi="Garamond"/>
          <w:lang w:val="en-AU"/>
        </w:rPr>
        <w:t>Medical Journal of Australia. 2017;207(6):256-61.</w:t>
      </w:r>
    </w:p>
    <w:tbl>
      <w:tblPr>
        <w:tblStyle w:val="TableGrid"/>
        <w:tblW w:w="0" w:type="auto"/>
        <w:tblInd w:w="288" w:type="dxa"/>
        <w:tblLayout w:type="fixed"/>
        <w:tblLook w:val="01E0" w:firstRow="1" w:lastRow="1" w:firstColumn="1" w:lastColumn="1" w:noHBand="0" w:noVBand="0"/>
      </w:tblPr>
      <w:tblGrid>
        <w:gridCol w:w="1080"/>
        <w:gridCol w:w="8280"/>
      </w:tblGrid>
      <w:tr w:rsidR="00DC1E06" w:rsidRPr="00C3014C" w:rsidTr="00D87F4A">
        <w:tc>
          <w:tcPr>
            <w:tcW w:w="1080" w:type="dxa"/>
            <w:tcBorders>
              <w:top w:val="single" w:sz="4" w:space="0" w:color="auto"/>
              <w:left w:val="single" w:sz="4" w:space="0" w:color="auto"/>
              <w:bottom w:val="single" w:sz="4" w:space="0" w:color="auto"/>
              <w:right w:val="single" w:sz="4" w:space="0" w:color="auto"/>
            </w:tcBorders>
            <w:vAlign w:val="center"/>
          </w:tcPr>
          <w:p w:rsidR="00DC1E06" w:rsidRPr="00C3014C" w:rsidRDefault="00DC1E06" w:rsidP="00D87F4A">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C1E06" w:rsidRPr="00C3014C" w:rsidRDefault="00FB47D9" w:rsidP="00D87F4A">
            <w:pPr>
              <w:rPr>
                <w:rStyle w:val="Hyperlink"/>
                <w:rFonts w:ascii="Garamond" w:hAnsi="Garamond"/>
                <w:color w:val="auto"/>
                <w:u w:val="none"/>
                <w:lang w:val="en-AU"/>
              </w:rPr>
            </w:pPr>
            <w:hyperlink r:id="rId28" w:history="1">
              <w:r w:rsidR="002A473A" w:rsidRPr="00770AE3">
                <w:rPr>
                  <w:rStyle w:val="Hyperlink"/>
                  <w:rFonts w:ascii="Garamond" w:hAnsi="Garamond"/>
                  <w:lang w:val="en-AU"/>
                </w:rPr>
                <w:t>http://dx.doi.org/10.5694/mja17.00057</w:t>
              </w:r>
            </w:hyperlink>
          </w:p>
        </w:tc>
      </w:tr>
      <w:tr w:rsidR="00DC1E06" w:rsidRPr="00C3014C" w:rsidTr="00D87F4A">
        <w:tc>
          <w:tcPr>
            <w:tcW w:w="1080" w:type="dxa"/>
            <w:tcBorders>
              <w:top w:val="single" w:sz="4" w:space="0" w:color="auto"/>
              <w:left w:val="single" w:sz="4" w:space="0" w:color="auto"/>
              <w:bottom w:val="single" w:sz="4" w:space="0" w:color="auto"/>
              <w:right w:val="single" w:sz="4" w:space="0" w:color="auto"/>
            </w:tcBorders>
            <w:vAlign w:val="center"/>
          </w:tcPr>
          <w:p w:rsidR="00DC1E06" w:rsidRPr="00C3014C" w:rsidRDefault="00DC1E06" w:rsidP="00D87F4A">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B798B" w:rsidRPr="001B798B" w:rsidRDefault="001B798B" w:rsidP="001B798B">
            <w:pPr>
              <w:rPr>
                <w:rFonts w:ascii="Garamond" w:hAnsi="Garamond"/>
                <w:lang w:val="en-AU"/>
              </w:rPr>
            </w:pPr>
            <w:r>
              <w:rPr>
                <w:rFonts w:ascii="Garamond" w:hAnsi="Garamond"/>
                <w:lang w:val="en-AU"/>
              </w:rPr>
              <w:t xml:space="preserve">Paper reporting in an attempt to </w:t>
            </w:r>
            <w:r w:rsidRPr="001B798B">
              <w:rPr>
                <w:rFonts w:ascii="Garamond" w:hAnsi="Garamond"/>
                <w:lang w:val="en-AU"/>
              </w:rPr>
              <w:t>determine cataract surgery coverage rates for Indigenous and non-Indigenous Australians</w:t>
            </w:r>
            <w:r>
              <w:rPr>
                <w:rFonts w:ascii="Garamond" w:hAnsi="Garamond"/>
                <w:lang w:val="en-AU"/>
              </w:rPr>
              <w:t xml:space="preserve"> based on sampling at 30 </w:t>
            </w:r>
            <w:r w:rsidRPr="001B798B">
              <w:rPr>
                <w:rFonts w:ascii="Garamond" w:hAnsi="Garamond"/>
                <w:lang w:val="en-AU"/>
              </w:rPr>
              <w:t>randomly selected Australian geographic sites, stratified by remoteness.</w:t>
            </w:r>
            <w:r>
              <w:rPr>
                <w:rFonts w:ascii="Garamond" w:hAnsi="Garamond"/>
                <w:lang w:val="en-AU"/>
              </w:rPr>
              <w:t xml:space="preserve"> The survey included </w:t>
            </w:r>
            <w:r w:rsidRPr="001B798B">
              <w:rPr>
                <w:rFonts w:ascii="Garamond" w:hAnsi="Garamond"/>
                <w:lang w:val="en-AU"/>
              </w:rPr>
              <w:t>3098 non-Indigenous Australians aged 50 years or more and 1738 Indigenous Australians aged 40 years or more.</w:t>
            </w:r>
            <w:r>
              <w:rPr>
                <w:rFonts w:ascii="Garamond" w:hAnsi="Garamond"/>
                <w:lang w:val="en-AU"/>
              </w:rPr>
              <w:t xml:space="preserve"> The authors report that </w:t>
            </w:r>
            <w:r w:rsidR="00750E17">
              <w:rPr>
                <w:rFonts w:ascii="Garamond" w:hAnsi="Garamond"/>
                <w:lang w:val="en-AU"/>
              </w:rPr>
              <w:t xml:space="preserve">(based on </w:t>
            </w:r>
            <w:r w:rsidR="00750E17" w:rsidRPr="00750E17">
              <w:rPr>
                <w:rFonts w:ascii="Garamond" w:hAnsi="Garamond"/>
                <w:lang w:val="en-AU"/>
              </w:rPr>
              <w:t>World Health Organization defin</w:t>
            </w:r>
            <w:r w:rsidR="00750E17">
              <w:rPr>
                <w:rFonts w:ascii="Garamond" w:hAnsi="Garamond"/>
                <w:lang w:val="en-AU"/>
              </w:rPr>
              <w:t xml:space="preserve">itions) </w:t>
            </w:r>
            <w:r w:rsidRPr="001B798B">
              <w:rPr>
                <w:rFonts w:ascii="Garamond" w:hAnsi="Garamond"/>
                <w:lang w:val="en-AU"/>
              </w:rPr>
              <w:t>coverage rates were 92.5% and 98.9% for Indigenous and non-Indig</w:t>
            </w:r>
            <w:r w:rsidR="00750E17">
              <w:rPr>
                <w:rFonts w:ascii="Garamond" w:hAnsi="Garamond"/>
                <w:lang w:val="en-AU"/>
              </w:rPr>
              <w:t>enous Australians respectively, “</w:t>
            </w:r>
            <w:r w:rsidRPr="001B798B">
              <w:rPr>
                <w:rFonts w:ascii="Garamond" w:hAnsi="Garamond"/>
                <w:lang w:val="en-AU"/>
              </w:rPr>
              <w:t>indicating the need to improve cataract surgery services for Indigenous Australians.</w:t>
            </w:r>
            <w:r w:rsidR="00750E17">
              <w:rPr>
                <w:rFonts w:ascii="Garamond" w:hAnsi="Garamond"/>
                <w:lang w:val="en-AU"/>
              </w:rPr>
              <w:t>”</w:t>
            </w:r>
          </w:p>
          <w:p w:rsidR="0054489B" w:rsidRPr="00DC1E06" w:rsidRDefault="00750E17" w:rsidP="00750E17">
            <w:pPr>
              <w:rPr>
                <w:rFonts w:ascii="Garamond" w:hAnsi="Garamond"/>
                <w:lang w:val="en-AU"/>
              </w:rPr>
            </w:pPr>
            <w:r>
              <w:rPr>
                <w:rFonts w:ascii="Garamond" w:hAnsi="Garamond"/>
                <w:lang w:val="en-AU"/>
              </w:rPr>
              <w:t>Variation in c</w:t>
            </w:r>
            <w:r w:rsidR="0054489B">
              <w:rPr>
                <w:rFonts w:ascii="Garamond" w:hAnsi="Garamond"/>
                <w:lang w:val="en-AU"/>
              </w:rPr>
              <w:t xml:space="preserve">ataract surgery </w:t>
            </w:r>
            <w:r>
              <w:rPr>
                <w:rFonts w:ascii="Garamond" w:hAnsi="Garamond"/>
                <w:lang w:val="en-AU"/>
              </w:rPr>
              <w:t xml:space="preserve">across Australia </w:t>
            </w:r>
            <w:r w:rsidR="0054489B">
              <w:rPr>
                <w:rFonts w:ascii="Garamond" w:hAnsi="Garamond"/>
                <w:lang w:val="en-AU"/>
              </w:rPr>
              <w:t xml:space="preserve">was examined in both the </w:t>
            </w:r>
            <w:r w:rsidR="0054489B" w:rsidRPr="0054489B">
              <w:rPr>
                <w:rFonts w:ascii="Garamond" w:hAnsi="Garamond"/>
                <w:i/>
                <w:lang w:val="en-AU"/>
              </w:rPr>
              <w:t>Australian Atlas of Healthcare Variation</w:t>
            </w:r>
            <w:r w:rsidR="0054489B">
              <w:rPr>
                <w:rFonts w:ascii="Garamond" w:hAnsi="Garamond"/>
                <w:lang w:val="en-AU"/>
              </w:rPr>
              <w:t xml:space="preserve"> and the </w:t>
            </w:r>
            <w:r w:rsidR="0054489B" w:rsidRPr="0054489B">
              <w:rPr>
                <w:rFonts w:ascii="Garamond" w:hAnsi="Garamond"/>
                <w:i/>
                <w:lang w:val="en-AU"/>
              </w:rPr>
              <w:t>Second Australian Atlas of Healthcare Variation</w:t>
            </w:r>
            <w:r w:rsidR="0054489B">
              <w:rPr>
                <w:rFonts w:ascii="Garamond" w:hAnsi="Garamond"/>
                <w:lang w:val="en-AU"/>
              </w:rPr>
              <w:t xml:space="preserve">. For information on these, see </w:t>
            </w:r>
            <w:hyperlink r:id="rId29" w:history="1">
              <w:r w:rsidR="0054489B" w:rsidRPr="00770AE3">
                <w:rPr>
                  <w:rStyle w:val="Hyperlink"/>
                  <w:rFonts w:ascii="Garamond" w:hAnsi="Garamond"/>
                  <w:lang w:val="en-AU"/>
                </w:rPr>
                <w:t>http://safetyandquality.gov.au/atlas</w:t>
              </w:r>
            </w:hyperlink>
          </w:p>
        </w:tc>
      </w:tr>
    </w:tbl>
    <w:p w:rsidR="00DC1E06" w:rsidRDefault="00DC1E06" w:rsidP="00DC1E06">
      <w:pPr>
        <w:keepLines/>
        <w:autoSpaceDE w:val="0"/>
        <w:autoSpaceDN w:val="0"/>
        <w:adjustRightInd w:val="0"/>
        <w:rPr>
          <w:rFonts w:ascii="Garamond" w:hAnsi="Garamond"/>
          <w:lang w:val="en-AU"/>
        </w:rPr>
      </w:pPr>
    </w:p>
    <w:p w:rsidR="00B976E7" w:rsidRPr="00B976E7" w:rsidRDefault="00B976E7" w:rsidP="00B976E7">
      <w:pPr>
        <w:keepNext/>
        <w:rPr>
          <w:rFonts w:ascii="Garamond" w:hAnsi="Garamond"/>
          <w:i/>
          <w:lang w:val="en-AU"/>
        </w:rPr>
      </w:pPr>
      <w:r w:rsidRPr="00B976E7">
        <w:rPr>
          <w:rFonts w:ascii="Garamond" w:hAnsi="Garamond"/>
          <w:i/>
          <w:lang w:val="en-AU"/>
        </w:rPr>
        <w:t>Toward More Proactive Approaches to Safety in the Electronic Health Record Era</w:t>
      </w:r>
    </w:p>
    <w:p w:rsidR="00B976E7" w:rsidRDefault="00B976E7" w:rsidP="00DC1E06">
      <w:pPr>
        <w:keepNext/>
        <w:rPr>
          <w:rFonts w:ascii="Garamond" w:hAnsi="Garamond"/>
          <w:lang w:val="en-AU"/>
        </w:rPr>
      </w:pPr>
      <w:r w:rsidRPr="00B976E7">
        <w:rPr>
          <w:rFonts w:ascii="Garamond" w:hAnsi="Garamond"/>
          <w:lang w:val="en-AU"/>
        </w:rPr>
        <w:t>Sittig DF, Singh H</w:t>
      </w:r>
    </w:p>
    <w:p w:rsidR="00DC1E06" w:rsidRPr="00C3014C" w:rsidRDefault="00B976E7" w:rsidP="00DC1E06">
      <w:pPr>
        <w:keepNext/>
        <w:rPr>
          <w:rFonts w:ascii="Garamond" w:hAnsi="Garamond"/>
          <w:lang w:val="en-AU"/>
        </w:rPr>
      </w:pPr>
      <w:r w:rsidRPr="00B976E7">
        <w:rPr>
          <w:rFonts w:ascii="Garamond" w:hAnsi="Garamond"/>
          <w:lang w:val="en-AU"/>
        </w:rPr>
        <w:t>The Joint Commission Journal on Quality and Patient Safety. 2017</w:t>
      </w:r>
      <w:r>
        <w:rPr>
          <w:rFonts w:ascii="Garamond" w:hAnsi="Garamond"/>
          <w:lang w:val="en-AU"/>
        </w:rPr>
        <w:t xml:space="preserve"> [epub]</w:t>
      </w:r>
      <w:r w:rsidRPr="00B976E7">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DC1E06" w:rsidRPr="00C3014C" w:rsidTr="00D87F4A">
        <w:tc>
          <w:tcPr>
            <w:tcW w:w="1080" w:type="dxa"/>
            <w:tcBorders>
              <w:top w:val="single" w:sz="4" w:space="0" w:color="auto"/>
              <w:left w:val="single" w:sz="4" w:space="0" w:color="auto"/>
              <w:bottom w:val="single" w:sz="4" w:space="0" w:color="auto"/>
              <w:right w:val="single" w:sz="4" w:space="0" w:color="auto"/>
            </w:tcBorders>
            <w:vAlign w:val="center"/>
          </w:tcPr>
          <w:p w:rsidR="00DC1E06" w:rsidRPr="00C3014C" w:rsidRDefault="00DC1E06" w:rsidP="00D87F4A">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C1E06" w:rsidRPr="00C3014C" w:rsidRDefault="00FB47D9" w:rsidP="00D87F4A">
            <w:pPr>
              <w:rPr>
                <w:rStyle w:val="Hyperlink"/>
                <w:rFonts w:ascii="Garamond" w:hAnsi="Garamond"/>
                <w:color w:val="auto"/>
                <w:u w:val="none"/>
                <w:lang w:val="en-AU"/>
              </w:rPr>
            </w:pPr>
            <w:hyperlink r:id="rId30" w:history="1">
              <w:r w:rsidR="00B976E7" w:rsidRPr="002E587A">
                <w:rPr>
                  <w:rStyle w:val="Hyperlink"/>
                  <w:rFonts w:ascii="Garamond" w:hAnsi="Garamond"/>
                  <w:lang w:val="en-AU"/>
                </w:rPr>
                <w:t>http://dx.doi.org/10.1016/j.jcjq.2017.06.005</w:t>
              </w:r>
            </w:hyperlink>
          </w:p>
        </w:tc>
      </w:tr>
      <w:tr w:rsidR="00DC1E06" w:rsidRPr="00C3014C" w:rsidTr="00D87F4A">
        <w:tc>
          <w:tcPr>
            <w:tcW w:w="1080" w:type="dxa"/>
            <w:tcBorders>
              <w:top w:val="single" w:sz="4" w:space="0" w:color="auto"/>
              <w:left w:val="single" w:sz="4" w:space="0" w:color="auto"/>
              <w:bottom w:val="single" w:sz="4" w:space="0" w:color="auto"/>
              <w:right w:val="single" w:sz="4" w:space="0" w:color="auto"/>
            </w:tcBorders>
            <w:vAlign w:val="center"/>
          </w:tcPr>
          <w:p w:rsidR="00DC1E06" w:rsidRPr="00C3014C" w:rsidRDefault="00DC1E06" w:rsidP="00D87F4A">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976E7" w:rsidRPr="00DC1E06" w:rsidRDefault="00B976E7" w:rsidP="008C2CF2">
            <w:pPr>
              <w:rPr>
                <w:rFonts w:ascii="Garamond" w:hAnsi="Garamond"/>
                <w:lang w:val="en-AU"/>
              </w:rPr>
            </w:pPr>
            <w:r>
              <w:rPr>
                <w:rFonts w:ascii="Garamond" w:hAnsi="Garamond"/>
                <w:lang w:val="en-AU"/>
              </w:rPr>
              <w:t xml:space="preserve">Commentary piece </w:t>
            </w:r>
            <w:r w:rsidR="00BE5773">
              <w:rPr>
                <w:rFonts w:ascii="Garamond" w:hAnsi="Garamond"/>
                <w:lang w:val="en-AU"/>
              </w:rPr>
              <w:t xml:space="preserve">giving a summary of the updated </w:t>
            </w:r>
            <w:r w:rsidR="008C2CF2" w:rsidRPr="008C2CF2">
              <w:rPr>
                <w:rFonts w:ascii="Garamond" w:hAnsi="Garamond"/>
                <w:lang w:val="en-AU"/>
              </w:rPr>
              <w:t>SAFER (Safety Assurance Factors for EHR Resilience) Guides. The SAFER Guides were desi</w:t>
            </w:r>
            <w:r w:rsidR="008C2CF2">
              <w:rPr>
                <w:rFonts w:ascii="Garamond" w:hAnsi="Garamond"/>
                <w:lang w:val="en-AU"/>
              </w:rPr>
              <w:t>gned to help health care organis</w:t>
            </w:r>
            <w:r w:rsidR="008C2CF2" w:rsidRPr="008C2CF2">
              <w:rPr>
                <w:rFonts w:ascii="Garamond" w:hAnsi="Garamond"/>
                <w:lang w:val="en-AU"/>
              </w:rPr>
              <w:t>ations conduct self-assessments to optimize the safety and safe use of electronic health records (EHRs) in these areas: High Priority Practices, Organizational Responsibilities, Contingency Planning, System Configuration, System Interfaces, Patient Identification, Computerized Provider Order Entry with Decision Support, Test Results Reporting and Follow-Up, and C</w:t>
            </w:r>
            <w:r w:rsidR="008C2CF2">
              <w:rPr>
                <w:rFonts w:ascii="Garamond" w:hAnsi="Garamond"/>
                <w:lang w:val="en-AU"/>
              </w:rPr>
              <w:t>linician Communication.</w:t>
            </w:r>
            <w:r w:rsidR="008C2CF2" w:rsidRPr="008C2CF2">
              <w:rPr>
                <w:rFonts w:ascii="Garamond" w:hAnsi="Garamond"/>
                <w:lang w:val="en-AU"/>
              </w:rPr>
              <w:t xml:space="preserve"> The guides are used for proactive EHR risk assessment and recommend practices</w:t>
            </w:r>
            <w:r w:rsidR="008C2CF2">
              <w:rPr>
                <w:rFonts w:ascii="Garamond" w:hAnsi="Garamond"/>
                <w:lang w:val="en-AU"/>
              </w:rPr>
              <w:t xml:space="preserve"> </w:t>
            </w:r>
            <w:r w:rsidR="008C2CF2" w:rsidRPr="008C2CF2">
              <w:rPr>
                <w:rFonts w:ascii="Garamond" w:hAnsi="Garamond"/>
                <w:lang w:val="en-AU"/>
              </w:rPr>
              <w:t>developed to improve the safety and safe use of EHRs.</w:t>
            </w:r>
            <w:r w:rsidR="008C2CF2">
              <w:rPr>
                <w:rFonts w:ascii="Garamond" w:hAnsi="Garamond"/>
                <w:lang w:val="en-AU"/>
              </w:rPr>
              <w:t xml:space="preserve"> The authors describe how the Guide can be used and how </w:t>
            </w:r>
            <w:r w:rsidR="008C2CF2" w:rsidRPr="008C2CF2">
              <w:rPr>
                <w:rFonts w:ascii="Garamond" w:hAnsi="Garamond"/>
                <w:lang w:val="en-AU"/>
              </w:rPr>
              <w:t>wider adoption of SAFER Guides</w:t>
            </w:r>
            <w:r w:rsidR="008C2CF2">
              <w:rPr>
                <w:rFonts w:ascii="Garamond" w:hAnsi="Garamond"/>
                <w:lang w:val="en-AU"/>
              </w:rPr>
              <w:t xml:space="preserve"> may be encouraged.</w:t>
            </w:r>
          </w:p>
        </w:tc>
      </w:tr>
    </w:tbl>
    <w:p w:rsidR="00DC1E06" w:rsidRDefault="00DC1E06" w:rsidP="00DC1E06">
      <w:pPr>
        <w:keepLines/>
        <w:autoSpaceDE w:val="0"/>
        <w:autoSpaceDN w:val="0"/>
        <w:adjustRightInd w:val="0"/>
        <w:rPr>
          <w:rFonts w:ascii="Garamond" w:hAnsi="Garamond"/>
          <w:lang w:val="en-AU"/>
        </w:rPr>
      </w:pPr>
    </w:p>
    <w:p w:rsidR="00DC1E06" w:rsidRDefault="00E417A2" w:rsidP="00DC1E06">
      <w:pPr>
        <w:keepNext/>
        <w:rPr>
          <w:rFonts w:ascii="Garamond" w:hAnsi="Garamond"/>
          <w:lang w:val="en-AU"/>
        </w:rPr>
      </w:pPr>
      <w:r w:rsidRPr="00C3014C">
        <w:rPr>
          <w:rFonts w:ascii="Garamond" w:hAnsi="Garamond"/>
          <w:lang w:val="en-AU"/>
        </w:rPr>
        <w:t>For information on the Commission’s work on</w:t>
      </w:r>
      <w:r>
        <w:rPr>
          <w:rFonts w:ascii="Garamond" w:hAnsi="Garamond"/>
          <w:lang w:val="en-AU"/>
        </w:rPr>
        <w:t xml:space="preserve"> safety in e-health, see </w:t>
      </w:r>
      <w:hyperlink r:id="rId31" w:history="1">
        <w:r w:rsidRPr="002E587A">
          <w:rPr>
            <w:rStyle w:val="Hyperlink"/>
            <w:rFonts w:ascii="Garamond" w:hAnsi="Garamond"/>
            <w:lang w:val="en-AU"/>
          </w:rPr>
          <w:t>https://www.safetyandquality.gov.au/our-work/safety-in-e-health/</w:t>
        </w:r>
      </w:hyperlink>
    </w:p>
    <w:p w:rsidR="00E417A2" w:rsidRDefault="00E417A2" w:rsidP="00DC1E06">
      <w:pPr>
        <w:keepNext/>
        <w:rPr>
          <w:rFonts w:ascii="Garamond" w:hAnsi="Garamond"/>
          <w:lang w:val="en-AU"/>
        </w:rPr>
      </w:pPr>
    </w:p>
    <w:p w:rsidR="001E1067" w:rsidRPr="001E1067" w:rsidRDefault="001E1067" w:rsidP="001E1067">
      <w:pPr>
        <w:keepNext/>
        <w:rPr>
          <w:rFonts w:ascii="Garamond" w:hAnsi="Garamond"/>
          <w:i/>
          <w:lang w:val="en-AU"/>
        </w:rPr>
      </w:pPr>
      <w:r w:rsidRPr="001E1067">
        <w:rPr>
          <w:rFonts w:ascii="Garamond" w:hAnsi="Garamond"/>
          <w:i/>
          <w:lang w:val="en-AU"/>
        </w:rPr>
        <w:t>Assessment of automating safety surveillance from electronic health records: analysis for the quality and safety review system</w:t>
      </w:r>
    </w:p>
    <w:p w:rsidR="00625866" w:rsidRDefault="00625866" w:rsidP="001E1067">
      <w:pPr>
        <w:keepNext/>
        <w:rPr>
          <w:rFonts w:ascii="Garamond" w:hAnsi="Garamond"/>
          <w:lang w:val="en-AU"/>
        </w:rPr>
      </w:pPr>
      <w:r w:rsidRPr="00625866">
        <w:rPr>
          <w:rFonts w:ascii="Garamond" w:hAnsi="Garamond"/>
          <w:lang w:val="en-AU"/>
        </w:rPr>
        <w:t xml:space="preserve">Fong A, Adams K, Samarth A, McQueen L, Trivedi M, Chappel T, et al. </w:t>
      </w:r>
    </w:p>
    <w:p w:rsidR="001E1067" w:rsidRPr="00C3014C" w:rsidRDefault="00625866" w:rsidP="001E1067">
      <w:pPr>
        <w:keepNext/>
        <w:rPr>
          <w:rFonts w:ascii="Garamond" w:hAnsi="Garamond"/>
          <w:lang w:val="en-AU"/>
        </w:rPr>
      </w:pPr>
      <w:r w:rsidRPr="00625866">
        <w:rPr>
          <w:rFonts w:ascii="Garamond" w:hAnsi="Garamond"/>
          <w:lang w:val="en-AU"/>
        </w:rPr>
        <w:t>Journal of Patient Safety. 2017</w:t>
      </w:r>
      <w:r w:rsidR="0047119F">
        <w:rPr>
          <w:rFonts w:ascii="Garamond" w:hAnsi="Garamond"/>
          <w:lang w:val="en-AU"/>
        </w:rPr>
        <w:t xml:space="preserve"> [epub]</w:t>
      </w:r>
      <w:r w:rsidRPr="00625866">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1E1067" w:rsidRPr="00C3014C" w:rsidTr="00F543DB">
        <w:tc>
          <w:tcPr>
            <w:tcW w:w="1080" w:type="dxa"/>
            <w:tcBorders>
              <w:top w:val="single" w:sz="4" w:space="0" w:color="auto"/>
              <w:left w:val="single" w:sz="4" w:space="0" w:color="auto"/>
              <w:bottom w:val="single" w:sz="4" w:space="0" w:color="auto"/>
              <w:right w:val="single" w:sz="4" w:space="0" w:color="auto"/>
            </w:tcBorders>
            <w:vAlign w:val="center"/>
          </w:tcPr>
          <w:p w:rsidR="001E1067" w:rsidRPr="00C3014C" w:rsidRDefault="001E1067" w:rsidP="00F543DB">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E1067" w:rsidRPr="00C3014C" w:rsidRDefault="00FB47D9" w:rsidP="00F543DB">
            <w:pPr>
              <w:rPr>
                <w:rStyle w:val="Hyperlink"/>
                <w:rFonts w:ascii="Garamond" w:hAnsi="Garamond"/>
                <w:color w:val="auto"/>
                <w:u w:val="none"/>
                <w:lang w:val="en-AU"/>
              </w:rPr>
            </w:pPr>
            <w:hyperlink r:id="rId32" w:history="1">
              <w:r w:rsidR="00625866" w:rsidRPr="002E587A">
                <w:rPr>
                  <w:rStyle w:val="Hyperlink"/>
                  <w:rFonts w:ascii="Garamond" w:hAnsi="Garamond"/>
                  <w:lang w:val="en-AU"/>
                </w:rPr>
                <w:t>http://dx.doi.org/10.1097/PTS.0000000000000402</w:t>
              </w:r>
            </w:hyperlink>
          </w:p>
        </w:tc>
      </w:tr>
      <w:tr w:rsidR="001E1067" w:rsidRPr="00C3014C" w:rsidTr="00F543DB">
        <w:tc>
          <w:tcPr>
            <w:tcW w:w="1080" w:type="dxa"/>
            <w:tcBorders>
              <w:top w:val="single" w:sz="4" w:space="0" w:color="auto"/>
              <w:left w:val="single" w:sz="4" w:space="0" w:color="auto"/>
              <w:bottom w:val="single" w:sz="4" w:space="0" w:color="auto"/>
              <w:right w:val="single" w:sz="4" w:space="0" w:color="auto"/>
            </w:tcBorders>
            <w:vAlign w:val="center"/>
          </w:tcPr>
          <w:p w:rsidR="001E1067" w:rsidRPr="00C3014C" w:rsidRDefault="001E1067" w:rsidP="00F543DB">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5866" w:rsidRPr="00DC1E06" w:rsidRDefault="00625866" w:rsidP="00376AFE">
            <w:pPr>
              <w:rPr>
                <w:rFonts w:ascii="Garamond" w:hAnsi="Garamond"/>
                <w:lang w:val="en-AU"/>
              </w:rPr>
            </w:pPr>
            <w:r>
              <w:rPr>
                <w:rFonts w:ascii="Garamond" w:hAnsi="Garamond"/>
                <w:lang w:val="en-AU"/>
              </w:rPr>
              <w:t xml:space="preserve">Paper describing the development and testing of </w:t>
            </w:r>
            <w:r w:rsidRPr="00625866">
              <w:rPr>
                <w:rFonts w:ascii="Garamond" w:hAnsi="Garamond"/>
                <w:lang w:val="en-AU"/>
              </w:rPr>
              <w:t>a patient safety surveillance system called the Quality and Safety Review System (QSRS)</w:t>
            </w:r>
            <w:r>
              <w:rPr>
                <w:rFonts w:ascii="Garamond" w:hAnsi="Garamond"/>
                <w:lang w:val="en-AU"/>
              </w:rPr>
              <w:t xml:space="preserve">, including an </w:t>
            </w:r>
            <w:r w:rsidRPr="00625866">
              <w:rPr>
                <w:rFonts w:ascii="Garamond" w:hAnsi="Garamond"/>
                <w:lang w:val="en-AU"/>
              </w:rPr>
              <w:t xml:space="preserve">assessment of the feasibility of automatically populating QSRS questions from </w:t>
            </w:r>
            <w:r>
              <w:rPr>
                <w:rFonts w:ascii="Garamond" w:hAnsi="Garamond"/>
                <w:lang w:val="en-AU"/>
              </w:rPr>
              <w:t xml:space="preserve">electronic health records </w:t>
            </w:r>
            <w:r w:rsidRPr="00625866">
              <w:rPr>
                <w:rFonts w:ascii="Garamond" w:hAnsi="Garamond"/>
                <w:lang w:val="en-AU"/>
              </w:rPr>
              <w:t>EHR data.</w:t>
            </w:r>
            <w:r>
              <w:rPr>
                <w:rFonts w:ascii="Garamond" w:hAnsi="Garamond"/>
                <w:lang w:val="en-AU"/>
              </w:rPr>
              <w:t xml:space="preserve"> </w:t>
            </w:r>
            <w:r w:rsidR="00CE6AC2">
              <w:rPr>
                <w:rFonts w:ascii="Garamond" w:hAnsi="Garamond"/>
                <w:lang w:val="en-AU"/>
              </w:rPr>
              <w:t>From their assessment of the complexity of the questions devised and assessed the authors concluded that “</w:t>
            </w:r>
            <w:r w:rsidRPr="00625866">
              <w:rPr>
                <w:rFonts w:ascii="Garamond" w:hAnsi="Garamond"/>
                <w:lang w:val="en-AU"/>
              </w:rPr>
              <w:t>abstracting information from these records is still very challenging</w:t>
            </w:r>
            <w:r w:rsidR="00CE6AC2">
              <w:rPr>
                <w:rFonts w:ascii="Garamond" w:hAnsi="Garamond"/>
                <w:lang w:val="en-AU"/>
              </w:rPr>
              <w:t xml:space="preserve">”. An aspect of this complexity is the </w:t>
            </w:r>
            <w:r w:rsidR="00CE6AC2" w:rsidRPr="00CE6AC2">
              <w:rPr>
                <w:rFonts w:ascii="Garamond" w:hAnsi="Garamond"/>
                <w:lang w:val="en-AU"/>
              </w:rPr>
              <w:t>variation in how data is represented across different electronic systems</w:t>
            </w:r>
            <w:r w:rsidR="00CE6AC2">
              <w:rPr>
                <w:rFonts w:ascii="Garamond" w:hAnsi="Garamond"/>
                <w:lang w:val="en-AU"/>
              </w:rPr>
              <w:t xml:space="preserve">, perhaps emphasising the need for interoperability and standards. The </w:t>
            </w:r>
            <w:r w:rsidRPr="00625866">
              <w:rPr>
                <w:rFonts w:ascii="Garamond" w:hAnsi="Garamond"/>
                <w:lang w:val="en-AU"/>
              </w:rPr>
              <w:t>heuristic framework</w:t>
            </w:r>
            <w:r w:rsidR="00CE6AC2">
              <w:rPr>
                <w:rFonts w:ascii="Garamond" w:hAnsi="Garamond"/>
                <w:lang w:val="en-AU"/>
              </w:rPr>
              <w:t xml:space="preserve"> developed in this work could be used </w:t>
            </w:r>
            <w:r w:rsidRPr="00625866">
              <w:rPr>
                <w:rFonts w:ascii="Garamond" w:hAnsi="Garamond"/>
                <w:lang w:val="en-AU"/>
              </w:rPr>
              <w:t>to help guide conversations around the feasibility of automating QSRS data abstraction.</w:t>
            </w:r>
          </w:p>
        </w:tc>
      </w:tr>
    </w:tbl>
    <w:p w:rsidR="001E1067" w:rsidRDefault="001E1067" w:rsidP="001E1067">
      <w:pPr>
        <w:keepLines/>
        <w:autoSpaceDE w:val="0"/>
        <w:autoSpaceDN w:val="0"/>
        <w:adjustRightInd w:val="0"/>
        <w:rPr>
          <w:rFonts w:ascii="Garamond" w:hAnsi="Garamond"/>
          <w:lang w:val="en-AU"/>
        </w:rPr>
      </w:pPr>
    </w:p>
    <w:p w:rsidR="00F7205C" w:rsidRPr="00F7205C" w:rsidRDefault="00F7205C" w:rsidP="00F7205C">
      <w:pPr>
        <w:keepNext/>
        <w:rPr>
          <w:rFonts w:ascii="Garamond" w:hAnsi="Garamond"/>
          <w:i/>
          <w:lang w:val="en-AU"/>
        </w:rPr>
      </w:pPr>
      <w:r w:rsidRPr="00F7205C">
        <w:rPr>
          <w:rFonts w:ascii="Garamond" w:hAnsi="Garamond"/>
          <w:i/>
          <w:lang w:val="en-AU"/>
        </w:rPr>
        <w:lastRenderedPageBreak/>
        <w:t>User-centered collaborative design and development of an inpatient safety dashboard</w:t>
      </w:r>
    </w:p>
    <w:p w:rsidR="001E1067" w:rsidRDefault="001E1067" w:rsidP="00F7205C">
      <w:pPr>
        <w:keepNext/>
        <w:rPr>
          <w:rFonts w:ascii="Garamond" w:hAnsi="Garamond"/>
          <w:lang w:val="en-AU"/>
        </w:rPr>
      </w:pPr>
      <w:r w:rsidRPr="001E1067">
        <w:rPr>
          <w:rFonts w:ascii="Garamond" w:hAnsi="Garamond"/>
          <w:lang w:val="en-AU"/>
        </w:rPr>
        <w:t>Mlaver E, Schnipper JL, Boxer RB, Breuer DJ, Gershanik EF, Dykes PC, et al</w:t>
      </w:r>
    </w:p>
    <w:p w:rsidR="00F7205C" w:rsidRPr="00C3014C" w:rsidRDefault="001E1067" w:rsidP="00F7205C">
      <w:pPr>
        <w:keepNext/>
        <w:rPr>
          <w:rFonts w:ascii="Garamond" w:hAnsi="Garamond"/>
          <w:lang w:val="en-AU"/>
        </w:rPr>
      </w:pPr>
      <w:r w:rsidRPr="001E1067">
        <w:rPr>
          <w:rFonts w:ascii="Garamond" w:hAnsi="Garamond"/>
          <w:lang w:val="en-AU"/>
        </w:rPr>
        <w:t>The Joint Commission Journal on Quality and Patient Safety. 2017</w:t>
      </w:r>
      <w:r w:rsidR="00CE6AC2">
        <w:rPr>
          <w:rFonts w:ascii="Garamond" w:hAnsi="Garamond"/>
          <w:lang w:val="en-AU"/>
        </w:rPr>
        <w:t xml:space="preserve"> [epub]</w:t>
      </w:r>
      <w:r w:rsidRPr="001E1067">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F7205C" w:rsidRPr="00C3014C" w:rsidTr="00F543DB">
        <w:tc>
          <w:tcPr>
            <w:tcW w:w="1080" w:type="dxa"/>
            <w:tcBorders>
              <w:top w:val="single" w:sz="4" w:space="0" w:color="auto"/>
              <w:left w:val="single" w:sz="4" w:space="0" w:color="auto"/>
              <w:bottom w:val="single" w:sz="4" w:space="0" w:color="auto"/>
              <w:right w:val="single" w:sz="4" w:space="0" w:color="auto"/>
            </w:tcBorders>
            <w:vAlign w:val="center"/>
          </w:tcPr>
          <w:p w:rsidR="00F7205C" w:rsidRPr="00C3014C" w:rsidRDefault="00F7205C" w:rsidP="00F543DB">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7205C" w:rsidRPr="00C3014C" w:rsidRDefault="00FB47D9" w:rsidP="00F543DB">
            <w:pPr>
              <w:rPr>
                <w:rStyle w:val="Hyperlink"/>
                <w:rFonts w:ascii="Garamond" w:hAnsi="Garamond"/>
                <w:color w:val="auto"/>
                <w:u w:val="none"/>
                <w:lang w:val="en-AU"/>
              </w:rPr>
            </w:pPr>
            <w:hyperlink r:id="rId33" w:history="1">
              <w:r w:rsidR="008F58DC" w:rsidRPr="002E587A">
                <w:rPr>
                  <w:rStyle w:val="Hyperlink"/>
                  <w:rFonts w:ascii="Garamond" w:hAnsi="Garamond"/>
                  <w:lang w:val="en-AU"/>
                </w:rPr>
                <w:t>https://doi.org/10.1016/j.jcjq.2017.05.010</w:t>
              </w:r>
            </w:hyperlink>
          </w:p>
        </w:tc>
      </w:tr>
      <w:tr w:rsidR="00F7205C" w:rsidRPr="00C3014C" w:rsidTr="00F543DB">
        <w:tc>
          <w:tcPr>
            <w:tcW w:w="1080" w:type="dxa"/>
            <w:tcBorders>
              <w:top w:val="single" w:sz="4" w:space="0" w:color="auto"/>
              <w:left w:val="single" w:sz="4" w:space="0" w:color="auto"/>
              <w:bottom w:val="single" w:sz="4" w:space="0" w:color="auto"/>
              <w:right w:val="single" w:sz="4" w:space="0" w:color="auto"/>
            </w:tcBorders>
            <w:vAlign w:val="center"/>
          </w:tcPr>
          <w:p w:rsidR="00F7205C" w:rsidRPr="00C3014C" w:rsidRDefault="00F7205C" w:rsidP="00F543DB">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E6AC2" w:rsidRPr="00DC1E06" w:rsidRDefault="00CE6AC2" w:rsidP="00CE6AC2">
            <w:pPr>
              <w:rPr>
                <w:rFonts w:ascii="Garamond" w:hAnsi="Garamond"/>
                <w:lang w:val="en-AU"/>
              </w:rPr>
            </w:pPr>
            <w:r>
              <w:rPr>
                <w:rFonts w:ascii="Garamond" w:hAnsi="Garamond"/>
                <w:lang w:val="en-AU"/>
              </w:rPr>
              <w:t xml:space="preserve">This paper describes another attempt at using electronic health records (EHRs) to identify patient safety issues. In this instance it was a </w:t>
            </w:r>
            <w:r w:rsidRPr="00CE6AC2">
              <w:rPr>
                <w:rFonts w:ascii="Garamond" w:hAnsi="Garamond"/>
                <w:lang w:val="en-AU"/>
              </w:rPr>
              <w:t>patient safety dashboard for interdisciplinary rounding teams on inpatient medical services</w:t>
            </w:r>
            <w:r>
              <w:rPr>
                <w:rFonts w:ascii="Garamond" w:hAnsi="Garamond"/>
                <w:lang w:val="en-AU"/>
              </w:rPr>
              <w:t xml:space="preserve"> in a US hospital. </w:t>
            </w:r>
            <w:r w:rsidRPr="00CE6AC2">
              <w:rPr>
                <w:rFonts w:ascii="Garamond" w:hAnsi="Garamond"/>
                <w:lang w:val="en-AU"/>
              </w:rPr>
              <w:t>Th</w:t>
            </w:r>
            <w:r>
              <w:rPr>
                <w:rFonts w:ascii="Garamond" w:hAnsi="Garamond"/>
                <w:lang w:val="en-AU"/>
              </w:rPr>
              <w:t>e article summaris</w:t>
            </w:r>
            <w:r w:rsidRPr="00CE6AC2">
              <w:rPr>
                <w:rFonts w:ascii="Garamond" w:hAnsi="Garamond"/>
                <w:lang w:val="en-AU"/>
              </w:rPr>
              <w:t xml:space="preserve">es the development, features, functions, and </w:t>
            </w:r>
            <w:r>
              <w:rPr>
                <w:rFonts w:ascii="Garamond" w:hAnsi="Garamond"/>
                <w:lang w:val="en-AU"/>
              </w:rPr>
              <w:t xml:space="preserve">initial </w:t>
            </w:r>
            <w:r w:rsidRPr="00CE6AC2">
              <w:rPr>
                <w:rFonts w:ascii="Garamond" w:hAnsi="Garamond"/>
                <w:lang w:val="en-AU"/>
              </w:rPr>
              <w:t>evaluation</w:t>
            </w:r>
            <w:r>
              <w:rPr>
                <w:rFonts w:ascii="Garamond" w:hAnsi="Garamond"/>
                <w:lang w:val="en-AU"/>
              </w:rPr>
              <w:t xml:space="preserve"> of the </w:t>
            </w:r>
            <w:r w:rsidRPr="00CE6AC2">
              <w:rPr>
                <w:rFonts w:ascii="Garamond" w:hAnsi="Garamond"/>
                <w:lang w:val="en-AU"/>
              </w:rPr>
              <w:t>dashboard</w:t>
            </w:r>
            <w:r>
              <w:rPr>
                <w:rFonts w:ascii="Garamond" w:hAnsi="Garamond"/>
                <w:lang w:val="en-AU"/>
              </w:rPr>
              <w:t>. The dashboard</w:t>
            </w:r>
            <w:r w:rsidRPr="00CE6AC2">
              <w:rPr>
                <w:rFonts w:ascii="Garamond" w:hAnsi="Garamond"/>
                <w:lang w:val="en-AU"/>
              </w:rPr>
              <w:t xml:space="preserve"> collects real-time data covering thirteen safety domains through web services and generate stratified alerts</w:t>
            </w:r>
            <w:r>
              <w:rPr>
                <w:rFonts w:ascii="Garamond" w:hAnsi="Garamond"/>
                <w:lang w:val="en-AU"/>
              </w:rPr>
              <w:t xml:space="preserve">. </w:t>
            </w:r>
            <w:r w:rsidRPr="00CE6AC2">
              <w:rPr>
                <w:rFonts w:ascii="Garamond" w:hAnsi="Garamond"/>
                <w:lang w:val="en-AU"/>
              </w:rPr>
              <w:t xml:space="preserve">The </w:t>
            </w:r>
            <w:r>
              <w:rPr>
                <w:rFonts w:ascii="Garamond" w:hAnsi="Garamond"/>
                <w:lang w:val="en-AU"/>
              </w:rPr>
              <w:t xml:space="preserve">authors argue that this </w:t>
            </w:r>
            <w:r w:rsidRPr="00CE6AC2">
              <w:rPr>
                <w:rFonts w:ascii="Garamond" w:hAnsi="Garamond"/>
                <w:lang w:val="en-AU"/>
              </w:rPr>
              <w:t>technological infrastructure is adaptable to other EHR environments.</w:t>
            </w:r>
          </w:p>
        </w:tc>
      </w:tr>
    </w:tbl>
    <w:p w:rsidR="00F7205C" w:rsidRDefault="00F7205C" w:rsidP="00F7205C">
      <w:pPr>
        <w:keepLines/>
        <w:autoSpaceDE w:val="0"/>
        <w:autoSpaceDN w:val="0"/>
        <w:adjustRightInd w:val="0"/>
        <w:rPr>
          <w:rFonts w:ascii="Garamond" w:hAnsi="Garamond"/>
          <w:lang w:val="en-AU"/>
        </w:rPr>
      </w:pPr>
    </w:p>
    <w:p w:rsidR="001E1067" w:rsidRPr="001E1067" w:rsidRDefault="001E1067" w:rsidP="001E1067">
      <w:pPr>
        <w:keepNext/>
        <w:rPr>
          <w:rFonts w:ascii="Garamond" w:hAnsi="Garamond"/>
          <w:i/>
          <w:lang w:val="en-AU"/>
        </w:rPr>
      </w:pPr>
      <w:r w:rsidRPr="001E1067">
        <w:rPr>
          <w:rFonts w:ascii="Garamond" w:hAnsi="Garamond"/>
          <w:i/>
          <w:lang w:val="en-AU"/>
        </w:rPr>
        <w:t>An electronic trigger based on care escalation to identify preventable adverse events in hospitalised patients</w:t>
      </w:r>
    </w:p>
    <w:p w:rsidR="00CE6AC2" w:rsidRDefault="00CE6AC2" w:rsidP="001E1067">
      <w:pPr>
        <w:keepNext/>
        <w:rPr>
          <w:rFonts w:ascii="Garamond" w:hAnsi="Garamond"/>
          <w:lang w:val="en-AU"/>
        </w:rPr>
      </w:pPr>
      <w:r w:rsidRPr="00CE6AC2">
        <w:rPr>
          <w:rFonts w:ascii="Garamond" w:hAnsi="Garamond"/>
          <w:lang w:val="en-AU"/>
        </w:rPr>
        <w:t>Bhise V, Sittig DF, Vaghani V, Wei L, Baldwin J, Singh H</w:t>
      </w:r>
    </w:p>
    <w:p w:rsidR="001E1067" w:rsidRPr="00C3014C" w:rsidRDefault="00CE6AC2" w:rsidP="001E1067">
      <w:pPr>
        <w:keepNext/>
        <w:rPr>
          <w:rFonts w:ascii="Garamond" w:hAnsi="Garamond"/>
          <w:lang w:val="en-AU"/>
        </w:rPr>
      </w:pPr>
      <w:r w:rsidRPr="00CE6AC2">
        <w:rPr>
          <w:rFonts w:ascii="Garamond" w:hAnsi="Garamond"/>
          <w:lang w:val="en-AU"/>
        </w:rPr>
        <w:t>BMJ Quality &amp; Safety. 2017</w:t>
      </w:r>
      <w:r>
        <w:rPr>
          <w:rFonts w:ascii="Garamond" w:hAnsi="Garamond"/>
          <w:lang w:val="en-AU"/>
        </w:rPr>
        <w:t xml:space="preserve"> [epub]</w:t>
      </w:r>
      <w:r w:rsidRPr="00CE6AC2">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1E1067" w:rsidRPr="00C3014C" w:rsidTr="00F543DB">
        <w:tc>
          <w:tcPr>
            <w:tcW w:w="1080" w:type="dxa"/>
            <w:tcBorders>
              <w:top w:val="single" w:sz="4" w:space="0" w:color="auto"/>
              <w:left w:val="single" w:sz="4" w:space="0" w:color="auto"/>
              <w:bottom w:val="single" w:sz="4" w:space="0" w:color="auto"/>
              <w:right w:val="single" w:sz="4" w:space="0" w:color="auto"/>
            </w:tcBorders>
            <w:vAlign w:val="center"/>
          </w:tcPr>
          <w:p w:rsidR="001E1067" w:rsidRPr="00C3014C" w:rsidRDefault="001E1067" w:rsidP="00F543DB">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E1067" w:rsidRPr="00C3014C" w:rsidRDefault="00FB47D9" w:rsidP="00F543DB">
            <w:pPr>
              <w:rPr>
                <w:rStyle w:val="Hyperlink"/>
                <w:rFonts w:ascii="Garamond" w:hAnsi="Garamond"/>
                <w:color w:val="auto"/>
                <w:u w:val="none"/>
                <w:lang w:val="en-AU"/>
              </w:rPr>
            </w:pPr>
            <w:hyperlink r:id="rId34" w:history="1">
              <w:r w:rsidR="008F58DC" w:rsidRPr="002E587A">
                <w:rPr>
                  <w:rStyle w:val="Hyperlink"/>
                  <w:rFonts w:ascii="Garamond" w:hAnsi="Garamond"/>
                  <w:lang w:val="en-AU"/>
                </w:rPr>
                <w:t>http://dx.doi.org/10.1136/bmjqs-2017-006975</w:t>
              </w:r>
            </w:hyperlink>
          </w:p>
        </w:tc>
      </w:tr>
      <w:tr w:rsidR="001E1067" w:rsidRPr="00C3014C" w:rsidTr="00F543DB">
        <w:tc>
          <w:tcPr>
            <w:tcW w:w="1080" w:type="dxa"/>
            <w:tcBorders>
              <w:top w:val="single" w:sz="4" w:space="0" w:color="auto"/>
              <w:left w:val="single" w:sz="4" w:space="0" w:color="auto"/>
              <w:bottom w:val="single" w:sz="4" w:space="0" w:color="auto"/>
              <w:right w:val="single" w:sz="4" w:space="0" w:color="auto"/>
            </w:tcBorders>
            <w:vAlign w:val="center"/>
          </w:tcPr>
          <w:p w:rsidR="001E1067" w:rsidRPr="00C3014C" w:rsidRDefault="001E1067" w:rsidP="00F543DB">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E1067" w:rsidRPr="00DC1E06" w:rsidRDefault="00CE6AC2" w:rsidP="00CE6AC2">
            <w:pPr>
              <w:rPr>
                <w:rFonts w:ascii="Garamond" w:hAnsi="Garamond"/>
                <w:lang w:val="en-AU"/>
              </w:rPr>
            </w:pPr>
            <w:r>
              <w:rPr>
                <w:rFonts w:ascii="Garamond" w:hAnsi="Garamond"/>
                <w:lang w:val="en-AU"/>
              </w:rPr>
              <w:t>This paper also describes a safety tool using electronic health record (EHR) data. In this study the project team refined the [US] I</w:t>
            </w:r>
            <w:r w:rsidRPr="00CE6AC2">
              <w:rPr>
                <w:rFonts w:ascii="Garamond" w:hAnsi="Garamond"/>
                <w:lang w:val="en-AU"/>
              </w:rPr>
              <w:t>nstitute of Healthcare Improvement’s Global Trigger Tool (GTT) and leveraged EHR data to improve detection of preventable adverse events, including diagnostic errors.</w:t>
            </w:r>
          </w:p>
        </w:tc>
      </w:tr>
    </w:tbl>
    <w:p w:rsidR="001E1067" w:rsidRDefault="001E1067" w:rsidP="001E1067">
      <w:pPr>
        <w:keepLines/>
        <w:autoSpaceDE w:val="0"/>
        <w:autoSpaceDN w:val="0"/>
        <w:adjustRightInd w:val="0"/>
        <w:rPr>
          <w:rFonts w:ascii="Garamond" w:hAnsi="Garamond"/>
          <w:lang w:val="en-AU"/>
        </w:rPr>
      </w:pPr>
    </w:p>
    <w:p w:rsidR="00E417A2" w:rsidRPr="00E417A2" w:rsidRDefault="00E417A2" w:rsidP="00E417A2">
      <w:pPr>
        <w:keepNext/>
        <w:rPr>
          <w:rFonts w:ascii="Garamond" w:hAnsi="Garamond"/>
          <w:i/>
          <w:lang w:val="en-AU"/>
        </w:rPr>
      </w:pPr>
      <w:r w:rsidRPr="00E417A2">
        <w:rPr>
          <w:rFonts w:ascii="Garamond" w:hAnsi="Garamond"/>
          <w:i/>
          <w:lang w:val="en-AU"/>
        </w:rPr>
        <w:t>The economic burden of nurse-sensitive adverse events in 22 medical-surgical units: retrospective and matching analysis</w:t>
      </w:r>
    </w:p>
    <w:p w:rsidR="00E417A2" w:rsidRDefault="00E417A2" w:rsidP="00DC1E06">
      <w:pPr>
        <w:keepNext/>
        <w:rPr>
          <w:rFonts w:ascii="Garamond" w:hAnsi="Garamond"/>
          <w:lang w:val="en-AU"/>
        </w:rPr>
      </w:pPr>
      <w:r w:rsidRPr="00E417A2">
        <w:rPr>
          <w:rFonts w:ascii="Garamond" w:hAnsi="Garamond"/>
          <w:lang w:val="en-AU"/>
        </w:rPr>
        <w:t>Tchouaket E, Dubois C-A, D'Amour D</w:t>
      </w:r>
    </w:p>
    <w:p w:rsidR="00E417A2" w:rsidRPr="00C3014C" w:rsidRDefault="00E417A2" w:rsidP="00DC1E06">
      <w:pPr>
        <w:keepNext/>
        <w:rPr>
          <w:rFonts w:ascii="Garamond" w:hAnsi="Garamond"/>
          <w:lang w:val="en-AU"/>
        </w:rPr>
      </w:pPr>
      <w:r w:rsidRPr="00E417A2">
        <w:rPr>
          <w:rFonts w:ascii="Garamond" w:hAnsi="Garamond"/>
          <w:lang w:val="en-AU"/>
        </w:rPr>
        <w:t>Journal of Advanced Nursing. 2017;73(7):1696-711.</w:t>
      </w:r>
    </w:p>
    <w:tbl>
      <w:tblPr>
        <w:tblStyle w:val="TableGrid"/>
        <w:tblW w:w="0" w:type="auto"/>
        <w:tblInd w:w="288" w:type="dxa"/>
        <w:tblLayout w:type="fixed"/>
        <w:tblLook w:val="01E0" w:firstRow="1" w:lastRow="1" w:firstColumn="1" w:lastColumn="1" w:noHBand="0" w:noVBand="0"/>
      </w:tblPr>
      <w:tblGrid>
        <w:gridCol w:w="1080"/>
        <w:gridCol w:w="8280"/>
      </w:tblGrid>
      <w:tr w:rsidR="00DC1E06" w:rsidRPr="00C3014C" w:rsidTr="00D87F4A">
        <w:tc>
          <w:tcPr>
            <w:tcW w:w="1080" w:type="dxa"/>
            <w:tcBorders>
              <w:top w:val="single" w:sz="4" w:space="0" w:color="auto"/>
              <w:left w:val="single" w:sz="4" w:space="0" w:color="auto"/>
              <w:bottom w:val="single" w:sz="4" w:space="0" w:color="auto"/>
              <w:right w:val="single" w:sz="4" w:space="0" w:color="auto"/>
            </w:tcBorders>
            <w:vAlign w:val="center"/>
          </w:tcPr>
          <w:p w:rsidR="00DC1E06" w:rsidRPr="00C3014C" w:rsidRDefault="00DC1E06" w:rsidP="00D87F4A">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C1E06" w:rsidRPr="00C3014C" w:rsidRDefault="00FB47D9" w:rsidP="00D87F4A">
            <w:pPr>
              <w:rPr>
                <w:rStyle w:val="Hyperlink"/>
                <w:rFonts w:ascii="Garamond" w:hAnsi="Garamond"/>
                <w:color w:val="auto"/>
                <w:u w:val="none"/>
                <w:lang w:val="en-AU"/>
              </w:rPr>
            </w:pPr>
            <w:hyperlink r:id="rId35" w:history="1">
              <w:r w:rsidR="00E417A2" w:rsidRPr="002E587A">
                <w:rPr>
                  <w:rStyle w:val="Hyperlink"/>
                  <w:rFonts w:ascii="Garamond" w:hAnsi="Garamond"/>
                  <w:lang w:val="en-AU"/>
                </w:rPr>
                <w:t>http://dx.doi.org/10.1111/jan.13260</w:t>
              </w:r>
            </w:hyperlink>
          </w:p>
        </w:tc>
      </w:tr>
      <w:tr w:rsidR="00DC1E06" w:rsidRPr="00C3014C" w:rsidTr="00D87F4A">
        <w:tc>
          <w:tcPr>
            <w:tcW w:w="1080" w:type="dxa"/>
            <w:tcBorders>
              <w:top w:val="single" w:sz="4" w:space="0" w:color="auto"/>
              <w:left w:val="single" w:sz="4" w:space="0" w:color="auto"/>
              <w:bottom w:val="single" w:sz="4" w:space="0" w:color="auto"/>
              <w:right w:val="single" w:sz="4" w:space="0" w:color="auto"/>
            </w:tcBorders>
            <w:vAlign w:val="center"/>
          </w:tcPr>
          <w:p w:rsidR="00DC1E06" w:rsidRPr="00C3014C" w:rsidRDefault="00DC1E06" w:rsidP="00D87F4A">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C1E06" w:rsidRPr="00DC1E06" w:rsidRDefault="00E417A2" w:rsidP="00E417A2">
            <w:pPr>
              <w:rPr>
                <w:rFonts w:ascii="Garamond" w:hAnsi="Garamond"/>
                <w:lang w:val="en-AU"/>
              </w:rPr>
            </w:pPr>
            <w:r>
              <w:rPr>
                <w:rFonts w:ascii="Garamond" w:hAnsi="Garamond"/>
                <w:lang w:val="en-AU"/>
              </w:rPr>
              <w:t xml:space="preserve">This study sought to estimate </w:t>
            </w:r>
            <w:r w:rsidRPr="00E417A2">
              <w:rPr>
                <w:rFonts w:ascii="Garamond" w:hAnsi="Garamond"/>
                <w:lang w:val="en-AU"/>
              </w:rPr>
              <w:t xml:space="preserve">the economic burden of nurse-sensitive adverse events </w:t>
            </w:r>
            <w:r>
              <w:rPr>
                <w:rFonts w:ascii="Garamond" w:hAnsi="Garamond"/>
                <w:lang w:val="en-AU"/>
              </w:rPr>
              <w:t>(</w:t>
            </w:r>
            <w:r w:rsidRPr="00E417A2">
              <w:rPr>
                <w:rFonts w:ascii="Garamond" w:hAnsi="Garamond"/>
                <w:lang w:val="en-AU"/>
              </w:rPr>
              <w:t>pressure ulcers, falls, medication administration errors, pneumonia and urinary tract infections</w:t>
            </w:r>
            <w:r>
              <w:rPr>
                <w:rFonts w:ascii="Garamond" w:hAnsi="Garamond"/>
                <w:lang w:val="en-AU"/>
              </w:rPr>
              <w:t xml:space="preserve">) </w:t>
            </w:r>
            <w:r w:rsidRPr="00E417A2">
              <w:rPr>
                <w:rFonts w:ascii="Garamond" w:hAnsi="Garamond"/>
                <w:lang w:val="en-AU"/>
              </w:rPr>
              <w:t>in 22 acute-care units in Quebec by estimating excess hospital-related costs and calculating resulting additional hospital days.</w:t>
            </w:r>
            <w:r>
              <w:rPr>
                <w:rFonts w:ascii="Garamond" w:hAnsi="Garamond"/>
                <w:lang w:val="en-AU"/>
              </w:rPr>
              <w:t xml:space="preserve"> Using r</w:t>
            </w:r>
            <w:r w:rsidRPr="00E417A2">
              <w:rPr>
                <w:rFonts w:ascii="Garamond" w:hAnsi="Garamond"/>
                <w:lang w:val="en-AU"/>
              </w:rPr>
              <w:t>etrospective analysis of charts of 2699 patients hospitalized between July 2008</w:t>
            </w:r>
            <w:r>
              <w:rPr>
                <w:rFonts w:ascii="Garamond" w:hAnsi="Garamond"/>
                <w:lang w:val="en-AU"/>
              </w:rPr>
              <w:t xml:space="preserve">–August 2009 for at least 2 days the study found the </w:t>
            </w:r>
            <w:r w:rsidRPr="00E417A2">
              <w:rPr>
                <w:rFonts w:ascii="Garamond" w:hAnsi="Garamond"/>
                <w:lang w:val="en-AU"/>
              </w:rPr>
              <w:t xml:space="preserve">five adverse events considered nurse-sensitive caused nearly 1300 additional hospital days for 166 patients and generated more than </w:t>
            </w:r>
            <w:r>
              <w:rPr>
                <w:rFonts w:ascii="Garamond" w:hAnsi="Garamond"/>
                <w:lang w:val="en-AU"/>
              </w:rPr>
              <w:t>$CDN</w:t>
            </w:r>
            <w:r w:rsidRPr="00E417A2">
              <w:rPr>
                <w:rFonts w:ascii="Garamond" w:hAnsi="Garamond"/>
                <w:lang w:val="en-AU"/>
              </w:rPr>
              <w:t>600,000 in excess treatment costs.</w:t>
            </w:r>
          </w:p>
        </w:tc>
      </w:tr>
    </w:tbl>
    <w:p w:rsidR="00DC1E06" w:rsidRDefault="00DC1E06" w:rsidP="00DC1E06">
      <w:pPr>
        <w:keepLines/>
        <w:autoSpaceDE w:val="0"/>
        <w:autoSpaceDN w:val="0"/>
        <w:adjustRightInd w:val="0"/>
        <w:rPr>
          <w:rFonts w:ascii="Garamond" w:hAnsi="Garamond"/>
          <w:lang w:val="en-AU"/>
        </w:rPr>
      </w:pPr>
    </w:p>
    <w:p w:rsidR="00602D0F" w:rsidRPr="00602D0F" w:rsidRDefault="00602D0F" w:rsidP="00602D0F">
      <w:pPr>
        <w:keepNext/>
        <w:rPr>
          <w:rFonts w:ascii="Garamond" w:hAnsi="Garamond"/>
          <w:i/>
          <w:lang w:val="en-AU"/>
        </w:rPr>
      </w:pPr>
      <w:r w:rsidRPr="00602D0F">
        <w:rPr>
          <w:rFonts w:ascii="Garamond" w:hAnsi="Garamond"/>
          <w:i/>
          <w:lang w:val="en-AU"/>
        </w:rPr>
        <w:t>Recognizing and Responding to the “Toxic” Work Environment: Worker Safety, Patient Safety, and Abuse/Neglect in Nursing Homes</w:t>
      </w:r>
    </w:p>
    <w:p w:rsidR="00602D0F" w:rsidRDefault="00602D0F" w:rsidP="00DC1E06">
      <w:pPr>
        <w:keepNext/>
        <w:rPr>
          <w:rFonts w:ascii="Garamond" w:hAnsi="Garamond"/>
          <w:lang w:val="en-AU"/>
        </w:rPr>
      </w:pPr>
      <w:r w:rsidRPr="00602D0F">
        <w:rPr>
          <w:rFonts w:ascii="Garamond" w:hAnsi="Garamond"/>
          <w:lang w:val="en-AU"/>
        </w:rPr>
        <w:t>Pickering CEZ, Nurenberg K, Schiamberg L</w:t>
      </w:r>
    </w:p>
    <w:p w:rsidR="00DC1E06" w:rsidRPr="00C3014C" w:rsidRDefault="00602D0F" w:rsidP="00DC1E06">
      <w:pPr>
        <w:keepNext/>
        <w:rPr>
          <w:rFonts w:ascii="Garamond" w:hAnsi="Garamond"/>
          <w:lang w:val="en-AU"/>
        </w:rPr>
      </w:pPr>
      <w:r w:rsidRPr="00602D0F">
        <w:rPr>
          <w:rFonts w:ascii="Garamond" w:hAnsi="Garamond"/>
          <w:lang w:val="en-AU"/>
        </w:rPr>
        <w:t>Qualitative Health Research. 2017</w:t>
      </w:r>
      <w:r>
        <w:rPr>
          <w:rFonts w:ascii="Garamond" w:hAnsi="Garamond"/>
          <w:lang w:val="en-AU"/>
        </w:rPr>
        <w:t xml:space="preserve"> [epub]</w:t>
      </w:r>
      <w:r w:rsidRPr="00602D0F">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DC1E06" w:rsidRPr="00C3014C" w:rsidTr="00D87F4A">
        <w:tc>
          <w:tcPr>
            <w:tcW w:w="1080" w:type="dxa"/>
            <w:tcBorders>
              <w:top w:val="single" w:sz="4" w:space="0" w:color="auto"/>
              <w:left w:val="single" w:sz="4" w:space="0" w:color="auto"/>
              <w:bottom w:val="single" w:sz="4" w:space="0" w:color="auto"/>
              <w:right w:val="single" w:sz="4" w:space="0" w:color="auto"/>
            </w:tcBorders>
            <w:vAlign w:val="center"/>
          </w:tcPr>
          <w:p w:rsidR="00DC1E06" w:rsidRPr="00C3014C" w:rsidRDefault="00DC1E06" w:rsidP="00D87F4A">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C1E06" w:rsidRPr="00C3014C" w:rsidRDefault="00FB47D9" w:rsidP="00D87F4A">
            <w:pPr>
              <w:rPr>
                <w:rStyle w:val="Hyperlink"/>
                <w:rFonts w:ascii="Garamond" w:hAnsi="Garamond"/>
                <w:color w:val="auto"/>
                <w:u w:val="none"/>
                <w:lang w:val="en-AU"/>
              </w:rPr>
            </w:pPr>
            <w:hyperlink r:id="rId36" w:history="1">
              <w:r w:rsidR="00602D0F" w:rsidRPr="002E587A">
                <w:rPr>
                  <w:rStyle w:val="Hyperlink"/>
                  <w:rFonts w:ascii="Garamond" w:hAnsi="Garamond"/>
                  <w:lang w:val="en-AU"/>
                </w:rPr>
                <w:t>https://doi.org/10.1177/1049732317723889</w:t>
              </w:r>
            </w:hyperlink>
          </w:p>
        </w:tc>
      </w:tr>
      <w:tr w:rsidR="00DC1E06" w:rsidRPr="00C3014C" w:rsidTr="00D87F4A">
        <w:tc>
          <w:tcPr>
            <w:tcW w:w="1080" w:type="dxa"/>
            <w:tcBorders>
              <w:top w:val="single" w:sz="4" w:space="0" w:color="auto"/>
              <w:left w:val="single" w:sz="4" w:space="0" w:color="auto"/>
              <w:bottom w:val="single" w:sz="4" w:space="0" w:color="auto"/>
              <w:right w:val="single" w:sz="4" w:space="0" w:color="auto"/>
            </w:tcBorders>
            <w:vAlign w:val="center"/>
          </w:tcPr>
          <w:p w:rsidR="00DC1E06" w:rsidRPr="00C3014C" w:rsidRDefault="00DC1E06" w:rsidP="00D87F4A">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C1E06" w:rsidRPr="00DC1E06" w:rsidRDefault="00602D0F" w:rsidP="00602D0F">
            <w:pPr>
              <w:rPr>
                <w:rFonts w:ascii="Garamond" w:hAnsi="Garamond"/>
                <w:lang w:val="en-AU"/>
              </w:rPr>
            </w:pPr>
            <w:r>
              <w:rPr>
                <w:rFonts w:ascii="Garamond" w:hAnsi="Garamond"/>
                <w:lang w:val="en-AU"/>
              </w:rPr>
              <w:t xml:space="preserve">It is unsurprising that a </w:t>
            </w:r>
            <w:r w:rsidRPr="00602D0F">
              <w:rPr>
                <w:rFonts w:ascii="Garamond" w:hAnsi="Garamond"/>
                <w:b/>
                <w:lang w:val="en-AU"/>
              </w:rPr>
              <w:t>poor work environment</w:t>
            </w:r>
            <w:r>
              <w:rPr>
                <w:rFonts w:ascii="Garamond" w:hAnsi="Garamond"/>
                <w:lang w:val="en-AU"/>
              </w:rPr>
              <w:t xml:space="preserve"> contributes to a </w:t>
            </w:r>
            <w:r w:rsidRPr="00602D0F">
              <w:rPr>
                <w:rFonts w:ascii="Garamond" w:hAnsi="Garamond"/>
                <w:b/>
                <w:lang w:val="en-AU"/>
              </w:rPr>
              <w:t>poor work culture</w:t>
            </w:r>
            <w:r>
              <w:rPr>
                <w:rFonts w:ascii="Garamond" w:hAnsi="Garamond"/>
                <w:lang w:val="en-AU"/>
              </w:rPr>
              <w:t xml:space="preserve">. The culture in healthcare is regarded as important to the safety and quality of care and to the wellbeing of those who work there as well as those receiving care. This small qualitative study interviewed </w:t>
            </w:r>
            <w:r w:rsidRPr="00602D0F">
              <w:rPr>
                <w:rFonts w:ascii="Garamond" w:hAnsi="Garamond"/>
                <w:lang w:val="en-AU"/>
              </w:rPr>
              <w:t>certified nursing assistant</w:t>
            </w:r>
            <w:r>
              <w:rPr>
                <w:rFonts w:ascii="Garamond" w:hAnsi="Garamond"/>
                <w:lang w:val="en-AU"/>
              </w:rPr>
              <w:t>s</w:t>
            </w:r>
            <w:r w:rsidRPr="00602D0F">
              <w:rPr>
                <w:rFonts w:ascii="Garamond" w:hAnsi="Garamond"/>
                <w:lang w:val="en-AU"/>
              </w:rPr>
              <w:t xml:space="preserve"> (CNA</w:t>
            </w:r>
            <w:r>
              <w:rPr>
                <w:rFonts w:ascii="Garamond" w:hAnsi="Garamond"/>
                <w:lang w:val="en-AU"/>
              </w:rPr>
              <w:t>s</w:t>
            </w:r>
            <w:r w:rsidRPr="00602D0F">
              <w:rPr>
                <w:rFonts w:ascii="Garamond" w:hAnsi="Garamond"/>
                <w:lang w:val="en-AU"/>
              </w:rPr>
              <w:t xml:space="preserve">) who experienced bullying while employed in a nursing home. The strategies </w:t>
            </w:r>
            <w:r>
              <w:rPr>
                <w:rFonts w:ascii="Garamond" w:hAnsi="Garamond"/>
                <w:lang w:val="en-AU"/>
              </w:rPr>
              <w:t xml:space="preserve">CNAs </w:t>
            </w:r>
            <w:r w:rsidRPr="00602D0F">
              <w:rPr>
                <w:rFonts w:ascii="Garamond" w:hAnsi="Garamond"/>
                <w:lang w:val="en-AU"/>
              </w:rPr>
              <w:t xml:space="preserve">used in responding to the “toxic” environment affected their care provision and were attributed to the development of several resident and worker safety outcomes. </w:t>
            </w:r>
          </w:p>
        </w:tc>
      </w:tr>
    </w:tbl>
    <w:p w:rsidR="00DC1E06" w:rsidRDefault="00DC1E06" w:rsidP="00DC1E06">
      <w:pPr>
        <w:keepNext/>
        <w:rPr>
          <w:rFonts w:ascii="Garamond" w:hAnsi="Garamond"/>
          <w:lang w:val="en-AU"/>
        </w:rPr>
      </w:pPr>
    </w:p>
    <w:p w:rsidR="00750E17" w:rsidRDefault="00750E17">
      <w:pPr>
        <w:rPr>
          <w:rFonts w:ascii="Garamond" w:hAnsi="Garamond"/>
          <w:i/>
          <w:lang w:val="en-AU"/>
        </w:rPr>
      </w:pPr>
      <w:r>
        <w:rPr>
          <w:rFonts w:ascii="Garamond" w:hAnsi="Garamond"/>
          <w:i/>
          <w:lang w:val="en-AU"/>
        </w:rPr>
        <w:br w:type="page"/>
      </w:r>
    </w:p>
    <w:p w:rsidR="009131EB" w:rsidRPr="00F7205C" w:rsidRDefault="00F7205C" w:rsidP="009131EB">
      <w:pPr>
        <w:keepNext/>
        <w:rPr>
          <w:rFonts w:ascii="Garamond" w:hAnsi="Garamond"/>
          <w:i/>
          <w:lang w:val="en-AU"/>
        </w:rPr>
      </w:pPr>
      <w:r w:rsidRPr="00F7205C">
        <w:rPr>
          <w:rFonts w:ascii="Garamond" w:hAnsi="Garamond"/>
          <w:i/>
          <w:lang w:val="en-AU"/>
        </w:rPr>
        <w:lastRenderedPageBreak/>
        <w:t>ASHP national survey of pharmacy practice in hospital settings: prescribing and transcribing—2016</w:t>
      </w:r>
    </w:p>
    <w:p w:rsidR="00625866" w:rsidRDefault="00625866" w:rsidP="009131EB">
      <w:pPr>
        <w:keepNext/>
        <w:rPr>
          <w:rFonts w:ascii="Garamond" w:hAnsi="Garamond"/>
          <w:lang w:val="en-AU"/>
        </w:rPr>
      </w:pPr>
      <w:r w:rsidRPr="00625866">
        <w:rPr>
          <w:rFonts w:ascii="Garamond" w:hAnsi="Garamond"/>
          <w:lang w:val="en-AU"/>
        </w:rPr>
        <w:t>Pedersen CA, Schneider PJ, Scheckelhoff DJ</w:t>
      </w:r>
    </w:p>
    <w:p w:rsidR="00F7205C" w:rsidRPr="00C3014C" w:rsidRDefault="00625866" w:rsidP="009131EB">
      <w:pPr>
        <w:keepNext/>
        <w:rPr>
          <w:rFonts w:ascii="Garamond" w:hAnsi="Garamond"/>
          <w:lang w:val="en-AU"/>
        </w:rPr>
      </w:pPr>
      <w:r w:rsidRPr="00625866">
        <w:rPr>
          <w:rFonts w:ascii="Garamond" w:hAnsi="Garamond"/>
          <w:lang w:val="en-AU"/>
        </w:rPr>
        <w:t>American Journal of Health-System Pharmacy. 2017;74(17):1336-52.</w:t>
      </w:r>
    </w:p>
    <w:tbl>
      <w:tblPr>
        <w:tblStyle w:val="TableGrid"/>
        <w:tblW w:w="0" w:type="auto"/>
        <w:tblInd w:w="288" w:type="dxa"/>
        <w:tblLayout w:type="fixed"/>
        <w:tblLook w:val="01E0" w:firstRow="1" w:lastRow="1" w:firstColumn="1" w:lastColumn="1" w:noHBand="0" w:noVBand="0"/>
      </w:tblPr>
      <w:tblGrid>
        <w:gridCol w:w="1080"/>
        <w:gridCol w:w="8280"/>
      </w:tblGrid>
      <w:tr w:rsidR="009131EB" w:rsidRPr="00C3014C" w:rsidTr="00F543DB">
        <w:tc>
          <w:tcPr>
            <w:tcW w:w="1080" w:type="dxa"/>
            <w:tcBorders>
              <w:top w:val="single" w:sz="4" w:space="0" w:color="auto"/>
              <w:left w:val="single" w:sz="4" w:space="0" w:color="auto"/>
              <w:bottom w:val="single" w:sz="4" w:space="0" w:color="auto"/>
              <w:right w:val="single" w:sz="4" w:space="0" w:color="auto"/>
            </w:tcBorders>
            <w:vAlign w:val="center"/>
          </w:tcPr>
          <w:p w:rsidR="009131EB" w:rsidRPr="00C3014C" w:rsidRDefault="009131EB" w:rsidP="00F543DB">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131EB" w:rsidRPr="00C3014C" w:rsidRDefault="00FB47D9" w:rsidP="00F543DB">
            <w:pPr>
              <w:rPr>
                <w:rStyle w:val="Hyperlink"/>
                <w:rFonts w:ascii="Garamond" w:hAnsi="Garamond"/>
                <w:color w:val="auto"/>
                <w:u w:val="none"/>
                <w:lang w:val="en-AU"/>
              </w:rPr>
            </w:pPr>
            <w:hyperlink r:id="rId37" w:history="1">
              <w:r w:rsidR="001E1067" w:rsidRPr="002E587A">
                <w:rPr>
                  <w:rStyle w:val="Hyperlink"/>
                  <w:rFonts w:ascii="Garamond" w:hAnsi="Garamond"/>
                  <w:lang w:val="en-AU"/>
                </w:rPr>
                <w:t>http://dx.doi.org/10.2146/ajhp170228</w:t>
              </w:r>
            </w:hyperlink>
          </w:p>
        </w:tc>
      </w:tr>
      <w:tr w:rsidR="009131EB" w:rsidRPr="00C3014C" w:rsidTr="00F543DB">
        <w:tc>
          <w:tcPr>
            <w:tcW w:w="1080" w:type="dxa"/>
            <w:tcBorders>
              <w:top w:val="single" w:sz="4" w:space="0" w:color="auto"/>
              <w:left w:val="single" w:sz="4" w:space="0" w:color="auto"/>
              <w:bottom w:val="single" w:sz="4" w:space="0" w:color="auto"/>
              <w:right w:val="single" w:sz="4" w:space="0" w:color="auto"/>
            </w:tcBorders>
            <w:vAlign w:val="center"/>
          </w:tcPr>
          <w:p w:rsidR="009131EB" w:rsidRPr="00C3014C" w:rsidRDefault="009131EB" w:rsidP="00F543DB">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5866" w:rsidRDefault="001E1067" w:rsidP="001E1067">
            <w:pPr>
              <w:rPr>
                <w:rFonts w:ascii="Garamond" w:hAnsi="Garamond"/>
                <w:lang w:val="en-AU"/>
              </w:rPr>
            </w:pPr>
            <w:r>
              <w:rPr>
                <w:rFonts w:ascii="Garamond" w:hAnsi="Garamond"/>
                <w:lang w:val="en-AU"/>
              </w:rPr>
              <w:t xml:space="preserve">This article gives the </w:t>
            </w:r>
            <w:r w:rsidRPr="001E1067">
              <w:rPr>
                <w:rFonts w:ascii="Garamond" w:hAnsi="Garamond"/>
                <w:lang w:val="en-AU"/>
              </w:rPr>
              <w:t>results of the 2016 American Society of Health-System Pharmacists</w:t>
            </w:r>
            <w:r>
              <w:rPr>
                <w:rFonts w:ascii="Garamond" w:hAnsi="Garamond"/>
                <w:lang w:val="en-AU"/>
              </w:rPr>
              <w:t xml:space="preserve"> (</w:t>
            </w:r>
            <w:r w:rsidRPr="001E1067">
              <w:rPr>
                <w:rFonts w:ascii="Garamond" w:hAnsi="Garamond"/>
                <w:lang w:val="en-AU"/>
              </w:rPr>
              <w:t>ASHP</w:t>
            </w:r>
            <w:r>
              <w:rPr>
                <w:rFonts w:ascii="Garamond" w:hAnsi="Garamond"/>
                <w:lang w:val="en-AU"/>
              </w:rPr>
              <w:t>)</w:t>
            </w:r>
            <w:r w:rsidRPr="001E1067">
              <w:rPr>
                <w:rFonts w:ascii="Garamond" w:hAnsi="Garamond"/>
                <w:lang w:val="en-AU"/>
              </w:rPr>
              <w:t xml:space="preserve"> survey of pharmacy practice in hospital settings</w:t>
            </w:r>
            <w:r w:rsidR="00625866">
              <w:rPr>
                <w:rFonts w:ascii="Garamond" w:hAnsi="Garamond"/>
                <w:lang w:val="en-AU"/>
              </w:rPr>
              <w:t>. The survey was sent to a</w:t>
            </w:r>
            <w:r w:rsidRPr="001E1067">
              <w:rPr>
                <w:rFonts w:ascii="Garamond" w:hAnsi="Garamond"/>
                <w:lang w:val="en-AU"/>
              </w:rPr>
              <w:t xml:space="preserve"> stratified random sample of pharmacy directors at 1,315 general and children’s medical–surgical hospitals in the </w:t>
            </w:r>
            <w:r w:rsidR="00625866">
              <w:rPr>
                <w:rFonts w:ascii="Garamond" w:hAnsi="Garamond"/>
                <w:lang w:val="en-AU"/>
              </w:rPr>
              <w:t>USA and was completed by 29.8%. Results noted include:</w:t>
            </w:r>
          </w:p>
          <w:p w:rsidR="00625866" w:rsidRPr="00625866" w:rsidRDefault="001E1067" w:rsidP="00625866">
            <w:pPr>
              <w:pStyle w:val="ListParagraph"/>
              <w:numPr>
                <w:ilvl w:val="0"/>
                <w:numId w:val="20"/>
              </w:numPr>
              <w:rPr>
                <w:rFonts w:ascii="Garamond" w:hAnsi="Garamond"/>
                <w:lang w:val="en-AU"/>
              </w:rPr>
            </w:pPr>
            <w:r w:rsidRPr="00625866">
              <w:rPr>
                <w:rFonts w:ascii="Garamond" w:hAnsi="Garamond"/>
                <w:lang w:val="en-AU"/>
              </w:rPr>
              <w:t xml:space="preserve">Drug policy development by pharmacy and therapeutics committees continues to be an important strategy for improving prescribing. </w:t>
            </w:r>
          </w:p>
          <w:p w:rsidR="00625866" w:rsidRPr="00625866" w:rsidRDefault="001E1067" w:rsidP="00625866">
            <w:pPr>
              <w:pStyle w:val="ListParagraph"/>
              <w:numPr>
                <w:ilvl w:val="0"/>
                <w:numId w:val="20"/>
              </w:numPr>
              <w:rPr>
                <w:rFonts w:ascii="Garamond" w:hAnsi="Garamond"/>
                <w:lang w:val="en-AU"/>
              </w:rPr>
            </w:pPr>
            <w:r w:rsidRPr="00625866">
              <w:rPr>
                <w:rFonts w:ascii="Garamond" w:hAnsi="Garamond"/>
                <w:lang w:val="en-AU"/>
              </w:rPr>
              <w:t>Strict formulary systems are maintained in 63.0% of hospitals</w:t>
            </w:r>
          </w:p>
          <w:p w:rsidR="00625866" w:rsidRPr="00625866" w:rsidRDefault="001E1067" w:rsidP="00625866">
            <w:pPr>
              <w:pStyle w:val="ListParagraph"/>
              <w:numPr>
                <w:ilvl w:val="0"/>
                <w:numId w:val="20"/>
              </w:numPr>
              <w:rPr>
                <w:rFonts w:ascii="Garamond" w:hAnsi="Garamond"/>
                <w:lang w:val="en-AU"/>
              </w:rPr>
            </w:pPr>
            <w:r w:rsidRPr="00625866">
              <w:rPr>
                <w:rFonts w:ascii="Garamond" w:hAnsi="Garamond"/>
                <w:lang w:val="en-AU"/>
              </w:rPr>
              <w:t>89.7% of hospitals use clinical practice guidelines that include medications. Pharmacists have the authority to order laboratory tests in 89.9% of hospitals and order medications in 86.8% of hospitals.</w:t>
            </w:r>
          </w:p>
          <w:p w:rsidR="00625866" w:rsidRPr="00625866" w:rsidRDefault="001E1067" w:rsidP="00625866">
            <w:pPr>
              <w:pStyle w:val="ListParagraph"/>
              <w:numPr>
                <w:ilvl w:val="0"/>
                <w:numId w:val="20"/>
              </w:numPr>
              <w:rPr>
                <w:rFonts w:ascii="Garamond" w:hAnsi="Garamond"/>
                <w:lang w:val="en-AU"/>
              </w:rPr>
            </w:pPr>
            <w:r w:rsidRPr="00625866">
              <w:rPr>
                <w:rFonts w:ascii="Garamond" w:hAnsi="Garamond"/>
                <w:lang w:val="en-AU"/>
              </w:rPr>
              <w:t>Therapeutic interchange policies are used in 89.2% of hospitals.</w:t>
            </w:r>
          </w:p>
          <w:p w:rsidR="00625866" w:rsidRPr="00625866" w:rsidRDefault="001E1067" w:rsidP="00625866">
            <w:pPr>
              <w:pStyle w:val="ListParagraph"/>
              <w:numPr>
                <w:ilvl w:val="0"/>
                <w:numId w:val="20"/>
              </w:numPr>
              <w:rPr>
                <w:rFonts w:ascii="Garamond" w:hAnsi="Garamond"/>
                <w:lang w:val="en-AU"/>
              </w:rPr>
            </w:pPr>
            <w:r w:rsidRPr="00625866">
              <w:rPr>
                <w:rFonts w:ascii="Garamond" w:hAnsi="Garamond"/>
                <w:lang w:val="en-AU"/>
              </w:rPr>
              <w:t xml:space="preserve">Electronic health records (EHRs) have been implemented partially or completely in most hospitals (99.1%). </w:t>
            </w:r>
          </w:p>
          <w:p w:rsidR="00625866" w:rsidRPr="00625866" w:rsidRDefault="00625866" w:rsidP="00625866">
            <w:pPr>
              <w:pStyle w:val="ListParagraph"/>
              <w:numPr>
                <w:ilvl w:val="0"/>
                <w:numId w:val="20"/>
              </w:numPr>
              <w:rPr>
                <w:rFonts w:ascii="Garamond" w:hAnsi="Garamond"/>
                <w:lang w:val="en-AU"/>
              </w:rPr>
            </w:pPr>
            <w:r w:rsidRPr="00625866">
              <w:rPr>
                <w:rFonts w:ascii="Garamond" w:hAnsi="Garamond"/>
                <w:lang w:val="en-AU"/>
              </w:rPr>
              <w:t>Computeris</w:t>
            </w:r>
            <w:r w:rsidR="001E1067" w:rsidRPr="00625866">
              <w:rPr>
                <w:rFonts w:ascii="Garamond" w:hAnsi="Garamond"/>
                <w:lang w:val="en-AU"/>
              </w:rPr>
              <w:t xml:space="preserve">ed prescriber-order-entry </w:t>
            </w:r>
            <w:r w:rsidRPr="00625866">
              <w:rPr>
                <w:rFonts w:ascii="Garamond" w:hAnsi="Garamond"/>
                <w:lang w:val="en-AU"/>
              </w:rPr>
              <w:t xml:space="preserve">(CPOE) </w:t>
            </w:r>
            <w:r w:rsidR="001E1067" w:rsidRPr="00625866">
              <w:rPr>
                <w:rFonts w:ascii="Garamond" w:hAnsi="Garamond"/>
                <w:lang w:val="en-AU"/>
              </w:rPr>
              <w:t xml:space="preserve">systems with clinical decision support are used in 95.6% of hospitals, and 92.6% of hospitals have barcode-assisted medication administration systems. </w:t>
            </w:r>
          </w:p>
          <w:p w:rsidR="00625866" w:rsidRPr="00625866" w:rsidRDefault="001E1067" w:rsidP="00625866">
            <w:pPr>
              <w:pStyle w:val="ListParagraph"/>
              <w:numPr>
                <w:ilvl w:val="0"/>
                <w:numId w:val="20"/>
              </w:numPr>
              <w:rPr>
                <w:rFonts w:ascii="Garamond" w:hAnsi="Garamond"/>
                <w:lang w:val="en-AU"/>
              </w:rPr>
            </w:pPr>
            <w:r w:rsidRPr="00625866">
              <w:rPr>
                <w:rFonts w:ascii="Garamond" w:hAnsi="Garamond"/>
                <w:lang w:val="en-AU"/>
              </w:rPr>
              <w:t>Transitions-of-care programs are increasing in number, with 34.6% of hospitals now offering d</w:t>
            </w:r>
            <w:r w:rsidR="00625866" w:rsidRPr="00625866">
              <w:rPr>
                <w:rFonts w:ascii="Garamond" w:hAnsi="Garamond"/>
                <w:lang w:val="en-AU"/>
              </w:rPr>
              <w:t>ischarge prescription services.</w:t>
            </w:r>
          </w:p>
          <w:p w:rsidR="00625866" w:rsidRPr="00625866" w:rsidRDefault="001E1067" w:rsidP="00625866">
            <w:pPr>
              <w:pStyle w:val="ListParagraph"/>
              <w:numPr>
                <w:ilvl w:val="0"/>
                <w:numId w:val="20"/>
              </w:numPr>
              <w:rPr>
                <w:rFonts w:ascii="Garamond" w:hAnsi="Garamond"/>
                <w:lang w:val="en-AU"/>
              </w:rPr>
            </w:pPr>
            <w:r w:rsidRPr="00625866">
              <w:rPr>
                <w:rFonts w:ascii="Garamond" w:hAnsi="Garamond"/>
                <w:lang w:val="en-AU"/>
              </w:rPr>
              <w:t>Pharmacists practice in 39.5% of hospital ambulatory or primary care clinics.</w:t>
            </w:r>
          </w:p>
          <w:p w:rsidR="001E1067" w:rsidRPr="00625866" w:rsidRDefault="001E1067" w:rsidP="00625866">
            <w:pPr>
              <w:pStyle w:val="ListParagraph"/>
              <w:numPr>
                <w:ilvl w:val="0"/>
                <w:numId w:val="20"/>
              </w:numPr>
              <w:rPr>
                <w:rFonts w:ascii="Garamond" w:hAnsi="Garamond"/>
                <w:lang w:val="en-AU"/>
              </w:rPr>
            </w:pPr>
            <w:r w:rsidRPr="00625866">
              <w:rPr>
                <w:rFonts w:ascii="Garamond" w:hAnsi="Garamond"/>
                <w:lang w:val="en-AU"/>
              </w:rPr>
              <w:t>The most common service offered by pharmacists to outpatients is anticoagulation management (26.0%). When pharmacists practice in ambulatory care clinics, 64.5% have prescribing authority through collaborative practice agreements.</w:t>
            </w:r>
          </w:p>
        </w:tc>
      </w:tr>
    </w:tbl>
    <w:p w:rsidR="009131EB" w:rsidRDefault="009131EB" w:rsidP="009131EB">
      <w:pPr>
        <w:keepLines/>
        <w:autoSpaceDE w:val="0"/>
        <w:autoSpaceDN w:val="0"/>
        <w:adjustRightInd w:val="0"/>
        <w:rPr>
          <w:rFonts w:ascii="Garamond" w:hAnsi="Garamond"/>
          <w:lang w:val="en-AU"/>
        </w:rPr>
      </w:pPr>
    </w:p>
    <w:p w:rsidR="00F7205C" w:rsidRDefault="00F7205C" w:rsidP="00F7205C">
      <w:pPr>
        <w:keepLines/>
        <w:autoSpaceDE w:val="0"/>
        <w:autoSpaceDN w:val="0"/>
        <w:adjustRightInd w:val="0"/>
        <w:rPr>
          <w:rFonts w:ascii="Garamond" w:hAnsi="Garamond"/>
          <w:lang w:val="en-AU"/>
        </w:rPr>
      </w:pPr>
      <w:r w:rsidRPr="00C3014C">
        <w:rPr>
          <w:rFonts w:ascii="Garamond" w:hAnsi="Garamond"/>
          <w:lang w:val="en-AU"/>
        </w:rPr>
        <w:t>For information on the Commission’s work on</w:t>
      </w:r>
      <w:r>
        <w:rPr>
          <w:rFonts w:ascii="Garamond" w:hAnsi="Garamond"/>
          <w:lang w:val="en-AU"/>
        </w:rPr>
        <w:t xml:space="preserve"> medication safety, see </w:t>
      </w:r>
      <w:hyperlink r:id="rId38" w:history="1">
        <w:r w:rsidRPr="0034426A">
          <w:rPr>
            <w:rStyle w:val="Hyperlink"/>
            <w:rFonts w:ascii="Garamond" w:hAnsi="Garamond"/>
            <w:lang w:val="en-AU"/>
          </w:rPr>
          <w:t>https://www.safetyandquality.gov.au/our-work/medication-safety/</w:t>
        </w:r>
      </w:hyperlink>
    </w:p>
    <w:p w:rsidR="00F7205C" w:rsidRDefault="00F7205C" w:rsidP="009131EB">
      <w:pPr>
        <w:keepLines/>
        <w:autoSpaceDE w:val="0"/>
        <w:autoSpaceDN w:val="0"/>
        <w:adjustRightInd w:val="0"/>
        <w:rPr>
          <w:rFonts w:ascii="Garamond" w:hAnsi="Garamond"/>
          <w:lang w:val="en-AU"/>
        </w:rPr>
      </w:pPr>
    </w:p>
    <w:p w:rsidR="00140775" w:rsidRPr="00C3014C" w:rsidRDefault="00140775" w:rsidP="00140775">
      <w:pPr>
        <w:keepNext/>
        <w:rPr>
          <w:rFonts w:ascii="Garamond" w:hAnsi="Garamond"/>
          <w:lang w:val="en-AU"/>
        </w:rPr>
      </w:pPr>
      <w:r w:rsidRPr="00C3014C">
        <w:rPr>
          <w:rFonts w:ascii="Garamond" w:hAnsi="Garamond"/>
          <w:i/>
          <w:lang w:val="en-AU"/>
        </w:rPr>
        <w:t xml:space="preserve">BMJ Quality and Safety </w:t>
      </w:r>
      <w:r w:rsidRPr="00C3014C">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40775" w:rsidRPr="00C3014C" w:rsidTr="00E1719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40775" w:rsidRPr="00C3014C" w:rsidRDefault="00140775" w:rsidP="00E1719F">
            <w:pPr>
              <w:keepNext/>
              <w:rPr>
                <w:rFonts w:ascii="Garamond" w:hAnsi="Garamond"/>
                <w:lang w:val="en-AU"/>
              </w:rPr>
            </w:pPr>
            <w:r w:rsidRPr="00C3014C">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40775" w:rsidRPr="00C3014C" w:rsidRDefault="00FB47D9" w:rsidP="00E1719F">
            <w:pPr>
              <w:keepNext/>
              <w:rPr>
                <w:rFonts w:ascii="Garamond" w:hAnsi="Garamond"/>
                <w:lang w:val="en-AU"/>
              </w:rPr>
            </w:pPr>
            <w:hyperlink r:id="rId39" w:history="1">
              <w:r w:rsidR="00140775" w:rsidRPr="00C3014C">
                <w:rPr>
                  <w:rStyle w:val="Hyperlink"/>
                  <w:rFonts w:ascii="Garamond" w:hAnsi="Garamond"/>
                  <w:lang w:val="en-AU"/>
                </w:rPr>
                <w:t>https://qualitysafety.bmj.com/content/early/recent</w:t>
              </w:r>
            </w:hyperlink>
          </w:p>
        </w:tc>
      </w:tr>
      <w:tr w:rsidR="00140775" w:rsidRPr="00C3014C" w:rsidTr="00E1719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40775" w:rsidRPr="00C3014C" w:rsidRDefault="00140775" w:rsidP="00E1719F">
            <w:pPr>
              <w:rPr>
                <w:rFonts w:ascii="Garamond" w:hAnsi="Garamond"/>
                <w:lang w:val="en-AU"/>
              </w:rPr>
            </w:pPr>
            <w:r w:rsidRPr="00C3014C">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40775" w:rsidRPr="00C3014C" w:rsidRDefault="00140775" w:rsidP="00E1719F">
            <w:pPr>
              <w:rPr>
                <w:rFonts w:ascii="Garamond" w:hAnsi="Garamond"/>
                <w:lang w:val="en-AU"/>
              </w:rPr>
            </w:pPr>
            <w:r w:rsidRPr="00C3014C">
              <w:rPr>
                <w:rFonts w:ascii="Garamond" w:hAnsi="Garamond"/>
                <w:i/>
                <w:lang w:val="en-AU"/>
              </w:rPr>
              <w:t>BMJ Quality and Safety</w:t>
            </w:r>
            <w:r w:rsidRPr="00C3014C">
              <w:rPr>
                <w:rFonts w:ascii="Garamond" w:hAnsi="Garamond"/>
                <w:lang w:val="en-AU"/>
              </w:rPr>
              <w:t xml:space="preserve"> has published a number of ‘online first’ articles, including:</w:t>
            </w:r>
          </w:p>
          <w:p w:rsidR="00791F82" w:rsidRPr="00791F82" w:rsidRDefault="00791F82" w:rsidP="00791F82">
            <w:pPr>
              <w:pStyle w:val="ListParagraph"/>
              <w:numPr>
                <w:ilvl w:val="0"/>
                <w:numId w:val="14"/>
              </w:numPr>
              <w:rPr>
                <w:rFonts w:ascii="Garamond" w:hAnsi="Garamond"/>
                <w:lang w:val="en-AU"/>
              </w:rPr>
            </w:pPr>
            <w:r w:rsidRPr="00791F82">
              <w:rPr>
                <w:rFonts w:ascii="Garamond" w:hAnsi="Garamond"/>
                <w:lang w:val="en-AU"/>
              </w:rPr>
              <w:t xml:space="preserve">Editorial: </w:t>
            </w:r>
            <w:r w:rsidRPr="00791F82">
              <w:rPr>
                <w:rFonts w:ascii="Garamond" w:hAnsi="Garamond"/>
                <w:b/>
                <w:lang w:val="en-AU"/>
              </w:rPr>
              <w:t>Compassionate care</w:t>
            </w:r>
            <w:r w:rsidRPr="00791F82">
              <w:rPr>
                <w:rFonts w:ascii="Garamond" w:hAnsi="Garamond"/>
                <w:lang w:val="en-AU"/>
              </w:rPr>
              <w:t>: constitution, culture or coping? (Elaine Maxwell</w:t>
            </w:r>
            <w:r>
              <w:rPr>
                <w:rFonts w:ascii="Garamond" w:hAnsi="Garamond"/>
                <w:lang w:val="en-AU"/>
              </w:rPr>
              <w:t>)</w:t>
            </w:r>
          </w:p>
          <w:p w:rsidR="00791F82" w:rsidRPr="00791F82" w:rsidRDefault="00791F82" w:rsidP="00791F82">
            <w:pPr>
              <w:pStyle w:val="ListParagraph"/>
              <w:numPr>
                <w:ilvl w:val="0"/>
                <w:numId w:val="14"/>
              </w:numPr>
              <w:rPr>
                <w:rFonts w:ascii="Garamond" w:hAnsi="Garamond"/>
                <w:lang w:val="en-AU"/>
              </w:rPr>
            </w:pPr>
            <w:r w:rsidRPr="00791F82">
              <w:rPr>
                <w:rFonts w:ascii="Garamond" w:hAnsi="Garamond"/>
                <w:lang w:val="en-AU"/>
              </w:rPr>
              <w:t xml:space="preserve">Editorial: Addressing the </w:t>
            </w:r>
            <w:r w:rsidRPr="00791F82">
              <w:rPr>
                <w:rFonts w:ascii="Garamond" w:hAnsi="Garamond"/>
                <w:b/>
                <w:lang w:val="en-AU"/>
              </w:rPr>
              <w:t>multisectoral impact of pressure injuries</w:t>
            </w:r>
            <w:r w:rsidRPr="00791F82">
              <w:rPr>
                <w:rFonts w:ascii="Garamond" w:hAnsi="Garamond"/>
                <w:lang w:val="en-AU"/>
              </w:rPr>
              <w:t xml:space="preserve"> in the USA, UK and abroad (William V Padula, Peter J Pronovost</w:t>
            </w:r>
            <w:r>
              <w:rPr>
                <w:rFonts w:ascii="Garamond" w:hAnsi="Garamond"/>
                <w:lang w:val="en-AU"/>
              </w:rPr>
              <w:t>)</w:t>
            </w:r>
          </w:p>
          <w:p w:rsidR="00791F82" w:rsidRPr="00791F82" w:rsidRDefault="00791F82" w:rsidP="00791F82">
            <w:pPr>
              <w:pStyle w:val="ListParagraph"/>
              <w:numPr>
                <w:ilvl w:val="0"/>
                <w:numId w:val="14"/>
              </w:numPr>
              <w:rPr>
                <w:rFonts w:ascii="Garamond" w:hAnsi="Garamond"/>
                <w:lang w:val="en-AU"/>
              </w:rPr>
            </w:pPr>
            <w:r w:rsidRPr="00791F82">
              <w:rPr>
                <w:rFonts w:ascii="Garamond" w:hAnsi="Garamond"/>
                <w:lang w:val="en-AU"/>
              </w:rPr>
              <w:t xml:space="preserve">Development of the </w:t>
            </w:r>
            <w:r w:rsidRPr="00791F82">
              <w:rPr>
                <w:rFonts w:ascii="Garamond" w:hAnsi="Garamond"/>
                <w:b/>
                <w:lang w:val="en-AU"/>
              </w:rPr>
              <w:t xml:space="preserve">Huddle Observation Tool </w:t>
            </w:r>
            <w:r w:rsidRPr="00791F82">
              <w:rPr>
                <w:rFonts w:ascii="Garamond" w:hAnsi="Garamond"/>
                <w:lang w:val="en-AU"/>
              </w:rPr>
              <w:t>for</w:t>
            </w:r>
            <w:r w:rsidRPr="00791F82">
              <w:rPr>
                <w:rFonts w:ascii="Garamond" w:hAnsi="Garamond"/>
                <w:b/>
                <w:lang w:val="en-AU"/>
              </w:rPr>
              <w:t xml:space="preserve"> structured case management discussions</w:t>
            </w:r>
            <w:r w:rsidRPr="00791F82">
              <w:rPr>
                <w:rFonts w:ascii="Garamond" w:hAnsi="Garamond"/>
                <w:lang w:val="en-AU"/>
              </w:rPr>
              <w:t xml:space="preserve"> to improve situation awareness on inpatient clinical wards (Julian Edbrooke-Childs, Jacqueline Hayes, Evelyn Sharples, Dawid Gondek, Emily Stapley, Nick Sevdalis, Peter Lachman, J Deighton</w:t>
            </w:r>
            <w:r>
              <w:rPr>
                <w:rFonts w:ascii="Garamond" w:hAnsi="Garamond"/>
                <w:lang w:val="en-AU"/>
              </w:rPr>
              <w:t>)</w:t>
            </w:r>
          </w:p>
          <w:p w:rsidR="00BD18C7" w:rsidRDefault="004B30DD" w:rsidP="004B30DD">
            <w:pPr>
              <w:pStyle w:val="ListParagraph"/>
              <w:numPr>
                <w:ilvl w:val="0"/>
                <w:numId w:val="14"/>
              </w:numPr>
              <w:rPr>
                <w:rFonts w:ascii="Garamond" w:hAnsi="Garamond"/>
                <w:lang w:val="en-AU"/>
              </w:rPr>
            </w:pPr>
            <w:r w:rsidRPr="004B30DD">
              <w:rPr>
                <w:rFonts w:ascii="Garamond" w:hAnsi="Garamond"/>
                <w:b/>
                <w:lang w:val="en-AU"/>
              </w:rPr>
              <w:t>Optimising impact and sustainability</w:t>
            </w:r>
            <w:r w:rsidRPr="004B30DD">
              <w:rPr>
                <w:rFonts w:ascii="Garamond" w:hAnsi="Garamond"/>
                <w:lang w:val="en-AU"/>
              </w:rPr>
              <w:t xml:space="preserve">: a qualitative process evaluation of a complex intervention </w:t>
            </w:r>
            <w:r>
              <w:rPr>
                <w:rFonts w:ascii="Garamond" w:hAnsi="Garamond"/>
                <w:lang w:val="en-AU"/>
              </w:rPr>
              <w:t>targeted at compassionate care (</w:t>
            </w:r>
            <w:r w:rsidRPr="004B30DD">
              <w:rPr>
                <w:rFonts w:ascii="Garamond" w:hAnsi="Garamond"/>
                <w:lang w:val="en-AU"/>
              </w:rPr>
              <w:t>Jackie Bridges, Carl May, Alison Fuller, Peter Griffiths, Wendy Wigley, Lisa Gould, Hannah Barker, Paula Libberton</w:t>
            </w:r>
            <w:r>
              <w:rPr>
                <w:rFonts w:ascii="Garamond" w:hAnsi="Garamond"/>
                <w:lang w:val="en-AU"/>
              </w:rPr>
              <w:t>)</w:t>
            </w:r>
          </w:p>
          <w:p w:rsidR="00CA1EED" w:rsidRPr="00C3014C" w:rsidRDefault="00CA1EED" w:rsidP="00CA1EED">
            <w:pPr>
              <w:pStyle w:val="ListParagraph"/>
              <w:numPr>
                <w:ilvl w:val="0"/>
                <w:numId w:val="14"/>
              </w:numPr>
              <w:rPr>
                <w:rFonts w:ascii="Garamond" w:hAnsi="Garamond"/>
                <w:lang w:val="en-AU"/>
              </w:rPr>
            </w:pPr>
            <w:r w:rsidRPr="00CA1EED">
              <w:rPr>
                <w:rFonts w:ascii="Garamond" w:hAnsi="Garamond"/>
                <w:lang w:val="en-AU"/>
              </w:rPr>
              <w:t xml:space="preserve">An </w:t>
            </w:r>
            <w:r w:rsidRPr="00CA1EED">
              <w:rPr>
                <w:rFonts w:ascii="Garamond" w:hAnsi="Garamond"/>
                <w:b/>
                <w:lang w:val="en-AU"/>
              </w:rPr>
              <w:t>electronic trigger based on care escalation</w:t>
            </w:r>
            <w:r w:rsidRPr="00CA1EED">
              <w:rPr>
                <w:rFonts w:ascii="Garamond" w:hAnsi="Garamond"/>
                <w:lang w:val="en-AU"/>
              </w:rPr>
              <w:t xml:space="preserve"> to identify </w:t>
            </w:r>
            <w:r w:rsidRPr="00CA1EED">
              <w:rPr>
                <w:rFonts w:ascii="Garamond" w:hAnsi="Garamond"/>
                <w:b/>
                <w:lang w:val="en-AU"/>
              </w:rPr>
              <w:t>preventable adverse events</w:t>
            </w:r>
            <w:r w:rsidRPr="00CA1EED">
              <w:rPr>
                <w:rFonts w:ascii="Garamond" w:hAnsi="Garamond"/>
                <w:lang w:val="en-AU"/>
              </w:rPr>
              <w:t xml:space="preserve"> in hospitalised patients </w:t>
            </w:r>
            <w:r>
              <w:rPr>
                <w:rFonts w:ascii="Garamond" w:hAnsi="Garamond"/>
                <w:lang w:val="en-AU"/>
              </w:rPr>
              <w:t>(</w:t>
            </w:r>
            <w:r w:rsidRPr="00CA1EED">
              <w:rPr>
                <w:rFonts w:ascii="Garamond" w:hAnsi="Garamond"/>
                <w:lang w:val="en-AU"/>
              </w:rPr>
              <w:t>Viraj Bhise, Dean F Sittig, Viralkumar Vaghani, Li Wei, Jessica Baldwin, Hardeep Singh</w:t>
            </w:r>
            <w:r>
              <w:rPr>
                <w:rFonts w:ascii="Garamond" w:hAnsi="Garamond"/>
                <w:lang w:val="en-AU"/>
              </w:rPr>
              <w:t>)</w:t>
            </w:r>
          </w:p>
        </w:tc>
      </w:tr>
    </w:tbl>
    <w:p w:rsidR="00177F9F" w:rsidRPr="00C3014C" w:rsidRDefault="00177F9F" w:rsidP="00177F9F">
      <w:pPr>
        <w:keepNext/>
        <w:rPr>
          <w:rFonts w:ascii="Garamond" w:hAnsi="Garamond"/>
          <w:b/>
          <w:lang w:val="en-AU"/>
        </w:rPr>
      </w:pPr>
      <w:r w:rsidRPr="00C3014C">
        <w:rPr>
          <w:rFonts w:ascii="Garamond" w:hAnsi="Garamond"/>
          <w:b/>
          <w:lang w:val="en-AU"/>
        </w:rPr>
        <w:lastRenderedPageBreak/>
        <w:t>Online resources</w:t>
      </w:r>
    </w:p>
    <w:p w:rsidR="00177F9F" w:rsidRDefault="00177F9F" w:rsidP="00625866">
      <w:pPr>
        <w:rPr>
          <w:rFonts w:ascii="Garamond" w:hAnsi="Garamond"/>
          <w:i/>
          <w:lang w:val="en-AU"/>
        </w:rPr>
      </w:pPr>
    </w:p>
    <w:p w:rsidR="001E1067" w:rsidRDefault="001E1067" w:rsidP="00177F9F">
      <w:pPr>
        <w:rPr>
          <w:rFonts w:ascii="Garamond" w:hAnsi="Garamond"/>
          <w:i/>
          <w:lang w:val="en-AU"/>
        </w:rPr>
      </w:pPr>
      <w:r w:rsidRPr="001E1067">
        <w:rPr>
          <w:rFonts w:ascii="Garamond" w:hAnsi="Garamond"/>
          <w:i/>
          <w:lang w:val="en-AU"/>
        </w:rPr>
        <w:t>Promoting the mental health of health services staff</w:t>
      </w:r>
    </w:p>
    <w:p w:rsidR="001E1067" w:rsidRDefault="00FB47D9" w:rsidP="00177F9F">
      <w:pPr>
        <w:rPr>
          <w:rFonts w:ascii="Garamond" w:hAnsi="Garamond"/>
          <w:lang w:val="en-AU"/>
        </w:rPr>
      </w:pPr>
      <w:hyperlink r:id="rId40" w:history="1">
        <w:r w:rsidR="001E1067" w:rsidRPr="002E587A">
          <w:rPr>
            <w:rStyle w:val="Hyperlink"/>
            <w:rFonts w:ascii="Garamond" w:hAnsi="Garamond"/>
            <w:lang w:val="en-AU"/>
          </w:rPr>
          <w:t>https://www.headsup.org.au/healthy-workplaces/information-for-health-services</w:t>
        </w:r>
      </w:hyperlink>
    </w:p>
    <w:p w:rsidR="001E1067" w:rsidRPr="001E1067" w:rsidRDefault="001E1067" w:rsidP="001E1067">
      <w:pPr>
        <w:rPr>
          <w:rFonts w:ascii="Garamond" w:hAnsi="Garamond"/>
          <w:lang w:val="en-AU"/>
        </w:rPr>
      </w:pPr>
      <w:r w:rsidRPr="001E1067">
        <w:rPr>
          <w:rFonts w:ascii="Garamond" w:hAnsi="Garamond"/>
          <w:lang w:val="en-AU"/>
        </w:rPr>
        <w:t xml:space="preserve">Heads Up </w:t>
      </w:r>
      <w:r>
        <w:rPr>
          <w:rFonts w:ascii="Garamond" w:hAnsi="Garamond"/>
          <w:lang w:val="en-AU"/>
        </w:rPr>
        <w:t>has been d</w:t>
      </w:r>
      <w:r w:rsidRPr="001E1067">
        <w:rPr>
          <w:rFonts w:ascii="Garamond" w:hAnsi="Garamond"/>
          <w:lang w:val="en-AU"/>
        </w:rPr>
        <w:t>eveloped by the Mentally Healthy Workplace Alliance and beyondblue</w:t>
      </w:r>
      <w:r>
        <w:rPr>
          <w:rFonts w:ascii="Garamond" w:hAnsi="Garamond"/>
          <w:lang w:val="en-AU"/>
        </w:rPr>
        <w:t xml:space="preserve">. The </w:t>
      </w:r>
    </w:p>
    <w:p w:rsidR="001E1067" w:rsidRPr="001E1067" w:rsidRDefault="001E1067" w:rsidP="001E1067">
      <w:pPr>
        <w:rPr>
          <w:rFonts w:ascii="Garamond" w:hAnsi="Garamond"/>
          <w:lang w:val="en-AU"/>
        </w:rPr>
      </w:pPr>
      <w:r w:rsidRPr="001E1067">
        <w:rPr>
          <w:rFonts w:ascii="Garamond" w:hAnsi="Garamond"/>
          <w:lang w:val="en-AU"/>
        </w:rPr>
        <w:t>website provides a wide range of resources, information and advice for individuals and organisations – all of which are designed to offer simple, practical and, impo</w:t>
      </w:r>
      <w:r>
        <w:rPr>
          <w:rFonts w:ascii="Garamond" w:hAnsi="Garamond"/>
          <w:lang w:val="en-AU"/>
        </w:rPr>
        <w:t xml:space="preserve">rtantly, achievable guidance. </w:t>
      </w:r>
    </w:p>
    <w:p w:rsidR="001E1067" w:rsidRPr="001E1067" w:rsidRDefault="001E1067" w:rsidP="001E1067">
      <w:pPr>
        <w:rPr>
          <w:rFonts w:ascii="Garamond" w:hAnsi="Garamond"/>
          <w:lang w:val="en-AU"/>
        </w:rPr>
      </w:pPr>
      <w:r>
        <w:rPr>
          <w:rFonts w:ascii="Garamond" w:hAnsi="Garamond"/>
          <w:lang w:val="en-AU"/>
        </w:rPr>
        <w:t>This particular page is aimed at p</w:t>
      </w:r>
      <w:r w:rsidRPr="001E1067">
        <w:rPr>
          <w:rFonts w:ascii="Garamond" w:hAnsi="Garamond"/>
          <w:lang w:val="en-AU"/>
        </w:rPr>
        <w:t>romoting the mental health of health services staff</w:t>
      </w:r>
      <w:r>
        <w:rPr>
          <w:rFonts w:ascii="Garamond" w:hAnsi="Garamond"/>
          <w:lang w:val="en-AU"/>
        </w:rPr>
        <w:t xml:space="preserve">, including health professionals. </w:t>
      </w:r>
      <w:r w:rsidRPr="001E1067">
        <w:rPr>
          <w:rFonts w:ascii="Garamond" w:hAnsi="Garamond"/>
          <w:lang w:val="en-AU"/>
        </w:rPr>
        <w:t>Risk factors in the workplace include heavy workloads, long working hours, shift work, bullying, harassment, occupational violence and home-work stress.</w:t>
      </w:r>
    </w:p>
    <w:p w:rsidR="001E1067" w:rsidRPr="001E1067" w:rsidRDefault="001E1067" w:rsidP="001E1067">
      <w:pPr>
        <w:rPr>
          <w:rFonts w:ascii="Garamond" w:hAnsi="Garamond"/>
          <w:lang w:val="en-AU"/>
        </w:rPr>
      </w:pPr>
      <w:r w:rsidRPr="001E1067">
        <w:rPr>
          <w:rFonts w:ascii="Garamond" w:hAnsi="Garamond"/>
          <w:lang w:val="en-AU"/>
        </w:rPr>
        <w:t xml:space="preserve">beyondblue has recently launched a guide to developing a workplace wellbeing strategy in health service settings. </w:t>
      </w:r>
      <w:r>
        <w:rPr>
          <w:rFonts w:ascii="Garamond" w:hAnsi="Garamond"/>
          <w:lang w:val="en-AU"/>
        </w:rPr>
        <w:t>The guide is available from this pa</w:t>
      </w:r>
      <w:r w:rsidR="00625866">
        <w:rPr>
          <w:rFonts w:ascii="Garamond" w:hAnsi="Garamond"/>
          <w:lang w:val="en-AU"/>
        </w:rPr>
        <w:t>g</w:t>
      </w:r>
      <w:r>
        <w:rPr>
          <w:rFonts w:ascii="Garamond" w:hAnsi="Garamond"/>
          <w:lang w:val="en-AU"/>
        </w:rPr>
        <w:t>e.</w:t>
      </w:r>
    </w:p>
    <w:p w:rsidR="001E1067" w:rsidRPr="00C3014C" w:rsidRDefault="001E1067" w:rsidP="00625866">
      <w:pPr>
        <w:rPr>
          <w:rFonts w:ascii="Garamond" w:hAnsi="Garamond"/>
          <w:i/>
          <w:lang w:val="en-AU"/>
        </w:rPr>
      </w:pPr>
    </w:p>
    <w:p w:rsidR="00EE69F9" w:rsidRDefault="00EE69F9" w:rsidP="00177F9F">
      <w:pPr>
        <w:keepNext/>
        <w:keepLines/>
        <w:rPr>
          <w:rFonts w:ascii="Garamond" w:hAnsi="Garamond"/>
          <w:i/>
          <w:lang w:val="en-AU"/>
        </w:rPr>
      </w:pPr>
      <w:r>
        <w:rPr>
          <w:rFonts w:ascii="Garamond" w:hAnsi="Garamond"/>
          <w:i/>
          <w:lang w:val="en-AU"/>
        </w:rPr>
        <w:t xml:space="preserve">[USA] </w:t>
      </w:r>
      <w:r w:rsidR="0016623F" w:rsidRPr="0016623F">
        <w:rPr>
          <w:rFonts w:ascii="Garamond" w:hAnsi="Garamond"/>
          <w:i/>
          <w:lang w:val="en-AU"/>
        </w:rPr>
        <w:t>Health Care Facility Design Safety Risk Assessment Toolkit</w:t>
      </w:r>
    </w:p>
    <w:p w:rsidR="00EE69F9" w:rsidRDefault="00FB47D9" w:rsidP="00177F9F">
      <w:pPr>
        <w:keepNext/>
        <w:keepLines/>
        <w:rPr>
          <w:rFonts w:ascii="Garamond" w:hAnsi="Garamond"/>
          <w:lang w:val="en-AU"/>
        </w:rPr>
      </w:pPr>
      <w:hyperlink r:id="rId41" w:history="1">
        <w:r w:rsidR="0016623F" w:rsidRPr="00770AE3">
          <w:rPr>
            <w:rStyle w:val="Hyperlink"/>
            <w:rFonts w:ascii="Garamond" w:hAnsi="Garamond"/>
            <w:lang w:val="en-AU"/>
          </w:rPr>
          <w:t>https://www.ahrq.gov/professionals/systems/hospital/safetyassess-toolkit/index.html</w:t>
        </w:r>
      </w:hyperlink>
    </w:p>
    <w:p w:rsidR="0016623F" w:rsidRPr="00EE69F9" w:rsidRDefault="0016623F" w:rsidP="00177F9F">
      <w:pPr>
        <w:keepNext/>
        <w:keepLines/>
        <w:rPr>
          <w:rFonts w:ascii="Garamond" w:hAnsi="Garamond"/>
          <w:lang w:val="en-AU"/>
        </w:rPr>
      </w:pPr>
      <w:r>
        <w:rPr>
          <w:rFonts w:ascii="Garamond" w:hAnsi="Garamond"/>
          <w:lang w:val="en-AU"/>
        </w:rPr>
        <w:t xml:space="preserve">The US Agency for Healthcare Research and Quality </w:t>
      </w:r>
      <w:r w:rsidR="0060221A">
        <w:rPr>
          <w:rFonts w:ascii="Garamond" w:hAnsi="Garamond"/>
          <w:lang w:val="en-AU"/>
        </w:rPr>
        <w:t xml:space="preserve">has released this </w:t>
      </w:r>
      <w:r w:rsidR="0060221A" w:rsidRPr="0060221A">
        <w:rPr>
          <w:rFonts w:ascii="Garamond" w:hAnsi="Garamond"/>
          <w:lang w:val="en-AU"/>
        </w:rPr>
        <w:t>safety r</w:t>
      </w:r>
      <w:r w:rsidR="0060221A">
        <w:rPr>
          <w:rFonts w:ascii="Garamond" w:hAnsi="Garamond"/>
          <w:lang w:val="en-AU"/>
        </w:rPr>
        <w:t xml:space="preserve">isk assessment toolkit to help </w:t>
      </w:r>
      <w:r w:rsidR="0060221A" w:rsidRPr="0060221A">
        <w:rPr>
          <w:rFonts w:ascii="Garamond" w:hAnsi="Garamond"/>
          <w:lang w:val="en-AU"/>
        </w:rPr>
        <w:t>designers ensure that new or re</w:t>
      </w:r>
      <w:r w:rsidR="00FE1CCA">
        <w:rPr>
          <w:rFonts w:ascii="Garamond" w:hAnsi="Garamond"/>
          <w:lang w:val="en-AU"/>
        </w:rPr>
        <w:t xml:space="preserve">novated health care facilities adequately </w:t>
      </w:r>
      <w:r w:rsidR="0060221A" w:rsidRPr="0060221A">
        <w:rPr>
          <w:rFonts w:ascii="Garamond" w:hAnsi="Garamond"/>
          <w:lang w:val="en-AU"/>
        </w:rPr>
        <w:t>support workflow, procedures, and capability while keeping patients and staff safe from harm</w:t>
      </w:r>
      <w:r w:rsidR="00FE1CCA">
        <w:rPr>
          <w:rFonts w:ascii="Garamond" w:hAnsi="Garamond"/>
          <w:lang w:val="en-AU"/>
        </w:rPr>
        <w:t>. The toolkit targets six areas:</w:t>
      </w:r>
      <w:r w:rsidR="0060221A" w:rsidRPr="0060221A">
        <w:rPr>
          <w:rFonts w:ascii="Garamond" w:hAnsi="Garamond"/>
          <w:lang w:val="en-AU"/>
        </w:rPr>
        <w:t xml:space="preserve"> infections, falls, medication errors, security, behavio</w:t>
      </w:r>
      <w:r w:rsidR="00FE1CCA">
        <w:rPr>
          <w:rFonts w:ascii="Garamond" w:hAnsi="Garamond"/>
          <w:lang w:val="en-AU"/>
        </w:rPr>
        <w:t>u</w:t>
      </w:r>
      <w:r w:rsidR="0060221A" w:rsidRPr="0060221A">
        <w:rPr>
          <w:rFonts w:ascii="Garamond" w:hAnsi="Garamond"/>
          <w:lang w:val="en-AU"/>
        </w:rPr>
        <w:t>ral health, and patient handling. The toolkit</w:t>
      </w:r>
      <w:r w:rsidR="00FE1CCA">
        <w:rPr>
          <w:rFonts w:ascii="Garamond" w:hAnsi="Garamond"/>
          <w:lang w:val="en-AU"/>
        </w:rPr>
        <w:t xml:space="preserve"> </w:t>
      </w:r>
      <w:r w:rsidR="0060221A" w:rsidRPr="0060221A">
        <w:rPr>
          <w:rFonts w:ascii="Garamond" w:hAnsi="Garamond"/>
          <w:lang w:val="en-AU"/>
        </w:rPr>
        <w:t>also addresses more than 200 potential environmental considerations for the built environment and provides a quality check too</w:t>
      </w:r>
      <w:r w:rsidR="00FE1CCA">
        <w:rPr>
          <w:rFonts w:ascii="Garamond" w:hAnsi="Garamond"/>
          <w:lang w:val="en-AU"/>
        </w:rPr>
        <w:t>l that allows teams to prioritis</w:t>
      </w:r>
      <w:r w:rsidR="0060221A" w:rsidRPr="0060221A">
        <w:rPr>
          <w:rFonts w:ascii="Garamond" w:hAnsi="Garamond"/>
          <w:lang w:val="en-AU"/>
        </w:rPr>
        <w:t>e risks within budget</w:t>
      </w:r>
      <w:r w:rsidR="00FE1CCA">
        <w:rPr>
          <w:rFonts w:ascii="Garamond" w:hAnsi="Garamond"/>
          <w:lang w:val="en-AU"/>
        </w:rPr>
        <w:t>.</w:t>
      </w:r>
    </w:p>
    <w:p w:rsidR="00EE69F9" w:rsidRPr="00EE69F9" w:rsidRDefault="00EE69F9" w:rsidP="00177F9F">
      <w:pPr>
        <w:keepNext/>
        <w:keepLines/>
        <w:rPr>
          <w:rFonts w:ascii="Garamond" w:hAnsi="Garamond"/>
          <w:lang w:val="en-AU"/>
        </w:rPr>
      </w:pPr>
    </w:p>
    <w:p w:rsidR="00177F9F" w:rsidRPr="00C3014C" w:rsidRDefault="00177F9F" w:rsidP="00177F9F">
      <w:pPr>
        <w:keepNext/>
        <w:keepLines/>
        <w:rPr>
          <w:rFonts w:ascii="Garamond" w:hAnsi="Garamond"/>
          <w:i/>
          <w:lang w:val="en-AU"/>
        </w:rPr>
      </w:pPr>
      <w:r w:rsidRPr="00C3014C">
        <w:rPr>
          <w:rFonts w:ascii="Garamond" w:hAnsi="Garamond"/>
          <w:i/>
          <w:lang w:val="en-AU"/>
        </w:rPr>
        <w:t>[UK] NICE Guidelines and Quality Standards</w:t>
      </w:r>
    </w:p>
    <w:p w:rsidR="00177F9F" w:rsidRPr="00C3014C" w:rsidRDefault="00FB47D9" w:rsidP="00177F9F">
      <w:pPr>
        <w:keepNext/>
        <w:keepLines/>
        <w:rPr>
          <w:rFonts w:ascii="Garamond" w:hAnsi="Garamond"/>
          <w:u w:val="single"/>
          <w:lang w:val="en-AU"/>
        </w:rPr>
      </w:pPr>
      <w:hyperlink r:id="rId42" w:history="1">
        <w:r w:rsidR="00177F9F" w:rsidRPr="00C3014C">
          <w:rPr>
            <w:rStyle w:val="Hyperlink"/>
            <w:rFonts w:ascii="Garamond" w:hAnsi="Garamond"/>
            <w:lang w:val="en-AU"/>
          </w:rPr>
          <w:t>https://www.nice.org.uk</w:t>
        </w:r>
      </w:hyperlink>
    </w:p>
    <w:p w:rsidR="00177F9F" w:rsidRPr="00C3014C" w:rsidRDefault="00177F9F" w:rsidP="00177F9F">
      <w:pPr>
        <w:keepNext/>
        <w:keepLines/>
        <w:rPr>
          <w:rFonts w:ascii="Garamond" w:hAnsi="Garamond"/>
          <w:lang w:val="en-AU"/>
        </w:rPr>
      </w:pPr>
      <w:r w:rsidRPr="00C3014C">
        <w:rPr>
          <w:rFonts w:ascii="Garamond" w:hAnsi="Garamond"/>
          <w:lang w:val="en-AU"/>
        </w:rPr>
        <w:t>The UK’s National Institute for Health and Care Excellence (NICE) has published new (or updated) guidelines and quality standards. The latest reviews or updates are:</w:t>
      </w:r>
    </w:p>
    <w:p w:rsidR="00DC1E06" w:rsidRDefault="001E1067" w:rsidP="001E1067">
      <w:pPr>
        <w:pStyle w:val="ListParagraph"/>
        <w:keepNext/>
        <w:keepLines/>
        <w:numPr>
          <w:ilvl w:val="0"/>
          <w:numId w:val="14"/>
        </w:numPr>
        <w:rPr>
          <w:rFonts w:ascii="Garamond" w:hAnsi="Garamond"/>
          <w:lang w:val="en-AU"/>
        </w:rPr>
      </w:pPr>
      <w:r>
        <w:rPr>
          <w:rFonts w:ascii="Garamond" w:hAnsi="Garamond"/>
          <w:lang w:val="en-AU"/>
        </w:rPr>
        <w:t xml:space="preserve">Clinical Guideline CG28 </w:t>
      </w:r>
      <w:r w:rsidRPr="001E1067">
        <w:rPr>
          <w:rFonts w:ascii="Garamond" w:hAnsi="Garamond"/>
          <w:b/>
          <w:i/>
          <w:lang w:val="en-AU"/>
        </w:rPr>
        <w:t>Depression in children and young people</w:t>
      </w:r>
      <w:r w:rsidRPr="001E1067">
        <w:rPr>
          <w:rFonts w:ascii="Garamond" w:hAnsi="Garamond"/>
          <w:i/>
          <w:lang w:val="en-AU"/>
        </w:rPr>
        <w:t>: identification and management</w:t>
      </w:r>
      <w:r>
        <w:rPr>
          <w:rFonts w:ascii="Garamond" w:hAnsi="Garamond"/>
          <w:lang w:val="en-AU"/>
        </w:rPr>
        <w:t xml:space="preserve"> </w:t>
      </w:r>
      <w:hyperlink r:id="rId43" w:history="1">
        <w:r w:rsidRPr="002E587A">
          <w:rPr>
            <w:rStyle w:val="Hyperlink"/>
            <w:rFonts w:ascii="Garamond" w:hAnsi="Garamond"/>
            <w:lang w:val="en-AU"/>
          </w:rPr>
          <w:t>https://www.nice.org.uk/guidance/cg28</w:t>
        </w:r>
      </w:hyperlink>
    </w:p>
    <w:p w:rsidR="001E1067" w:rsidRDefault="001E1067" w:rsidP="001E1067">
      <w:pPr>
        <w:pStyle w:val="ListParagraph"/>
        <w:keepNext/>
        <w:keepLines/>
        <w:numPr>
          <w:ilvl w:val="0"/>
          <w:numId w:val="14"/>
        </w:numPr>
        <w:rPr>
          <w:rFonts w:ascii="Garamond" w:hAnsi="Garamond"/>
          <w:lang w:val="en-AU"/>
        </w:rPr>
      </w:pPr>
      <w:r>
        <w:rPr>
          <w:rFonts w:ascii="Garamond" w:hAnsi="Garamond"/>
          <w:lang w:val="en-AU"/>
        </w:rPr>
        <w:t xml:space="preserve">NICE Guideline NG74 </w:t>
      </w:r>
      <w:r w:rsidRPr="001E1067">
        <w:rPr>
          <w:rFonts w:ascii="Garamond" w:hAnsi="Garamond"/>
          <w:b/>
          <w:i/>
          <w:lang w:val="en-AU"/>
        </w:rPr>
        <w:t>Intermediate care</w:t>
      </w:r>
      <w:r w:rsidRPr="001E1067">
        <w:rPr>
          <w:rFonts w:ascii="Garamond" w:hAnsi="Garamond"/>
          <w:i/>
          <w:lang w:val="en-AU"/>
        </w:rPr>
        <w:t xml:space="preserve"> including reablement</w:t>
      </w:r>
      <w:r>
        <w:rPr>
          <w:rFonts w:ascii="Garamond" w:hAnsi="Garamond"/>
          <w:lang w:val="en-AU"/>
        </w:rPr>
        <w:t xml:space="preserve"> </w:t>
      </w:r>
      <w:hyperlink r:id="rId44" w:history="1">
        <w:r w:rsidRPr="002E587A">
          <w:rPr>
            <w:rStyle w:val="Hyperlink"/>
            <w:rFonts w:ascii="Garamond" w:hAnsi="Garamond"/>
            <w:lang w:val="en-AU"/>
          </w:rPr>
          <w:t>https://www.nice.org.uk/guidance/ng74</w:t>
        </w:r>
      </w:hyperlink>
    </w:p>
    <w:p w:rsidR="007807E6" w:rsidRDefault="007807E6" w:rsidP="00070CFE">
      <w:pPr>
        <w:rPr>
          <w:rFonts w:ascii="Garamond" w:hAnsi="Garamond"/>
          <w:i/>
          <w:lang w:val="en-AU"/>
        </w:rPr>
      </w:pPr>
    </w:p>
    <w:p w:rsidR="0016623F" w:rsidRDefault="0016623F" w:rsidP="001E1067">
      <w:pPr>
        <w:keepNext/>
        <w:keepLines/>
        <w:rPr>
          <w:rFonts w:ascii="Garamond" w:hAnsi="Garamond"/>
          <w:i/>
          <w:lang w:val="en-AU"/>
        </w:rPr>
      </w:pPr>
      <w:r w:rsidRPr="00055FBF">
        <w:rPr>
          <w:rFonts w:ascii="Garamond" w:hAnsi="Garamond"/>
          <w:i/>
          <w:lang w:val="en-AU"/>
        </w:rPr>
        <w:t xml:space="preserve">[UK] </w:t>
      </w:r>
      <w:r w:rsidR="00E417A2">
        <w:rPr>
          <w:rFonts w:ascii="Garamond" w:hAnsi="Garamond"/>
          <w:i/>
          <w:lang w:val="en-AU"/>
        </w:rPr>
        <w:t xml:space="preserve">Childhood </w:t>
      </w:r>
      <w:r w:rsidR="00E417A2" w:rsidRPr="00E417A2">
        <w:rPr>
          <w:rFonts w:ascii="Garamond" w:hAnsi="Garamond"/>
          <w:i/>
          <w:lang w:val="en-AU"/>
        </w:rPr>
        <w:t>eczema</w:t>
      </w:r>
    </w:p>
    <w:bookmarkStart w:id="1" w:name="_GoBack"/>
    <w:p w:rsidR="0016623F" w:rsidRDefault="00FB47D9" w:rsidP="001E1067">
      <w:pPr>
        <w:keepNext/>
        <w:keepLines/>
        <w:rPr>
          <w:rFonts w:ascii="Garamond" w:hAnsi="Garamond"/>
          <w:lang w:val="en-AU"/>
        </w:rPr>
      </w:pPr>
      <w:r>
        <w:fldChar w:fldCharType="begin"/>
      </w:r>
      <w:r>
        <w:instrText xml:space="preserve"> HYPERLINK "http://www.dc.nihr.ac.uk/highlights/Childhood-eczema" </w:instrText>
      </w:r>
      <w:r>
        <w:fldChar w:fldCharType="separate"/>
      </w:r>
      <w:r w:rsidR="0016623F" w:rsidRPr="00770AE3">
        <w:rPr>
          <w:rStyle w:val="Hyperlink"/>
          <w:rFonts w:ascii="Garamond" w:hAnsi="Garamond"/>
          <w:lang w:val="en-AU"/>
        </w:rPr>
        <w:t>http://www.dc.nihr.ac.uk/highlights/Childhood-eczema</w:t>
      </w:r>
      <w:r>
        <w:rPr>
          <w:rStyle w:val="Hyperlink"/>
          <w:rFonts w:ascii="Garamond" w:hAnsi="Garamond"/>
          <w:lang w:val="en-AU"/>
        </w:rPr>
        <w:fldChar w:fldCharType="end"/>
      </w:r>
    </w:p>
    <w:p w:rsidR="0016623F" w:rsidRDefault="0016623F" w:rsidP="0016623F">
      <w:pPr>
        <w:keepLines/>
        <w:rPr>
          <w:rFonts w:ascii="Garamond" w:hAnsi="Garamond"/>
          <w:lang w:val="en-AU"/>
        </w:rPr>
      </w:pPr>
      <w:r>
        <w:rPr>
          <w:rFonts w:ascii="Garamond" w:hAnsi="Garamond"/>
          <w:lang w:val="en-AU"/>
        </w:rPr>
        <w:t xml:space="preserve">The UK’s </w:t>
      </w:r>
      <w:r w:rsidRPr="00B7747F">
        <w:rPr>
          <w:rFonts w:ascii="Garamond" w:hAnsi="Garamond"/>
          <w:lang w:val="en-AU"/>
        </w:rPr>
        <w:t>National Institute for Health Research</w:t>
      </w:r>
      <w:r>
        <w:rPr>
          <w:rFonts w:ascii="Garamond" w:hAnsi="Garamond"/>
          <w:lang w:val="en-AU"/>
        </w:rPr>
        <w:t xml:space="preserve"> (NIHR) has produced this ‘Highlights’ web page drawing together </w:t>
      </w:r>
      <w:r w:rsidRPr="0016623F">
        <w:rPr>
          <w:rFonts w:ascii="Garamond" w:hAnsi="Garamond"/>
          <w:lang w:val="en-AU"/>
        </w:rPr>
        <w:t>studies looking at a range of treatments for childhood eczema</w:t>
      </w:r>
      <w:r>
        <w:rPr>
          <w:rFonts w:ascii="Garamond" w:hAnsi="Garamond"/>
          <w:lang w:val="en-AU"/>
        </w:rPr>
        <w:t xml:space="preserve">. The Highlight also contains perspectives </w:t>
      </w:r>
      <w:r w:rsidRPr="0016623F">
        <w:rPr>
          <w:rFonts w:ascii="Garamond" w:hAnsi="Garamond"/>
          <w:lang w:val="en-AU"/>
        </w:rPr>
        <w:t>from parents and their children who have eczema</w:t>
      </w:r>
      <w:r>
        <w:rPr>
          <w:rFonts w:ascii="Garamond" w:hAnsi="Garamond"/>
          <w:lang w:val="en-AU"/>
        </w:rPr>
        <w:t>.</w:t>
      </w:r>
    </w:p>
    <w:bookmarkEnd w:id="1"/>
    <w:p w:rsidR="0016623F" w:rsidRDefault="0016623F" w:rsidP="00070CFE">
      <w:pPr>
        <w:rPr>
          <w:rFonts w:ascii="Garamond" w:hAnsi="Garamond"/>
          <w:i/>
          <w:lang w:val="en-AU"/>
        </w:rPr>
      </w:pPr>
    </w:p>
    <w:p w:rsidR="0016623F" w:rsidRPr="00C3014C" w:rsidRDefault="0016623F" w:rsidP="00070CFE">
      <w:pPr>
        <w:rPr>
          <w:rFonts w:ascii="Garamond" w:hAnsi="Garamond"/>
          <w:i/>
          <w:lang w:val="en-AU"/>
        </w:rPr>
      </w:pPr>
    </w:p>
    <w:p w:rsidR="00B02F6E" w:rsidRPr="00C3014C" w:rsidRDefault="00B02F6E" w:rsidP="00B02F6E">
      <w:pPr>
        <w:keepNext/>
        <w:pBdr>
          <w:top w:val="single" w:sz="4" w:space="1" w:color="auto"/>
        </w:pBdr>
        <w:rPr>
          <w:rFonts w:ascii="Garamond" w:hAnsi="Garamond"/>
          <w:b/>
          <w:lang w:val="en-AU"/>
        </w:rPr>
      </w:pPr>
      <w:r w:rsidRPr="00C3014C">
        <w:rPr>
          <w:rFonts w:ascii="Garamond" w:hAnsi="Garamond"/>
          <w:b/>
          <w:lang w:val="en-AU"/>
        </w:rPr>
        <w:t>Disclaimer</w:t>
      </w:r>
    </w:p>
    <w:p w:rsidR="00B02F6E" w:rsidRPr="00C3014C" w:rsidRDefault="00B02F6E" w:rsidP="00B17406">
      <w:pPr>
        <w:rPr>
          <w:rFonts w:ascii="Garamond" w:hAnsi="Garamond"/>
          <w:lang w:val="en-AU"/>
        </w:rPr>
      </w:pPr>
      <w:r w:rsidRPr="00C3014C">
        <w:rPr>
          <w:rFonts w:ascii="Garamond" w:hAnsi="Garamond"/>
          <w:i/>
          <w:lang w:val="en-AU"/>
        </w:rPr>
        <w:t>On the Radar</w:t>
      </w:r>
      <w:r w:rsidRPr="00C3014C">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C3014C">
        <w:rPr>
          <w:rFonts w:ascii="Garamond" w:hAnsi="Garamond"/>
          <w:lang w:val="en-AU"/>
        </w:rPr>
        <w:fldChar w:fldCharType="begin"/>
      </w:r>
      <w:r w:rsidRPr="00C3014C">
        <w:rPr>
          <w:rFonts w:ascii="Garamond" w:hAnsi="Garamond"/>
          <w:lang w:val="en-AU"/>
        </w:rPr>
        <w:instrText xml:space="preserve"> ADDIN </w:instrText>
      </w:r>
      <w:r w:rsidRPr="00C3014C">
        <w:rPr>
          <w:rFonts w:ascii="Garamond" w:hAnsi="Garamond"/>
          <w:lang w:val="en-AU"/>
        </w:rPr>
        <w:fldChar w:fldCharType="end"/>
      </w:r>
      <w:r w:rsidRPr="00C3014C">
        <w:rPr>
          <w:rFonts w:ascii="Garamond" w:hAnsi="Garamond"/>
          <w:lang w:val="en-AU"/>
        </w:rPr>
        <w:fldChar w:fldCharType="begin"/>
      </w:r>
      <w:r w:rsidRPr="00C3014C">
        <w:rPr>
          <w:rFonts w:ascii="Garamond" w:hAnsi="Garamond"/>
          <w:lang w:val="en-AU"/>
        </w:rPr>
        <w:instrText xml:space="preserve"> ADDIN </w:instrText>
      </w:r>
      <w:r w:rsidRPr="00C3014C">
        <w:rPr>
          <w:rFonts w:ascii="Garamond" w:hAnsi="Garamond"/>
          <w:lang w:val="en-AU"/>
        </w:rPr>
        <w:fldChar w:fldCharType="end"/>
      </w:r>
    </w:p>
    <w:sectPr w:rsidR="00B02F6E" w:rsidRPr="00C3014C" w:rsidSect="005C5ABC">
      <w:footerReference w:type="even" r:id="rId45"/>
      <w:footerReference w:type="default" r:id="rId4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D6F" w:rsidRDefault="00AC2D6F">
      <w:r>
        <w:separator/>
      </w:r>
    </w:p>
  </w:endnote>
  <w:endnote w:type="continuationSeparator" w:id="0">
    <w:p w:rsidR="00AC2D6F" w:rsidRDefault="00AC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6F" w:rsidRDefault="00AC2D6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B47D9">
      <w:rPr>
        <w:rStyle w:val="PageNumber"/>
        <w:noProof/>
      </w:rPr>
      <w:t>6</w:t>
    </w:r>
    <w:r>
      <w:rPr>
        <w:rStyle w:val="PageNumber"/>
      </w:rPr>
      <w:fldChar w:fldCharType="end"/>
    </w:r>
  </w:p>
  <w:p w:rsidR="00AC2D6F" w:rsidRPr="001E78F0" w:rsidRDefault="00AC2D6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DC1E06">
      <w:rPr>
        <w:rFonts w:ascii="Garamond" w:hAnsi="Garamond"/>
      </w:rPr>
      <w:t xml:space="preserve"> Issue 340</w:t>
    </w:r>
    <w:r w:rsidR="004E00FD">
      <w:rPr>
        <w:rFonts w:ascii="Garamond" w:hAnsi="Garamond"/>
      </w:rPr>
      <w:t>ca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6F" w:rsidRPr="001E78F0" w:rsidRDefault="00AC2D6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FB47D9">
      <w:rPr>
        <w:rStyle w:val="PageNumber"/>
        <w:rFonts w:ascii="Garamond" w:hAnsi="Garamond"/>
        <w:noProof/>
      </w:rPr>
      <w:t>7</w:t>
    </w:r>
    <w:r w:rsidRPr="001E78F0">
      <w:rPr>
        <w:rStyle w:val="PageNumber"/>
        <w:rFonts w:ascii="Garamond" w:hAnsi="Garamond"/>
      </w:rPr>
      <w:fldChar w:fldCharType="end"/>
    </w:r>
  </w:p>
  <w:p w:rsidR="00AC2D6F" w:rsidRPr="001E78F0" w:rsidRDefault="00AC2D6F"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DC1E06">
      <w:rPr>
        <w:rFonts w:ascii="Garamond" w:hAnsi="Garamond"/>
      </w:rPr>
      <w:t xml:space="preserve"> Issue 340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D6F" w:rsidRDefault="00AC2D6F">
      <w:r>
        <w:separator/>
      </w:r>
    </w:p>
  </w:footnote>
  <w:footnote w:type="continuationSeparator" w:id="0">
    <w:p w:rsidR="00AC2D6F" w:rsidRDefault="00AC2D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8E31FE"/>
    <w:multiLevelType w:val="hybridMultilevel"/>
    <w:tmpl w:val="36D4C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1E0785"/>
    <w:multiLevelType w:val="hybridMultilevel"/>
    <w:tmpl w:val="77B85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D5F378A"/>
    <w:multiLevelType w:val="hybridMultilevel"/>
    <w:tmpl w:val="E0D29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F63F5"/>
    <w:multiLevelType w:val="hybridMultilevel"/>
    <w:tmpl w:val="3E464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8EE055C"/>
    <w:multiLevelType w:val="hybridMultilevel"/>
    <w:tmpl w:val="A7D4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6A00075"/>
    <w:multiLevelType w:val="hybridMultilevel"/>
    <w:tmpl w:val="6C58F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DFA69E4"/>
    <w:multiLevelType w:val="hybridMultilevel"/>
    <w:tmpl w:val="4A2C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4"/>
  </w:num>
  <w:num w:numId="15">
    <w:abstractNumId w:val="10"/>
  </w:num>
  <w:num w:numId="16">
    <w:abstractNumId w:val="15"/>
  </w:num>
  <w:num w:numId="17">
    <w:abstractNumId w:val="18"/>
  </w:num>
  <w:num w:numId="18">
    <w:abstractNumId w:val="11"/>
  </w:num>
  <w:num w:numId="19">
    <w:abstractNumId w:val="12"/>
  </w:num>
  <w:num w:numId="2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B10"/>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D99"/>
    <w:rsid w:val="00074F4A"/>
    <w:rsid w:val="00074F8C"/>
    <w:rsid w:val="000753E6"/>
    <w:rsid w:val="00075459"/>
    <w:rsid w:val="0007551F"/>
    <w:rsid w:val="00075569"/>
    <w:rsid w:val="000756A5"/>
    <w:rsid w:val="000757ED"/>
    <w:rsid w:val="00075AAE"/>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74A"/>
    <w:rsid w:val="000B2898"/>
    <w:rsid w:val="000B2CD8"/>
    <w:rsid w:val="000B2E47"/>
    <w:rsid w:val="000B2EE5"/>
    <w:rsid w:val="000B341C"/>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6E9"/>
    <w:rsid w:val="00106783"/>
    <w:rsid w:val="0010694F"/>
    <w:rsid w:val="00106B7A"/>
    <w:rsid w:val="00106D3A"/>
    <w:rsid w:val="00106F5D"/>
    <w:rsid w:val="0010710C"/>
    <w:rsid w:val="0010726F"/>
    <w:rsid w:val="001072F4"/>
    <w:rsid w:val="001075A4"/>
    <w:rsid w:val="001076BB"/>
    <w:rsid w:val="001079E4"/>
    <w:rsid w:val="00107F1B"/>
    <w:rsid w:val="0011022D"/>
    <w:rsid w:val="00110231"/>
    <w:rsid w:val="001102CF"/>
    <w:rsid w:val="001104E1"/>
    <w:rsid w:val="00110625"/>
    <w:rsid w:val="00110843"/>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B03"/>
    <w:rsid w:val="00123C32"/>
    <w:rsid w:val="00123D0F"/>
    <w:rsid w:val="00123E9F"/>
    <w:rsid w:val="00124310"/>
    <w:rsid w:val="00124575"/>
    <w:rsid w:val="001247E3"/>
    <w:rsid w:val="00124ABB"/>
    <w:rsid w:val="00124C10"/>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85E"/>
    <w:rsid w:val="0015796D"/>
    <w:rsid w:val="001579B2"/>
    <w:rsid w:val="00157B30"/>
    <w:rsid w:val="00157C50"/>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7085"/>
    <w:rsid w:val="0017715C"/>
    <w:rsid w:val="00177503"/>
    <w:rsid w:val="00177673"/>
    <w:rsid w:val="001776BD"/>
    <w:rsid w:val="00177708"/>
    <w:rsid w:val="00177AE9"/>
    <w:rsid w:val="00177C5A"/>
    <w:rsid w:val="00177CB3"/>
    <w:rsid w:val="00177DF2"/>
    <w:rsid w:val="00177F9F"/>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98B"/>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067"/>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D5C"/>
    <w:rsid w:val="00236E06"/>
    <w:rsid w:val="002373FA"/>
    <w:rsid w:val="0023774E"/>
    <w:rsid w:val="00237877"/>
    <w:rsid w:val="0023797C"/>
    <w:rsid w:val="00240CFC"/>
    <w:rsid w:val="002410E4"/>
    <w:rsid w:val="002412F2"/>
    <w:rsid w:val="0024161A"/>
    <w:rsid w:val="00241649"/>
    <w:rsid w:val="00241A9E"/>
    <w:rsid w:val="00241AA9"/>
    <w:rsid w:val="00241E34"/>
    <w:rsid w:val="00241F88"/>
    <w:rsid w:val="002426D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AA0"/>
    <w:rsid w:val="00247DEF"/>
    <w:rsid w:val="00250054"/>
    <w:rsid w:val="00250100"/>
    <w:rsid w:val="0025015B"/>
    <w:rsid w:val="0025022E"/>
    <w:rsid w:val="002502B2"/>
    <w:rsid w:val="002502E6"/>
    <w:rsid w:val="00250510"/>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733"/>
    <w:rsid w:val="00271D2F"/>
    <w:rsid w:val="00271F7A"/>
    <w:rsid w:val="0027225A"/>
    <w:rsid w:val="00272420"/>
    <w:rsid w:val="002724D2"/>
    <w:rsid w:val="002727FF"/>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1AA6"/>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798"/>
    <w:rsid w:val="0028783C"/>
    <w:rsid w:val="002903E1"/>
    <w:rsid w:val="0029055E"/>
    <w:rsid w:val="00290B35"/>
    <w:rsid w:val="00290E63"/>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B3B"/>
    <w:rsid w:val="002A2C13"/>
    <w:rsid w:val="002A2DCA"/>
    <w:rsid w:val="002A31D5"/>
    <w:rsid w:val="002A32F1"/>
    <w:rsid w:val="002A33B2"/>
    <w:rsid w:val="002A3524"/>
    <w:rsid w:val="002A3672"/>
    <w:rsid w:val="002A3907"/>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A48"/>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0FE"/>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D00"/>
    <w:rsid w:val="00312194"/>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A80"/>
    <w:rsid w:val="00352A9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011"/>
    <w:rsid w:val="00373E6A"/>
    <w:rsid w:val="0037417B"/>
    <w:rsid w:val="003741A2"/>
    <w:rsid w:val="003746F0"/>
    <w:rsid w:val="00374F6A"/>
    <w:rsid w:val="003751D8"/>
    <w:rsid w:val="00375648"/>
    <w:rsid w:val="00375B45"/>
    <w:rsid w:val="00375BDD"/>
    <w:rsid w:val="00375D02"/>
    <w:rsid w:val="00375F58"/>
    <w:rsid w:val="003768B2"/>
    <w:rsid w:val="00376AFE"/>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0CED"/>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73F"/>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30015"/>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19F"/>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99E"/>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1D3"/>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1166"/>
    <w:rsid w:val="0049138E"/>
    <w:rsid w:val="00491450"/>
    <w:rsid w:val="0049149F"/>
    <w:rsid w:val="00491913"/>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0FFB"/>
    <w:rsid w:val="004A14D3"/>
    <w:rsid w:val="004A1534"/>
    <w:rsid w:val="004A16CF"/>
    <w:rsid w:val="004A1889"/>
    <w:rsid w:val="004A1C2F"/>
    <w:rsid w:val="004A1CF9"/>
    <w:rsid w:val="004A2069"/>
    <w:rsid w:val="004A2179"/>
    <w:rsid w:val="004A23F0"/>
    <w:rsid w:val="004A26E2"/>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617"/>
    <w:rsid w:val="004F283D"/>
    <w:rsid w:val="004F2CD0"/>
    <w:rsid w:val="004F2D39"/>
    <w:rsid w:val="004F2EC0"/>
    <w:rsid w:val="004F3042"/>
    <w:rsid w:val="004F3550"/>
    <w:rsid w:val="004F35E5"/>
    <w:rsid w:val="004F3886"/>
    <w:rsid w:val="004F3C8A"/>
    <w:rsid w:val="004F3F9A"/>
    <w:rsid w:val="004F47AC"/>
    <w:rsid w:val="004F4BFC"/>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283"/>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6E"/>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F1"/>
    <w:rsid w:val="00542E10"/>
    <w:rsid w:val="0054320F"/>
    <w:rsid w:val="00543263"/>
    <w:rsid w:val="00543820"/>
    <w:rsid w:val="00543C21"/>
    <w:rsid w:val="00543EF2"/>
    <w:rsid w:val="00543F90"/>
    <w:rsid w:val="0054401E"/>
    <w:rsid w:val="005440E7"/>
    <w:rsid w:val="0054411F"/>
    <w:rsid w:val="00544122"/>
    <w:rsid w:val="005444E3"/>
    <w:rsid w:val="00544517"/>
    <w:rsid w:val="0054466C"/>
    <w:rsid w:val="00544823"/>
    <w:rsid w:val="0054485D"/>
    <w:rsid w:val="0054489B"/>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7DF"/>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631"/>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A5"/>
    <w:rsid w:val="005B6BF1"/>
    <w:rsid w:val="005B6C0C"/>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21A"/>
    <w:rsid w:val="0060257E"/>
    <w:rsid w:val="00602A61"/>
    <w:rsid w:val="00602D0F"/>
    <w:rsid w:val="00602FBB"/>
    <w:rsid w:val="0060314C"/>
    <w:rsid w:val="006031AC"/>
    <w:rsid w:val="00603349"/>
    <w:rsid w:val="00603501"/>
    <w:rsid w:val="0060362A"/>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B3"/>
    <w:rsid w:val="006150E9"/>
    <w:rsid w:val="00615CB5"/>
    <w:rsid w:val="0061618B"/>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866"/>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4EB4"/>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682"/>
    <w:rsid w:val="0068687C"/>
    <w:rsid w:val="0068699E"/>
    <w:rsid w:val="006869CE"/>
    <w:rsid w:val="00686AB2"/>
    <w:rsid w:val="00686B8D"/>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4EE9"/>
    <w:rsid w:val="006E508F"/>
    <w:rsid w:val="006E51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CAE"/>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15"/>
    <w:rsid w:val="00723822"/>
    <w:rsid w:val="007238E7"/>
    <w:rsid w:val="00723B94"/>
    <w:rsid w:val="00723C0A"/>
    <w:rsid w:val="00723EE0"/>
    <w:rsid w:val="00723F62"/>
    <w:rsid w:val="00724065"/>
    <w:rsid w:val="0072447F"/>
    <w:rsid w:val="007249C5"/>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E17"/>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9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F4C"/>
    <w:rsid w:val="00781131"/>
    <w:rsid w:val="00781552"/>
    <w:rsid w:val="00781835"/>
    <w:rsid w:val="007818D7"/>
    <w:rsid w:val="00781D73"/>
    <w:rsid w:val="00781FA0"/>
    <w:rsid w:val="0078246C"/>
    <w:rsid w:val="0078297A"/>
    <w:rsid w:val="00782F25"/>
    <w:rsid w:val="00783209"/>
    <w:rsid w:val="00783218"/>
    <w:rsid w:val="0078326B"/>
    <w:rsid w:val="00783699"/>
    <w:rsid w:val="00783D0A"/>
    <w:rsid w:val="0078415C"/>
    <w:rsid w:val="007843BF"/>
    <w:rsid w:val="0078473C"/>
    <w:rsid w:val="0078475C"/>
    <w:rsid w:val="007848DF"/>
    <w:rsid w:val="00784B3A"/>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3F3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1D7"/>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CA2"/>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F5"/>
    <w:rsid w:val="008414A2"/>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88B"/>
    <w:rsid w:val="00862A07"/>
    <w:rsid w:val="00862A4B"/>
    <w:rsid w:val="0086308B"/>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274"/>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CF2"/>
    <w:rsid w:val="008C2E53"/>
    <w:rsid w:val="008C30C6"/>
    <w:rsid w:val="008C335B"/>
    <w:rsid w:val="008C35B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01"/>
    <w:rsid w:val="008D0216"/>
    <w:rsid w:val="008D074D"/>
    <w:rsid w:val="008D0825"/>
    <w:rsid w:val="008D0A70"/>
    <w:rsid w:val="008D0E30"/>
    <w:rsid w:val="008D0E9E"/>
    <w:rsid w:val="008D1056"/>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43C"/>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4F75"/>
    <w:rsid w:val="008F5014"/>
    <w:rsid w:val="008F5054"/>
    <w:rsid w:val="008F5176"/>
    <w:rsid w:val="008F535D"/>
    <w:rsid w:val="008F58DC"/>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E18"/>
    <w:rsid w:val="00906E5F"/>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1EB"/>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7BE"/>
    <w:rsid w:val="009167FE"/>
    <w:rsid w:val="00916812"/>
    <w:rsid w:val="0091691E"/>
    <w:rsid w:val="00916AA3"/>
    <w:rsid w:val="00917042"/>
    <w:rsid w:val="00917159"/>
    <w:rsid w:val="009172A4"/>
    <w:rsid w:val="00917572"/>
    <w:rsid w:val="00917D32"/>
    <w:rsid w:val="00920169"/>
    <w:rsid w:val="0092070C"/>
    <w:rsid w:val="009207D6"/>
    <w:rsid w:val="00920892"/>
    <w:rsid w:val="00921303"/>
    <w:rsid w:val="00921375"/>
    <w:rsid w:val="00921662"/>
    <w:rsid w:val="00921740"/>
    <w:rsid w:val="00921EB3"/>
    <w:rsid w:val="00921F29"/>
    <w:rsid w:val="009223F3"/>
    <w:rsid w:val="00922407"/>
    <w:rsid w:val="009228DA"/>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67E"/>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458"/>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694"/>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7FD"/>
    <w:rsid w:val="00A02AA4"/>
    <w:rsid w:val="00A02B5A"/>
    <w:rsid w:val="00A02BDF"/>
    <w:rsid w:val="00A02DA2"/>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99B"/>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2D"/>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24E"/>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A47"/>
    <w:rsid w:val="00AA6BE8"/>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0BA0"/>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B4"/>
    <w:rsid w:val="00B2532F"/>
    <w:rsid w:val="00B25663"/>
    <w:rsid w:val="00B259A6"/>
    <w:rsid w:val="00B259DB"/>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2D"/>
    <w:rsid w:val="00B36A5F"/>
    <w:rsid w:val="00B36BEC"/>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D0D"/>
    <w:rsid w:val="00BD0F1C"/>
    <w:rsid w:val="00BD1041"/>
    <w:rsid w:val="00BD1484"/>
    <w:rsid w:val="00BD1532"/>
    <w:rsid w:val="00BD1680"/>
    <w:rsid w:val="00BD17D6"/>
    <w:rsid w:val="00BD18C7"/>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C12"/>
    <w:rsid w:val="00C50E5C"/>
    <w:rsid w:val="00C50EF3"/>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919"/>
    <w:rsid w:val="00C57998"/>
    <w:rsid w:val="00C579A5"/>
    <w:rsid w:val="00C579BD"/>
    <w:rsid w:val="00C57D38"/>
    <w:rsid w:val="00C57DFB"/>
    <w:rsid w:val="00C6059C"/>
    <w:rsid w:val="00C60675"/>
    <w:rsid w:val="00C60699"/>
    <w:rsid w:val="00C6085D"/>
    <w:rsid w:val="00C6091D"/>
    <w:rsid w:val="00C60989"/>
    <w:rsid w:val="00C60AF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4BA"/>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29"/>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4F8"/>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6EA7"/>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D60"/>
    <w:rsid w:val="00CD3E1A"/>
    <w:rsid w:val="00CD497A"/>
    <w:rsid w:val="00CD4B92"/>
    <w:rsid w:val="00CD4D70"/>
    <w:rsid w:val="00CD5120"/>
    <w:rsid w:val="00CD54E7"/>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5CE"/>
    <w:rsid w:val="00CE67A5"/>
    <w:rsid w:val="00CE6AC2"/>
    <w:rsid w:val="00CE6D52"/>
    <w:rsid w:val="00CE6FC8"/>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D94"/>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22CF"/>
    <w:rsid w:val="00D126AA"/>
    <w:rsid w:val="00D12943"/>
    <w:rsid w:val="00D1296D"/>
    <w:rsid w:val="00D12987"/>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E41"/>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E23"/>
    <w:rsid w:val="00D80EC3"/>
    <w:rsid w:val="00D810CF"/>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61E"/>
    <w:rsid w:val="00D917F0"/>
    <w:rsid w:val="00D91B21"/>
    <w:rsid w:val="00D91D01"/>
    <w:rsid w:val="00D92152"/>
    <w:rsid w:val="00D92B5A"/>
    <w:rsid w:val="00D92FA6"/>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E57"/>
    <w:rsid w:val="00DA206B"/>
    <w:rsid w:val="00DA22AF"/>
    <w:rsid w:val="00DA2466"/>
    <w:rsid w:val="00DA25E8"/>
    <w:rsid w:val="00DA2C75"/>
    <w:rsid w:val="00DA2D05"/>
    <w:rsid w:val="00DA2E89"/>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1F3"/>
    <w:rsid w:val="00DD430B"/>
    <w:rsid w:val="00DD4609"/>
    <w:rsid w:val="00DD4DDE"/>
    <w:rsid w:val="00DD56BF"/>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2"/>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32C"/>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4CA"/>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74"/>
    <w:rsid w:val="00EC282A"/>
    <w:rsid w:val="00EC28A9"/>
    <w:rsid w:val="00EC2C4E"/>
    <w:rsid w:val="00EC3106"/>
    <w:rsid w:val="00EC354D"/>
    <w:rsid w:val="00EC3BD3"/>
    <w:rsid w:val="00EC3F53"/>
    <w:rsid w:val="00EC48B8"/>
    <w:rsid w:val="00EC4A94"/>
    <w:rsid w:val="00EC4F1C"/>
    <w:rsid w:val="00EC50FD"/>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1B6C"/>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63F"/>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C74"/>
    <w:rsid w:val="00F71CA8"/>
    <w:rsid w:val="00F7205C"/>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D01"/>
    <w:rsid w:val="00F84E05"/>
    <w:rsid w:val="00F85072"/>
    <w:rsid w:val="00F85360"/>
    <w:rsid w:val="00F8566A"/>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F38"/>
    <w:rsid w:val="00FB3F51"/>
    <w:rsid w:val="00FB4280"/>
    <w:rsid w:val="00FB43F8"/>
    <w:rsid w:val="00FB44CD"/>
    <w:rsid w:val="00FB47D9"/>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9C2"/>
    <w:rsid w:val="00FE2B09"/>
    <w:rsid w:val="00FE2C0F"/>
    <w:rsid w:val="00FE2D27"/>
    <w:rsid w:val="00FE2D2F"/>
    <w:rsid w:val="00FE30E0"/>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5171/ijhpm.2017.115" TargetMode="External"/><Relationship Id="rId26" Type="http://schemas.openxmlformats.org/officeDocument/2006/relationships/hyperlink" Target="http://dx.doi.org/10.5694/mja17.00362" TargetMode="External"/><Relationship Id="rId39" Type="http://schemas.openxmlformats.org/officeDocument/2006/relationships/hyperlink" Target="https://qualitysafety.bmj.com/content/early/recent" TargetMode="External"/><Relationship Id="rId3" Type="http://schemas.openxmlformats.org/officeDocument/2006/relationships/styles" Target="styles.xml"/><Relationship Id="rId21" Type="http://schemas.openxmlformats.org/officeDocument/2006/relationships/hyperlink" Target="https://nam.edu/effective-care-for-high-need-patients/" TargetMode="External"/><Relationship Id="rId34" Type="http://schemas.openxmlformats.org/officeDocument/2006/relationships/hyperlink" Target="http://dx.doi.org/10.1136/bmjqs-2017-006975" TargetMode="External"/><Relationship Id="rId42" Type="http://schemas.openxmlformats.org/officeDocument/2006/relationships/hyperlink" Target="https://www.nice.org.uk"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ijhpm.com/article_3419.html" TargetMode="External"/><Relationship Id="rId25" Type="http://schemas.openxmlformats.org/officeDocument/2006/relationships/hyperlink" Target="http://dx.doi.org/10.5694/mja16.01362" TargetMode="External"/><Relationship Id="rId33" Type="http://schemas.openxmlformats.org/officeDocument/2006/relationships/hyperlink" Target="https://doi.org/10.1016/j.jcjq.2017.05.010" TargetMode="External"/><Relationship Id="rId38" Type="http://schemas.openxmlformats.org/officeDocument/2006/relationships/hyperlink" Target="https://www.safetyandquality.gov.au/our-work/medication-safety/"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370/afm.2123" TargetMode="External"/><Relationship Id="rId20" Type="http://schemas.openxmlformats.org/officeDocument/2006/relationships/hyperlink" Target="http://dx.doi.org/10.1001/jama.2017.10801" TargetMode="External"/><Relationship Id="rId29" Type="http://schemas.openxmlformats.org/officeDocument/2006/relationships/hyperlink" Target="http://safetyandquality.gov.au/atlas" TargetMode="External"/><Relationship Id="rId41" Type="http://schemas.openxmlformats.org/officeDocument/2006/relationships/hyperlink" Target="https://www.ahrq.gov/professionals/systems/hospital/safetyassess-toolkit/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newsatjama.jama.com/2017/08/24/jama-forum-public-reporting-of-surgical-outcomes-surgeons-hospitals-or-both/" TargetMode="External"/><Relationship Id="rId32" Type="http://schemas.openxmlformats.org/officeDocument/2006/relationships/hyperlink" Target="http://dx.doi.org/10.1097/PTS.0000000000000402" TargetMode="External"/><Relationship Id="rId37" Type="http://schemas.openxmlformats.org/officeDocument/2006/relationships/hyperlink" Target="http://dx.doi.org/10.2146/ajhp170228" TargetMode="External"/><Relationship Id="rId40" Type="http://schemas.openxmlformats.org/officeDocument/2006/relationships/hyperlink" Target="https://www.headsup.org.au/healthy-workplaces/information-for-health-services"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5694/mja16.01402" TargetMode="External"/><Relationship Id="rId28" Type="http://schemas.openxmlformats.org/officeDocument/2006/relationships/hyperlink" Target="http://dx.doi.org/10.5694/mja17.00057" TargetMode="External"/><Relationship Id="rId36" Type="http://schemas.openxmlformats.org/officeDocument/2006/relationships/hyperlink" Target="https://doi.org/10.1177/1049732317723889"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dx.doi.org/10.1111/jgs.15076" TargetMode="External"/><Relationship Id="rId31" Type="http://schemas.openxmlformats.org/officeDocument/2006/relationships/hyperlink" Target="https://www.safetyandquality.gov.au/our-work/safety-in-e-health/" TargetMode="External"/><Relationship Id="rId44" Type="http://schemas.openxmlformats.org/officeDocument/2006/relationships/hyperlink" Target="https://www.nice.org.uk/guidance/ng74"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www.safetyandquality.gov.au/our-work/patient-and-consumer-centred-care/" TargetMode="External"/><Relationship Id="rId27" Type="http://schemas.openxmlformats.org/officeDocument/2006/relationships/hyperlink" Target="http://safetyandquality.gov.au/atlas" TargetMode="External"/><Relationship Id="rId30" Type="http://schemas.openxmlformats.org/officeDocument/2006/relationships/hyperlink" Target="http://dx.doi.org/10.1016/j.jcjq.2017.06.005" TargetMode="External"/><Relationship Id="rId35" Type="http://schemas.openxmlformats.org/officeDocument/2006/relationships/hyperlink" Target="http://dx.doi.org/10.1111/jan.13260" TargetMode="External"/><Relationship Id="rId43" Type="http://schemas.openxmlformats.org/officeDocument/2006/relationships/hyperlink" Target="https://www.nice.org.uk/guidance/cg28"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A1B41-941C-4D3A-800D-C6BF23882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3272</Words>
  <Characters>20616</Characters>
  <Application>Microsoft Office Word</Application>
  <DocSecurity>0</DocSecurity>
  <Lines>412</Lines>
  <Paragraphs>213</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23675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3</cp:revision>
  <cp:lastPrinted>2017-05-19T05:23:00Z</cp:lastPrinted>
  <dcterms:created xsi:type="dcterms:W3CDTF">2017-09-22T05:37:00Z</dcterms:created>
  <dcterms:modified xsi:type="dcterms:W3CDTF">2017-09-22T06:20:00Z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