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C3014C" w:rsidRDefault="00824B99" w:rsidP="00597B4F">
      <w:pPr>
        <w:pStyle w:val="Heading1"/>
        <w:ind w:left="1440" w:hanging="1440"/>
        <w:jc w:val="both"/>
        <w:rPr>
          <w:rFonts w:ascii="Bookman Old Style" w:hAnsi="Bookman Old Style"/>
          <w:sz w:val="48"/>
          <w:szCs w:val="48"/>
          <w:lang w:val="en-AU"/>
        </w:rPr>
      </w:pPr>
      <w:bookmarkStart w:id="0" w:name="_GoBack"/>
      <w:bookmarkEnd w:id="0"/>
      <w:r w:rsidRPr="00C3014C">
        <w:rPr>
          <w:rFonts w:ascii="Bookman Old Style" w:hAnsi="Bookman Old Style"/>
          <w:noProof/>
          <w:sz w:val="48"/>
          <w:szCs w:val="48"/>
          <w:lang w:val="en-AU" w:eastAsia="en-AU"/>
        </w:rPr>
        <w:drawing>
          <wp:anchor distT="0" distB="0" distL="114300" distR="114300" simplePos="0" relativeHeight="251659264" behindDoc="1" locked="0" layoutInCell="1" allowOverlap="1" wp14:anchorId="5BCBCBA4" wp14:editId="34502959">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C3014C">
        <w:rPr>
          <w:rFonts w:ascii="Bookman Old Style" w:hAnsi="Bookman Old Style"/>
          <w:sz w:val="48"/>
          <w:szCs w:val="48"/>
          <w:lang w:val="en-AU"/>
        </w:rPr>
        <w:t>On the Radar</w:t>
      </w:r>
    </w:p>
    <w:p w:rsidR="00B160EF" w:rsidRPr="00C3014C" w:rsidRDefault="00715F47" w:rsidP="00B160EF">
      <w:pPr>
        <w:rPr>
          <w:rFonts w:ascii="Garamond" w:hAnsi="Garamond"/>
          <w:color w:val="000000"/>
          <w:lang w:val="en-AU"/>
        </w:rPr>
      </w:pPr>
      <w:r w:rsidRPr="00C3014C">
        <w:rPr>
          <w:rFonts w:ascii="Garamond" w:hAnsi="Garamond"/>
          <w:color w:val="000000"/>
          <w:lang w:val="en-AU"/>
        </w:rPr>
        <w:t xml:space="preserve">Issue </w:t>
      </w:r>
      <w:r w:rsidR="00252A38" w:rsidRPr="00C3014C">
        <w:rPr>
          <w:rFonts w:ascii="Garamond" w:hAnsi="Garamond"/>
          <w:color w:val="000000"/>
          <w:lang w:val="en-AU"/>
        </w:rPr>
        <w:t>3</w:t>
      </w:r>
      <w:r w:rsidR="00915CB2">
        <w:rPr>
          <w:rFonts w:ascii="Garamond" w:hAnsi="Garamond"/>
          <w:color w:val="000000"/>
          <w:lang w:val="en-AU"/>
        </w:rPr>
        <w:t>43</w:t>
      </w:r>
    </w:p>
    <w:p w:rsidR="00755242" w:rsidRPr="00C3014C" w:rsidRDefault="00915CB2" w:rsidP="00B160EF">
      <w:pPr>
        <w:rPr>
          <w:rFonts w:ascii="Garamond" w:hAnsi="Garamond"/>
          <w:lang w:val="en-AU"/>
        </w:rPr>
      </w:pPr>
      <w:r>
        <w:rPr>
          <w:rFonts w:ascii="Garamond" w:hAnsi="Garamond"/>
          <w:lang w:val="en-AU"/>
        </w:rPr>
        <w:t>16</w:t>
      </w:r>
      <w:r w:rsidR="00DE3942">
        <w:rPr>
          <w:rFonts w:ascii="Garamond" w:hAnsi="Garamond"/>
          <w:lang w:val="en-AU"/>
        </w:rPr>
        <w:t xml:space="preserve"> October </w:t>
      </w:r>
      <w:r w:rsidR="00F74A58" w:rsidRPr="00C3014C">
        <w:rPr>
          <w:rFonts w:ascii="Garamond" w:hAnsi="Garamond"/>
          <w:lang w:val="en-AU"/>
        </w:rPr>
        <w:t>2017</w:t>
      </w:r>
    </w:p>
    <w:p w:rsidR="00566895" w:rsidRPr="00C3014C" w:rsidRDefault="00566895" w:rsidP="00B160EF">
      <w:pPr>
        <w:rPr>
          <w:rFonts w:ascii="Garamond" w:hAnsi="Garamond"/>
          <w:lang w:val="en-AU"/>
        </w:rPr>
      </w:pPr>
    </w:p>
    <w:p w:rsidR="00B160EF" w:rsidRPr="00C3014C" w:rsidRDefault="00B160EF" w:rsidP="00B160EF">
      <w:pPr>
        <w:rPr>
          <w:rFonts w:ascii="Garamond" w:hAnsi="Garamond"/>
          <w:b/>
          <w:lang w:val="en-AU"/>
        </w:rPr>
      </w:pPr>
      <w:r w:rsidRPr="00C3014C">
        <w:rPr>
          <w:rFonts w:ascii="Garamond" w:hAnsi="Garamond"/>
          <w:i/>
          <w:lang w:val="en-AU"/>
        </w:rPr>
        <w:t>On the Radar</w:t>
      </w:r>
      <w:r w:rsidRPr="00C3014C">
        <w:rPr>
          <w:rFonts w:ascii="Garamond" w:hAnsi="Garamond"/>
          <w:lang w:val="en-AU"/>
        </w:rPr>
        <w:t xml:space="preserve"> is a summary of some of the recent publications in </w:t>
      </w:r>
      <w:r w:rsidR="000025DB" w:rsidRPr="00C3014C">
        <w:rPr>
          <w:rFonts w:ascii="Garamond" w:hAnsi="Garamond"/>
          <w:lang w:val="en-AU"/>
        </w:rPr>
        <w:t>the</w:t>
      </w:r>
      <w:r w:rsidRPr="00C3014C">
        <w:rPr>
          <w:rFonts w:ascii="Garamond" w:hAnsi="Garamond"/>
          <w:lang w:val="en-AU"/>
        </w:rPr>
        <w:t xml:space="preserve"> areas of safety and quality in health care. Inclusion in this document is not an endorsement or recommendation of any publication or provider.</w:t>
      </w:r>
      <w:r w:rsidR="00594E21" w:rsidRPr="00C3014C">
        <w:rPr>
          <w:rFonts w:ascii="Garamond" w:hAnsi="Garamond"/>
          <w:lang w:val="en-AU"/>
        </w:rPr>
        <w:t xml:space="preserve"> </w:t>
      </w:r>
      <w:r w:rsidRPr="00C3014C">
        <w:rPr>
          <w:rFonts w:ascii="Garamond" w:hAnsi="Garamond"/>
          <w:lang w:val="en-AU"/>
        </w:rPr>
        <w:t>Access to particular documents may depend on whether they are Open Access or not, and/or your individual or institutional access to subscription sites/services.</w:t>
      </w:r>
      <w:r w:rsidR="00F460A7" w:rsidRPr="00C3014C">
        <w:rPr>
          <w:rFonts w:ascii="Garamond" w:hAnsi="Garamond"/>
          <w:lang w:val="en-AU"/>
        </w:rPr>
        <w:t xml:space="preserve"> Material that may require subscription is included as it is considered relevant.</w:t>
      </w:r>
    </w:p>
    <w:p w:rsidR="00B160EF" w:rsidRPr="00C3014C" w:rsidRDefault="00B160EF" w:rsidP="00B160EF">
      <w:pPr>
        <w:rPr>
          <w:rFonts w:ascii="Garamond" w:hAnsi="Garamond"/>
          <w:lang w:val="en-AU"/>
        </w:rPr>
      </w:pPr>
    </w:p>
    <w:p w:rsidR="00230D83" w:rsidRPr="00C3014C" w:rsidRDefault="00B160EF" w:rsidP="0045757F">
      <w:pPr>
        <w:autoSpaceDE w:val="0"/>
        <w:rPr>
          <w:rFonts w:ascii="Garamond" w:hAnsi="Garamond"/>
          <w:lang w:val="en-AU"/>
        </w:rPr>
      </w:pPr>
      <w:r w:rsidRPr="00C3014C">
        <w:rPr>
          <w:rFonts w:ascii="Garamond" w:hAnsi="Garamond"/>
          <w:i/>
          <w:lang w:val="en-AU"/>
        </w:rPr>
        <w:t>On the Radar</w:t>
      </w:r>
      <w:r w:rsidRPr="00C3014C">
        <w:rPr>
          <w:rFonts w:ascii="Garamond" w:hAnsi="Garamond"/>
          <w:lang w:val="en-AU"/>
        </w:rPr>
        <w:t xml:space="preserve"> is available </w:t>
      </w:r>
      <w:r w:rsidR="003D1E7A" w:rsidRPr="00C3014C">
        <w:rPr>
          <w:rFonts w:ascii="Garamond" w:hAnsi="Garamond"/>
          <w:lang w:val="en-AU"/>
        </w:rPr>
        <w:t xml:space="preserve">online, </w:t>
      </w:r>
      <w:r w:rsidRPr="00C3014C">
        <w:rPr>
          <w:rFonts w:ascii="Garamond" w:hAnsi="Garamond"/>
          <w:lang w:val="en-AU"/>
        </w:rPr>
        <w:t xml:space="preserve">via email or as a PDF </w:t>
      </w:r>
      <w:r w:rsidR="006F34BB" w:rsidRPr="00C3014C">
        <w:rPr>
          <w:rFonts w:ascii="Garamond" w:hAnsi="Garamond"/>
          <w:lang w:val="en-AU"/>
        </w:rPr>
        <w:t xml:space="preserve">or Word </w:t>
      </w:r>
      <w:r w:rsidRPr="00C3014C">
        <w:rPr>
          <w:rFonts w:ascii="Garamond" w:hAnsi="Garamond"/>
          <w:lang w:val="en-AU"/>
        </w:rPr>
        <w:t xml:space="preserve">document from </w:t>
      </w:r>
      <w:hyperlink r:id="rId10" w:history="1">
        <w:r w:rsidR="00543EF2" w:rsidRPr="00C3014C">
          <w:rPr>
            <w:rStyle w:val="Hyperlink"/>
            <w:rFonts w:ascii="Garamond" w:hAnsi="Garamond"/>
            <w:lang w:val="en-AU"/>
          </w:rPr>
          <w:t>https://www.safetyandquality.gov.au/publications-resources/on-the-radar/</w:t>
        </w:r>
      </w:hyperlink>
    </w:p>
    <w:p w:rsidR="0090536C" w:rsidRPr="00C3014C" w:rsidRDefault="0090536C" w:rsidP="0045757F">
      <w:pPr>
        <w:autoSpaceDE w:val="0"/>
        <w:rPr>
          <w:rFonts w:ascii="Garamond" w:hAnsi="Garamond"/>
          <w:lang w:val="en-AU"/>
        </w:rPr>
      </w:pPr>
    </w:p>
    <w:p w:rsidR="00B160EF" w:rsidRPr="00C3014C" w:rsidRDefault="00B160EF" w:rsidP="0045757F">
      <w:pPr>
        <w:autoSpaceDE w:val="0"/>
        <w:rPr>
          <w:rFonts w:ascii="Garamond" w:hAnsi="Garamond"/>
          <w:lang w:val="en-AU"/>
        </w:rPr>
      </w:pPr>
      <w:r w:rsidRPr="00C3014C">
        <w:rPr>
          <w:rFonts w:ascii="Garamond" w:hAnsi="Garamond"/>
          <w:lang w:val="en-AU"/>
        </w:rPr>
        <w:t xml:space="preserve">If you would like to receive </w:t>
      </w:r>
      <w:r w:rsidRPr="00C3014C">
        <w:rPr>
          <w:rFonts w:ascii="Garamond" w:hAnsi="Garamond"/>
          <w:i/>
          <w:lang w:val="en-AU"/>
        </w:rPr>
        <w:t>On the Radar</w:t>
      </w:r>
      <w:r w:rsidRPr="00C3014C">
        <w:rPr>
          <w:rFonts w:ascii="Garamond" w:hAnsi="Garamond"/>
          <w:lang w:val="en-AU"/>
        </w:rPr>
        <w:t xml:space="preserve"> via email</w:t>
      </w:r>
      <w:r w:rsidR="003D7B9E" w:rsidRPr="00C3014C">
        <w:rPr>
          <w:rFonts w:ascii="Garamond" w:hAnsi="Garamond"/>
          <w:lang w:val="en-AU"/>
        </w:rPr>
        <w:t>, you can</w:t>
      </w:r>
      <w:r w:rsidR="00F24F60" w:rsidRPr="00C3014C">
        <w:rPr>
          <w:rFonts w:ascii="Garamond" w:hAnsi="Garamond"/>
          <w:lang w:val="en-AU"/>
        </w:rPr>
        <w:t xml:space="preserve"> subscribe on our website </w:t>
      </w:r>
      <w:hyperlink r:id="rId11" w:history="1">
        <w:r w:rsidR="00543EF2" w:rsidRPr="00C3014C">
          <w:rPr>
            <w:rStyle w:val="Hyperlink"/>
            <w:rFonts w:ascii="Garamond" w:hAnsi="Garamond"/>
            <w:lang w:val="en-AU"/>
          </w:rPr>
          <w:t>https://www.safetyandquality.gov.au/</w:t>
        </w:r>
      </w:hyperlink>
      <w:r w:rsidR="003D7B9E" w:rsidRPr="00C3014C">
        <w:rPr>
          <w:rFonts w:ascii="Garamond" w:hAnsi="Garamond"/>
          <w:lang w:val="en-AU"/>
        </w:rPr>
        <w:t xml:space="preserve"> or by emailing us at </w:t>
      </w:r>
      <w:r w:rsidR="003D7B9E" w:rsidRPr="00C3014C">
        <w:rPr>
          <w:rFonts w:ascii="Garamond" w:hAnsi="Garamond" w:cs="ZWAdobeF"/>
          <w:sz w:val="2"/>
          <w:szCs w:val="2"/>
          <w:lang w:val="en-AU"/>
        </w:rPr>
        <w:t>H</w:t>
      </w:r>
      <w:hyperlink r:id="rId12" w:history="1">
        <w:r w:rsidR="003D7B9E" w:rsidRPr="00C3014C">
          <w:rPr>
            <w:rFonts w:ascii="Garamond" w:hAnsi="Garamond" w:cs="ZWAdobeF"/>
            <w:sz w:val="2"/>
            <w:szCs w:val="2"/>
            <w:lang w:val="en-AU"/>
          </w:rPr>
          <w:t>U</w:t>
        </w:r>
        <w:r w:rsidR="003D7B9E" w:rsidRPr="00C3014C">
          <w:rPr>
            <w:rStyle w:val="Hyperlink"/>
            <w:rFonts w:ascii="Garamond" w:hAnsi="Garamond"/>
            <w:lang w:val="en-AU"/>
          </w:rPr>
          <w:t>mail@safetyandquality.gov.au</w:t>
        </w:r>
        <w:r w:rsidR="003D7B9E" w:rsidRPr="00C3014C">
          <w:rPr>
            <w:rStyle w:val="Hyperlink"/>
            <w:rFonts w:ascii="Garamond" w:hAnsi="Garamond" w:cs="ZWAdobeF"/>
            <w:color w:val="auto"/>
            <w:sz w:val="2"/>
            <w:szCs w:val="2"/>
            <w:u w:val="none"/>
            <w:lang w:val="en-AU"/>
          </w:rPr>
          <w:t>U</w:t>
        </w:r>
      </w:hyperlink>
      <w:r w:rsidR="003D7B9E" w:rsidRPr="00C3014C">
        <w:rPr>
          <w:rFonts w:ascii="Garamond" w:hAnsi="Garamond"/>
          <w:lang w:val="en-AU"/>
        </w:rPr>
        <w:t xml:space="preserve">. </w:t>
      </w:r>
      <w:r w:rsidR="00E51D23" w:rsidRPr="00C3014C">
        <w:rPr>
          <w:rFonts w:ascii="Garamond" w:hAnsi="Garamond"/>
          <w:lang w:val="en-AU"/>
        </w:rPr>
        <w:br/>
      </w:r>
      <w:r w:rsidR="003D7B9E" w:rsidRPr="00C3014C">
        <w:rPr>
          <w:rFonts w:ascii="Garamond" w:hAnsi="Garamond"/>
          <w:lang w:val="en-AU"/>
        </w:rPr>
        <w:t xml:space="preserve">You can also send feedback and comments to </w:t>
      </w:r>
      <w:r w:rsidR="003D7B9E" w:rsidRPr="00C3014C">
        <w:rPr>
          <w:rFonts w:ascii="Garamond" w:hAnsi="Garamond" w:cs="ZWAdobeF"/>
          <w:sz w:val="2"/>
          <w:szCs w:val="2"/>
          <w:lang w:val="en-AU"/>
        </w:rPr>
        <w:t>H</w:t>
      </w:r>
      <w:hyperlink r:id="rId13" w:history="1">
        <w:r w:rsidR="003D7B9E" w:rsidRPr="00C3014C">
          <w:rPr>
            <w:rFonts w:ascii="Garamond" w:hAnsi="Garamond" w:cs="ZWAdobeF"/>
            <w:sz w:val="2"/>
            <w:szCs w:val="2"/>
            <w:lang w:val="en-AU"/>
          </w:rPr>
          <w:t>U</w:t>
        </w:r>
        <w:r w:rsidR="003D7B9E" w:rsidRPr="00C3014C">
          <w:rPr>
            <w:rStyle w:val="Hyperlink"/>
            <w:rFonts w:ascii="Garamond" w:hAnsi="Garamond"/>
            <w:lang w:val="en-AU"/>
          </w:rPr>
          <w:t>mail@safetyandquality.gov.au</w:t>
        </w:r>
        <w:r w:rsidR="003D7B9E" w:rsidRPr="00C3014C">
          <w:rPr>
            <w:rStyle w:val="Hyperlink"/>
            <w:rFonts w:ascii="Garamond" w:hAnsi="Garamond" w:cs="ZWAdobeF"/>
            <w:color w:val="auto"/>
            <w:sz w:val="2"/>
            <w:szCs w:val="2"/>
            <w:u w:val="none"/>
            <w:lang w:val="en-AU"/>
          </w:rPr>
          <w:t>U</w:t>
        </w:r>
      </w:hyperlink>
      <w:r w:rsidR="003D7B9E" w:rsidRPr="00C3014C">
        <w:rPr>
          <w:rFonts w:ascii="Garamond" w:hAnsi="Garamond"/>
          <w:lang w:val="en-AU"/>
        </w:rPr>
        <w:t>.</w:t>
      </w:r>
    </w:p>
    <w:p w:rsidR="00B160EF" w:rsidRPr="00C3014C" w:rsidRDefault="00B160EF" w:rsidP="00837FC4">
      <w:pPr>
        <w:tabs>
          <w:tab w:val="left" w:pos="7773"/>
        </w:tabs>
        <w:rPr>
          <w:rFonts w:ascii="Garamond" w:hAnsi="Garamond"/>
          <w:lang w:val="en-AU"/>
        </w:rPr>
      </w:pPr>
    </w:p>
    <w:p w:rsidR="00837FC4" w:rsidRPr="00C3014C" w:rsidRDefault="00B160EF" w:rsidP="004554DB">
      <w:pPr>
        <w:autoSpaceDE w:val="0"/>
        <w:rPr>
          <w:rFonts w:ascii="Garamond" w:hAnsi="Garamond"/>
          <w:lang w:val="en-AU"/>
        </w:rPr>
      </w:pPr>
      <w:bookmarkStart w:id="1" w:name="OLE_LINK1"/>
      <w:r w:rsidRPr="00C3014C">
        <w:rPr>
          <w:rFonts w:ascii="Garamond" w:hAnsi="Garamond"/>
          <w:lang w:val="en-AU"/>
        </w:rPr>
        <w:t xml:space="preserve">For information about the Commission and its programs and publications, please visit </w:t>
      </w:r>
      <w:hyperlink r:id="rId14" w:history="1">
        <w:r w:rsidR="00543EF2" w:rsidRPr="00C3014C">
          <w:rPr>
            <w:rStyle w:val="Hyperlink"/>
            <w:rFonts w:ascii="Garamond" w:hAnsi="Garamond"/>
            <w:lang w:val="en-AU"/>
          </w:rPr>
          <w:t>https://www.safetyandquality.gov.au</w:t>
        </w:r>
      </w:hyperlink>
    </w:p>
    <w:p w:rsidR="0054703F" w:rsidRPr="00C3014C" w:rsidRDefault="004554DB" w:rsidP="004554DB">
      <w:pPr>
        <w:autoSpaceDE w:val="0"/>
        <w:rPr>
          <w:rFonts w:ascii="Garamond" w:hAnsi="Garamond"/>
          <w:lang w:val="en-AU"/>
        </w:rPr>
      </w:pPr>
      <w:r w:rsidRPr="00C3014C">
        <w:rPr>
          <w:rFonts w:ascii="Garamond" w:hAnsi="Garamond"/>
          <w:lang w:val="en-AU"/>
        </w:rPr>
        <w:t>You can also follow us on Twitter @ACSQHC.</w:t>
      </w:r>
    </w:p>
    <w:p w:rsidR="00210235" w:rsidRPr="00C3014C" w:rsidRDefault="00210235" w:rsidP="00210235">
      <w:pPr>
        <w:keepNext/>
        <w:pBdr>
          <w:top w:val="single" w:sz="4" w:space="1" w:color="auto"/>
        </w:pBdr>
        <w:rPr>
          <w:rFonts w:ascii="Garamond" w:hAnsi="Garamond"/>
          <w:b/>
          <w:lang w:val="en-AU"/>
        </w:rPr>
      </w:pPr>
      <w:r w:rsidRPr="00C3014C">
        <w:rPr>
          <w:rFonts w:ascii="Garamond" w:hAnsi="Garamond"/>
          <w:b/>
          <w:lang w:val="en-AU"/>
        </w:rPr>
        <w:t>On the Radar</w:t>
      </w:r>
    </w:p>
    <w:p w:rsidR="00340157" w:rsidRPr="00C3014C" w:rsidRDefault="00340157" w:rsidP="00210235">
      <w:pPr>
        <w:keepNext/>
        <w:pBdr>
          <w:top w:val="single" w:sz="4" w:space="1" w:color="auto"/>
        </w:pBdr>
        <w:rPr>
          <w:rFonts w:ascii="Garamond" w:hAnsi="Garamond"/>
          <w:bCs/>
          <w:lang w:val="en-AU"/>
        </w:rPr>
      </w:pPr>
      <w:r w:rsidRPr="00C3014C">
        <w:rPr>
          <w:rFonts w:ascii="Garamond" w:hAnsi="Garamond"/>
          <w:bCs/>
          <w:lang w:val="en-AU"/>
        </w:rPr>
        <w:t xml:space="preserve">Editor: </w:t>
      </w:r>
      <w:r w:rsidR="00C8085B" w:rsidRPr="00C3014C">
        <w:rPr>
          <w:rFonts w:ascii="Garamond" w:hAnsi="Garamond"/>
          <w:bCs/>
          <w:lang w:val="en-AU"/>
        </w:rPr>
        <w:t xml:space="preserve">Dr </w:t>
      </w:r>
      <w:r w:rsidRPr="00C3014C">
        <w:rPr>
          <w:rFonts w:ascii="Garamond" w:hAnsi="Garamond"/>
          <w:bCs/>
          <w:lang w:val="en-AU"/>
        </w:rPr>
        <w:t xml:space="preserve">Niall Johnson </w:t>
      </w:r>
      <w:hyperlink r:id="rId15" w:history="1">
        <w:r w:rsidRPr="00C3014C">
          <w:rPr>
            <w:rStyle w:val="Hyperlink"/>
            <w:rFonts w:ascii="Garamond" w:hAnsi="Garamond"/>
            <w:bCs/>
            <w:lang w:val="en-AU"/>
          </w:rPr>
          <w:t>niall.johnson@safetyandquality.gov.au</w:t>
        </w:r>
      </w:hyperlink>
    </w:p>
    <w:p w:rsidR="009A35BE" w:rsidRPr="00C3014C" w:rsidRDefault="00210235" w:rsidP="00A8296D">
      <w:pPr>
        <w:keepNext/>
        <w:pBdr>
          <w:top w:val="single" w:sz="4" w:space="1" w:color="auto"/>
        </w:pBdr>
        <w:rPr>
          <w:rFonts w:ascii="Garamond" w:hAnsi="Garamond"/>
          <w:shd w:val="clear" w:color="auto" w:fill="FFFFFF"/>
          <w:lang w:val="en-AU"/>
        </w:rPr>
      </w:pPr>
      <w:r w:rsidRPr="00C3014C">
        <w:rPr>
          <w:rFonts w:ascii="Garamond" w:hAnsi="Garamond"/>
          <w:bCs/>
          <w:lang w:val="en-AU"/>
        </w:rPr>
        <w:t xml:space="preserve">Contributors: </w:t>
      </w:r>
      <w:r w:rsidR="0056339A" w:rsidRPr="00C3014C">
        <w:rPr>
          <w:rFonts w:ascii="Garamond" w:hAnsi="Garamond"/>
          <w:bCs/>
          <w:lang w:val="en-AU"/>
        </w:rPr>
        <w:t>Niall Johnson</w:t>
      </w:r>
      <w:bookmarkEnd w:id="1"/>
    </w:p>
    <w:p w:rsidR="00727B35" w:rsidRPr="00C3014C" w:rsidRDefault="00727B35" w:rsidP="00691DE3">
      <w:pPr>
        <w:keepLines/>
        <w:autoSpaceDE w:val="0"/>
        <w:autoSpaceDN w:val="0"/>
        <w:adjustRightInd w:val="0"/>
        <w:rPr>
          <w:rFonts w:ascii="Garamond" w:hAnsi="Garamond"/>
          <w:lang w:val="en-AU"/>
        </w:rPr>
      </w:pPr>
    </w:p>
    <w:p w:rsidR="00290E63" w:rsidRPr="00C3014C" w:rsidRDefault="00290E63" w:rsidP="00691DE3">
      <w:pPr>
        <w:keepLines/>
        <w:autoSpaceDE w:val="0"/>
        <w:autoSpaceDN w:val="0"/>
        <w:adjustRightInd w:val="0"/>
        <w:rPr>
          <w:rFonts w:ascii="Garamond" w:hAnsi="Garamond"/>
          <w:lang w:val="en-AU"/>
        </w:rPr>
      </w:pPr>
    </w:p>
    <w:p w:rsidR="00DC1E06" w:rsidRDefault="00DC1E06" w:rsidP="00644660">
      <w:pPr>
        <w:keepNext/>
        <w:keepLines/>
        <w:autoSpaceDE w:val="0"/>
        <w:autoSpaceDN w:val="0"/>
        <w:adjustRightInd w:val="0"/>
        <w:rPr>
          <w:rFonts w:ascii="Garamond" w:hAnsi="Garamond"/>
          <w:b/>
          <w:lang w:val="en-AU"/>
        </w:rPr>
      </w:pPr>
      <w:r>
        <w:rPr>
          <w:rFonts w:ascii="Garamond" w:hAnsi="Garamond"/>
          <w:b/>
          <w:lang w:val="en-AU"/>
        </w:rPr>
        <w:t>Books</w:t>
      </w:r>
    </w:p>
    <w:p w:rsidR="00DC1E06" w:rsidRDefault="00DC1E06" w:rsidP="00DC1E06">
      <w:pPr>
        <w:keepNext/>
        <w:keepLines/>
        <w:autoSpaceDE w:val="0"/>
        <w:autoSpaceDN w:val="0"/>
        <w:adjustRightInd w:val="0"/>
        <w:rPr>
          <w:rFonts w:ascii="Garamond" w:hAnsi="Garamond"/>
          <w:lang w:val="en-AU"/>
        </w:rPr>
      </w:pPr>
    </w:p>
    <w:p w:rsidR="00E1244C" w:rsidRPr="0079356E" w:rsidRDefault="0079356E" w:rsidP="00DC1E06">
      <w:pPr>
        <w:keepNext/>
        <w:keepLines/>
        <w:autoSpaceDE w:val="0"/>
        <w:autoSpaceDN w:val="0"/>
        <w:adjustRightInd w:val="0"/>
        <w:rPr>
          <w:rFonts w:ascii="Garamond" w:hAnsi="Garamond"/>
          <w:i/>
          <w:lang w:val="en-AU"/>
        </w:rPr>
      </w:pPr>
      <w:r w:rsidRPr="0079356E">
        <w:rPr>
          <w:rFonts w:ascii="Garamond" w:hAnsi="Garamond"/>
          <w:i/>
          <w:lang w:val="en-AU"/>
        </w:rPr>
        <w:t>WHO Guidelines on Integrated Care for Older People (ICOPE)</w:t>
      </w:r>
    </w:p>
    <w:p w:rsidR="001902B3" w:rsidRDefault="001902B3" w:rsidP="00DC1E06">
      <w:pPr>
        <w:keepNext/>
        <w:keepLines/>
        <w:autoSpaceDE w:val="0"/>
        <w:autoSpaceDN w:val="0"/>
        <w:adjustRightInd w:val="0"/>
        <w:rPr>
          <w:rFonts w:ascii="Garamond" w:hAnsi="Garamond"/>
          <w:lang w:val="en-AU"/>
        </w:rPr>
      </w:pPr>
      <w:r w:rsidRPr="001902B3">
        <w:rPr>
          <w:rFonts w:ascii="Garamond" w:hAnsi="Garamond"/>
          <w:lang w:val="en-AU"/>
        </w:rPr>
        <w:t>World Health Organization</w:t>
      </w:r>
    </w:p>
    <w:p w:rsidR="0079356E" w:rsidRPr="00C3014C" w:rsidRDefault="001902B3" w:rsidP="00DC1E06">
      <w:pPr>
        <w:keepNext/>
        <w:keepLines/>
        <w:autoSpaceDE w:val="0"/>
        <w:autoSpaceDN w:val="0"/>
        <w:adjustRightInd w:val="0"/>
        <w:rPr>
          <w:rFonts w:ascii="Garamond" w:hAnsi="Garamond"/>
          <w:lang w:val="en-AU"/>
        </w:rPr>
      </w:pPr>
      <w:r w:rsidRPr="001902B3">
        <w:rPr>
          <w:rFonts w:ascii="Garamond" w:hAnsi="Garamond"/>
          <w:lang w:val="en-AU"/>
        </w:rPr>
        <w:t>Geneva: World Health Organization; 2017. 60 p.</w:t>
      </w:r>
    </w:p>
    <w:tbl>
      <w:tblPr>
        <w:tblStyle w:val="TableGrid"/>
        <w:tblW w:w="0" w:type="auto"/>
        <w:tblInd w:w="288" w:type="dxa"/>
        <w:tblLayout w:type="fixed"/>
        <w:tblLook w:val="01E0" w:firstRow="1" w:lastRow="1" w:firstColumn="1" w:lastColumn="1" w:noHBand="0" w:noVBand="0"/>
      </w:tblPr>
      <w:tblGrid>
        <w:gridCol w:w="1080"/>
        <w:gridCol w:w="8280"/>
      </w:tblGrid>
      <w:tr w:rsidR="00DC1E06" w:rsidRPr="00C3014C" w:rsidTr="00D87F4A">
        <w:tc>
          <w:tcPr>
            <w:tcW w:w="1080" w:type="dxa"/>
            <w:tcBorders>
              <w:top w:val="single" w:sz="4" w:space="0" w:color="auto"/>
              <w:left w:val="single" w:sz="4" w:space="0" w:color="auto"/>
              <w:bottom w:val="single" w:sz="4" w:space="0" w:color="auto"/>
              <w:right w:val="single" w:sz="4" w:space="0" w:color="auto"/>
            </w:tcBorders>
            <w:vAlign w:val="center"/>
          </w:tcPr>
          <w:p w:rsidR="00DC1E06" w:rsidRPr="00C3014C" w:rsidRDefault="00DC1E06" w:rsidP="00D87F4A">
            <w:pPr>
              <w:rPr>
                <w:rStyle w:val="Hyperlink"/>
                <w:rFonts w:ascii="Garamond" w:hAnsi="Garamond"/>
                <w:lang w:val="en-AU"/>
              </w:rPr>
            </w:pPr>
            <w:r w:rsidRPr="00C3014C">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E1244C" w:rsidRPr="00C3014C" w:rsidRDefault="0079356E" w:rsidP="0079356E">
            <w:pPr>
              <w:rPr>
                <w:rStyle w:val="Hyperlink"/>
                <w:rFonts w:ascii="Garamond" w:hAnsi="Garamond"/>
                <w:color w:val="auto"/>
                <w:u w:val="none"/>
                <w:lang w:val="en-AU"/>
              </w:rPr>
            </w:pPr>
            <w:hyperlink r:id="rId16" w:history="1">
              <w:r w:rsidRPr="00EC7E1F">
                <w:rPr>
                  <w:rStyle w:val="Hyperlink"/>
                  <w:rFonts w:ascii="Garamond" w:hAnsi="Garamond"/>
                  <w:lang w:val="en-AU"/>
                </w:rPr>
                <w:t>http://www.who.int/ageing/publications/guidelines-icope/en/</w:t>
              </w:r>
            </w:hyperlink>
          </w:p>
        </w:tc>
      </w:tr>
      <w:tr w:rsidR="00DC1E06" w:rsidRPr="00C3014C" w:rsidTr="00D87F4A">
        <w:tc>
          <w:tcPr>
            <w:tcW w:w="1080" w:type="dxa"/>
            <w:tcBorders>
              <w:top w:val="single" w:sz="4" w:space="0" w:color="auto"/>
              <w:left w:val="single" w:sz="4" w:space="0" w:color="auto"/>
              <w:bottom w:val="single" w:sz="4" w:space="0" w:color="auto"/>
              <w:right w:val="single" w:sz="4" w:space="0" w:color="auto"/>
            </w:tcBorders>
            <w:vAlign w:val="center"/>
          </w:tcPr>
          <w:p w:rsidR="00DC1E06" w:rsidRPr="00C3014C" w:rsidRDefault="00DC1E06" w:rsidP="00D87F4A">
            <w:pPr>
              <w:rPr>
                <w:rFonts w:ascii="Garamond" w:hAnsi="Garamond"/>
                <w:lang w:val="en-AU" w:eastAsia="en-AU"/>
              </w:rPr>
            </w:pPr>
            <w:r w:rsidRPr="00C3014C">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70F99" w:rsidRDefault="001902B3" w:rsidP="00570F99">
            <w:pPr>
              <w:rPr>
                <w:rFonts w:ascii="Garamond" w:hAnsi="Garamond"/>
                <w:lang w:val="en-AU"/>
              </w:rPr>
            </w:pPr>
            <w:r>
              <w:rPr>
                <w:rFonts w:ascii="Garamond" w:hAnsi="Garamond"/>
                <w:lang w:val="en-AU"/>
              </w:rPr>
              <w:t xml:space="preserve">The World Health Organization has published </w:t>
            </w:r>
            <w:r w:rsidR="00570F99">
              <w:rPr>
                <w:rFonts w:ascii="Garamond" w:hAnsi="Garamond"/>
                <w:lang w:val="en-AU"/>
              </w:rPr>
              <w:t xml:space="preserve">this guideline encompassing </w:t>
            </w:r>
            <w:r w:rsidR="00570F99" w:rsidRPr="00570F99">
              <w:rPr>
                <w:rFonts w:ascii="Garamond" w:hAnsi="Garamond"/>
                <w:lang w:val="en-AU"/>
              </w:rPr>
              <w:t>evidence-based recommendations for health care professionals to prevent, slow or reverse declines in the physical and mental capacities of older people. These recommendations require countries to place the needs and preferences of older adults at the centre and to coordinate care. The ICOPE Guidelines will allow countries to improve the health and well-being of their older populations, and to move closer to the achievement of universal health coverage for all at all ages.</w:t>
            </w:r>
          </w:p>
          <w:p w:rsidR="00570F99" w:rsidRPr="00C3014C" w:rsidRDefault="00570F99" w:rsidP="00570F99">
            <w:pPr>
              <w:rPr>
                <w:rFonts w:ascii="Garamond" w:hAnsi="Garamond"/>
                <w:lang w:val="en-AU"/>
              </w:rPr>
            </w:pPr>
            <w:r>
              <w:rPr>
                <w:rFonts w:ascii="Garamond" w:hAnsi="Garamond"/>
                <w:lang w:val="en-AU"/>
              </w:rPr>
              <w:t>The recommendations cover issues including m</w:t>
            </w:r>
            <w:r w:rsidRPr="00570F99">
              <w:rPr>
                <w:rFonts w:ascii="Garamond" w:hAnsi="Garamond"/>
                <w:lang w:val="en-AU"/>
              </w:rPr>
              <w:t>obility loss</w:t>
            </w:r>
            <w:r>
              <w:rPr>
                <w:rFonts w:ascii="Garamond" w:hAnsi="Garamond"/>
                <w:lang w:val="en-AU"/>
              </w:rPr>
              <w:t>, m</w:t>
            </w:r>
            <w:r w:rsidRPr="00570F99">
              <w:rPr>
                <w:rFonts w:ascii="Garamond" w:hAnsi="Garamond"/>
                <w:lang w:val="en-AU"/>
              </w:rPr>
              <w:t>alnutrition</w:t>
            </w:r>
            <w:r>
              <w:rPr>
                <w:rFonts w:ascii="Garamond" w:hAnsi="Garamond"/>
                <w:lang w:val="en-AU"/>
              </w:rPr>
              <w:t>, v</w:t>
            </w:r>
            <w:r w:rsidRPr="00570F99">
              <w:rPr>
                <w:rFonts w:ascii="Garamond" w:hAnsi="Garamond"/>
                <w:lang w:val="en-AU"/>
              </w:rPr>
              <w:t>isual impairment</w:t>
            </w:r>
            <w:r>
              <w:rPr>
                <w:rFonts w:ascii="Garamond" w:hAnsi="Garamond"/>
                <w:lang w:val="en-AU"/>
              </w:rPr>
              <w:t>, h</w:t>
            </w:r>
            <w:r w:rsidRPr="00570F99">
              <w:rPr>
                <w:rFonts w:ascii="Garamond" w:hAnsi="Garamond"/>
                <w:lang w:val="en-AU"/>
              </w:rPr>
              <w:t>earing loss</w:t>
            </w:r>
            <w:r>
              <w:rPr>
                <w:rFonts w:ascii="Garamond" w:hAnsi="Garamond"/>
                <w:lang w:val="en-AU"/>
              </w:rPr>
              <w:t>, c</w:t>
            </w:r>
            <w:r w:rsidRPr="00570F99">
              <w:rPr>
                <w:rFonts w:ascii="Garamond" w:hAnsi="Garamond"/>
                <w:lang w:val="en-AU"/>
              </w:rPr>
              <w:t>ognitive impairment</w:t>
            </w:r>
            <w:r>
              <w:rPr>
                <w:rFonts w:ascii="Garamond" w:hAnsi="Garamond"/>
                <w:lang w:val="en-AU"/>
              </w:rPr>
              <w:t>, d</w:t>
            </w:r>
            <w:r w:rsidRPr="00570F99">
              <w:rPr>
                <w:rFonts w:ascii="Garamond" w:hAnsi="Garamond"/>
                <w:lang w:val="en-AU"/>
              </w:rPr>
              <w:t>epressive symptoms</w:t>
            </w:r>
            <w:r>
              <w:rPr>
                <w:rFonts w:ascii="Garamond" w:hAnsi="Garamond"/>
                <w:lang w:val="en-AU"/>
              </w:rPr>
              <w:t>, u</w:t>
            </w:r>
            <w:r w:rsidRPr="00570F99">
              <w:rPr>
                <w:rFonts w:ascii="Garamond" w:hAnsi="Garamond"/>
                <w:lang w:val="en-AU"/>
              </w:rPr>
              <w:t>rinary incontinence</w:t>
            </w:r>
            <w:r>
              <w:rPr>
                <w:rFonts w:ascii="Garamond" w:hAnsi="Garamond"/>
                <w:lang w:val="en-AU"/>
              </w:rPr>
              <w:t xml:space="preserve">, </w:t>
            </w:r>
            <w:r w:rsidRPr="00570F99">
              <w:rPr>
                <w:rFonts w:ascii="Garamond" w:hAnsi="Garamond"/>
                <w:lang w:val="en-AU"/>
              </w:rPr>
              <w:t>falls</w:t>
            </w:r>
            <w:r>
              <w:rPr>
                <w:rFonts w:ascii="Garamond" w:hAnsi="Garamond"/>
                <w:lang w:val="en-AU"/>
              </w:rPr>
              <w:t xml:space="preserve"> risks and supporting caregivers. However, the reports notes that “</w:t>
            </w:r>
            <w:r w:rsidRPr="00570F99">
              <w:rPr>
                <w:rFonts w:ascii="Garamond" w:hAnsi="Garamond"/>
                <w:lang w:val="en-AU"/>
              </w:rPr>
              <w:t xml:space="preserve">The </w:t>
            </w:r>
            <w:r w:rsidRPr="00570F99">
              <w:rPr>
                <w:rFonts w:ascii="Garamond" w:hAnsi="Garamond"/>
                <w:b/>
                <w:lang w:val="en-AU"/>
              </w:rPr>
              <w:t>recommendations</w:t>
            </w:r>
            <w:r w:rsidRPr="00570F99">
              <w:rPr>
                <w:rFonts w:ascii="Garamond" w:hAnsi="Garamond"/>
                <w:lang w:val="en-AU"/>
              </w:rPr>
              <w:t xml:space="preserve"> now formed in these</w:t>
            </w:r>
            <w:r>
              <w:rPr>
                <w:rFonts w:ascii="Garamond" w:hAnsi="Garamond"/>
                <w:lang w:val="en-AU"/>
              </w:rPr>
              <w:t xml:space="preserve"> </w:t>
            </w:r>
            <w:r w:rsidRPr="00570F99">
              <w:rPr>
                <w:rFonts w:ascii="Garamond" w:hAnsi="Garamond"/>
                <w:lang w:val="en-AU"/>
              </w:rPr>
              <w:t xml:space="preserve">guidelines </w:t>
            </w:r>
            <w:r w:rsidRPr="00570F99">
              <w:rPr>
                <w:rFonts w:ascii="Garamond" w:hAnsi="Garamond"/>
                <w:b/>
                <w:lang w:val="en-AU"/>
              </w:rPr>
              <w:t>are interrelated</w:t>
            </w:r>
            <w:r w:rsidRPr="00570F99">
              <w:rPr>
                <w:rFonts w:ascii="Garamond" w:hAnsi="Garamond"/>
                <w:lang w:val="en-AU"/>
              </w:rPr>
              <w:t>, and aim to produce</w:t>
            </w:r>
            <w:r>
              <w:rPr>
                <w:rFonts w:ascii="Garamond" w:hAnsi="Garamond"/>
                <w:lang w:val="en-AU"/>
              </w:rPr>
              <w:t xml:space="preserve"> </w:t>
            </w:r>
            <w:r w:rsidRPr="00570F99">
              <w:rPr>
                <w:rFonts w:ascii="Garamond" w:hAnsi="Garamond"/>
                <w:lang w:val="en-AU"/>
              </w:rPr>
              <w:t>synergistic effects on the intrinsic capacities and</w:t>
            </w:r>
            <w:r>
              <w:rPr>
                <w:rFonts w:ascii="Garamond" w:hAnsi="Garamond"/>
                <w:lang w:val="en-AU"/>
              </w:rPr>
              <w:t xml:space="preserve"> </w:t>
            </w:r>
            <w:r w:rsidRPr="00570F99">
              <w:rPr>
                <w:rFonts w:ascii="Garamond" w:hAnsi="Garamond"/>
                <w:lang w:val="en-AU"/>
              </w:rPr>
              <w:t>functional abilities of individuals. Although</w:t>
            </w:r>
            <w:r>
              <w:rPr>
                <w:rFonts w:ascii="Garamond" w:hAnsi="Garamond"/>
                <w:lang w:val="en-AU"/>
              </w:rPr>
              <w:t xml:space="preserve"> </w:t>
            </w:r>
            <w:r w:rsidRPr="00570F99">
              <w:rPr>
                <w:rFonts w:ascii="Garamond" w:hAnsi="Garamond"/>
                <w:lang w:val="en-AU"/>
              </w:rPr>
              <w:t>recommendations were made on the separate</w:t>
            </w:r>
            <w:r>
              <w:rPr>
                <w:rFonts w:ascii="Garamond" w:hAnsi="Garamond"/>
                <w:lang w:val="en-AU"/>
              </w:rPr>
              <w:t xml:space="preserve"> </w:t>
            </w:r>
            <w:r w:rsidRPr="00570F99">
              <w:rPr>
                <w:rFonts w:ascii="Garamond" w:hAnsi="Garamond"/>
                <w:lang w:val="en-AU"/>
              </w:rPr>
              <w:t>interventions, it was recognized that these would be</w:t>
            </w:r>
            <w:r>
              <w:rPr>
                <w:rFonts w:ascii="Garamond" w:hAnsi="Garamond"/>
                <w:lang w:val="en-AU"/>
              </w:rPr>
              <w:t xml:space="preserve"> </w:t>
            </w:r>
            <w:r w:rsidRPr="00570F99">
              <w:rPr>
                <w:rFonts w:ascii="Garamond" w:hAnsi="Garamond"/>
                <w:b/>
                <w:lang w:val="en-AU"/>
              </w:rPr>
              <w:t>best implemented</w:t>
            </w:r>
            <w:r w:rsidRPr="00570F99">
              <w:rPr>
                <w:rFonts w:ascii="Garamond" w:hAnsi="Garamond"/>
                <w:lang w:val="en-AU"/>
              </w:rPr>
              <w:t xml:space="preserve"> in the context of a </w:t>
            </w:r>
            <w:r w:rsidRPr="00570F99">
              <w:rPr>
                <w:rFonts w:ascii="Garamond" w:hAnsi="Garamond"/>
                <w:b/>
                <w:lang w:val="en-AU"/>
              </w:rPr>
              <w:t>comprehensive</w:t>
            </w:r>
            <w:r w:rsidRPr="00570F99">
              <w:rPr>
                <w:rFonts w:ascii="Garamond" w:hAnsi="Garamond"/>
                <w:b/>
                <w:lang w:val="en-AU"/>
              </w:rPr>
              <w:t xml:space="preserve"> </w:t>
            </w:r>
            <w:r w:rsidRPr="00570F99">
              <w:rPr>
                <w:rFonts w:ascii="Garamond" w:hAnsi="Garamond"/>
                <w:b/>
                <w:lang w:val="en-AU"/>
              </w:rPr>
              <w:t>needs assessment</w:t>
            </w:r>
            <w:r w:rsidRPr="00570F99">
              <w:rPr>
                <w:rFonts w:ascii="Garamond" w:hAnsi="Garamond"/>
                <w:lang w:val="en-AU"/>
              </w:rPr>
              <w:t xml:space="preserve"> and an </w:t>
            </w:r>
            <w:r w:rsidRPr="00570F99">
              <w:rPr>
                <w:rFonts w:ascii="Garamond" w:hAnsi="Garamond"/>
                <w:b/>
                <w:lang w:val="en-AU"/>
              </w:rPr>
              <w:t>integrated care plan</w:t>
            </w:r>
            <w:r w:rsidRPr="00570F99">
              <w:rPr>
                <w:rFonts w:ascii="Garamond" w:hAnsi="Garamond"/>
                <w:lang w:val="en-AU"/>
              </w:rPr>
              <w:t>.</w:t>
            </w:r>
            <w:r>
              <w:rPr>
                <w:rFonts w:ascii="Garamond" w:hAnsi="Garamond"/>
                <w:lang w:val="en-AU"/>
              </w:rPr>
              <w:t>”</w:t>
            </w:r>
          </w:p>
        </w:tc>
      </w:tr>
    </w:tbl>
    <w:p w:rsidR="00177F9F" w:rsidRPr="00C3014C" w:rsidRDefault="00177F9F" w:rsidP="00644660">
      <w:pPr>
        <w:keepNext/>
        <w:keepLines/>
        <w:autoSpaceDE w:val="0"/>
        <w:autoSpaceDN w:val="0"/>
        <w:adjustRightInd w:val="0"/>
        <w:rPr>
          <w:rFonts w:ascii="Garamond" w:hAnsi="Garamond"/>
          <w:b/>
          <w:lang w:val="en-AU"/>
        </w:rPr>
      </w:pPr>
      <w:r w:rsidRPr="00C3014C">
        <w:rPr>
          <w:rFonts w:ascii="Garamond" w:hAnsi="Garamond"/>
          <w:b/>
          <w:lang w:val="en-AU"/>
        </w:rPr>
        <w:lastRenderedPageBreak/>
        <w:t>Reports</w:t>
      </w:r>
    </w:p>
    <w:p w:rsidR="00177F9F" w:rsidRDefault="00177F9F" w:rsidP="00644660">
      <w:pPr>
        <w:keepNext/>
        <w:keepLines/>
        <w:autoSpaceDE w:val="0"/>
        <w:autoSpaceDN w:val="0"/>
        <w:adjustRightInd w:val="0"/>
        <w:rPr>
          <w:rFonts w:ascii="Garamond" w:hAnsi="Garamond"/>
          <w:b/>
          <w:lang w:val="en-AU"/>
        </w:rPr>
      </w:pPr>
    </w:p>
    <w:p w:rsidR="00FA0626" w:rsidRDefault="00FA0626" w:rsidP="00FA0626">
      <w:pPr>
        <w:keepNext/>
        <w:rPr>
          <w:rFonts w:ascii="Garamond" w:hAnsi="Garamond"/>
          <w:i/>
          <w:lang w:val="en-AU" w:eastAsia="en-AU"/>
        </w:rPr>
      </w:pPr>
      <w:r w:rsidRPr="00FA0626">
        <w:rPr>
          <w:rFonts w:ascii="Garamond" w:hAnsi="Garamond"/>
          <w:i/>
          <w:lang w:val="en-AU" w:eastAsia="en-AU"/>
        </w:rPr>
        <w:t>Active disinvestment in low-value care in Australia will improve patient outcomes and reduce waste</w:t>
      </w:r>
    </w:p>
    <w:p w:rsidR="00FA0626" w:rsidRPr="00FA0626" w:rsidRDefault="00FA0626" w:rsidP="00FA0626">
      <w:pPr>
        <w:keepNext/>
        <w:rPr>
          <w:rFonts w:ascii="Garamond" w:hAnsi="Garamond"/>
          <w:lang w:val="en-AU" w:eastAsia="en-AU"/>
        </w:rPr>
      </w:pPr>
      <w:r w:rsidRPr="00FA0626">
        <w:rPr>
          <w:rFonts w:ascii="Garamond" w:hAnsi="Garamond"/>
          <w:lang w:val="en-AU" w:eastAsia="en-AU"/>
        </w:rPr>
        <w:t>McCreanor V</w:t>
      </w:r>
    </w:p>
    <w:p w:rsidR="00FA0626" w:rsidRPr="00FA0626" w:rsidRDefault="00FA0626" w:rsidP="00FA0626">
      <w:pPr>
        <w:keepNext/>
        <w:rPr>
          <w:rFonts w:ascii="Garamond" w:hAnsi="Garamond"/>
          <w:lang w:val="en-AU" w:eastAsia="en-AU"/>
        </w:rPr>
      </w:pPr>
      <w:r w:rsidRPr="00FA0626">
        <w:rPr>
          <w:rFonts w:ascii="Garamond" w:hAnsi="Garamond"/>
          <w:lang w:val="en-AU" w:eastAsia="en-AU"/>
        </w:rPr>
        <w:t>Deeble Institute Issues Brief No 23</w:t>
      </w:r>
    </w:p>
    <w:p w:rsidR="00FA0626" w:rsidRPr="00FC32EF" w:rsidRDefault="00FA0626" w:rsidP="00FA0626">
      <w:pPr>
        <w:keepNext/>
        <w:rPr>
          <w:rFonts w:ascii="Garamond" w:hAnsi="Garamond"/>
          <w:lang w:val="en-AU" w:eastAsia="en-AU"/>
        </w:rPr>
      </w:pPr>
      <w:r w:rsidRPr="00FA0626">
        <w:rPr>
          <w:rFonts w:ascii="Garamond" w:hAnsi="Garamond"/>
          <w:lang w:val="en-AU" w:eastAsia="en-AU"/>
        </w:rPr>
        <w:t>Canberra: Australian Healthcare and Hospitals Association; 2017. p. 27.</w:t>
      </w:r>
    </w:p>
    <w:tbl>
      <w:tblPr>
        <w:tblStyle w:val="TableGrid"/>
        <w:tblW w:w="0" w:type="auto"/>
        <w:tblInd w:w="288" w:type="dxa"/>
        <w:tblLayout w:type="fixed"/>
        <w:tblLook w:val="01E0" w:firstRow="1" w:lastRow="1" w:firstColumn="1" w:lastColumn="1" w:noHBand="0" w:noVBand="0"/>
      </w:tblPr>
      <w:tblGrid>
        <w:gridCol w:w="1080"/>
        <w:gridCol w:w="8280"/>
      </w:tblGrid>
      <w:tr w:rsidR="00FA0626" w:rsidRPr="00A45262" w:rsidTr="00BA3B56">
        <w:tc>
          <w:tcPr>
            <w:tcW w:w="1080" w:type="dxa"/>
            <w:tcBorders>
              <w:top w:val="single" w:sz="4" w:space="0" w:color="auto"/>
              <w:left w:val="single" w:sz="4" w:space="0" w:color="auto"/>
              <w:bottom w:val="single" w:sz="4" w:space="0" w:color="auto"/>
              <w:right w:val="single" w:sz="4" w:space="0" w:color="auto"/>
            </w:tcBorders>
            <w:vAlign w:val="center"/>
          </w:tcPr>
          <w:p w:rsidR="00FA0626" w:rsidRPr="00A45262" w:rsidRDefault="00FA0626" w:rsidP="00BA3B56">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FA0626" w:rsidRPr="00A45262" w:rsidRDefault="00FA0626" w:rsidP="00FA0626">
            <w:pPr>
              <w:rPr>
                <w:rStyle w:val="Hyperlink"/>
                <w:rFonts w:ascii="Garamond" w:hAnsi="Garamond"/>
                <w:color w:val="auto"/>
                <w:u w:val="none"/>
                <w:lang w:val="en-AU"/>
              </w:rPr>
            </w:pPr>
            <w:hyperlink r:id="rId17" w:history="1">
              <w:r w:rsidRPr="00EC7E1F">
                <w:rPr>
                  <w:rStyle w:val="Hyperlink"/>
                  <w:rFonts w:ascii="Garamond" w:hAnsi="Garamond"/>
                  <w:lang w:val="en-AU"/>
                </w:rPr>
                <w:t>https://ahha.asn.au/publication/issue-briefs/deeble-issues-brief-no-23-active-disinvestment-low%E2%80%90value-care-australia</w:t>
              </w:r>
            </w:hyperlink>
          </w:p>
        </w:tc>
      </w:tr>
      <w:tr w:rsidR="00FA0626" w:rsidRPr="00A45262" w:rsidTr="00BA3B56">
        <w:tc>
          <w:tcPr>
            <w:tcW w:w="1080" w:type="dxa"/>
            <w:tcBorders>
              <w:top w:val="single" w:sz="4" w:space="0" w:color="auto"/>
              <w:left w:val="single" w:sz="4" w:space="0" w:color="auto"/>
              <w:bottom w:val="single" w:sz="4" w:space="0" w:color="auto"/>
              <w:right w:val="single" w:sz="4" w:space="0" w:color="auto"/>
            </w:tcBorders>
            <w:vAlign w:val="center"/>
          </w:tcPr>
          <w:p w:rsidR="00FA0626" w:rsidRPr="00A45262" w:rsidRDefault="00FA0626" w:rsidP="00BA3B56">
            <w:pPr>
              <w:rPr>
                <w:rFonts w:ascii="Garamond" w:hAnsi="Garamond"/>
                <w:lang w:val="en-AU" w:eastAsia="en-AU"/>
              </w:rPr>
            </w:pPr>
            <w:r w:rsidRPr="00A45262">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A0626" w:rsidRDefault="00FA0626" w:rsidP="00575608">
            <w:pPr>
              <w:rPr>
                <w:rFonts w:ascii="Garamond" w:hAnsi="Garamond"/>
                <w:lang w:val="en-AU"/>
              </w:rPr>
            </w:pPr>
            <w:r>
              <w:rPr>
                <w:rFonts w:ascii="Garamond" w:hAnsi="Garamond"/>
                <w:lang w:val="en-AU"/>
              </w:rPr>
              <w:t xml:space="preserve">The </w:t>
            </w:r>
            <w:r w:rsidRPr="00A80640">
              <w:rPr>
                <w:rFonts w:ascii="Garamond" w:hAnsi="Garamond"/>
                <w:lang w:val="en-AU"/>
              </w:rPr>
              <w:t>Australian Healthcare and Hospitals Association</w:t>
            </w:r>
            <w:r>
              <w:rPr>
                <w:rFonts w:ascii="Garamond" w:hAnsi="Garamond"/>
                <w:lang w:val="en-AU"/>
              </w:rPr>
              <w:t>’s Deeble Institute has released a</w:t>
            </w:r>
            <w:r>
              <w:rPr>
                <w:rFonts w:ascii="Garamond" w:hAnsi="Garamond"/>
                <w:lang w:val="en-AU"/>
              </w:rPr>
              <w:t xml:space="preserve"> new </w:t>
            </w:r>
            <w:r>
              <w:rPr>
                <w:rFonts w:ascii="Garamond" w:hAnsi="Garamond"/>
                <w:lang w:val="en-AU"/>
              </w:rPr>
              <w:t xml:space="preserve">Issues Brief. This </w:t>
            </w:r>
            <w:r w:rsidR="00575608">
              <w:rPr>
                <w:rFonts w:ascii="Garamond" w:hAnsi="Garamond"/>
                <w:lang w:val="en-AU"/>
              </w:rPr>
              <w:t>brief looks at steps toward disinvestment in ‘low value’ care in Australia and makes suggestions are to these could be extended so at to make health care more appropriate, cost-effective and equitable. The suggestions as to which actors undertake certain activities may need further consideration as to who may be best placed to take responsibility for these actions. The recommendations include:</w:t>
            </w:r>
          </w:p>
          <w:p w:rsidR="00575608" w:rsidRDefault="00575608" w:rsidP="00575608">
            <w:pPr>
              <w:pStyle w:val="ListParagraph"/>
              <w:numPr>
                <w:ilvl w:val="0"/>
                <w:numId w:val="28"/>
              </w:numPr>
              <w:rPr>
                <w:rFonts w:ascii="Garamond" w:hAnsi="Garamond"/>
                <w:lang w:val="en-AU"/>
              </w:rPr>
            </w:pPr>
            <w:r w:rsidRPr="00575608">
              <w:rPr>
                <w:rFonts w:ascii="Garamond" w:hAnsi="Garamond"/>
                <w:lang w:val="en-AU"/>
              </w:rPr>
              <w:t xml:space="preserve">Improving the disinvestment potential of </w:t>
            </w:r>
            <w:r>
              <w:rPr>
                <w:rFonts w:ascii="Garamond" w:hAnsi="Garamond"/>
                <w:lang w:val="en-AU"/>
              </w:rPr>
              <w:t xml:space="preserve">the </w:t>
            </w:r>
            <w:r w:rsidRPr="00575608">
              <w:rPr>
                <w:rFonts w:ascii="Garamond" w:hAnsi="Garamond"/>
                <w:lang w:val="en-AU"/>
              </w:rPr>
              <w:t>M</w:t>
            </w:r>
            <w:r>
              <w:rPr>
                <w:rFonts w:ascii="Garamond" w:hAnsi="Garamond"/>
                <w:lang w:val="en-AU"/>
              </w:rPr>
              <w:t xml:space="preserve">edical </w:t>
            </w:r>
            <w:r w:rsidRPr="00575608">
              <w:rPr>
                <w:rFonts w:ascii="Garamond" w:hAnsi="Garamond"/>
                <w:lang w:val="en-AU"/>
              </w:rPr>
              <w:t>S</w:t>
            </w:r>
            <w:r>
              <w:rPr>
                <w:rFonts w:ascii="Garamond" w:hAnsi="Garamond"/>
                <w:lang w:val="en-AU"/>
              </w:rPr>
              <w:t xml:space="preserve">ervices </w:t>
            </w:r>
            <w:r w:rsidRPr="00575608">
              <w:rPr>
                <w:rFonts w:ascii="Garamond" w:hAnsi="Garamond"/>
                <w:lang w:val="en-AU"/>
              </w:rPr>
              <w:t>A</w:t>
            </w:r>
            <w:r>
              <w:rPr>
                <w:rFonts w:ascii="Garamond" w:hAnsi="Garamond"/>
                <w:lang w:val="en-AU"/>
              </w:rPr>
              <w:t xml:space="preserve">dvisory </w:t>
            </w:r>
            <w:r w:rsidRPr="00575608">
              <w:rPr>
                <w:rFonts w:ascii="Garamond" w:hAnsi="Garamond"/>
                <w:lang w:val="en-AU"/>
              </w:rPr>
              <w:t>C</w:t>
            </w:r>
            <w:r>
              <w:rPr>
                <w:rFonts w:ascii="Garamond" w:hAnsi="Garamond"/>
                <w:lang w:val="en-AU"/>
              </w:rPr>
              <w:t>ommittee (MSAC)</w:t>
            </w:r>
            <w:r w:rsidRPr="00575608">
              <w:rPr>
                <w:rFonts w:ascii="Garamond" w:hAnsi="Garamond"/>
                <w:lang w:val="en-AU"/>
              </w:rPr>
              <w:t xml:space="preserve"> and </w:t>
            </w:r>
            <w:r>
              <w:rPr>
                <w:rFonts w:ascii="Garamond" w:hAnsi="Garamond"/>
                <w:lang w:val="en-AU"/>
              </w:rPr>
              <w:t xml:space="preserve">the </w:t>
            </w:r>
            <w:r w:rsidRPr="00575608">
              <w:rPr>
                <w:rFonts w:ascii="Garamond" w:hAnsi="Garamond"/>
                <w:lang w:val="en-AU"/>
              </w:rPr>
              <w:t>Pharmaceutical Benefits Advisory Committee</w:t>
            </w:r>
            <w:r>
              <w:rPr>
                <w:rFonts w:ascii="Garamond" w:hAnsi="Garamond"/>
                <w:lang w:val="en-AU"/>
              </w:rPr>
              <w:t xml:space="preserve"> (</w:t>
            </w:r>
            <w:r w:rsidRPr="00575608">
              <w:rPr>
                <w:rFonts w:ascii="Garamond" w:hAnsi="Garamond"/>
                <w:lang w:val="en-AU"/>
              </w:rPr>
              <w:t>PBAC</w:t>
            </w:r>
            <w:r>
              <w:rPr>
                <w:rFonts w:ascii="Garamond" w:hAnsi="Garamond"/>
                <w:lang w:val="en-AU"/>
              </w:rPr>
              <w:t>)</w:t>
            </w:r>
          </w:p>
          <w:p w:rsidR="00575608" w:rsidRDefault="00575608" w:rsidP="00575608">
            <w:pPr>
              <w:pStyle w:val="ListParagraph"/>
              <w:numPr>
                <w:ilvl w:val="0"/>
                <w:numId w:val="28"/>
              </w:numPr>
              <w:rPr>
                <w:rFonts w:ascii="Garamond" w:hAnsi="Garamond"/>
                <w:lang w:val="en-AU"/>
              </w:rPr>
            </w:pPr>
            <w:r w:rsidRPr="00575608">
              <w:rPr>
                <w:rFonts w:ascii="Garamond" w:hAnsi="Garamond"/>
                <w:lang w:val="en-AU"/>
              </w:rPr>
              <w:t>Collection of health outcomes data</w:t>
            </w:r>
          </w:p>
          <w:p w:rsidR="00575608" w:rsidRDefault="00575608" w:rsidP="00575608">
            <w:pPr>
              <w:pStyle w:val="ListParagraph"/>
              <w:numPr>
                <w:ilvl w:val="0"/>
                <w:numId w:val="28"/>
              </w:numPr>
              <w:rPr>
                <w:rFonts w:ascii="Garamond" w:hAnsi="Garamond"/>
                <w:lang w:val="en-AU"/>
              </w:rPr>
            </w:pPr>
            <w:r w:rsidRPr="00575608">
              <w:rPr>
                <w:rFonts w:ascii="Garamond" w:hAnsi="Garamond"/>
                <w:lang w:val="en-AU"/>
              </w:rPr>
              <w:t>Data sharing and reporting to support disinvestment</w:t>
            </w:r>
          </w:p>
          <w:p w:rsidR="00575608" w:rsidRDefault="00575608" w:rsidP="00575608">
            <w:pPr>
              <w:pStyle w:val="ListParagraph"/>
              <w:numPr>
                <w:ilvl w:val="0"/>
                <w:numId w:val="28"/>
              </w:numPr>
              <w:rPr>
                <w:rFonts w:ascii="Garamond" w:hAnsi="Garamond"/>
                <w:lang w:val="en-AU"/>
              </w:rPr>
            </w:pPr>
            <w:r w:rsidRPr="00575608">
              <w:rPr>
                <w:rFonts w:ascii="Garamond" w:hAnsi="Garamond"/>
                <w:lang w:val="en-AU"/>
              </w:rPr>
              <w:t>Better information for consumer decision-making</w:t>
            </w:r>
          </w:p>
          <w:p w:rsidR="00575608" w:rsidRDefault="00575608" w:rsidP="00575608">
            <w:pPr>
              <w:pStyle w:val="ListParagraph"/>
              <w:numPr>
                <w:ilvl w:val="0"/>
                <w:numId w:val="28"/>
              </w:numPr>
              <w:rPr>
                <w:rFonts w:ascii="Garamond" w:hAnsi="Garamond"/>
                <w:lang w:val="en-AU"/>
              </w:rPr>
            </w:pPr>
            <w:r w:rsidRPr="00575608">
              <w:rPr>
                <w:rFonts w:ascii="Garamond" w:hAnsi="Garamond"/>
                <w:lang w:val="en-AU"/>
              </w:rPr>
              <w:t xml:space="preserve">Private health insurers </w:t>
            </w:r>
            <w:r>
              <w:rPr>
                <w:rFonts w:ascii="Garamond" w:hAnsi="Garamond"/>
                <w:lang w:val="en-AU"/>
              </w:rPr>
              <w:t xml:space="preserve">to </w:t>
            </w:r>
            <w:r w:rsidRPr="00575608">
              <w:rPr>
                <w:rFonts w:ascii="Garamond" w:hAnsi="Garamond"/>
                <w:lang w:val="en-AU"/>
              </w:rPr>
              <w:t>promote use of high-value care only</w:t>
            </w:r>
          </w:p>
          <w:p w:rsidR="00575608" w:rsidRPr="00575608" w:rsidRDefault="00575608" w:rsidP="00575608">
            <w:pPr>
              <w:pStyle w:val="ListParagraph"/>
              <w:numPr>
                <w:ilvl w:val="0"/>
                <w:numId w:val="28"/>
              </w:numPr>
              <w:rPr>
                <w:rFonts w:ascii="Garamond" w:hAnsi="Garamond"/>
                <w:lang w:val="en-AU"/>
              </w:rPr>
            </w:pPr>
            <w:r>
              <w:rPr>
                <w:rFonts w:ascii="Garamond" w:hAnsi="Garamond"/>
                <w:lang w:val="en-AU"/>
              </w:rPr>
              <w:t>Outcomes-</w:t>
            </w:r>
            <w:r w:rsidRPr="00575608">
              <w:rPr>
                <w:rFonts w:ascii="Garamond" w:hAnsi="Garamond"/>
                <w:lang w:val="en-AU"/>
              </w:rPr>
              <w:t>based funding</w:t>
            </w:r>
            <w:r>
              <w:rPr>
                <w:rFonts w:ascii="Garamond" w:hAnsi="Garamond"/>
                <w:lang w:val="en-AU"/>
              </w:rPr>
              <w:t>.</w:t>
            </w:r>
          </w:p>
        </w:tc>
      </w:tr>
    </w:tbl>
    <w:p w:rsidR="00FA0626" w:rsidRDefault="00FA0626" w:rsidP="00FA0626">
      <w:pPr>
        <w:keepNext/>
        <w:rPr>
          <w:rFonts w:ascii="Garamond" w:hAnsi="Garamond"/>
          <w:i/>
          <w:lang w:val="en-AU" w:eastAsia="en-AU"/>
        </w:rPr>
      </w:pPr>
    </w:p>
    <w:p w:rsidR="000911D9" w:rsidRPr="000911D9" w:rsidRDefault="000911D9" w:rsidP="000911D9">
      <w:pPr>
        <w:keepNext/>
        <w:rPr>
          <w:rFonts w:ascii="Garamond" w:hAnsi="Garamond"/>
          <w:i/>
          <w:lang w:val="en-AU"/>
        </w:rPr>
      </w:pPr>
      <w:r w:rsidRPr="000911D9">
        <w:rPr>
          <w:rFonts w:ascii="Garamond" w:hAnsi="Garamond"/>
          <w:i/>
          <w:lang w:val="en-AU"/>
        </w:rPr>
        <w:t>Making the case for quality improvement: lessons for NHS boards and leaders</w:t>
      </w:r>
    </w:p>
    <w:p w:rsidR="000911D9" w:rsidRDefault="000911D9" w:rsidP="00466082">
      <w:pPr>
        <w:keepNext/>
        <w:rPr>
          <w:rFonts w:ascii="Garamond" w:hAnsi="Garamond"/>
          <w:lang w:val="en-AU"/>
        </w:rPr>
      </w:pPr>
      <w:r w:rsidRPr="000911D9">
        <w:rPr>
          <w:rFonts w:ascii="Garamond" w:hAnsi="Garamond"/>
          <w:lang w:val="en-AU"/>
        </w:rPr>
        <w:t>Alderwick H, Charles A, Jones B, Warburton W</w:t>
      </w:r>
    </w:p>
    <w:p w:rsidR="00466082" w:rsidRPr="00C3014C" w:rsidRDefault="000911D9" w:rsidP="00466082">
      <w:pPr>
        <w:keepNext/>
        <w:rPr>
          <w:rFonts w:ascii="Garamond" w:hAnsi="Garamond"/>
          <w:lang w:val="en-AU"/>
        </w:rPr>
      </w:pPr>
      <w:r w:rsidRPr="000911D9">
        <w:rPr>
          <w:rFonts w:ascii="Garamond" w:hAnsi="Garamond"/>
          <w:lang w:val="en-AU"/>
        </w:rPr>
        <w:t>London: The King's Fund and The Health Foundation; 2017.</w:t>
      </w:r>
    </w:p>
    <w:tbl>
      <w:tblPr>
        <w:tblStyle w:val="TableGrid"/>
        <w:tblW w:w="0" w:type="auto"/>
        <w:tblInd w:w="288" w:type="dxa"/>
        <w:tblLayout w:type="fixed"/>
        <w:tblLook w:val="01E0" w:firstRow="1" w:lastRow="1" w:firstColumn="1" w:lastColumn="1" w:noHBand="0" w:noVBand="0"/>
      </w:tblPr>
      <w:tblGrid>
        <w:gridCol w:w="1080"/>
        <w:gridCol w:w="8280"/>
      </w:tblGrid>
      <w:tr w:rsidR="00466082" w:rsidRPr="00C3014C" w:rsidTr="000A0ED6">
        <w:tc>
          <w:tcPr>
            <w:tcW w:w="1080" w:type="dxa"/>
            <w:tcBorders>
              <w:top w:val="single" w:sz="4" w:space="0" w:color="auto"/>
              <w:left w:val="single" w:sz="4" w:space="0" w:color="auto"/>
              <w:bottom w:val="single" w:sz="4" w:space="0" w:color="auto"/>
              <w:right w:val="single" w:sz="4" w:space="0" w:color="auto"/>
            </w:tcBorders>
            <w:vAlign w:val="center"/>
          </w:tcPr>
          <w:p w:rsidR="00466082" w:rsidRPr="00C3014C" w:rsidRDefault="00466082" w:rsidP="000A0ED6">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466082" w:rsidRPr="00C3014C" w:rsidRDefault="00A86D2C" w:rsidP="000A0ED6">
            <w:pPr>
              <w:rPr>
                <w:rStyle w:val="Hyperlink"/>
                <w:rFonts w:ascii="Garamond" w:hAnsi="Garamond"/>
                <w:color w:val="auto"/>
                <w:u w:val="none"/>
                <w:lang w:val="en-AU"/>
              </w:rPr>
            </w:pPr>
            <w:hyperlink r:id="rId18" w:history="1">
              <w:r w:rsidR="000911D9" w:rsidRPr="00D3114B">
                <w:rPr>
                  <w:rStyle w:val="Hyperlink"/>
                  <w:rFonts w:ascii="Garamond" w:hAnsi="Garamond"/>
                  <w:lang w:val="en-AU"/>
                </w:rPr>
                <w:t>https://www.kingsfund.org.uk/publications/making-case-quality-improvement</w:t>
              </w:r>
            </w:hyperlink>
          </w:p>
        </w:tc>
      </w:tr>
      <w:tr w:rsidR="00466082" w:rsidRPr="00C3014C" w:rsidTr="000A0ED6">
        <w:tc>
          <w:tcPr>
            <w:tcW w:w="1080" w:type="dxa"/>
            <w:tcBorders>
              <w:top w:val="single" w:sz="4" w:space="0" w:color="auto"/>
              <w:left w:val="single" w:sz="4" w:space="0" w:color="auto"/>
              <w:bottom w:val="single" w:sz="4" w:space="0" w:color="auto"/>
              <w:right w:val="single" w:sz="4" w:space="0" w:color="auto"/>
            </w:tcBorders>
            <w:vAlign w:val="center"/>
          </w:tcPr>
          <w:p w:rsidR="00466082" w:rsidRPr="00C3014C" w:rsidRDefault="00466082" w:rsidP="000A0ED6">
            <w:pPr>
              <w:rPr>
                <w:rFonts w:ascii="Garamond" w:hAnsi="Garamond"/>
                <w:lang w:val="en-AU" w:eastAsia="en-AU"/>
              </w:rPr>
            </w:pPr>
            <w:r w:rsidRPr="00C3014C">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844BA" w:rsidRDefault="000911D9" w:rsidP="00466082">
            <w:pPr>
              <w:rPr>
                <w:rFonts w:ascii="Garamond" w:hAnsi="Garamond"/>
                <w:lang w:val="en-AU"/>
              </w:rPr>
            </w:pPr>
            <w:r>
              <w:rPr>
                <w:rFonts w:ascii="Garamond" w:hAnsi="Garamond"/>
                <w:lang w:val="en-AU"/>
              </w:rPr>
              <w:t xml:space="preserve">The King’s Fund (and the Health Foundation) in the UK have produced this briefing </w:t>
            </w:r>
            <w:r w:rsidR="003844BA">
              <w:rPr>
                <w:rFonts w:ascii="Garamond" w:hAnsi="Garamond"/>
                <w:lang w:val="en-AU"/>
              </w:rPr>
              <w:t xml:space="preserve">that </w:t>
            </w:r>
            <w:r w:rsidR="003844BA" w:rsidRPr="003844BA">
              <w:rPr>
                <w:rFonts w:ascii="Garamond" w:hAnsi="Garamond"/>
                <w:lang w:val="en-AU"/>
              </w:rPr>
              <w:t xml:space="preserve">makes the case for quality improvement to be at the heart of local plans for </w:t>
            </w:r>
            <w:r w:rsidR="003844BA">
              <w:rPr>
                <w:rFonts w:ascii="Garamond" w:hAnsi="Garamond"/>
                <w:lang w:val="en-AU"/>
              </w:rPr>
              <w:t xml:space="preserve">health </w:t>
            </w:r>
            <w:r w:rsidR="003844BA" w:rsidRPr="003844BA">
              <w:rPr>
                <w:rFonts w:ascii="Garamond" w:hAnsi="Garamond"/>
                <w:lang w:val="en-AU"/>
              </w:rPr>
              <w:t xml:space="preserve">services. </w:t>
            </w:r>
            <w:r w:rsidR="003844BA">
              <w:rPr>
                <w:rFonts w:ascii="Garamond" w:hAnsi="Garamond"/>
                <w:lang w:val="en-AU"/>
              </w:rPr>
              <w:t xml:space="preserve">They defined </w:t>
            </w:r>
            <w:r w:rsidR="003844BA" w:rsidRPr="003844BA">
              <w:rPr>
                <w:rFonts w:ascii="Garamond" w:hAnsi="Garamond"/>
                <w:lang w:val="en-AU"/>
              </w:rPr>
              <w:t>quality improvement</w:t>
            </w:r>
            <w:r w:rsidR="003844BA">
              <w:rPr>
                <w:rFonts w:ascii="Garamond" w:hAnsi="Garamond"/>
                <w:lang w:val="en-AU"/>
              </w:rPr>
              <w:t xml:space="preserve"> as “</w:t>
            </w:r>
            <w:r w:rsidR="003844BA" w:rsidRPr="003844BA">
              <w:rPr>
                <w:rFonts w:ascii="Garamond" w:hAnsi="Garamond"/>
                <w:lang w:val="en-AU"/>
              </w:rPr>
              <w:t>the use of methods and tools to try to continuously improve quality of care and outcomes for patients</w:t>
            </w:r>
            <w:r w:rsidR="003844BA">
              <w:rPr>
                <w:rFonts w:ascii="Garamond" w:hAnsi="Garamond"/>
                <w:lang w:val="en-AU"/>
              </w:rPr>
              <w:t>”</w:t>
            </w:r>
            <w:r w:rsidR="003844BA" w:rsidRPr="003844BA">
              <w:rPr>
                <w:rFonts w:ascii="Garamond" w:hAnsi="Garamond"/>
                <w:lang w:val="en-AU"/>
              </w:rPr>
              <w:t>.</w:t>
            </w:r>
            <w:r w:rsidR="003844BA">
              <w:rPr>
                <w:rFonts w:ascii="Garamond" w:hAnsi="Garamond"/>
                <w:lang w:val="en-AU"/>
              </w:rPr>
              <w:t xml:space="preserve"> T</w:t>
            </w:r>
            <w:r w:rsidR="003844BA" w:rsidRPr="003844BA">
              <w:rPr>
                <w:rFonts w:ascii="Garamond" w:hAnsi="Garamond"/>
                <w:lang w:val="en-AU"/>
              </w:rPr>
              <w:t xml:space="preserve">he briefing </w:t>
            </w:r>
            <w:r w:rsidR="003844BA">
              <w:rPr>
                <w:rFonts w:ascii="Garamond" w:hAnsi="Garamond"/>
                <w:lang w:val="en-AU"/>
              </w:rPr>
              <w:t xml:space="preserve">draws </w:t>
            </w:r>
            <w:r w:rsidR="003844BA" w:rsidRPr="003844BA">
              <w:rPr>
                <w:rFonts w:ascii="Garamond" w:hAnsi="Garamond"/>
                <w:lang w:val="en-AU"/>
              </w:rPr>
              <w:t xml:space="preserve">on </w:t>
            </w:r>
            <w:r w:rsidR="003844BA">
              <w:rPr>
                <w:rFonts w:ascii="Garamond" w:hAnsi="Garamond"/>
                <w:lang w:val="en-AU"/>
              </w:rPr>
              <w:t xml:space="preserve">both </w:t>
            </w:r>
            <w:r w:rsidR="003844BA" w:rsidRPr="003844BA">
              <w:rPr>
                <w:rFonts w:ascii="Garamond" w:hAnsi="Garamond"/>
                <w:lang w:val="en-AU"/>
              </w:rPr>
              <w:t>literature and examples of where quality has been improved and describing how this was done. It describes the potential benefits from investing in quality improvement – including for patients, staff and the financial sustainability of the system. The primary audience for this briefing is senior leaders, given the need for new approaches within organisations and across local systems to improve quality of care. Leadership and management practices are strongly related to performance on quality, and there is a well-established relationship between board commitment to quality improvement and quality of care within their organisations</w:t>
            </w:r>
            <w:r w:rsidR="003844BA">
              <w:rPr>
                <w:rFonts w:ascii="Garamond" w:hAnsi="Garamond"/>
                <w:lang w:val="en-AU"/>
              </w:rPr>
              <w:t xml:space="preserve">. </w:t>
            </w:r>
          </w:p>
          <w:p w:rsidR="000911D9" w:rsidRDefault="000911D9" w:rsidP="00466082">
            <w:pPr>
              <w:rPr>
                <w:rFonts w:ascii="Garamond" w:hAnsi="Garamond"/>
                <w:lang w:val="en-AU"/>
              </w:rPr>
            </w:pPr>
            <w:r>
              <w:rPr>
                <w:rFonts w:ascii="Garamond" w:hAnsi="Garamond"/>
                <w:lang w:val="en-AU"/>
              </w:rPr>
              <w:t xml:space="preserve">The author’s </w:t>
            </w:r>
            <w:r w:rsidR="003844BA">
              <w:rPr>
                <w:rFonts w:ascii="Garamond" w:hAnsi="Garamond"/>
                <w:lang w:val="en-AU"/>
              </w:rPr>
              <w:t xml:space="preserve">offer </w:t>
            </w:r>
            <w:r>
              <w:rPr>
                <w:rFonts w:ascii="Garamond" w:hAnsi="Garamond"/>
                <w:lang w:val="en-AU"/>
              </w:rPr>
              <w:t>ten lessons for health leaders. These are:</w:t>
            </w:r>
          </w:p>
          <w:p w:rsidR="000911D9" w:rsidRPr="000911D9" w:rsidRDefault="000911D9" w:rsidP="000911D9">
            <w:pPr>
              <w:pStyle w:val="ListParagraph"/>
              <w:numPr>
                <w:ilvl w:val="0"/>
                <w:numId w:val="24"/>
              </w:numPr>
              <w:rPr>
                <w:rFonts w:ascii="Garamond" w:hAnsi="Garamond"/>
                <w:lang w:val="en-AU"/>
              </w:rPr>
            </w:pPr>
            <w:r w:rsidRPr="000911D9">
              <w:rPr>
                <w:rFonts w:ascii="Garamond" w:hAnsi="Garamond"/>
                <w:lang w:val="en-AU"/>
              </w:rPr>
              <w:t>Make quality improvement a leadership priority for boards.</w:t>
            </w:r>
          </w:p>
          <w:p w:rsidR="000911D9" w:rsidRPr="000911D9" w:rsidRDefault="000911D9" w:rsidP="000911D9">
            <w:pPr>
              <w:pStyle w:val="ListParagraph"/>
              <w:numPr>
                <w:ilvl w:val="0"/>
                <w:numId w:val="24"/>
              </w:numPr>
              <w:rPr>
                <w:rFonts w:ascii="Garamond" w:hAnsi="Garamond"/>
                <w:lang w:val="en-AU"/>
              </w:rPr>
            </w:pPr>
            <w:r w:rsidRPr="000911D9">
              <w:rPr>
                <w:rFonts w:ascii="Garamond" w:hAnsi="Garamond"/>
                <w:lang w:val="en-AU"/>
              </w:rPr>
              <w:t>Share responsibility for quality improvement with leaders at all levels.</w:t>
            </w:r>
          </w:p>
          <w:p w:rsidR="000911D9" w:rsidRPr="000911D9" w:rsidRDefault="000911D9" w:rsidP="000911D9">
            <w:pPr>
              <w:pStyle w:val="ListParagraph"/>
              <w:numPr>
                <w:ilvl w:val="0"/>
                <w:numId w:val="24"/>
              </w:numPr>
              <w:rPr>
                <w:rFonts w:ascii="Garamond" w:hAnsi="Garamond"/>
                <w:lang w:val="en-AU"/>
              </w:rPr>
            </w:pPr>
            <w:r w:rsidRPr="000911D9">
              <w:rPr>
                <w:rFonts w:ascii="Garamond" w:hAnsi="Garamond"/>
                <w:lang w:val="en-AU"/>
              </w:rPr>
              <w:t>Don’t look for magic bullets or quick fixes.</w:t>
            </w:r>
          </w:p>
          <w:p w:rsidR="000911D9" w:rsidRPr="000911D9" w:rsidRDefault="000911D9" w:rsidP="000911D9">
            <w:pPr>
              <w:pStyle w:val="ListParagraph"/>
              <w:numPr>
                <w:ilvl w:val="0"/>
                <w:numId w:val="24"/>
              </w:numPr>
              <w:rPr>
                <w:rFonts w:ascii="Garamond" w:hAnsi="Garamond"/>
                <w:lang w:val="en-AU"/>
              </w:rPr>
            </w:pPr>
            <w:r w:rsidRPr="000911D9">
              <w:rPr>
                <w:rFonts w:ascii="Garamond" w:hAnsi="Garamond"/>
                <w:lang w:val="en-AU"/>
              </w:rPr>
              <w:t>Develop the skills and capabilities for improvement.</w:t>
            </w:r>
          </w:p>
          <w:p w:rsidR="000911D9" w:rsidRPr="000911D9" w:rsidRDefault="000911D9" w:rsidP="000911D9">
            <w:pPr>
              <w:pStyle w:val="ListParagraph"/>
              <w:numPr>
                <w:ilvl w:val="0"/>
                <w:numId w:val="24"/>
              </w:numPr>
              <w:rPr>
                <w:rFonts w:ascii="Garamond" w:hAnsi="Garamond"/>
                <w:lang w:val="en-AU"/>
              </w:rPr>
            </w:pPr>
            <w:r w:rsidRPr="000911D9">
              <w:rPr>
                <w:rFonts w:ascii="Garamond" w:hAnsi="Garamond"/>
                <w:lang w:val="en-AU"/>
              </w:rPr>
              <w:t>Have a consistent and coherent approach to quality improvement.</w:t>
            </w:r>
          </w:p>
          <w:p w:rsidR="000911D9" w:rsidRPr="000911D9" w:rsidRDefault="000911D9" w:rsidP="000911D9">
            <w:pPr>
              <w:pStyle w:val="ListParagraph"/>
              <w:numPr>
                <w:ilvl w:val="0"/>
                <w:numId w:val="24"/>
              </w:numPr>
              <w:rPr>
                <w:rFonts w:ascii="Garamond" w:hAnsi="Garamond"/>
                <w:lang w:val="en-AU"/>
              </w:rPr>
            </w:pPr>
            <w:r w:rsidRPr="000911D9">
              <w:rPr>
                <w:rFonts w:ascii="Garamond" w:hAnsi="Garamond"/>
                <w:lang w:val="en-AU"/>
              </w:rPr>
              <w:t>Use data effectively.</w:t>
            </w:r>
          </w:p>
          <w:p w:rsidR="000911D9" w:rsidRPr="000911D9" w:rsidRDefault="000911D9" w:rsidP="000911D9">
            <w:pPr>
              <w:pStyle w:val="ListParagraph"/>
              <w:numPr>
                <w:ilvl w:val="0"/>
                <w:numId w:val="24"/>
              </w:numPr>
              <w:rPr>
                <w:rFonts w:ascii="Garamond" w:hAnsi="Garamond"/>
                <w:lang w:val="en-AU"/>
              </w:rPr>
            </w:pPr>
            <w:r w:rsidRPr="000911D9">
              <w:rPr>
                <w:rFonts w:ascii="Garamond" w:hAnsi="Garamond"/>
                <w:lang w:val="en-AU"/>
              </w:rPr>
              <w:t>Focus on relationships and culture.</w:t>
            </w:r>
          </w:p>
          <w:p w:rsidR="000911D9" w:rsidRPr="000911D9" w:rsidRDefault="000911D9" w:rsidP="000911D9">
            <w:pPr>
              <w:pStyle w:val="ListParagraph"/>
              <w:numPr>
                <w:ilvl w:val="0"/>
                <w:numId w:val="24"/>
              </w:numPr>
              <w:rPr>
                <w:rFonts w:ascii="Garamond" w:hAnsi="Garamond"/>
                <w:lang w:val="en-AU"/>
              </w:rPr>
            </w:pPr>
            <w:r w:rsidRPr="000911D9">
              <w:rPr>
                <w:rFonts w:ascii="Garamond" w:hAnsi="Garamond"/>
                <w:lang w:val="en-AU"/>
              </w:rPr>
              <w:t>Enable and support frontline staff to engage in quality improvement.</w:t>
            </w:r>
          </w:p>
          <w:p w:rsidR="000911D9" w:rsidRPr="000911D9" w:rsidRDefault="000911D9" w:rsidP="000911D9">
            <w:pPr>
              <w:pStyle w:val="ListParagraph"/>
              <w:numPr>
                <w:ilvl w:val="0"/>
                <w:numId w:val="24"/>
              </w:numPr>
              <w:rPr>
                <w:rFonts w:ascii="Garamond" w:hAnsi="Garamond"/>
                <w:lang w:val="en-AU"/>
              </w:rPr>
            </w:pPr>
            <w:r w:rsidRPr="000911D9">
              <w:rPr>
                <w:rFonts w:ascii="Garamond" w:hAnsi="Garamond"/>
                <w:lang w:val="en-AU"/>
              </w:rPr>
              <w:t>Involve patients, service users and carers.</w:t>
            </w:r>
          </w:p>
          <w:p w:rsidR="000911D9" w:rsidRPr="000911D9" w:rsidRDefault="000911D9" w:rsidP="000911D9">
            <w:pPr>
              <w:pStyle w:val="ListParagraph"/>
              <w:numPr>
                <w:ilvl w:val="0"/>
                <w:numId w:val="24"/>
              </w:numPr>
              <w:rPr>
                <w:rFonts w:ascii="Garamond" w:hAnsi="Garamond"/>
                <w:lang w:val="en-AU"/>
              </w:rPr>
            </w:pPr>
            <w:r w:rsidRPr="000911D9">
              <w:rPr>
                <w:rFonts w:ascii="Garamond" w:hAnsi="Garamond"/>
                <w:lang w:val="en-AU"/>
              </w:rPr>
              <w:t>Work as a system.</w:t>
            </w:r>
          </w:p>
        </w:tc>
      </w:tr>
    </w:tbl>
    <w:p w:rsidR="00C42FCE" w:rsidRPr="00C42FCE" w:rsidRDefault="00C42FCE" w:rsidP="00644660">
      <w:pPr>
        <w:keepNext/>
        <w:keepLines/>
        <w:autoSpaceDE w:val="0"/>
        <w:autoSpaceDN w:val="0"/>
        <w:adjustRightInd w:val="0"/>
        <w:rPr>
          <w:rFonts w:ascii="Garamond" w:hAnsi="Garamond"/>
          <w:i/>
          <w:lang w:val="en-AU"/>
        </w:rPr>
      </w:pPr>
      <w:r w:rsidRPr="00C42FCE">
        <w:rPr>
          <w:rFonts w:ascii="Garamond" w:hAnsi="Garamond"/>
          <w:i/>
          <w:lang w:val="en-AU"/>
        </w:rPr>
        <w:lastRenderedPageBreak/>
        <w:t>Americans' Experiences With Medical Errors and Views on Patient Safety</w:t>
      </w:r>
    </w:p>
    <w:p w:rsidR="001902B3" w:rsidRDefault="001902B3" w:rsidP="00C42FCE">
      <w:pPr>
        <w:keepNext/>
        <w:keepLines/>
        <w:autoSpaceDE w:val="0"/>
        <w:autoSpaceDN w:val="0"/>
        <w:adjustRightInd w:val="0"/>
        <w:rPr>
          <w:rFonts w:ascii="Garamond" w:hAnsi="Garamond"/>
          <w:lang w:val="en-AU"/>
        </w:rPr>
      </w:pPr>
      <w:r w:rsidRPr="001902B3">
        <w:rPr>
          <w:rFonts w:ascii="Garamond" w:hAnsi="Garamond"/>
          <w:lang w:val="en-AU"/>
        </w:rPr>
        <w:t>NORC at the University of Chicago</w:t>
      </w:r>
      <w:r>
        <w:rPr>
          <w:rFonts w:ascii="Garamond" w:hAnsi="Garamond"/>
          <w:lang w:val="en-AU"/>
        </w:rPr>
        <w:t xml:space="preserve"> and</w:t>
      </w:r>
      <w:r w:rsidRPr="001902B3">
        <w:rPr>
          <w:rFonts w:ascii="Garamond" w:hAnsi="Garamond"/>
          <w:lang w:val="en-AU"/>
        </w:rPr>
        <w:t xml:space="preserve"> IHI/NPSF Lucian Leape Institute</w:t>
      </w:r>
    </w:p>
    <w:p w:rsidR="00C42FCE" w:rsidRPr="00C3014C" w:rsidRDefault="001902B3" w:rsidP="00C42FCE">
      <w:pPr>
        <w:keepNext/>
        <w:keepLines/>
        <w:autoSpaceDE w:val="0"/>
        <w:autoSpaceDN w:val="0"/>
        <w:adjustRightInd w:val="0"/>
        <w:rPr>
          <w:rFonts w:ascii="Garamond" w:hAnsi="Garamond"/>
          <w:lang w:val="en-AU"/>
        </w:rPr>
      </w:pPr>
      <w:r w:rsidRPr="001902B3">
        <w:rPr>
          <w:rFonts w:ascii="Garamond" w:hAnsi="Garamond"/>
          <w:lang w:val="en-AU"/>
        </w:rPr>
        <w:t>Chicago: NORC at the University of Chicago and IHI/NPSF Lucian Leape Institute; 2017. p. 38.</w:t>
      </w:r>
    </w:p>
    <w:tbl>
      <w:tblPr>
        <w:tblStyle w:val="TableGrid"/>
        <w:tblW w:w="0" w:type="auto"/>
        <w:tblInd w:w="288" w:type="dxa"/>
        <w:tblLayout w:type="fixed"/>
        <w:tblLook w:val="01E0" w:firstRow="1" w:lastRow="1" w:firstColumn="1" w:lastColumn="1" w:noHBand="0" w:noVBand="0"/>
      </w:tblPr>
      <w:tblGrid>
        <w:gridCol w:w="1080"/>
        <w:gridCol w:w="8280"/>
      </w:tblGrid>
      <w:tr w:rsidR="00C42FCE" w:rsidRPr="00C3014C" w:rsidTr="00733F4A">
        <w:tc>
          <w:tcPr>
            <w:tcW w:w="1080" w:type="dxa"/>
            <w:tcBorders>
              <w:top w:val="single" w:sz="4" w:space="0" w:color="auto"/>
              <w:left w:val="single" w:sz="4" w:space="0" w:color="auto"/>
              <w:bottom w:val="single" w:sz="4" w:space="0" w:color="auto"/>
              <w:right w:val="single" w:sz="4" w:space="0" w:color="auto"/>
            </w:tcBorders>
            <w:vAlign w:val="center"/>
          </w:tcPr>
          <w:p w:rsidR="00C42FCE" w:rsidRPr="00C3014C" w:rsidRDefault="00C42FCE" w:rsidP="00733F4A">
            <w:pPr>
              <w:rPr>
                <w:rStyle w:val="Hyperlink"/>
                <w:rFonts w:ascii="Garamond" w:hAnsi="Garamond"/>
                <w:lang w:val="en-AU"/>
              </w:rPr>
            </w:pPr>
            <w:r w:rsidRPr="00C3014C">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1902B3" w:rsidRPr="00C3014C" w:rsidRDefault="00A86D2C" w:rsidP="001902B3">
            <w:pPr>
              <w:rPr>
                <w:rStyle w:val="Hyperlink"/>
                <w:rFonts w:ascii="Garamond" w:hAnsi="Garamond"/>
                <w:color w:val="auto"/>
                <w:u w:val="none"/>
                <w:lang w:val="en-AU"/>
              </w:rPr>
            </w:pPr>
            <w:hyperlink r:id="rId19" w:history="1">
              <w:r w:rsidR="00C42FCE" w:rsidRPr="00D3114B">
                <w:rPr>
                  <w:rStyle w:val="Hyperlink"/>
                  <w:rFonts w:ascii="Garamond" w:hAnsi="Garamond"/>
                  <w:lang w:val="en-AU"/>
                </w:rPr>
                <w:t>http://www.ihi.org/about/news/Pages/New-Survey-Looks-at-Patient-Experiences-With-Medical-Error.aspx</w:t>
              </w:r>
            </w:hyperlink>
          </w:p>
        </w:tc>
      </w:tr>
      <w:tr w:rsidR="00C42FCE" w:rsidRPr="00C3014C" w:rsidTr="00733F4A">
        <w:tc>
          <w:tcPr>
            <w:tcW w:w="1080" w:type="dxa"/>
            <w:tcBorders>
              <w:top w:val="single" w:sz="4" w:space="0" w:color="auto"/>
              <w:left w:val="single" w:sz="4" w:space="0" w:color="auto"/>
              <w:bottom w:val="single" w:sz="4" w:space="0" w:color="auto"/>
              <w:right w:val="single" w:sz="4" w:space="0" w:color="auto"/>
            </w:tcBorders>
            <w:vAlign w:val="center"/>
          </w:tcPr>
          <w:p w:rsidR="00C42FCE" w:rsidRPr="00C3014C" w:rsidRDefault="00C42FCE" w:rsidP="00733F4A">
            <w:pPr>
              <w:rPr>
                <w:rFonts w:ascii="Garamond" w:hAnsi="Garamond"/>
                <w:lang w:val="en-AU" w:eastAsia="en-AU"/>
              </w:rPr>
            </w:pPr>
            <w:r w:rsidRPr="00C3014C">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902B3" w:rsidRDefault="00C42FCE" w:rsidP="00C42FCE">
            <w:pPr>
              <w:rPr>
                <w:rFonts w:ascii="Garamond" w:hAnsi="Garamond"/>
                <w:lang w:val="en-AU"/>
              </w:rPr>
            </w:pPr>
            <w:r>
              <w:rPr>
                <w:rFonts w:ascii="Garamond" w:hAnsi="Garamond"/>
                <w:lang w:val="en-AU"/>
              </w:rPr>
              <w:t xml:space="preserve">The report from the Lucian Leape Institute describes </w:t>
            </w:r>
            <w:r w:rsidR="00A429BA">
              <w:rPr>
                <w:rFonts w:ascii="Garamond" w:hAnsi="Garamond"/>
                <w:lang w:val="en-AU"/>
              </w:rPr>
              <w:t xml:space="preserve">a </w:t>
            </w:r>
            <w:r>
              <w:rPr>
                <w:rFonts w:ascii="Garamond" w:hAnsi="Garamond"/>
                <w:lang w:val="en-AU"/>
              </w:rPr>
              <w:t xml:space="preserve">survey that </w:t>
            </w:r>
            <w:r w:rsidRPr="00C42FCE">
              <w:rPr>
                <w:rFonts w:ascii="Garamond" w:hAnsi="Garamond"/>
                <w:lang w:val="en-AU"/>
              </w:rPr>
              <w:t>interviewed 2536 American adults</w:t>
            </w:r>
            <w:r w:rsidR="001902B3">
              <w:rPr>
                <w:rFonts w:ascii="Garamond" w:hAnsi="Garamond"/>
                <w:lang w:val="en-AU"/>
              </w:rPr>
              <w:t xml:space="preserve">. Once </w:t>
            </w:r>
            <w:r w:rsidR="001902B3" w:rsidRPr="001902B3">
              <w:rPr>
                <w:rFonts w:ascii="Garamond" w:hAnsi="Garamond"/>
                <w:lang w:val="en-AU"/>
              </w:rPr>
              <w:t xml:space="preserve">term “medical error” </w:t>
            </w:r>
            <w:r w:rsidR="001902B3">
              <w:rPr>
                <w:rFonts w:ascii="Garamond" w:hAnsi="Garamond"/>
                <w:lang w:val="en-AU"/>
              </w:rPr>
              <w:t xml:space="preserve">was defined, </w:t>
            </w:r>
            <w:r w:rsidR="001902B3" w:rsidRPr="001902B3">
              <w:rPr>
                <w:rFonts w:ascii="Garamond" w:hAnsi="Garamond"/>
                <w:b/>
                <w:lang w:val="en-AU"/>
              </w:rPr>
              <w:t>21%</w:t>
            </w:r>
            <w:r w:rsidR="001902B3">
              <w:rPr>
                <w:rFonts w:ascii="Garamond" w:hAnsi="Garamond"/>
                <w:lang w:val="en-AU"/>
              </w:rPr>
              <w:t xml:space="preserve"> </w:t>
            </w:r>
            <w:r w:rsidR="001902B3" w:rsidRPr="001902B3">
              <w:rPr>
                <w:rFonts w:ascii="Garamond" w:hAnsi="Garamond"/>
                <w:lang w:val="en-AU"/>
              </w:rPr>
              <w:t xml:space="preserve">report that they have </w:t>
            </w:r>
            <w:r w:rsidR="001902B3" w:rsidRPr="001902B3">
              <w:rPr>
                <w:rFonts w:ascii="Garamond" w:hAnsi="Garamond"/>
                <w:b/>
                <w:lang w:val="en-AU"/>
              </w:rPr>
              <w:t>personally experienced a medical error</w:t>
            </w:r>
            <w:r w:rsidR="001902B3" w:rsidRPr="001902B3">
              <w:rPr>
                <w:rFonts w:ascii="Garamond" w:hAnsi="Garamond"/>
                <w:lang w:val="en-AU"/>
              </w:rPr>
              <w:t>, and 31</w:t>
            </w:r>
            <w:r w:rsidR="001902B3">
              <w:rPr>
                <w:rFonts w:ascii="Garamond" w:hAnsi="Garamond"/>
                <w:lang w:val="en-AU"/>
              </w:rPr>
              <w:t>%</w:t>
            </w:r>
            <w:r w:rsidR="001902B3" w:rsidRPr="001902B3">
              <w:rPr>
                <w:rFonts w:ascii="Garamond" w:hAnsi="Garamond"/>
                <w:lang w:val="en-AU"/>
              </w:rPr>
              <w:t xml:space="preserve"> say they have personally been involved with the care of someone who has experienced an error. Combined, 41</w:t>
            </w:r>
            <w:r w:rsidR="001902B3">
              <w:rPr>
                <w:rFonts w:ascii="Garamond" w:hAnsi="Garamond"/>
                <w:lang w:val="en-AU"/>
              </w:rPr>
              <w:t xml:space="preserve">% </w:t>
            </w:r>
            <w:r w:rsidR="001902B3" w:rsidRPr="001902B3">
              <w:rPr>
                <w:rFonts w:ascii="Garamond" w:hAnsi="Garamond"/>
                <w:lang w:val="en-AU"/>
              </w:rPr>
              <w:t>have either experienced a medical error in their own care or were personally involved in a situation where a medical error was made in the care of someone close to them.</w:t>
            </w:r>
          </w:p>
          <w:p w:rsidR="00C42FCE" w:rsidRPr="00C3014C" w:rsidRDefault="00C42FCE" w:rsidP="001902B3">
            <w:pPr>
              <w:rPr>
                <w:rFonts w:ascii="Garamond" w:hAnsi="Garamond"/>
                <w:lang w:val="en-AU"/>
              </w:rPr>
            </w:pPr>
            <w:r>
              <w:rPr>
                <w:rFonts w:ascii="Garamond" w:hAnsi="Garamond"/>
                <w:lang w:val="en-AU"/>
              </w:rPr>
              <w:t xml:space="preserve">The </w:t>
            </w:r>
            <w:r w:rsidRPr="00BC02FB">
              <w:rPr>
                <w:rFonts w:ascii="Garamond" w:hAnsi="Garamond"/>
                <w:b/>
                <w:lang w:val="en-AU"/>
              </w:rPr>
              <w:t>proportion reporting harm</w:t>
            </w:r>
            <w:r>
              <w:rPr>
                <w:rFonts w:ascii="Garamond" w:hAnsi="Garamond"/>
                <w:lang w:val="en-AU"/>
              </w:rPr>
              <w:t xml:space="preserve"> </w:t>
            </w:r>
            <w:r w:rsidRPr="00C42FCE">
              <w:rPr>
                <w:rFonts w:ascii="Garamond" w:hAnsi="Garamond"/>
                <w:lang w:val="en-AU"/>
              </w:rPr>
              <w:t>when receiving medical care</w:t>
            </w:r>
            <w:r>
              <w:rPr>
                <w:rFonts w:ascii="Garamond" w:hAnsi="Garamond"/>
                <w:lang w:val="en-AU"/>
              </w:rPr>
              <w:t xml:space="preserve"> was much lower, about </w:t>
            </w:r>
            <w:r w:rsidRPr="00BC02FB">
              <w:rPr>
                <w:rFonts w:ascii="Garamond" w:hAnsi="Garamond"/>
                <w:b/>
                <w:lang w:val="en-AU"/>
              </w:rPr>
              <w:t xml:space="preserve">10% </w:t>
            </w:r>
            <w:r>
              <w:rPr>
                <w:rFonts w:ascii="Garamond" w:hAnsi="Garamond"/>
                <w:lang w:val="en-AU"/>
              </w:rPr>
              <w:t>(half of those reporting an error).</w:t>
            </w:r>
            <w:r w:rsidR="001902B3">
              <w:rPr>
                <w:rFonts w:ascii="Garamond" w:hAnsi="Garamond"/>
                <w:lang w:val="en-AU"/>
              </w:rPr>
              <w:t xml:space="preserve"> </w:t>
            </w:r>
            <w:r>
              <w:rPr>
                <w:rFonts w:ascii="Garamond" w:hAnsi="Garamond"/>
                <w:lang w:val="en-AU"/>
              </w:rPr>
              <w:t xml:space="preserve">The most common forms of error were </w:t>
            </w:r>
            <w:r w:rsidRPr="00C42FCE">
              <w:rPr>
                <w:rFonts w:ascii="Garamond" w:hAnsi="Garamond"/>
                <w:lang w:val="en-AU"/>
              </w:rPr>
              <w:t>missed or delayed diagnosis</w:t>
            </w:r>
            <w:r>
              <w:rPr>
                <w:rFonts w:ascii="Garamond" w:hAnsi="Garamond"/>
                <w:lang w:val="en-AU"/>
              </w:rPr>
              <w:t xml:space="preserve"> and </w:t>
            </w:r>
            <w:r w:rsidRPr="00C42FCE">
              <w:rPr>
                <w:rFonts w:ascii="Garamond" w:hAnsi="Garamond"/>
                <w:lang w:val="en-AU"/>
              </w:rPr>
              <w:t>communication error</w:t>
            </w:r>
            <w:r>
              <w:rPr>
                <w:rFonts w:ascii="Garamond" w:hAnsi="Garamond"/>
                <w:lang w:val="en-AU"/>
              </w:rPr>
              <w:t>s</w:t>
            </w:r>
            <w:r w:rsidR="001902B3">
              <w:rPr>
                <w:rFonts w:ascii="Garamond" w:hAnsi="Garamond"/>
                <w:lang w:val="en-AU"/>
              </w:rPr>
              <w:t>.</w:t>
            </w:r>
          </w:p>
        </w:tc>
      </w:tr>
    </w:tbl>
    <w:p w:rsidR="00C42FCE" w:rsidRDefault="00C42FCE" w:rsidP="00C42FCE">
      <w:pPr>
        <w:keepNext/>
        <w:keepLines/>
        <w:autoSpaceDE w:val="0"/>
        <w:autoSpaceDN w:val="0"/>
        <w:adjustRightInd w:val="0"/>
        <w:rPr>
          <w:rFonts w:ascii="Garamond" w:hAnsi="Garamond"/>
          <w:lang w:val="en-AU"/>
        </w:rPr>
      </w:pPr>
    </w:p>
    <w:p w:rsidR="000C6A11" w:rsidRPr="00C3014C" w:rsidRDefault="000C6A11" w:rsidP="00644660">
      <w:pPr>
        <w:keepNext/>
        <w:keepLines/>
        <w:autoSpaceDE w:val="0"/>
        <w:autoSpaceDN w:val="0"/>
        <w:adjustRightInd w:val="0"/>
        <w:rPr>
          <w:rFonts w:ascii="Garamond" w:hAnsi="Garamond"/>
          <w:b/>
          <w:lang w:val="en-AU"/>
        </w:rPr>
      </w:pPr>
      <w:r w:rsidRPr="00C3014C">
        <w:rPr>
          <w:rFonts w:ascii="Garamond" w:hAnsi="Garamond"/>
          <w:b/>
          <w:lang w:val="en-AU"/>
        </w:rPr>
        <w:t>Journal articles</w:t>
      </w:r>
    </w:p>
    <w:p w:rsidR="0010604C" w:rsidRPr="00C3014C" w:rsidRDefault="0010604C" w:rsidP="00644660">
      <w:pPr>
        <w:keepNext/>
        <w:keepLines/>
        <w:autoSpaceDE w:val="0"/>
        <w:autoSpaceDN w:val="0"/>
        <w:adjustRightInd w:val="0"/>
        <w:rPr>
          <w:rFonts w:ascii="Garamond" w:hAnsi="Garamond"/>
          <w:lang w:val="en-AU"/>
        </w:rPr>
      </w:pPr>
    </w:p>
    <w:p w:rsidR="00B05BFC" w:rsidRPr="00B05BFC" w:rsidRDefault="00B05BFC" w:rsidP="00B05BFC">
      <w:pPr>
        <w:keepNext/>
        <w:rPr>
          <w:rFonts w:ascii="Garamond" w:hAnsi="Garamond"/>
          <w:i/>
          <w:lang w:val="en-AU"/>
        </w:rPr>
      </w:pPr>
      <w:r w:rsidRPr="00B05BFC">
        <w:rPr>
          <w:rFonts w:ascii="Garamond" w:hAnsi="Garamond"/>
          <w:i/>
          <w:lang w:val="en-AU"/>
        </w:rPr>
        <w:t>Delirium in Hospitalized Older Adults</w:t>
      </w:r>
    </w:p>
    <w:p w:rsidR="00B05BFC" w:rsidRDefault="00B05BFC" w:rsidP="00915CB2">
      <w:pPr>
        <w:keepNext/>
        <w:rPr>
          <w:rFonts w:ascii="Garamond" w:hAnsi="Garamond"/>
          <w:lang w:val="en-AU"/>
        </w:rPr>
      </w:pPr>
      <w:r w:rsidRPr="00B05BFC">
        <w:rPr>
          <w:rFonts w:ascii="Garamond" w:hAnsi="Garamond"/>
          <w:lang w:val="en-AU"/>
        </w:rPr>
        <w:t>Marcantonio ER</w:t>
      </w:r>
    </w:p>
    <w:p w:rsidR="00915CB2" w:rsidRPr="00C3014C" w:rsidRDefault="00B05BFC" w:rsidP="00915CB2">
      <w:pPr>
        <w:keepNext/>
        <w:rPr>
          <w:rFonts w:ascii="Garamond" w:hAnsi="Garamond"/>
          <w:lang w:val="en-AU"/>
        </w:rPr>
      </w:pPr>
      <w:r w:rsidRPr="00B05BFC">
        <w:rPr>
          <w:rFonts w:ascii="Garamond" w:hAnsi="Garamond"/>
          <w:lang w:val="en-AU"/>
        </w:rPr>
        <w:t>New England Journal of Medicine. 2017;377(15):1456-66.</w:t>
      </w:r>
    </w:p>
    <w:tbl>
      <w:tblPr>
        <w:tblStyle w:val="TableGrid"/>
        <w:tblW w:w="0" w:type="auto"/>
        <w:tblInd w:w="288" w:type="dxa"/>
        <w:tblLayout w:type="fixed"/>
        <w:tblLook w:val="01E0" w:firstRow="1" w:lastRow="1" w:firstColumn="1" w:lastColumn="1" w:noHBand="0" w:noVBand="0"/>
      </w:tblPr>
      <w:tblGrid>
        <w:gridCol w:w="1080"/>
        <w:gridCol w:w="8280"/>
      </w:tblGrid>
      <w:tr w:rsidR="00915CB2" w:rsidRPr="00C3014C" w:rsidTr="006C4582">
        <w:tc>
          <w:tcPr>
            <w:tcW w:w="1080" w:type="dxa"/>
            <w:tcBorders>
              <w:top w:val="single" w:sz="4" w:space="0" w:color="auto"/>
              <w:left w:val="single" w:sz="4" w:space="0" w:color="auto"/>
              <w:bottom w:val="single" w:sz="4" w:space="0" w:color="auto"/>
              <w:right w:val="single" w:sz="4" w:space="0" w:color="auto"/>
            </w:tcBorders>
            <w:vAlign w:val="center"/>
          </w:tcPr>
          <w:p w:rsidR="00915CB2" w:rsidRPr="00C3014C" w:rsidRDefault="00915CB2" w:rsidP="006C4582">
            <w:pPr>
              <w:rPr>
                <w:rStyle w:val="Hyperlink"/>
                <w:rFonts w:ascii="Garamond" w:hAnsi="Garamond"/>
                <w:lang w:val="en-AU"/>
              </w:rPr>
            </w:pPr>
            <w:r w:rsidRPr="00C3014C">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915CB2" w:rsidRPr="00C3014C" w:rsidRDefault="00A86D2C" w:rsidP="006C4582">
            <w:pPr>
              <w:rPr>
                <w:rStyle w:val="Hyperlink"/>
                <w:rFonts w:ascii="Garamond" w:hAnsi="Garamond"/>
                <w:color w:val="auto"/>
                <w:u w:val="none"/>
                <w:lang w:val="en-AU"/>
              </w:rPr>
            </w:pPr>
            <w:hyperlink r:id="rId20" w:history="1">
              <w:r w:rsidR="00696EF9" w:rsidRPr="00D3114B">
                <w:rPr>
                  <w:rStyle w:val="Hyperlink"/>
                  <w:rFonts w:ascii="Garamond" w:hAnsi="Garamond"/>
                  <w:lang w:val="en-AU"/>
                </w:rPr>
                <w:t>http://dx.doi.org/10.1056/NEJMcp1605501</w:t>
              </w:r>
            </w:hyperlink>
          </w:p>
        </w:tc>
      </w:tr>
      <w:tr w:rsidR="00915CB2" w:rsidRPr="00C3014C" w:rsidTr="006C4582">
        <w:tc>
          <w:tcPr>
            <w:tcW w:w="1080" w:type="dxa"/>
            <w:tcBorders>
              <w:top w:val="single" w:sz="4" w:space="0" w:color="auto"/>
              <w:left w:val="single" w:sz="4" w:space="0" w:color="auto"/>
              <w:bottom w:val="single" w:sz="4" w:space="0" w:color="auto"/>
              <w:right w:val="single" w:sz="4" w:space="0" w:color="auto"/>
            </w:tcBorders>
            <w:vAlign w:val="center"/>
          </w:tcPr>
          <w:p w:rsidR="00915CB2" w:rsidRPr="00C3014C" w:rsidRDefault="00915CB2" w:rsidP="006C4582">
            <w:pPr>
              <w:rPr>
                <w:rFonts w:ascii="Garamond" w:hAnsi="Garamond"/>
                <w:lang w:val="en-AU" w:eastAsia="en-AU"/>
              </w:rPr>
            </w:pPr>
            <w:r w:rsidRPr="00C3014C">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15CB2" w:rsidRDefault="00696EF9" w:rsidP="00375CD7">
            <w:pPr>
              <w:rPr>
                <w:rFonts w:ascii="Garamond" w:hAnsi="Garamond"/>
                <w:lang w:val="en-AU"/>
              </w:rPr>
            </w:pPr>
            <w:r>
              <w:rPr>
                <w:rFonts w:ascii="Garamond" w:hAnsi="Garamond"/>
                <w:lang w:val="en-AU"/>
              </w:rPr>
              <w:t xml:space="preserve">The </w:t>
            </w:r>
            <w:r w:rsidRPr="00292DF2">
              <w:rPr>
                <w:rFonts w:ascii="Garamond" w:hAnsi="Garamond"/>
                <w:i/>
                <w:lang w:val="en-AU"/>
              </w:rPr>
              <w:t>New England Journal of Medicine</w:t>
            </w:r>
            <w:r>
              <w:rPr>
                <w:rFonts w:ascii="Garamond" w:hAnsi="Garamond"/>
                <w:lang w:val="en-AU"/>
              </w:rPr>
              <w:t xml:space="preserve"> has included this Clinical Practice feature looking at the issue of delirium in patients. This is a far more common problem than many are aware of and is often overlooked. </w:t>
            </w:r>
            <w:r w:rsidRPr="00696EF9">
              <w:rPr>
                <w:rFonts w:ascii="Garamond" w:hAnsi="Garamond"/>
                <w:lang w:val="en-AU"/>
              </w:rPr>
              <w:t xml:space="preserve">This feature </w:t>
            </w:r>
            <w:r>
              <w:rPr>
                <w:rFonts w:ascii="Garamond" w:hAnsi="Garamond"/>
                <w:lang w:val="en-AU"/>
              </w:rPr>
              <w:t xml:space="preserve">uses </w:t>
            </w:r>
            <w:r w:rsidRPr="00696EF9">
              <w:rPr>
                <w:rFonts w:ascii="Garamond" w:hAnsi="Garamond"/>
                <w:lang w:val="en-AU"/>
              </w:rPr>
              <w:t>a case vignette</w:t>
            </w:r>
            <w:r>
              <w:rPr>
                <w:rFonts w:ascii="Garamond" w:hAnsi="Garamond"/>
                <w:lang w:val="en-AU"/>
              </w:rPr>
              <w:t xml:space="preserve"> before discussing evidence-based strategies and </w:t>
            </w:r>
            <w:r w:rsidRPr="00696EF9">
              <w:rPr>
                <w:rFonts w:ascii="Garamond" w:hAnsi="Garamond"/>
                <w:lang w:val="en-AU"/>
              </w:rPr>
              <w:t xml:space="preserve">a review of </w:t>
            </w:r>
            <w:r>
              <w:rPr>
                <w:rFonts w:ascii="Garamond" w:hAnsi="Garamond"/>
                <w:lang w:val="en-AU"/>
              </w:rPr>
              <w:t xml:space="preserve">some existing </w:t>
            </w:r>
            <w:r w:rsidRPr="00696EF9">
              <w:rPr>
                <w:rFonts w:ascii="Garamond" w:hAnsi="Garamond"/>
                <w:lang w:val="en-AU"/>
              </w:rPr>
              <w:t>guidelines</w:t>
            </w:r>
            <w:r w:rsidR="00375CD7">
              <w:rPr>
                <w:rFonts w:ascii="Garamond" w:hAnsi="Garamond"/>
                <w:lang w:val="en-AU"/>
              </w:rPr>
              <w:t>. The key clinical points include:</w:t>
            </w:r>
          </w:p>
          <w:p w:rsidR="00375CD7" w:rsidRPr="00375CD7" w:rsidRDefault="00375CD7" w:rsidP="00375CD7">
            <w:pPr>
              <w:pStyle w:val="ListParagraph"/>
              <w:numPr>
                <w:ilvl w:val="0"/>
                <w:numId w:val="25"/>
              </w:numPr>
              <w:rPr>
                <w:rFonts w:ascii="Garamond" w:hAnsi="Garamond"/>
                <w:lang w:val="en-AU"/>
              </w:rPr>
            </w:pPr>
            <w:r w:rsidRPr="00375CD7">
              <w:rPr>
                <w:rFonts w:ascii="Garamond" w:hAnsi="Garamond"/>
                <w:b/>
                <w:lang w:val="en-AU"/>
              </w:rPr>
              <w:t>Delirium</w:t>
            </w:r>
            <w:r w:rsidRPr="00375CD7">
              <w:rPr>
                <w:rFonts w:ascii="Garamond" w:hAnsi="Garamond"/>
                <w:lang w:val="en-AU"/>
              </w:rPr>
              <w:t xml:space="preserve"> is an acute confusional state that is </w:t>
            </w:r>
            <w:r w:rsidRPr="00375CD7">
              <w:rPr>
                <w:rFonts w:ascii="Garamond" w:hAnsi="Garamond"/>
                <w:b/>
                <w:lang w:val="en-AU"/>
              </w:rPr>
              <w:t>extremely common</w:t>
            </w:r>
            <w:r>
              <w:rPr>
                <w:rFonts w:ascii="Garamond" w:hAnsi="Garamond"/>
                <w:lang w:val="en-AU"/>
              </w:rPr>
              <w:t xml:space="preserve"> among hospitalis</w:t>
            </w:r>
            <w:r w:rsidRPr="00375CD7">
              <w:rPr>
                <w:rFonts w:ascii="Garamond" w:hAnsi="Garamond"/>
                <w:lang w:val="en-AU"/>
              </w:rPr>
              <w:t xml:space="preserve">ed </w:t>
            </w:r>
            <w:r>
              <w:rPr>
                <w:rFonts w:ascii="Garamond" w:hAnsi="Garamond"/>
                <w:lang w:val="en-AU"/>
              </w:rPr>
              <w:t xml:space="preserve">older patient </w:t>
            </w:r>
            <w:r w:rsidRPr="00375CD7">
              <w:rPr>
                <w:rFonts w:ascii="Garamond" w:hAnsi="Garamond"/>
                <w:lang w:val="en-AU"/>
              </w:rPr>
              <w:t>and is strongly associated with poor short-term and long-term outcomes.</w:t>
            </w:r>
          </w:p>
          <w:p w:rsidR="00375CD7" w:rsidRPr="00375CD7" w:rsidRDefault="00375CD7" w:rsidP="00375CD7">
            <w:pPr>
              <w:pStyle w:val="ListParagraph"/>
              <w:numPr>
                <w:ilvl w:val="0"/>
                <w:numId w:val="25"/>
              </w:numPr>
              <w:rPr>
                <w:rFonts w:ascii="Garamond" w:hAnsi="Garamond"/>
                <w:lang w:val="en-AU"/>
              </w:rPr>
            </w:pPr>
            <w:r w:rsidRPr="00375CD7">
              <w:rPr>
                <w:rFonts w:ascii="Garamond" w:hAnsi="Garamond"/>
                <w:lang w:val="en-AU"/>
              </w:rPr>
              <w:t xml:space="preserve">The risk of delirium can be assessed according to the presence of </w:t>
            </w:r>
            <w:r w:rsidRPr="00375CD7">
              <w:rPr>
                <w:rFonts w:ascii="Garamond" w:hAnsi="Garamond"/>
                <w:b/>
                <w:lang w:val="en-AU"/>
              </w:rPr>
              <w:t>predisposing (baseline) and precipitating (acute) factors</w:t>
            </w:r>
            <w:r w:rsidRPr="00375CD7">
              <w:rPr>
                <w:rFonts w:ascii="Garamond" w:hAnsi="Garamond"/>
                <w:lang w:val="en-AU"/>
              </w:rPr>
              <w:t>. The more predisposing factors that are present, the fewer precipitating factors that are required to cause delirium.</w:t>
            </w:r>
          </w:p>
          <w:p w:rsidR="00375CD7" w:rsidRPr="00375CD7" w:rsidRDefault="00375CD7" w:rsidP="00375CD7">
            <w:pPr>
              <w:pStyle w:val="ListParagraph"/>
              <w:numPr>
                <w:ilvl w:val="0"/>
                <w:numId w:val="25"/>
              </w:numPr>
              <w:rPr>
                <w:rFonts w:ascii="Garamond" w:hAnsi="Garamond"/>
                <w:lang w:val="en-AU"/>
              </w:rPr>
            </w:pPr>
            <w:r w:rsidRPr="00375CD7">
              <w:rPr>
                <w:rFonts w:ascii="Garamond" w:hAnsi="Garamond"/>
                <w:lang w:val="en-AU"/>
              </w:rPr>
              <w:t xml:space="preserve">The first step in delirium management is </w:t>
            </w:r>
            <w:r w:rsidRPr="00375CD7">
              <w:rPr>
                <w:rFonts w:ascii="Garamond" w:hAnsi="Garamond"/>
                <w:b/>
                <w:lang w:val="en-AU"/>
              </w:rPr>
              <w:t>accurate diagnosis</w:t>
            </w:r>
            <w:r w:rsidRPr="00375CD7">
              <w:rPr>
                <w:rFonts w:ascii="Garamond" w:hAnsi="Garamond"/>
                <w:lang w:val="en-AU"/>
              </w:rPr>
              <w:t>.</w:t>
            </w:r>
          </w:p>
          <w:p w:rsidR="00375CD7" w:rsidRPr="00375CD7" w:rsidRDefault="00375CD7" w:rsidP="00375CD7">
            <w:pPr>
              <w:pStyle w:val="ListParagraph"/>
              <w:numPr>
                <w:ilvl w:val="0"/>
                <w:numId w:val="25"/>
              </w:numPr>
              <w:rPr>
                <w:rFonts w:ascii="Garamond" w:hAnsi="Garamond"/>
                <w:lang w:val="en-AU"/>
              </w:rPr>
            </w:pPr>
            <w:r w:rsidRPr="00375CD7">
              <w:rPr>
                <w:rFonts w:ascii="Garamond" w:hAnsi="Garamond"/>
                <w:lang w:val="en-AU"/>
              </w:rPr>
              <w:t xml:space="preserve">After receiving a diagnosis of delirium, patients require a </w:t>
            </w:r>
            <w:r w:rsidRPr="00375CD7">
              <w:rPr>
                <w:rFonts w:ascii="Garamond" w:hAnsi="Garamond"/>
                <w:b/>
                <w:lang w:val="en-AU"/>
              </w:rPr>
              <w:t xml:space="preserve">thorough evaluation </w:t>
            </w:r>
            <w:r w:rsidRPr="00375CD7">
              <w:rPr>
                <w:rFonts w:ascii="Garamond" w:hAnsi="Garamond"/>
                <w:lang w:val="en-AU"/>
              </w:rPr>
              <w:t>for reversible causes; all correctable contributing factors should be addressed.</w:t>
            </w:r>
          </w:p>
          <w:p w:rsidR="00375CD7" w:rsidRPr="00375CD7" w:rsidRDefault="00375CD7" w:rsidP="00375CD7">
            <w:pPr>
              <w:pStyle w:val="ListParagraph"/>
              <w:numPr>
                <w:ilvl w:val="0"/>
                <w:numId w:val="25"/>
              </w:numPr>
              <w:rPr>
                <w:rFonts w:ascii="Garamond" w:hAnsi="Garamond"/>
                <w:lang w:val="en-AU"/>
              </w:rPr>
            </w:pPr>
            <w:r w:rsidRPr="00375CD7">
              <w:rPr>
                <w:rFonts w:ascii="Garamond" w:hAnsi="Garamond"/>
                <w:lang w:val="en-AU"/>
              </w:rPr>
              <w:t>Behavio</w:t>
            </w:r>
            <w:r>
              <w:rPr>
                <w:rFonts w:ascii="Garamond" w:hAnsi="Garamond"/>
                <w:lang w:val="en-AU"/>
              </w:rPr>
              <w:t>u</w:t>
            </w:r>
            <w:r w:rsidRPr="00375CD7">
              <w:rPr>
                <w:rFonts w:ascii="Garamond" w:hAnsi="Garamond"/>
                <w:lang w:val="en-AU"/>
              </w:rPr>
              <w:t>ral disturbances should be managed with non</w:t>
            </w:r>
            <w:r>
              <w:rPr>
                <w:rFonts w:ascii="Garamond" w:hAnsi="Garamond"/>
                <w:lang w:val="en-AU"/>
              </w:rPr>
              <w:t>-</w:t>
            </w:r>
            <w:r w:rsidRPr="00375CD7">
              <w:rPr>
                <w:rFonts w:ascii="Garamond" w:hAnsi="Garamond"/>
                <w:lang w:val="en-AU"/>
              </w:rPr>
              <w:t>pharmacologic approaches first. If required for patient safety, low doses of high-potency antipsychotic agents are usually the treatment of choice. Treatment should be targeted to specific behavio</w:t>
            </w:r>
            <w:r>
              <w:rPr>
                <w:rFonts w:ascii="Garamond" w:hAnsi="Garamond"/>
                <w:lang w:val="en-AU"/>
              </w:rPr>
              <w:t>u</w:t>
            </w:r>
            <w:r w:rsidRPr="00375CD7">
              <w:rPr>
                <w:rFonts w:ascii="Garamond" w:hAnsi="Garamond"/>
                <w:lang w:val="en-AU"/>
              </w:rPr>
              <w:t>rs and stopped as soon as possible.</w:t>
            </w:r>
          </w:p>
          <w:p w:rsidR="00375CD7" w:rsidRPr="00375CD7" w:rsidRDefault="00375CD7" w:rsidP="00375CD7">
            <w:pPr>
              <w:pStyle w:val="ListParagraph"/>
              <w:numPr>
                <w:ilvl w:val="0"/>
                <w:numId w:val="25"/>
              </w:numPr>
              <w:rPr>
                <w:rFonts w:ascii="Garamond" w:hAnsi="Garamond"/>
                <w:lang w:val="en-AU"/>
              </w:rPr>
            </w:pPr>
            <w:r w:rsidRPr="00375CD7">
              <w:rPr>
                <w:rFonts w:ascii="Garamond" w:hAnsi="Garamond"/>
                <w:b/>
                <w:lang w:val="en-AU"/>
              </w:rPr>
              <w:t>Proactive, multifactorial interventions</w:t>
            </w:r>
            <w:r w:rsidRPr="00375CD7">
              <w:rPr>
                <w:rFonts w:ascii="Garamond" w:hAnsi="Garamond"/>
                <w:lang w:val="en-AU"/>
              </w:rPr>
              <w:t xml:space="preserve"> and geriatrics consultation have been shown to reduce the incidence, severity, and duration of delirium.</w:t>
            </w:r>
          </w:p>
        </w:tc>
      </w:tr>
    </w:tbl>
    <w:p w:rsidR="00915CB2" w:rsidRDefault="00915CB2" w:rsidP="00915CB2">
      <w:pPr>
        <w:keepLines/>
        <w:autoSpaceDE w:val="0"/>
        <w:autoSpaceDN w:val="0"/>
        <w:adjustRightInd w:val="0"/>
        <w:rPr>
          <w:rFonts w:ascii="Garamond" w:hAnsi="Garamond"/>
          <w:lang w:val="en-AU"/>
        </w:rPr>
      </w:pPr>
    </w:p>
    <w:p w:rsidR="00B05BFC" w:rsidRDefault="004552BD" w:rsidP="00915CB2">
      <w:pPr>
        <w:keepLines/>
        <w:autoSpaceDE w:val="0"/>
        <w:autoSpaceDN w:val="0"/>
        <w:adjustRightInd w:val="0"/>
        <w:rPr>
          <w:rFonts w:ascii="Garamond" w:hAnsi="Garamond"/>
          <w:lang w:val="en-AU"/>
        </w:rPr>
      </w:pPr>
      <w:r w:rsidRPr="00C3014C">
        <w:rPr>
          <w:rFonts w:ascii="Garamond" w:hAnsi="Garamond"/>
          <w:lang w:val="en-AU"/>
        </w:rPr>
        <w:t>For information on the Commission’s work on</w:t>
      </w:r>
      <w:r>
        <w:rPr>
          <w:rFonts w:ascii="Garamond" w:hAnsi="Garamond"/>
          <w:lang w:val="en-AU"/>
        </w:rPr>
        <w:t xml:space="preserve"> c</w:t>
      </w:r>
      <w:r w:rsidRPr="004552BD">
        <w:rPr>
          <w:rFonts w:ascii="Garamond" w:hAnsi="Garamond"/>
          <w:lang w:val="en-AU"/>
        </w:rPr>
        <w:t>ognitive impairment (dementia and delirium)</w:t>
      </w:r>
      <w:r>
        <w:rPr>
          <w:rFonts w:ascii="Garamond" w:hAnsi="Garamond"/>
          <w:lang w:val="en-AU"/>
        </w:rPr>
        <w:t xml:space="preserve">, including the Better Way to Care program, see </w:t>
      </w:r>
      <w:hyperlink r:id="rId21" w:history="1">
        <w:r w:rsidRPr="00D3114B">
          <w:rPr>
            <w:rStyle w:val="Hyperlink"/>
            <w:rFonts w:ascii="Garamond" w:hAnsi="Garamond"/>
            <w:lang w:val="en-AU"/>
          </w:rPr>
          <w:t>https://www.safetyandquality.gov.au/our-work/cognitive-impairment/</w:t>
        </w:r>
      </w:hyperlink>
    </w:p>
    <w:p w:rsidR="004552BD" w:rsidRDefault="004552BD" w:rsidP="00915CB2">
      <w:pPr>
        <w:keepLines/>
        <w:autoSpaceDE w:val="0"/>
        <w:autoSpaceDN w:val="0"/>
        <w:adjustRightInd w:val="0"/>
        <w:rPr>
          <w:rFonts w:ascii="Garamond" w:hAnsi="Garamond"/>
          <w:lang w:val="en-AU"/>
        </w:rPr>
      </w:pPr>
    </w:p>
    <w:p w:rsidR="004552BD" w:rsidRDefault="004552BD" w:rsidP="00915CB2">
      <w:pPr>
        <w:keepLines/>
        <w:autoSpaceDE w:val="0"/>
        <w:autoSpaceDN w:val="0"/>
        <w:adjustRightInd w:val="0"/>
        <w:rPr>
          <w:rFonts w:ascii="Garamond" w:hAnsi="Garamond"/>
          <w:lang w:val="en-AU"/>
        </w:rPr>
      </w:pPr>
      <w:r>
        <w:rPr>
          <w:rFonts w:ascii="Garamond" w:hAnsi="Garamond"/>
          <w:lang w:val="en-AU"/>
        </w:rPr>
        <w:t xml:space="preserve">For information on the Commission’s </w:t>
      </w:r>
      <w:r w:rsidRPr="004552BD">
        <w:rPr>
          <w:rFonts w:ascii="Garamond" w:hAnsi="Garamond"/>
          <w:i/>
          <w:lang w:val="en-AU"/>
        </w:rPr>
        <w:t>Delirium Clinical Care Standard</w:t>
      </w:r>
      <w:r>
        <w:rPr>
          <w:rFonts w:ascii="Garamond" w:hAnsi="Garamond"/>
          <w:lang w:val="en-AU"/>
        </w:rPr>
        <w:t xml:space="preserve">, </w:t>
      </w:r>
      <w:hyperlink r:id="rId22" w:history="1">
        <w:r w:rsidRPr="00D3114B">
          <w:rPr>
            <w:rStyle w:val="Hyperlink"/>
            <w:rFonts w:ascii="Garamond" w:hAnsi="Garamond"/>
            <w:lang w:val="en-AU"/>
          </w:rPr>
          <w:t>https://www.safetyandquality.gov.au/our-work/clinical-care-standards/delirium-clinical-care-standard/</w:t>
        </w:r>
      </w:hyperlink>
      <w:r>
        <w:rPr>
          <w:rFonts w:ascii="Garamond" w:hAnsi="Garamond"/>
          <w:lang w:val="en-AU"/>
        </w:rPr>
        <w:t xml:space="preserve"> </w:t>
      </w:r>
    </w:p>
    <w:p w:rsidR="0078310E" w:rsidRPr="00630863" w:rsidRDefault="0078310E" w:rsidP="0078310E">
      <w:pPr>
        <w:keepNext/>
        <w:rPr>
          <w:rFonts w:ascii="Garamond" w:hAnsi="Garamond"/>
          <w:i/>
          <w:lang w:val="en-AU"/>
        </w:rPr>
      </w:pPr>
      <w:r w:rsidRPr="00630863">
        <w:rPr>
          <w:rFonts w:ascii="Garamond" w:hAnsi="Garamond"/>
          <w:i/>
          <w:lang w:val="en-AU"/>
        </w:rPr>
        <w:lastRenderedPageBreak/>
        <w:t>Relation between family physician retention and avoidable hospital admission in Newfoundland and Labrador: a population-based cross-sectional study</w:t>
      </w:r>
    </w:p>
    <w:p w:rsidR="0078310E" w:rsidRDefault="0078310E" w:rsidP="0078310E">
      <w:pPr>
        <w:keepNext/>
        <w:rPr>
          <w:rFonts w:ascii="Garamond" w:hAnsi="Garamond"/>
          <w:lang w:val="en-AU"/>
        </w:rPr>
      </w:pPr>
      <w:r w:rsidRPr="00630863">
        <w:rPr>
          <w:rFonts w:ascii="Garamond" w:hAnsi="Garamond"/>
          <w:lang w:val="en-AU"/>
        </w:rPr>
        <w:t>Knight JC, Mathews M, Aubrey-Bassler K</w:t>
      </w:r>
    </w:p>
    <w:p w:rsidR="0078310E" w:rsidRPr="00C3014C" w:rsidRDefault="0078310E" w:rsidP="0078310E">
      <w:pPr>
        <w:keepNext/>
        <w:rPr>
          <w:rFonts w:ascii="Garamond" w:hAnsi="Garamond"/>
          <w:lang w:val="en-AU"/>
        </w:rPr>
      </w:pPr>
      <w:r w:rsidRPr="00630863">
        <w:rPr>
          <w:rFonts w:ascii="Garamond" w:hAnsi="Garamond"/>
          <w:lang w:val="en-AU"/>
        </w:rPr>
        <w:t>CMAJ Open. 2017 October 6, 2017;5(4):E746-E52.</w:t>
      </w:r>
    </w:p>
    <w:tbl>
      <w:tblPr>
        <w:tblStyle w:val="TableGrid"/>
        <w:tblW w:w="0" w:type="auto"/>
        <w:tblInd w:w="288" w:type="dxa"/>
        <w:tblLayout w:type="fixed"/>
        <w:tblLook w:val="01E0" w:firstRow="1" w:lastRow="1" w:firstColumn="1" w:lastColumn="1" w:noHBand="0" w:noVBand="0"/>
      </w:tblPr>
      <w:tblGrid>
        <w:gridCol w:w="1080"/>
        <w:gridCol w:w="8280"/>
      </w:tblGrid>
      <w:tr w:rsidR="0078310E" w:rsidRPr="00C3014C" w:rsidTr="00733F4A">
        <w:tc>
          <w:tcPr>
            <w:tcW w:w="1080" w:type="dxa"/>
            <w:tcBorders>
              <w:top w:val="single" w:sz="4" w:space="0" w:color="auto"/>
              <w:left w:val="single" w:sz="4" w:space="0" w:color="auto"/>
              <w:bottom w:val="single" w:sz="4" w:space="0" w:color="auto"/>
              <w:right w:val="single" w:sz="4" w:space="0" w:color="auto"/>
            </w:tcBorders>
            <w:vAlign w:val="center"/>
          </w:tcPr>
          <w:p w:rsidR="0078310E" w:rsidRPr="00C3014C" w:rsidRDefault="0078310E" w:rsidP="00733F4A">
            <w:pPr>
              <w:rPr>
                <w:rStyle w:val="Hyperlink"/>
                <w:rFonts w:ascii="Garamond" w:hAnsi="Garamond"/>
                <w:lang w:val="en-AU"/>
              </w:rPr>
            </w:pPr>
            <w:r w:rsidRPr="00C3014C">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78310E" w:rsidRPr="00C3014C" w:rsidRDefault="00A86D2C" w:rsidP="00733F4A">
            <w:pPr>
              <w:rPr>
                <w:rStyle w:val="Hyperlink"/>
                <w:rFonts w:ascii="Garamond" w:hAnsi="Garamond"/>
                <w:color w:val="auto"/>
                <w:u w:val="none"/>
                <w:lang w:val="en-AU"/>
              </w:rPr>
            </w:pPr>
            <w:hyperlink r:id="rId23" w:history="1">
              <w:r w:rsidR="0078310E" w:rsidRPr="00E4014B">
                <w:rPr>
                  <w:rStyle w:val="Hyperlink"/>
                  <w:rFonts w:ascii="Garamond" w:hAnsi="Garamond"/>
                  <w:lang w:val="en-AU"/>
                </w:rPr>
                <w:t>http://dx.doi.org/10.9778/cmajo.20170007</w:t>
              </w:r>
            </w:hyperlink>
          </w:p>
        </w:tc>
      </w:tr>
      <w:tr w:rsidR="0078310E" w:rsidRPr="00C3014C" w:rsidTr="00733F4A">
        <w:tc>
          <w:tcPr>
            <w:tcW w:w="1080" w:type="dxa"/>
            <w:tcBorders>
              <w:top w:val="single" w:sz="4" w:space="0" w:color="auto"/>
              <w:left w:val="single" w:sz="4" w:space="0" w:color="auto"/>
              <w:bottom w:val="single" w:sz="4" w:space="0" w:color="auto"/>
              <w:right w:val="single" w:sz="4" w:space="0" w:color="auto"/>
            </w:tcBorders>
            <w:vAlign w:val="center"/>
          </w:tcPr>
          <w:p w:rsidR="0078310E" w:rsidRPr="00C3014C" w:rsidRDefault="0078310E" w:rsidP="00733F4A">
            <w:pPr>
              <w:rPr>
                <w:rFonts w:ascii="Garamond" w:hAnsi="Garamond"/>
                <w:lang w:val="en-AU" w:eastAsia="en-AU"/>
              </w:rPr>
            </w:pPr>
            <w:r w:rsidRPr="00C3014C">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8310E" w:rsidRDefault="0078310E" w:rsidP="00733F4A">
            <w:pPr>
              <w:rPr>
                <w:rFonts w:ascii="Garamond" w:hAnsi="Garamond"/>
                <w:lang w:val="en-AU"/>
              </w:rPr>
            </w:pPr>
            <w:r>
              <w:rPr>
                <w:rFonts w:ascii="Garamond" w:hAnsi="Garamond"/>
                <w:lang w:val="en-AU"/>
              </w:rPr>
              <w:t xml:space="preserve">Attracting and retaining healthcare professionals to and in rural and regional locations is known to be difficult. It also has implications for the health of residents of these areas.  This Canadian study looked at the issue of GP retention and </w:t>
            </w:r>
            <w:r w:rsidRPr="004C78C9">
              <w:rPr>
                <w:rFonts w:ascii="Garamond" w:hAnsi="Garamond"/>
                <w:lang w:val="en-AU"/>
              </w:rPr>
              <w:t>avoidable hospital admission for ambulatory-care-sensitive conditions</w:t>
            </w:r>
            <w:r>
              <w:rPr>
                <w:rFonts w:ascii="Garamond" w:hAnsi="Garamond"/>
                <w:lang w:val="en-AU"/>
              </w:rPr>
              <w:t xml:space="preserve"> in the most easterly province of Canada, Newfoundland and Labrador</w:t>
            </w:r>
            <w:r w:rsidRPr="004C78C9">
              <w:rPr>
                <w:rFonts w:ascii="Garamond" w:hAnsi="Garamond"/>
                <w:lang w:val="en-AU"/>
              </w:rPr>
              <w:t>.</w:t>
            </w:r>
            <w:r>
              <w:rPr>
                <w:rFonts w:ascii="Garamond" w:hAnsi="Garamond"/>
                <w:lang w:val="en-AU"/>
              </w:rPr>
              <w:t xml:space="preserve"> Such turnover of GPs can </w:t>
            </w:r>
            <w:r w:rsidRPr="004C78C9">
              <w:rPr>
                <w:rFonts w:ascii="Garamond" w:hAnsi="Garamond"/>
                <w:lang w:val="en-AU"/>
              </w:rPr>
              <w:t>disrupt continuity of care, leading to poorer health outcomes and greater use of health care services.</w:t>
            </w:r>
          </w:p>
          <w:p w:rsidR="0078310E" w:rsidRPr="00630863" w:rsidRDefault="0078310E" w:rsidP="00733F4A">
            <w:pPr>
              <w:rPr>
                <w:rFonts w:ascii="Garamond" w:hAnsi="Garamond"/>
                <w:lang w:val="en-AU"/>
              </w:rPr>
            </w:pPr>
            <w:r>
              <w:rPr>
                <w:rFonts w:ascii="Garamond" w:hAnsi="Garamond"/>
                <w:lang w:val="en-AU"/>
              </w:rPr>
              <w:t>U</w:t>
            </w:r>
            <w:r w:rsidRPr="00630863">
              <w:rPr>
                <w:rFonts w:ascii="Garamond" w:hAnsi="Garamond"/>
                <w:lang w:val="en-AU"/>
              </w:rPr>
              <w:t xml:space="preserve">sing provincial health administrative data for </w:t>
            </w:r>
            <w:r>
              <w:rPr>
                <w:rFonts w:ascii="Garamond" w:hAnsi="Garamond"/>
                <w:lang w:val="en-AU"/>
              </w:rPr>
              <w:t xml:space="preserve">the 475,691 </w:t>
            </w:r>
            <w:r w:rsidRPr="00630863">
              <w:rPr>
                <w:rFonts w:ascii="Garamond" w:hAnsi="Garamond"/>
                <w:lang w:val="en-AU"/>
              </w:rPr>
              <w:t>residents of Newfoundland and Labrador who held a provincial health card between 2001 and 2009</w:t>
            </w:r>
            <w:r>
              <w:rPr>
                <w:rFonts w:ascii="Garamond" w:hAnsi="Garamond"/>
                <w:lang w:val="en-AU"/>
              </w:rPr>
              <w:t xml:space="preserve">the study found that </w:t>
            </w:r>
            <w:r w:rsidRPr="00630863">
              <w:rPr>
                <w:rFonts w:ascii="Garamond" w:hAnsi="Garamond"/>
                <w:lang w:val="en-AU"/>
              </w:rPr>
              <w:t xml:space="preserve">there was a negative relation between physician retention and hospital admission for ambulatory-care-sensitive conditions: residents of areas with moderate or low physician retention had admission rates that were 16.5% and 19.9% higher, respectively, compared to areas with high retention. </w:t>
            </w:r>
            <w:r>
              <w:rPr>
                <w:rFonts w:ascii="Garamond" w:hAnsi="Garamond"/>
                <w:lang w:val="en-AU"/>
              </w:rPr>
              <w:t>However, n</w:t>
            </w:r>
            <w:r w:rsidRPr="00630863">
              <w:rPr>
                <w:rFonts w:ascii="Garamond" w:hAnsi="Garamond"/>
                <w:lang w:val="en-AU"/>
              </w:rPr>
              <w:t>o relation was found when analysis was limited to those aged 65 years or more.</w:t>
            </w:r>
          </w:p>
          <w:p w:rsidR="0078310E" w:rsidRPr="00DC1E06" w:rsidRDefault="0078310E" w:rsidP="00733F4A">
            <w:pPr>
              <w:rPr>
                <w:rFonts w:ascii="Garamond" w:hAnsi="Garamond"/>
                <w:lang w:val="en-AU"/>
              </w:rPr>
            </w:pPr>
            <w:r>
              <w:rPr>
                <w:rFonts w:ascii="Garamond" w:hAnsi="Garamond"/>
                <w:lang w:val="en-AU"/>
              </w:rPr>
              <w:t>The authors conclude that their “</w:t>
            </w:r>
            <w:r w:rsidRPr="00630863">
              <w:rPr>
                <w:rFonts w:ascii="Garamond" w:hAnsi="Garamond"/>
                <w:lang w:val="en-AU"/>
              </w:rPr>
              <w:t xml:space="preserve">findings suggest that </w:t>
            </w:r>
            <w:r w:rsidRPr="00630863">
              <w:rPr>
                <w:rFonts w:ascii="Garamond" w:hAnsi="Garamond"/>
                <w:b/>
                <w:lang w:val="en-AU"/>
              </w:rPr>
              <w:t>high physician retention is associated with lower rates of hospital admission for ambulatory-care-sensitive conditions</w:t>
            </w:r>
            <w:r w:rsidRPr="00630863">
              <w:rPr>
                <w:rFonts w:ascii="Garamond" w:hAnsi="Garamond"/>
                <w:lang w:val="en-AU"/>
              </w:rPr>
              <w:t xml:space="preserve"> </w:t>
            </w:r>
            <w:r>
              <w:rPr>
                <w:rFonts w:ascii="Garamond" w:hAnsi="Garamond"/>
                <w:lang w:val="en-AU"/>
              </w:rPr>
              <w:t>… [and]</w:t>
            </w:r>
            <w:r w:rsidRPr="00630863">
              <w:rPr>
                <w:rFonts w:ascii="Garamond" w:hAnsi="Garamond"/>
                <w:lang w:val="en-AU"/>
              </w:rPr>
              <w:t xml:space="preserve"> This is consistent with our hypothesis that physician turnover acts to disrupt continuity of care, resulting in higher admission rates.</w:t>
            </w:r>
            <w:r>
              <w:rPr>
                <w:rFonts w:ascii="Garamond" w:hAnsi="Garamond"/>
                <w:lang w:val="en-AU"/>
              </w:rPr>
              <w:t>”</w:t>
            </w:r>
          </w:p>
        </w:tc>
      </w:tr>
    </w:tbl>
    <w:p w:rsidR="0078310E" w:rsidRDefault="0078310E" w:rsidP="0078310E">
      <w:pPr>
        <w:keepLines/>
        <w:autoSpaceDE w:val="0"/>
        <w:autoSpaceDN w:val="0"/>
        <w:adjustRightInd w:val="0"/>
        <w:rPr>
          <w:rFonts w:ascii="Garamond" w:hAnsi="Garamond"/>
          <w:lang w:val="en-AU"/>
        </w:rPr>
      </w:pPr>
    </w:p>
    <w:p w:rsidR="004552BD" w:rsidRPr="002D3E3E" w:rsidRDefault="002D3E3E" w:rsidP="00915CB2">
      <w:pPr>
        <w:keepNext/>
        <w:rPr>
          <w:rFonts w:ascii="Garamond" w:hAnsi="Garamond"/>
          <w:i/>
          <w:lang w:val="en-AU"/>
        </w:rPr>
      </w:pPr>
      <w:r w:rsidRPr="002D3E3E">
        <w:rPr>
          <w:rFonts w:ascii="Garamond" w:hAnsi="Garamond"/>
          <w:i/>
          <w:lang w:val="en-AU"/>
        </w:rPr>
        <w:t>Low-Cost, High-Volume Health Services Contribute The Most To Unnecessary Health Spending</w:t>
      </w:r>
    </w:p>
    <w:p w:rsidR="00AB152D" w:rsidRDefault="00AB152D" w:rsidP="00915CB2">
      <w:pPr>
        <w:keepNext/>
        <w:rPr>
          <w:rFonts w:ascii="Garamond" w:hAnsi="Garamond"/>
          <w:lang w:val="en-AU"/>
        </w:rPr>
      </w:pPr>
      <w:r w:rsidRPr="00AB152D">
        <w:rPr>
          <w:rFonts w:ascii="Garamond" w:hAnsi="Garamond"/>
          <w:lang w:val="en-AU"/>
        </w:rPr>
        <w:t>Mafi JN, Russell K, Bortz BA, Dachary M, Hazel WA, Fendrick AM</w:t>
      </w:r>
    </w:p>
    <w:p w:rsidR="002D3E3E" w:rsidRPr="00C3014C" w:rsidRDefault="00AB152D" w:rsidP="00915CB2">
      <w:pPr>
        <w:keepNext/>
        <w:rPr>
          <w:rFonts w:ascii="Garamond" w:hAnsi="Garamond"/>
          <w:lang w:val="en-AU"/>
        </w:rPr>
      </w:pPr>
      <w:r w:rsidRPr="00AB152D">
        <w:rPr>
          <w:rFonts w:ascii="Garamond" w:hAnsi="Garamond"/>
          <w:lang w:val="en-AU"/>
        </w:rPr>
        <w:t>Health Affairs. 2017 October 1, 2017;36(10):1701-4.</w:t>
      </w:r>
    </w:p>
    <w:tbl>
      <w:tblPr>
        <w:tblStyle w:val="TableGrid"/>
        <w:tblW w:w="0" w:type="auto"/>
        <w:tblInd w:w="288" w:type="dxa"/>
        <w:tblLayout w:type="fixed"/>
        <w:tblLook w:val="01E0" w:firstRow="1" w:lastRow="1" w:firstColumn="1" w:lastColumn="1" w:noHBand="0" w:noVBand="0"/>
      </w:tblPr>
      <w:tblGrid>
        <w:gridCol w:w="1080"/>
        <w:gridCol w:w="8280"/>
      </w:tblGrid>
      <w:tr w:rsidR="00915CB2" w:rsidRPr="00C3014C" w:rsidTr="006C4582">
        <w:tc>
          <w:tcPr>
            <w:tcW w:w="1080" w:type="dxa"/>
            <w:tcBorders>
              <w:top w:val="single" w:sz="4" w:space="0" w:color="auto"/>
              <w:left w:val="single" w:sz="4" w:space="0" w:color="auto"/>
              <w:bottom w:val="single" w:sz="4" w:space="0" w:color="auto"/>
              <w:right w:val="single" w:sz="4" w:space="0" w:color="auto"/>
            </w:tcBorders>
            <w:vAlign w:val="center"/>
          </w:tcPr>
          <w:p w:rsidR="00915CB2" w:rsidRPr="00C3014C" w:rsidRDefault="00915CB2" w:rsidP="006C4582">
            <w:pPr>
              <w:rPr>
                <w:rStyle w:val="Hyperlink"/>
                <w:rFonts w:ascii="Garamond" w:hAnsi="Garamond"/>
                <w:lang w:val="en-AU"/>
              </w:rPr>
            </w:pPr>
            <w:r w:rsidRPr="00C3014C">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915CB2" w:rsidRPr="00C3014C" w:rsidRDefault="002D3E3E" w:rsidP="006C4582">
            <w:pPr>
              <w:rPr>
                <w:rStyle w:val="Hyperlink"/>
                <w:rFonts w:ascii="Garamond" w:hAnsi="Garamond"/>
                <w:color w:val="auto"/>
                <w:u w:val="none"/>
                <w:lang w:val="en-AU"/>
              </w:rPr>
            </w:pPr>
            <w:hyperlink r:id="rId24" w:history="1">
              <w:r w:rsidRPr="00EC7E1F">
                <w:rPr>
                  <w:rStyle w:val="Hyperlink"/>
                  <w:rFonts w:ascii="Garamond" w:hAnsi="Garamond"/>
                  <w:lang w:val="en-AU"/>
                </w:rPr>
                <w:t>http://dx.doi.org/10.1377/hlthaff.2017.0385</w:t>
              </w:r>
            </w:hyperlink>
          </w:p>
        </w:tc>
      </w:tr>
      <w:tr w:rsidR="00915CB2" w:rsidRPr="00C3014C" w:rsidTr="006C4582">
        <w:tc>
          <w:tcPr>
            <w:tcW w:w="1080" w:type="dxa"/>
            <w:tcBorders>
              <w:top w:val="single" w:sz="4" w:space="0" w:color="auto"/>
              <w:left w:val="single" w:sz="4" w:space="0" w:color="auto"/>
              <w:bottom w:val="single" w:sz="4" w:space="0" w:color="auto"/>
              <w:right w:val="single" w:sz="4" w:space="0" w:color="auto"/>
            </w:tcBorders>
            <w:vAlign w:val="center"/>
          </w:tcPr>
          <w:p w:rsidR="00915CB2" w:rsidRPr="00C3014C" w:rsidRDefault="00915CB2" w:rsidP="006C4582">
            <w:pPr>
              <w:rPr>
                <w:rFonts w:ascii="Garamond" w:hAnsi="Garamond"/>
                <w:lang w:val="en-AU" w:eastAsia="en-AU"/>
              </w:rPr>
            </w:pPr>
            <w:r w:rsidRPr="00C3014C">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41613B" w:rsidRPr="00DC1E06" w:rsidRDefault="0041613B" w:rsidP="008D2E55">
            <w:pPr>
              <w:rPr>
                <w:rFonts w:ascii="Garamond" w:hAnsi="Garamond"/>
                <w:lang w:val="en-AU"/>
              </w:rPr>
            </w:pPr>
            <w:r>
              <w:rPr>
                <w:rFonts w:ascii="Garamond" w:hAnsi="Garamond"/>
                <w:lang w:val="en-AU"/>
              </w:rPr>
              <w:t xml:space="preserve">This US study used </w:t>
            </w:r>
            <w:r w:rsidR="00715AB7">
              <w:rPr>
                <w:rFonts w:ascii="Garamond" w:hAnsi="Garamond"/>
                <w:lang w:val="en-AU"/>
              </w:rPr>
              <w:t xml:space="preserve">2014 data in the </w:t>
            </w:r>
            <w:r w:rsidR="00715AB7" w:rsidRPr="0041613B">
              <w:rPr>
                <w:rFonts w:ascii="Garamond" w:hAnsi="Garamond"/>
                <w:lang w:val="en-AU"/>
              </w:rPr>
              <w:t>Virginia All Payer Claims Database</w:t>
            </w:r>
            <w:r w:rsidR="00715AB7">
              <w:rPr>
                <w:rFonts w:ascii="Garamond" w:hAnsi="Garamond"/>
                <w:lang w:val="en-AU"/>
              </w:rPr>
              <w:t xml:space="preserve"> to examine the costs of ‘low value’ services (defined here “</w:t>
            </w:r>
            <w:r w:rsidR="00715AB7" w:rsidRPr="00715AB7">
              <w:rPr>
                <w:rFonts w:ascii="Garamond" w:hAnsi="Garamond"/>
                <w:lang w:val="en-AU"/>
              </w:rPr>
              <w:t>patient care that provides no net health benefit in specific clinical scenarios</w:t>
            </w:r>
            <w:r w:rsidR="00715AB7">
              <w:rPr>
                <w:rFonts w:ascii="Garamond" w:hAnsi="Garamond"/>
                <w:lang w:val="en-AU"/>
              </w:rPr>
              <w:t xml:space="preserve">”). The results apparently showed that 40-odd </w:t>
            </w:r>
            <w:r w:rsidRPr="0041613B">
              <w:rPr>
                <w:rFonts w:ascii="Garamond" w:hAnsi="Garamond"/>
                <w:lang w:val="en-AU"/>
              </w:rPr>
              <w:t>low-value health services</w:t>
            </w:r>
            <w:r w:rsidR="00715AB7">
              <w:rPr>
                <w:rFonts w:ascii="Garamond" w:hAnsi="Garamond"/>
                <w:lang w:val="en-AU"/>
              </w:rPr>
              <w:t xml:space="preserve"> amounted to </w:t>
            </w:r>
            <w:r w:rsidRPr="0041613B">
              <w:rPr>
                <w:rFonts w:ascii="Garamond" w:hAnsi="Garamond"/>
                <w:lang w:val="en-AU"/>
              </w:rPr>
              <w:t>more than $</w:t>
            </w:r>
            <w:r w:rsidR="00715AB7">
              <w:rPr>
                <w:rFonts w:ascii="Garamond" w:hAnsi="Garamond"/>
                <w:lang w:val="en-AU"/>
              </w:rPr>
              <w:t>USD</w:t>
            </w:r>
            <w:r w:rsidRPr="0041613B">
              <w:rPr>
                <w:rFonts w:ascii="Garamond" w:hAnsi="Garamond"/>
                <w:lang w:val="en-AU"/>
              </w:rPr>
              <w:t xml:space="preserve">586 million in unnecessary costs. Among these low-value services, those that were low and very low cost ($538 or less per service) were delivered far more frequently than services that were high and very high cost ($539 or more). The combined costs of the </w:t>
            </w:r>
            <w:r w:rsidR="00715AB7">
              <w:rPr>
                <w:rFonts w:ascii="Garamond" w:hAnsi="Garamond"/>
                <w:lang w:val="en-AU"/>
              </w:rPr>
              <w:t xml:space="preserve">lower cost </w:t>
            </w:r>
            <w:r w:rsidRPr="0041613B">
              <w:rPr>
                <w:rFonts w:ascii="Garamond" w:hAnsi="Garamond"/>
                <w:lang w:val="en-AU"/>
              </w:rPr>
              <w:t xml:space="preserve">group were nearly twice those of the </w:t>
            </w:r>
            <w:r w:rsidR="008D2E55">
              <w:rPr>
                <w:rFonts w:ascii="Garamond" w:hAnsi="Garamond"/>
                <w:lang w:val="en-AU"/>
              </w:rPr>
              <w:t xml:space="preserve">higher cost group </w:t>
            </w:r>
            <w:r w:rsidRPr="0041613B">
              <w:rPr>
                <w:rFonts w:ascii="Garamond" w:hAnsi="Garamond"/>
                <w:lang w:val="en-AU"/>
              </w:rPr>
              <w:t>(65 percent versus 35 percent).</w:t>
            </w:r>
            <w:r w:rsidR="008D2E55">
              <w:rPr>
                <w:rFonts w:ascii="Garamond" w:hAnsi="Garamond"/>
                <w:lang w:val="en-AU"/>
              </w:rPr>
              <w:t xml:space="preserve"> The authors conclude “</w:t>
            </w:r>
            <w:r w:rsidR="008D2E55" w:rsidRPr="008D2E55">
              <w:rPr>
                <w:rFonts w:ascii="Garamond" w:hAnsi="Garamond"/>
                <w:b/>
                <w:lang w:val="en-AU"/>
              </w:rPr>
              <w:t>Decreasing wasteful health care spending</w:t>
            </w:r>
            <w:r w:rsidR="008D2E55" w:rsidRPr="008D2E55">
              <w:rPr>
                <w:rFonts w:ascii="Garamond" w:hAnsi="Garamond"/>
                <w:lang w:val="en-AU"/>
              </w:rPr>
              <w:t xml:space="preserve"> will </w:t>
            </w:r>
            <w:r w:rsidR="008D2E55" w:rsidRPr="008D2E55">
              <w:rPr>
                <w:rFonts w:ascii="Garamond" w:hAnsi="Garamond"/>
                <w:b/>
                <w:lang w:val="en-AU"/>
              </w:rPr>
              <w:t>reduce patient harm</w:t>
            </w:r>
            <w:r w:rsidR="008D2E55" w:rsidRPr="008D2E55">
              <w:rPr>
                <w:rFonts w:ascii="Garamond" w:hAnsi="Garamond"/>
                <w:lang w:val="en-AU"/>
              </w:rPr>
              <w:t xml:space="preserve"> </w:t>
            </w:r>
            <w:r w:rsidR="008D2E55" w:rsidRPr="008D2E55">
              <w:rPr>
                <w:rFonts w:ascii="Garamond" w:hAnsi="Garamond"/>
                <w:b/>
                <w:lang w:val="en-AU"/>
              </w:rPr>
              <w:t>and improve the efficiency</w:t>
            </w:r>
            <w:r w:rsidR="008D2E55" w:rsidRPr="008D2E55">
              <w:rPr>
                <w:rFonts w:ascii="Garamond" w:hAnsi="Garamond"/>
                <w:lang w:val="en-AU"/>
              </w:rPr>
              <w:t xml:space="preserve"> of delivery by shifting care away from low-value circumstances to clinical scenarios that improve patient-centered outcomes. Instead of pursuing a politically charged strategy to reduce the use of high-profile and higher-cost low-value services, an alternative approach that initially targets the reduction of high-volume and less costly items might be a more strategic way to catalyze the movement to tackle the problem of low-value care. These findings also suggest that in the </w:t>
            </w:r>
            <w:r w:rsidR="008D2E55" w:rsidRPr="005E461F">
              <w:rPr>
                <w:rFonts w:ascii="Garamond" w:hAnsi="Garamond"/>
                <w:b/>
                <w:lang w:val="en-AU"/>
              </w:rPr>
              <w:t>aggregate, minor actions</w:t>
            </w:r>
            <w:r w:rsidR="008D2E55" w:rsidRPr="008D2E55">
              <w:rPr>
                <w:rFonts w:ascii="Garamond" w:hAnsi="Garamond"/>
                <w:lang w:val="en-AU"/>
              </w:rPr>
              <w:t xml:space="preserve"> by all clinicians can have a </w:t>
            </w:r>
            <w:r w:rsidR="008D2E55" w:rsidRPr="005E461F">
              <w:rPr>
                <w:rFonts w:ascii="Garamond" w:hAnsi="Garamond"/>
                <w:b/>
                <w:lang w:val="en-AU"/>
              </w:rPr>
              <w:t>sizable impact on reducing unnecessary health care spending</w:t>
            </w:r>
            <w:r w:rsidR="008D2E55" w:rsidRPr="008D2E55">
              <w:rPr>
                <w:rFonts w:ascii="Garamond" w:hAnsi="Garamond"/>
                <w:lang w:val="en-AU"/>
              </w:rPr>
              <w:t>.</w:t>
            </w:r>
            <w:r w:rsidR="008D2E55">
              <w:rPr>
                <w:rFonts w:ascii="Garamond" w:hAnsi="Garamond"/>
                <w:lang w:val="en-AU"/>
              </w:rPr>
              <w:t>”</w:t>
            </w:r>
          </w:p>
        </w:tc>
      </w:tr>
    </w:tbl>
    <w:p w:rsidR="00915CB2" w:rsidRDefault="00915CB2" w:rsidP="00915CB2">
      <w:pPr>
        <w:keepLines/>
        <w:autoSpaceDE w:val="0"/>
        <w:autoSpaceDN w:val="0"/>
        <w:adjustRightInd w:val="0"/>
        <w:rPr>
          <w:rFonts w:ascii="Garamond" w:hAnsi="Garamond"/>
          <w:lang w:val="en-AU"/>
        </w:rPr>
      </w:pPr>
    </w:p>
    <w:p w:rsidR="002D3E3E" w:rsidRPr="002D3E3E" w:rsidRDefault="002D3E3E" w:rsidP="00915CB2">
      <w:pPr>
        <w:keepNext/>
        <w:rPr>
          <w:rFonts w:ascii="Garamond" w:hAnsi="Garamond"/>
          <w:i/>
          <w:lang w:val="en-AU"/>
        </w:rPr>
      </w:pPr>
      <w:r w:rsidRPr="002D3E3E">
        <w:rPr>
          <w:rFonts w:ascii="Garamond" w:hAnsi="Garamond"/>
          <w:i/>
          <w:lang w:val="en-AU"/>
        </w:rPr>
        <w:lastRenderedPageBreak/>
        <w:t>Persistent Frequent Emergency Department Use: Core Group Exhibits Extreme Levels Of Use For More Than A Decade</w:t>
      </w:r>
    </w:p>
    <w:p w:rsidR="00AB152D" w:rsidRDefault="00AB152D" w:rsidP="00915CB2">
      <w:pPr>
        <w:keepNext/>
        <w:rPr>
          <w:rFonts w:ascii="Garamond" w:hAnsi="Garamond"/>
          <w:lang w:val="en-AU"/>
        </w:rPr>
      </w:pPr>
      <w:r w:rsidRPr="00AB152D">
        <w:rPr>
          <w:rFonts w:ascii="Garamond" w:hAnsi="Garamond"/>
          <w:lang w:val="en-AU"/>
        </w:rPr>
        <w:t>Kanzaria HK, Niedzwiecki MJ, Montoy JC, Raven MC, Hsia RY</w:t>
      </w:r>
    </w:p>
    <w:p w:rsidR="002D3E3E" w:rsidRDefault="00AB152D" w:rsidP="00915CB2">
      <w:pPr>
        <w:keepNext/>
        <w:rPr>
          <w:rFonts w:ascii="Garamond" w:hAnsi="Garamond"/>
          <w:lang w:val="en-AU"/>
        </w:rPr>
      </w:pPr>
      <w:r w:rsidRPr="00AB152D">
        <w:rPr>
          <w:rFonts w:ascii="Garamond" w:hAnsi="Garamond"/>
          <w:lang w:val="en-AU"/>
        </w:rPr>
        <w:t>Health Affairs. 2017 October 1, 2017;36(10):1720-8.</w:t>
      </w:r>
    </w:p>
    <w:p w:rsidR="00BC02FB" w:rsidRDefault="00BC02FB" w:rsidP="00915CB2">
      <w:pPr>
        <w:keepNext/>
        <w:rPr>
          <w:rFonts w:ascii="Garamond" w:hAnsi="Garamond"/>
          <w:lang w:val="en-AU"/>
        </w:rPr>
      </w:pPr>
    </w:p>
    <w:p w:rsidR="00BC02FB" w:rsidRPr="002D3E3E" w:rsidRDefault="00BC02FB" w:rsidP="00BC02FB">
      <w:pPr>
        <w:keepNext/>
        <w:rPr>
          <w:rFonts w:ascii="Garamond" w:hAnsi="Garamond"/>
          <w:i/>
          <w:lang w:val="en-AU"/>
        </w:rPr>
      </w:pPr>
      <w:r w:rsidRPr="002D3E3E">
        <w:rPr>
          <w:rFonts w:ascii="Garamond" w:hAnsi="Garamond"/>
          <w:i/>
          <w:lang w:val="en-AU"/>
        </w:rPr>
        <w:t>Coordination Program Reduced Acute Care Use And Increased Primary Care Visits Among Frequent Emergency Care Users</w:t>
      </w:r>
    </w:p>
    <w:p w:rsidR="00BC02FB" w:rsidRDefault="00BC02FB" w:rsidP="00BC02FB">
      <w:pPr>
        <w:keepNext/>
        <w:rPr>
          <w:rFonts w:ascii="Garamond" w:hAnsi="Garamond"/>
          <w:lang w:val="en-AU"/>
        </w:rPr>
      </w:pPr>
      <w:r w:rsidRPr="00AB152D">
        <w:rPr>
          <w:rFonts w:ascii="Garamond" w:hAnsi="Garamond"/>
          <w:lang w:val="en-AU"/>
        </w:rPr>
        <w:t>Capp R, Misky GJ, Lindrooth RC, Honigman B, Logan H, Hardy R, et al.</w:t>
      </w:r>
    </w:p>
    <w:p w:rsidR="00BC02FB" w:rsidRDefault="00BC02FB" w:rsidP="00BC02FB">
      <w:pPr>
        <w:keepNext/>
        <w:rPr>
          <w:rFonts w:ascii="Garamond" w:hAnsi="Garamond"/>
          <w:lang w:val="en-AU"/>
        </w:rPr>
      </w:pPr>
      <w:r w:rsidRPr="00AB152D">
        <w:rPr>
          <w:rFonts w:ascii="Garamond" w:hAnsi="Garamond"/>
          <w:lang w:val="en-AU"/>
        </w:rPr>
        <w:t>Health Affairs. 2017 October 1, 2017;36(10):1705-11.</w:t>
      </w:r>
    </w:p>
    <w:tbl>
      <w:tblPr>
        <w:tblStyle w:val="TableGrid"/>
        <w:tblW w:w="0" w:type="auto"/>
        <w:tblInd w:w="288" w:type="dxa"/>
        <w:tblLayout w:type="fixed"/>
        <w:tblLook w:val="01E0" w:firstRow="1" w:lastRow="1" w:firstColumn="1" w:lastColumn="1" w:noHBand="0" w:noVBand="0"/>
      </w:tblPr>
      <w:tblGrid>
        <w:gridCol w:w="1080"/>
        <w:gridCol w:w="8280"/>
      </w:tblGrid>
      <w:tr w:rsidR="00915CB2" w:rsidRPr="00C3014C" w:rsidTr="006C4582">
        <w:tc>
          <w:tcPr>
            <w:tcW w:w="1080" w:type="dxa"/>
            <w:tcBorders>
              <w:top w:val="single" w:sz="4" w:space="0" w:color="auto"/>
              <w:left w:val="single" w:sz="4" w:space="0" w:color="auto"/>
              <w:bottom w:val="single" w:sz="4" w:space="0" w:color="auto"/>
              <w:right w:val="single" w:sz="4" w:space="0" w:color="auto"/>
            </w:tcBorders>
            <w:vAlign w:val="center"/>
          </w:tcPr>
          <w:p w:rsidR="00915CB2" w:rsidRPr="00C3014C" w:rsidRDefault="00915CB2" w:rsidP="006C4582">
            <w:pPr>
              <w:rPr>
                <w:rStyle w:val="Hyperlink"/>
                <w:rFonts w:ascii="Garamond" w:hAnsi="Garamond"/>
                <w:lang w:val="en-AU"/>
              </w:rPr>
            </w:pPr>
            <w:r w:rsidRPr="00C3014C">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2D3E3E" w:rsidRDefault="00AB152D" w:rsidP="002D3E3E">
            <w:pPr>
              <w:rPr>
                <w:rStyle w:val="Hyperlink"/>
                <w:rFonts w:ascii="Garamond" w:hAnsi="Garamond"/>
                <w:color w:val="auto"/>
                <w:u w:val="none"/>
                <w:lang w:val="en-AU"/>
              </w:rPr>
            </w:pPr>
            <w:r w:rsidRPr="00AB152D">
              <w:rPr>
                <w:rFonts w:ascii="Garamond" w:hAnsi="Garamond"/>
                <w:lang w:val="en-AU"/>
              </w:rPr>
              <w:t>Kanzaria</w:t>
            </w:r>
            <w:r>
              <w:rPr>
                <w:rFonts w:ascii="Garamond" w:hAnsi="Garamond"/>
                <w:lang w:val="en-AU"/>
              </w:rPr>
              <w:t xml:space="preserve"> et al</w:t>
            </w:r>
            <w:r w:rsidRPr="00AB152D">
              <w:rPr>
                <w:rFonts w:ascii="Garamond" w:hAnsi="Garamond"/>
                <w:lang w:val="en-AU"/>
              </w:rPr>
              <w:t xml:space="preserve"> </w:t>
            </w:r>
            <w:hyperlink r:id="rId25" w:history="1">
              <w:r w:rsidR="002D3E3E" w:rsidRPr="00EC7E1F">
                <w:rPr>
                  <w:rStyle w:val="Hyperlink"/>
                  <w:rFonts w:ascii="Garamond" w:hAnsi="Garamond"/>
                  <w:lang w:val="en-AU"/>
                </w:rPr>
                <w:t>http://dx.doi.org/10.1377/hlthaff.2017.0658</w:t>
              </w:r>
            </w:hyperlink>
          </w:p>
          <w:p w:rsidR="00BC02FB" w:rsidRPr="00C3014C" w:rsidRDefault="00BC02FB" w:rsidP="00BC02FB">
            <w:pPr>
              <w:rPr>
                <w:rStyle w:val="Hyperlink"/>
                <w:rFonts w:ascii="Garamond" w:hAnsi="Garamond"/>
                <w:color w:val="auto"/>
                <w:u w:val="none"/>
                <w:lang w:val="en-AU"/>
              </w:rPr>
            </w:pPr>
            <w:r>
              <w:rPr>
                <w:rStyle w:val="Hyperlink"/>
                <w:rFonts w:ascii="Garamond" w:hAnsi="Garamond"/>
                <w:color w:val="auto"/>
                <w:u w:val="none"/>
                <w:lang w:val="en-AU"/>
              </w:rPr>
              <w:t xml:space="preserve">Capp et al. </w:t>
            </w:r>
            <w:hyperlink r:id="rId26" w:history="1">
              <w:r w:rsidRPr="00EC7E1F">
                <w:rPr>
                  <w:rStyle w:val="Hyperlink"/>
                  <w:rFonts w:ascii="Garamond" w:hAnsi="Garamond"/>
                  <w:lang w:val="en-AU"/>
                </w:rPr>
                <w:t>http://dx.doi.org/10.1377/hlthaff.2017.0612</w:t>
              </w:r>
            </w:hyperlink>
          </w:p>
        </w:tc>
      </w:tr>
      <w:tr w:rsidR="00915CB2" w:rsidRPr="00C3014C" w:rsidTr="006C4582">
        <w:tc>
          <w:tcPr>
            <w:tcW w:w="1080" w:type="dxa"/>
            <w:tcBorders>
              <w:top w:val="single" w:sz="4" w:space="0" w:color="auto"/>
              <w:left w:val="single" w:sz="4" w:space="0" w:color="auto"/>
              <w:bottom w:val="single" w:sz="4" w:space="0" w:color="auto"/>
              <w:right w:val="single" w:sz="4" w:space="0" w:color="auto"/>
            </w:tcBorders>
            <w:vAlign w:val="center"/>
          </w:tcPr>
          <w:p w:rsidR="00915CB2" w:rsidRPr="00C3014C" w:rsidRDefault="00915CB2" w:rsidP="006C4582">
            <w:pPr>
              <w:rPr>
                <w:rFonts w:ascii="Garamond" w:hAnsi="Garamond"/>
                <w:lang w:val="en-AU" w:eastAsia="en-AU"/>
              </w:rPr>
            </w:pPr>
            <w:r w:rsidRPr="00C3014C">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15CB2" w:rsidRDefault="002D3E3E" w:rsidP="002D3E3E">
            <w:pPr>
              <w:rPr>
                <w:rFonts w:ascii="Garamond" w:hAnsi="Garamond"/>
                <w:lang w:val="en-AU"/>
              </w:rPr>
            </w:pPr>
            <w:r>
              <w:rPr>
                <w:rFonts w:ascii="Garamond" w:hAnsi="Garamond"/>
                <w:lang w:val="en-AU"/>
              </w:rPr>
              <w:t xml:space="preserve">This pair of papers from the recent issue of </w:t>
            </w:r>
            <w:r w:rsidRPr="002D3E3E">
              <w:rPr>
                <w:rFonts w:ascii="Garamond" w:hAnsi="Garamond"/>
                <w:i/>
                <w:lang w:val="en-AU"/>
              </w:rPr>
              <w:t>Health Affairs</w:t>
            </w:r>
            <w:r>
              <w:rPr>
                <w:rFonts w:ascii="Garamond" w:hAnsi="Garamond"/>
                <w:lang w:val="en-AU"/>
              </w:rPr>
              <w:t xml:space="preserve"> look at ‘frequent flyers’  or patients who are frequently appearing in emergency departments</w:t>
            </w:r>
            <w:r w:rsidR="00BD6E44">
              <w:rPr>
                <w:rFonts w:ascii="Garamond" w:hAnsi="Garamond"/>
                <w:lang w:val="en-AU"/>
              </w:rPr>
              <w:t xml:space="preserve"> (EDs)</w:t>
            </w:r>
            <w:r>
              <w:rPr>
                <w:rFonts w:ascii="Garamond" w:hAnsi="Garamond"/>
                <w:lang w:val="en-AU"/>
              </w:rPr>
              <w:t>. Such patients can provoke concern about the cost and sustainability of emergency departments, so understanding who they are and what brings them (back) to emergency departments.  These papers discuss the situation in the USA where emergency care may have a somewhat different role to that in countries with universal primary care.</w:t>
            </w:r>
          </w:p>
          <w:p w:rsidR="00BC02FB" w:rsidRDefault="00BD6E44" w:rsidP="00BC02FB">
            <w:pPr>
              <w:rPr>
                <w:rFonts w:ascii="Garamond" w:hAnsi="Garamond"/>
                <w:lang w:val="en-AU"/>
              </w:rPr>
            </w:pPr>
            <w:r>
              <w:rPr>
                <w:rFonts w:ascii="Garamond" w:hAnsi="Garamond"/>
                <w:lang w:val="en-AU"/>
              </w:rPr>
              <w:t>Kanzaria et al</w:t>
            </w:r>
            <w:r w:rsidR="00BC02FB">
              <w:rPr>
                <w:rFonts w:ascii="Garamond" w:hAnsi="Garamond"/>
                <w:lang w:val="en-AU"/>
              </w:rPr>
              <w:t xml:space="preserve"> sought to examine who these frequent users were. Was it the same group over time or were frequent users of ED only frequent users for a relatively short time only (possibly due to high mortality in this group). This study looked at </w:t>
            </w:r>
            <w:r w:rsidR="00BC02FB" w:rsidRPr="00BC02FB">
              <w:rPr>
                <w:rFonts w:ascii="Garamond" w:hAnsi="Garamond"/>
                <w:lang w:val="en-AU"/>
              </w:rPr>
              <w:t>nonelderly adult frequent ED users in California in the period 2005–15.</w:t>
            </w:r>
            <w:r w:rsidR="00BC02FB">
              <w:rPr>
                <w:rFonts w:ascii="Garamond" w:hAnsi="Garamond"/>
                <w:lang w:val="en-AU"/>
              </w:rPr>
              <w:t xml:space="preserve"> </w:t>
            </w:r>
          </w:p>
          <w:p w:rsidR="00BD6E44" w:rsidRDefault="00BC02FB" w:rsidP="00BC02FB">
            <w:pPr>
              <w:rPr>
                <w:rFonts w:ascii="Garamond" w:hAnsi="Garamond"/>
                <w:lang w:val="en-AU"/>
              </w:rPr>
            </w:pPr>
            <w:r>
              <w:rPr>
                <w:rFonts w:ascii="Garamond" w:hAnsi="Garamond"/>
                <w:lang w:val="en-AU"/>
              </w:rPr>
              <w:t>The study found that o</w:t>
            </w:r>
            <w:r w:rsidRPr="00BC02FB">
              <w:rPr>
                <w:rFonts w:ascii="Garamond" w:hAnsi="Garamond"/>
                <w:lang w:val="en-AU"/>
              </w:rPr>
              <w:t>f the frequent ED users in 2005, 30.5 percent remained frequent users in 2006. A small but nontrivial population (16.5 percent, 5.7 percent, and 1.9 percent) exhibited persistent frequent use for three, six, and eleven consecutive years, respectively</w:t>
            </w:r>
            <w:r>
              <w:rPr>
                <w:rFonts w:ascii="Garamond" w:hAnsi="Garamond"/>
                <w:lang w:val="en-AU"/>
              </w:rPr>
              <w:t xml:space="preserve">. </w:t>
            </w:r>
            <w:r w:rsidRPr="00BC02FB">
              <w:rPr>
                <w:rFonts w:ascii="Garamond" w:hAnsi="Garamond"/>
                <w:lang w:val="en-AU"/>
              </w:rPr>
              <w:t>The</w:t>
            </w:r>
            <w:r>
              <w:rPr>
                <w:rFonts w:ascii="Garamond" w:hAnsi="Garamond"/>
                <w:lang w:val="en-AU"/>
              </w:rPr>
              <w:t xml:space="preserve"> study also found that </w:t>
            </w:r>
            <w:r w:rsidRPr="00BC02FB">
              <w:rPr>
                <w:rFonts w:ascii="Garamond" w:hAnsi="Garamond"/>
                <w:lang w:val="en-AU"/>
              </w:rPr>
              <w:t xml:space="preserve">strongest predictor of persistent frequent ED use was the intensity of ED use in the baseline study year. </w:t>
            </w:r>
            <w:r>
              <w:rPr>
                <w:rFonts w:ascii="Garamond" w:hAnsi="Garamond"/>
                <w:lang w:val="en-AU"/>
              </w:rPr>
              <w:t>Further, t</w:t>
            </w:r>
            <w:r w:rsidRPr="00BC02FB">
              <w:rPr>
                <w:rFonts w:ascii="Garamond" w:hAnsi="Garamond"/>
                <w:lang w:val="en-AU"/>
              </w:rPr>
              <w:t xml:space="preserve">he rate at which frequent users stopped using the ED frequently decreased over time, leaving a core group of chronic persistent users. </w:t>
            </w:r>
            <w:r>
              <w:rPr>
                <w:rFonts w:ascii="Garamond" w:hAnsi="Garamond"/>
                <w:lang w:val="en-AU"/>
              </w:rPr>
              <w:t>The authors observe that “</w:t>
            </w:r>
            <w:r w:rsidRPr="00BC02FB">
              <w:rPr>
                <w:rFonts w:ascii="Garamond" w:hAnsi="Garamond"/>
                <w:lang w:val="en-AU"/>
              </w:rPr>
              <w:t xml:space="preserve">These </w:t>
            </w:r>
            <w:r w:rsidRPr="00BC02FB">
              <w:rPr>
                <w:rFonts w:ascii="Garamond" w:hAnsi="Garamond"/>
                <w:b/>
                <w:lang w:val="en-AU"/>
              </w:rPr>
              <w:t>persistent frequent users differ from non-persistent frequent users</w:t>
            </w:r>
            <w:r w:rsidRPr="00BC02FB">
              <w:rPr>
                <w:rFonts w:ascii="Garamond" w:hAnsi="Garamond"/>
                <w:lang w:val="en-AU"/>
              </w:rPr>
              <w:t>, who engaged in temporary intense use of the ED. Identifying and differentiating persistent frequent users is important, as they may be candidates for distinct interventions.</w:t>
            </w:r>
            <w:r>
              <w:rPr>
                <w:rFonts w:ascii="Garamond" w:hAnsi="Garamond"/>
                <w:lang w:val="en-AU"/>
              </w:rPr>
              <w:t>”</w:t>
            </w:r>
          </w:p>
          <w:p w:rsidR="00BC02FB" w:rsidRPr="00DC1E06" w:rsidRDefault="00BC02FB" w:rsidP="00BC02FB">
            <w:pPr>
              <w:rPr>
                <w:rFonts w:ascii="Garamond" w:hAnsi="Garamond"/>
                <w:lang w:val="en-AU"/>
              </w:rPr>
            </w:pPr>
            <w:r>
              <w:rPr>
                <w:rFonts w:ascii="Garamond" w:hAnsi="Garamond"/>
                <w:lang w:val="en-AU"/>
              </w:rPr>
              <w:t xml:space="preserve">Capp et al. examined how participation in a </w:t>
            </w:r>
            <w:r w:rsidRPr="00BD6E44">
              <w:rPr>
                <w:rFonts w:ascii="Garamond" w:hAnsi="Garamond"/>
                <w:b/>
                <w:lang w:val="en-AU"/>
              </w:rPr>
              <w:t>care coordination program</w:t>
            </w:r>
            <w:r>
              <w:rPr>
                <w:rFonts w:ascii="Garamond" w:hAnsi="Garamond"/>
                <w:lang w:val="en-AU"/>
              </w:rPr>
              <w:t xml:space="preserve"> affected </w:t>
            </w:r>
            <w:r w:rsidRPr="00BD6E44">
              <w:rPr>
                <w:rFonts w:ascii="Garamond" w:hAnsi="Garamond"/>
                <w:lang w:val="en-AU"/>
              </w:rPr>
              <w:t>subsequent ED use, hospital admissions, and primary care use</w:t>
            </w:r>
            <w:r>
              <w:rPr>
                <w:rFonts w:ascii="Garamond" w:hAnsi="Garamond"/>
                <w:lang w:val="en-AU"/>
              </w:rPr>
              <w:t xml:space="preserve">. For the patients studied, in the six months after the intervention they  </w:t>
            </w:r>
            <w:r w:rsidRPr="00BD6E44">
              <w:rPr>
                <w:rFonts w:ascii="Garamond" w:hAnsi="Garamond"/>
                <w:lang w:val="en-AU"/>
              </w:rPr>
              <w:t xml:space="preserve">had </w:t>
            </w:r>
            <w:r w:rsidRPr="00BD6E44">
              <w:rPr>
                <w:rFonts w:ascii="Garamond" w:hAnsi="Garamond"/>
                <w:b/>
                <w:lang w:val="en-AU"/>
              </w:rPr>
              <w:t xml:space="preserve">significantly fewer ED visits </w:t>
            </w:r>
            <w:r w:rsidRPr="00BD6E44">
              <w:rPr>
                <w:rFonts w:ascii="Garamond" w:hAnsi="Garamond"/>
                <w:lang w:val="en-AU"/>
              </w:rPr>
              <w:t xml:space="preserve">(a reduction of 27.9 percent) and significantly </w:t>
            </w:r>
            <w:r w:rsidRPr="00BD6E44">
              <w:rPr>
                <w:rFonts w:ascii="Garamond" w:hAnsi="Garamond"/>
                <w:b/>
                <w:lang w:val="en-AU"/>
              </w:rPr>
              <w:t>more primary care visits</w:t>
            </w:r>
            <w:r w:rsidRPr="00BD6E44">
              <w:rPr>
                <w:rFonts w:ascii="Garamond" w:hAnsi="Garamond"/>
                <w:lang w:val="en-AU"/>
              </w:rPr>
              <w:t xml:space="preserve"> (an increase of 114.0 percent), compared to patients in the control group. </w:t>
            </w:r>
            <w:r>
              <w:rPr>
                <w:rFonts w:ascii="Garamond" w:hAnsi="Garamond"/>
                <w:lang w:val="en-AU"/>
              </w:rPr>
              <w:t xml:space="preserve">For patients </w:t>
            </w:r>
            <w:r w:rsidRPr="00BD6E44">
              <w:rPr>
                <w:rFonts w:ascii="Garamond" w:hAnsi="Garamond"/>
                <w:lang w:val="en-AU"/>
              </w:rPr>
              <w:t xml:space="preserve">with mental health comorbidities, </w:t>
            </w:r>
            <w:r>
              <w:rPr>
                <w:rFonts w:ascii="Garamond" w:hAnsi="Garamond"/>
                <w:lang w:val="en-AU"/>
              </w:rPr>
              <w:t xml:space="preserve">participants </w:t>
            </w:r>
            <w:r w:rsidRPr="00BD6E44">
              <w:rPr>
                <w:rFonts w:ascii="Garamond" w:hAnsi="Garamond"/>
                <w:lang w:val="en-AU"/>
              </w:rPr>
              <w:t xml:space="preserve">had significantly fewer ED visits (a reduction of 29.7 percent) and hospitalizations (30.0 percent), and significantly more primary care visits (an increase of 123.2 percent), again compared to patients in the control group. </w:t>
            </w:r>
          </w:p>
        </w:tc>
      </w:tr>
    </w:tbl>
    <w:p w:rsidR="00915CB2" w:rsidRDefault="00915CB2" w:rsidP="00915CB2">
      <w:pPr>
        <w:keepLines/>
        <w:autoSpaceDE w:val="0"/>
        <w:autoSpaceDN w:val="0"/>
        <w:adjustRightInd w:val="0"/>
        <w:rPr>
          <w:rFonts w:ascii="Garamond" w:hAnsi="Garamond"/>
          <w:lang w:val="en-AU"/>
        </w:rPr>
      </w:pPr>
    </w:p>
    <w:p w:rsidR="00915CB2" w:rsidRPr="00C11FC9" w:rsidRDefault="00C11FC9" w:rsidP="00915CB2">
      <w:pPr>
        <w:keepNext/>
        <w:rPr>
          <w:rFonts w:ascii="Garamond" w:hAnsi="Garamond"/>
          <w:i/>
          <w:lang w:val="en-AU"/>
        </w:rPr>
      </w:pPr>
      <w:r w:rsidRPr="00C11FC9">
        <w:rPr>
          <w:rFonts w:ascii="Garamond" w:hAnsi="Garamond"/>
          <w:i/>
          <w:lang w:val="en-AU"/>
        </w:rPr>
        <w:t>Public Health Research &amp; Practice</w:t>
      </w:r>
    </w:p>
    <w:p w:rsidR="00FD6D47" w:rsidRDefault="00FD6D47" w:rsidP="00FD6D47">
      <w:pPr>
        <w:keepNext/>
        <w:keepLines/>
        <w:autoSpaceDE w:val="0"/>
        <w:autoSpaceDN w:val="0"/>
        <w:adjustRightInd w:val="0"/>
        <w:rPr>
          <w:rFonts w:ascii="Garamond" w:hAnsi="Garamond"/>
          <w:lang w:val="en-AU"/>
        </w:rPr>
      </w:pPr>
      <w:r w:rsidRPr="00FD6D47">
        <w:rPr>
          <w:rFonts w:ascii="Garamond" w:hAnsi="Garamond"/>
          <w:lang w:val="en-AU"/>
        </w:rPr>
        <w:t>October 2017, Volume 27, Issue 4</w:t>
      </w:r>
    </w:p>
    <w:tbl>
      <w:tblPr>
        <w:tblStyle w:val="TableGrid"/>
        <w:tblW w:w="0" w:type="auto"/>
        <w:tblInd w:w="288" w:type="dxa"/>
        <w:tblLayout w:type="fixed"/>
        <w:tblLook w:val="01E0" w:firstRow="1" w:lastRow="1" w:firstColumn="1" w:lastColumn="1" w:noHBand="0" w:noVBand="0"/>
      </w:tblPr>
      <w:tblGrid>
        <w:gridCol w:w="1080"/>
        <w:gridCol w:w="8280"/>
      </w:tblGrid>
      <w:tr w:rsidR="00FD6D47" w:rsidRPr="00EB0FFF" w:rsidTr="00EE1A17">
        <w:tc>
          <w:tcPr>
            <w:tcW w:w="1080" w:type="dxa"/>
            <w:tcBorders>
              <w:top w:val="single" w:sz="4" w:space="0" w:color="auto"/>
              <w:left w:val="single" w:sz="4" w:space="0" w:color="auto"/>
              <w:bottom w:val="single" w:sz="4" w:space="0" w:color="auto"/>
              <w:right w:val="single" w:sz="4" w:space="0" w:color="auto"/>
            </w:tcBorders>
            <w:vAlign w:val="center"/>
          </w:tcPr>
          <w:p w:rsidR="00FD6D47" w:rsidRPr="00EB0FFF" w:rsidRDefault="00FD6D47" w:rsidP="00EE1A17">
            <w:pPr>
              <w:rPr>
                <w:rFonts w:ascii="Garamond" w:hAnsi="Garamond"/>
                <w:lang w:val="en-AU"/>
              </w:rPr>
            </w:pPr>
            <w:r w:rsidRPr="00EB0FFF">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FD6D47" w:rsidRPr="006E4013" w:rsidRDefault="00A86D2C" w:rsidP="00EE1A17">
            <w:hyperlink r:id="rId27" w:history="1">
              <w:r w:rsidR="00FD6D47" w:rsidRPr="00E4014B">
                <w:rPr>
                  <w:rStyle w:val="Hyperlink"/>
                </w:rPr>
                <w:t>http://www.phrp.com.au/issues/october-2017-volume-27-issue-4/</w:t>
              </w:r>
            </w:hyperlink>
          </w:p>
        </w:tc>
      </w:tr>
      <w:tr w:rsidR="00FD6D47" w:rsidRPr="00EB0FFF" w:rsidTr="00EE1A17">
        <w:tc>
          <w:tcPr>
            <w:tcW w:w="1080" w:type="dxa"/>
            <w:tcBorders>
              <w:top w:val="single" w:sz="4" w:space="0" w:color="auto"/>
              <w:left w:val="single" w:sz="4" w:space="0" w:color="auto"/>
              <w:bottom w:val="single" w:sz="4" w:space="0" w:color="auto"/>
              <w:right w:val="single" w:sz="4" w:space="0" w:color="auto"/>
            </w:tcBorders>
            <w:vAlign w:val="center"/>
          </w:tcPr>
          <w:p w:rsidR="00FD6D47" w:rsidRPr="00EB0FFF" w:rsidRDefault="00FD6D47" w:rsidP="00EE1A17">
            <w:pPr>
              <w:rPr>
                <w:rFonts w:ascii="Garamond" w:hAnsi="Garamond"/>
                <w:lang w:val="en-AU"/>
              </w:rPr>
            </w:pPr>
            <w:r w:rsidRPr="00EB0FFF">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D6D47" w:rsidRPr="00EB0FFF" w:rsidRDefault="00FD6D47" w:rsidP="00EE1A17">
            <w:pPr>
              <w:rPr>
                <w:rFonts w:ascii="Garamond" w:hAnsi="Garamond"/>
                <w:lang w:val="en-AU" w:eastAsia="en-AU"/>
              </w:rPr>
            </w:pPr>
            <w:r w:rsidRPr="00EB0FFF">
              <w:rPr>
                <w:rFonts w:ascii="Garamond" w:hAnsi="Garamond"/>
                <w:lang w:val="en-AU" w:eastAsia="en-AU"/>
              </w:rPr>
              <w:t xml:space="preserve">A new issue of </w:t>
            </w:r>
            <w:r w:rsidRPr="00EB0FFF">
              <w:rPr>
                <w:rFonts w:ascii="Garamond" w:hAnsi="Garamond"/>
                <w:i/>
                <w:lang w:val="en-AU"/>
              </w:rPr>
              <w:t>Public Health Research &amp; Practice</w:t>
            </w:r>
            <w:r w:rsidRPr="00EB0FFF">
              <w:rPr>
                <w:rFonts w:ascii="Garamond" w:hAnsi="Garamond"/>
                <w:i/>
                <w:lang w:val="en-AU" w:eastAsia="en-AU"/>
              </w:rPr>
              <w:t xml:space="preserve"> </w:t>
            </w:r>
            <w:r>
              <w:rPr>
                <w:rFonts w:ascii="Garamond" w:hAnsi="Garamond"/>
                <w:lang w:val="en-AU" w:eastAsia="en-AU"/>
              </w:rPr>
              <w:t xml:space="preserve">has been published. This issue </w:t>
            </w:r>
            <w:r w:rsidRPr="00FD6D47">
              <w:rPr>
                <w:rFonts w:ascii="Garamond" w:hAnsi="Garamond"/>
                <w:lang w:val="en-AU" w:eastAsia="en-AU"/>
              </w:rPr>
              <w:t xml:space="preserve">reflects on some of the changes that have occurred since the </w:t>
            </w:r>
            <w:r>
              <w:rPr>
                <w:rFonts w:ascii="Garamond" w:hAnsi="Garamond"/>
                <w:lang w:val="en-AU" w:eastAsia="en-AU"/>
              </w:rPr>
              <w:t xml:space="preserve">1967 </w:t>
            </w:r>
            <w:r w:rsidRPr="00FD6D47">
              <w:rPr>
                <w:rFonts w:ascii="Garamond" w:hAnsi="Garamond"/>
                <w:lang w:val="en-AU" w:eastAsia="en-AU"/>
              </w:rPr>
              <w:t>referendum, when the nation voted to amend the constitution to allow the federal government to create laws for Aboriginal and Torres Strait Islander people and include them in the census, particularly with respect to progress in improving Indigenous health outcomes.</w:t>
            </w:r>
            <w:r>
              <w:rPr>
                <w:rFonts w:ascii="Garamond" w:hAnsi="Garamond"/>
                <w:lang w:val="en-AU" w:eastAsia="en-AU"/>
              </w:rPr>
              <w:t xml:space="preserve"> This issue </w:t>
            </w:r>
            <w:r w:rsidRPr="00FD6D47">
              <w:rPr>
                <w:rFonts w:ascii="Garamond" w:hAnsi="Garamond"/>
                <w:lang w:val="en-AU" w:eastAsia="en-AU"/>
              </w:rPr>
              <w:t>include</w:t>
            </w:r>
            <w:r>
              <w:rPr>
                <w:rFonts w:ascii="Garamond" w:hAnsi="Garamond"/>
                <w:lang w:val="en-AU" w:eastAsia="en-AU"/>
              </w:rPr>
              <w:t>s</w:t>
            </w:r>
            <w:r w:rsidRPr="00FD6D47">
              <w:rPr>
                <w:rFonts w:ascii="Garamond" w:hAnsi="Garamond"/>
                <w:lang w:val="en-AU" w:eastAsia="en-AU"/>
              </w:rPr>
              <w:t xml:space="preserve"> an interview with the Indigenous Health Minister, Ken Wyatt, about the policy and politics of improving Indigenous health</w:t>
            </w:r>
            <w:r>
              <w:rPr>
                <w:rFonts w:ascii="Garamond" w:hAnsi="Garamond"/>
                <w:lang w:val="en-AU" w:eastAsia="en-AU"/>
              </w:rPr>
              <w:t xml:space="preserve">. </w:t>
            </w:r>
            <w:r w:rsidRPr="00EB0FFF">
              <w:rPr>
                <w:rFonts w:ascii="Garamond" w:hAnsi="Garamond"/>
                <w:lang w:val="en-AU" w:eastAsia="en-AU"/>
              </w:rPr>
              <w:t xml:space="preserve">Articles in this issue of </w:t>
            </w:r>
            <w:r w:rsidRPr="00EB0FFF">
              <w:rPr>
                <w:rFonts w:ascii="Garamond" w:hAnsi="Garamond"/>
                <w:i/>
                <w:lang w:val="en-AU"/>
              </w:rPr>
              <w:t>Public Health Research &amp; Practice</w:t>
            </w:r>
            <w:r w:rsidRPr="00EB0FFF">
              <w:rPr>
                <w:rFonts w:ascii="Garamond" w:hAnsi="Garamond"/>
                <w:lang w:val="en-AU" w:eastAsia="en-AU"/>
              </w:rPr>
              <w:t xml:space="preserve"> include:</w:t>
            </w:r>
          </w:p>
          <w:p w:rsidR="00FD6D47" w:rsidRPr="00FD6D47" w:rsidRDefault="00FD6D47" w:rsidP="00FD6D47">
            <w:pPr>
              <w:pStyle w:val="ListParagraph"/>
              <w:numPr>
                <w:ilvl w:val="0"/>
                <w:numId w:val="23"/>
              </w:numPr>
              <w:rPr>
                <w:rFonts w:ascii="Garamond" w:hAnsi="Garamond"/>
                <w:lang w:val="en-AU" w:eastAsia="en-AU"/>
              </w:rPr>
            </w:pPr>
            <w:r w:rsidRPr="00FD6D47">
              <w:rPr>
                <w:rFonts w:ascii="Garamond" w:hAnsi="Garamond"/>
                <w:lang w:val="en-AU" w:eastAsia="en-AU"/>
              </w:rPr>
              <w:lastRenderedPageBreak/>
              <w:t xml:space="preserve">Editorial: 50 years since citizenship: </w:t>
            </w:r>
            <w:r w:rsidRPr="00DA315B">
              <w:rPr>
                <w:rFonts w:ascii="Garamond" w:hAnsi="Garamond"/>
                <w:b/>
                <w:lang w:val="en-AU" w:eastAsia="en-AU"/>
              </w:rPr>
              <w:t>successes and challenges in Indigenous health</w:t>
            </w:r>
            <w:r w:rsidRPr="00FD6D47">
              <w:rPr>
                <w:rFonts w:ascii="Garamond" w:hAnsi="Garamond"/>
                <w:lang w:val="en-AU" w:eastAsia="en-AU"/>
              </w:rPr>
              <w:t xml:space="preserve"> (Sandra J Eades and Emily Banks</w:t>
            </w:r>
            <w:r>
              <w:rPr>
                <w:rFonts w:ascii="Garamond" w:hAnsi="Garamond"/>
                <w:lang w:val="en-AU" w:eastAsia="en-AU"/>
              </w:rPr>
              <w:t>)</w:t>
            </w:r>
          </w:p>
          <w:p w:rsidR="00FD6D47" w:rsidRPr="00FD6D47" w:rsidRDefault="00FD6D47" w:rsidP="00FD6D47">
            <w:pPr>
              <w:pStyle w:val="ListParagraph"/>
              <w:numPr>
                <w:ilvl w:val="0"/>
                <w:numId w:val="23"/>
              </w:numPr>
              <w:rPr>
                <w:rFonts w:ascii="Garamond" w:hAnsi="Garamond"/>
                <w:lang w:val="en-AU" w:eastAsia="en-AU"/>
              </w:rPr>
            </w:pPr>
            <w:r w:rsidRPr="00FD6D47">
              <w:rPr>
                <w:rFonts w:ascii="Garamond" w:hAnsi="Garamond"/>
                <w:lang w:val="en-AU" w:eastAsia="en-AU"/>
              </w:rPr>
              <w:t xml:space="preserve">Interview with the Hon. Ken Wyatt: </w:t>
            </w:r>
            <w:r w:rsidRPr="00DA315B">
              <w:rPr>
                <w:rFonts w:ascii="Garamond" w:hAnsi="Garamond"/>
                <w:b/>
                <w:lang w:val="en-AU" w:eastAsia="en-AU"/>
              </w:rPr>
              <w:t>improving Indigenous health outcomes</w:t>
            </w:r>
            <w:r w:rsidRPr="00FD6D47">
              <w:rPr>
                <w:rFonts w:ascii="Garamond" w:hAnsi="Garamond"/>
                <w:lang w:val="en-AU" w:eastAsia="en-AU"/>
              </w:rPr>
              <w:t xml:space="preserve"> from a political viewpoint (Ken Wyatt</w:t>
            </w:r>
            <w:r>
              <w:rPr>
                <w:rFonts w:ascii="Garamond" w:hAnsi="Garamond"/>
                <w:lang w:val="en-AU" w:eastAsia="en-AU"/>
              </w:rPr>
              <w:t>)</w:t>
            </w:r>
          </w:p>
          <w:p w:rsidR="00FD6D47" w:rsidRPr="00FD6D47" w:rsidRDefault="00FD6D47" w:rsidP="00FD6D47">
            <w:pPr>
              <w:pStyle w:val="ListParagraph"/>
              <w:numPr>
                <w:ilvl w:val="0"/>
                <w:numId w:val="23"/>
              </w:numPr>
              <w:rPr>
                <w:rFonts w:ascii="Garamond" w:hAnsi="Garamond"/>
                <w:lang w:val="en-AU" w:eastAsia="en-AU"/>
              </w:rPr>
            </w:pPr>
            <w:r w:rsidRPr="00FD6D47">
              <w:rPr>
                <w:rFonts w:ascii="Garamond" w:hAnsi="Garamond"/>
                <w:lang w:val="en-AU" w:eastAsia="en-AU"/>
              </w:rPr>
              <w:t xml:space="preserve">The Australian Burden of Disease Study: impact and causes of </w:t>
            </w:r>
            <w:r w:rsidRPr="00DA315B">
              <w:rPr>
                <w:rFonts w:ascii="Garamond" w:hAnsi="Garamond"/>
                <w:b/>
                <w:lang w:val="en-AU" w:eastAsia="en-AU"/>
              </w:rPr>
              <w:t>illness and death in Aboriginal and Torres Strait Islander people</w:t>
            </w:r>
            <w:r w:rsidRPr="00FD6D47">
              <w:rPr>
                <w:rFonts w:ascii="Garamond" w:hAnsi="Garamond"/>
                <w:lang w:val="en-AU" w:eastAsia="en-AU"/>
              </w:rPr>
              <w:t>, 2011 (Fadwa Al-Yaman</w:t>
            </w:r>
            <w:r>
              <w:rPr>
                <w:rFonts w:ascii="Garamond" w:hAnsi="Garamond"/>
                <w:lang w:val="en-AU" w:eastAsia="en-AU"/>
              </w:rPr>
              <w:t>)</w:t>
            </w:r>
          </w:p>
          <w:p w:rsidR="00FD6D47" w:rsidRPr="00FD6D47" w:rsidRDefault="00FD6D47" w:rsidP="00FD6D47">
            <w:pPr>
              <w:pStyle w:val="ListParagraph"/>
              <w:numPr>
                <w:ilvl w:val="0"/>
                <w:numId w:val="23"/>
              </w:numPr>
              <w:rPr>
                <w:rFonts w:ascii="Garamond" w:hAnsi="Garamond"/>
                <w:lang w:val="en-AU" w:eastAsia="en-AU"/>
              </w:rPr>
            </w:pPr>
            <w:r w:rsidRPr="00FD6D47">
              <w:rPr>
                <w:rFonts w:ascii="Garamond" w:hAnsi="Garamond"/>
                <w:lang w:val="en-AU" w:eastAsia="en-AU"/>
              </w:rPr>
              <w:t xml:space="preserve">The </w:t>
            </w:r>
            <w:r w:rsidRPr="00DA315B">
              <w:rPr>
                <w:rFonts w:ascii="Garamond" w:hAnsi="Garamond"/>
                <w:b/>
                <w:lang w:val="en-AU" w:eastAsia="en-AU"/>
              </w:rPr>
              <w:t>Aboriginal and Torres Strait Islander smoking epidemic</w:t>
            </w:r>
            <w:r w:rsidRPr="00FD6D47">
              <w:rPr>
                <w:rFonts w:ascii="Garamond" w:hAnsi="Garamond"/>
                <w:lang w:val="en-AU" w:eastAsia="en-AU"/>
              </w:rPr>
              <w:t>: what stage are we at, and what does it mean? (Ray Lovett, Katherine A Thurber and Raglan Maddox</w:t>
            </w:r>
            <w:r>
              <w:rPr>
                <w:rFonts w:ascii="Garamond" w:hAnsi="Garamond"/>
                <w:lang w:val="en-AU" w:eastAsia="en-AU"/>
              </w:rPr>
              <w:t>)</w:t>
            </w:r>
          </w:p>
          <w:p w:rsidR="00FD6D47" w:rsidRPr="00FD6D47" w:rsidRDefault="00FD6D47" w:rsidP="00FD6D47">
            <w:pPr>
              <w:pStyle w:val="ListParagraph"/>
              <w:numPr>
                <w:ilvl w:val="0"/>
                <w:numId w:val="23"/>
              </w:numPr>
              <w:rPr>
                <w:rFonts w:ascii="Garamond" w:hAnsi="Garamond"/>
                <w:lang w:val="en-AU" w:eastAsia="en-AU"/>
              </w:rPr>
            </w:pPr>
            <w:r w:rsidRPr="00DA315B">
              <w:rPr>
                <w:rFonts w:ascii="Garamond" w:hAnsi="Garamond"/>
                <w:b/>
                <w:lang w:val="en-AU" w:eastAsia="en-AU"/>
              </w:rPr>
              <w:t>Child injury surveillance</w:t>
            </w:r>
            <w:r w:rsidRPr="00FD6D47">
              <w:rPr>
                <w:rFonts w:ascii="Garamond" w:hAnsi="Garamond"/>
                <w:lang w:val="en-AU" w:eastAsia="en-AU"/>
              </w:rPr>
              <w:t xml:space="preserve"> capabilities in NSW: informing policy and practice (Rebecca Mitchell and Luke Testa</w:t>
            </w:r>
            <w:r>
              <w:rPr>
                <w:rFonts w:ascii="Garamond" w:hAnsi="Garamond"/>
                <w:lang w:val="en-AU" w:eastAsia="en-AU"/>
              </w:rPr>
              <w:t>)</w:t>
            </w:r>
          </w:p>
          <w:p w:rsidR="00FD6D47" w:rsidRPr="00FD6D47" w:rsidRDefault="00FD6D47" w:rsidP="00FD6D47">
            <w:pPr>
              <w:pStyle w:val="ListParagraph"/>
              <w:numPr>
                <w:ilvl w:val="0"/>
                <w:numId w:val="23"/>
              </w:numPr>
              <w:rPr>
                <w:rFonts w:ascii="Garamond" w:hAnsi="Garamond"/>
                <w:lang w:val="en-AU" w:eastAsia="en-AU"/>
              </w:rPr>
            </w:pPr>
            <w:r w:rsidRPr="00FD6D47">
              <w:rPr>
                <w:rFonts w:ascii="Garamond" w:hAnsi="Garamond"/>
                <w:lang w:val="en-AU" w:eastAsia="en-AU"/>
              </w:rPr>
              <w:t xml:space="preserve">Identifying research priorities to improve </w:t>
            </w:r>
            <w:r w:rsidRPr="00DA315B">
              <w:rPr>
                <w:rFonts w:ascii="Garamond" w:hAnsi="Garamond"/>
                <w:b/>
                <w:lang w:val="en-AU" w:eastAsia="en-AU"/>
              </w:rPr>
              <w:t>cancer control for Indigenous Australians</w:t>
            </w:r>
            <w:r w:rsidRPr="00FD6D47">
              <w:rPr>
                <w:rFonts w:ascii="Garamond" w:hAnsi="Garamond"/>
                <w:lang w:val="en-AU" w:eastAsia="en-AU"/>
              </w:rPr>
              <w:t xml:space="preserve"> (Bronwyn A Morris, Kate Anderson, Joan Cunningham and Gail Garvey</w:t>
            </w:r>
            <w:r>
              <w:rPr>
                <w:rFonts w:ascii="Garamond" w:hAnsi="Garamond"/>
                <w:lang w:val="en-AU" w:eastAsia="en-AU"/>
              </w:rPr>
              <w:t>)</w:t>
            </w:r>
          </w:p>
          <w:p w:rsidR="00FD6D47" w:rsidRPr="00FD6D47" w:rsidRDefault="00FD6D47" w:rsidP="00FD6D47">
            <w:pPr>
              <w:pStyle w:val="ListParagraph"/>
              <w:numPr>
                <w:ilvl w:val="0"/>
                <w:numId w:val="23"/>
              </w:numPr>
              <w:rPr>
                <w:rFonts w:ascii="Garamond" w:hAnsi="Garamond"/>
                <w:lang w:val="en-AU" w:eastAsia="en-AU"/>
              </w:rPr>
            </w:pPr>
            <w:r w:rsidRPr="00FD6D47">
              <w:rPr>
                <w:rFonts w:ascii="Garamond" w:hAnsi="Garamond"/>
                <w:lang w:val="en-AU" w:eastAsia="en-AU"/>
              </w:rPr>
              <w:t xml:space="preserve">Trends in </w:t>
            </w:r>
            <w:r w:rsidRPr="00DA315B">
              <w:rPr>
                <w:rFonts w:ascii="Garamond" w:hAnsi="Garamond"/>
                <w:b/>
                <w:lang w:val="en-AU" w:eastAsia="en-AU"/>
              </w:rPr>
              <w:t>fall-related ambulance use and hospitalisation</w:t>
            </w:r>
            <w:r w:rsidRPr="00FD6D47">
              <w:rPr>
                <w:rFonts w:ascii="Garamond" w:hAnsi="Garamond"/>
                <w:lang w:val="en-AU" w:eastAsia="en-AU"/>
              </w:rPr>
              <w:t xml:space="preserve"> among older adults in NSW, 2006–2013: a retrospective, population-based study (Serene S Paul, Lara Harvey, Therese Carroll, Qiang Li, Soufiane Boufous, Annabel Priddis, Anne Tiedemann, Lindy Clemson, Stephen R Lord, Sandy Muecke, Jacqueline CT Close, Serigne Lo and Catherine Sherrington</w:t>
            </w:r>
            <w:r>
              <w:rPr>
                <w:rFonts w:ascii="Garamond" w:hAnsi="Garamond"/>
                <w:lang w:val="en-AU" w:eastAsia="en-AU"/>
              </w:rPr>
              <w:t>)</w:t>
            </w:r>
          </w:p>
          <w:p w:rsidR="00FD6D47" w:rsidRPr="00FD6D47" w:rsidRDefault="00FD6D47" w:rsidP="00FD6D47">
            <w:pPr>
              <w:pStyle w:val="ListParagraph"/>
              <w:numPr>
                <w:ilvl w:val="0"/>
                <w:numId w:val="23"/>
              </w:numPr>
              <w:rPr>
                <w:rFonts w:ascii="Garamond" w:hAnsi="Garamond"/>
                <w:lang w:val="en-AU" w:eastAsia="en-AU"/>
              </w:rPr>
            </w:pPr>
            <w:r w:rsidRPr="00FD6D47">
              <w:rPr>
                <w:rFonts w:ascii="Garamond" w:hAnsi="Garamond"/>
                <w:lang w:val="en-AU" w:eastAsia="en-AU"/>
              </w:rPr>
              <w:t xml:space="preserve">The quality of </w:t>
            </w:r>
            <w:r w:rsidRPr="00DA315B">
              <w:rPr>
                <w:rFonts w:ascii="Garamond" w:hAnsi="Garamond"/>
                <w:b/>
                <w:lang w:val="en-AU" w:eastAsia="en-AU"/>
              </w:rPr>
              <w:t>Australian Indigenous primary health care research</w:t>
            </w:r>
            <w:r w:rsidRPr="00FD6D47">
              <w:rPr>
                <w:rFonts w:ascii="Garamond" w:hAnsi="Garamond"/>
                <w:lang w:val="en-AU" w:eastAsia="en-AU"/>
              </w:rPr>
              <w:t xml:space="preserve"> focusing on social and emotional wellbeing: a systematic review (Sara Farnbach, Anne-Maree Eades, Jamie K Fernando, Josephine D Gwynn, Nick Glozier and Maree L Hackett</w:t>
            </w:r>
            <w:r>
              <w:rPr>
                <w:rFonts w:ascii="Garamond" w:hAnsi="Garamond"/>
                <w:lang w:val="en-AU" w:eastAsia="en-AU"/>
              </w:rPr>
              <w:t>)</w:t>
            </w:r>
          </w:p>
          <w:p w:rsidR="00FD6D47" w:rsidRPr="00FD6D47" w:rsidRDefault="00FD6D47" w:rsidP="00FD6D47">
            <w:pPr>
              <w:pStyle w:val="ListParagraph"/>
              <w:numPr>
                <w:ilvl w:val="0"/>
                <w:numId w:val="23"/>
              </w:numPr>
              <w:rPr>
                <w:rFonts w:ascii="Garamond" w:hAnsi="Garamond"/>
                <w:lang w:val="en-AU" w:eastAsia="en-AU"/>
              </w:rPr>
            </w:pPr>
            <w:r w:rsidRPr="00FD6D47">
              <w:rPr>
                <w:rFonts w:ascii="Garamond" w:hAnsi="Garamond"/>
                <w:lang w:val="en-AU" w:eastAsia="en-AU"/>
              </w:rPr>
              <w:t xml:space="preserve">Ascertainment of </w:t>
            </w:r>
            <w:r w:rsidRPr="00DA315B">
              <w:rPr>
                <w:rFonts w:ascii="Garamond" w:hAnsi="Garamond"/>
                <w:b/>
                <w:lang w:val="en-AU" w:eastAsia="en-AU"/>
              </w:rPr>
              <w:t>self-reported prescription medication use</w:t>
            </w:r>
            <w:r w:rsidRPr="00FD6D47">
              <w:rPr>
                <w:rFonts w:ascii="Garamond" w:hAnsi="Garamond"/>
                <w:lang w:val="en-AU" w:eastAsia="en-AU"/>
              </w:rPr>
              <w:t xml:space="preserve"> compared with pharmaceutical claims data (Danijela Gnjidic, Wei Du, Sallie-Anne Pearson, Sarah N Hilmer and Emily Banks, on behalf of the High Risk Prescribing Investigators</w:t>
            </w:r>
            <w:r w:rsidR="00DA315B">
              <w:rPr>
                <w:rFonts w:ascii="Garamond" w:hAnsi="Garamond"/>
                <w:lang w:val="en-AU" w:eastAsia="en-AU"/>
              </w:rPr>
              <w:t>)</w:t>
            </w:r>
          </w:p>
          <w:p w:rsidR="00FD6D47" w:rsidRPr="00DA315B" w:rsidRDefault="00FD6D47" w:rsidP="00DA315B">
            <w:pPr>
              <w:pStyle w:val="ListParagraph"/>
              <w:numPr>
                <w:ilvl w:val="0"/>
                <w:numId w:val="23"/>
              </w:numPr>
              <w:rPr>
                <w:rFonts w:ascii="Garamond" w:hAnsi="Garamond"/>
                <w:lang w:val="en-AU" w:eastAsia="en-AU"/>
              </w:rPr>
            </w:pPr>
            <w:r w:rsidRPr="00DA315B">
              <w:rPr>
                <w:rFonts w:ascii="Garamond" w:hAnsi="Garamond"/>
                <w:lang w:val="en-AU" w:eastAsia="en-AU"/>
              </w:rPr>
              <w:t xml:space="preserve">The </w:t>
            </w:r>
            <w:r w:rsidRPr="00DA315B">
              <w:rPr>
                <w:rFonts w:ascii="Garamond" w:hAnsi="Garamond"/>
                <w:b/>
                <w:lang w:val="en-AU" w:eastAsia="en-AU"/>
              </w:rPr>
              <w:t>Aboriginal Population Health Training Initiative</w:t>
            </w:r>
            <w:r w:rsidRPr="00DA315B">
              <w:rPr>
                <w:rFonts w:ascii="Garamond" w:hAnsi="Garamond"/>
                <w:lang w:val="en-AU" w:eastAsia="en-AU"/>
              </w:rPr>
              <w:t>: a NSW Health program established to strengthen the Aboriginal public health workforce</w:t>
            </w:r>
            <w:r w:rsidR="00DA315B" w:rsidRPr="00DA315B">
              <w:rPr>
                <w:rFonts w:ascii="Garamond" w:hAnsi="Garamond"/>
                <w:lang w:val="en-AU" w:eastAsia="en-AU"/>
              </w:rPr>
              <w:t xml:space="preserve"> (</w:t>
            </w:r>
            <w:r w:rsidRPr="00DA315B">
              <w:rPr>
                <w:rFonts w:ascii="Garamond" w:hAnsi="Garamond"/>
                <w:lang w:val="en-AU" w:eastAsia="en-AU"/>
              </w:rPr>
              <w:t>Ben Li, Aaron Cashmore, Dawn Arneman, Wendy Bryan-Clothier, Lisa K McCallum and Andrew Milat</w:t>
            </w:r>
            <w:r w:rsidR="00DA315B">
              <w:rPr>
                <w:rFonts w:ascii="Garamond" w:hAnsi="Garamond"/>
                <w:lang w:val="en-AU" w:eastAsia="en-AU"/>
              </w:rPr>
              <w:t>)</w:t>
            </w:r>
          </w:p>
        </w:tc>
      </w:tr>
    </w:tbl>
    <w:p w:rsidR="00C11FC9" w:rsidRDefault="00C11FC9" w:rsidP="00915CB2">
      <w:pPr>
        <w:keepNext/>
        <w:rPr>
          <w:rFonts w:ascii="Garamond" w:hAnsi="Garamond"/>
          <w:lang w:val="en-AU"/>
        </w:rPr>
      </w:pPr>
    </w:p>
    <w:p w:rsidR="005B0214" w:rsidRPr="005B0214" w:rsidRDefault="005B0214" w:rsidP="005B0214">
      <w:pPr>
        <w:keepNext/>
        <w:rPr>
          <w:rFonts w:ascii="Garamond" w:hAnsi="Garamond"/>
          <w:i/>
          <w:lang w:val="en-AU"/>
        </w:rPr>
      </w:pPr>
      <w:r w:rsidRPr="005B0214">
        <w:rPr>
          <w:rFonts w:ascii="Garamond" w:hAnsi="Garamond"/>
          <w:i/>
          <w:lang w:val="en-AU"/>
        </w:rPr>
        <w:t>Journal of Health Services Research &amp; Policy</w:t>
      </w:r>
    </w:p>
    <w:p w:rsidR="005B0214" w:rsidRPr="005B0214" w:rsidRDefault="005B0214" w:rsidP="005B0214">
      <w:pPr>
        <w:keepNext/>
        <w:rPr>
          <w:rFonts w:ascii="Garamond" w:hAnsi="Garamond"/>
          <w:lang w:val="en-AU"/>
        </w:rPr>
      </w:pPr>
      <w:r w:rsidRPr="005B0214">
        <w:rPr>
          <w:rFonts w:ascii="Garamond" w:hAnsi="Garamond"/>
          <w:lang w:val="en-AU"/>
        </w:rPr>
        <w:t xml:space="preserve">Volume: 22, Number: 4 (October 2017) </w:t>
      </w:r>
    </w:p>
    <w:tbl>
      <w:tblPr>
        <w:tblStyle w:val="TableGrid"/>
        <w:tblW w:w="0" w:type="auto"/>
        <w:tblInd w:w="288" w:type="dxa"/>
        <w:tblLayout w:type="fixed"/>
        <w:tblLook w:val="01E0" w:firstRow="1" w:lastRow="1" w:firstColumn="1" w:lastColumn="1" w:noHBand="0" w:noVBand="0"/>
      </w:tblPr>
      <w:tblGrid>
        <w:gridCol w:w="1080"/>
        <w:gridCol w:w="8280"/>
      </w:tblGrid>
      <w:tr w:rsidR="00915CB2" w:rsidRPr="00C3014C" w:rsidTr="006C4582">
        <w:tc>
          <w:tcPr>
            <w:tcW w:w="1080" w:type="dxa"/>
            <w:tcBorders>
              <w:top w:val="single" w:sz="4" w:space="0" w:color="auto"/>
              <w:left w:val="single" w:sz="4" w:space="0" w:color="auto"/>
              <w:bottom w:val="single" w:sz="4" w:space="0" w:color="auto"/>
              <w:right w:val="single" w:sz="4" w:space="0" w:color="auto"/>
            </w:tcBorders>
            <w:vAlign w:val="center"/>
          </w:tcPr>
          <w:p w:rsidR="00915CB2" w:rsidRPr="00C3014C" w:rsidRDefault="00C11FC9" w:rsidP="006C4582">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915CB2" w:rsidRPr="00C3014C" w:rsidRDefault="005B0214" w:rsidP="006C4582">
            <w:pPr>
              <w:rPr>
                <w:rStyle w:val="Hyperlink"/>
                <w:rFonts w:ascii="Garamond" w:hAnsi="Garamond"/>
                <w:color w:val="auto"/>
                <w:u w:val="none"/>
                <w:lang w:val="en-AU"/>
              </w:rPr>
            </w:pPr>
            <w:hyperlink r:id="rId28" w:history="1">
              <w:r w:rsidRPr="00EC7E1F">
                <w:rPr>
                  <w:rStyle w:val="Hyperlink"/>
                  <w:rFonts w:ascii="Garamond" w:hAnsi="Garamond"/>
                  <w:lang w:val="en-AU"/>
                </w:rPr>
                <w:t>http://journals.sagepub.com/toc/hsrb/22/4</w:t>
              </w:r>
            </w:hyperlink>
          </w:p>
        </w:tc>
      </w:tr>
      <w:tr w:rsidR="00915CB2" w:rsidRPr="00C3014C" w:rsidTr="006C4582">
        <w:tc>
          <w:tcPr>
            <w:tcW w:w="1080" w:type="dxa"/>
            <w:tcBorders>
              <w:top w:val="single" w:sz="4" w:space="0" w:color="auto"/>
              <w:left w:val="single" w:sz="4" w:space="0" w:color="auto"/>
              <w:bottom w:val="single" w:sz="4" w:space="0" w:color="auto"/>
              <w:right w:val="single" w:sz="4" w:space="0" w:color="auto"/>
            </w:tcBorders>
            <w:vAlign w:val="center"/>
          </w:tcPr>
          <w:p w:rsidR="00915CB2" w:rsidRPr="00C3014C" w:rsidRDefault="00915CB2" w:rsidP="006C4582">
            <w:pPr>
              <w:rPr>
                <w:rFonts w:ascii="Garamond" w:hAnsi="Garamond"/>
                <w:lang w:val="en-AU" w:eastAsia="en-AU"/>
              </w:rPr>
            </w:pPr>
            <w:r w:rsidRPr="00C3014C">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B0214" w:rsidRPr="00EB0FFF" w:rsidRDefault="005B0214" w:rsidP="005B0214">
            <w:pPr>
              <w:rPr>
                <w:rFonts w:ascii="Garamond" w:hAnsi="Garamond"/>
                <w:lang w:val="en-AU" w:eastAsia="en-AU"/>
              </w:rPr>
            </w:pPr>
            <w:r w:rsidRPr="00EB0FFF">
              <w:rPr>
                <w:rFonts w:ascii="Garamond" w:hAnsi="Garamond"/>
                <w:lang w:val="en-AU" w:eastAsia="en-AU"/>
              </w:rPr>
              <w:t xml:space="preserve">A new issue of </w:t>
            </w:r>
            <w:r>
              <w:rPr>
                <w:rFonts w:ascii="Garamond" w:hAnsi="Garamond"/>
                <w:lang w:val="en-AU" w:eastAsia="en-AU"/>
              </w:rPr>
              <w:t xml:space="preserve">the </w:t>
            </w:r>
            <w:r w:rsidRPr="005B0214">
              <w:rPr>
                <w:rFonts w:ascii="Garamond" w:hAnsi="Garamond"/>
                <w:i/>
                <w:lang w:val="en-AU"/>
              </w:rPr>
              <w:t>Journal of Health Services Research &amp; Policy</w:t>
            </w:r>
            <w:r w:rsidRPr="00EB0FFF">
              <w:rPr>
                <w:rFonts w:ascii="Garamond" w:hAnsi="Garamond"/>
                <w:i/>
                <w:lang w:val="en-AU"/>
              </w:rPr>
              <w:t xml:space="preserve"> </w:t>
            </w:r>
            <w:r>
              <w:rPr>
                <w:rFonts w:ascii="Garamond" w:hAnsi="Garamond"/>
                <w:lang w:val="en-AU" w:eastAsia="en-AU"/>
              </w:rPr>
              <w:t xml:space="preserve">has been published. </w:t>
            </w:r>
            <w:r w:rsidRPr="00EB0FFF">
              <w:rPr>
                <w:rFonts w:ascii="Garamond" w:hAnsi="Garamond"/>
                <w:lang w:val="en-AU" w:eastAsia="en-AU"/>
              </w:rPr>
              <w:t xml:space="preserve">Articles in this issue of </w:t>
            </w:r>
            <w:r w:rsidRPr="005B0214">
              <w:rPr>
                <w:rFonts w:ascii="Garamond" w:hAnsi="Garamond"/>
                <w:i/>
                <w:lang w:val="en-AU"/>
              </w:rPr>
              <w:t>Journal of Health Services Research &amp; Policy</w:t>
            </w:r>
            <w:r w:rsidRPr="00EB0FFF">
              <w:rPr>
                <w:rFonts w:ascii="Garamond" w:hAnsi="Garamond"/>
                <w:i/>
                <w:lang w:val="en-AU"/>
              </w:rPr>
              <w:t xml:space="preserve"> </w:t>
            </w:r>
            <w:r w:rsidRPr="00EB0FFF">
              <w:rPr>
                <w:rFonts w:ascii="Garamond" w:hAnsi="Garamond"/>
                <w:lang w:val="en-AU" w:eastAsia="en-AU"/>
              </w:rPr>
              <w:t>include:</w:t>
            </w:r>
          </w:p>
          <w:p w:rsidR="005B0214" w:rsidRPr="005B0214" w:rsidRDefault="005B0214" w:rsidP="005B0214">
            <w:pPr>
              <w:pStyle w:val="ListParagraph"/>
              <w:numPr>
                <w:ilvl w:val="0"/>
                <w:numId w:val="26"/>
              </w:numPr>
              <w:rPr>
                <w:rFonts w:ascii="Garamond" w:hAnsi="Garamond"/>
                <w:lang w:val="en-AU"/>
              </w:rPr>
            </w:pPr>
            <w:r w:rsidRPr="005B0214">
              <w:rPr>
                <w:rFonts w:ascii="Garamond" w:hAnsi="Garamond"/>
                <w:lang w:val="en-AU"/>
              </w:rPr>
              <w:t xml:space="preserve">How important is information and communication technology in enabling </w:t>
            </w:r>
            <w:r w:rsidRPr="005B0214">
              <w:rPr>
                <w:rFonts w:ascii="Garamond" w:hAnsi="Garamond"/>
                <w:b/>
                <w:lang w:val="en-AU"/>
              </w:rPr>
              <w:t>interprofessional collaboration</w:t>
            </w:r>
            <w:r w:rsidRPr="005B0214">
              <w:rPr>
                <w:rFonts w:ascii="Garamond" w:hAnsi="Garamond"/>
                <w:lang w:val="en-AU"/>
              </w:rPr>
              <w:t xml:space="preserve">? </w:t>
            </w:r>
            <w:r w:rsidRPr="005B0214">
              <w:rPr>
                <w:rFonts w:ascii="Garamond" w:hAnsi="Garamond"/>
                <w:lang w:val="en-AU"/>
              </w:rPr>
              <w:t>(</w:t>
            </w:r>
            <w:r>
              <w:rPr>
                <w:rFonts w:ascii="Garamond" w:hAnsi="Garamond"/>
                <w:lang w:val="en-AU"/>
              </w:rPr>
              <w:t>Nicholas Goodwin)</w:t>
            </w:r>
          </w:p>
          <w:p w:rsidR="005B0214" w:rsidRPr="005B0214" w:rsidRDefault="005B0214" w:rsidP="005B0214">
            <w:pPr>
              <w:pStyle w:val="ListParagraph"/>
              <w:numPr>
                <w:ilvl w:val="0"/>
                <w:numId w:val="26"/>
              </w:numPr>
              <w:rPr>
                <w:rFonts w:ascii="Garamond" w:hAnsi="Garamond"/>
                <w:lang w:val="en-AU"/>
              </w:rPr>
            </w:pPr>
            <w:r w:rsidRPr="005B0214">
              <w:rPr>
                <w:rFonts w:ascii="Garamond" w:hAnsi="Garamond"/>
                <w:b/>
                <w:lang w:val="en-AU"/>
              </w:rPr>
              <w:t>Patient safety in nursing homes</w:t>
            </w:r>
            <w:r w:rsidRPr="005B0214">
              <w:rPr>
                <w:rFonts w:ascii="Garamond" w:hAnsi="Garamond"/>
                <w:lang w:val="en-AU"/>
              </w:rPr>
              <w:t xml:space="preserve"> in Sweden: nurses’ views on safety and their role </w:t>
            </w:r>
            <w:r w:rsidRPr="005B0214">
              <w:rPr>
                <w:rFonts w:ascii="Garamond" w:hAnsi="Garamond"/>
                <w:lang w:val="en-AU"/>
              </w:rPr>
              <w:t>(</w:t>
            </w:r>
            <w:r w:rsidRPr="005B0214">
              <w:rPr>
                <w:rFonts w:ascii="Garamond" w:hAnsi="Garamond"/>
                <w:lang w:val="en-AU"/>
              </w:rPr>
              <w:t>Frie</w:t>
            </w:r>
            <w:r>
              <w:rPr>
                <w:rFonts w:ascii="Garamond" w:hAnsi="Garamond"/>
                <w:lang w:val="en-AU"/>
              </w:rPr>
              <w:t>da Andersson and Katarina Hjelm)</w:t>
            </w:r>
          </w:p>
          <w:p w:rsidR="005B0214" w:rsidRPr="005B0214" w:rsidRDefault="005B0214" w:rsidP="005B0214">
            <w:pPr>
              <w:pStyle w:val="ListParagraph"/>
              <w:numPr>
                <w:ilvl w:val="0"/>
                <w:numId w:val="26"/>
              </w:numPr>
              <w:rPr>
                <w:rFonts w:ascii="Garamond" w:hAnsi="Garamond"/>
                <w:lang w:val="en-AU"/>
              </w:rPr>
            </w:pPr>
            <w:r w:rsidRPr="005B0214">
              <w:rPr>
                <w:rFonts w:ascii="Garamond" w:hAnsi="Garamond"/>
                <w:lang w:val="en-AU"/>
              </w:rPr>
              <w:t xml:space="preserve">Prevalence and costs of </w:t>
            </w:r>
            <w:r w:rsidRPr="005B0214">
              <w:rPr>
                <w:rFonts w:ascii="Garamond" w:hAnsi="Garamond"/>
                <w:b/>
                <w:lang w:val="en-AU"/>
              </w:rPr>
              <w:t>defensive medicine</w:t>
            </w:r>
            <w:r w:rsidRPr="005B0214">
              <w:rPr>
                <w:rFonts w:ascii="Garamond" w:hAnsi="Garamond"/>
                <w:lang w:val="en-AU"/>
              </w:rPr>
              <w:t xml:space="preserve">: a national survey of Italian physicians </w:t>
            </w:r>
            <w:r w:rsidRPr="005B0214">
              <w:rPr>
                <w:rFonts w:ascii="Garamond" w:hAnsi="Garamond"/>
                <w:lang w:val="en-AU"/>
              </w:rPr>
              <w:t>(</w:t>
            </w:r>
            <w:r w:rsidRPr="005B0214">
              <w:rPr>
                <w:rFonts w:ascii="Garamond" w:hAnsi="Garamond"/>
                <w:lang w:val="en-AU"/>
              </w:rPr>
              <w:t>Massimiliano Panella, Carmela Rinaldi, Fabrizio Leigheb, Sanita Knesse, Chiara Donnarumma, Seval Kul, Kris Vanhaecht, an</w:t>
            </w:r>
            <w:r>
              <w:rPr>
                <w:rFonts w:ascii="Garamond" w:hAnsi="Garamond"/>
                <w:lang w:val="en-AU"/>
              </w:rPr>
              <w:t>d Francesco Di Stanislao)</w:t>
            </w:r>
          </w:p>
          <w:p w:rsidR="005B0214" w:rsidRPr="005B0214" w:rsidRDefault="005B0214" w:rsidP="005B0214">
            <w:pPr>
              <w:pStyle w:val="ListParagraph"/>
              <w:numPr>
                <w:ilvl w:val="0"/>
                <w:numId w:val="26"/>
              </w:numPr>
              <w:rPr>
                <w:rFonts w:ascii="Garamond" w:hAnsi="Garamond"/>
                <w:lang w:val="en-AU"/>
              </w:rPr>
            </w:pPr>
            <w:r w:rsidRPr="005B0214">
              <w:rPr>
                <w:rFonts w:ascii="Garamond" w:hAnsi="Garamond"/>
                <w:lang w:val="en-AU"/>
              </w:rPr>
              <w:t xml:space="preserve">Do single-use medical devices containing biopolymers reduce the </w:t>
            </w:r>
            <w:r w:rsidRPr="005B0214">
              <w:rPr>
                <w:rFonts w:ascii="Garamond" w:hAnsi="Garamond"/>
                <w:b/>
                <w:lang w:val="en-AU"/>
              </w:rPr>
              <w:t>environmental impacts of surgical procedures</w:t>
            </w:r>
            <w:r w:rsidRPr="005B0214">
              <w:rPr>
                <w:rFonts w:ascii="Garamond" w:hAnsi="Garamond"/>
                <w:lang w:val="en-AU"/>
              </w:rPr>
              <w:t xml:space="preserve"> compared with their plastic equivalents? </w:t>
            </w:r>
            <w:r w:rsidRPr="005B0214">
              <w:rPr>
                <w:rFonts w:ascii="Garamond" w:hAnsi="Garamond"/>
                <w:lang w:val="en-AU"/>
              </w:rPr>
              <w:t>(</w:t>
            </w:r>
            <w:r w:rsidRPr="005B0214">
              <w:rPr>
                <w:rFonts w:ascii="Garamond" w:hAnsi="Garamond"/>
                <w:lang w:val="en-AU"/>
              </w:rPr>
              <w:t>Scott R Unger, Troy A Hottle, Shakira R Hobbs, Cassandra L Thiel, Nicole Campion, Me</w:t>
            </w:r>
            <w:r>
              <w:rPr>
                <w:rFonts w:ascii="Garamond" w:hAnsi="Garamond"/>
                <w:lang w:val="en-AU"/>
              </w:rPr>
              <w:t>lissa M Bilec, and Amy E Landis)</w:t>
            </w:r>
          </w:p>
          <w:p w:rsidR="005B0214" w:rsidRPr="005B0214" w:rsidRDefault="005B0214" w:rsidP="005B0214">
            <w:pPr>
              <w:pStyle w:val="ListParagraph"/>
              <w:numPr>
                <w:ilvl w:val="0"/>
                <w:numId w:val="26"/>
              </w:numPr>
              <w:rPr>
                <w:rFonts w:ascii="Garamond" w:hAnsi="Garamond"/>
                <w:lang w:val="en-AU"/>
              </w:rPr>
            </w:pPr>
            <w:r w:rsidRPr="005B0214">
              <w:rPr>
                <w:rFonts w:ascii="Garamond" w:hAnsi="Garamond"/>
                <w:lang w:val="en-AU"/>
              </w:rPr>
              <w:lastRenderedPageBreak/>
              <w:t xml:space="preserve">Cost-effectiveness of Memory Assessment Services for the </w:t>
            </w:r>
            <w:r w:rsidRPr="005B0214">
              <w:rPr>
                <w:rFonts w:ascii="Garamond" w:hAnsi="Garamond"/>
                <w:b/>
                <w:lang w:val="en-AU"/>
              </w:rPr>
              <w:t>diagnosis and early support of patients with dementia</w:t>
            </w:r>
            <w:r w:rsidRPr="005B0214">
              <w:rPr>
                <w:rFonts w:ascii="Garamond" w:hAnsi="Garamond"/>
                <w:lang w:val="en-AU"/>
              </w:rPr>
              <w:t xml:space="preserve"> in England </w:t>
            </w:r>
            <w:r w:rsidRPr="005B0214">
              <w:rPr>
                <w:rFonts w:ascii="Garamond" w:hAnsi="Garamond"/>
                <w:lang w:val="en-AU"/>
              </w:rPr>
              <w:t>(</w:t>
            </w:r>
            <w:r w:rsidRPr="005B0214">
              <w:rPr>
                <w:rFonts w:ascii="Garamond" w:hAnsi="Garamond"/>
                <w:lang w:val="en-AU"/>
              </w:rPr>
              <w:t>Manuel Gomes, Mark Pennington, Raphael Wittenberg, Martin Knapp, Nick Black, and Sarah Smith</w:t>
            </w:r>
            <w:r>
              <w:rPr>
                <w:rFonts w:ascii="Garamond" w:hAnsi="Garamond"/>
                <w:lang w:val="en-AU"/>
              </w:rPr>
              <w:t>)</w:t>
            </w:r>
          </w:p>
          <w:p w:rsidR="005B0214" w:rsidRPr="005B0214" w:rsidRDefault="005B0214" w:rsidP="005B0214">
            <w:pPr>
              <w:pStyle w:val="ListParagraph"/>
              <w:numPr>
                <w:ilvl w:val="0"/>
                <w:numId w:val="26"/>
              </w:numPr>
              <w:rPr>
                <w:rFonts w:ascii="Garamond" w:hAnsi="Garamond"/>
                <w:lang w:val="en-AU"/>
              </w:rPr>
            </w:pPr>
            <w:r w:rsidRPr="005B0214">
              <w:rPr>
                <w:rFonts w:ascii="Garamond" w:hAnsi="Garamond"/>
                <w:lang w:val="en-AU"/>
              </w:rPr>
              <w:t xml:space="preserve">Impact of the level of sickness on higher </w:t>
            </w:r>
            <w:r w:rsidRPr="005B0214">
              <w:rPr>
                <w:rFonts w:ascii="Garamond" w:hAnsi="Garamond"/>
                <w:b/>
                <w:lang w:val="en-AU"/>
              </w:rPr>
              <w:t>mortality in emergency medical admissions to hospital at weekends</w:t>
            </w:r>
            <w:r w:rsidRPr="005B0214">
              <w:rPr>
                <w:rFonts w:ascii="Garamond" w:hAnsi="Garamond"/>
                <w:lang w:val="en-AU"/>
              </w:rPr>
              <w:t xml:space="preserve"> </w:t>
            </w:r>
            <w:r w:rsidRPr="005B0214">
              <w:rPr>
                <w:rFonts w:ascii="Garamond" w:hAnsi="Garamond"/>
                <w:lang w:val="en-AU"/>
              </w:rPr>
              <w:t>(</w:t>
            </w:r>
            <w:r w:rsidRPr="005B0214">
              <w:rPr>
                <w:rFonts w:ascii="Garamond" w:hAnsi="Garamond"/>
                <w:lang w:val="en-AU"/>
              </w:rPr>
              <w:t>Mohammed Mohammed, Muhammad Faisal, Donald Richardson, Robin Howes, K Beatso</w:t>
            </w:r>
            <w:r>
              <w:rPr>
                <w:rFonts w:ascii="Garamond" w:hAnsi="Garamond"/>
                <w:lang w:val="en-AU"/>
              </w:rPr>
              <w:t>n, K Speed, and J Wright)</w:t>
            </w:r>
          </w:p>
          <w:p w:rsidR="005B0214" w:rsidRPr="005B0214" w:rsidRDefault="005B0214" w:rsidP="005B0214">
            <w:pPr>
              <w:pStyle w:val="ListParagraph"/>
              <w:numPr>
                <w:ilvl w:val="0"/>
                <w:numId w:val="26"/>
              </w:numPr>
              <w:rPr>
                <w:rFonts w:ascii="Garamond" w:hAnsi="Garamond"/>
                <w:lang w:val="en-AU"/>
              </w:rPr>
            </w:pPr>
            <w:r w:rsidRPr="005B0214">
              <w:rPr>
                <w:rFonts w:ascii="Garamond" w:hAnsi="Garamond"/>
                <w:b/>
                <w:lang w:val="en-AU"/>
              </w:rPr>
              <w:t>Health services research</w:t>
            </w:r>
            <w:r w:rsidRPr="005B0214">
              <w:rPr>
                <w:rFonts w:ascii="Garamond" w:hAnsi="Garamond"/>
                <w:lang w:val="en-AU"/>
              </w:rPr>
              <w:t xml:space="preserve">: building capacity to meet the needs of the health care system </w:t>
            </w:r>
            <w:r w:rsidRPr="005B0214">
              <w:rPr>
                <w:rFonts w:ascii="Garamond" w:hAnsi="Garamond"/>
                <w:lang w:val="en-AU"/>
              </w:rPr>
              <w:t>(</w:t>
            </w:r>
            <w:r w:rsidRPr="005B0214">
              <w:rPr>
                <w:rFonts w:ascii="Garamond" w:hAnsi="Garamond"/>
                <w:lang w:val="en-AU"/>
              </w:rPr>
              <w:t>Helen Barratt, Jay Shaw, Lisa Simpson</w:t>
            </w:r>
            <w:r>
              <w:rPr>
                <w:rFonts w:ascii="Garamond" w:hAnsi="Garamond"/>
                <w:lang w:val="en-AU"/>
              </w:rPr>
              <w:t>, S Bhatia, and N Fulop)</w:t>
            </w:r>
          </w:p>
          <w:p w:rsidR="005B0214" w:rsidRPr="005B0214" w:rsidRDefault="005B0214" w:rsidP="005B0214">
            <w:pPr>
              <w:pStyle w:val="ListParagraph"/>
              <w:numPr>
                <w:ilvl w:val="0"/>
                <w:numId w:val="26"/>
              </w:numPr>
              <w:rPr>
                <w:rFonts w:ascii="Garamond" w:hAnsi="Garamond"/>
                <w:lang w:val="en-AU"/>
              </w:rPr>
            </w:pPr>
            <w:r w:rsidRPr="005B0214">
              <w:rPr>
                <w:rFonts w:ascii="Garamond" w:hAnsi="Garamond"/>
                <w:lang w:val="en-AU"/>
              </w:rPr>
              <w:t xml:space="preserve">Impact of information and communication technology on </w:t>
            </w:r>
            <w:r w:rsidRPr="005B0214">
              <w:rPr>
                <w:rFonts w:ascii="Garamond" w:hAnsi="Garamond"/>
                <w:b/>
                <w:lang w:val="en-AU"/>
              </w:rPr>
              <w:t>interprofessional collaboration</w:t>
            </w:r>
            <w:r w:rsidRPr="005B0214">
              <w:rPr>
                <w:rFonts w:ascii="Garamond" w:hAnsi="Garamond"/>
                <w:lang w:val="en-AU"/>
              </w:rPr>
              <w:t xml:space="preserve"> for </w:t>
            </w:r>
            <w:r w:rsidRPr="005B0214">
              <w:rPr>
                <w:rFonts w:ascii="Garamond" w:hAnsi="Garamond"/>
                <w:b/>
                <w:lang w:val="en-AU"/>
              </w:rPr>
              <w:t xml:space="preserve">chronic disease </w:t>
            </w:r>
            <w:r w:rsidRPr="005B0214">
              <w:rPr>
                <w:rFonts w:ascii="Garamond" w:hAnsi="Garamond"/>
                <w:b/>
                <w:lang w:val="en-AU"/>
              </w:rPr>
              <w:t>management</w:t>
            </w:r>
            <w:r>
              <w:rPr>
                <w:rFonts w:ascii="Garamond" w:hAnsi="Garamond"/>
                <w:lang w:val="en-AU"/>
              </w:rPr>
              <w:t>: a systematic review</w:t>
            </w:r>
            <w:r w:rsidRPr="005B0214">
              <w:rPr>
                <w:rFonts w:ascii="Garamond" w:hAnsi="Garamond"/>
                <w:lang w:val="en-AU"/>
              </w:rPr>
              <w:t xml:space="preserve"> (</w:t>
            </w:r>
            <w:r w:rsidRPr="005B0214">
              <w:rPr>
                <w:rFonts w:ascii="Garamond" w:hAnsi="Garamond"/>
                <w:lang w:val="en-AU"/>
              </w:rPr>
              <w:t>Neil Barr, Diana Vania, Gl</w:t>
            </w:r>
            <w:r>
              <w:rPr>
                <w:rFonts w:ascii="Garamond" w:hAnsi="Garamond"/>
                <w:lang w:val="en-AU"/>
              </w:rPr>
              <w:t>en Randall, and Gillian Mulvale)</w:t>
            </w:r>
          </w:p>
          <w:p w:rsidR="005B0214" w:rsidRPr="005B0214" w:rsidRDefault="005B0214" w:rsidP="005B0214">
            <w:pPr>
              <w:pStyle w:val="ListParagraph"/>
              <w:numPr>
                <w:ilvl w:val="0"/>
                <w:numId w:val="26"/>
              </w:numPr>
              <w:rPr>
                <w:rFonts w:ascii="Garamond" w:hAnsi="Garamond"/>
                <w:lang w:val="en-AU"/>
              </w:rPr>
            </w:pPr>
            <w:r w:rsidRPr="005B0214">
              <w:rPr>
                <w:rFonts w:ascii="Garamond" w:hAnsi="Garamond"/>
                <w:lang w:val="en-AU"/>
              </w:rPr>
              <w:t xml:space="preserve">Children as agents of change in combatting </w:t>
            </w:r>
            <w:r w:rsidRPr="005B0214">
              <w:rPr>
                <w:rFonts w:ascii="Garamond" w:hAnsi="Garamond"/>
                <w:b/>
                <w:lang w:val="en-AU"/>
              </w:rPr>
              <w:t>antibiotic resistance</w:t>
            </w:r>
            <w:r w:rsidRPr="005B0214">
              <w:rPr>
                <w:rFonts w:ascii="Garamond" w:hAnsi="Garamond"/>
                <w:lang w:val="en-AU"/>
              </w:rPr>
              <w:t xml:space="preserve"> </w:t>
            </w:r>
            <w:r w:rsidRPr="005B0214">
              <w:rPr>
                <w:rFonts w:ascii="Garamond" w:hAnsi="Garamond"/>
                <w:lang w:val="en-AU"/>
              </w:rPr>
              <w:t>(</w:t>
            </w:r>
            <w:r>
              <w:rPr>
                <w:rFonts w:ascii="Garamond" w:hAnsi="Garamond"/>
                <w:lang w:val="en-AU"/>
              </w:rPr>
              <w:t>A Molnar)</w:t>
            </w:r>
          </w:p>
          <w:p w:rsidR="00915CB2" w:rsidRPr="005B0214" w:rsidRDefault="005B0214" w:rsidP="005B0214">
            <w:pPr>
              <w:pStyle w:val="ListParagraph"/>
              <w:numPr>
                <w:ilvl w:val="0"/>
                <w:numId w:val="26"/>
              </w:numPr>
              <w:rPr>
                <w:rFonts w:ascii="Garamond" w:hAnsi="Garamond"/>
                <w:lang w:val="en-AU"/>
              </w:rPr>
            </w:pPr>
            <w:r w:rsidRPr="005B0214">
              <w:rPr>
                <w:rFonts w:ascii="Garamond" w:hAnsi="Garamond"/>
                <w:b/>
                <w:lang w:val="en-AU"/>
              </w:rPr>
              <w:t>Medicaid waivers and negotiated federalism</w:t>
            </w:r>
            <w:r w:rsidRPr="005B0214">
              <w:rPr>
                <w:rFonts w:ascii="Garamond" w:hAnsi="Garamond"/>
                <w:lang w:val="en-AU"/>
              </w:rPr>
              <w:t xml:space="preserve"> in the US: is there relevance to other federal systems? </w:t>
            </w:r>
            <w:r>
              <w:rPr>
                <w:rFonts w:ascii="Garamond" w:hAnsi="Garamond"/>
                <w:lang w:val="en-AU"/>
              </w:rPr>
              <w:t>(</w:t>
            </w:r>
            <w:r w:rsidRPr="005B0214">
              <w:rPr>
                <w:rFonts w:ascii="Garamond" w:hAnsi="Garamond"/>
                <w:lang w:val="en-AU"/>
              </w:rPr>
              <w:t>Carol S Weissert and William G Weissert</w:t>
            </w:r>
            <w:r>
              <w:rPr>
                <w:rFonts w:ascii="Garamond" w:hAnsi="Garamond"/>
                <w:lang w:val="en-AU"/>
              </w:rPr>
              <w:t>)</w:t>
            </w:r>
          </w:p>
        </w:tc>
      </w:tr>
    </w:tbl>
    <w:p w:rsidR="00915CB2" w:rsidRDefault="00915CB2" w:rsidP="00915CB2">
      <w:pPr>
        <w:keepLines/>
        <w:autoSpaceDE w:val="0"/>
        <w:autoSpaceDN w:val="0"/>
        <w:adjustRightInd w:val="0"/>
        <w:rPr>
          <w:rFonts w:ascii="Garamond" w:hAnsi="Garamond"/>
          <w:lang w:val="en-AU"/>
        </w:rPr>
      </w:pPr>
    </w:p>
    <w:p w:rsidR="00915CB2" w:rsidRPr="00C3014C" w:rsidRDefault="00915CB2" w:rsidP="00915CB2">
      <w:pPr>
        <w:keepNext/>
        <w:rPr>
          <w:rFonts w:ascii="Garamond" w:hAnsi="Garamond"/>
          <w:lang w:val="en-AU"/>
        </w:rPr>
      </w:pPr>
      <w:r w:rsidRPr="00C3014C">
        <w:rPr>
          <w:rFonts w:ascii="Garamond" w:hAnsi="Garamond"/>
          <w:i/>
          <w:lang w:val="en-AU"/>
        </w:rPr>
        <w:t xml:space="preserve">BMJ Quality and Safety </w:t>
      </w:r>
      <w:r w:rsidRPr="00C3014C">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915CB2" w:rsidRPr="00C3014C" w:rsidTr="006C4582">
        <w:trPr>
          <w:cantSplit/>
        </w:trPr>
        <w:tc>
          <w:tcPr>
            <w:tcW w:w="1080" w:type="dxa"/>
            <w:tcBorders>
              <w:top w:val="single" w:sz="4" w:space="0" w:color="auto"/>
              <w:left w:val="single" w:sz="4" w:space="0" w:color="auto"/>
              <w:bottom w:val="single" w:sz="4" w:space="0" w:color="auto"/>
              <w:right w:val="single" w:sz="4" w:space="0" w:color="auto"/>
            </w:tcBorders>
            <w:vAlign w:val="center"/>
          </w:tcPr>
          <w:p w:rsidR="00915CB2" w:rsidRPr="00C3014C" w:rsidRDefault="00915CB2" w:rsidP="006C4582">
            <w:pPr>
              <w:keepNext/>
              <w:rPr>
                <w:rFonts w:ascii="Garamond" w:hAnsi="Garamond"/>
                <w:lang w:val="en-AU"/>
              </w:rPr>
            </w:pPr>
            <w:r w:rsidRPr="00C3014C">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915CB2" w:rsidRPr="00C3014C" w:rsidRDefault="00A86D2C" w:rsidP="006C4582">
            <w:pPr>
              <w:keepNext/>
              <w:rPr>
                <w:rFonts w:ascii="Garamond" w:hAnsi="Garamond"/>
                <w:lang w:val="en-AU"/>
              </w:rPr>
            </w:pPr>
            <w:hyperlink r:id="rId29" w:history="1">
              <w:r w:rsidR="00915CB2" w:rsidRPr="00C3014C">
                <w:rPr>
                  <w:rStyle w:val="Hyperlink"/>
                  <w:rFonts w:ascii="Garamond" w:hAnsi="Garamond"/>
                  <w:lang w:val="en-AU"/>
                </w:rPr>
                <w:t>https://qualitysafety.bmj.com/content/early/recent</w:t>
              </w:r>
            </w:hyperlink>
          </w:p>
        </w:tc>
      </w:tr>
      <w:tr w:rsidR="00915CB2" w:rsidRPr="00C3014C" w:rsidTr="006C4582">
        <w:trPr>
          <w:cantSplit/>
        </w:trPr>
        <w:tc>
          <w:tcPr>
            <w:tcW w:w="1080" w:type="dxa"/>
            <w:tcBorders>
              <w:top w:val="single" w:sz="4" w:space="0" w:color="auto"/>
              <w:left w:val="single" w:sz="4" w:space="0" w:color="auto"/>
              <w:bottom w:val="single" w:sz="4" w:space="0" w:color="auto"/>
              <w:right w:val="single" w:sz="4" w:space="0" w:color="auto"/>
            </w:tcBorders>
            <w:vAlign w:val="center"/>
          </w:tcPr>
          <w:p w:rsidR="00915CB2" w:rsidRPr="00C3014C" w:rsidRDefault="00915CB2" w:rsidP="006C4582">
            <w:pPr>
              <w:rPr>
                <w:rFonts w:ascii="Garamond" w:hAnsi="Garamond"/>
                <w:lang w:val="en-AU"/>
              </w:rPr>
            </w:pPr>
            <w:r w:rsidRPr="00C3014C">
              <w:rPr>
                <w:rFonts w:ascii="Garamond" w:hAnsi="Garamond"/>
                <w:lang w:val="en-AU"/>
              </w:rPr>
              <w:br w:type="page"/>
              <w:t>Notes</w:t>
            </w:r>
          </w:p>
        </w:tc>
        <w:tc>
          <w:tcPr>
            <w:tcW w:w="8238" w:type="dxa"/>
            <w:tcBorders>
              <w:top w:val="single" w:sz="4" w:space="0" w:color="auto"/>
              <w:left w:val="single" w:sz="4" w:space="0" w:color="auto"/>
              <w:bottom w:val="single" w:sz="4" w:space="0" w:color="auto"/>
              <w:right w:val="single" w:sz="4" w:space="0" w:color="auto"/>
            </w:tcBorders>
          </w:tcPr>
          <w:p w:rsidR="00915CB2" w:rsidRPr="00C3014C" w:rsidRDefault="00915CB2" w:rsidP="006C4582">
            <w:pPr>
              <w:rPr>
                <w:rFonts w:ascii="Garamond" w:hAnsi="Garamond"/>
                <w:lang w:val="en-AU"/>
              </w:rPr>
            </w:pPr>
            <w:r w:rsidRPr="00C3014C">
              <w:rPr>
                <w:rFonts w:ascii="Garamond" w:hAnsi="Garamond"/>
                <w:i/>
                <w:lang w:val="en-AU"/>
              </w:rPr>
              <w:t>BMJ Quality and Safety</w:t>
            </w:r>
            <w:r w:rsidRPr="00C3014C">
              <w:rPr>
                <w:rFonts w:ascii="Garamond" w:hAnsi="Garamond"/>
                <w:lang w:val="en-AU"/>
              </w:rPr>
              <w:t xml:space="preserve"> has published a number of ‘online first’ articles, including:</w:t>
            </w:r>
          </w:p>
          <w:p w:rsidR="00C6599D" w:rsidRPr="00C6599D" w:rsidRDefault="00915CB2" w:rsidP="00C6599D">
            <w:pPr>
              <w:pStyle w:val="ListParagraph"/>
              <w:numPr>
                <w:ilvl w:val="0"/>
                <w:numId w:val="14"/>
              </w:numPr>
              <w:rPr>
                <w:rFonts w:ascii="Garamond" w:hAnsi="Garamond"/>
                <w:lang w:val="en-AU"/>
              </w:rPr>
            </w:pPr>
            <w:r w:rsidRPr="00C6599D">
              <w:rPr>
                <w:rFonts w:ascii="Garamond" w:hAnsi="Garamond"/>
                <w:lang w:val="en-AU"/>
              </w:rPr>
              <w:t xml:space="preserve">Editorial: </w:t>
            </w:r>
            <w:r w:rsidR="00C6599D" w:rsidRPr="00C6599D">
              <w:rPr>
                <w:rFonts w:ascii="Garamond" w:hAnsi="Garamond"/>
                <w:b/>
                <w:lang w:val="en-AU"/>
              </w:rPr>
              <w:t>Postmarket medical device safety</w:t>
            </w:r>
            <w:r w:rsidR="00C6599D" w:rsidRPr="00C6599D">
              <w:rPr>
                <w:rFonts w:ascii="Garamond" w:hAnsi="Garamond"/>
                <w:lang w:val="en-AU"/>
              </w:rPr>
              <w:t>: moving beyond voluntary reporting (Frederic S Resnic, Arjun Majithia</w:t>
            </w:r>
            <w:r w:rsidR="00C6599D">
              <w:rPr>
                <w:rFonts w:ascii="Garamond" w:hAnsi="Garamond"/>
                <w:lang w:val="en-AU"/>
              </w:rPr>
              <w:t>)</w:t>
            </w:r>
          </w:p>
          <w:p w:rsidR="00C6599D" w:rsidRPr="00C6599D" w:rsidRDefault="00C6599D" w:rsidP="00C6599D">
            <w:pPr>
              <w:pStyle w:val="ListParagraph"/>
              <w:numPr>
                <w:ilvl w:val="0"/>
                <w:numId w:val="14"/>
              </w:numPr>
              <w:rPr>
                <w:rFonts w:ascii="Garamond" w:hAnsi="Garamond"/>
                <w:lang w:val="en-AU"/>
              </w:rPr>
            </w:pPr>
            <w:r w:rsidRPr="00C6599D">
              <w:rPr>
                <w:rFonts w:ascii="Garamond" w:hAnsi="Garamond"/>
                <w:lang w:val="en-AU"/>
              </w:rPr>
              <w:t xml:space="preserve">Intraoperative non-technical skills: a critical target for </w:t>
            </w:r>
            <w:r w:rsidRPr="00C6599D">
              <w:rPr>
                <w:rFonts w:ascii="Garamond" w:hAnsi="Garamond"/>
                <w:b/>
                <w:lang w:val="en-AU"/>
              </w:rPr>
              <w:t>improving surgical outcomes</w:t>
            </w:r>
            <w:r w:rsidRPr="00C6599D">
              <w:rPr>
                <w:rFonts w:ascii="Garamond" w:hAnsi="Garamond"/>
                <w:lang w:val="en-AU"/>
              </w:rPr>
              <w:t xml:space="preserve"> (Kara Vande Walle, Caprice Greenberg</w:t>
            </w:r>
            <w:r>
              <w:rPr>
                <w:rFonts w:ascii="Garamond" w:hAnsi="Garamond"/>
                <w:lang w:val="en-AU"/>
              </w:rPr>
              <w:t>)</w:t>
            </w:r>
          </w:p>
          <w:p w:rsidR="00915CB2" w:rsidRDefault="00C6599D" w:rsidP="00C6599D">
            <w:pPr>
              <w:pStyle w:val="ListParagraph"/>
              <w:numPr>
                <w:ilvl w:val="0"/>
                <w:numId w:val="14"/>
              </w:numPr>
              <w:rPr>
                <w:rFonts w:ascii="Garamond" w:hAnsi="Garamond"/>
                <w:lang w:val="en-AU"/>
              </w:rPr>
            </w:pPr>
            <w:r w:rsidRPr="00C6599D">
              <w:rPr>
                <w:rFonts w:ascii="Garamond" w:hAnsi="Garamond"/>
                <w:lang w:val="en-AU"/>
              </w:rPr>
              <w:t xml:space="preserve">Providing </w:t>
            </w:r>
            <w:r w:rsidRPr="00C6599D">
              <w:rPr>
                <w:rFonts w:ascii="Garamond" w:hAnsi="Garamond"/>
                <w:b/>
                <w:lang w:val="en-AU"/>
              </w:rPr>
              <w:t xml:space="preserve">feedback </w:t>
            </w:r>
            <w:r w:rsidRPr="00C6599D">
              <w:rPr>
                <w:rFonts w:ascii="Garamond" w:hAnsi="Garamond"/>
                <w:lang w:val="en-AU"/>
              </w:rPr>
              <w:t>following</w:t>
            </w:r>
            <w:r w:rsidRPr="00C6599D">
              <w:rPr>
                <w:rFonts w:ascii="Garamond" w:hAnsi="Garamond"/>
                <w:b/>
                <w:lang w:val="en-AU"/>
              </w:rPr>
              <w:t xml:space="preserve"> Leadership WalkRounds</w:t>
            </w:r>
            <w:r w:rsidRPr="00C6599D">
              <w:rPr>
                <w:rFonts w:ascii="Garamond" w:hAnsi="Garamond"/>
                <w:lang w:val="en-AU"/>
              </w:rPr>
              <w:t xml:space="preserve"> is associated with </w:t>
            </w:r>
            <w:r w:rsidRPr="00C6599D">
              <w:rPr>
                <w:rFonts w:ascii="Garamond" w:hAnsi="Garamond"/>
                <w:b/>
                <w:lang w:val="en-AU"/>
              </w:rPr>
              <w:t xml:space="preserve">better patient safety culture, higher employee engagement </w:t>
            </w:r>
            <w:r w:rsidRPr="00C6599D">
              <w:rPr>
                <w:rFonts w:ascii="Garamond" w:hAnsi="Garamond"/>
                <w:lang w:val="en-AU"/>
              </w:rPr>
              <w:t>and</w:t>
            </w:r>
            <w:r w:rsidRPr="00C6599D">
              <w:rPr>
                <w:rFonts w:ascii="Garamond" w:hAnsi="Garamond"/>
                <w:b/>
                <w:lang w:val="en-AU"/>
              </w:rPr>
              <w:t xml:space="preserve"> lower burnout</w:t>
            </w:r>
            <w:r w:rsidRPr="00C6599D">
              <w:rPr>
                <w:rFonts w:ascii="Garamond" w:hAnsi="Garamond"/>
                <w:lang w:val="en-AU"/>
              </w:rPr>
              <w:t xml:space="preserve"> </w:t>
            </w:r>
            <w:r>
              <w:rPr>
                <w:rFonts w:ascii="Garamond" w:hAnsi="Garamond"/>
                <w:lang w:val="en-AU"/>
              </w:rPr>
              <w:t>(</w:t>
            </w:r>
            <w:r w:rsidRPr="00C6599D">
              <w:rPr>
                <w:rFonts w:ascii="Garamond" w:hAnsi="Garamond"/>
                <w:lang w:val="en-AU"/>
              </w:rPr>
              <w:t>J Bryan Sexton, Kathryn C Adair, Michael W Leonard, Terri Christensen Frankel, Joshua Proulx, Sam R Watson, Brooke Magnus, Brittany Bogan, Maleek Jamal, Rene Schwendimann, Allan S Frankel</w:t>
            </w:r>
            <w:r>
              <w:rPr>
                <w:rFonts w:ascii="Garamond" w:hAnsi="Garamond"/>
                <w:lang w:val="en-AU"/>
              </w:rPr>
              <w:t>)</w:t>
            </w:r>
          </w:p>
          <w:p w:rsidR="006F0DE1" w:rsidRPr="00C3014C" w:rsidRDefault="006F0DE1" w:rsidP="006F0DE1">
            <w:pPr>
              <w:pStyle w:val="ListParagraph"/>
              <w:numPr>
                <w:ilvl w:val="0"/>
                <w:numId w:val="14"/>
              </w:numPr>
              <w:rPr>
                <w:rFonts w:ascii="Garamond" w:hAnsi="Garamond"/>
                <w:lang w:val="en-AU"/>
              </w:rPr>
            </w:pPr>
            <w:r w:rsidRPr="006F0DE1">
              <w:rPr>
                <w:rFonts w:ascii="Garamond" w:hAnsi="Garamond"/>
                <w:lang w:val="en-AU"/>
              </w:rPr>
              <w:t xml:space="preserve">Impact of an </w:t>
            </w:r>
            <w:r w:rsidRPr="006F0DE1">
              <w:rPr>
                <w:rFonts w:ascii="Garamond" w:hAnsi="Garamond"/>
                <w:b/>
                <w:lang w:val="en-AU"/>
              </w:rPr>
              <w:t>inpatient electronic prescribing system</w:t>
            </w:r>
            <w:r w:rsidRPr="006F0DE1">
              <w:rPr>
                <w:rFonts w:ascii="Garamond" w:hAnsi="Garamond"/>
                <w:lang w:val="en-AU"/>
              </w:rPr>
              <w:t xml:space="preserve"> on prescribing error causation: a qualitative evaluation in an English hospital </w:t>
            </w:r>
            <w:r>
              <w:rPr>
                <w:rFonts w:ascii="Garamond" w:hAnsi="Garamond"/>
                <w:lang w:val="en-AU"/>
              </w:rPr>
              <w:t>(</w:t>
            </w:r>
            <w:r w:rsidRPr="006F0DE1">
              <w:rPr>
                <w:rFonts w:ascii="Garamond" w:hAnsi="Garamond"/>
                <w:lang w:val="en-AU"/>
              </w:rPr>
              <w:t>Seetal Jheeta Puaar, Bryony Dean Franklin</w:t>
            </w:r>
            <w:r>
              <w:rPr>
                <w:rFonts w:ascii="Garamond" w:hAnsi="Garamond"/>
                <w:lang w:val="en-AU"/>
              </w:rPr>
              <w:t>)</w:t>
            </w:r>
          </w:p>
        </w:tc>
      </w:tr>
    </w:tbl>
    <w:p w:rsidR="00915CB2" w:rsidRPr="00C3014C" w:rsidRDefault="00915CB2" w:rsidP="00915CB2">
      <w:pPr>
        <w:rPr>
          <w:rFonts w:ascii="Garamond" w:hAnsi="Garamond"/>
          <w:lang w:val="en-AU"/>
        </w:rPr>
      </w:pPr>
    </w:p>
    <w:p w:rsidR="007229BA" w:rsidRPr="00C3014C" w:rsidRDefault="007229BA" w:rsidP="0018329A">
      <w:pPr>
        <w:rPr>
          <w:rFonts w:ascii="Garamond" w:hAnsi="Garamond"/>
          <w:lang w:val="en-AU" w:eastAsia="en-AU"/>
        </w:rPr>
      </w:pPr>
    </w:p>
    <w:p w:rsidR="00177F9F" w:rsidRPr="00C3014C" w:rsidRDefault="00177F9F" w:rsidP="00177F9F">
      <w:pPr>
        <w:keepNext/>
        <w:rPr>
          <w:rFonts w:ascii="Garamond" w:hAnsi="Garamond"/>
          <w:b/>
          <w:lang w:val="en-AU"/>
        </w:rPr>
      </w:pPr>
      <w:r w:rsidRPr="00C3014C">
        <w:rPr>
          <w:rFonts w:ascii="Garamond" w:hAnsi="Garamond"/>
          <w:b/>
          <w:lang w:val="en-AU"/>
        </w:rPr>
        <w:t>Online resources</w:t>
      </w:r>
    </w:p>
    <w:p w:rsidR="00177F9F" w:rsidRDefault="00177F9F" w:rsidP="00177F9F">
      <w:pPr>
        <w:rPr>
          <w:rFonts w:ascii="Garamond" w:hAnsi="Garamond"/>
          <w:i/>
          <w:lang w:val="en-AU"/>
        </w:rPr>
      </w:pPr>
    </w:p>
    <w:p w:rsidR="00CB140C" w:rsidRDefault="00CB140C" w:rsidP="00177F9F">
      <w:pPr>
        <w:rPr>
          <w:rFonts w:ascii="Garamond" w:hAnsi="Garamond"/>
          <w:i/>
          <w:lang w:val="en-AU"/>
        </w:rPr>
      </w:pPr>
      <w:r w:rsidRPr="00CB140C">
        <w:rPr>
          <w:rFonts w:ascii="Garamond" w:hAnsi="Garamond"/>
          <w:i/>
          <w:lang w:val="en-AU"/>
        </w:rPr>
        <w:t>ISMP Medication Safety Self Assessment® for High-Alert Medications</w:t>
      </w:r>
    </w:p>
    <w:p w:rsidR="00CB140C" w:rsidRDefault="00CB140C" w:rsidP="00177F9F">
      <w:pPr>
        <w:rPr>
          <w:rFonts w:ascii="Garamond" w:hAnsi="Garamond"/>
          <w:lang w:val="en-AU"/>
        </w:rPr>
      </w:pPr>
      <w:hyperlink r:id="rId30" w:history="1">
        <w:r w:rsidRPr="00EC7E1F">
          <w:rPr>
            <w:rStyle w:val="Hyperlink"/>
            <w:rFonts w:ascii="Garamond" w:hAnsi="Garamond"/>
            <w:lang w:val="en-AU"/>
          </w:rPr>
          <w:t>http://www.ismp.org/selfassessments/SAHAM/</w:t>
        </w:r>
      </w:hyperlink>
    </w:p>
    <w:p w:rsidR="00CB140C" w:rsidRDefault="00CB140C" w:rsidP="00CB140C">
      <w:pPr>
        <w:rPr>
          <w:rFonts w:ascii="Garamond" w:hAnsi="Garamond"/>
          <w:lang w:val="en-AU"/>
        </w:rPr>
      </w:pPr>
      <w:r>
        <w:rPr>
          <w:rFonts w:ascii="Garamond" w:hAnsi="Garamond"/>
          <w:lang w:val="en-AU"/>
        </w:rPr>
        <w:t xml:space="preserve">The </w:t>
      </w:r>
      <w:r w:rsidRPr="00CB140C">
        <w:rPr>
          <w:rFonts w:ascii="Garamond" w:hAnsi="Garamond"/>
          <w:lang w:val="en-AU"/>
        </w:rPr>
        <w:t>Institute for Sa</w:t>
      </w:r>
      <w:r>
        <w:rPr>
          <w:rFonts w:ascii="Garamond" w:hAnsi="Garamond"/>
          <w:lang w:val="en-AU"/>
        </w:rPr>
        <w:t xml:space="preserve">fe Medication Practices (ISMP) has developed the </w:t>
      </w:r>
      <w:r w:rsidRPr="00CB140C">
        <w:rPr>
          <w:rFonts w:ascii="Garamond" w:hAnsi="Garamond"/>
          <w:lang w:val="en-AU"/>
        </w:rPr>
        <w:t>ISMP Medication Safety Self Assessment® for High-Alert Medications</w:t>
      </w:r>
      <w:r>
        <w:rPr>
          <w:rFonts w:ascii="Garamond" w:hAnsi="Garamond"/>
          <w:lang w:val="en-AU"/>
        </w:rPr>
        <w:t xml:space="preserve"> as a tool to aid </w:t>
      </w:r>
      <w:r w:rsidRPr="00CB140C">
        <w:rPr>
          <w:rFonts w:ascii="Garamond" w:hAnsi="Garamond"/>
          <w:lang w:val="en-AU"/>
        </w:rPr>
        <w:t xml:space="preserve">hospitals, long-term care facilities, and certain outpatient facilities evaluate their best practices related to high-alert medications, identify opportunities for improvement, and track their experiences over time. </w:t>
      </w:r>
      <w:r>
        <w:rPr>
          <w:rFonts w:ascii="Garamond" w:hAnsi="Garamond"/>
          <w:lang w:val="en-AU"/>
        </w:rPr>
        <w:t>T</w:t>
      </w:r>
      <w:r w:rsidRPr="00CB140C">
        <w:rPr>
          <w:rFonts w:ascii="Garamond" w:hAnsi="Garamond"/>
          <w:lang w:val="en-AU"/>
        </w:rPr>
        <w:t>he ISMP Medication Safety Self Assessment® for High-Alert Medications focuses on general high-alert medications and 11 specific medication categories</w:t>
      </w:r>
      <w:r>
        <w:rPr>
          <w:rFonts w:ascii="Garamond" w:hAnsi="Garamond"/>
          <w:lang w:val="en-AU"/>
        </w:rPr>
        <w:t xml:space="preserve"> – </w:t>
      </w:r>
      <w:r w:rsidRPr="00CB140C">
        <w:rPr>
          <w:rFonts w:ascii="Garamond" w:hAnsi="Garamond"/>
          <w:lang w:val="en-AU"/>
        </w:rPr>
        <w:t>including opioids, insulin, neuromuscular blocking agents, chemotherapy, and moderate and minimal sedation. Participants who submit assessment findings to ISMP anonymously via a secure internet portal will be able to obtain their weighted scores so they can compare themselves to demographically similar organizations</w:t>
      </w:r>
      <w:r>
        <w:rPr>
          <w:rFonts w:ascii="Garamond" w:hAnsi="Garamond"/>
          <w:lang w:val="en-AU"/>
        </w:rPr>
        <w:t>.</w:t>
      </w:r>
    </w:p>
    <w:p w:rsidR="00CB140C" w:rsidRDefault="00CB140C" w:rsidP="00177F9F">
      <w:pPr>
        <w:rPr>
          <w:rFonts w:ascii="Garamond" w:hAnsi="Garamond"/>
          <w:lang w:val="en-AU"/>
        </w:rPr>
      </w:pPr>
    </w:p>
    <w:p w:rsidR="00BC02FB" w:rsidRPr="00372750" w:rsidRDefault="00BC02FB" w:rsidP="00BC02FB">
      <w:pPr>
        <w:keepNext/>
        <w:rPr>
          <w:rFonts w:ascii="Garamond" w:hAnsi="Garamond"/>
          <w:i/>
          <w:lang w:val="en-AU"/>
        </w:rPr>
      </w:pPr>
      <w:r w:rsidRPr="00372750">
        <w:rPr>
          <w:rFonts w:ascii="Garamond" w:hAnsi="Garamond"/>
          <w:i/>
          <w:lang w:val="en-AU"/>
        </w:rPr>
        <w:lastRenderedPageBreak/>
        <w:t>Medical records and data-driven healthcare</w:t>
      </w:r>
    </w:p>
    <w:p w:rsidR="00BC02FB" w:rsidRPr="00372750" w:rsidRDefault="00BC02FB" w:rsidP="00BC02FB">
      <w:pPr>
        <w:keepNext/>
        <w:rPr>
          <w:rFonts w:ascii="Garamond" w:hAnsi="Garamond"/>
          <w:lang w:val="en-AU"/>
        </w:rPr>
      </w:pPr>
      <w:hyperlink r:id="rId31" w:history="1">
        <w:r w:rsidRPr="00372750">
          <w:rPr>
            <w:rStyle w:val="Hyperlink"/>
            <w:rFonts w:ascii="Garamond" w:hAnsi="Garamond"/>
            <w:lang w:val="en-AU"/>
          </w:rPr>
          <w:t>https://youtu.be/VZ1Wvb0dvGI</w:t>
        </w:r>
      </w:hyperlink>
    </w:p>
    <w:p w:rsidR="00BC02FB" w:rsidRDefault="00BC02FB" w:rsidP="00BC02FB">
      <w:pPr>
        <w:rPr>
          <w:rFonts w:ascii="Garamond" w:hAnsi="Garamond"/>
          <w:i/>
          <w:lang w:val="en-AU"/>
        </w:rPr>
      </w:pPr>
      <w:r w:rsidRPr="00372750">
        <w:rPr>
          <w:rFonts w:ascii="Garamond" w:hAnsi="Garamond"/>
          <w:lang w:val="en-AU"/>
        </w:rPr>
        <w:t xml:space="preserve">The Commission and </w:t>
      </w:r>
      <w:r>
        <w:rPr>
          <w:rFonts w:ascii="Garamond" w:hAnsi="Garamond"/>
          <w:lang w:val="en-AU"/>
        </w:rPr>
        <w:t xml:space="preserve">the </w:t>
      </w:r>
      <w:r w:rsidRPr="00372750">
        <w:rPr>
          <w:rFonts w:ascii="Garamond" w:hAnsi="Garamond"/>
          <w:lang w:val="en-AU"/>
        </w:rPr>
        <w:t xml:space="preserve">Independent Hospital Pricing Authority have developed </w:t>
      </w:r>
      <w:r>
        <w:rPr>
          <w:rFonts w:ascii="Garamond" w:hAnsi="Garamond"/>
          <w:lang w:val="en-AU"/>
        </w:rPr>
        <w:t xml:space="preserve">this short </w:t>
      </w:r>
      <w:r w:rsidRPr="00372750">
        <w:rPr>
          <w:rFonts w:ascii="Garamond" w:hAnsi="Garamond"/>
          <w:lang w:val="en-AU"/>
        </w:rPr>
        <w:t xml:space="preserve">animation to support improved awareness of the uses of the data coded from the patient medical record and encourage improvements in clinical documentation. </w:t>
      </w:r>
    </w:p>
    <w:p w:rsidR="00BC02FB" w:rsidRDefault="00BC02FB" w:rsidP="00BC02FB">
      <w:pPr>
        <w:rPr>
          <w:rFonts w:ascii="Garamond" w:hAnsi="Garamond"/>
          <w:i/>
          <w:lang w:val="en-AU"/>
        </w:rPr>
      </w:pPr>
    </w:p>
    <w:p w:rsidR="00CB140C" w:rsidRPr="00CB140C" w:rsidRDefault="00BC02FB" w:rsidP="00BC02FB">
      <w:pPr>
        <w:rPr>
          <w:rFonts w:ascii="Garamond" w:hAnsi="Garamond"/>
          <w:i/>
          <w:lang w:val="en-AU"/>
        </w:rPr>
      </w:pPr>
      <w:r w:rsidRPr="00CB140C">
        <w:rPr>
          <w:rFonts w:ascii="Garamond" w:hAnsi="Garamond"/>
          <w:i/>
          <w:lang w:val="en-AU"/>
        </w:rPr>
        <w:t xml:space="preserve"> </w:t>
      </w:r>
      <w:r w:rsidR="00CB140C" w:rsidRPr="00CB140C">
        <w:rPr>
          <w:rFonts w:ascii="Garamond" w:hAnsi="Garamond"/>
          <w:i/>
          <w:lang w:val="en-AU"/>
        </w:rPr>
        <w:t>[USA] Pressure Injury Prevention in Hospitals Training Program</w:t>
      </w:r>
    </w:p>
    <w:p w:rsidR="00CB140C" w:rsidRDefault="00CB140C" w:rsidP="00177F9F">
      <w:pPr>
        <w:rPr>
          <w:rFonts w:ascii="Garamond" w:hAnsi="Garamond"/>
          <w:lang w:val="en-AU"/>
        </w:rPr>
      </w:pPr>
      <w:hyperlink r:id="rId32" w:history="1">
        <w:r w:rsidRPr="00EC7E1F">
          <w:rPr>
            <w:rStyle w:val="Hyperlink"/>
            <w:rFonts w:ascii="Garamond" w:hAnsi="Garamond"/>
            <w:lang w:val="en-AU"/>
          </w:rPr>
          <w:t>https://www.ahrq.gov/professionals/systems/hospital/pressureinjurypxtraining/index.html</w:t>
        </w:r>
      </w:hyperlink>
    </w:p>
    <w:p w:rsidR="00CB140C" w:rsidRDefault="00CB140C" w:rsidP="00CB140C">
      <w:pPr>
        <w:rPr>
          <w:rFonts w:ascii="Garamond" w:hAnsi="Garamond"/>
          <w:lang w:val="en-AU"/>
        </w:rPr>
      </w:pPr>
      <w:r>
        <w:rPr>
          <w:rFonts w:ascii="Garamond" w:hAnsi="Garamond"/>
          <w:lang w:val="en-AU"/>
        </w:rPr>
        <w:t xml:space="preserve">The US Agency for Healthcare Research and Quality (AHRQ) have developed </w:t>
      </w:r>
      <w:r w:rsidRPr="00CB140C">
        <w:rPr>
          <w:rFonts w:ascii="Garamond" w:hAnsi="Garamond"/>
          <w:lang w:val="en-AU"/>
        </w:rPr>
        <w:t xml:space="preserve">the Pressure Injury Prevention in Hospitals Training Program to support </w:t>
      </w:r>
      <w:r>
        <w:rPr>
          <w:rFonts w:ascii="Garamond" w:hAnsi="Garamond"/>
          <w:lang w:val="en-AU"/>
        </w:rPr>
        <w:t>h</w:t>
      </w:r>
      <w:r w:rsidRPr="00CB140C">
        <w:rPr>
          <w:rFonts w:ascii="Garamond" w:hAnsi="Garamond"/>
          <w:lang w:val="en-AU"/>
        </w:rPr>
        <w:t>ospital quality improvement (QI) staff, patient safety officers and other staff reduce the number of patient p</w:t>
      </w:r>
      <w:r>
        <w:rPr>
          <w:rFonts w:ascii="Garamond" w:hAnsi="Garamond"/>
          <w:lang w:val="en-AU"/>
        </w:rPr>
        <w:t>ressure injuries in hospitals.</w:t>
      </w:r>
    </w:p>
    <w:p w:rsidR="00CB140C" w:rsidRPr="00CB140C" w:rsidRDefault="00CB140C" w:rsidP="00CB140C">
      <w:pPr>
        <w:rPr>
          <w:rFonts w:ascii="Garamond" w:hAnsi="Garamond"/>
          <w:lang w:val="en-AU"/>
        </w:rPr>
      </w:pPr>
      <w:r w:rsidRPr="00CB140C">
        <w:rPr>
          <w:rFonts w:ascii="Garamond" w:hAnsi="Garamond"/>
          <w:lang w:val="en-AU"/>
        </w:rPr>
        <w:t>The content of the Training Program and supporting materials help hospitals become familiar with each of the components of the Pressure Ulcer Prevention Toolkit and learn how to overcome the challenges associated with developing, implementing, and sustaining a pressure injury prevention program.</w:t>
      </w:r>
    </w:p>
    <w:p w:rsidR="00CB140C" w:rsidRPr="00CB140C" w:rsidRDefault="00CB140C" w:rsidP="00CB140C">
      <w:pPr>
        <w:rPr>
          <w:rFonts w:ascii="Garamond" w:hAnsi="Garamond"/>
          <w:lang w:val="en-AU"/>
        </w:rPr>
      </w:pPr>
      <w:r w:rsidRPr="00CB140C">
        <w:rPr>
          <w:rFonts w:ascii="Garamond" w:hAnsi="Garamond"/>
          <w:lang w:val="en-AU"/>
        </w:rPr>
        <w:t>Hospitals participating in this pilot implementation of the Training Program and Toolkit reduced their hospital acquired Stage 2+ pressure injury rates and sustained these reductions for a year (the period of time over which hospitals were followed as part of this project).</w:t>
      </w:r>
    </w:p>
    <w:p w:rsidR="00CB140C" w:rsidRDefault="00CB140C" w:rsidP="00CB140C">
      <w:pPr>
        <w:rPr>
          <w:rFonts w:ascii="Garamond" w:hAnsi="Garamond"/>
          <w:lang w:val="en-AU"/>
        </w:rPr>
      </w:pPr>
      <w:r w:rsidRPr="00CB140C">
        <w:rPr>
          <w:rFonts w:ascii="Garamond" w:hAnsi="Garamond"/>
          <w:lang w:val="en-AU"/>
        </w:rPr>
        <w:t>The Training Program consists of a five-module, in-person training curriculum and a series of companion Webinars on specific topics related to pressure injury prevention. An Implementation Guide provides additional suggestions for how to use the Training Program and the Toolkit.</w:t>
      </w:r>
    </w:p>
    <w:p w:rsidR="00CB140C" w:rsidRPr="00CB140C" w:rsidRDefault="00CB140C" w:rsidP="00CB140C">
      <w:pPr>
        <w:rPr>
          <w:rFonts w:ascii="Garamond" w:hAnsi="Garamond"/>
          <w:lang w:val="en-AU"/>
        </w:rPr>
      </w:pPr>
    </w:p>
    <w:p w:rsidR="00177F9F" w:rsidRPr="00C3014C" w:rsidRDefault="00177F9F" w:rsidP="00177F9F">
      <w:pPr>
        <w:keepNext/>
        <w:keepLines/>
        <w:rPr>
          <w:rFonts w:ascii="Garamond" w:hAnsi="Garamond"/>
          <w:i/>
          <w:lang w:val="en-AU"/>
        </w:rPr>
      </w:pPr>
      <w:r w:rsidRPr="00C3014C">
        <w:rPr>
          <w:rFonts w:ascii="Garamond" w:hAnsi="Garamond"/>
          <w:i/>
          <w:lang w:val="en-AU"/>
        </w:rPr>
        <w:t>[UK] NICE Guidelines and Quality Standards</w:t>
      </w:r>
    </w:p>
    <w:p w:rsidR="00177F9F" w:rsidRPr="00C3014C" w:rsidRDefault="00A86D2C" w:rsidP="00177F9F">
      <w:pPr>
        <w:keepNext/>
        <w:keepLines/>
        <w:rPr>
          <w:rFonts w:ascii="Garamond" w:hAnsi="Garamond"/>
          <w:u w:val="single"/>
          <w:lang w:val="en-AU"/>
        </w:rPr>
      </w:pPr>
      <w:hyperlink r:id="rId33" w:history="1">
        <w:r w:rsidR="00177F9F" w:rsidRPr="00C3014C">
          <w:rPr>
            <w:rStyle w:val="Hyperlink"/>
            <w:rFonts w:ascii="Garamond" w:hAnsi="Garamond"/>
            <w:lang w:val="en-AU"/>
          </w:rPr>
          <w:t>https://www.nice.org.uk</w:t>
        </w:r>
      </w:hyperlink>
    </w:p>
    <w:p w:rsidR="00177F9F" w:rsidRPr="00C3014C" w:rsidRDefault="00177F9F" w:rsidP="00177F9F">
      <w:pPr>
        <w:keepNext/>
        <w:keepLines/>
        <w:rPr>
          <w:rFonts w:ascii="Garamond" w:hAnsi="Garamond"/>
          <w:lang w:val="en-AU"/>
        </w:rPr>
      </w:pPr>
      <w:r w:rsidRPr="00C3014C">
        <w:rPr>
          <w:rFonts w:ascii="Garamond" w:hAnsi="Garamond"/>
          <w:lang w:val="en-AU"/>
        </w:rPr>
        <w:t>The UK’s National Institute for Health and Care Excellence (NICE) has published new (or updated) guidelines and quality standards. The latest reviews or updates are:</w:t>
      </w:r>
    </w:p>
    <w:p w:rsidR="00915CB2" w:rsidRDefault="00E35A59" w:rsidP="00E35A59">
      <w:pPr>
        <w:pStyle w:val="ListParagraph"/>
        <w:keepNext/>
        <w:keepLines/>
        <w:numPr>
          <w:ilvl w:val="0"/>
          <w:numId w:val="14"/>
        </w:numPr>
        <w:rPr>
          <w:rFonts w:ascii="Garamond" w:hAnsi="Garamond"/>
          <w:lang w:val="en-AU"/>
        </w:rPr>
      </w:pPr>
      <w:r>
        <w:rPr>
          <w:rFonts w:ascii="Garamond" w:hAnsi="Garamond"/>
          <w:lang w:val="en-AU"/>
        </w:rPr>
        <w:t xml:space="preserve">Clinical Guideline CG89 </w:t>
      </w:r>
      <w:r w:rsidRPr="00E35A59">
        <w:rPr>
          <w:rFonts w:ascii="Garamond" w:hAnsi="Garamond"/>
          <w:b/>
          <w:i/>
          <w:lang w:val="en-AU"/>
        </w:rPr>
        <w:t>Child maltreatment</w:t>
      </w:r>
      <w:r w:rsidRPr="00E35A59">
        <w:rPr>
          <w:rFonts w:ascii="Garamond" w:hAnsi="Garamond"/>
          <w:i/>
          <w:lang w:val="en-AU"/>
        </w:rPr>
        <w:t>: when to suspect maltreatment in under 18s</w:t>
      </w:r>
      <w:r>
        <w:rPr>
          <w:rFonts w:ascii="Garamond" w:hAnsi="Garamond"/>
          <w:lang w:val="en-AU"/>
        </w:rPr>
        <w:t xml:space="preserve"> </w:t>
      </w:r>
      <w:hyperlink r:id="rId34" w:history="1">
        <w:r w:rsidRPr="00604615">
          <w:rPr>
            <w:rStyle w:val="Hyperlink"/>
            <w:rFonts w:ascii="Garamond" w:hAnsi="Garamond"/>
            <w:lang w:val="en-AU"/>
          </w:rPr>
          <w:t>https://www.nice.org.uk/guidance/cg89</w:t>
        </w:r>
      </w:hyperlink>
    </w:p>
    <w:p w:rsidR="00E35A59" w:rsidRDefault="00E35A59" w:rsidP="00E35A59">
      <w:pPr>
        <w:pStyle w:val="ListParagraph"/>
        <w:keepNext/>
        <w:keepLines/>
        <w:numPr>
          <w:ilvl w:val="0"/>
          <w:numId w:val="14"/>
        </w:numPr>
        <w:rPr>
          <w:rFonts w:ascii="Garamond" w:hAnsi="Garamond"/>
          <w:lang w:val="en-AU"/>
        </w:rPr>
      </w:pPr>
      <w:r>
        <w:rPr>
          <w:rFonts w:ascii="Garamond" w:hAnsi="Garamond"/>
          <w:lang w:val="en-AU"/>
        </w:rPr>
        <w:t xml:space="preserve">NICE Guideline NG76 </w:t>
      </w:r>
      <w:r w:rsidRPr="00E35A59">
        <w:rPr>
          <w:rFonts w:ascii="Garamond" w:hAnsi="Garamond"/>
          <w:b/>
          <w:i/>
          <w:lang w:val="en-AU"/>
        </w:rPr>
        <w:t>Child abuse and neglect</w:t>
      </w:r>
      <w:r>
        <w:rPr>
          <w:rFonts w:ascii="Garamond" w:hAnsi="Garamond"/>
          <w:lang w:val="en-AU"/>
        </w:rPr>
        <w:t xml:space="preserve"> </w:t>
      </w:r>
      <w:hyperlink r:id="rId35" w:history="1">
        <w:r w:rsidRPr="00604615">
          <w:rPr>
            <w:rStyle w:val="Hyperlink"/>
            <w:rFonts w:ascii="Garamond" w:hAnsi="Garamond"/>
            <w:lang w:val="en-AU"/>
          </w:rPr>
          <w:t>https://www.nice.org.uk/guidance/ng76</w:t>
        </w:r>
      </w:hyperlink>
    </w:p>
    <w:p w:rsidR="00E35A59" w:rsidRDefault="00E35A59" w:rsidP="00E35A59">
      <w:pPr>
        <w:pStyle w:val="ListParagraph"/>
        <w:keepNext/>
        <w:keepLines/>
        <w:numPr>
          <w:ilvl w:val="0"/>
          <w:numId w:val="14"/>
        </w:numPr>
        <w:rPr>
          <w:rFonts w:ascii="Garamond" w:hAnsi="Garamond"/>
          <w:lang w:val="en-AU"/>
        </w:rPr>
      </w:pPr>
      <w:r>
        <w:rPr>
          <w:rFonts w:ascii="Garamond" w:hAnsi="Garamond"/>
          <w:lang w:val="en-AU"/>
        </w:rPr>
        <w:t xml:space="preserve">Quality Standard QS162 </w:t>
      </w:r>
      <w:r w:rsidRPr="00E35A59">
        <w:rPr>
          <w:rFonts w:ascii="Garamond" w:hAnsi="Garamond"/>
          <w:b/>
          <w:i/>
          <w:lang w:val="en-AU"/>
        </w:rPr>
        <w:t>Cerebral palsy</w:t>
      </w:r>
      <w:r w:rsidRPr="00E35A59">
        <w:rPr>
          <w:rFonts w:ascii="Garamond" w:hAnsi="Garamond"/>
          <w:i/>
          <w:lang w:val="en-AU"/>
        </w:rPr>
        <w:t xml:space="preserve"> in children and young people</w:t>
      </w:r>
      <w:r>
        <w:rPr>
          <w:rFonts w:ascii="Garamond" w:hAnsi="Garamond"/>
          <w:lang w:val="en-AU"/>
        </w:rPr>
        <w:t xml:space="preserve"> </w:t>
      </w:r>
      <w:hyperlink r:id="rId36" w:history="1">
        <w:r w:rsidRPr="00604615">
          <w:rPr>
            <w:rStyle w:val="Hyperlink"/>
            <w:rFonts w:ascii="Garamond" w:hAnsi="Garamond"/>
            <w:lang w:val="en-AU"/>
          </w:rPr>
          <w:t>https://www.nice.org.uk/guidance/qs162</w:t>
        </w:r>
      </w:hyperlink>
    </w:p>
    <w:p w:rsidR="0016623F" w:rsidRDefault="0016623F" w:rsidP="001A2B20">
      <w:pPr>
        <w:rPr>
          <w:rFonts w:ascii="Garamond" w:hAnsi="Garamond"/>
          <w:i/>
          <w:lang w:val="en-AU"/>
        </w:rPr>
      </w:pPr>
    </w:p>
    <w:p w:rsidR="00D30983" w:rsidRPr="00D30983" w:rsidRDefault="00D30983" w:rsidP="00070CFE">
      <w:pPr>
        <w:rPr>
          <w:rFonts w:ascii="Garamond" w:hAnsi="Garamond"/>
          <w:lang w:val="en-AU"/>
        </w:rPr>
      </w:pPr>
    </w:p>
    <w:p w:rsidR="00D30983" w:rsidRPr="00C3014C" w:rsidRDefault="00D30983" w:rsidP="00070CFE">
      <w:pPr>
        <w:rPr>
          <w:rFonts w:ascii="Garamond" w:hAnsi="Garamond"/>
          <w:i/>
          <w:lang w:val="en-AU"/>
        </w:rPr>
      </w:pPr>
    </w:p>
    <w:p w:rsidR="00B02F6E" w:rsidRPr="00C3014C" w:rsidRDefault="00B02F6E" w:rsidP="00B02F6E">
      <w:pPr>
        <w:keepNext/>
        <w:pBdr>
          <w:top w:val="single" w:sz="4" w:space="1" w:color="auto"/>
        </w:pBdr>
        <w:rPr>
          <w:rFonts w:ascii="Garamond" w:hAnsi="Garamond"/>
          <w:b/>
          <w:lang w:val="en-AU"/>
        </w:rPr>
      </w:pPr>
      <w:r w:rsidRPr="00C3014C">
        <w:rPr>
          <w:rFonts w:ascii="Garamond" w:hAnsi="Garamond"/>
          <w:b/>
          <w:lang w:val="en-AU"/>
        </w:rPr>
        <w:t>Disclaimer</w:t>
      </w:r>
    </w:p>
    <w:p w:rsidR="00B02F6E" w:rsidRPr="00C3014C" w:rsidRDefault="00B02F6E" w:rsidP="00B17406">
      <w:pPr>
        <w:rPr>
          <w:rFonts w:ascii="Garamond" w:hAnsi="Garamond"/>
          <w:lang w:val="en-AU"/>
        </w:rPr>
      </w:pPr>
      <w:r w:rsidRPr="00C3014C">
        <w:rPr>
          <w:rFonts w:ascii="Garamond" w:hAnsi="Garamond"/>
          <w:i/>
          <w:lang w:val="en-AU"/>
        </w:rPr>
        <w:t>On the Radar</w:t>
      </w:r>
      <w:r w:rsidRPr="00C3014C">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C3014C">
        <w:rPr>
          <w:rFonts w:ascii="Garamond" w:hAnsi="Garamond"/>
          <w:lang w:val="en-AU"/>
        </w:rPr>
        <w:fldChar w:fldCharType="begin"/>
      </w:r>
      <w:r w:rsidRPr="00C3014C">
        <w:rPr>
          <w:rFonts w:ascii="Garamond" w:hAnsi="Garamond"/>
          <w:lang w:val="en-AU"/>
        </w:rPr>
        <w:instrText xml:space="preserve"> ADDIN </w:instrText>
      </w:r>
      <w:r w:rsidRPr="00C3014C">
        <w:rPr>
          <w:rFonts w:ascii="Garamond" w:hAnsi="Garamond"/>
          <w:lang w:val="en-AU"/>
        </w:rPr>
        <w:fldChar w:fldCharType="end"/>
      </w:r>
      <w:r w:rsidRPr="00C3014C">
        <w:rPr>
          <w:rFonts w:ascii="Garamond" w:hAnsi="Garamond"/>
          <w:lang w:val="en-AU"/>
        </w:rPr>
        <w:fldChar w:fldCharType="begin"/>
      </w:r>
      <w:r w:rsidRPr="00C3014C">
        <w:rPr>
          <w:rFonts w:ascii="Garamond" w:hAnsi="Garamond"/>
          <w:lang w:val="en-AU"/>
        </w:rPr>
        <w:instrText xml:space="preserve"> ADDIN </w:instrText>
      </w:r>
      <w:r w:rsidRPr="00C3014C">
        <w:rPr>
          <w:rFonts w:ascii="Garamond" w:hAnsi="Garamond"/>
          <w:lang w:val="en-AU"/>
        </w:rPr>
        <w:fldChar w:fldCharType="end"/>
      </w:r>
    </w:p>
    <w:sectPr w:rsidR="00B02F6E" w:rsidRPr="00C3014C" w:rsidSect="005C5ABC">
      <w:footerReference w:type="even" r:id="rId37"/>
      <w:footerReference w:type="default" r:id="rId38"/>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D6F" w:rsidRDefault="00AC2D6F">
      <w:r>
        <w:separator/>
      </w:r>
    </w:p>
  </w:endnote>
  <w:endnote w:type="continuationSeparator" w:id="0">
    <w:p w:rsidR="00AC2D6F" w:rsidRDefault="00AC2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D6F" w:rsidRDefault="00AC2D6F"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A86D2C">
      <w:rPr>
        <w:rStyle w:val="PageNumber"/>
        <w:noProof/>
      </w:rPr>
      <w:t>2</w:t>
    </w:r>
    <w:r>
      <w:rPr>
        <w:rStyle w:val="PageNumber"/>
      </w:rPr>
      <w:fldChar w:fldCharType="end"/>
    </w:r>
  </w:p>
  <w:p w:rsidR="00AC2D6F" w:rsidRPr="001E78F0" w:rsidRDefault="00AC2D6F"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sidR="00DC1E06">
      <w:rPr>
        <w:rFonts w:ascii="Garamond" w:hAnsi="Garamond"/>
      </w:rPr>
      <w:t xml:space="preserve"> Issue 34</w:t>
    </w:r>
    <w:r w:rsidR="00915CB2">
      <w:rPr>
        <w:rFonts w:ascii="Garamond" w:hAnsi="Garamond"/>
      </w:rPr>
      <w:t>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D6F" w:rsidRPr="001E78F0" w:rsidRDefault="00AC2D6F"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A86D2C">
      <w:rPr>
        <w:rStyle w:val="PageNumber"/>
        <w:rFonts w:ascii="Garamond" w:hAnsi="Garamond"/>
        <w:noProof/>
      </w:rPr>
      <w:t>1</w:t>
    </w:r>
    <w:r w:rsidRPr="001E78F0">
      <w:rPr>
        <w:rStyle w:val="PageNumber"/>
        <w:rFonts w:ascii="Garamond" w:hAnsi="Garamond"/>
      </w:rPr>
      <w:fldChar w:fldCharType="end"/>
    </w:r>
  </w:p>
  <w:p w:rsidR="00AC2D6F" w:rsidRPr="001E78F0" w:rsidRDefault="00AC2D6F"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sidR="00915CB2">
      <w:rPr>
        <w:rFonts w:ascii="Garamond" w:hAnsi="Garamond"/>
      </w:rPr>
      <w:t xml:space="preserve"> Issue 343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D6F" w:rsidRDefault="00AC2D6F">
      <w:r>
        <w:separator/>
      </w:r>
    </w:p>
  </w:footnote>
  <w:footnote w:type="continuationSeparator" w:id="0">
    <w:p w:rsidR="00AC2D6F" w:rsidRDefault="00AC2D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8E31FE"/>
    <w:multiLevelType w:val="hybridMultilevel"/>
    <w:tmpl w:val="36D4C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3490365"/>
    <w:multiLevelType w:val="hybridMultilevel"/>
    <w:tmpl w:val="C302B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62B2225"/>
    <w:multiLevelType w:val="hybridMultilevel"/>
    <w:tmpl w:val="5A561F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68D5FBD"/>
    <w:multiLevelType w:val="hybridMultilevel"/>
    <w:tmpl w:val="26D4DE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9475D2C"/>
    <w:multiLevelType w:val="hybridMultilevel"/>
    <w:tmpl w:val="3FE22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EA83A23"/>
    <w:multiLevelType w:val="hybridMultilevel"/>
    <w:tmpl w:val="16508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81E0785"/>
    <w:multiLevelType w:val="hybridMultilevel"/>
    <w:tmpl w:val="77B85B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D47187D"/>
    <w:multiLevelType w:val="hybridMultilevel"/>
    <w:tmpl w:val="41BC4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D5F378A"/>
    <w:multiLevelType w:val="hybridMultilevel"/>
    <w:tmpl w:val="E0D29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EBF63F5"/>
    <w:multiLevelType w:val="hybridMultilevel"/>
    <w:tmpl w:val="3E464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8EE055C"/>
    <w:multiLevelType w:val="hybridMultilevel"/>
    <w:tmpl w:val="A7D4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E47508C"/>
    <w:multiLevelType w:val="hybridMultilevel"/>
    <w:tmpl w:val="8D1E33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75753AD"/>
    <w:multiLevelType w:val="hybridMultilevel"/>
    <w:tmpl w:val="B4328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DFA69E4"/>
    <w:multiLevelType w:val="hybridMultilevel"/>
    <w:tmpl w:val="4A2C0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C035856"/>
    <w:multiLevelType w:val="hybridMultilevel"/>
    <w:tmpl w:val="52781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2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3"/>
  </w:num>
  <w:num w:numId="14">
    <w:abstractNumId w:val="20"/>
  </w:num>
  <w:num w:numId="15">
    <w:abstractNumId w:val="10"/>
  </w:num>
  <w:num w:numId="16">
    <w:abstractNumId w:val="21"/>
  </w:num>
  <w:num w:numId="17">
    <w:abstractNumId w:val="25"/>
  </w:num>
  <w:num w:numId="18">
    <w:abstractNumId w:val="16"/>
  </w:num>
  <w:num w:numId="19">
    <w:abstractNumId w:val="18"/>
  </w:num>
  <w:num w:numId="20">
    <w:abstractNumId w:val="24"/>
  </w:num>
  <w:num w:numId="21">
    <w:abstractNumId w:val="12"/>
  </w:num>
  <w:num w:numId="22">
    <w:abstractNumId w:val="27"/>
  </w:num>
  <w:num w:numId="23">
    <w:abstractNumId w:val="11"/>
  </w:num>
  <w:num w:numId="24">
    <w:abstractNumId w:val="14"/>
  </w:num>
  <w:num w:numId="25">
    <w:abstractNumId w:val="13"/>
  </w:num>
  <w:num w:numId="26">
    <w:abstractNumId w:val="15"/>
  </w:num>
  <w:num w:numId="27">
    <w:abstractNumId w:val="17"/>
  </w:num>
  <w:num w:numId="28">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45B"/>
    <w:rsid w:val="000025DB"/>
    <w:rsid w:val="000031FB"/>
    <w:rsid w:val="00003275"/>
    <w:rsid w:val="00003289"/>
    <w:rsid w:val="00003610"/>
    <w:rsid w:val="00003680"/>
    <w:rsid w:val="000039E5"/>
    <w:rsid w:val="00003A54"/>
    <w:rsid w:val="00003AC5"/>
    <w:rsid w:val="00003C1F"/>
    <w:rsid w:val="00003F45"/>
    <w:rsid w:val="00003F66"/>
    <w:rsid w:val="00004056"/>
    <w:rsid w:val="0000414F"/>
    <w:rsid w:val="0000416D"/>
    <w:rsid w:val="0000442A"/>
    <w:rsid w:val="000044A0"/>
    <w:rsid w:val="000049B7"/>
    <w:rsid w:val="00004CB5"/>
    <w:rsid w:val="00005229"/>
    <w:rsid w:val="00005701"/>
    <w:rsid w:val="00005702"/>
    <w:rsid w:val="00005B0D"/>
    <w:rsid w:val="00005CB5"/>
    <w:rsid w:val="00005D0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75E"/>
    <w:rsid w:val="00010AAB"/>
    <w:rsid w:val="00010B91"/>
    <w:rsid w:val="00010C70"/>
    <w:rsid w:val="00011449"/>
    <w:rsid w:val="0001173C"/>
    <w:rsid w:val="00011B6A"/>
    <w:rsid w:val="00011BF3"/>
    <w:rsid w:val="0001205C"/>
    <w:rsid w:val="00012357"/>
    <w:rsid w:val="00012462"/>
    <w:rsid w:val="00012904"/>
    <w:rsid w:val="00012B48"/>
    <w:rsid w:val="00012B53"/>
    <w:rsid w:val="00012DDC"/>
    <w:rsid w:val="00012E0F"/>
    <w:rsid w:val="00012FCF"/>
    <w:rsid w:val="000132E1"/>
    <w:rsid w:val="000136D2"/>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92"/>
    <w:rsid w:val="000164FD"/>
    <w:rsid w:val="0001676F"/>
    <w:rsid w:val="00016A17"/>
    <w:rsid w:val="00017028"/>
    <w:rsid w:val="000170B3"/>
    <w:rsid w:val="000172EF"/>
    <w:rsid w:val="000173F0"/>
    <w:rsid w:val="0001743C"/>
    <w:rsid w:val="00017477"/>
    <w:rsid w:val="0001769D"/>
    <w:rsid w:val="00017B10"/>
    <w:rsid w:val="00017F06"/>
    <w:rsid w:val="00020128"/>
    <w:rsid w:val="0002012E"/>
    <w:rsid w:val="00020715"/>
    <w:rsid w:val="000208FC"/>
    <w:rsid w:val="00020AFD"/>
    <w:rsid w:val="00020D58"/>
    <w:rsid w:val="00020D6A"/>
    <w:rsid w:val="00020FF9"/>
    <w:rsid w:val="0002112F"/>
    <w:rsid w:val="000213BB"/>
    <w:rsid w:val="00021D6F"/>
    <w:rsid w:val="00021F45"/>
    <w:rsid w:val="000222E3"/>
    <w:rsid w:val="000224FA"/>
    <w:rsid w:val="00022584"/>
    <w:rsid w:val="000225D6"/>
    <w:rsid w:val="000228D9"/>
    <w:rsid w:val="0002296C"/>
    <w:rsid w:val="00022F7B"/>
    <w:rsid w:val="000232BC"/>
    <w:rsid w:val="000235F7"/>
    <w:rsid w:val="000240B4"/>
    <w:rsid w:val="000240C6"/>
    <w:rsid w:val="0002475D"/>
    <w:rsid w:val="000248D6"/>
    <w:rsid w:val="00024CD1"/>
    <w:rsid w:val="00024E2E"/>
    <w:rsid w:val="00024FCC"/>
    <w:rsid w:val="000254D2"/>
    <w:rsid w:val="000255F6"/>
    <w:rsid w:val="000258C2"/>
    <w:rsid w:val="00025D95"/>
    <w:rsid w:val="00025DC1"/>
    <w:rsid w:val="00025ED6"/>
    <w:rsid w:val="000267F1"/>
    <w:rsid w:val="00026C9C"/>
    <w:rsid w:val="00026E16"/>
    <w:rsid w:val="00027059"/>
    <w:rsid w:val="00027144"/>
    <w:rsid w:val="000274F9"/>
    <w:rsid w:val="0002776A"/>
    <w:rsid w:val="00027BC2"/>
    <w:rsid w:val="0003042C"/>
    <w:rsid w:val="0003048E"/>
    <w:rsid w:val="00030683"/>
    <w:rsid w:val="000308CE"/>
    <w:rsid w:val="00030ADC"/>
    <w:rsid w:val="00030D35"/>
    <w:rsid w:val="00030E85"/>
    <w:rsid w:val="00030EF5"/>
    <w:rsid w:val="00030F00"/>
    <w:rsid w:val="00030FA5"/>
    <w:rsid w:val="000313B2"/>
    <w:rsid w:val="00031421"/>
    <w:rsid w:val="0003155F"/>
    <w:rsid w:val="00031A4B"/>
    <w:rsid w:val="000322BA"/>
    <w:rsid w:val="000328CE"/>
    <w:rsid w:val="00032B41"/>
    <w:rsid w:val="00032BD7"/>
    <w:rsid w:val="00032C75"/>
    <w:rsid w:val="0003319C"/>
    <w:rsid w:val="000331B2"/>
    <w:rsid w:val="0003320D"/>
    <w:rsid w:val="000333A7"/>
    <w:rsid w:val="00033628"/>
    <w:rsid w:val="0003371D"/>
    <w:rsid w:val="00033ABC"/>
    <w:rsid w:val="00033C76"/>
    <w:rsid w:val="0003405A"/>
    <w:rsid w:val="00034111"/>
    <w:rsid w:val="000345F6"/>
    <w:rsid w:val="00034B1B"/>
    <w:rsid w:val="0003530F"/>
    <w:rsid w:val="000353E6"/>
    <w:rsid w:val="00035474"/>
    <w:rsid w:val="00035747"/>
    <w:rsid w:val="0003577E"/>
    <w:rsid w:val="00035A30"/>
    <w:rsid w:val="000360AA"/>
    <w:rsid w:val="000362FA"/>
    <w:rsid w:val="00036543"/>
    <w:rsid w:val="00036565"/>
    <w:rsid w:val="00036A0F"/>
    <w:rsid w:val="00036B3D"/>
    <w:rsid w:val="00036C39"/>
    <w:rsid w:val="00036D39"/>
    <w:rsid w:val="00036D97"/>
    <w:rsid w:val="00036D9D"/>
    <w:rsid w:val="00036E68"/>
    <w:rsid w:val="00036F39"/>
    <w:rsid w:val="000374AB"/>
    <w:rsid w:val="000375EF"/>
    <w:rsid w:val="000376F5"/>
    <w:rsid w:val="0003783E"/>
    <w:rsid w:val="0003786B"/>
    <w:rsid w:val="000379EE"/>
    <w:rsid w:val="00040068"/>
    <w:rsid w:val="000404B7"/>
    <w:rsid w:val="00040543"/>
    <w:rsid w:val="00040784"/>
    <w:rsid w:val="00040824"/>
    <w:rsid w:val="00040C86"/>
    <w:rsid w:val="000410EA"/>
    <w:rsid w:val="000415BB"/>
    <w:rsid w:val="000418C2"/>
    <w:rsid w:val="00041B2D"/>
    <w:rsid w:val="00041C22"/>
    <w:rsid w:val="00041C6C"/>
    <w:rsid w:val="00041D6C"/>
    <w:rsid w:val="00041DCB"/>
    <w:rsid w:val="00042771"/>
    <w:rsid w:val="0004277C"/>
    <w:rsid w:val="000429DE"/>
    <w:rsid w:val="00042A67"/>
    <w:rsid w:val="00042E73"/>
    <w:rsid w:val="00042F4F"/>
    <w:rsid w:val="000430F1"/>
    <w:rsid w:val="000432D4"/>
    <w:rsid w:val="00043403"/>
    <w:rsid w:val="000437BB"/>
    <w:rsid w:val="00043CBB"/>
    <w:rsid w:val="00043D2A"/>
    <w:rsid w:val="00044222"/>
    <w:rsid w:val="00044D42"/>
    <w:rsid w:val="0004523E"/>
    <w:rsid w:val="0004538C"/>
    <w:rsid w:val="00045745"/>
    <w:rsid w:val="000457EC"/>
    <w:rsid w:val="00045CA8"/>
    <w:rsid w:val="00045CE3"/>
    <w:rsid w:val="00045EBF"/>
    <w:rsid w:val="00045F40"/>
    <w:rsid w:val="0004611F"/>
    <w:rsid w:val="0004681B"/>
    <w:rsid w:val="00046930"/>
    <w:rsid w:val="0004703A"/>
    <w:rsid w:val="00047705"/>
    <w:rsid w:val="000478A2"/>
    <w:rsid w:val="00047900"/>
    <w:rsid w:val="00047AF4"/>
    <w:rsid w:val="00047B64"/>
    <w:rsid w:val="00047C44"/>
    <w:rsid w:val="00047D8A"/>
    <w:rsid w:val="00047DE3"/>
    <w:rsid w:val="00047E39"/>
    <w:rsid w:val="00047F42"/>
    <w:rsid w:val="00050B21"/>
    <w:rsid w:val="00050DB1"/>
    <w:rsid w:val="00050E48"/>
    <w:rsid w:val="00051371"/>
    <w:rsid w:val="0005150C"/>
    <w:rsid w:val="0005190A"/>
    <w:rsid w:val="00051B20"/>
    <w:rsid w:val="00051C68"/>
    <w:rsid w:val="00051D74"/>
    <w:rsid w:val="00051D7E"/>
    <w:rsid w:val="00052696"/>
    <w:rsid w:val="000527B5"/>
    <w:rsid w:val="000528EF"/>
    <w:rsid w:val="00052CC4"/>
    <w:rsid w:val="00053393"/>
    <w:rsid w:val="000535B1"/>
    <w:rsid w:val="000539E6"/>
    <w:rsid w:val="00053A16"/>
    <w:rsid w:val="00053D98"/>
    <w:rsid w:val="00053DA5"/>
    <w:rsid w:val="00053E77"/>
    <w:rsid w:val="00054156"/>
    <w:rsid w:val="000545B7"/>
    <w:rsid w:val="000546A8"/>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66E"/>
    <w:rsid w:val="0005690C"/>
    <w:rsid w:val="00056FAD"/>
    <w:rsid w:val="00057ABB"/>
    <w:rsid w:val="00057DD4"/>
    <w:rsid w:val="000602C8"/>
    <w:rsid w:val="000606EF"/>
    <w:rsid w:val="0006079C"/>
    <w:rsid w:val="00060926"/>
    <w:rsid w:val="000610CB"/>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CB2"/>
    <w:rsid w:val="00062E6B"/>
    <w:rsid w:val="00062FE3"/>
    <w:rsid w:val="0006316D"/>
    <w:rsid w:val="000634DE"/>
    <w:rsid w:val="00063722"/>
    <w:rsid w:val="0006383F"/>
    <w:rsid w:val="00063A98"/>
    <w:rsid w:val="00063BE3"/>
    <w:rsid w:val="00063C23"/>
    <w:rsid w:val="00063C5B"/>
    <w:rsid w:val="00063D6A"/>
    <w:rsid w:val="00063FF4"/>
    <w:rsid w:val="0006446D"/>
    <w:rsid w:val="0006498E"/>
    <w:rsid w:val="00064BAB"/>
    <w:rsid w:val="00064E8E"/>
    <w:rsid w:val="00064F20"/>
    <w:rsid w:val="0006543B"/>
    <w:rsid w:val="00065960"/>
    <w:rsid w:val="00065C38"/>
    <w:rsid w:val="00065D00"/>
    <w:rsid w:val="00065FAA"/>
    <w:rsid w:val="0006650A"/>
    <w:rsid w:val="000668CC"/>
    <w:rsid w:val="00066933"/>
    <w:rsid w:val="00066963"/>
    <w:rsid w:val="0006699C"/>
    <w:rsid w:val="00066C69"/>
    <w:rsid w:val="0006703F"/>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D99"/>
    <w:rsid w:val="00074F4A"/>
    <w:rsid w:val="00074F8C"/>
    <w:rsid w:val="000753E6"/>
    <w:rsid w:val="00075459"/>
    <w:rsid w:val="0007551F"/>
    <w:rsid w:val="00075569"/>
    <w:rsid w:val="000756A5"/>
    <w:rsid w:val="000757ED"/>
    <w:rsid w:val="00075AAE"/>
    <w:rsid w:val="00075AF0"/>
    <w:rsid w:val="00075FA9"/>
    <w:rsid w:val="00076252"/>
    <w:rsid w:val="00076630"/>
    <w:rsid w:val="00076CA1"/>
    <w:rsid w:val="00076F63"/>
    <w:rsid w:val="0007700B"/>
    <w:rsid w:val="00077931"/>
    <w:rsid w:val="00077ADD"/>
    <w:rsid w:val="00077D98"/>
    <w:rsid w:val="000805E9"/>
    <w:rsid w:val="000806BD"/>
    <w:rsid w:val="000808DC"/>
    <w:rsid w:val="00080BAD"/>
    <w:rsid w:val="00080E8A"/>
    <w:rsid w:val="00080F45"/>
    <w:rsid w:val="00081003"/>
    <w:rsid w:val="000812CA"/>
    <w:rsid w:val="00081399"/>
    <w:rsid w:val="000813BB"/>
    <w:rsid w:val="00081A31"/>
    <w:rsid w:val="00082187"/>
    <w:rsid w:val="0008230D"/>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AC9"/>
    <w:rsid w:val="00085B1C"/>
    <w:rsid w:val="00085D82"/>
    <w:rsid w:val="00085F21"/>
    <w:rsid w:val="0008608E"/>
    <w:rsid w:val="000863E4"/>
    <w:rsid w:val="000868EC"/>
    <w:rsid w:val="00086BE5"/>
    <w:rsid w:val="00086CCC"/>
    <w:rsid w:val="000870BC"/>
    <w:rsid w:val="00087157"/>
    <w:rsid w:val="0008716F"/>
    <w:rsid w:val="000873DC"/>
    <w:rsid w:val="00087600"/>
    <w:rsid w:val="000877CA"/>
    <w:rsid w:val="00087948"/>
    <w:rsid w:val="00087A5A"/>
    <w:rsid w:val="00087C83"/>
    <w:rsid w:val="000905A0"/>
    <w:rsid w:val="000906BC"/>
    <w:rsid w:val="00090868"/>
    <w:rsid w:val="00090A55"/>
    <w:rsid w:val="00090B02"/>
    <w:rsid w:val="000911D9"/>
    <w:rsid w:val="00091876"/>
    <w:rsid w:val="000919C2"/>
    <w:rsid w:val="00091AF8"/>
    <w:rsid w:val="00091BB9"/>
    <w:rsid w:val="00091CF5"/>
    <w:rsid w:val="00091FE5"/>
    <w:rsid w:val="0009231A"/>
    <w:rsid w:val="00092425"/>
    <w:rsid w:val="00092493"/>
    <w:rsid w:val="00092DAB"/>
    <w:rsid w:val="00092F3D"/>
    <w:rsid w:val="000930CC"/>
    <w:rsid w:val="0009310B"/>
    <w:rsid w:val="000932A1"/>
    <w:rsid w:val="00093AB0"/>
    <w:rsid w:val="0009411B"/>
    <w:rsid w:val="000947FE"/>
    <w:rsid w:val="00094BEC"/>
    <w:rsid w:val="00094CF1"/>
    <w:rsid w:val="00094E9A"/>
    <w:rsid w:val="000956C8"/>
    <w:rsid w:val="00096256"/>
    <w:rsid w:val="0009698D"/>
    <w:rsid w:val="00096C0F"/>
    <w:rsid w:val="00096C3A"/>
    <w:rsid w:val="00096C98"/>
    <w:rsid w:val="00096D3F"/>
    <w:rsid w:val="00096E45"/>
    <w:rsid w:val="000972CA"/>
    <w:rsid w:val="000977FD"/>
    <w:rsid w:val="00097A70"/>
    <w:rsid w:val="00097AE2"/>
    <w:rsid w:val="000A0137"/>
    <w:rsid w:val="000A024B"/>
    <w:rsid w:val="000A075C"/>
    <w:rsid w:val="000A084F"/>
    <w:rsid w:val="000A0CE6"/>
    <w:rsid w:val="000A1146"/>
    <w:rsid w:val="000A12DF"/>
    <w:rsid w:val="000A155F"/>
    <w:rsid w:val="000A17FA"/>
    <w:rsid w:val="000A18E5"/>
    <w:rsid w:val="000A1972"/>
    <w:rsid w:val="000A1A1A"/>
    <w:rsid w:val="000A1CE2"/>
    <w:rsid w:val="000A1D5F"/>
    <w:rsid w:val="000A203C"/>
    <w:rsid w:val="000A211E"/>
    <w:rsid w:val="000A27A7"/>
    <w:rsid w:val="000A2A52"/>
    <w:rsid w:val="000A2BAA"/>
    <w:rsid w:val="000A2FA3"/>
    <w:rsid w:val="000A3099"/>
    <w:rsid w:val="000A3222"/>
    <w:rsid w:val="000A36CA"/>
    <w:rsid w:val="000A3771"/>
    <w:rsid w:val="000A382F"/>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46"/>
    <w:rsid w:val="000A56A4"/>
    <w:rsid w:val="000A56E4"/>
    <w:rsid w:val="000A5E75"/>
    <w:rsid w:val="000A5E94"/>
    <w:rsid w:val="000A5EB2"/>
    <w:rsid w:val="000A6401"/>
    <w:rsid w:val="000A6436"/>
    <w:rsid w:val="000A6B68"/>
    <w:rsid w:val="000A6DB3"/>
    <w:rsid w:val="000A720E"/>
    <w:rsid w:val="000A731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0D"/>
    <w:rsid w:val="000B2027"/>
    <w:rsid w:val="000B208F"/>
    <w:rsid w:val="000B2414"/>
    <w:rsid w:val="000B2582"/>
    <w:rsid w:val="000B274A"/>
    <w:rsid w:val="000B2898"/>
    <w:rsid w:val="000B2CD8"/>
    <w:rsid w:val="000B2E47"/>
    <w:rsid w:val="000B2EE5"/>
    <w:rsid w:val="000B341C"/>
    <w:rsid w:val="000B39B1"/>
    <w:rsid w:val="000B3AAB"/>
    <w:rsid w:val="000B3E98"/>
    <w:rsid w:val="000B40BA"/>
    <w:rsid w:val="000B41A3"/>
    <w:rsid w:val="000B424F"/>
    <w:rsid w:val="000B42B9"/>
    <w:rsid w:val="000B42C1"/>
    <w:rsid w:val="000B4398"/>
    <w:rsid w:val="000B47B8"/>
    <w:rsid w:val="000B4CD7"/>
    <w:rsid w:val="000B5760"/>
    <w:rsid w:val="000B5CEA"/>
    <w:rsid w:val="000B5D1E"/>
    <w:rsid w:val="000B5D5C"/>
    <w:rsid w:val="000B5DA6"/>
    <w:rsid w:val="000B5DF4"/>
    <w:rsid w:val="000B5E9E"/>
    <w:rsid w:val="000B619B"/>
    <w:rsid w:val="000B62F7"/>
    <w:rsid w:val="000B6425"/>
    <w:rsid w:val="000B689C"/>
    <w:rsid w:val="000B6AC5"/>
    <w:rsid w:val="000B6D70"/>
    <w:rsid w:val="000B6DB3"/>
    <w:rsid w:val="000B6E10"/>
    <w:rsid w:val="000B6E5A"/>
    <w:rsid w:val="000B6F16"/>
    <w:rsid w:val="000B7139"/>
    <w:rsid w:val="000B7296"/>
    <w:rsid w:val="000B732A"/>
    <w:rsid w:val="000B736D"/>
    <w:rsid w:val="000B7377"/>
    <w:rsid w:val="000B765C"/>
    <w:rsid w:val="000B767C"/>
    <w:rsid w:val="000B772E"/>
    <w:rsid w:val="000B77A2"/>
    <w:rsid w:val="000B7A9D"/>
    <w:rsid w:val="000B7B21"/>
    <w:rsid w:val="000B7C3E"/>
    <w:rsid w:val="000C02B9"/>
    <w:rsid w:val="000C03B8"/>
    <w:rsid w:val="000C03BC"/>
    <w:rsid w:val="000C043F"/>
    <w:rsid w:val="000C0693"/>
    <w:rsid w:val="000C0918"/>
    <w:rsid w:val="000C09E7"/>
    <w:rsid w:val="000C0E6C"/>
    <w:rsid w:val="000C1275"/>
    <w:rsid w:val="000C12F1"/>
    <w:rsid w:val="000C16D8"/>
    <w:rsid w:val="000C1896"/>
    <w:rsid w:val="000C18E5"/>
    <w:rsid w:val="000C1C1E"/>
    <w:rsid w:val="000C211E"/>
    <w:rsid w:val="000C2240"/>
    <w:rsid w:val="000C2319"/>
    <w:rsid w:val="000C2463"/>
    <w:rsid w:val="000C269A"/>
    <w:rsid w:val="000C2880"/>
    <w:rsid w:val="000C2C1A"/>
    <w:rsid w:val="000C2DF5"/>
    <w:rsid w:val="000C3024"/>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890"/>
    <w:rsid w:val="000C6A11"/>
    <w:rsid w:val="000C6A18"/>
    <w:rsid w:val="000C6C26"/>
    <w:rsid w:val="000C7205"/>
    <w:rsid w:val="000C7298"/>
    <w:rsid w:val="000C7336"/>
    <w:rsid w:val="000C75F9"/>
    <w:rsid w:val="000C78AB"/>
    <w:rsid w:val="000C7ED8"/>
    <w:rsid w:val="000C7F8E"/>
    <w:rsid w:val="000D007F"/>
    <w:rsid w:val="000D04A6"/>
    <w:rsid w:val="000D04F2"/>
    <w:rsid w:val="000D085D"/>
    <w:rsid w:val="000D09ED"/>
    <w:rsid w:val="000D0AC4"/>
    <w:rsid w:val="000D0F62"/>
    <w:rsid w:val="000D147F"/>
    <w:rsid w:val="000D14E5"/>
    <w:rsid w:val="000D16CC"/>
    <w:rsid w:val="000D17A6"/>
    <w:rsid w:val="000D1812"/>
    <w:rsid w:val="000D1B5C"/>
    <w:rsid w:val="000D1ED2"/>
    <w:rsid w:val="000D2083"/>
    <w:rsid w:val="000D2702"/>
    <w:rsid w:val="000D2788"/>
    <w:rsid w:val="000D28B7"/>
    <w:rsid w:val="000D2E6F"/>
    <w:rsid w:val="000D31A9"/>
    <w:rsid w:val="000D31E8"/>
    <w:rsid w:val="000D3616"/>
    <w:rsid w:val="000D3649"/>
    <w:rsid w:val="000D39B4"/>
    <w:rsid w:val="000D3D31"/>
    <w:rsid w:val="000D414E"/>
    <w:rsid w:val="000D42D0"/>
    <w:rsid w:val="000D4677"/>
    <w:rsid w:val="000D46DE"/>
    <w:rsid w:val="000D46E8"/>
    <w:rsid w:val="000D4710"/>
    <w:rsid w:val="000D475F"/>
    <w:rsid w:val="000D4995"/>
    <w:rsid w:val="000D4BB0"/>
    <w:rsid w:val="000D4F6E"/>
    <w:rsid w:val="000D4FAA"/>
    <w:rsid w:val="000D54A0"/>
    <w:rsid w:val="000D569F"/>
    <w:rsid w:val="000D5705"/>
    <w:rsid w:val="000D5961"/>
    <w:rsid w:val="000D5C93"/>
    <w:rsid w:val="000D5F0F"/>
    <w:rsid w:val="000D65C9"/>
    <w:rsid w:val="000D6A05"/>
    <w:rsid w:val="000D6BF6"/>
    <w:rsid w:val="000D6C61"/>
    <w:rsid w:val="000D6DA1"/>
    <w:rsid w:val="000D734C"/>
    <w:rsid w:val="000D7471"/>
    <w:rsid w:val="000D763C"/>
    <w:rsid w:val="000D7725"/>
    <w:rsid w:val="000D79F3"/>
    <w:rsid w:val="000D7CF5"/>
    <w:rsid w:val="000D7D35"/>
    <w:rsid w:val="000E0A1B"/>
    <w:rsid w:val="000E0AE5"/>
    <w:rsid w:val="000E0BA0"/>
    <w:rsid w:val="000E0E9C"/>
    <w:rsid w:val="000E10EF"/>
    <w:rsid w:val="000E1496"/>
    <w:rsid w:val="000E1B8B"/>
    <w:rsid w:val="000E1E11"/>
    <w:rsid w:val="000E2188"/>
    <w:rsid w:val="000E249C"/>
    <w:rsid w:val="000E2750"/>
    <w:rsid w:val="000E2770"/>
    <w:rsid w:val="000E2BEB"/>
    <w:rsid w:val="000E2DCF"/>
    <w:rsid w:val="000E3261"/>
    <w:rsid w:val="000E333D"/>
    <w:rsid w:val="000E34DE"/>
    <w:rsid w:val="000E3511"/>
    <w:rsid w:val="000E3648"/>
    <w:rsid w:val="000E3F2F"/>
    <w:rsid w:val="000E42FD"/>
    <w:rsid w:val="000E46F2"/>
    <w:rsid w:val="000E4702"/>
    <w:rsid w:val="000E4927"/>
    <w:rsid w:val="000E49E9"/>
    <w:rsid w:val="000E4AFD"/>
    <w:rsid w:val="000E5392"/>
    <w:rsid w:val="000E542F"/>
    <w:rsid w:val="000E5ACC"/>
    <w:rsid w:val="000E5B33"/>
    <w:rsid w:val="000E6105"/>
    <w:rsid w:val="000E6504"/>
    <w:rsid w:val="000E66C3"/>
    <w:rsid w:val="000E6807"/>
    <w:rsid w:val="000E6AE4"/>
    <w:rsid w:val="000E6AED"/>
    <w:rsid w:val="000E6B15"/>
    <w:rsid w:val="000E6B1A"/>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C1A"/>
    <w:rsid w:val="000F1E80"/>
    <w:rsid w:val="000F1FD1"/>
    <w:rsid w:val="000F2054"/>
    <w:rsid w:val="000F214D"/>
    <w:rsid w:val="000F293D"/>
    <w:rsid w:val="000F2B0F"/>
    <w:rsid w:val="000F3756"/>
    <w:rsid w:val="000F37CF"/>
    <w:rsid w:val="000F38E4"/>
    <w:rsid w:val="000F3C2D"/>
    <w:rsid w:val="000F3CB3"/>
    <w:rsid w:val="000F3DBE"/>
    <w:rsid w:val="000F404A"/>
    <w:rsid w:val="000F448C"/>
    <w:rsid w:val="000F4795"/>
    <w:rsid w:val="000F480F"/>
    <w:rsid w:val="000F4A2B"/>
    <w:rsid w:val="000F4AEE"/>
    <w:rsid w:val="000F548E"/>
    <w:rsid w:val="000F56AF"/>
    <w:rsid w:val="000F56F8"/>
    <w:rsid w:val="000F5AC6"/>
    <w:rsid w:val="000F5B46"/>
    <w:rsid w:val="000F5D7D"/>
    <w:rsid w:val="000F5E32"/>
    <w:rsid w:val="000F673F"/>
    <w:rsid w:val="000F6787"/>
    <w:rsid w:val="000F6ADA"/>
    <w:rsid w:val="000F6E9A"/>
    <w:rsid w:val="000F6F56"/>
    <w:rsid w:val="000F7023"/>
    <w:rsid w:val="000F7461"/>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E27"/>
    <w:rsid w:val="0010424A"/>
    <w:rsid w:val="0010424E"/>
    <w:rsid w:val="00104425"/>
    <w:rsid w:val="00104626"/>
    <w:rsid w:val="00104745"/>
    <w:rsid w:val="00104746"/>
    <w:rsid w:val="0010479F"/>
    <w:rsid w:val="00104C1A"/>
    <w:rsid w:val="00104E85"/>
    <w:rsid w:val="00104EAB"/>
    <w:rsid w:val="00104EC8"/>
    <w:rsid w:val="0010546C"/>
    <w:rsid w:val="00105647"/>
    <w:rsid w:val="0010572F"/>
    <w:rsid w:val="00105741"/>
    <w:rsid w:val="001057FA"/>
    <w:rsid w:val="00105889"/>
    <w:rsid w:val="0010599B"/>
    <w:rsid w:val="00105BF3"/>
    <w:rsid w:val="00105CF0"/>
    <w:rsid w:val="0010604C"/>
    <w:rsid w:val="00106291"/>
    <w:rsid w:val="00106390"/>
    <w:rsid w:val="001066E9"/>
    <w:rsid w:val="00106783"/>
    <w:rsid w:val="0010694F"/>
    <w:rsid w:val="00106B7A"/>
    <w:rsid w:val="00106D3A"/>
    <w:rsid w:val="00106F5D"/>
    <w:rsid w:val="0010710C"/>
    <w:rsid w:val="0010726F"/>
    <w:rsid w:val="001072F4"/>
    <w:rsid w:val="001075A4"/>
    <w:rsid w:val="001076BB"/>
    <w:rsid w:val="001079E4"/>
    <w:rsid w:val="00107F1B"/>
    <w:rsid w:val="0011022D"/>
    <w:rsid w:val="00110231"/>
    <w:rsid w:val="001102CF"/>
    <w:rsid w:val="001104E1"/>
    <w:rsid w:val="00110625"/>
    <w:rsid w:val="00110843"/>
    <w:rsid w:val="001108D5"/>
    <w:rsid w:val="00110D30"/>
    <w:rsid w:val="00111082"/>
    <w:rsid w:val="00111199"/>
    <w:rsid w:val="0011148C"/>
    <w:rsid w:val="001117D9"/>
    <w:rsid w:val="00111CFE"/>
    <w:rsid w:val="001121BB"/>
    <w:rsid w:val="00112306"/>
    <w:rsid w:val="00112462"/>
    <w:rsid w:val="001124DC"/>
    <w:rsid w:val="0011262B"/>
    <w:rsid w:val="001129A6"/>
    <w:rsid w:val="00112BAF"/>
    <w:rsid w:val="00112C43"/>
    <w:rsid w:val="00112C59"/>
    <w:rsid w:val="00112C7D"/>
    <w:rsid w:val="00112FB9"/>
    <w:rsid w:val="00113289"/>
    <w:rsid w:val="001134C0"/>
    <w:rsid w:val="001134D1"/>
    <w:rsid w:val="00113689"/>
    <w:rsid w:val="0011375C"/>
    <w:rsid w:val="001137F8"/>
    <w:rsid w:val="00113A27"/>
    <w:rsid w:val="00113A62"/>
    <w:rsid w:val="00113D7A"/>
    <w:rsid w:val="001149FE"/>
    <w:rsid w:val="00114FAF"/>
    <w:rsid w:val="001153A4"/>
    <w:rsid w:val="001154E9"/>
    <w:rsid w:val="00115BC2"/>
    <w:rsid w:val="00115BD2"/>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20069"/>
    <w:rsid w:val="001204A4"/>
    <w:rsid w:val="001208D1"/>
    <w:rsid w:val="00120EB0"/>
    <w:rsid w:val="00121B5A"/>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657"/>
    <w:rsid w:val="00125AC9"/>
    <w:rsid w:val="00125B39"/>
    <w:rsid w:val="00125EE0"/>
    <w:rsid w:val="00125FB5"/>
    <w:rsid w:val="0012601E"/>
    <w:rsid w:val="001265C3"/>
    <w:rsid w:val="00126797"/>
    <w:rsid w:val="00126C37"/>
    <w:rsid w:val="00126C9D"/>
    <w:rsid w:val="00126FD4"/>
    <w:rsid w:val="00127226"/>
    <w:rsid w:val="001273B5"/>
    <w:rsid w:val="0012775E"/>
    <w:rsid w:val="00127795"/>
    <w:rsid w:val="0012779E"/>
    <w:rsid w:val="00127ADF"/>
    <w:rsid w:val="00127D2C"/>
    <w:rsid w:val="00127E8B"/>
    <w:rsid w:val="00127FE0"/>
    <w:rsid w:val="00130CBE"/>
    <w:rsid w:val="00131221"/>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48B5"/>
    <w:rsid w:val="001349E2"/>
    <w:rsid w:val="00134B2C"/>
    <w:rsid w:val="00134BE2"/>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63E"/>
    <w:rsid w:val="00137871"/>
    <w:rsid w:val="00137912"/>
    <w:rsid w:val="00137926"/>
    <w:rsid w:val="00137F18"/>
    <w:rsid w:val="00140136"/>
    <w:rsid w:val="001402DB"/>
    <w:rsid w:val="001404BE"/>
    <w:rsid w:val="00140686"/>
    <w:rsid w:val="00140775"/>
    <w:rsid w:val="0014077E"/>
    <w:rsid w:val="00140919"/>
    <w:rsid w:val="0014092E"/>
    <w:rsid w:val="001409D4"/>
    <w:rsid w:val="00140ADA"/>
    <w:rsid w:val="00140D94"/>
    <w:rsid w:val="001410B9"/>
    <w:rsid w:val="001417CF"/>
    <w:rsid w:val="00141BA3"/>
    <w:rsid w:val="00141BDF"/>
    <w:rsid w:val="00141F8A"/>
    <w:rsid w:val="001420B4"/>
    <w:rsid w:val="001421C3"/>
    <w:rsid w:val="0014225E"/>
    <w:rsid w:val="0014273B"/>
    <w:rsid w:val="00142754"/>
    <w:rsid w:val="00142778"/>
    <w:rsid w:val="001428DD"/>
    <w:rsid w:val="00142AFF"/>
    <w:rsid w:val="00142D0A"/>
    <w:rsid w:val="00142DF4"/>
    <w:rsid w:val="00143410"/>
    <w:rsid w:val="001435D7"/>
    <w:rsid w:val="0014372E"/>
    <w:rsid w:val="00143872"/>
    <w:rsid w:val="00143FE3"/>
    <w:rsid w:val="001440B7"/>
    <w:rsid w:val="001444E1"/>
    <w:rsid w:val="00144745"/>
    <w:rsid w:val="00144FB0"/>
    <w:rsid w:val="0014513D"/>
    <w:rsid w:val="001452C2"/>
    <w:rsid w:val="001453FE"/>
    <w:rsid w:val="001459ED"/>
    <w:rsid w:val="00145DD3"/>
    <w:rsid w:val="00145EC5"/>
    <w:rsid w:val="00146034"/>
    <w:rsid w:val="00146336"/>
    <w:rsid w:val="00146465"/>
    <w:rsid w:val="0014675D"/>
    <w:rsid w:val="0014695D"/>
    <w:rsid w:val="00146B49"/>
    <w:rsid w:val="00146D06"/>
    <w:rsid w:val="00146DD2"/>
    <w:rsid w:val="00146EC7"/>
    <w:rsid w:val="001471F1"/>
    <w:rsid w:val="001473FD"/>
    <w:rsid w:val="00147481"/>
    <w:rsid w:val="00147512"/>
    <w:rsid w:val="0014764E"/>
    <w:rsid w:val="00147672"/>
    <w:rsid w:val="001479C2"/>
    <w:rsid w:val="00150158"/>
    <w:rsid w:val="001503A6"/>
    <w:rsid w:val="00150626"/>
    <w:rsid w:val="0015086B"/>
    <w:rsid w:val="00150DD2"/>
    <w:rsid w:val="00150F3E"/>
    <w:rsid w:val="00150F7F"/>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4484"/>
    <w:rsid w:val="00154791"/>
    <w:rsid w:val="001547F2"/>
    <w:rsid w:val="00154AD3"/>
    <w:rsid w:val="00154AF1"/>
    <w:rsid w:val="00154BAF"/>
    <w:rsid w:val="001551D2"/>
    <w:rsid w:val="001552D2"/>
    <w:rsid w:val="00155362"/>
    <w:rsid w:val="00155B68"/>
    <w:rsid w:val="001560F2"/>
    <w:rsid w:val="00156596"/>
    <w:rsid w:val="00156635"/>
    <w:rsid w:val="00156804"/>
    <w:rsid w:val="001569DA"/>
    <w:rsid w:val="00156D91"/>
    <w:rsid w:val="00157067"/>
    <w:rsid w:val="00157079"/>
    <w:rsid w:val="001570B7"/>
    <w:rsid w:val="00157574"/>
    <w:rsid w:val="0015785E"/>
    <w:rsid w:val="0015796D"/>
    <w:rsid w:val="001579B2"/>
    <w:rsid w:val="00157B30"/>
    <w:rsid w:val="00157C50"/>
    <w:rsid w:val="00157F4A"/>
    <w:rsid w:val="00160029"/>
    <w:rsid w:val="00160219"/>
    <w:rsid w:val="00160989"/>
    <w:rsid w:val="00160A49"/>
    <w:rsid w:val="00161029"/>
    <w:rsid w:val="001610F3"/>
    <w:rsid w:val="00161362"/>
    <w:rsid w:val="001615D4"/>
    <w:rsid w:val="001616E2"/>
    <w:rsid w:val="001617AA"/>
    <w:rsid w:val="001617CA"/>
    <w:rsid w:val="00161DA3"/>
    <w:rsid w:val="00162096"/>
    <w:rsid w:val="001621E5"/>
    <w:rsid w:val="0016247E"/>
    <w:rsid w:val="001625A5"/>
    <w:rsid w:val="00162865"/>
    <w:rsid w:val="001628F2"/>
    <w:rsid w:val="00162D65"/>
    <w:rsid w:val="00162E4A"/>
    <w:rsid w:val="00162F50"/>
    <w:rsid w:val="00162FBA"/>
    <w:rsid w:val="0016304D"/>
    <w:rsid w:val="001630D3"/>
    <w:rsid w:val="00163358"/>
    <w:rsid w:val="001636A8"/>
    <w:rsid w:val="0016370A"/>
    <w:rsid w:val="00163879"/>
    <w:rsid w:val="00163A52"/>
    <w:rsid w:val="00163C15"/>
    <w:rsid w:val="00163C30"/>
    <w:rsid w:val="001640BF"/>
    <w:rsid w:val="0016422E"/>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CB7"/>
    <w:rsid w:val="00166D23"/>
    <w:rsid w:val="00167240"/>
    <w:rsid w:val="001672B1"/>
    <w:rsid w:val="0016757C"/>
    <w:rsid w:val="001676DE"/>
    <w:rsid w:val="001678D7"/>
    <w:rsid w:val="00167A0E"/>
    <w:rsid w:val="00167BAE"/>
    <w:rsid w:val="00167CBD"/>
    <w:rsid w:val="00167E90"/>
    <w:rsid w:val="00167EC5"/>
    <w:rsid w:val="001701AB"/>
    <w:rsid w:val="00170927"/>
    <w:rsid w:val="00170A47"/>
    <w:rsid w:val="00170AFD"/>
    <w:rsid w:val="00170CFC"/>
    <w:rsid w:val="001711DA"/>
    <w:rsid w:val="0017126A"/>
    <w:rsid w:val="0017136A"/>
    <w:rsid w:val="00171452"/>
    <w:rsid w:val="00171545"/>
    <w:rsid w:val="0017189C"/>
    <w:rsid w:val="001718BC"/>
    <w:rsid w:val="001719CC"/>
    <w:rsid w:val="00171AC3"/>
    <w:rsid w:val="00171C57"/>
    <w:rsid w:val="00171C67"/>
    <w:rsid w:val="00172137"/>
    <w:rsid w:val="0017236D"/>
    <w:rsid w:val="001723F2"/>
    <w:rsid w:val="00172489"/>
    <w:rsid w:val="0017264B"/>
    <w:rsid w:val="001728A1"/>
    <w:rsid w:val="00172D61"/>
    <w:rsid w:val="00173237"/>
    <w:rsid w:val="001732E2"/>
    <w:rsid w:val="001734FC"/>
    <w:rsid w:val="00173834"/>
    <w:rsid w:val="00173954"/>
    <w:rsid w:val="00173A8B"/>
    <w:rsid w:val="00173CB5"/>
    <w:rsid w:val="00174262"/>
    <w:rsid w:val="001742B1"/>
    <w:rsid w:val="001743F0"/>
    <w:rsid w:val="00174592"/>
    <w:rsid w:val="00174939"/>
    <w:rsid w:val="00174A6D"/>
    <w:rsid w:val="00174D91"/>
    <w:rsid w:val="00175016"/>
    <w:rsid w:val="00175059"/>
    <w:rsid w:val="00175165"/>
    <w:rsid w:val="001754B5"/>
    <w:rsid w:val="0017551B"/>
    <w:rsid w:val="0017579C"/>
    <w:rsid w:val="00175F6F"/>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711"/>
    <w:rsid w:val="001808CF"/>
    <w:rsid w:val="00180BEB"/>
    <w:rsid w:val="00180CD6"/>
    <w:rsid w:val="00180D1C"/>
    <w:rsid w:val="00180E05"/>
    <w:rsid w:val="00180F7E"/>
    <w:rsid w:val="00181149"/>
    <w:rsid w:val="00181251"/>
    <w:rsid w:val="00181563"/>
    <w:rsid w:val="001817D1"/>
    <w:rsid w:val="001818E6"/>
    <w:rsid w:val="00181D48"/>
    <w:rsid w:val="0018202A"/>
    <w:rsid w:val="00182049"/>
    <w:rsid w:val="001820CD"/>
    <w:rsid w:val="00182660"/>
    <w:rsid w:val="001827E6"/>
    <w:rsid w:val="001828A6"/>
    <w:rsid w:val="0018296B"/>
    <w:rsid w:val="00182C11"/>
    <w:rsid w:val="00182D84"/>
    <w:rsid w:val="00182EB7"/>
    <w:rsid w:val="001831F4"/>
    <w:rsid w:val="0018329A"/>
    <w:rsid w:val="00183491"/>
    <w:rsid w:val="0018397D"/>
    <w:rsid w:val="00183981"/>
    <w:rsid w:val="00183AC8"/>
    <w:rsid w:val="00183E05"/>
    <w:rsid w:val="0018403B"/>
    <w:rsid w:val="00184132"/>
    <w:rsid w:val="001841B6"/>
    <w:rsid w:val="0018421D"/>
    <w:rsid w:val="001843D7"/>
    <w:rsid w:val="001845EF"/>
    <w:rsid w:val="00184976"/>
    <w:rsid w:val="001849C7"/>
    <w:rsid w:val="00184CD4"/>
    <w:rsid w:val="00184E89"/>
    <w:rsid w:val="00184E9E"/>
    <w:rsid w:val="00184F2A"/>
    <w:rsid w:val="00184FDD"/>
    <w:rsid w:val="00185083"/>
    <w:rsid w:val="00185608"/>
    <w:rsid w:val="00185878"/>
    <w:rsid w:val="001859A0"/>
    <w:rsid w:val="001859BD"/>
    <w:rsid w:val="00185C3D"/>
    <w:rsid w:val="00185F37"/>
    <w:rsid w:val="00186263"/>
    <w:rsid w:val="001862DC"/>
    <w:rsid w:val="00186580"/>
    <w:rsid w:val="00186A49"/>
    <w:rsid w:val="00186AEE"/>
    <w:rsid w:val="00186CC6"/>
    <w:rsid w:val="00186F8C"/>
    <w:rsid w:val="001873D0"/>
    <w:rsid w:val="00187BCA"/>
    <w:rsid w:val="00187CCE"/>
    <w:rsid w:val="00187F57"/>
    <w:rsid w:val="00187FFE"/>
    <w:rsid w:val="001902B3"/>
    <w:rsid w:val="001905FE"/>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2B2"/>
    <w:rsid w:val="001933D5"/>
    <w:rsid w:val="00193404"/>
    <w:rsid w:val="00193503"/>
    <w:rsid w:val="00193937"/>
    <w:rsid w:val="00193AB6"/>
    <w:rsid w:val="00193B09"/>
    <w:rsid w:val="00193BB7"/>
    <w:rsid w:val="00193D90"/>
    <w:rsid w:val="00194131"/>
    <w:rsid w:val="0019425E"/>
    <w:rsid w:val="00194736"/>
    <w:rsid w:val="001947F0"/>
    <w:rsid w:val="001949E7"/>
    <w:rsid w:val="00194B0B"/>
    <w:rsid w:val="00194B6C"/>
    <w:rsid w:val="00194BA4"/>
    <w:rsid w:val="001951CA"/>
    <w:rsid w:val="0019556E"/>
    <w:rsid w:val="00195B90"/>
    <w:rsid w:val="00195BA3"/>
    <w:rsid w:val="00195BC0"/>
    <w:rsid w:val="0019667A"/>
    <w:rsid w:val="001966E6"/>
    <w:rsid w:val="00196811"/>
    <w:rsid w:val="00196A1E"/>
    <w:rsid w:val="00196CE1"/>
    <w:rsid w:val="00196E48"/>
    <w:rsid w:val="00196F9C"/>
    <w:rsid w:val="00196FDF"/>
    <w:rsid w:val="001970CC"/>
    <w:rsid w:val="00197212"/>
    <w:rsid w:val="001974AF"/>
    <w:rsid w:val="0019756A"/>
    <w:rsid w:val="001977C7"/>
    <w:rsid w:val="00197B04"/>
    <w:rsid w:val="00197CE1"/>
    <w:rsid w:val="00197D27"/>
    <w:rsid w:val="001A02C5"/>
    <w:rsid w:val="001A060E"/>
    <w:rsid w:val="001A06A3"/>
    <w:rsid w:val="001A0C61"/>
    <w:rsid w:val="001A0E21"/>
    <w:rsid w:val="001A0F20"/>
    <w:rsid w:val="001A1138"/>
    <w:rsid w:val="001A1145"/>
    <w:rsid w:val="001A1347"/>
    <w:rsid w:val="001A1515"/>
    <w:rsid w:val="001A1617"/>
    <w:rsid w:val="001A1633"/>
    <w:rsid w:val="001A1699"/>
    <w:rsid w:val="001A1866"/>
    <w:rsid w:val="001A19D7"/>
    <w:rsid w:val="001A1C72"/>
    <w:rsid w:val="001A1DA0"/>
    <w:rsid w:val="001A1FC1"/>
    <w:rsid w:val="001A2543"/>
    <w:rsid w:val="001A2666"/>
    <w:rsid w:val="001A26F9"/>
    <w:rsid w:val="001A2741"/>
    <w:rsid w:val="001A28CD"/>
    <w:rsid w:val="001A2B20"/>
    <w:rsid w:val="001A2BE7"/>
    <w:rsid w:val="001A2E52"/>
    <w:rsid w:val="001A3312"/>
    <w:rsid w:val="001A343A"/>
    <w:rsid w:val="001A36BA"/>
    <w:rsid w:val="001A3704"/>
    <w:rsid w:val="001A3E09"/>
    <w:rsid w:val="001A4B55"/>
    <w:rsid w:val="001A4F9E"/>
    <w:rsid w:val="001A5248"/>
    <w:rsid w:val="001A555D"/>
    <w:rsid w:val="001A5637"/>
    <w:rsid w:val="001A58D9"/>
    <w:rsid w:val="001A5968"/>
    <w:rsid w:val="001A5A4C"/>
    <w:rsid w:val="001A5B90"/>
    <w:rsid w:val="001A5B99"/>
    <w:rsid w:val="001A60A8"/>
    <w:rsid w:val="001A6106"/>
    <w:rsid w:val="001A6192"/>
    <w:rsid w:val="001A66F9"/>
    <w:rsid w:val="001A684F"/>
    <w:rsid w:val="001A6FB3"/>
    <w:rsid w:val="001A7296"/>
    <w:rsid w:val="001A779D"/>
    <w:rsid w:val="001A785B"/>
    <w:rsid w:val="001A7F8E"/>
    <w:rsid w:val="001B046A"/>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53F8"/>
    <w:rsid w:val="001B5733"/>
    <w:rsid w:val="001B59C3"/>
    <w:rsid w:val="001B627B"/>
    <w:rsid w:val="001B66AA"/>
    <w:rsid w:val="001B66FE"/>
    <w:rsid w:val="001B6C89"/>
    <w:rsid w:val="001B7058"/>
    <w:rsid w:val="001B720C"/>
    <w:rsid w:val="001B7525"/>
    <w:rsid w:val="001B7528"/>
    <w:rsid w:val="001B7A45"/>
    <w:rsid w:val="001B7A86"/>
    <w:rsid w:val="001B7BE1"/>
    <w:rsid w:val="001B7E03"/>
    <w:rsid w:val="001B7E41"/>
    <w:rsid w:val="001C05D8"/>
    <w:rsid w:val="001C0972"/>
    <w:rsid w:val="001C0AEF"/>
    <w:rsid w:val="001C0B47"/>
    <w:rsid w:val="001C0BE7"/>
    <w:rsid w:val="001C0DD8"/>
    <w:rsid w:val="001C11E9"/>
    <w:rsid w:val="001C13F0"/>
    <w:rsid w:val="001C1625"/>
    <w:rsid w:val="001C1658"/>
    <w:rsid w:val="001C16FC"/>
    <w:rsid w:val="001C1830"/>
    <w:rsid w:val="001C1ECB"/>
    <w:rsid w:val="001C21E6"/>
    <w:rsid w:val="001C2357"/>
    <w:rsid w:val="001C238F"/>
    <w:rsid w:val="001C2598"/>
    <w:rsid w:val="001C3612"/>
    <w:rsid w:val="001C366C"/>
    <w:rsid w:val="001C3902"/>
    <w:rsid w:val="001C3974"/>
    <w:rsid w:val="001C3BF4"/>
    <w:rsid w:val="001C3D37"/>
    <w:rsid w:val="001C3E19"/>
    <w:rsid w:val="001C42DF"/>
    <w:rsid w:val="001C4BAC"/>
    <w:rsid w:val="001C4EA7"/>
    <w:rsid w:val="001C4FA1"/>
    <w:rsid w:val="001C5039"/>
    <w:rsid w:val="001C508F"/>
    <w:rsid w:val="001C533D"/>
    <w:rsid w:val="001C5474"/>
    <w:rsid w:val="001C614B"/>
    <w:rsid w:val="001C61BA"/>
    <w:rsid w:val="001C6221"/>
    <w:rsid w:val="001C6360"/>
    <w:rsid w:val="001C6394"/>
    <w:rsid w:val="001C6573"/>
    <w:rsid w:val="001C6625"/>
    <w:rsid w:val="001C6C8D"/>
    <w:rsid w:val="001C6E75"/>
    <w:rsid w:val="001C6E79"/>
    <w:rsid w:val="001C710B"/>
    <w:rsid w:val="001C7180"/>
    <w:rsid w:val="001C72D1"/>
    <w:rsid w:val="001C72EF"/>
    <w:rsid w:val="001C780E"/>
    <w:rsid w:val="001C7B00"/>
    <w:rsid w:val="001C7B61"/>
    <w:rsid w:val="001C7C06"/>
    <w:rsid w:val="001C7C18"/>
    <w:rsid w:val="001C7D2F"/>
    <w:rsid w:val="001D0056"/>
    <w:rsid w:val="001D006D"/>
    <w:rsid w:val="001D0103"/>
    <w:rsid w:val="001D015F"/>
    <w:rsid w:val="001D01D2"/>
    <w:rsid w:val="001D040C"/>
    <w:rsid w:val="001D0526"/>
    <w:rsid w:val="001D059A"/>
    <w:rsid w:val="001D06DF"/>
    <w:rsid w:val="001D0B19"/>
    <w:rsid w:val="001D0BFC"/>
    <w:rsid w:val="001D0DE9"/>
    <w:rsid w:val="001D1323"/>
    <w:rsid w:val="001D13FC"/>
    <w:rsid w:val="001D140A"/>
    <w:rsid w:val="001D16BE"/>
    <w:rsid w:val="001D1844"/>
    <w:rsid w:val="001D1A36"/>
    <w:rsid w:val="001D1B60"/>
    <w:rsid w:val="001D2016"/>
    <w:rsid w:val="001D22E9"/>
    <w:rsid w:val="001D23D9"/>
    <w:rsid w:val="001D253C"/>
    <w:rsid w:val="001D2754"/>
    <w:rsid w:val="001D28C5"/>
    <w:rsid w:val="001D2938"/>
    <w:rsid w:val="001D2BA2"/>
    <w:rsid w:val="001D32DB"/>
    <w:rsid w:val="001D36D3"/>
    <w:rsid w:val="001D3A19"/>
    <w:rsid w:val="001D3A86"/>
    <w:rsid w:val="001D3BBD"/>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BAE"/>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D6E"/>
    <w:rsid w:val="001E3DE2"/>
    <w:rsid w:val="001E3E1E"/>
    <w:rsid w:val="001E3EBF"/>
    <w:rsid w:val="001E406A"/>
    <w:rsid w:val="001E41B7"/>
    <w:rsid w:val="001E430F"/>
    <w:rsid w:val="001E47B6"/>
    <w:rsid w:val="001E48D2"/>
    <w:rsid w:val="001E4A90"/>
    <w:rsid w:val="001E4D6D"/>
    <w:rsid w:val="001E4FD6"/>
    <w:rsid w:val="001E517A"/>
    <w:rsid w:val="001E54CB"/>
    <w:rsid w:val="001E5BD1"/>
    <w:rsid w:val="001E5BD6"/>
    <w:rsid w:val="001E5C41"/>
    <w:rsid w:val="001E5DA2"/>
    <w:rsid w:val="001E6019"/>
    <w:rsid w:val="001E6076"/>
    <w:rsid w:val="001E6347"/>
    <w:rsid w:val="001E6491"/>
    <w:rsid w:val="001E6650"/>
    <w:rsid w:val="001E693B"/>
    <w:rsid w:val="001E70CC"/>
    <w:rsid w:val="001E74BF"/>
    <w:rsid w:val="001E75AC"/>
    <w:rsid w:val="001E75BF"/>
    <w:rsid w:val="001E75F5"/>
    <w:rsid w:val="001E76FD"/>
    <w:rsid w:val="001E786A"/>
    <w:rsid w:val="001E78F0"/>
    <w:rsid w:val="001E7B3C"/>
    <w:rsid w:val="001E7EAC"/>
    <w:rsid w:val="001F01DE"/>
    <w:rsid w:val="001F01DF"/>
    <w:rsid w:val="001F0225"/>
    <w:rsid w:val="001F04A1"/>
    <w:rsid w:val="001F056A"/>
    <w:rsid w:val="001F06F3"/>
    <w:rsid w:val="001F0748"/>
    <w:rsid w:val="001F0887"/>
    <w:rsid w:val="001F09EB"/>
    <w:rsid w:val="001F0BC7"/>
    <w:rsid w:val="001F0DD8"/>
    <w:rsid w:val="001F11EE"/>
    <w:rsid w:val="001F12A7"/>
    <w:rsid w:val="001F1321"/>
    <w:rsid w:val="001F1470"/>
    <w:rsid w:val="001F1557"/>
    <w:rsid w:val="001F1722"/>
    <w:rsid w:val="001F1856"/>
    <w:rsid w:val="001F1A88"/>
    <w:rsid w:val="001F1CBA"/>
    <w:rsid w:val="001F1EA2"/>
    <w:rsid w:val="001F207B"/>
    <w:rsid w:val="001F24A1"/>
    <w:rsid w:val="001F24FF"/>
    <w:rsid w:val="001F25DC"/>
    <w:rsid w:val="001F2674"/>
    <w:rsid w:val="001F26D5"/>
    <w:rsid w:val="001F288A"/>
    <w:rsid w:val="001F28EF"/>
    <w:rsid w:val="001F29FD"/>
    <w:rsid w:val="001F2B1E"/>
    <w:rsid w:val="001F2E7F"/>
    <w:rsid w:val="001F2F86"/>
    <w:rsid w:val="001F3344"/>
    <w:rsid w:val="001F34C7"/>
    <w:rsid w:val="001F3A2A"/>
    <w:rsid w:val="001F3A99"/>
    <w:rsid w:val="001F3A9E"/>
    <w:rsid w:val="001F3DC4"/>
    <w:rsid w:val="001F403C"/>
    <w:rsid w:val="001F43FB"/>
    <w:rsid w:val="001F441F"/>
    <w:rsid w:val="001F5083"/>
    <w:rsid w:val="001F50ED"/>
    <w:rsid w:val="001F523A"/>
    <w:rsid w:val="001F5303"/>
    <w:rsid w:val="001F5603"/>
    <w:rsid w:val="001F5B07"/>
    <w:rsid w:val="001F5C2A"/>
    <w:rsid w:val="001F5D4F"/>
    <w:rsid w:val="001F5E3B"/>
    <w:rsid w:val="001F5F5B"/>
    <w:rsid w:val="001F6011"/>
    <w:rsid w:val="001F638A"/>
    <w:rsid w:val="001F676E"/>
    <w:rsid w:val="001F69E6"/>
    <w:rsid w:val="001F6A24"/>
    <w:rsid w:val="001F6FC8"/>
    <w:rsid w:val="001F75B5"/>
    <w:rsid w:val="001F7AC8"/>
    <w:rsid w:val="00200623"/>
    <w:rsid w:val="002007F0"/>
    <w:rsid w:val="00200BE8"/>
    <w:rsid w:val="0020137B"/>
    <w:rsid w:val="0020148B"/>
    <w:rsid w:val="002018E2"/>
    <w:rsid w:val="00201E79"/>
    <w:rsid w:val="00201F86"/>
    <w:rsid w:val="002021CA"/>
    <w:rsid w:val="002024BC"/>
    <w:rsid w:val="0020263D"/>
    <w:rsid w:val="0020276D"/>
    <w:rsid w:val="00202774"/>
    <w:rsid w:val="002028C1"/>
    <w:rsid w:val="00202AA9"/>
    <w:rsid w:val="00202D71"/>
    <w:rsid w:val="0020303C"/>
    <w:rsid w:val="002030FF"/>
    <w:rsid w:val="002032BF"/>
    <w:rsid w:val="00203B69"/>
    <w:rsid w:val="00203FE9"/>
    <w:rsid w:val="00204482"/>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FA5"/>
    <w:rsid w:val="002070B8"/>
    <w:rsid w:val="002072CC"/>
    <w:rsid w:val="0020765C"/>
    <w:rsid w:val="00207676"/>
    <w:rsid w:val="00210235"/>
    <w:rsid w:val="002105FF"/>
    <w:rsid w:val="00210697"/>
    <w:rsid w:val="002107BB"/>
    <w:rsid w:val="002108E5"/>
    <w:rsid w:val="002109D0"/>
    <w:rsid w:val="002109FD"/>
    <w:rsid w:val="00210B78"/>
    <w:rsid w:val="00210CC3"/>
    <w:rsid w:val="002111C4"/>
    <w:rsid w:val="002111C5"/>
    <w:rsid w:val="0021143B"/>
    <w:rsid w:val="00211614"/>
    <w:rsid w:val="0021172A"/>
    <w:rsid w:val="00211867"/>
    <w:rsid w:val="002118D7"/>
    <w:rsid w:val="00211AD0"/>
    <w:rsid w:val="00211E12"/>
    <w:rsid w:val="00212482"/>
    <w:rsid w:val="00212844"/>
    <w:rsid w:val="00212BEA"/>
    <w:rsid w:val="00212DBF"/>
    <w:rsid w:val="00212E4C"/>
    <w:rsid w:val="0021343E"/>
    <w:rsid w:val="00213901"/>
    <w:rsid w:val="00213956"/>
    <w:rsid w:val="002141B6"/>
    <w:rsid w:val="0021427E"/>
    <w:rsid w:val="00214393"/>
    <w:rsid w:val="00214402"/>
    <w:rsid w:val="00214422"/>
    <w:rsid w:val="00214445"/>
    <w:rsid w:val="0021454E"/>
    <w:rsid w:val="0021457D"/>
    <w:rsid w:val="0021465E"/>
    <w:rsid w:val="002148BC"/>
    <w:rsid w:val="002149FD"/>
    <w:rsid w:val="002150EA"/>
    <w:rsid w:val="002159C3"/>
    <w:rsid w:val="00215D1A"/>
    <w:rsid w:val="00215DEB"/>
    <w:rsid w:val="00215FC5"/>
    <w:rsid w:val="00216510"/>
    <w:rsid w:val="002167F8"/>
    <w:rsid w:val="00216C46"/>
    <w:rsid w:val="00216EFD"/>
    <w:rsid w:val="00217022"/>
    <w:rsid w:val="00217054"/>
    <w:rsid w:val="00217522"/>
    <w:rsid w:val="00217535"/>
    <w:rsid w:val="00217980"/>
    <w:rsid w:val="002179DE"/>
    <w:rsid w:val="00217A44"/>
    <w:rsid w:val="00217E68"/>
    <w:rsid w:val="002201F3"/>
    <w:rsid w:val="002202F6"/>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80"/>
    <w:rsid w:val="00224D4F"/>
    <w:rsid w:val="00225AC1"/>
    <w:rsid w:val="00225BA4"/>
    <w:rsid w:val="00225C17"/>
    <w:rsid w:val="00225ED5"/>
    <w:rsid w:val="002263A0"/>
    <w:rsid w:val="002264D8"/>
    <w:rsid w:val="00226513"/>
    <w:rsid w:val="002265A1"/>
    <w:rsid w:val="00226BE3"/>
    <w:rsid w:val="00226BEC"/>
    <w:rsid w:val="00226DCD"/>
    <w:rsid w:val="002270D4"/>
    <w:rsid w:val="00227375"/>
    <w:rsid w:val="002273FF"/>
    <w:rsid w:val="002275A5"/>
    <w:rsid w:val="0022796D"/>
    <w:rsid w:val="00227DA4"/>
    <w:rsid w:val="00227DE5"/>
    <w:rsid w:val="002302EF"/>
    <w:rsid w:val="00230628"/>
    <w:rsid w:val="002307F0"/>
    <w:rsid w:val="00230BCC"/>
    <w:rsid w:val="00230BF8"/>
    <w:rsid w:val="00230C48"/>
    <w:rsid w:val="00230D83"/>
    <w:rsid w:val="00230E34"/>
    <w:rsid w:val="00230E83"/>
    <w:rsid w:val="00230E91"/>
    <w:rsid w:val="00230F0B"/>
    <w:rsid w:val="002312DD"/>
    <w:rsid w:val="00231455"/>
    <w:rsid w:val="002315BC"/>
    <w:rsid w:val="00231632"/>
    <w:rsid w:val="00231639"/>
    <w:rsid w:val="002316FF"/>
    <w:rsid w:val="00231954"/>
    <w:rsid w:val="00231A02"/>
    <w:rsid w:val="00231AA5"/>
    <w:rsid w:val="00232176"/>
    <w:rsid w:val="002322F9"/>
    <w:rsid w:val="00232350"/>
    <w:rsid w:val="002324FE"/>
    <w:rsid w:val="002325C9"/>
    <w:rsid w:val="00232781"/>
    <w:rsid w:val="00232D77"/>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9C9"/>
    <w:rsid w:val="002362F5"/>
    <w:rsid w:val="002366BA"/>
    <w:rsid w:val="00236D5C"/>
    <w:rsid w:val="00236E06"/>
    <w:rsid w:val="002373FA"/>
    <w:rsid w:val="0023774E"/>
    <w:rsid w:val="00237877"/>
    <w:rsid w:val="0023797C"/>
    <w:rsid w:val="00240CFC"/>
    <w:rsid w:val="002410E4"/>
    <w:rsid w:val="002412F2"/>
    <w:rsid w:val="0024161A"/>
    <w:rsid w:val="00241649"/>
    <w:rsid w:val="00241A9E"/>
    <w:rsid w:val="00241AA9"/>
    <w:rsid w:val="00241CDB"/>
    <w:rsid w:val="00241E34"/>
    <w:rsid w:val="00241F88"/>
    <w:rsid w:val="002426D4"/>
    <w:rsid w:val="00242933"/>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AA0"/>
    <w:rsid w:val="00247DEF"/>
    <w:rsid w:val="00250054"/>
    <w:rsid w:val="00250100"/>
    <w:rsid w:val="0025015B"/>
    <w:rsid w:val="0025022E"/>
    <w:rsid w:val="002502B2"/>
    <w:rsid w:val="002502E6"/>
    <w:rsid w:val="00250510"/>
    <w:rsid w:val="0025059A"/>
    <w:rsid w:val="00250799"/>
    <w:rsid w:val="002509F3"/>
    <w:rsid w:val="00251444"/>
    <w:rsid w:val="002514B3"/>
    <w:rsid w:val="002514C2"/>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3034"/>
    <w:rsid w:val="00253174"/>
    <w:rsid w:val="00253193"/>
    <w:rsid w:val="002533E4"/>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CEC"/>
    <w:rsid w:val="002622FC"/>
    <w:rsid w:val="002625FB"/>
    <w:rsid w:val="00262829"/>
    <w:rsid w:val="00262A5A"/>
    <w:rsid w:val="00262D83"/>
    <w:rsid w:val="002631CE"/>
    <w:rsid w:val="0026337E"/>
    <w:rsid w:val="00263426"/>
    <w:rsid w:val="00263733"/>
    <w:rsid w:val="002637F5"/>
    <w:rsid w:val="00263833"/>
    <w:rsid w:val="00263B14"/>
    <w:rsid w:val="00263F1B"/>
    <w:rsid w:val="00263FBC"/>
    <w:rsid w:val="0026408B"/>
    <w:rsid w:val="002641CD"/>
    <w:rsid w:val="0026430B"/>
    <w:rsid w:val="002645F9"/>
    <w:rsid w:val="002648D3"/>
    <w:rsid w:val="00264912"/>
    <w:rsid w:val="00264BB2"/>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4B"/>
    <w:rsid w:val="002673FC"/>
    <w:rsid w:val="002675D4"/>
    <w:rsid w:val="00267698"/>
    <w:rsid w:val="002676B3"/>
    <w:rsid w:val="002678F2"/>
    <w:rsid w:val="00267EE0"/>
    <w:rsid w:val="00267EF1"/>
    <w:rsid w:val="00267FDB"/>
    <w:rsid w:val="002700E5"/>
    <w:rsid w:val="00270350"/>
    <w:rsid w:val="002703F7"/>
    <w:rsid w:val="002705D0"/>
    <w:rsid w:val="002708D1"/>
    <w:rsid w:val="00270B9B"/>
    <w:rsid w:val="002710DB"/>
    <w:rsid w:val="00271733"/>
    <w:rsid w:val="00271D2F"/>
    <w:rsid w:val="00271F7A"/>
    <w:rsid w:val="0027225A"/>
    <w:rsid w:val="00272420"/>
    <w:rsid w:val="002724D2"/>
    <w:rsid w:val="002727FF"/>
    <w:rsid w:val="002729CB"/>
    <w:rsid w:val="00272A9A"/>
    <w:rsid w:val="00272C2B"/>
    <w:rsid w:val="00272C93"/>
    <w:rsid w:val="00273002"/>
    <w:rsid w:val="002732BD"/>
    <w:rsid w:val="0027370C"/>
    <w:rsid w:val="002737A7"/>
    <w:rsid w:val="0027395D"/>
    <w:rsid w:val="00273A0C"/>
    <w:rsid w:val="00273EF6"/>
    <w:rsid w:val="00274579"/>
    <w:rsid w:val="0027484E"/>
    <w:rsid w:val="00274E87"/>
    <w:rsid w:val="002752A2"/>
    <w:rsid w:val="002754DD"/>
    <w:rsid w:val="002755FA"/>
    <w:rsid w:val="00275725"/>
    <w:rsid w:val="00275B52"/>
    <w:rsid w:val="00275B63"/>
    <w:rsid w:val="00275C79"/>
    <w:rsid w:val="0027621A"/>
    <w:rsid w:val="0027621B"/>
    <w:rsid w:val="002764DC"/>
    <w:rsid w:val="00276794"/>
    <w:rsid w:val="00276837"/>
    <w:rsid w:val="002768F4"/>
    <w:rsid w:val="002769D8"/>
    <w:rsid w:val="00276CAE"/>
    <w:rsid w:val="0027701E"/>
    <w:rsid w:val="00277121"/>
    <w:rsid w:val="00277E73"/>
    <w:rsid w:val="00280065"/>
    <w:rsid w:val="002806D1"/>
    <w:rsid w:val="00280A13"/>
    <w:rsid w:val="00280A75"/>
    <w:rsid w:val="00280E58"/>
    <w:rsid w:val="002813E5"/>
    <w:rsid w:val="00281611"/>
    <w:rsid w:val="002819C5"/>
    <w:rsid w:val="00281AA6"/>
    <w:rsid w:val="0028281C"/>
    <w:rsid w:val="00282BD0"/>
    <w:rsid w:val="00282BDA"/>
    <w:rsid w:val="00282FE1"/>
    <w:rsid w:val="00283601"/>
    <w:rsid w:val="002836FD"/>
    <w:rsid w:val="002838B0"/>
    <w:rsid w:val="00283AC3"/>
    <w:rsid w:val="00283AD6"/>
    <w:rsid w:val="00283BE8"/>
    <w:rsid w:val="00283BEB"/>
    <w:rsid w:val="00283DA5"/>
    <w:rsid w:val="00283F53"/>
    <w:rsid w:val="00283FAF"/>
    <w:rsid w:val="00283FB9"/>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4A3"/>
    <w:rsid w:val="00286879"/>
    <w:rsid w:val="002868A2"/>
    <w:rsid w:val="00286B4E"/>
    <w:rsid w:val="00286B88"/>
    <w:rsid w:val="00286EAC"/>
    <w:rsid w:val="002870CE"/>
    <w:rsid w:val="00287182"/>
    <w:rsid w:val="002872C3"/>
    <w:rsid w:val="0028743D"/>
    <w:rsid w:val="00287798"/>
    <w:rsid w:val="0028783C"/>
    <w:rsid w:val="002903E1"/>
    <w:rsid w:val="0029055E"/>
    <w:rsid w:val="00290B35"/>
    <w:rsid w:val="00290E63"/>
    <w:rsid w:val="00291A55"/>
    <w:rsid w:val="00291BE9"/>
    <w:rsid w:val="00291E68"/>
    <w:rsid w:val="00292205"/>
    <w:rsid w:val="00292ADC"/>
    <w:rsid w:val="00292C1A"/>
    <w:rsid w:val="00292DA0"/>
    <w:rsid w:val="00292DF2"/>
    <w:rsid w:val="00293084"/>
    <w:rsid w:val="002930F6"/>
    <w:rsid w:val="0029390F"/>
    <w:rsid w:val="00293964"/>
    <w:rsid w:val="00293EF3"/>
    <w:rsid w:val="00294271"/>
    <w:rsid w:val="0029445D"/>
    <w:rsid w:val="0029449D"/>
    <w:rsid w:val="0029458D"/>
    <w:rsid w:val="0029464A"/>
    <w:rsid w:val="002949B8"/>
    <w:rsid w:val="00294C9F"/>
    <w:rsid w:val="0029518F"/>
    <w:rsid w:val="0029532F"/>
    <w:rsid w:val="00295481"/>
    <w:rsid w:val="002958CD"/>
    <w:rsid w:val="00295AA7"/>
    <w:rsid w:val="00295C64"/>
    <w:rsid w:val="00295CE7"/>
    <w:rsid w:val="00296186"/>
    <w:rsid w:val="00296473"/>
    <w:rsid w:val="002964FB"/>
    <w:rsid w:val="002965BF"/>
    <w:rsid w:val="002966D2"/>
    <w:rsid w:val="002968A0"/>
    <w:rsid w:val="002968FF"/>
    <w:rsid w:val="00296951"/>
    <w:rsid w:val="00296A55"/>
    <w:rsid w:val="00296B5A"/>
    <w:rsid w:val="002970BA"/>
    <w:rsid w:val="0029715F"/>
    <w:rsid w:val="00297263"/>
    <w:rsid w:val="002974CE"/>
    <w:rsid w:val="002974FD"/>
    <w:rsid w:val="00297913"/>
    <w:rsid w:val="00297BF0"/>
    <w:rsid w:val="002A016F"/>
    <w:rsid w:val="002A02F4"/>
    <w:rsid w:val="002A0776"/>
    <w:rsid w:val="002A083F"/>
    <w:rsid w:val="002A0980"/>
    <w:rsid w:val="002A09B0"/>
    <w:rsid w:val="002A09B6"/>
    <w:rsid w:val="002A0B99"/>
    <w:rsid w:val="002A0EDE"/>
    <w:rsid w:val="002A10C7"/>
    <w:rsid w:val="002A129F"/>
    <w:rsid w:val="002A1909"/>
    <w:rsid w:val="002A19EA"/>
    <w:rsid w:val="002A25FE"/>
    <w:rsid w:val="002A2B3B"/>
    <w:rsid w:val="002A2C13"/>
    <w:rsid w:val="002A2DCA"/>
    <w:rsid w:val="002A31D5"/>
    <w:rsid w:val="002A32F1"/>
    <w:rsid w:val="002A33B2"/>
    <w:rsid w:val="002A3524"/>
    <w:rsid w:val="002A3672"/>
    <w:rsid w:val="002A3907"/>
    <w:rsid w:val="002A3F69"/>
    <w:rsid w:val="002A40BF"/>
    <w:rsid w:val="002A41AF"/>
    <w:rsid w:val="002A4339"/>
    <w:rsid w:val="002A4627"/>
    <w:rsid w:val="002A46C4"/>
    <w:rsid w:val="002A473A"/>
    <w:rsid w:val="002A514B"/>
    <w:rsid w:val="002A52F3"/>
    <w:rsid w:val="002A57F4"/>
    <w:rsid w:val="002A58F5"/>
    <w:rsid w:val="002A596A"/>
    <w:rsid w:val="002A61CD"/>
    <w:rsid w:val="002A62AF"/>
    <w:rsid w:val="002A633F"/>
    <w:rsid w:val="002A6391"/>
    <w:rsid w:val="002A63A6"/>
    <w:rsid w:val="002A69FB"/>
    <w:rsid w:val="002A6A6B"/>
    <w:rsid w:val="002A6D49"/>
    <w:rsid w:val="002A70CD"/>
    <w:rsid w:val="002A712C"/>
    <w:rsid w:val="002A7332"/>
    <w:rsid w:val="002A76D3"/>
    <w:rsid w:val="002A7A42"/>
    <w:rsid w:val="002A7B20"/>
    <w:rsid w:val="002A7C12"/>
    <w:rsid w:val="002B03BF"/>
    <w:rsid w:val="002B05D7"/>
    <w:rsid w:val="002B06DC"/>
    <w:rsid w:val="002B09F2"/>
    <w:rsid w:val="002B0AE8"/>
    <w:rsid w:val="002B0C21"/>
    <w:rsid w:val="002B0E61"/>
    <w:rsid w:val="002B0FF4"/>
    <w:rsid w:val="002B14D7"/>
    <w:rsid w:val="002B1A2C"/>
    <w:rsid w:val="002B1A69"/>
    <w:rsid w:val="002B2418"/>
    <w:rsid w:val="002B24B5"/>
    <w:rsid w:val="002B263A"/>
    <w:rsid w:val="002B2709"/>
    <w:rsid w:val="002B27BD"/>
    <w:rsid w:val="002B2853"/>
    <w:rsid w:val="002B2A44"/>
    <w:rsid w:val="002B2AFC"/>
    <w:rsid w:val="002B2BD1"/>
    <w:rsid w:val="002B2C23"/>
    <w:rsid w:val="002B38B5"/>
    <w:rsid w:val="002B38D2"/>
    <w:rsid w:val="002B3A48"/>
    <w:rsid w:val="002B3C53"/>
    <w:rsid w:val="002B3CAE"/>
    <w:rsid w:val="002B4AFB"/>
    <w:rsid w:val="002B4C62"/>
    <w:rsid w:val="002B4DDE"/>
    <w:rsid w:val="002B50F5"/>
    <w:rsid w:val="002B5206"/>
    <w:rsid w:val="002B5207"/>
    <w:rsid w:val="002B5254"/>
    <w:rsid w:val="002B5692"/>
    <w:rsid w:val="002B5799"/>
    <w:rsid w:val="002B5BC4"/>
    <w:rsid w:val="002B5D5E"/>
    <w:rsid w:val="002B5E17"/>
    <w:rsid w:val="002B5E4B"/>
    <w:rsid w:val="002B605F"/>
    <w:rsid w:val="002B64E6"/>
    <w:rsid w:val="002B65E1"/>
    <w:rsid w:val="002B6848"/>
    <w:rsid w:val="002B694F"/>
    <w:rsid w:val="002B6C14"/>
    <w:rsid w:val="002B6D21"/>
    <w:rsid w:val="002B6DC7"/>
    <w:rsid w:val="002B713D"/>
    <w:rsid w:val="002B714E"/>
    <w:rsid w:val="002B7251"/>
    <w:rsid w:val="002B730B"/>
    <w:rsid w:val="002B792B"/>
    <w:rsid w:val="002B7D6D"/>
    <w:rsid w:val="002B7F8F"/>
    <w:rsid w:val="002C02AF"/>
    <w:rsid w:val="002C061A"/>
    <w:rsid w:val="002C1202"/>
    <w:rsid w:val="002C1559"/>
    <w:rsid w:val="002C1817"/>
    <w:rsid w:val="002C1931"/>
    <w:rsid w:val="002C1D81"/>
    <w:rsid w:val="002C1DCB"/>
    <w:rsid w:val="002C1FFE"/>
    <w:rsid w:val="002C251A"/>
    <w:rsid w:val="002C252E"/>
    <w:rsid w:val="002C32D0"/>
    <w:rsid w:val="002C32DD"/>
    <w:rsid w:val="002C38F5"/>
    <w:rsid w:val="002C3EBD"/>
    <w:rsid w:val="002C40FE"/>
    <w:rsid w:val="002C41CC"/>
    <w:rsid w:val="002C41D2"/>
    <w:rsid w:val="002C4962"/>
    <w:rsid w:val="002C4C45"/>
    <w:rsid w:val="002C504C"/>
    <w:rsid w:val="002C57C5"/>
    <w:rsid w:val="002C58C3"/>
    <w:rsid w:val="002C5CF8"/>
    <w:rsid w:val="002C5D38"/>
    <w:rsid w:val="002C5D3F"/>
    <w:rsid w:val="002C61EA"/>
    <w:rsid w:val="002C654A"/>
    <w:rsid w:val="002C69C0"/>
    <w:rsid w:val="002C6F2C"/>
    <w:rsid w:val="002C75ED"/>
    <w:rsid w:val="002C76BE"/>
    <w:rsid w:val="002C76EB"/>
    <w:rsid w:val="002C777F"/>
    <w:rsid w:val="002C78C6"/>
    <w:rsid w:val="002C7A2A"/>
    <w:rsid w:val="002C7BF0"/>
    <w:rsid w:val="002C7C2E"/>
    <w:rsid w:val="002C7CC0"/>
    <w:rsid w:val="002C7D6D"/>
    <w:rsid w:val="002D0221"/>
    <w:rsid w:val="002D040B"/>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B06"/>
    <w:rsid w:val="002D2E45"/>
    <w:rsid w:val="002D2F14"/>
    <w:rsid w:val="002D32F8"/>
    <w:rsid w:val="002D3318"/>
    <w:rsid w:val="002D348A"/>
    <w:rsid w:val="002D365F"/>
    <w:rsid w:val="002D39BF"/>
    <w:rsid w:val="002D3BB6"/>
    <w:rsid w:val="002D3C04"/>
    <w:rsid w:val="002D3E3E"/>
    <w:rsid w:val="002D44B7"/>
    <w:rsid w:val="002D4714"/>
    <w:rsid w:val="002D4744"/>
    <w:rsid w:val="002D4811"/>
    <w:rsid w:val="002D48A3"/>
    <w:rsid w:val="002D4B7D"/>
    <w:rsid w:val="002D4C6B"/>
    <w:rsid w:val="002D5163"/>
    <w:rsid w:val="002D5A2C"/>
    <w:rsid w:val="002D5C89"/>
    <w:rsid w:val="002D611E"/>
    <w:rsid w:val="002D6249"/>
    <w:rsid w:val="002D6324"/>
    <w:rsid w:val="002D65C3"/>
    <w:rsid w:val="002D65DB"/>
    <w:rsid w:val="002D699D"/>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9F3"/>
    <w:rsid w:val="002E1A87"/>
    <w:rsid w:val="002E1F03"/>
    <w:rsid w:val="002E278A"/>
    <w:rsid w:val="002E2817"/>
    <w:rsid w:val="002E2C86"/>
    <w:rsid w:val="002E2FB9"/>
    <w:rsid w:val="002E3177"/>
    <w:rsid w:val="002E34E8"/>
    <w:rsid w:val="002E40DB"/>
    <w:rsid w:val="002E410D"/>
    <w:rsid w:val="002E44F8"/>
    <w:rsid w:val="002E46FF"/>
    <w:rsid w:val="002E4B7F"/>
    <w:rsid w:val="002E4D42"/>
    <w:rsid w:val="002E4D59"/>
    <w:rsid w:val="002E5040"/>
    <w:rsid w:val="002E50B7"/>
    <w:rsid w:val="002E55AC"/>
    <w:rsid w:val="002E563D"/>
    <w:rsid w:val="002E5727"/>
    <w:rsid w:val="002E593A"/>
    <w:rsid w:val="002E5AB5"/>
    <w:rsid w:val="002E5CAA"/>
    <w:rsid w:val="002E5DDD"/>
    <w:rsid w:val="002E6368"/>
    <w:rsid w:val="002E648B"/>
    <w:rsid w:val="002E64A8"/>
    <w:rsid w:val="002E64B3"/>
    <w:rsid w:val="002E662C"/>
    <w:rsid w:val="002E675C"/>
    <w:rsid w:val="002E678F"/>
    <w:rsid w:val="002E6871"/>
    <w:rsid w:val="002E6D96"/>
    <w:rsid w:val="002E709C"/>
    <w:rsid w:val="002E7227"/>
    <w:rsid w:val="002E797D"/>
    <w:rsid w:val="002E7C93"/>
    <w:rsid w:val="002E7E57"/>
    <w:rsid w:val="002F0197"/>
    <w:rsid w:val="002F04E5"/>
    <w:rsid w:val="002F0823"/>
    <w:rsid w:val="002F0DE5"/>
    <w:rsid w:val="002F0F7A"/>
    <w:rsid w:val="002F0F9D"/>
    <w:rsid w:val="002F11CA"/>
    <w:rsid w:val="002F1DB2"/>
    <w:rsid w:val="002F1DFF"/>
    <w:rsid w:val="002F2190"/>
    <w:rsid w:val="002F27A6"/>
    <w:rsid w:val="002F2C12"/>
    <w:rsid w:val="002F30E1"/>
    <w:rsid w:val="002F3356"/>
    <w:rsid w:val="002F3497"/>
    <w:rsid w:val="002F364F"/>
    <w:rsid w:val="002F3A60"/>
    <w:rsid w:val="002F3CC6"/>
    <w:rsid w:val="002F3D21"/>
    <w:rsid w:val="002F3EF2"/>
    <w:rsid w:val="002F3EFC"/>
    <w:rsid w:val="002F4191"/>
    <w:rsid w:val="002F45E3"/>
    <w:rsid w:val="002F4A4E"/>
    <w:rsid w:val="002F4E8C"/>
    <w:rsid w:val="002F51ED"/>
    <w:rsid w:val="002F5237"/>
    <w:rsid w:val="002F52CF"/>
    <w:rsid w:val="002F5577"/>
    <w:rsid w:val="002F56C6"/>
    <w:rsid w:val="002F56EA"/>
    <w:rsid w:val="002F571F"/>
    <w:rsid w:val="002F581F"/>
    <w:rsid w:val="002F5E91"/>
    <w:rsid w:val="002F643D"/>
    <w:rsid w:val="002F6797"/>
    <w:rsid w:val="002F693E"/>
    <w:rsid w:val="002F6AE2"/>
    <w:rsid w:val="002F6D35"/>
    <w:rsid w:val="002F6EA3"/>
    <w:rsid w:val="002F6FDF"/>
    <w:rsid w:val="002F7249"/>
    <w:rsid w:val="002F72C3"/>
    <w:rsid w:val="002F74B8"/>
    <w:rsid w:val="002F771B"/>
    <w:rsid w:val="002F7A60"/>
    <w:rsid w:val="002F7C9F"/>
    <w:rsid w:val="00300464"/>
    <w:rsid w:val="00300E8F"/>
    <w:rsid w:val="00300EFE"/>
    <w:rsid w:val="00301417"/>
    <w:rsid w:val="00301DE2"/>
    <w:rsid w:val="00301F1F"/>
    <w:rsid w:val="00302133"/>
    <w:rsid w:val="003021D2"/>
    <w:rsid w:val="0030331D"/>
    <w:rsid w:val="003035EA"/>
    <w:rsid w:val="003039AF"/>
    <w:rsid w:val="00303BD6"/>
    <w:rsid w:val="00303FF7"/>
    <w:rsid w:val="00304352"/>
    <w:rsid w:val="00304374"/>
    <w:rsid w:val="003043BF"/>
    <w:rsid w:val="003043FC"/>
    <w:rsid w:val="0030443A"/>
    <w:rsid w:val="0030496E"/>
    <w:rsid w:val="00304E40"/>
    <w:rsid w:val="00304E7A"/>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CAE"/>
    <w:rsid w:val="00307FA8"/>
    <w:rsid w:val="00310082"/>
    <w:rsid w:val="003100CE"/>
    <w:rsid w:val="00310416"/>
    <w:rsid w:val="003105E3"/>
    <w:rsid w:val="00310728"/>
    <w:rsid w:val="00310950"/>
    <w:rsid w:val="00310A40"/>
    <w:rsid w:val="00310CA5"/>
    <w:rsid w:val="00310CDA"/>
    <w:rsid w:val="0031127D"/>
    <w:rsid w:val="003112D1"/>
    <w:rsid w:val="003112E0"/>
    <w:rsid w:val="00311416"/>
    <w:rsid w:val="00311441"/>
    <w:rsid w:val="0031178E"/>
    <w:rsid w:val="00311D00"/>
    <w:rsid w:val="00312194"/>
    <w:rsid w:val="003125D7"/>
    <w:rsid w:val="0031271E"/>
    <w:rsid w:val="00312842"/>
    <w:rsid w:val="0031289B"/>
    <w:rsid w:val="00312D50"/>
    <w:rsid w:val="0031331B"/>
    <w:rsid w:val="00313534"/>
    <w:rsid w:val="003136EB"/>
    <w:rsid w:val="003139A9"/>
    <w:rsid w:val="00313A6B"/>
    <w:rsid w:val="00313B67"/>
    <w:rsid w:val="00313DF7"/>
    <w:rsid w:val="00313EBC"/>
    <w:rsid w:val="0031406B"/>
    <w:rsid w:val="003141F5"/>
    <w:rsid w:val="0031450E"/>
    <w:rsid w:val="003145C5"/>
    <w:rsid w:val="003146AC"/>
    <w:rsid w:val="0031473A"/>
    <w:rsid w:val="003147B8"/>
    <w:rsid w:val="003148D1"/>
    <w:rsid w:val="00314D2B"/>
    <w:rsid w:val="00314E49"/>
    <w:rsid w:val="00314EC1"/>
    <w:rsid w:val="00314FB0"/>
    <w:rsid w:val="00315229"/>
    <w:rsid w:val="003155B4"/>
    <w:rsid w:val="003158A3"/>
    <w:rsid w:val="00315B49"/>
    <w:rsid w:val="00315CFA"/>
    <w:rsid w:val="00315EDE"/>
    <w:rsid w:val="00315F18"/>
    <w:rsid w:val="003162F6"/>
    <w:rsid w:val="003164BE"/>
    <w:rsid w:val="0031672E"/>
    <w:rsid w:val="00316878"/>
    <w:rsid w:val="00316E18"/>
    <w:rsid w:val="00317017"/>
    <w:rsid w:val="00317070"/>
    <w:rsid w:val="003171D6"/>
    <w:rsid w:val="0031757B"/>
    <w:rsid w:val="003178C0"/>
    <w:rsid w:val="00317E43"/>
    <w:rsid w:val="00320126"/>
    <w:rsid w:val="003201ED"/>
    <w:rsid w:val="0032092E"/>
    <w:rsid w:val="00320AA2"/>
    <w:rsid w:val="00320AEA"/>
    <w:rsid w:val="00321236"/>
    <w:rsid w:val="00321757"/>
    <w:rsid w:val="00321B69"/>
    <w:rsid w:val="00321DAA"/>
    <w:rsid w:val="00321DAD"/>
    <w:rsid w:val="00321E21"/>
    <w:rsid w:val="0032200F"/>
    <w:rsid w:val="0032214F"/>
    <w:rsid w:val="003224C9"/>
    <w:rsid w:val="003228FA"/>
    <w:rsid w:val="00322975"/>
    <w:rsid w:val="00322977"/>
    <w:rsid w:val="00323D8D"/>
    <w:rsid w:val="00323E9D"/>
    <w:rsid w:val="0032411B"/>
    <w:rsid w:val="003245C7"/>
    <w:rsid w:val="003247A1"/>
    <w:rsid w:val="003247DB"/>
    <w:rsid w:val="003247E1"/>
    <w:rsid w:val="00324BE5"/>
    <w:rsid w:val="00325064"/>
    <w:rsid w:val="00325196"/>
    <w:rsid w:val="00325245"/>
    <w:rsid w:val="003252E4"/>
    <w:rsid w:val="003253FB"/>
    <w:rsid w:val="00325540"/>
    <w:rsid w:val="003256AB"/>
    <w:rsid w:val="003256DC"/>
    <w:rsid w:val="00325730"/>
    <w:rsid w:val="00325BBE"/>
    <w:rsid w:val="00325E81"/>
    <w:rsid w:val="003265CD"/>
    <w:rsid w:val="00326806"/>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6C"/>
    <w:rsid w:val="00331FA2"/>
    <w:rsid w:val="00331FC8"/>
    <w:rsid w:val="00331FE4"/>
    <w:rsid w:val="003324A6"/>
    <w:rsid w:val="003325C0"/>
    <w:rsid w:val="003332C8"/>
    <w:rsid w:val="00333438"/>
    <w:rsid w:val="0033381D"/>
    <w:rsid w:val="003338C1"/>
    <w:rsid w:val="00333AC7"/>
    <w:rsid w:val="00333C54"/>
    <w:rsid w:val="00334119"/>
    <w:rsid w:val="003349B6"/>
    <w:rsid w:val="00334CDC"/>
    <w:rsid w:val="00334E24"/>
    <w:rsid w:val="00334EBF"/>
    <w:rsid w:val="00334F53"/>
    <w:rsid w:val="00335339"/>
    <w:rsid w:val="0033542A"/>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B19"/>
    <w:rsid w:val="00341D59"/>
    <w:rsid w:val="00341DE3"/>
    <w:rsid w:val="00341E94"/>
    <w:rsid w:val="003425D8"/>
    <w:rsid w:val="00342A01"/>
    <w:rsid w:val="00342B9C"/>
    <w:rsid w:val="00343098"/>
    <w:rsid w:val="0034384C"/>
    <w:rsid w:val="003438B5"/>
    <w:rsid w:val="00343B0D"/>
    <w:rsid w:val="00343B17"/>
    <w:rsid w:val="00343B7E"/>
    <w:rsid w:val="00343E94"/>
    <w:rsid w:val="00344DF7"/>
    <w:rsid w:val="00344FA1"/>
    <w:rsid w:val="0034513D"/>
    <w:rsid w:val="003452C8"/>
    <w:rsid w:val="00345481"/>
    <w:rsid w:val="0034576F"/>
    <w:rsid w:val="003458E9"/>
    <w:rsid w:val="003459B2"/>
    <w:rsid w:val="00345AA1"/>
    <w:rsid w:val="00345E3E"/>
    <w:rsid w:val="00345FC3"/>
    <w:rsid w:val="003460BE"/>
    <w:rsid w:val="00346321"/>
    <w:rsid w:val="003464C2"/>
    <w:rsid w:val="003469CB"/>
    <w:rsid w:val="00346A34"/>
    <w:rsid w:val="00346A51"/>
    <w:rsid w:val="00346BA4"/>
    <w:rsid w:val="00346CA2"/>
    <w:rsid w:val="00346E24"/>
    <w:rsid w:val="00347737"/>
    <w:rsid w:val="00347757"/>
    <w:rsid w:val="003477AC"/>
    <w:rsid w:val="003477F6"/>
    <w:rsid w:val="00347895"/>
    <w:rsid w:val="0034796A"/>
    <w:rsid w:val="00347A61"/>
    <w:rsid w:val="00347F99"/>
    <w:rsid w:val="00347FD2"/>
    <w:rsid w:val="00351054"/>
    <w:rsid w:val="00351681"/>
    <w:rsid w:val="003516A9"/>
    <w:rsid w:val="003516F2"/>
    <w:rsid w:val="00351A09"/>
    <w:rsid w:val="00351AEA"/>
    <w:rsid w:val="00351B85"/>
    <w:rsid w:val="00351D3D"/>
    <w:rsid w:val="00351FCC"/>
    <w:rsid w:val="00352467"/>
    <w:rsid w:val="003525BA"/>
    <w:rsid w:val="0035270B"/>
    <w:rsid w:val="00352A80"/>
    <w:rsid w:val="00352A9B"/>
    <w:rsid w:val="00352EE4"/>
    <w:rsid w:val="00353533"/>
    <w:rsid w:val="003537CA"/>
    <w:rsid w:val="00353AAC"/>
    <w:rsid w:val="00353DBF"/>
    <w:rsid w:val="00353E62"/>
    <w:rsid w:val="00353F91"/>
    <w:rsid w:val="003541B3"/>
    <w:rsid w:val="003547D2"/>
    <w:rsid w:val="00354906"/>
    <w:rsid w:val="00354B63"/>
    <w:rsid w:val="00354EC5"/>
    <w:rsid w:val="003556CB"/>
    <w:rsid w:val="0035581F"/>
    <w:rsid w:val="0035584A"/>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CAC"/>
    <w:rsid w:val="00360CF1"/>
    <w:rsid w:val="00360E36"/>
    <w:rsid w:val="00360E5F"/>
    <w:rsid w:val="00361295"/>
    <w:rsid w:val="00361347"/>
    <w:rsid w:val="00361530"/>
    <w:rsid w:val="00361C65"/>
    <w:rsid w:val="00361DFA"/>
    <w:rsid w:val="00361E67"/>
    <w:rsid w:val="00361F95"/>
    <w:rsid w:val="0036203F"/>
    <w:rsid w:val="00362406"/>
    <w:rsid w:val="00362564"/>
    <w:rsid w:val="00362597"/>
    <w:rsid w:val="00362617"/>
    <w:rsid w:val="00362938"/>
    <w:rsid w:val="00363029"/>
    <w:rsid w:val="0036304A"/>
    <w:rsid w:val="003635C2"/>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6C7"/>
    <w:rsid w:val="0036687A"/>
    <w:rsid w:val="00366AB5"/>
    <w:rsid w:val="00366C8A"/>
    <w:rsid w:val="00366C9F"/>
    <w:rsid w:val="00367786"/>
    <w:rsid w:val="00367A4C"/>
    <w:rsid w:val="00367C9F"/>
    <w:rsid w:val="00370114"/>
    <w:rsid w:val="003702BB"/>
    <w:rsid w:val="0037060F"/>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206A"/>
    <w:rsid w:val="0037212A"/>
    <w:rsid w:val="00372697"/>
    <w:rsid w:val="00372705"/>
    <w:rsid w:val="00372750"/>
    <w:rsid w:val="00372ECF"/>
    <w:rsid w:val="00372F2A"/>
    <w:rsid w:val="00373011"/>
    <w:rsid w:val="00373E6A"/>
    <w:rsid w:val="0037417B"/>
    <w:rsid w:val="003741A2"/>
    <w:rsid w:val="003746F0"/>
    <w:rsid w:val="00374F6A"/>
    <w:rsid w:val="003751D8"/>
    <w:rsid w:val="00375648"/>
    <w:rsid w:val="00375B45"/>
    <w:rsid w:val="00375BDD"/>
    <w:rsid w:val="00375CD7"/>
    <w:rsid w:val="00375D02"/>
    <w:rsid w:val="00375F58"/>
    <w:rsid w:val="003768B2"/>
    <w:rsid w:val="00377130"/>
    <w:rsid w:val="00377524"/>
    <w:rsid w:val="00377724"/>
    <w:rsid w:val="00377748"/>
    <w:rsid w:val="00377938"/>
    <w:rsid w:val="00377A7C"/>
    <w:rsid w:val="00377D6C"/>
    <w:rsid w:val="00377F26"/>
    <w:rsid w:val="003802A9"/>
    <w:rsid w:val="00380435"/>
    <w:rsid w:val="003804CF"/>
    <w:rsid w:val="0038051C"/>
    <w:rsid w:val="0038062A"/>
    <w:rsid w:val="003806B2"/>
    <w:rsid w:val="00380722"/>
    <w:rsid w:val="003807BA"/>
    <w:rsid w:val="00380808"/>
    <w:rsid w:val="00380877"/>
    <w:rsid w:val="003808CD"/>
    <w:rsid w:val="00380BD1"/>
    <w:rsid w:val="00380DEC"/>
    <w:rsid w:val="00380EB1"/>
    <w:rsid w:val="003815D2"/>
    <w:rsid w:val="00381651"/>
    <w:rsid w:val="00381C04"/>
    <w:rsid w:val="00381CEA"/>
    <w:rsid w:val="00381D0E"/>
    <w:rsid w:val="00381E4E"/>
    <w:rsid w:val="00381F4C"/>
    <w:rsid w:val="0038242B"/>
    <w:rsid w:val="00382A6B"/>
    <w:rsid w:val="00382CE1"/>
    <w:rsid w:val="00382DFA"/>
    <w:rsid w:val="00382F29"/>
    <w:rsid w:val="0038301B"/>
    <w:rsid w:val="00383142"/>
    <w:rsid w:val="0038314C"/>
    <w:rsid w:val="0038345C"/>
    <w:rsid w:val="0038363A"/>
    <w:rsid w:val="00383882"/>
    <w:rsid w:val="00383AC7"/>
    <w:rsid w:val="00383B7F"/>
    <w:rsid w:val="003844BA"/>
    <w:rsid w:val="00384572"/>
    <w:rsid w:val="00384AF8"/>
    <w:rsid w:val="003850CE"/>
    <w:rsid w:val="0038543F"/>
    <w:rsid w:val="00385968"/>
    <w:rsid w:val="003859BD"/>
    <w:rsid w:val="00385D47"/>
    <w:rsid w:val="00385E33"/>
    <w:rsid w:val="00385E41"/>
    <w:rsid w:val="00386129"/>
    <w:rsid w:val="00386240"/>
    <w:rsid w:val="00386721"/>
    <w:rsid w:val="0038678D"/>
    <w:rsid w:val="003869B0"/>
    <w:rsid w:val="00386F12"/>
    <w:rsid w:val="0038730B"/>
    <w:rsid w:val="00387369"/>
    <w:rsid w:val="003873EA"/>
    <w:rsid w:val="0038792D"/>
    <w:rsid w:val="00387A82"/>
    <w:rsid w:val="00390035"/>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93E"/>
    <w:rsid w:val="00393AB4"/>
    <w:rsid w:val="00393C57"/>
    <w:rsid w:val="00393D2E"/>
    <w:rsid w:val="00393DB3"/>
    <w:rsid w:val="00393DE7"/>
    <w:rsid w:val="00394249"/>
    <w:rsid w:val="00394833"/>
    <w:rsid w:val="00394CC0"/>
    <w:rsid w:val="00394D69"/>
    <w:rsid w:val="00394DBA"/>
    <w:rsid w:val="0039501F"/>
    <w:rsid w:val="0039566A"/>
    <w:rsid w:val="00395A0B"/>
    <w:rsid w:val="00395B67"/>
    <w:rsid w:val="00395C23"/>
    <w:rsid w:val="00395FCB"/>
    <w:rsid w:val="00396014"/>
    <w:rsid w:val="00396061"/>
    <w:rsid w:val="00396162"/>
    <w:rsid w:val="00396457"/>
    <w:rsid w:val="00396D0A"/>
    <w:rsid w:val="0039715D"/>
    <w:rsid w:val="00397364"/>
    <w:rsid w:val="00397855"/>
    <w:rsid w:val="00397C63"/>
    <w:rsid w:val="00397D25"/>
    <w:rsid w:val="00397F2D"/>
    <w:rsid w:val="003A014A"/>
    <w:rsid w:val="003A04FB"/>
    <w:rsid w:val="003A0641"/>
    <w:rsid w:val="003A0A11"/>
    <w:rsid w:val="003A0B05"/>
    <w:rsid w:val="003A0CED"/>
    <w:rsid w:val="003A1268"/>
    <w:rsid w:val="003A1813"/>
    <w:rsid w:val="003A18E5"/>
    <w:rsid w:val="003A1CDD"/>
    <w:rsid w:val="003A1F59"/>
    <w:rsid w:val="003A1FD3"/>
    <w:rsid w:val="003A241F"/>
    <w:rsid w:val="003A26CC"/>
    <w:rsid w:val="003A28B8"/>
    <w:rsid w:val="003A2947"/>
    <w:rsid w:val="003A2CFD"/>
    <w:rsid w:val="003A2F9C"/>
    <w:rsid w:val="003A2FB5"/>
    <w:rsid w:val="003A306D"/>
    <w:rsid w:val="003A3369"/>
    <w:rsid w:val="003A34C9"/>
    <w:rsid w:val="003A3539"/>
    <w:rsid w:val="003A35BE"/>
    <w:rsid w:val="003A3B4A"/>
    <w:rsid w:val="003A3B65"/>
    <w:rsid w:val="003A4578"/>
    <w:rsid w:val="003A472F"/>
    <w:rsid w:val="003A47F4"/>
    <w:rsid w:val="003A4A5D"/>
    <w:rsid w:val="003A4AAC"/>
    <w:rsid w:val="003A4B07"/>
    <w:rsid w:val="003A5000"/>
    <w:rsid w:val="003A5597"/>
    <w:rsid w:val="003A55CC"/>
    <w:rsid w:val="003A5876"/>
    <w:rsid w:val="003A5A11"/>
    <w:rsid w:val="003A5F37"/>
    <w:rsid w:val="003A5F9D"/>
    <w:rsid w:val="003A61A2"/>
    <w:rsid w:val="003A6295"/>
    <w:rsid w:val="003A66A3"/>
    <w:rsid w:val="003A6B23"/>
    <w:rsid w:val="003A737A"/>
    <w:rsid w:val="003A7963"/>
    <w:rsid w:val="003A7AF2"/>
    <w:rsid w:val="003A7C4D"/>
    <w:rsid w:val="003A7D67"/>
    <w:rsid w:val="003B0336"/>
    <w:rsid w:val="003B03E4"/>
    <w:rsid w:val="003B0712"/>
    <w:rsid w:val="003B0F14"/>
    <w:rsid w:val="003B1021"/>
    <w:rsid w:val="003B1604"/>
    <w:rsid w:val="003B1B0D"/>
    <w:rsid w:val="003B1EB5"/>
    <w:rsid w:val="003B1FFB"/>
    <w:rsid w:val="003B21DC"/>
    <w:rsid w:val="003B251D"/>
    <w:rsid w:val="003B2606"/>
    <w:rsid w:val="003B2731"/>
    <w:rsid w:val="003B363F"/>
    <w:rsid w:val="003B3788"/>
    <w:rsid w:val="003B391A"/>
    <w:rsid w:val="003B3AAE"/>
    <w:rsid w:val="003B40AA"/>
    <w:rsid w:val="003B40C5"/>
    <w:rsid w:val="003B44DE"/>
    <w:rsid w:val="003B468E"/>
    <w:rsid w:val="003B4A57"/>
    <w:rsid w:val="003B5054"/>
    <w:rsid w:val="003B5945"/>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674"/>
    <w:rsid w:val="003B7770"/>
    <w:rsid w:val="003B79FB"/>
    <w:rsid w:val="003B7EA6"/>
    <w:rsid w:val="003B7F29"/>
    <w:rsid w:val="003C1007"/>
    <w:rsid w:val="003C115F"/>
    <w:rsid w:val="003C1194"/>
    <w:rsid w:val="003C13F0"/>
    <w:rsid w:val="003C140B"/>
    <w:rsid w:val="003C14B2"/>
    <w:rsid w:val="003C1776"/>
    <w:rsid w:val="003C1C34"/>
    <w:rsid w:val="003C227B"/>
    <w:rsid w:val="003C246D"/>
    <w:rsid w:val="003C2886"/>
    <w:rsid w:val="003C296B"/>
    <w:rsid w:val="003C29A1"/>
    <w:rsid w:val="003C29F3"/>
    <w:rsid w:val="003C2DB9"/>
    <w:rsid w:val="003C320D"/>
    <w:rsid w:val="003C32D6"/>
    <w:rsid w:val="003C3486"/>
    <w:rsid w:val="003C39FB"/>
    <w:rsid w:val="003C3B16"/>
    <w:rsid w:val="003C3CA0"/>
    <w:rsid w:val="003C3DDA"/>
    <w:rsid w:val="003C3E5C"/>
    <w:rsid w:val="003C452E"/>
    <w:rsid w:val="003C462E"/>
    <w:rsid w:val="003C46B0"/>
    <w:rsid w:val="003C470B"/>
    <w:rsid w:val="003C479E"/>
    <w:rsid w:val="003C4A3D"/>
    <w:rsid w:val="003C4CEA"/>
    <w:rsid w:val="003C4DA0"/>
    <w:rsid w:val="003C4F9E"/>
    <w:rsid w:val="003C505C"/>
    <w:rsid w:val="003C52E5"/>
    <w:rsid w:val="003C5377"/>
    <w:rsid w:val="003C5712"/>
    <w:rsid w:val="003C57B9"/>
    <w:rsid w:val="003C590C"/>
    <w:rsid w:val="003C59FD"/>
    <w:rsid w:val="003C5CB6"/>
    <w:rsid w:val="003C5D1A"/>
    <w:rsid w:val="003C678B"/>
    <w:rsid w:val="003C6869"/>
    <w:rsid w:val="003C68A6"/>
    <w:rsid w:val="003C6DC0"/>
    <w:rsid w:val="003C6F8F"/>
    <w:rsid w:val="003C7040"/>
    <w:rsid w:val="003C705F"/>
    <w:rsid w:val="003C70D0"/>
    <w:rsid w:val="003C7404"/>
    <w:rsid w:val="003C75BA"/>
    <w:rsid w:val="003C7EFB"/>
    <w:rsid w:val="003D0065"/>
    <w:rsid w:val="003D0141"/>
    <w:rsid w:val="003D0444"/>
    <w:rsid w:val="003D04AA"/>
    <w:rsid w:val="003D04EA"/>
    <w:rsid w:val="003D055D"/>
    <w:rsid w:val="003D0611"/>
    <w:rsid w:val="003D06DC"/>
    <w:rsid w:val="003D0B5D"/>
    <w:rsid w:val="003D0D32"/>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911"/>
    <w:rsid w:val="003D4912"/>
    <w:rsid w:val="003D4A84"/>
    <w:rsid w:val="003D4BCC"/>
    <w:rsid w:val="003D4E67"/>
    <w:rsid w:val="003D51C0"/>
    <w:rsid w:val="003D583F"/>
    <w:rsid w:val="003D5F68"/>
    <w:rsid w:val="003D6D09"/>
    <w:rsid w:val="003D7274"/>
    <w:rsid w:val="003D738F"/>
    <w:rsid w:val="003D7461"/>
    <w:rsid w:val="003D748D"/>
    <w:rsid w:val="003D7778"/>
    <w:rsid w:val="003D790E"/>
    <w:rsid w:val="003D7B9E"/>
    <w:rsid w:val="003D7D69"/>
    <w:rsid w:val="003E0026"/>
    <w:rsid w:val="003E03F9"/>
    <w:rsid w:val="003E0613"/>
    <w:rsid w:val="003E07B7"/>
    <w:rsid w:val="003E0BD9"/>
    <w:rsid w:val="003E0E7B"/>
    <w:rsid w:val="003E10D3"/>
    <w:rsid w:val="003E1313"/>
    <w:rsid w:val="003E16B6"/>
    <w:rsid w:val="003E17C6"/>
    <w:rsid w:val="003E1874"/>
    <w:rsid w:val="003E1B1C"/>
    <w:rsid w:val="003E1E2F"/>
    <w:rsid w:val="003E1F9E"/>
    <w:rsid w:val="003E20A6"/>
    <w:rsid w:val="003E228A"/>
    <w:rsid w:val="003E2966"/>
    <w:rsid w:val="003E316D"/>
    <w:rsid w:val="003E3214"/>
    <w:rsid w:val="003E322E"/>
    <w:rsid w:val="003E3769"/>
    <w:rsid w:val="003E37BD"/>
    <w:rsid w:val="003E3FAC"/>
    <w:rsid w:val="003E425A"/>
    <w:rsid w:val="003E48FE"/>
    <w:rsid w:val="003E4CAC"/>
    <w:rsid w:val="003E5172"/>
    <w:rsid w:val="003E5188"/>
    <w:rsid w:val="003E54CA"/>
    <w:rsid w:val="003E557A"/>
    <w:rsid w:val="003E5717"/>
    <w:rsid w:val="003E5A44"/>
    <w:rsid w:val="003E5DB7"/>
    <w:rsid w:val="003E6B7F"/>
    <w:rsid w:val="003E6EDA"/>
    <w:rsid w:val="003E6EE1"/>
    <w:rsid w:val="003E6FF9"/>
    <w:rsid w:val="003E7134"/>
    <w:rsid w:val="003E723E"/>
    <w:rsid w:val="003E7674"/>
    <w:rsid w:val="003E7685"/>
    <w:rsid w:val="003E7834"/>
    <w:rsid w:val="003E7902"/>
    <w:rsid w:val="003E7A7C"/>
    <w:rsid w:val="003E7AB5"/>
    <w:rsid w:val="003E7B37"/>
    <w:rsid w:val="003F0479"/>
    <w:rsid w:val="003F0633"/>
    <w:rsid w:val="003F08AC"/>
    <w:rsid w:val="003F08EC"/>
    <w:rsid w:val="003F0A30"/>
    <w:rsid w:val="003F0B2E"/>
    <w:rsid w:val="003F0F94"/>
    <w:rsid w:val="003F1242"/>
    <w:rsid w:val="003F12BC"/>
    <w:rsid w:val="003F12E1"/>
    <w:rsid w:val="003F135E"/>
    <w:rsid w:val="003F1581"/>
    <w:rsid w:val="003F1659"/>
    <w:rsid w:val="003F17A9"/>
    <w:rsid w:val="003F1A63"/>
    <w:rsid w:val="003F1B20"/>
    <w:rsid w:val="003F1B3F"/>
    <w:rsid w:val="003F1C21"/>
    <w:rsid w:val="003F1C58"/>
    <w:rsid w:val="003F2141"/>
    <w:rsid w:val="003F23B1"/>
    <w:rsid w:val="003F23EF"/>
    <w:rsid w:val="003F23FD"/>
    <w:rsid w:val="003F2824"/>
    <w:rsid w:val="003F2A65"/>
    <w:rsid w:val="003F2DD2"/>
    <w:rsid w:val="003F2DE4"/>
    <w:rsid w:val="003F2E1F"/>
    <w:rsid w:val="003F31B3"/>
    <w:rsid w:val="003F31CB"/>
    <w:rsid w:val="003F3635"/>
    <w:rsid w:val="003F373F"/>
    <w:rsid w:val="003F3DDA"/>
    <w:rsid w:val="003F40F5"/>
    <w:rsid w:val="003F4118"/>
    <w:rsid w:val="003F412D"/>
    <w:rsid w:val="003F44A6"/>
    <w:rsid w:val="003F46F5"/>
    <w:rsid w:val="003F4920"/>
    <w:rsid w:val="003F4A3F"/>
    <w:rsid w:val="003F54E6"/>
    <w:rsid w:val="003F57B2"/>
    <w:rsid w:val="003F5EC9"/>
    <w:rsid w:val="003F6129"/>
    <w:rsid w:val="003F61B2"/>
    <w:rsid w:val="003F62E7"/>
    <w:rsid w:val="003F63F4"/>
    <w:rsid w:val="003F6423"/>
    <w:rsid w:val="003F6832"/>
    <w:rsid w:val="003F68DC"/>
    <w:rsid w:val="003F6926"/>
    <w:rsid w:val="003F69D2"/>
    <w:rsid w:val="003F6CF7"/>
    <w:rsid w:val="003F6D06"/>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0A6E"/>
    <w:rsid w:val="0040185B"/>
    <w:rsid w:val="00401EAF"/>
    <w:rsid w:val="004021F8"/>
    <w:rsid w:val="00402212"/>
    <w:rsid w:val="00402270"/>
    <w:rsid w:val="004023F7"/>
    <w:rsid w:val="0040256B"/>
    <w:rsid w:val="004026E6"/>
    <w:rsid w:val="00402917"/>
    <w:rsid w:val="00402DEC"/>
    <w:rsid w:val="00402F89"/>
    <w:rsid w:val="0040316C"/>
    <w:rsid w:val="0040322B"/>
    <w:rsid w:val="0040326F"/>
    <w:rsid w:val="004035B8"/>
    <w:rsid w:val="0040360A"/>
    <w:rsid w:val="00403899"/>
    <w:rsid w:val="00403AB3"/>
    <w:rsid w:val="00403C11"/>
    <w:rsid w:val="00403C92"/>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209"/>
    <w:rsid w:val="004072B8"/>
    <w:rsid w:val="004075DB"/>
    <w:rsid w:val="0040773F"/>
    <w:rsid w:val="004077C5"/>
    <w:rsid w:val="00407B31"/>
    <w:rsid w:val="00407B96"/>
    <w:rsid w:val="00407D0D"/>
    <w:rsid w:val="00407DC7"/>
    <w:rsid w:val="004102D9"/>
    <w:rsid w:val="004104E0"/>
    <w:rsid w:val="0041073C"/>
    <w:rsid w:val="004112CA"/>
    <w:rsid w:val="004115D3"/>
    <w:rsid w:val="00411604"/>
    <w:rsid w:val="004119D4"/>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47BB"/>
    <w:rsid w:val="00414FAF"/>
    <w:rsid w:val="00415487"/>
    <w:rsid w:val="00415573"/>
    <w:rsid w:val="004155A2"/>
    <w:rsid w:val="00415B1F"/>
    <w:rsid w:val="00416045"/>
    <w:rsid w:val="0041613B"/>
    <w:rsid w:val="0041657F"/>
    <w:rsid w:val="00416EC5"/>
    <w:rsid w:val="00417097"/>
    <w:rsid w:val="00417101"/>
    <w:rsid w:val="00417220"/>
    <w:rsid w:val="004172D8"/>
    <w:rsid w:val="00417893"/>
    <w:rsid w:val="004178C8"/>
    <w:rsid w:val="004179CD"/>
    <w:rsid w:val="00417C5E"/>
    <w:rsid w:val="00417EFB"/>
    <w:rsid w:val="00420137"/>
    <w:rsid w:val="00420286"/>
    <w:rsid w:val="00420414"/>
    <w:rsid w:val="004207CD"/>
    <w:rsid w:val="00420891"/>
    <w:rsid w:val="00420BCA"/>
    <w:rsid w:val="00420C54"/>
    <w:rsid w:val="0042141D"/>
    <w:rsid w:val="00421476"/>
    <w:rsid w:val="0042149E"/>
    <w:rsid w:val="004216B4"/>
    <w:rsid w:val="00421F2E"/>
    <w:rsid w:val="00422B52"/>
    <w:rsid w:val="00422B61"/>
    <w:rsid w:val="00422D1E"/>
    <w:rsid w:val="004230C2"/>
    <w:rsid w:val="00423178"/>
    <w:rsid w:val="004233FA"/>
    <w:rsid w:val="00423409"/>
    <w:rsid w:val="004234B6"/>
    <w:rsid w:val="00423619"/>
    <w:rsid w:val="00423A89"/>
    <w:rsid w:val="00423C62"/>
    <w:rsid w:val="00423D01"/>
    <w:rsid w:val="00423D2C"/>
    <w:rsid w:val="00423D6C"/>
    <w:rsid w:val="00423E82"/>
    <w:rsid w:val="00425001"/>
    <w:rsid w:val="00425022"/>
    <w:rsid w:val="00425474"/>
    <w:rsid w:val="0042560A"/>
    <w:rsid w:val="004256C1"/>
    <w:rsid w:val="00425986"/>
    <w:rsid w:val="004259CD"/>
    <w:rsid w:val="00425A30"/>
    <w:rsid w:val="00425BEF"/>
    <w:rsid w:val="00425BF3"/>
    <w:rsid w:val="00425E81"/>
    <w:rsid w:val="00425F76"/>
    <w:rsid w:val="004260E4"/>
    <w:rsid w:val="004260FA"/>
    <w:rsid w:val="00426278"/>
    <w:rsid w:val="0042680B"/>
    <w:rsid w:val="00426915"/>
    <w:rsid w:val="00426B97"/>
    <w:rsid w:val="00426BD0"/>
    <w:rsid w:val="00426DDD"/>
    <w:rsid w:val="00427393"/>
    <w:rsid w:val="00427778"/>
    <w:rsid w:val="004277AB"/>
    <w:rsid w:val="00430015"/>
    <w:rsid w:val="00430A0A"/>
    <w:rsid w:val="00430D53"/>
    <w:rsid w:val="00430DC7"/>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3344"/>
    <w:rsid w:val="004337B5"/>
    <w:rsid w:val="0043399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C28"/>
    <w:rsid w:val="00436F49"/>
    <w:rsid w:val="004371F9"/>
    <w:rsid w:val="00437320"/>
    <w:rsid w:val="004374F8"/>
    <w:rsid w:val="00437792"/>
    <w:rsid w:val="004378A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21F5"/>
    <w:rsid w:val="00442726"/>
    <w:rsid w:val="00442765"/>
    <w:rsid w:val="004427E3"/>
    <w:rsid w:val="0044295C"/>
    <w:rsid w:val="00442A21"/>
    <w:rsid w:val="00442A60"/>
    <w:rsid w:val="00442BDB"/>
    <w:rsid w:val="00442D64"/>
    <w:rsid w:val="00442EE0"/>
    <w:rsid w:val="00443FF8"/>
    <w:rsid w:val="00444191"/>
    <w:rsid w:val="00444314"/>
    <w:rsid w:val="00444396"/>
    <w:rsid w:val="00444DD7"/>
    <w:rsid w:val="00444E7F"/>
    <w:rsid w:val="00444E9A"/>
    <w:rsid w:val="00445436"/>
    <w:rsid w:val="00445461"/>
    <w:rsid w:val="0044572A"/>
    <w:rsid w:val="0044593B"/>
    <w:rsid w:val="00445B31"/>
    <w:rsid w:val="00445BC6"/>
    <w:rsid w:val="00445FCE"/>
    <w:rsid w:val="004460EE"/>
    <w:rsid w:val="00446315"/>
    <w:rsid w:val="00446549"/>
    <w:rsid w:val="00446603"/>
    <w:rsid w:val="004468A1"/>
    <w:rsid w:val="004468E0"/>
    <w:rsid w:val="00446AD2"/>
    <w:rsid w:val="00446B31"/>
    <w:rsid w:val="00446B37"/>
    <w:rsid w:val="00446BCF"/>
    <w:rsid w:val="00446DF4"/>
    <w:rsid w:val="00447555"/>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EE0"/>
    <w:rsid w:val="00452EE3"/>
    <w:rsid w:val="00452FE6"/>
    <w:rsid w:val="00453014"/>
    <w:rsid w:val="00453485"/>
    <w:rsid w:val="00453C30"/>
    <w:rsid w:val="00453CC8"/>
    <w:rsid w:val="00454085"/>
    <w:rsid w:val="00454157"/>
    <w:rsid w:val="00454519"/>
    <w:rsid w:val="00454788"/>
    <w:rsid w:val="0045481A"/>
    <w:rsid w:val="00454B7B"/>
    <w:rsid w:val="004552BD"/>
    <w:rsid w:val="004552ED"/>
    <w:rsid w:val="004554DB"/>
    <w:rsid w:val="004557FF"/>
    <w:rsid w:val="00455B3F"/>
    <w:rsid w:val="00455EB3"/>
    <w:rsid w:val="00456B8D"/>
    <w:rsid w:val="00456F98"/>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66A"/>
    <w:rsid w:val="00465728"/>
    <w:rsid w:val="00465DFB"/>
    <w:rsid w:val="00466082"/>
    <w:rsid w:val="00466112"/>
    <w:rsid w:val="00466837"/>
    <w:rsid w:val="00466E52"/>
    <w:rsid w:val="00466EED"/>
    <w:rsid w:val="00466FB4"/>
    <w:rsid w:val="0046742A"/>
    <w:rsid w:val="0046788E"/>
    <w:rsid w:val="00467A4E"/>
    <w:rsid w:val="00467BC8"/>
    <w:rsid w:val="00467CBD"/>
    <w:rsid w:val="00467D94"/>
    <w:rsid w:val="00467F16"/>
    <w:rsid w:val="004701EF"/>
    <w:rsid w:val="0047038A"/>
    <w:rsid w:val="00470630"/>
    <w:rsid w:val="00470704"/>
    <w:rsid w:val="0047074E"/>
    <w:rsid w:val="00470AB3"/>
    <w:rsid w:val="00470AE6"/>
    <w:rsid w:val="00470B9D"/>
    <w:rsid w:val="00470C38"/>
    <w:rsid w:val="00470CE9"/>
    <w:rsid w:val="00470D9C"/>
    <w:rsid w:val="00470F52"/>
    <w:rsid w:val="0047107A"/>
    <w:rsid w:val="00471184"/>
    <w:rsid w:val="00471348"/>
    <w:rsid w:val="0047135E"/>
    <w:rsid w:val="004714E1"/>
    <w:rsid w:val="0047175A"/>
    <w:rsid w:val="0047194D"/>
    <w:rsid w:val="00471DA8"/>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152"/>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DC"/>
    <w:rsid w:val="0048081E"/>
    <w:rsid w:val="00480921"/>
    <w:rsid w:val="00480938"/>
    <w:rsid w:val="0048099E"/>
    <w:rsid w:val="00480B6E"/>
    <w:rsid w:val="00480D73"/>
    <w:rsid w:val="00480D9D"/>
    <w:rsid w:val="004811D4"/>
    <w:rsid w:val="00481647"/>
    <w:rsid w:val="0048169F"/>
    <w:rsid w:val="00481791"/>
    <w:rsid w:val="004818A6"/>
    <w:rsid w:val="00481ABC"/>
    <w:rsid w:val="00481D45"/>
    <w:rsid w:val="00481EF3"/>
    <w:rsid w:val="0048271D"/>
    <w:rsid w:val="00482CF2"/>
    <w:rsid w:val="0048308B"/>
    <w:rsid w:val="00483100"/>
    <w:rsid w:val="00483153"/>
    <w:rsid w:val="004836EE"/>
    <w:rsid w:val="004838DE"/>
    <w:rsid w:val="00483A8B"/>
    <w:rsid w:val="00483DC3"/>
    <w:rsid w:val="0048408C"/>
    <w:rsid w:val="004840AB"/>
    <w:rsid w:val="004842B1"/>
    <w:rsid w:val="004842F0"/>
    <w:rsid w:val="00484308"/>
    <w:rsid w:val="00484830"/>
    <w:rsid w:val="00484F68"/>
    <w:rsid w:val="00485207"/>
    <w:rsid w:val="004852FB"/>
    <w:rsid w:val="00485402"/>
    <w:rsid w:val="004859B4"/>
    <w:rsid w:val="00485BE5"/>
    <w:rsid w:val="00485C9E"/>
    <w:rsid w:val="00485CA4"/>
    <w:rsid w:val="0048609D"/>
    <w:rsid w:val="004861D3"/>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1166"/>
    <w:rsid w:val="0049138E"/>
    <w:rsid w:val="00491450"/>
    <w:rsid w:val="0049149F"/>
    <w:rsid w:val="00491B42"/>
    <w:rsid w:val="00491C81"/>
    <w:rsid w:val="00491CCF"/>
    <w:rsid w:val="00491FC5"/>
    <w:rsid w:val="00492A08"/>
    <w:rsid w:val="00492A92"/>
    <w:rsid w:val="00492BB6"/>
    <w:rsid w:val="00492F22"/>
    <w:rsid w:val="00492F62"/>
    <w:rsid w:val="004931A4"/>
    <w:rsid w:val="00493379"/>
    <w:rsid w:val="00493498"/>
    <w:rsid w:val="004934EE"/>
    <w:rsid w:val="004935E9"/>
    <w:rsid w:val="004936C1"/>
    <w:rsid w:val="0049379E"/>
    <w:rsid w:val="004945E4"/>
    <w:rsid w:val="0049465C"/>
    <w:rsid w:val="00494862"/>
    <w:rsid w:val="004948E2"/>
    <w:rsid w:val="0049493B"/>
    <w:rsid w:val="00494A5A"/>
    <w:rsid w:val="00494BFD"/>
    <w:rsid w:val="00494DB0"/>
    <w:rsid w:val="004950EF"/>
    <w:rsid w:val="0049524F"/>
    <w:rsid w:val="004954B8"/>
    <w:rsid w:val="00495815"/>
    <w:rsid w:val="00495A47"/>
    <w:rsid w:val="00495D7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648"/>
    <w:rsid w:val="004A0659"/>
    <w:rsid w:val="004A07F7"/>
    <w:rsid w:val="004A0D31"/>
    <w:rsid w:val="004A0E95"/>
    <w:rsid w:val="004A0FFB"/>
    <w:rsid w:val="004A14D3"/>
    <w:rsid w:val="004A1534"/>
    <w:rsid w:val="004A16CF"/>
    <w:rsid w:val="004A1889"/>
    <w:rsid w:val="004A1C2F"/>
    <w:rsid w:val="004A1CF9"/>
    <w:rsid w:val="004A2069"/>
    <w:rsid w:val="004A2179"/>
    <w:rsid w:val="004A23F0"/>
    <w:rsid w:val="004A26E2"/>
    <w:rsid w:val="004A2DD7"/>
    <w:rsid w:val="004A2E2D"/>
    <w:rsid w:val="004A2EA3"/>
    <w:rsid w:val="004A2FAB"/>
    <w:rsid w:val="004A3126"/>
    <w:rsid w:val="004A3698"/>
    <w:rsid w:val="004A41E4"/>
    <w:rsid w:val="004A42EC"/>
    <w:rsid w:val="004A486C"/>
    <w:rsid w:val="004A4CFF"/>
    <w:rsid w:val="004A4F1E"/>
    <w:rsid w:val="004A51FE"/>
    <w:rsid w:val="004A5AA0"/>
    <w:rsid w:val="004A5D48"/>
    <w:rsid w:val="004A617E"/>
    <w:rsid w:val="004A61B9"/>
    <w:rsid w:val="004A61D8"/>
    <w:rsid w:val="004A62AF"/>
    <w:rsid w:val="004A6761"/>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88"/>
    <w:rsid w:val="004B711E"/>
    <w:rsid w:val="004B71E9"/>
    <w:rsid w:val="004B727C"/>
    <w:rsid w:val="004B73FB"/>
    <w:rsid w:val="004B7641"/>
    <w:rsid w:val="004B7668"/>
    <w:rsid w:val="004B7A02"/>
    <w:rsid w:val="004B7AA3"/>
    <w:rsid w:val="004B7BF1"/>
    <w:rsid w:val="004B7E0F"/>
    <w:rsid w:val="004C0413"/>
    <w:rsid w:val="004C051A"/>
    <w:rsid w:val="004C07C1"/>
    <w:rsid w:val="004C08A1"/>
    <w:rsid w:val="004C0C90"/>
    <w:rsid w:val="004C0E6C"/>
    <w:rsid w:val="004C103E"/>
    <w:rsid w:val="004C157F"/>
    <w:rsid w:val="004C1809"/>
    <w:rsid w:val="004C1999"/>
    <w:rsid w:val="004C1A8B"/>
    <w:rsid w:val="004C1B5F"/>
    <w:rsid w:val="004C1E4B"/>
    <w:rsid w:val="004C1EE4"/>
    <w:rsid w:val="004C20C0"/>
    <w:rsid w:val="004C215D"/>
    <w:rsid w:val="004C2277"/>
    <w:rsid w:val="004C2534"/>
    <w:rsid w:val="004C2EF7"/>
    <w:rsid w:val="004C2F55"/>
    <w:rsid w:val="004C2FC8"/>
    <w:rsid w:val="004C323D"/>
    <w:rsid w:val="004C33AE"/>
    <w:rsid w:val="004C3D42"/>
    <w:rsid w:val="004C3D96"/>
    <w:rsid w:val="004C40B0"/>
    <w:rsid w:val="004C453D"/>
    <w:rsid w:val="004C4A10"/>
    <w:rsid w:val="004C4A68"/>
    <w:rsid w:val="004C566D"/>
    <w:rsid w:val="004C589D"/>
    <w:rsid w:val="004C5DBB"/>
    <w:rsid w:val="004C6184"/>
    <w:rsid w:val="004C61D9"/>
    <w:rsid w:val="004C6325"/>
    <w:rsid w:val="004C63BF"/>
    <w:rsid w:val="004C6495"/>
    <w:rsid w:val="004C64A1"/>
    <w:rsid w:val="004C6933"/>
    <w:rsid w:val="004C6A00"/>
    <w:rsid w:val="004C75E6"/>
    <w:rsid w:val="004C78C9"/>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CBF"/>
    <w:rsid w:val="004D508A"/>
    <w:rsid w:val="004D52F4"/>
    <w:rsid w:val="004D5676"/>
    <w:rsid w:val="004D6A08"/>
    <w:rsid w:val="004D6E39"/>
    <w:rsid w:val="004D6FA5"/>
    <w:rsid w:val="004D7363"/>
    <w:rsid w:val="004D73E3"/>
    <w:rsid w:val="004D7973"/>
    <w:rsid w:val="004D7EFC"/>
    <w:rsid w:val="004D7F20"/>
    <w:rsid w:val="004E00FD"/>
    <w:rsid w:val="004E01B6"/>
    <w:rsid w:val="004E0244"/>
    <w:rsid w:val="004E03AB"/>
    <w:rsid w:val="004E077D"/>
    <w:rsid w:val="004E07A8"/>
    <w:rsid w:val="004E09EF"/>
    <w:rsid w:val="004E0D02"/>
    <w:rsid w:val="004E135C"/>
    <w:rsid w:val="004E13B4"/>
    <w:rsid w:val="004E1437"/>
    <w:rsid w:val="004E1D7E"/>
    <w:rsid w:val="004E243F"/>
    <w:rsid w:val="004E2A81"/>
    <w:rsid w:val="004E2A8F"/>
    <w:rsid w:val="004E2B47"/>
    <w:rsid w:val="004E2D25"/>
    <w:rsid w:val="004E3031"/>
    <w:rsid w:val="004E30D4"/>
    <w:rsid w:val="004E325E"/>
    <w:rsid w:val="004E32DE"/>
    <w:rsid w:val="004E37B6"/>
    <w:rsid w:val="004E3B96"/>
    <w:rsid w:val="004E3DF8"/>
    <w:rsid w:val="004E3F17"/>
    <w:rsid w:val="004E402E"/>
    <w:rsid w:val="004E407A"/>
    <w:rsid w:val="004E4AEB"/>
    <w:rsid w:val="004E4C4D"/>
    <w:rsid w:val="004E4DDB"/>
    <w:rsid w:val="004E5A5C"/>
    <w:rsid w:val="004E5E83"/>
    <w:rsid w:val="004E626E"/>
    <w:rsid w:val="004E6415"/>
    <w:rsid w:val="004E6500"/>
    <w:rsid w:val="004E68EF"/>
    <w:rsid w:val="004E6A0F"/>
    <w:rsid w:val="004E6BBD"/>
    <w:rsid w:val="004E6E39"/>
    <w:rsid w:val="004E7247"/>
    <w:rsid w:val="004E73C1"/>
    <w:rsid w:val="004E7612"/>
    <w:rsid w:val="004E7669"/>
    <w:rsid w:val="004E78D4"/>
    <w:rsid w:val="004E7AB5"/>
    <w:rsid w:val="004E7BE1"/>
    <w:rsid w:val="004E7C5C"/>
    <w:rsid w:val="004E7DA4"/>
    <w:rsid w:val="004E7E2A"/>
    <w:rsid w:val="004E7EF9"/>
    <w:rsid w:val="004F00C0"/>
    <w:rsid w:val="004F01A3"/>
    <w:rsid w:val="004F01C3"/>
    <w:rsid w:val="004F0848"/>
    <w:rsid w:val="004F0B1F"/>
    <w:rsid w:val="004F0D31"/>
    <w:rsid w:val="004F0E03"/>
    <w:rsid w:val="004F0FEC"/>
    <w:rsid w:val="004F11C2"/>
    <w:rsid w:val="004F137B"/>
    <w:rsid w:val="004F13C5"/>
    <w:rsid w:val="004F147D"/>
    <w:rsid w:val="004F14A9"/>
    <w:rsid w:val="004F169A"/>
    <w:rsid w:val="004F17AE"/>
    <w:rsid w:val="004F197F"/>
    <w:rsid w:val="004F1C01"/>
    <w:rsid w:val="004F1F7F"/>
    <w:rsid w:val="004F20CF"/>
    <w:rsid w:val="004F2165"/>
    <w:rsid w:val="004F2242"/>
    <w:rsid w:val="004F2499"/>
    <w:rsid w:val="004F24FB"/>
    <w:rsid w:val="004F25C1"/>
    <w:rsid w:val="004F2617"/>
    <w:rsid w:val="004F283D"/>
    <w:rsid w:val="004F2CD0"/>
    <w:rsid w:val="004F2D39"/>
    <w:rsid w:val="004F2EC0"/>
    <w:rsid w:val="004F3042"/>
    <w:rsid w:val="004F3550"/>
    <w:rsid w:val="004F35E5"/>
    <w:rsid w:val="004F3886"/>
    <w:rsid w:val="004F3C8A"/>
    <w:rsid w:val="004F3F9A"/>
    <w:rsid w:val="004F47AC"/>
    <w:rsid w:val="004F4BFC"/>
    <w:rsid w:val="004F4E38"/>
    <w:rsid w:val="004F544B"/>
    <w:rsid w:val="004F55A6"/>
    <w:rsid w:val="004F57FF"/>
    <w:rsid w:val="004F5852"/>
    <w:rsid w:val="004F58B1"/>
    <w:rsid w:val="004F5B5B"/>
    <w:rsid w:val="004F5CEA"/>
    <w:rsid w:val="004F5DE7"/>
    <w:rsid w:val="004F5F74"/>
    <w:rsid w:val="004F63BC"/>
    <w:rsid w:val="004F6729"/>
    <w:rsid w:val="004F6A08"/>
    <w:rsid w:val="004F6A1E"/>
    <w:rsid w:val="004F6C67"/>
    <w:rsid w:val="004F755C"/>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D5A"/>
    <w:rsid w:val="005031DD"/>
    <w:rsid w:val="00503283"/>
    <w:rsid w:val="00503323"/>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4E4"/>
    <w:rsid w:val="0050781D"/>
    <w:rsid w:val="00507D76"/>
    <w:rsid w:val="00510228"/>
    <w:rsid w:val="005103BA"/>
    <w:rsid w:val="00510400"/>
    <w:rsid w:val="005105D6"/>
    <w:rsid w:val="0051089E"/>
    <w:rsid w:val="00510953"/>
    <w:rsid w:val="00510ADE"/>
    <w:rsid w:val="00510BBD"/>
    <w:rsid w:val="00510ED2"/>
    <w:rsid w:val="0051105D"/>
    <w:rsid w:val="0051164E"/>
    <w:rsid w:val="00511B26"/>
    <w:rsid w:val="00511CC9"/>
    <w:rsid w:val="00511D5B"/>
    <w:rsid w:val="00511D8A"/>
    <w:rsid w:val="0051269A"/>
    <w:rsid w:val="005128B9"/>
    <w:rsid w:val="00512E9F"/>
    <w:rsid w:val="00512FB1"/>
    <w:rsid w:val="0051300A"/>
    <w:rsid w:val="00513030"/>
    <w:rsid w:val="00513465"/>
    <w:rsid w:val="00513774"/>
    <w:rsid w:val="00513827"/>
    <w:rsid w:val="005139C6"/>
    <w:rsid w:val="00513BDD"/>
    <w:rsid w:val="00513CB6"/>
    <w:rsid w:val="00513D5B"/>
    <w:rsid w:val="00513ED2"/>
    <w:rsid w:val="0051401A"/>
    <w:rsid w:val="00514157"/>
    <w:rsid w:val="005141F3"/>
    <w:rsid w:val="0051465B"/>
    <w:rsid w:val="00514780"/>
    <w:rsid w:val="00514792"/>
    <w:rsid w:val="00514D33"/>
    <w:rsid w:val="005157B1"/>
    <w:rsid w:val="00515B83"/>
    <w:rsid w:val="00516547"/>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BBA"/>
    <w:rsid w:val="00520BF4"/>
    <w:rsid w:val="00521090"/>
    <w:rsid w:val="005212EF"/>
    <w:rsid w:val="005216FA"/>
    <w:rsid w:val="0052176B"/>
    <w:rsid w:val="00521AD7"/>
    <w:rsid w:val="00521D10"/>
    <w:rsid w:val="005223EE"/>
    <w:rsid w:val="00522605"/>
    <w:rsid w:val="0052266E"/>
    <w:rsid w:val="00522674"/>
    <w:rsid w:val="005229C0"/>
    <w:rsid w:val="00522A0A"/>
    <w:rsid w:val="00522B26"/>
    <w:rsid w:val="00522E0D"/>
    <w:rsid w:val="005232A7"/>
    <w:rsid w:val="0052333A"/>
    <w:rsid w:val="005234C3"/>
    <w:rsid w:val="005234F2"/>
    <w:rsid w:val="0052406E"/>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C77"/>
    <w:rsid w:val="00531E4B"/>
    <w:rsid w:val="00531E59"/>
    <w:rsid w:val="00531EB6"/>
    <w:rsid w:val="00531ECB"/>
    <w:rsid w:val="0053214B"/>
    <w:rsid w:val="00532422"/>
    <w:rsid w:val="005324E1"/>
    <w:rsid w:val="005331D5"/>
    <w:rsid w:val="00533556"/>
    <w:rsid w:val="005335A5"/>
    <w:rsid w:val="005335BE"/>
    <w:rsid w:val="005339DE"/>
    <w:rsid w:val="00533A2F"/>
    <w:rsid w:val="00533C4D"/>
    <w:rsid w:val="00533C66"/>
    <w:rsid w:val="00533CE3"/>
    <w:rsid w:val="0053433E"/>
    <w:rsid w:val="00534343"/>
    <w:rsid w:val="005344B0"/>
    <w:rsid w:val="00534543"/>
    <w:rsid w:val="005345BB"/>
    <w:rsid w:val="00534688"/>
    <w:rsid w:val="0053476B"/>
    <w:rsid w:val="0053580F"/>
    <w:rsid w:val="00535AC7"/>
    <w:rsid w:val="005367E0"/>
    <w:rsid w:val="00536BC0"/>
    <w:rsid w:val="00536DF3"/>
    <w:rsid w:val="00536F97"/>
    <w:rsid w:val="00536FCC"/>
    <w:rsid w:val="005373C3"/>
    <w:rsid w:val="00537C8D"/>
    <w:rsid w:val="00537DE9"/>
    <w:rsid w:val="00537FB8"/>
    <w:rsid w:val="00540191"/>
    <w:rsid w:val="00540319"/>
    <w:rsid w:val="00540430"/>
    <w:rsid w:val="00540718"/>
    <w:rsid w:val="00540AD1"/>
    <w:rsid w:val="00540E2D"/>
    <w:rsid w:val="00541621"/>
    <w:rsid w:val="00541674"/>
    <w:rsid w:val="00541D89"/>
    <w:rsid w:val="0054200E"/>
    <w:rsid w:val="00542071"/>
    <w:rsid w:val="005422E9"/>
    <w:rsid w:val="005426FD"/>
    <w:rsid w:val="005427D5"/>
    <w:rsid w:val="00542C64"/>
    <w:rsid w:val="00542DF1"/>
    <w:rsid w:val="00542E10"/>
    <w:rsid w:val="0054320F"/>
    <w:rsid w:val="00543263"/>
    <w:rsid w:val="00543820"/>
    <w:rsid w:val="00543C21"/>
    <w:rsid w:val="00543EF2"/>
    <w:rsid w:val="00543F90"/>
    <w:rsid w:val="0054401E"/>
    <w:rsid w:val="005440E7"/>
    <w:rsid w:val="0054411F"/>
    <w:rsid w:val="00544122"/>
    <w:rsid w:val="005444E3"/>
    <w:rsid w:val="00544517"/>
    <w:rsid w:val="0054466C"/>
    <w:rsid w:val="00544823"/>
    <w:rsid w:val="0054485D"/>
    <w:rsid w:val="0054489B"/>
    <w:rsid w:val="00544C53"/>
    <w:rsid w:val="00544C6D"/>
    <w:rsid w:val="00544FA7"/>
    <w:rsid w:val="0054523A"/>
    <w:rsid w:val="00545355"/>
    <w:rsid w:val="00545392"/>
    <w:rsid w:val="005454A2"/>
    <w:rsid w:val="0054557C"/>
    <w:rsid w:val="005455F4"/>
    <w:rsid w:val="00545602"/>
    <w:rsid w:val="00545C1D"/>
    <w:rsid w:val="00545C51"/>
    <w:rsid w:val="00545CE9"/>
    <w:rsid w:val="005463D3"/>
    <w:rsid w:val="0054640D"/>
    <w:rsid w:val="00546425"/>
    <w:rsid w:val="0054654F"/>
    <w:rsid w:val="00546616"/>
    <w:rsid w:val="005469CA"/>
    <w:rsid w:val="0054703F"/>
    <w:rsid w:val="00547555"/>
    <w:rsid w:val="00547653"/>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491"/>
    <w:rsid w:val="00552496"/>
    <w:rsid w:val="00552CF7"/>
    <w:rsid w:val="00552D65"/>
    <w:rsid w:val="005534FE"/>
    <w:rsid w:val="005534FF"/>
    <w:rsid w:val="005535D8"/>
    <w:rsid w:val="0055370D"/>
    <w:rsid w:val="00553887"/>
    <w:rsid w:val="005539F9"/>
    <w:rsid w:val="00553B15"/>
    <w:rsid w:val="00553DF3"/>
    <w:rsid w:val="00553F5D"/>
    <w:rsid w:val="0055421A"/>
    <w:rsid w:val="00554380"/>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A57"/>
    <w:rsid w:val="00555B01"/>
    <w:rsid w:val="00555BF8"/>
    <w:rsid w:val="00555F74"/>
    <w:rsid w:val="00556148"/>
    <w:rsid w:val="00556309"/>
    <w:rsid w:val="0055646E"/>
    <w:rsid w:val="00556B2D"/>
    <w:rsid w:val="00556B67"/>
    <w:rsid w:val="00557210"/>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DF0"/>
    <w:rsid w:val="00561062"/>
    <w:rsid w:val="0056110A"/>
    <w:rsid w:val="00561338"/>
    <w:rsid w:val="00561395"/>
    <w:rsid w:val="005614E9"/>
    <w:rsid w:val="00561D5F"/>
    <w:rsid w:val="00562219"/>
    <w:rsid w:val="005623FF"/>
    <w:rsid w:val="00562528"/>
    <w:rsid w:val="00562AC2"/>
    <w:rsid w:val="00562B41"/>
    <w:rsid w:val="00562D16"/>
    <w:rsid w:val="00562E6F"/>
    <w:rsid w:val="00562F1B"/>
    <w:rsid w:val="0056339A"/>
    <w:rsid w:val="00563647"/>
    <w:rsid w:val="00563767"/>
    <w:rsid w:val="005638E8"/>
    <w:rsid w:val="00563A4B"/>
    <w:rsid w:val="0056406C"/>
    <w:rsid w:val="00564135"/>
    <w:rsid w:val="005644E4"/>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71E"/>
    <w:rsid w:val="0056782A"/>
    <w:rsid w:val="00567AD6"/>
    <w:rsid w:val="00567BA3"/>
    <w:rsid w:val="00567D8E"/>
    <w:rsid w:val="00570715"/>
    <w:rsid w:val="00570851"/>
    <w:rsid w:val="00570D88"/>
    <w:rsid w:val="00570E89"/>
    <w:rsid w:val="00570ED9"/>
    <w:rsid w:val="00570F99"/>
    <w:rsid w:val="005711A8"/>
    <w:rsid w:val="00571356"/>
    <w:rsid w:val="005714DB"/>
    <w:rsid w:val="005714F6"/>
    <w:rsid w:val="005715C5"/>
    <w:rsid w:val="0057161D"/>
    <w:rsid w:val="00571711"/>
    <w:rsid w:val="00571896"/>
    <w:rsid w:val="00571B6D"/>
    <w:rsid w:val="00571C57"/>
    <w:rsid w:val="0057234B"/>
    <w:rsid w:val="005727DF"/>
    <w:rsid w:val="00572998"/>
    <w:rsid w:val="00572A8C"/>
    <w:rsid w:val="00572E8E"/>
    <w:rsid w:val="00572E92"/>
    <w:rsid w:val="00572FCE"/>
    <w:rsid w:val="005735BA"/>
    <w:rsid w:val="00573725"/>
    <w:rsid w:val="00573A0F"/>
    <w:rsid w:val="00573A56"/>
    <w:rsid w:val="00573D4A"/>
    <w:rsid w:val="00574395"/>
    <w:rsid w:val="005743A2"/>
    <w:rsid w:val="00574453"/>
    <w:rsid w:val="005745D3"/>
    <w:rsid w:val="005746F1"/>
    <w:rsid w:val="005749D3"/>
    <w:rsid w:val="005749D9"/>
    <w:rsid w:val="00574BA5"/>
    <w:rsid w:val="00574BCE"/>
    <w:rsid w:val="00574FD8"/>
    <w:rsid w:val="00575466"/>
    <w:rsid w:val="00575549"/>
    <w:rsid w:val="00575608"/>
    <w:rsid w:val="0057579D"/>
    <w:rsid w:val="00575B1D"/>
    <w:rsid w:val="00575C25"/>
    <w:rsid w:val="00576022"/>
    <w:rsid w:val="00576052"/>
    <w:rsid w:val="005763BF"/>
    <w:rsid w:val="00576742"/>
    <w:rsid w:val="00576AFC"/>
    <w:rsid w:val="00576E10"/>
    <w:rsid w:val="00576EB9"/>
    <w:rsid w:val="00576EE8"/>
    <w:rsid w:val="00577078"/>
    <w:rsid w:val="00577B2C"/>
    <w:rsid w:val="00580314"/>
    <w:rsid w:val="00580378"/>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CB"/>
    <w:rsid w:val="00583283"/>
    <w:rsid w:val="005833F4"/>
    <w:rsid w:val="005835A1"/>
    <w:rsid w:val="0058364B"/>
    <w:rsid w:val="00583BAB"/>
    <w:rsid w:val="00583C5A"/>
    <w:rsid w:val="00583EE1"/>
    <w:rsid w:val="0058406B"/>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771"/>
    <w:rsid w:val="00586880"/>
    <w:rsid w:val="00586BA9"/>
    <w:rsid w:val="00586EC9"/>
    <w:rsid w:val="00587215"/>
    <w:rsid w:val="005874BF"/>
    <w:rsid w:val="0058753A"/>
    <w:rsid w:val="00587A41"/>
    <w:rsid w:val="00587AF1"/>
    <w:rsid w:val="00587D9D"/>
    <w:rsid w:val="00587F00"/>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5ED"/>
    <w:rsid w:val="00591B21"/>
    <w:rsid w:val="00591F44"/>
    <w:rsid w:val="0059228A"/>
    <w:rsid w:val="005925D0"/>
    <w:rsid w:val="00592652"/>
    <w:rsid w:val="005929E7"/>
    <w:rsid w:val="00592CCB"/>
    <w:rsid w:val="00592D35"/>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449"/>
    <w:rsid w:val="0059657C"/>
    <w:rsid w:val="00596843"/>
    <w:rsid w:val="00596AE4"/>
    <w:rsid w:val="0059705A"/>
    <w:rsid w:val="0059769A"/>
    <w:rsid w:val="00597A27"/>
    <w:rsid w:val="00597B4F"/>
    <w:rsid w:val="00597C33"/>
    <w:rsid w:val="005A0212"/>
    <w:rsid w:val="005A046B"/>
    <w:rsid w:val="005A057E"/>
    <w:rsid w:val="005A07D3"/>
    <w:rsid w:val="005A089E"/>
    <w:rsid w:val="005A0C47"/>
    <w:rsid w:val="005A0CE0"/>
    <w:rsid w:val="005A0D24"/>
    <w:rsid w:val="005A0FA0"/>
    <w:rsid w:val="005A1B6A"/>
    <w:rsid w:val="005A230B"/>
    <w:rsid w:val="005A2592"/>
    <w:rsid w:val="005A2727"/>
    <w:rsid w:val="005A2A6B"/>
    <w:rsid w:val="005A2A99"/>
    <w:rsid w:val="005A2E9C"/>
    <w:rsid w:val="005A2F0C"/>
    <w:rsid w:val="005A3345"/>
    <w:rsid w:val="005A33FE"/>
    <w:rsid w:val="005A3631"/>
    <w:rsid w:val="005A3D7D"/>
    <w:rsid w:val="005A3DA0"/>
    <w:rsid w:val="005A3EDA"/>
    <w:rsid w:val="005A438B"/>
    <w:rsid w:val="005A45DB"/>
    <w:rsid w:val="005A486E"/>
    <w:rsid w:val="005A4D0F"/>
    <w:rsid w:val="005A4E1C"/>
    <w:rsid w:val="005A4E48"/>
    <w:rsid w:val="005A4FDD"/>
    <w:rsid w:val="005A5259"/>
    <w:rsid w:val="005A56FB"/>
    <w:rsid w:val="005A5888"/>
    <w:rsid w:val="005A593C"/>
    <w:rsid w:val="005A59E0"/>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F94"/>
    <w:rsid w:val="005B0214"/>
    <w:rsid w:val="005B02B1"/>
    <w:rsid w:val="005B02C8"/>
    <w:rsid w:val="005B0606"/>
    <w:rsid w:val="005B0886"/>
    <w:rsid w:val="005B0ADB"/>
    <w:rsid w:val="005B0C4A"/>
    <w:rsid w:val="005B0CB1"/>
    <w:rsid w:val="005B0D0B"/>
    <w:rsid w:val="005B0E0D"/>
    <w:rsid w:val="005B1064"/>
    <w:rsid w:val="005B12C7"/>
    <w:rsid w:val="005B16F7"/>
    <w:rsid w:val="005B17E8"/>
    <w:rsid w:val="005B181A"/>
    <w:rsid w:val="005B1886"/>
    <w:rsid w:val="005B1A2F"/>
    <w:rsid w:val="005B1B6B"/>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3E82"/>
    <w:rsid w:val="005B41CF"/>
    <w:rsid w:val="005B465D"/>
    <w:rsid w:val="005B47CA"/>
    <w:rsid w:val="005B49F0"/>
    <w:rsid w:val="005B4A17"/>
    <w:rsid w:val="005B4BBB"/>
    <w:rsid w:val="005B4C59"/>
    <w:rsid w:val="005B4D3E"/>
    <w:rsid w:val="005B4DD3"/>
    <w:rsid w:val="005B4E5C"/>
    <w:rsid w:val="005B55E4"/>
    <w:rsid w:val="005B5CDA"/>
    <w:rsid w:val="005B5EA5"/>
    <w:rsid w:val="005B6BF1"/>
    <w:rsid w:val="005B6C0C"/>
    <w:rsid w:val="005B6F4C"/>
    <w:rsid w:val="005B70EE"/>
    <w:rsid w:val="005B7828"/>
    <w:rsid w:val="005B79B9"/>
    <w:rsid w:val="005B7BA1"/>
    <w:rsid w:val="005B7F94"/>
    <w:rsid w:val="005C012C"/>
    <w:rsid w:val="005C0240"/>
    <w:rsid w:val="005C036F"/>
    <w:rsid w:val="005C04AA"/>
    <w:rsid w:val="005C066B"/>
    <w:rsid w:val="005C0816"/>
    <w:rsid w:val="005C0864"/>
    <w:rsid w:val="005C08A3"/>
    <w:rsid w:val="005C091C"/>
    <w:rsid w:val="005C0FF9"/>
    <w:rsid w:val="005C136C"/>
    <w:rsid w:val="005C1468"/>
    <w:rsid w:val="005C156F"/>
    <w:rsid w:val="005C172E"/>
    <w:rsid w:val="005C18A8"/>
    <w:rsid w:val="005C1A95"/>
    <w:rsid w:val="005C2655"/>
    <w:rsid w:val="005C26AF"/>
    <w:rsid w:val="005C2878"/>
    <w:rsid w:val="005C29C1"/>
    <w:rsid w:val="005C2B11"/>
    <w:rsid w:val="005C2BC6"/>
    <w:rsid w:val="005C2F42"/>
    <w:rsid w:val="005C35FD"/>
    <w:rsid w:val="005C3B2B"/>
    <w:rsid w:val="005C3C33"/>
    <w:rsid w:val="005C3C51"/>
    <w:rsid w:val="005C3EA8"/>
    <w:rsid w:val="005C3F6F"/>
    <w:rsid w:val="005C3F72"/>
    <w:rsid w:val="005C481C"/>
    <w:rsid w:val="005C4874"/>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CDE"/>
    <w:rsid w:val="005C7E5A"/>
    <w:rsid w:val="005D0105"/>
    <w:rsid w:val="005D023F"/>
    <w:rsid w:val="005D035C"/>
    <w:rsid w:val="005D0E8B"/>
    <w:rsid w:val="005D10AE"/>
    <w:rsid w:val="005D1136"/>
    <w:rsid w:val="005D14A4"/>
    <w:rsid w:val="005D16B8"/>
    <w:rsid w:val="005D174A"/>
    <w:rsid w:val="005D188B"/>
    <w:rsid w:val="005D1E08"/>
    <w:rsid w:val="005D1E4C"/>
    <w:rsid w:val="005D20DC"/>
    <w:rsid w:val="005D22AD"/>
    <w:rsid w:val="005D25AF"/>
    <w:rsid w:val="005D283A"/>
    <w:rsid w:val="005D28C9"/>
    <w:rsid w:val="005D2957"/>
    <w:rsid w:val="005D2AF3"/>
    <w:rsid w:val="005D2CC6"/>
    <w:rsid w:val="005D303A"/>
    <w:rsid w:val="005D3103"/>
    <w:rsid w:val="005D31D2"/>
    <w:rsid w:val="005D32CE"/>
    <w:rsid w:val="005D349E"/>
    <w:rsid w:val="005D349F"/>
    <w:rsid w:val="005D34BB"/>
    <w:rsid w:val="005D351D"/>
    <w:rsid w:val="005D3B06"/>
    <w:rsid w:val="005D3E1A"/>
    <w:rsid w:val="005D3F16"/>
    <w:rsid w:val="005D413A"/>
    <w:rsid w:val="005D4379"/>
    <w:rsid w:val="005D43FD"/>
    <w:rsid w:val="005D4564"/>
    <w:rsid w:val="005D47EC"/>
    <w:rsid w:val="005D48E9"/>
    <w:rsid w:val="005D4F00"/>
    <w:rsid w:val="005D4F5E"/>
    <w:rsid w:val="005D514F"/>
    <w:rsid w:val="005D54B1"/>
    <w:rsid w:val="005D54DD"/>
    <w:rsid w:val="005D562E"/>
    <w:rsid w:val="005D5641"/>
    <w:rsid w:val="005D5BEB"/>
    <w:rsid w:val="005D5E64"/>
    <w:rsid w:val="005D5F65"/>
    <w:rsid w:val="005D6244"/>
    <w:rsid w:val="005D6308"/>
    <w:rsid w:val="005D6647"/>
    <w:rsid w:val="005D6737"/>
    <w:rsid w:val="005D6B61"/>
    <w:rsid w:val="005D7506"/>
    <w:rsid w:val="005D752E"/>
    <w:rsid w:val="005D762E"/>
    <w:rsid w:val="005D767C"/>
    <w:rsid w:val="005D7756"/>
    <w:rsid w:val="005D7D64"/>
    <w:rsid w:val="005D7D68"/>
    <w:rsid w:val="005D7D98"/>
    <w:rsid w:val="005D7DEC"/>
    <w:rsid w:val="005D7E5A"/>
    <w:rsid w:val="005E00FA"/>
    <w:rsid w:val="005E0607"/>
    <w:rsid w:val="005E07B4"/>
    <w:rsid w:val="005E093A"/>
    <w:rsid w:val="005E0945"/>
    <w:rsid w:val="005E1136"/>
    <w:rsid w:val="005E113B"/>
    <w:rsid w:val="005E12FF"/>
    <w:rsid w:val="005E135B"/>
    <w:rsid w:val="005E1374"/>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24D"/>
    <w:rsid w:val="005E461F"/>
    <w:rsid w:val="005E4649"/>
    <w:rsid w:val="005E47F2"/>
    <w:rsid w:val="005E4C8C"/>
    <w:rsid w:val="005E4DD3"/>
    <w:rsid w:val="005E4E67"/>
    <w:rsid w:val="005E5227"/>
    <w:rsid w:val="005E522A"/>
    <w:rsid w:val="005E54B8"/>
    <w:rsid w:val="005E5AAA"/>
    <w:rsid w:val="005E5AB0"/>
    <w:rsid w:val="005E6075"/>
    <w:rsid w:val="005E659E"/>
    <w:rsid w:val="005E6737"/>
    <w:rsid w:val="005E6B1E"/>
    <w:rsid w:val="005E6B37"/>
    <w:rsid w:val="005E6CAE"/>
    <w:rsid w:val="005E6E80"/>
    <w:rsid w:val="005E7561"/>
    <w:rsid w:val="005E7895"/>
    <w:rsid w:val="005E7A22"/>
    <w:rsid w:val="005E7BB5"/>
    <w:rsid w:val="005E7E7D"/>
    <w:rsid w:val="005F0077"/>
    <w:rsid w:val="005F0099"/>
    <w:rsid w:val="005F0351"/>
    <w:rsid w:val="005F077C"/>
    <w:rsid w:val="005F07B3"/>
    <w:rsid w:val="005F0E19"/>
    <w:rsid w:val="005F10BD"/>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5299"/>
    <w:rsid w:val="005F52C2"/>
    <w:rsid w:val="005F5344"/>
    <w:rsid w:val="005F5397"/>
    <w:rsid w:val="005F53B3"/>
    <w:rsid w:val="005F57D7"/>
    <w:rsid w:val="005F58B1"/>
    <w:rsid w:val="005F5D88"/>
    <w:rsid w:val="005F5DA5"/>
    <w:rsid w:val="005F5F5D"/>
    <w:rsid w:val="005F60F6"/>
    <w:rsid w:val="005F635E"/>
    <w:rsid w:val="005F63CD"/>
    <w:rsid w:val="005F651A"/>
    <w:rsid w:val="005F651F"/>
    <w:rsid w:val="005F65E7"/>
    <w:rsid w:val="005F7381"/>
    <w:rsid w:val="005F75D0"/>
    <w:rsid w:val="005F7630"/>
    <w:rsid w:val="005F7C5C"/>
    <w:rsid w:val="005F7D61"/>
    <w:rsid w:val="005F7F56"/>
    <w:rsid w:val="00600528"/>
    <w:rsid w:val="006005E8"/>
    <w:rsid w:val="00600612"/>
    <w:rsid w:val="00600857"/>
    <w:rsid w:val="00600A6D"/>
    <w:rsid w:val="00600ECA"/>
    <w:rsid w:val="006010FA"/>
    <w:rsid w:val="006012BC"/>
    <w:rsid w:val="00601425"/>
    <w:rsid w:val="006015C5"/>
    <w:rsid w:val="006016A9"/>
    <w:rsid w:val="00601787"/>
    <w:rsid w:val="006017FE"/>
    <w:rsid w:val="0060203B"/>
    <w:rsid w:val="0060221A"/>
    <w:rsid w:val="0060257E"/>
    <w:rsid w:val="00602A61"/>
    <w:rsid w:val="00602FBB"/>
    <w:rsid w:val="0060314C"/>
    <w:rsid w:val="006031AC"/>
    <w:rsid w:val="00603349"/>
    <w:rsid w:val="00603501"/>
    <w:rsid w:val="0060362A"/>
    <w:rsid w:val="00603669"/>
    <w:rsid w:val="00603868"/>
    <w:rsid w:val="00603B29"/>
    <w:rsid w:val="00603C58"/>
    <w:rsid w:val="00603D76"/>
    <w:rsid w:val="0060415E"/>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F0D"/>
    <w:rsid w:val="00610FBE"/>
    <w:rsid w:val="006112A4"/>
    <w:rsid w:val="00611425"/>
    <w:rsid w:val="006114F2"/>
    <w:rsid w:val="00611815"/>
    <w:rsid w:val="00611B9B"/>
    <w:rsid w:val="00611C02"/>
    <w:rsid w:val="00611C49"/>
    <w:rsid w:val="00611CE3"/>
    <w:rsid w:val="00611F89"/>
    <w:rsid w:val="00612111"/>
    <w:rsid w:val="00612207"/>
    <w:rsid w:val="00612344"/>
    <w:rsid w:val="0061281D"/>
    <w:rsid w:val="0061288B"/>
    <w:rsid w:val="00612891"/>
    <w:rsid w:val="00612982"/>
    <w:rsid w:val="00612C42"/>
    <w:rsid w:val="00612E0B"/>
    <w:rsid w:val="00612E20"/>
    <w:rsid w:val="00612E8C"/>
    <w:rsid w:val="00612F50"/>
    <w:rsid w:val="006130DE"/>
    <w:rsid w:val="006133DC"/>
    <w:rsid w:val="0061353A"/>
    <w:rsid w:val="006135C0"/>
    <w:rsid w:val="0061380F"/>
    <w:rsid w:val="00613A18"/>
    <w:rsid w:val="00613C88"/>
    <w:rsid w:val="0061430E"/>
    <w:rsid w:val="006144BC"/>
    <w:rsid w:val="0061456B"/>
    <w:rsid w:val="0061481E"/>
    <w:rsid w:val="00614B13"/>
    <w:rsid w:val="00614C91"/>
    <w:rsid w:val="00614EFB"/>
    <w:rsid w:val="006150B3"/>
    <w:rsid w:val="006150E9"/>
    <w:rsid w:val="00615CB5"/>
    <w:rsid w:val="006161A1"/>
    <w:rsid w:val="0061643A"/>
    <w:rsid w:val="00616455"/>
    <w:rsid w:val="00616656"/>
    <w:rsid w:val="0061665C"/>
    <w:rsid w:val="00616C58"/>
    <w:rsid w:val="00616FE0"/>
    <w:rsid w:val="006170B2"/>
    <w:rsid w:val="00617699"/>
    <w:rsid w:val="00617995"/>
    <w:rsid w:val="00617B18"/>
    <w:rsid w:val="00617B92"/>
    <w:rsid w:val="0062026E"/>
    <w:rsid w:val="00620625"/>
    <w:rsid w:val="00620C7C"/>
    <w:rsid w:val="00620E35"/>
    <w:rsid w:val="00621029"/>
    <w:rsid w:val="00621328"/>
    <w:rsid w:val="00621B0C"/>
    <w:rsid w:val="00622658"/>
    <w:rsid w:val="00622738"/>
    <w:rsid w:val="00622A03"/>
    <w:rsid w:val="00622A95"/>
    <w:rsid w:val="00622F9E"/>
    <w:rsid w:val="0062305F"/>
    <w:rsid w:val="006230E0"/>
    <w:rsid w:val="006231EA"/>
    <w:rsid w:val="00623216"/>
    <w:rsid w:val="00623464"/>
    <w:rsid w:val="006236D4"/>
    <w:rsid w:val="0062396D"/>
    <w:rsid w:val="0062398C"/>
    <w:rsid w:val="006239C4"/>
    <w:rsid w:val="00623D16"/>
    <w:rsid w:val="00623DA4"/>
    <w:rsid w:val="00623E74"/>
    <w:rsid w:val="0062432E"/>
    <w:rsid w:val="006243C9"/>
    <w:rsid w:val="00624561"/>
    <w:rsid w:val="00624582"/>
    <w:rsid w:val="00624661"/>
    <w:rsid w:val="006246D0"/>
    <w:rsid w:val="00624887"/>
    <w:rsid w:val="00624CDE"/>
    <w:rsid w:val="00624E04"/>
    <w:rsid w:val="00624F2F"/>
    <w:rsid w:val="006251FC"/>
    <w:rsid w:val="0062521F"/>
    <w:rsid w:val="006256AE"/>
    <w:rsid w:val="00625AE3"/>
    <w:rsid w:val="00625B2E"/>
    <w:rsid w:val="00625F74"/>
    <w:rsid w:val="00625FFA"/>
    <w:rsid w:val="0062607F"/>
    <w:rsid w:val="00626299"/>
    <w:rsid w:val="00626AE6"/>
    <w:rsid w:val="00626C3B"/>
    <w:rsid w:val="00626C3F"/>
    <w:rsid w:val="00626E42"/>
    <w:rsid w:val="00626EDB"/>
    <w:rsid w:val="00626F50"/>
    <w:rsid w:val="006270A5"/>
    <w:rsid w:val="00627448"/>
    <w:rsid w:val="00627655"/>
    <w:rsid w:val="0062770D"/>
    <w:rsid w:val="00627D9A"/>
    <w:rsid w:val="00627FD1"/>
    <w:rsid w:val="00630033"/>
    <w:rsid w:val="00630136"/>
    <w:rsid w:val="006301E8"/>
    <w:rsid w:val="006302EC"/>
    <w:rsid w:val="006304D1"/>
    <w:rsid w:val="00630534"/>
    <w:rsid w:val="006306F5"/>
    <w:rsid w:val="006307BC"/>
    <w:rsid w:val="00630863"/>
    <w:rsid w:val="0063087B"/>
    <w:rsid w:val="00630BE2"/>
    <w:rsid w:val="00630D51"/>
    <w:rsid w:val="006310E9"/>
    <w:rsid w:val="00631359"/>
    <w:rsid w:val="0063144F"/>
    <w:rsid w:val="006315DA"/>
    <w:rsid w:val="00631638"/>
    <w:rsid w:val="0063174D"/>
    <w:rsid w:val="00631CB5"/>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8C8"/>
    <w:rsid w:val="00635A4C"/>
    <w:rsid w:val="00635FA9"/>
    <w:rsid w:val="00635FB1"/>
    <w:rsid w:val="0063606C"/>
    <w:rsid w:val="006364DC"/>
    <w:rsid w:val="00636538"/>
    <w:rsid w:val="006368ED"/>
    <w:rsid w:val="006369A6"/>
    <w:rsid w:val="00636C87"/>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E60"/>
    <w:rsid w:val="00644E94"/>
    <w:rsid w:val="006450A9"/>
    <w:rsid w:val="00645151"/>
    <w:rsid w:val="006454A4"/>
    <w:rsid w:val="00645B26"/>
    <w:rsid w:val="00645BA5"/>
    <w:rsid w:val="006462DA"/>
    <w:rsid w:val="00646594"/>
    <w:rsid w:val="0064664F"/>
    <w:rsid w:val="00646BBC"/>
    <w:rsid w:val="00646E73"/>
    <w:rsid w:val="00647230"/>
    <w:rsid w:val="006472A1"/>
    <w:rsid w:val="006472D0"/>
    <w:rsid w:val="006477D4"/>
    <w:rsid w:val="006478DF"/>
    <w:rsid w:val="006478F6"/>
    <w:rsid w:val="00647A9E"/>
    <w:rsid w:val="00647B76"/>
    <w:rsid w:val="00647C46"/>
    <w:rsid w:val="00650052"/>
    <w:rsid w:val="00650893"/>
    <w:rsid w:val="00650ACA"/>
    <w:rsid w:val="00650E40"/>
    <w:rsid w:val="00650F20"/>
    <w:rsid w:val="00651095"/>
    <w:rsid w:val="006510B5"/>
    <w:rsid w:val="006510C3"/>
    <w:rsid w:val="006512D6"/>
    <w:rsid w:val="0065180A"/>
    <w:rsid w:val="00651ADC"/>
    <w:rsid w:val="00651D7C"/>
    <w:rsid w:val="00651E9C"/>
    <w:rsid w:val="00651EFE"/>
    <w:rsid w:val="006529F3"/>
    <w:rsid w:val="00652A67"/>
    <w:rsid w:val="00652B13"/>
    <w:rsid w:val="00652DFB"/>
    <w:rsid w:val="00653191"/>
    <w:rsid w:val="0065335C"/>
    <w:rsid w:val="00653A2E"/>
    <w:rsid w:val="00653E7C"/>
    <w:rsid w:val="00654101"/>
    <w:rsid w:val="00654120"/>
    <w:rsid w:val="0065417D"/>
    <w:rsid w:val="006542C8"/>
    <w:rsid w:val="0065451F"/>
    <w:rsid w:val="00654A71"/>
    <w:rsid w:val="00654B31"/>
    <w:rsid w:val="00654E3D"/>
    <w:rsid w:val="00654EB4"/>
    <w:rsid w:val="00655073"/>
    <w:rsid w:val="00655274"/>
    <w:rsid w:val="006553C2"/>
    <w:rsid w:val="00655424"/>
    <w:rsid w:val="006554F4"/>
    <w:rsid w:val="00655ADB"/>
    <w:rsid w:val="00656233"/>
    <w:rsid w:val="0065656C"/>
    <w:rsid w:val="0065656D"/>
    <w:rsid w:val="0065661C"/>
    <w:rsid w:val="006566A2"/>
    <w:rsid w:val="006569AA"/>
    <w:rsid w:val="00656B41"/>
    <w:rsid w:val="00656DB2"/>
    <w:rsid w:val="00657291"/>
    <w:rsid w:val="00657630"/>
    <w:rsid w:val="006578B6"/>
    <w:rsid w:val="00657981"/>
    <w:rsid w:val="00657CB6"/>
    <w:rsid w:val="00657E8E"/>
    <w:rsid w:val="00657EBA"/>
    <w:rsid w:val="0066002F"/>
    <w:rsid w:val="00660680"/>
    <w:rsid w:val="006607C4"/>
    <w:rsid w:val="00660962"/>
    <w:rsid w:val="00660988"/>
    <w:rsid w:val="00660B90"/>
    <w:rsid w:val="00660BB7"/>
    <w:rsid w:val="00660CFA"/>
    <w:rsid w:val="00660FD5"/>
    <w:rsid w:val="00661065"/>
    <w:rsid w:val="00661226"/>
    <w:rsid w:val="006624D2"/>
    <w:rsid w:val="0066288B"/>
    <w:rsid w:val="00662E74"/>
    <w:rsid w:val="00663217"/>
    <w:rsid w:val="006633E9"/>
    <w:rsid w:val="0066350B"/>
    <w:rsid w:val="00663605"/>
    <w:rsid w:val="00663696"/>
    <w:rsid w:val="006639A3"/>
    <w:rsid w:val="00663CCC"/>
    <w:rsid w:val="00663CE6"/>
    <w:rsid w:val="00663FD9"/>
    <w:rsid w:val="006642A4"/>
    <w:rsid w:val="006643E9"/>
    <w:rsid w:val="00664520"/>
    <w:rsid w:val="00664541"/>
    <w:rsid w:val="006648F0"/>
    <w:rsid w:val="0066530C"/>
    <w:rsid w:val="006655A9"/>
    <w:rsid w:val="00665B3B"/>
    <w:rsid w:val="00665D8A"/>
    <w:rsid w:val="00665E77"/>
    <w:rsid w:val="0066628E"/>
    <w:rsid w:val="006662D8"/>
    <w:rsid w:val="0066672C"/>
    <w:rsid w:val="0066678E"/>
    <w:rsid w:val="00666AE4"/>
    <w:rsid w:val="00666B0B"/>
    <w:rsid w:val="00666EAB"/>
    <w:rsid w:val="006672B7"/>
    <w:rsid w:val="006674F2"/>
    <w:rsid w:val="00667843"/>
    <w:rsid w:val="00667926"/>
    <w:rsid w:val="00667B00"/>
    <w:rsid w:val="00667DFC"/>
    <w:rsid w:val="00667FC0"/>
    <w:rsid w:val="006702F1"/>
    <w:rsid w:val="006706BE"/>
    <w:rsid w:val="00670842"/>
    <w:rsid w:val="00670A47"/>
    <w:rsid w:val="00670ADC"/>
    <w:rsid w:val="00670D7E"/>
    <w:rsid w:val="0067101B"/>
    <w:rsid w:val="0067103C"/>
    <w:rsid w:val="00671598"/>
    <w:rsid w:val="006717B9"/>
    <w:rsid w:val="00672093"/>
    <w:rsid w:val="00672631"/>
    <w:rsid w:val="006726E6"/>
    <w:rsid w:val="00672982"/>
    <w:rsid w:val="006729D9"/>
    <w:rsid w:val="00672BB4"/>
    <w:rsid w:val="00672D88"/>
    <w:rsid w:val="00673009"/>
    <w:rsid w:val="006734C4"/>
    <w:rsid w:val="00673657"/>
    <w:rsid w:val="00673E55"/>
    <w:rsid w:val="00673F69"/>
    <w:rsid w:val="006747CF"/>
    <w:rsid w:val="0067482B"/>
    <w:rsid w:val="006748C3"/>
    <w:rsid w:val="00674DDB"/>
    <w:rsid w:val="00674F1C"/>
    <w:rsid w:val="00674F32"/>
    <w:rsid w:val="006753F0"/>
    <w:rsid w:val="006759DF"/>
    <w:rsid w:val="00675A55"/>
    <w:rsid w:val="00675D65"/>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71B0"/>
    <w:rsid w:val="00677290"/>
    <w:rsid w:val="00677691"/>
    <w:rsid w:val="00677C8C"/>
    <w:rsid w:val="006801B8"/>
    <w:rsid w:val="006803BD"/>
    <w:rsid w:val="006803C0"/>
    <w:rsid w:val="00680546"/>
    <w:rsid w:val="00680666"/>
    <w:rsid w:val="0068083D"/>
    <w:rsid w:val="00680B04"/>
    <w:rsid w:val="00680B81"/>
    <w:rsid w:val="00680CD6"/>
    <w:rsid w:val="00680EB3"/>
    <w:rsid w:val="006810E1"/>
    <w:rsid w:val="0068146E"/>
    <w:rsid w:val="006816D7"/>
    <w:rsid w:val="00681B0B"/>
    <w:rsid w:val="00681BDD"/>
    <w:rsid w:val="00681FF4"/>
    <w:rsid w:val="0068209F"/>
    <w:rsid w:val="006824BC"/>
    <w:rsid w:val="00682BC0"/>
    <w:rsid w:val="00682CF0"/>
    <w:rsid w:val="00682DC8"/>
    <w:rsid w:val="00682E2F"/>
    <w:rsid w:val="00682F2E"/>
    <w:rsid w:val="00682FCC"/>
    <w:rsid w:val="006834B0"/>
    <w:rsid w:val="00683600"/>
    <w:rsid w:val="00683997"/>
    <w:rsid w:val="0068399F"/>
    <w:rsid w:val="00683AB6"/>
    <w:rsid w:val="00683D80"/>
    <w:rsid w:val="00683E74"/>
    <w:rsid w:val="00683EA6"/>
    <w:rsid w:val="00683F0C"/>
    <w:rsid w:val="00683F5C"/>
    <w:rsid w:val="00684495"/>
    <w:rsid w:val="006844F8"/>
    <w:rsid w:val="00684544"/>
    <w:rsid w:val="0068468B"/>
    <w:rsid w:val="006854BA"/>
    <w:rsid w:val="0068571D"/>
    <w:rsid w:val="00685E98"/>
    <w:rsid w:val="00686644"/>
    <w:rsid w:val="00686682"/>
    <w:rsid w:val="0068687C"/>
    <w:rsid w:val="0068699E"/>
    <w:rsid w:val="006869CE"/>
    <w:rsid w:val="00686AB2"/>
    <w:rsid w:val="00686B8D"/>
    <w:rsid w:val="00686E35"/>
    <w:rsid w:val="0068733F"/>
    <w:rsid w:val="00687473"/>
    <w:rsid w:val="006874C4"/>
    <w:rsid w:val="00687585"/>
    <w:rsid w:val="00687645"/>
    <w:rsid w:val="0068788F"/>
    <w:rsid w:val="006905FA"/>
    <w:rsid w:val="006908EF"/>
    <w:rsid w:val="006908F3"/>
    <w:rsid w:val="00690ACB"/>
    <w:rsid w:val="00690AF9"/>
    <w:rsid w:val="00690B02"/>
    <w:rsid w:val="00690B6D"/>
    <w:rsid w:val="006910EE"/>
    <w:rsid w:val="006912BA"/>
    <w:rsid w:val="00691DE3"/>
    <w:rsid w:val="00692149"/>
    <w:rsid w:val="006923C4"/>
    <w:rsid w:val="00692ADA"/>
    <w:rsid w:val="00693366"/>
    <w:rsid w:val="006936A0"/>
    <w:rsid w:val="00693832"/>
    <w:rsid w:val="00693A06"/>
    <w:rsid w:val="00693A7F"/>
    <w:rsid w:val="00693D73"/>
    <w:rsid w:val="00693E10"/>
    <w:rsid w:val="0069410D"/>
    <w:rsid w:val="0069430D"/>
    <w:rsid w:val="00694534"/>
    <w:rsid w:val="006945EF"/>
    <w:rsid w:val="00694795"/>
    <w:rsid w:val="006947DA"/>
    <w:rsid w:val="00694890"/>
    <w:rsid w:val="006948A2"/>
    <w:rsid w:val="00694930"/>
    <w:rsid w:val="00694BA6"/>
    <w:rsid w:val="00694F87"/>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B51"/>
    <w:rsid w:val="00697F93"/>
    <w:rsid w:val="00697FD1"/>
    <w:rsid w:val="006A0147"/>
    <w:rsid w:val="006A01F7"/>
    <w:rsid w:val="006A06A8"/>
    <w:rsid w:val="006A0747"/>
    <w:rsid w:val="006A0748"/>
    <w:rsid w:val="006A0755"/>
    <w:rsid w:val="006A07C4"/>
    <w:rsid w:val="006A09CB"/>
    <w:rsid w:val="006A0B70"/>
    <w:rsid w:val="006A0DD3"/>
    <w:rsid w:val="006A0F4E"/>
    <w:rsid w:val="006A155F"/>
    <w:rsid w:val="006A158A"/>
    <w:rsid w:val="006A1915"/>
    <w:rsid w:val="006A1B12"/>
    <w:rsid w:val="006A1B8C"/>
    <w:rsid w:val="006A1BAA"/>
    <w:rsid w:val="006A1E58"/>
    <w:rsid w:val="006A1F22"/>
    <w:rsid w:val="006A22A4"/>
    <w:rsid w:val="006A22AE"/>
    <w:rsid w:val="006A25D0"/>
    <w:rsid w:val="006A27BD"/>
    <w:rsid w:val="006A27C8"/>
    <w:rsid w:val="006A2A18"/>
    <w:rsid w:val="006A2EEC"/>
    <w:rsid w:val="006A300B"/>
    <w:rsid w:val="006A3038"/>
    <w:rsid w:val="006A366F"/>
    <w:rsid w:val="006A3849"/>
    <w:rsid w:val="006A3973"/>
    <w:rsid w:val="006A3CE2"/>
    <w:rsid w:val="006A3D9F"/>
    <w:rsid w:val="006A42A0"/>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F8A"/>
    <w:rsid w:val="006B03DB"/>
    <w:rsid w:val="006B0984"/>
    <w:rsid w:val="006B0D83"/>
    <w:rsid w:val="006B13F1"/>
    <w:rsid w:val="006B1495"/>
    <w:rsid w:val="006B18B8"/>
    <w:rsid w:val="006B1964"/>
    <w:rsid w:val="006B1E51"/>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B53"/>
    <w:rsid w:val="006B3D6D"/>
    <w:rsid w:val="006B41EF"/>
    <w:rsid w:val="006B4205"/>
    <w:rsid w:val="006B4228"/>
    <w:rsid w:val="006B434E"/>
    <w:rsid w:val="006B46BB"/>
    <w:rsid w:val="006B4A97"/>
    <w:rsid w:val="006B4B2C"/>
    <w:rsid w:val="006B4DCD"/>
    <w:rsid w:val="006B501E"/>
    <w:rsid w:val="006B5270"/>
    <w:rsid w:val="006B5A5E"/>
    <w:rsid w:val="006B5DBB"/>
    <w:rsid w:val="006B6023"/>
    <w:rsid w:val="006B60E6"/>
    <w:rsid w:val="006B63A8"/>
    <w:rsid w:val="006B6498"/>
    <w:rsid w:val="006B6854"/>
    <w:rsid w:val="006B7112"/>
    <w:rsid w:val="006B7353"/>
    <w:rsid w:val="006B7365"/>
    <w:rsid w:val="006B7376"/>
    <w:rsid w:val="006B775B"/>
    <w:rsid w:val="006B79CF"/>
    <w:rsid w:val="006B7F8B"/>
    <w:rsid w:val="006C00D3"/>
    <w:rsid w:val="006C05BC"/>
    <w:rsid w:val="006C074C"/>
    <w:rsid w:val="006C0D20"/>
    <w:rsid w:val="006C10E8"/>
    <w:rsid w:val="006C16B5"/>
    <w:rsid w:val="006C184B"/>
    <w:rsid w:val="006C18CB"/>
    <w:rsid w:val="006C1C14"/>
    <w:rsid w:val="006C1E40"/>
    <w:rsid w:val="006C292A"/>
    <w:rsid w:val="006C2C00"/>
    <w:rsid w:val="006C2F17"/>
    <w:rsid w:val="006C3126"/>
    <w:rsid w:val="006C3140"/>
    <w:rsid w:val="006C336B"/>
    <w:rsid w:val="006C33C8"/>
    <w:rsid w:val="006C3565"/>
    <w:rsid w:val="006C3A71"/>
    <w:rsid w:val="006C3B53"/>
    <w:rsid w:val="006C3B97"/>
    <w:rsid w:val="006C3C02"/>
    <w:rsid w:val="006C4740"/>
    <w:rsid w:val="006C4975"/>
    <w:rsid w:val="006C49FD"/>
    <w:rsid w:val="006C4BC6"/>
    <w:rsid w:val="006C4EC9"/>
    <w:rsid w:val="006C4EF7"/>
    <w:rsid w:val="006C507F"/>
    <w:rsid w:val="006C512A"/>
    <w:rsid w:val="006C5574"/>
    <w:rsid w:val="006C5741"/>
    <w:rsid w:val="006C5751"/>
    <w:rsid w:val="006C5D76"/>
    <w:rsid w:val="006C5F95"/>
    <w:rsid w:val="006C61F1"/>
    <w:rsid w:val="006C61FE"/>
    <w:rsid w:val="006C63CD"/>
    <w:rsid w:val="006C6474"/>
    <w:rsid w:val="006C66B1"/>
    <w:rsid w:val="006C67AF"/>
    <w:rsid w:val="006C6A23"/>
    <w:rsid w:val="006C6A60"/>
    <w:rsid w:val="006C6CBC"/>
    <w:rsid w:val="006C7101"/>
    <w:rsid w:val="006C7987"/>
    <w:rsid w:val="006C7A50"/>
    <w:rsid w:val="006D0366"/>
    <w:rsid w:val="006D0A1B"/>
    <w:rsid w:val="006D0A3B"/>
    <w:rsid w:val="006D0BEC"/>
    <w:rsid w:val="006D0E64"/>
    <w:rsid w:val="006D0EF6"/>
    <w:rsid w:val="006D10F2"/>
    <w:rsid w:val="006D1626"/>
    <w:rsid w:val="006D1908"/>
    <w:rsid w:val="006D1996"/>
    <w:rsid w:val="006D19F2"/>
    <w:rsid w:val="006D1A80"/>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9DF"/>
    <w:rsid w:val="006D5D72"/>
    <w:rsid w:val="006D5EDF"/>
    <w:rsid w:val="006D5FE7"/>
    <w:rsid w:val="006D6333"/>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86"/>
    <w:rsid w:val="006E09D3"/>
    <w:rsid w:val="006E0A92"/>
    <w:rsid w:val="006E0DF3"/>
    <w:rsid w:val="006E1678"/>
    <w:rsid w:val="006E18E9"/>
    <w:rsid w:val="006E1BB1"/>
    <w:rsid w:val="006E1C9D"/>
    <w:rsid w:val="006E1FEE"/>
    <w:rsid w:val="006E209F"/>
    <w:rsid w:val="006E21FB"/>
    <w:rsid w:val="006E2299"/>
    <w:rsid w:val="006E276F"/>
    <w:rsid w:val="006E27DA"/>
    <w:rsid w:val="006E29A0"/>
    <w:rsid w:val="006E2BA4"/>
    <w:rsid w:val="006E2EB7"/>
    <w:rsid w:val="006E3081"/>
    <w:rsid w:val="006E33C5"/>
    <w:rsid w:val="006E37AA"/>
    <w:rsid w:val="006E4013"/>
    <w:rsid w:val="006E43A7"/>
    <w:rsid w:val="006E47B1"/>
    <w:rsid w:val="006E4ACB"/>
    <w:rsid w:val="006E4B17"/>
    <w:rsid w:val="006E4EE9"/>
    <w:rsid w:val="006E508F"/>
    <w:rsid w:val="006E518F"/>
    <w:rsid w:val="006E5352"/>
    <w:rsid w:val="006E5B63"/>
    <w:rsid w:val="006E5FF1"/>
    <w:rsid w:val="006E6419"/>
    <w:rsid w:val="006E66AB"/>
    <w:rsid w:val="006E68B6"/>
    <w:rsid w:val="006E6D53"/>
    <w:rsid w:val="006E6DE9"/>
    <w:rsid w:val="006E6F0C"/>
    <w:rsid w:val="006E75B8"/>
    <w:rsid w:val="006E76CB"/>
    <w:rsid w:val="006E77B9"/>
    <w:rsid w:val="006E77C7"/>
    <w:rsid w:val="006E787A"/>
    <w:rsid w:val="006E7A6D"/>
    <w:rsid w:val="006E7AF8"/>
    <w:rsid w:val="006F016B"/>
    <w:rsid w:val="006F02A7"/>
    <w:rsid w:val="006F059E"/>
    <w:rsid w:val="006F08F1"/>
    <w:rsid w:val="006F0978"/>
    <w:rsid w:val="006F0D25"/>
    <w:rsid w:val="006F0DE1"/>
    <w:rsid w:val="006F0E07"/>
    <w:rsid w:val="006F1329"/>
    <w:rsid w:val="006F1792"/>
    <w:rsid w:val="006F17B3"/>
    <w:rsid w:val="006F17DE"/>
    <w:rsid w:val="006F19DC"/>
    <w:rsid w:val="006F1E24"/>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51E9"/>
    <w:rsid w:val="006F51ED"/>
    <w:rsid w:val="006F53DA"/>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EAF"/>
    <w:rsid w:val="006F7036"/>
    <w:rsid w:val="006F703C"/>
    <w:rsid w:val="006F7799"/>
    <w:rsid w:val="006F7B46"/>
    <w:rsid w:val="006F7D21"/>
    <w:rsid w:val="00700060"/>
    <w:rsid w:val="0070055D"/>
    <w:rsid w:val="00700F10"/>
    <w:rsid w:val="007010B5"/>
    <w:rsid w:val="00701352"/>
    <w:rsid w:val="0070162B"/>
    <w:rsid w:val="007019F7"/>
    <w:rsid w:val="00701DEC"/>
    <w:rsid w:val="0070233A"/>
    <w:rsid w:val="00702844"/>
    <w:rsid w:val="00702C84"/>
    <w:rsid w:val="00703176"/>
    <w:rsid w:val="0070336B"/>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858"/>
    <w:rsid w:val="0070699F"/>
    <w:rsid w:val="00706AD7"/>
    <w:rsid w:val="007072B4"/>
    <w:rsid w:val="007074E3"/>
    <w:rsid w:val="00707597"/>
    <w:rsid w:val="007077F8"/>
    <w:rsid w:val="00707AEF"/>
    <w:rsid w:val="0071004F"/>
    <w:rsid w:val="007103C7"/>
    <w:rsid w:val="00710409"/>
    <w:rsid w:val="00710D8E"/>
    <w:rsid w:val="00711025"/>
    <w:rsid w:val="0071135A"/>
    <w:rsid w:val="007116C7"/>
    <w:rsid w:val="0071171C"/>
    <w:rsid w:val="00711B2C"/>
    <w:rsid w:val="00711B5E"/>
    <w:rsid w:val="00711BC8"/>
    <w:rsid w:val="007122FD"/>
    <w:rsid w:val="00712505"/>
    <w:rsid w:val="00712552"/>
    <w:rsid w:val="007127C4"/>
    <w:rsid w:val="007128A6"/>
    <w:rsid w:val="0071291E"/>
    <w:rsid w:val="007129D6"/>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218"/>
    <w:rsid w:val="0071544C"/>
    <w:rsid w:val="007155EC"/>
    <w:rsid w:val="00715A78"/>
    <w:rsid w:val="00715AB7"/>
    <w:rsid w:val="00715C7A"/>
    <w:rsid w:val="00715F47"/>
    <w:rsid w:val="007160C4"/>
    <w:rsid w:val="00716244"/>
    <w:rsid w:val="00716294"/>
    <w:rsid w:val="00716680"/>
    <w:rsid w:val="0071692C"/>
    <w:rsid w:val="00716AC5"/>
    <w:rsid w:val="00716B22"/>
    <w:rsid w:val="00717894"/>
    <w:rsid w:val="00717CAE"/>
    <w:rsid w:val="00717D09"/>
    <w:rsid w:val="00720986"/>
    <w:rsid w:val="007209DD"/>
    <w:rsid w:val="00720C2A"/>
    <w:rsid w:val="00720DCC"/>
    <w:rsid w:val="00720E0F"/>
    <w:rsid w:val="00720E20"/>
    <w:rsid w:val="00720E3B"/>
    <w:rsid w:val="00721078"/>
    <w:rsid w:val="007218AA"/>
    <w:rsid w:val="00721C33"/>
    <w:rsid w:val="00721CBF"/>
    <w:rsid w:val="00721EA8"/>
    <w:rsid w:val="00721FCB"/>
    <w:rsid w:val="007220E4"/>
    <w:rsid w:val="0072230D"/>
    <w:rsid w:val="0072288E"/>
    <w:rsid w:val="007229BA"/>
    <w:rsid w:val="00722B85"/>
    <w:rsid w:val="00722BB3"/>
    <w:rsid w:val="00722D7A"/>
    <w:rsid w:val="00722ED1"/>
    <w:rsid w:val="00723325"/>
    <w:rsid w:val="007234B3"/>
    <w:rsid w:val="00723670"/>
    <w:rsid w:val="0072377A"/>
    <w:rsid w:val="00723822"/>
    <w:rsid w:val="007238E7"/>
    <w:rsid w:val="00723B94"/>
    <w:rsid w:val="00723C0A"/>
    <w:rsid w:val="00723EE0"/>
    <w:rsid w:val="00723F62"/>
    <w:rsid w:val="00724065"/>
    <w:rsid w:val="0072447F"/>
    <w:rsid w:val="007249C5"/>
    <w:rsid w:val="00724A6E"/>
    <w:rsid w:val="00724ADA"/>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13F"/>
    <w:rsid w:val="00731427"/>
    <w:rsid w:val="0073184C"/>
    <w:rsid w:val="00731B6E"/>
    <w:rsid w:val="007320CB"/>
    <w:rsid w:val="00732108"/>
    <w:rsid w:val="00732180"/>
    <w:rsid w:val="007324AD"/>
    <w:rsid w:val="00732505"/>
    <w:rsid w:val="007326A0"/>
    <w:rsid w:val="0073301B"/>
    <w:rsid w:val="00733555"/>
    <w:rsid w:val="00733778"/>
    <w:rsid w:val="00733AEA"/>
    <w:rsid w:val="00733CAB"/>
    <w:rsid w:val="00733D6E"/>
    <w:rsid w:val="00734175"/>
    <w:rsid w:val="007341DC"/>
    <w:rsid w:val="0073474A"/>
    <w:rsid w:val="00734860"/>
    <w:rsid w:val="007348F7"/>
    <w:rsid w:val="00734D4A"/>
    <w:rsid w:val="00734F05"/>
    <w:rsid w:val="00735095"/>
    <w:rsid w:val="00735398"/>
    <w:rsid w:val="007355B6"/>
    <w:rsid w:val="00735747"/>
    <w:rsid w:val="00735855"/>
    <w:rsid w:val="00735C16"/>
    <w:rsid w:val="00735F23"/>
    <w:rsid w:val="00736940"/>
    <w:rsid w:val="00736978"/>
    <w:rsid w:val="007369EA"/>
    <w:rsid w:val="00736F0D"/>
    <w:rsid w:val="00737277"/>
    <w:rsid w:val="007372D8"/>
    <w:rsid w:val="00737360"/>
    <w:rsid w:val="0073747E"/>
    <w:rsid w:val="007377AA"/>
    <w:rsid w:val="007377B5"/>
    <w:rsid w:val="007379D4"/>
    <w:rsid w:val="00737BFB"/>
    <w:rsid w:val="00737D9B"/>
    <w:rsid w:val="00737DE1"/>
    <w:rsid w:val="00740145"/>
    <w:rsid w:val="007402F1"/>
    <w:rsid w:val="007403CC"/>
    <w:rsid w:val="00740746"/>
    <w:rsid w:val="00740794"/>
    <w:rsid w:val="0074095B"/>
    <w:rsid w:val="0074096A"/>
    <w:rsid w:val="00740B8D"/>
    <w:rsid w:val="0074119D"/>
    <w:rsid w:val="0074148B"/>
    <w:rsid w:val="0074154D"/>
    <w:rsid w:val="007415DA"/>
    <w:rsid w:val="00741A5F"/>
    <w:rsid w:val="00741C23"/>
    <w:rsid w:val="00741F4D"/>
    <w:rsid w:val="00742055"/>
    <w:rsid w:val="007425FF"/>
    <w:rsid w:val="007427AA"/>
    <w:rsid w:val="00742D5A"/>
    <w:rsid w:val="0074315A"/>
    <w:rsid w:val="0074369F"/>
    <w:rsid w:val="00743AF2"/>
    <w:rsid w:val="007442A3"/>
    <w:rsid w:val="007442C9"/>
    <w:rsid w:val="007444B0"/>
    <w:rsid w:val="00744805"/>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8F6"/>
    <w:rsid w:val="0075054D"/>
    <w:rsid w:val="0075058C"/>
    <w:rsid w:val="007506FE"/>
    <w:rsid w:val="0075078D"/>
    <w:rsid w:val="007507C4"/>
    <w:rsid w:val="00750A22"/>
    <w:rsid w:val="00750A71"/>
    <w:rsid w:val="00750CDB"/>
    <w:rsid w:val="00750F64"/>
    <w:rsid w:val="007513AD"/>
    <w:rsid w:val="007513D5"/>
    <w:rsid w:val="00751416"/>
    <w:rsid w:val="0075147B"/>
    <w:rsid w:val="0075148E"/>
    <w:rsid w:val="00751CA2"/>
    <w:rsid w:val="00751E8F"/>
    <w:rsid w:val="00751F84"/>
    <w:rsid w:val="0075219F"/>
    <w:rsid w:val="00752461"/>
    <w:rsid w:val="007527FF"/>
    <w:rsid w:val="007529CD"/>
    <w:rsid w:val="00752A6C"/>
    <w:rsid w:val="007530CF"/>
    <w:rsid w:val="007530F7"/>
    <w:rsid w:val="0075343B"/>
    <w:rsid w:val="007534F4"/>
    <w:rsid w:val="007535D5"/>
    <w:rsid w:val="00753A71"/>
    <w:rsid w:val="00753BFC"/>
    <w:rsid w:val="00753FB0"/>
    <w:rsid w:val="00754324"/>
    <w:rsid w:val="00754475"/>
    <w:rsid w:val="00754530"/>
    <w:rsid w:val="007545D1"/>
    <w:rsid w:val="00754621"/>
    <w:rsid w:val="007546C9"/>
    <w:rsid w:val="00754DC0"/>
    <w:rsid w:val="0075503A"/>
    <w:rsid w:val="00755238"/>
    <w:rsid w:val="00755242"/>
    <w:rsid w:val="007554F3"/>
    <w:rsid w:val="00755523"/>
    <w:rsid w:val="007555DD"/>
    <w:rsid w:val="007556E9"/>
    <w:rsid w:val="0075591B"/>
    <w:rsid w:val="00755DC4"/>
    <w:rsid w:val="00755DD7"/>
    <w:rsid w:val="00755E4A"/>
    <w:rsid w:val="00755EA6"/>
    <w:rsid w:val="00756314"/>
    <w:rsid w:val="007563D2"/>
    <w:rsid w:val="00756811"/>
    <w:rsid w:val="00756CA2"/>
    <w:rsid w:val="007570F3"/>
    <w:rsid w:val="00757135"/>
    <w:rsid w:val="007572BD"/>
    <w:rsid w:val="007572E6"/>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3E5"/>
    <w:rsid w:val="007645E6"/>
    <w:rsid w:val="007649AF"/>
    <w:rsid w:val="00764A9F"/>
    <w:rsid w:val="00765177"/>
    <w:rsid w:val="00765419"/>
    <w:rsid w:val="00765556"/>
    <w:rsid w:val="0076574A"/>
    <w:rsid w:val="00765A4F"/>
    <w:rsid w:val="00765DE2"/>
    <w:rsid w:val="00766260"/>
    <w:rsid w:val="007664F0"/>
    <w:rsid w:val="007666C8"/>
    <w:rsid w:val="00766995"/>
    <w:rsid w:val="00766A60"/>
    <w:rsid w:val="00766B29"/>
    <w:rsid w:val="00767051"/>
    <w:rsid w:val="0076770B"/>
    <w:rsid w:val="00767986"/>
    <w:rsid w:val="00767C15"/>
    <w:rsid w:val="00770053"/>
    <w:rsid w:val="007702AE"/>
    <w:rsid w:val="00770409"/>
    <w:rsid w:val="00770499"/>
    <w:rsid w:val="007704E6"/>
    <w:rsid w:val="0077078A"/>
    <w:rsid w:val="007707AC"/>
    <w:rsid w:val="007707E6"/>
    <w:rsid w:val="00770913"/>
    <w:rsid w:val="00770DBD"/>
    <w:rsid w:val="00770EB4"/>
    <w:rsid w:val="00771013"/>
    <w:rsid w:val="007711FC"/>
    <w:rsid w:val="007712DA"/>
    <w:rsid w:val="00771468"/>
    <w:rsid w:val="0077162D"/>
    <w:rsid w:val="00772159"/>
    <w:rsid w:val="00772248"/>
    <w:rsid w:val="00772382"/>
    <w:rsid w:val="007725B2"/>
    <w:rsid w:val="00772730"/>
    <w:rsid w:val="0077297E"/>
    <w:rsid w:val="00772B5E"/>
    <w:rsid w:val="00772E09"/>
    <w:rsid w:val="00773035"/>
    <w:rsid w:val="00773223"/>
    <w:rsid w:val="00773337"/>
    <w:rsid w:val="007733CE"/>
    <w:rsid w:val="0077348F"/>
    <w:rsid w:val="007735AB"/>
    <w:rsid w:val="0077388D"/>
    <w:rsid w:val="00773AB3"/>
    <w:rsid w:val="00773FCC"/>
    <w:rsid w:val="0077424C"/>
    <w:rsid w:val="0077429D"/>
    <w:rsid w:val="007742C5"/>
    <w:rsid w:val="0077493E"/>
    <w:rsid w:val="00774C87"/>
    <w:rsid w:val="00774D04"/>
    <w:rsid w:val="00774E1E"/>
    <w:rsid w:val="00774F87"/>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7E6"/>
    <w:rsid w:val="00780D8B"/>
    <w:rsid w:val="00780E54"/>
    <w:rsid w:val="00780E6A"/>
    <w:rsid w:val="00780F4C"/>
    <w:rsid w:val="00781131"/>
    <w:rsid w:val="00781552"/>
    <w:rsid w:val="00781835"/>
    <w:rsid w:val="007818D7"/>
    <w:rsid w:val="00781D73"/>
    <w:rsid w:val="00781FA0"/>
    <w:rsid w:val="0078246C"/>
    <w:rsid w:val="0078297A"/>
    <w:rsid w:val="00782F25"/>
    <w:rsid w:val="0078310E"/>
    <w:rsid w:val="00783209"/>
    <w:rsid w:val="00783218"/>
    <w:rsid w:val="0078326B"/>
    <w:rsid w:val="00783699"/>
    <w:rsid w:val="00783D0A"/>
    <w:rsid w:val="0078415C"/>
    <w:rsid w:val="007843BF"/>
    <w:rsid w:val="0078473C"/>
    <w:rsid w:val="0078475C"/>
    <w:rsid w:val="007848DF"/>
    <w:rsid w:val="00784B3A"/>
    <w:rsid w:val="00784CB2"/>
    <w:rsid w:val="00784D6F"/>
    <w:rsid w:val="0078504B"/>
    <w:rsid w:val="00785179"/>
    <w:rsid w:val="0078528C"/>
    <w:rsid w:val="00785291"/>
    <w:rsid w:val="0078594B"/>
    <w:rsid w:val="00785AD2"/>
    <w:rsid w:val="00785D9A"/>
    <w:rsid w:val="00786150"/>
    <w:rsid w:val="0078659A"/>
    <w:rsid w:val="00786B0F"/>
    <w:rsid w:val="00786C83"/>
    <w:rsid w:val="00786FB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2"/>
    <w:rsid w:val="00791F8F"/>
    <w:rsid w:val="00792DA8"/>
    <w:rsid w:val="0079356E"/>
    <w:rsid w:val="007935FD"/>
    <w:rsid w:val="00793670"/>
    <w:rsid w:val="00793C6F"/>
    <w:rsid w:val="00793D8C"/>
    <w:rsid w:val="00793E16"/>
    <w:rsid w:val="00794043"/>
    <w:rsid w:val="00794100"/>
    <w:rsid w:val="007941A5"/>
    <w:rsid w:val="007945F2"/>
    <w:rsid w:val="0079479F"/>
    <w:rsid w:val="007947A5"/>
    <w:rsid w:val="00794AFB"/>
    <w:rsid w:val="00794B47"/>
    <w:rsid w:val="00794BE4"/>
    <w:rsid w:val="00794BF7"/>
    <w:rsid w:val="00795048"/>
    <w:rsid w:val="007952EA"/>
    <w:rsid w:val="007954D1"/>
    <w:rsid w:val="00796163"/>
    <w:rsid w:val="00796225"/>
    <w:rsid w:val="00796385"/>
    <w:rsid w:val="007964C2"/>
    <w:rsid w:val="00796514"/>
    <w:rsid w:val="007970BD"/>
    <w:rsid w:val="00797353"/>
    <w:rsid w:val="00797CF3"/>
    <w:rsid w:val="00797EA8"/>
    <w:rsid w:val="007A0276"/>
    <w:rsid w:val="007A02FB"/>
    <w:rsid w:val="007A05AE"/>
    <w:rsid w:val="007A05C9"/>
    <w:rsid w:val="007A093F"/>
    <w:rsid w:val="007A0A84"/>
    <w:rsid w:val="007A13E8"/>
    <w:rsid w:val="007A15BC"/>
    <w:rsid w:val="007A15FF"/>
    <w:rsid w:val="007A1897"/>
    <w:rsid w:val="007A191A"/>
    <w:rsid w:val="007A19C8"/>
    <w:rsid w:val="007A1B5A"/>
    <w:rsid w:val="007A2480"/>
    <w:rsid w:val="007A2906"/>
    <w:rsid w:val="007A2DA1"/>
    <w:rsid w:val="007A2E56"/>
    <w:rsid w:val="007A2EE1"/>
    <w:rsid w:val="007A3048"/>
    <w:rsid w:val="007A31E4"/>
    <w:rsid w:val="007A3B62"/>
    <w:rsid w:val="007A3C44"/>
    <w:rsid w:val="007A3D6A"/>
    <w:rsid w:val="007A3D92"/>
    <w:rsid w:val="007A3DAC"/>
    <w:rsid w:val="007A4103"/>
    <w:rsid w:val="007A425F"/>
    <w:rsid w:val="007A47A8"/>
    <w:rsid w:val="007A48C6"/>
    <w:rsid w:val="007A4E33"/>
    <w:rsid w:val="007A50BF"/>
    <w:rsid w:val="007A5133"/>
    <w:rsid w:val="007A5173"/>
    <w:rsid w:val="007A5180"/>
    <w:rsid w:val="007A54FE"/>
    <w:rsid w:val="007A5BA4"/>
    <w:rsid w:val="007A61DB"/>
    <w:rsid w:val="007A622F"/>
    <w:rsid w:val="007A636E"/>
    <w:rsid w:val="007A668E"/>
    <w:rsid w:val="007A67AD"/>
    <w:rsid w:val="007A68BB"/>
    <w:rsid w:val="007A6A0B"/>
    <w:rsid w:val="007A6C01"/>
    <w:rsid w:val="007A6C29"/>
    <w:rsid w:val="007A6DC2"/>
    <w:rsid w:val="007A75CC"/>
    <w:rsid w:val="007A7AE1"/>
    <w:rsid w:val="007A7CD9"/>
    <w:rsid w:val="007B00E7"/>
    <w:rsid w:val="007B0270"/>
    <w:rsid w:val="007B06DA"/>
    <w:rsid w:val="007B0734"/>
    <w:rsid w:val="007B09C8"/>
    <w:rsid w:val="007B0DCB"/>
    <w:rsid w:val="007B0E15"/>
    <w:rsid w:val="007B1B55"/>
    <w:rsid w:val="007B1DFC"/>
    <w:rsid w:val="007B1EDF"/>
    <w:rsid w:val="007B20EB"/>
    <w:rsid w:val="007B25E2"/>
    <w:rsid w:val="007B25E6"/>
    <w:rsid w:val="007B2647"/>
    <w:rsid w:val="007B268F"/>
    <w:rsid w:val="007B26D9"/>
    <w:rsid w:val="007B2C9B"/>
    <w:rsid w:val="007B2F0C"/>
    <w:rsid w:val="007B3343"/>
    <w:rsid w:val="007B362E"/>
    <w:rsid w:val="007B39B9"/>
    <w:rsid w:val="007B3F39"/>
    <w:rsid w:val="007B42C9"/>
    <w:rsid w:val="007B44EA"/>
    <w:rsid w:val="007B4B57"/>
    <w:rsid w:val="007B4C31"/>
    <w:rsid w:val="007B4CC3"/>
    <w:rsid w:val="007B4ED3"/>
    <w:rsid w:val="007B5217"/>
    <w:rsid w:val="007B5332"/>
    <w:rsid w:val="007B57E4"/>
    <w:rsid w:val="007B5F4F"/>
    <w:rsid w:val="007B5FC7"/>
    <w:rsid w:val="007B6120"/>
    <w:rsid w:val="007B6128"/>
    <w:rsid w:val="007B62B9"/>
    <w:rsid w:val="007B64EB"/>
    <w:rsid w:val="007B6C0D"/>
    <w:rsid w:val="007B6DFF"/>
    <w:rsid w:val="007B6E36"/>
    <w:rsid w:val="007B7249"/>
    <w:rsid w:val="007B7808"/>
    <w:rsid w:val="007B79C1"/>
    <w:rsid w:val="007C03AE"/>
    <w:rsid w:val="007C0647"/>
    <w:rsid w:val="007C07C5"/>
    <w:rsid w:val="007C08B8"/>
    <w:rsid w:val="007C08FE"/>
    <w:rsid w:val="007C0BB0"/>
    <w:rsid w:val="007C0BCA"/>
    <w:rsid w:val="007C0C17"/>
    <w:rsid w:val="007C0C6B"/>
    <w:rsid w:val="007C22FE"/>
    <w:rsid w:val="007C24C8"/>
    <w:rsid w:val="007C2792"/>
    <w:rsid w:val="007C2A0A"/>
    <w:rsid w:val="007C2CA8"/>
    <w:rsid w:val="007C2F64"/>
    <w:rsid w:val="007C2F6F"/>
    <w:rsid w:val="007C31D7"/>
    <w:rsid w:val="007C3D03"/>
    <w:rsid w:val="007C4028"/>
    <w:rsid w:val="007C4098"/>
    <w:rsid w:val="007C4252"/>
    <w:rsid w:val="007C42BB"/>
    <w:rsid w:val="007C45E3"/>
    <w:rsid w:val="007C46DE"/>
    <w:rsid w:val="007C4C9B"/>
    <w:rsid w:val="007C4EA4"/>
    <w:rsid w:val="007C4EFF"/>
    <w:rsid w:val="007C55D9"/>
    <w:rsid w:val="007C5A13"/>
    <w:rsid w:val="007C5C5C"/>
    <w:rsid w:val="007C5D5C"/>
    <w:rsid w:val="007C5E8C"/>
    <w:rsid w:val="007C6477"/>
    <w:rsid w:val="007C6481"/>
    <w:rsid w:val="007C67DF"/>
    <w:rsid w:val="007C6850"/>
    <w:rsid w:val="007C6BDD"/>
    <w:rsid w:val="007C6C34"/>
    <w:rsid w:val="007C6C51"/>
    <w:rsid w:val="007C6DC7"/>
    <w:rsid w:val="007C718F"/>
    <w:rsid w:val="007C7532"/>
    <w:rsid w:val="007C798C"/>
    <w:rsid w:val="007C7DEE"/>
    <w:rsid w:val="007C7FB2"/>
    <w:rsid w:val="007D0074"/>
    <w:rsid w:val="007D0E02"/>
    <w:rsid w:val="007D0F16"/>
    <w:rsid w:val="007D127D"/>
    <w:rsid w:val="007D13EC"/>
    <w:rsid w:val="007D1446"/>
    <w:rsid w:val="007D1509"/>
    <w:rsid w:val="007D1873"/>
    <w:rsid w:val="007D2648"/>
    <w:rsid w:val="007D29FA"/>
    <w:rsid w:val="007D30B3"/>
    <w:rsid w:val="007D3239"/>
    <w:rsid w:val="007D328E"/>
    <w:rsid w:val="007D34BB"/>
    <w:rsid w:val="007D3743"/>
    <w:rsid w:val="007D3949"/>
    <w:rsid w:val="007D3A8A"/>
    <w:rsid w:val="007D3C7F"/>
    <w:rsid w:val="007D3D40"/>
    <w:rsid w:val="007D3D72"/>
    <w:rsid w:val="007D4D8F"/>
    <w:rsid w:val="007D5228"/>
    <w:rsid w:val="007D529B"/>
    <w:rsid w:val="007D5386"/>
    <w:rsid w:val="007D540C"/>
    <w:rsid w:val="007D571A"/>
    <w:rsid w:val="007D5CA2"/>
    <w:rsid w:val="007D5EB3"/>
    <w:rsid w:val="007D5F98"/>
    <w:rsid w:val="007D61BD"/>
    <w:rsid w:val="007D66D5"/>
    <w:rsid w:val="007D6B22"/>
    <w:rsid w:val="007D6D7D"/>
    <w:rsid w:val="007D70AC"/>
    <w:rsid w:val="007D70EE"/>
    <w:rsid w:val="007D726D"/>
    <w:rsid w:val="007D72A3"/>
    <w:rsid w:val="007D7A6D"/>
    <w:rsid w:val="007D7AC5"/>
    <w:rsid w:val="007D7E5B"/>
    <w:rsid w:val="007D7F08"/>
    <w:rsid w:val="007D7F8E"/>
    <w:rsid w:val="007E022E"/>
    <w:rsid w:val="007E0274"/>
    <w:rsid w:val="007E07C8"/>
    <w:rsid w:val="007E0A55"/>
    <w:rsid w:val="007E0BE2"/>
    <w:rsid w:val="007E10D9"/>
    <w:rsid w:val="007E14AD"/>
    <w:rsid w:val="007E1878"/>
    <w:rsid w:val="007E1D9A"/>
    <w:rsid w:val="007E2009"/>
    <w:rsid w:val="007E2101"/>
    <w:rsid w:val="007E22A2"/>
    <w:rsid w:val="007E2816"/>
    <w:rsid w:val="007E2872"/>
    <w:rsid w:val="007E28AE"/>
    <w:rsid w:val="007E2B5C"/>
    <w:rsid w:val="007E3038"/>
    <w:rsid w:val="007E30CA"/>
    <w:rsid w:val="007E332C"/>
    <w:rsid w:val="007E37DF"/>
    <w:rsid w:val="007E394F"/>
    <w:rsid w:val="007E3DA8"/>
    <w:rsid w:val="007E3E00"/>
    <w:rsid w:val="007E3F21"/>
    <w:rsid w:val="007E40E4"/>
    <w:rsid w:val="007E44E4"/>
    <w:rsid w:val="007E464F"/>
    <w:rsid w:val="007E4921"/>
    <w:rsid w:val="007E4CA9"/>
    <w:rsid w:val="007E51C7"/>
    <w:rsid w:val="007E5584"/>
    <w:rsid w:val="007E574B"/>
    <w:rsid w:val="007E5932"/>
    <w:rsid w:val="007E597F"/>
    <w:rsid w:val="007E5989"/>
    <w:rsid w:val="007E5A30"/>
    <w:rsid w:val="007E5ED4"/>
    <w:rsid w:val="007E61A9"/>
    <w:rsid w:val="007E62B8"/>
    <w:rsid w:val="007E63D5"/>
    <w:rsid w:val="007E6A0F"/>
    <w:rsid w:val="007E6DBB"/>
    <w:rsid w:val="007E7277"/>
    <w:rsid w:val="007E74E2"/>
    <w:rsid w:val="007F010C"/>
    <w:rsid w:val="007F042E"/>
    <w:rsid w:val="007F043D"/>
    <w:rsid w:val="007F045C"/>
    <w:rsid w:val="007F0CBE"/>
    <w:rsid w:val="007F0D66"/>
    <w:rsid w:val="007F0D6D"/>
    <w:rsid w:val="007F0F8B"/>
    <w:rsid w:val="007F17D1"/>
    <w:rsid w:val="007F1977"/>
    <w:rsid w:val="007F1E37"/>
    <w:rsid w:val="007F1E75"/>
    <w:rsid w:val="007F230B"/>
    <w:rsid w:val="007F295A"/>
    <w:rsid w:val="007F2B8A"/>
    <w:rsid w:val="007F30DB"/>
    <w:rsid w:val="007F3507"/>
    <w:rsid w:val="007F353F"/>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AD9"/>
    <w:rsid w:val="007F6B24"/>
    <w:rsid w:val="007F6C2A"/>
    <w:rsid w:val="007F6D8A"/>
    <w:rsid w:val="007F6F5D"/>
    <w:rsid w:val="007F6F84"/>
    <w:rsid w:val="007F752D"/>
    <w:rsid w:val="007F799B"/>
    <w:rsid w:val="007F79E5"/>
    <w:rsid w:val="0080002F"/>
    <w:rsid w:val="00800450"/>
    <w:rsid w:val="008004BC"/>
    <w:rsid w:val="008004E4"/>
    <w:rsid w:val="008006E7"/>
    <w:rsid w:val="0080071E"/>
    <w:rsid w:val="00800751"/>
    <w:rsid w:val="0080095E"/>
    <w:rsid w:val="008010C1"/>
    <w:rsid w:val="008012AB"/>
    <w:rsid w:val="0080145B"/>
    <w:rsid w:val="00801658"/>
    <w:rsid w:val="00801A7D"/>
    <w:rsid w:val="00801F66"/>
    <w:rsid w:val="008020AC"/>
    <w:rsid w:val="00802AFE"/>
    <w:rsid w:val="00802C32"/>
    <w:rsid w:val="00803809"/>
    <w:rsid w:val="00803A1B"/>
    <w:rsid w:val="00803BF6"/>
    <w:rsid w:val="008041DE"/>
    <w:rsid w:val="008042C5"/>
    <w:rsid w:val="0080436C"/>
    <w:rsid w:val="0080478C"/>
    <w:rsid w:val="0080481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D16"/>
    <w:rsid w:val="00807D54"/>
    <w:rsid w:val="00807DD2"/>
    <w:rsid w:val="00807E6B"/>
    <w:rsid w:val="00807FF1"/>
    <w:rsid w:val="00810295"/>
    <w:rsid w:val="00810519"/>
    <w:rsid w:val="00810B86"/>
    <w:rsid w:val="00810D4C"/>
    <w:rsid w:val="00811292"/>
    <w:rsid w:val="00811656"/>
    <w:rsid w:val="0081174D"/>
    <w:rsid w:val="008119FE"/>
    <w:rsid w:val="00811BEF"/>
    <w:rsid w:val="00811D44"/>
    <w:rsid w:val="00812140"/>
    <w:rsid w:val="008123CE"/>
    <w:rsid w:val="008124D9"/>
    <w:rsid w:val="008126CE"/>
    <w:rsid w:val="00812857"/>
    <w:rsid w:val="00812A12"/>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3D6"/>
    <w:rsid w:val="0081556A"/>
    <w:rsid w:val="008155F1"/>
    <w:rsid w:val="0081578A"/>
    <w:rsid w:val="00815D69"/>
    <w:rsid w:val="00815DF5"/>
    <w:rsid w:val="008165C5"/>
    <w:rsid w:val="0081688C"/>
    <w:rsid w:val="00816E5E"/>
    <w:rsid w:val="00817181"/>
    <w:rsid w:val="00817322"/>
    <w:rsid w:val="00817933"/>
    <w:rsid w:val="008179D7"/>
    <w:rsid w:val="00817A00"/>
    <w:rsid w:val="00817B7C"/>
    <w:rsid w:val="00817C66"/>
    <w:rsid w:val="008201A0"/>
    <w:rsid w:val="008204F0"/>
    <w:rsid w:val="00820B59"/>
    <w:rsid w:val="00820C93"/>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13"/>
    <w:rsid w:val="0082402C"/>
    <w:rsid w:val="00824035"/>
    <w:rsid w:val="0082431B"/>
    <w:rsid w:val="00824564"/>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10C"/>
    <w:rsid w:val="00827565"/>
    <w:rsid w:val="00827643"/>
    <w:rsid w:val="00827A71"/>
    <w:rsid w:val="00827E54"/>
    <w:rsid w:val="00827E88"/>
    <w:rsid w:val="00827F03"/>
    <w:rsid w:val="00830069"/>
    <w:rsid w:val="0083017E"/>
    <w:rsid w:val="008306B4"/>
    <w:rsid w:val="0083084E"/>
    <w:rsid w:val="00830A16"/>
    <w:rsid w:val="00831691"/>
    <w:rsid w:val="00831783"/>
    <w:rsid w:val="008317BF"/>
    <w:rsid w:val="008319AD"/>
    <w:rsid w:val="00831C15"/>
    <w:rsid w:val="00831F49"/>
    <w:rsid w:val="00832313"/>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542D"/>
    <w:rsid w:val="008358CD"/>
    <w:rsid w:val="008358E8"/>
    <w:rsid w:val="00835937"/>
    <w:rsid w:val="00835A83"/>
    <w:rsid w:val="00836095"/>
    <w:rsid w:val="00836261"/>
    <w:rsid w:val="00836293"/>
    <w:rsid w:val="00836B91"/>
    <w:rsid w:val="008372E6"/>
    <w:rsid w:val="0083730C"/>
    <w:rsid w:val="00837490"/>
    <w:rsid w:val="008377CE"/>
    <w:rsid w:val="008379A7"/>
    <w:rsid w:val="00837B5F"/>
    <w:rsid w:val="00837BA8"/>
    <w:rsid w:val="00837D46"/>
    <w:rsid w:val="00837F3D"/>
    <w:rsid w:val="00837F9D"/>
    <w:rsid w:val="00837FC4"/>
    <w:rsid w:val="0084020F"/>
    <w:rsid w:val="0084047A"/>
    <w:rsid w:val="008408F0"/>
    <w:rsid w:val="00840C92"/>
    <w:rsid w:val="00840DA6"/>
    <w:rsid w:val="00841295"/>
    <w:rsid w:val="008413F5"/>
    <w:rsid w:val="008414A2"/>
    <w:rsid w:val="0084183D"/>
    <w:rsid w:val="00841CCB"/>
    <w:rsid w:val="00841FB1"/>
    <w:rsid w:val="00842154"/>
    <w:rsid w:val="0084251A"/>
    <w:rsid w:val="0084253A"/>
    <w:rsid w:val="0084258B"/>
    <w:rsid w:val="00842741"/>
    <w:rsid w:val="00842A61"/>
    <w:rsid w:val="00842B7C"/>
    <w:rsid w:val="00842CE8"/>
    <w:rsid w:val="00843261"/>
    <w:rsid w:val="00843CC6"/>
    <w:rsid w:val="008440F6"/>
    <w:rsid w:val="00844119"/>
    <w:rsid w:val="0084442D"/>
    <w:rsid w:val="008444A5"/>
    <w:rsid w:val="008448EE"/>
    <w:rsid w:val="00844F84"/>
    <w:rsid w:val="008452E0"/>
    <w:rsid w:val="00845327"/>
    <w:rsid w:val="00845355"/>
    <w:rsid w:val="00845486"/>
    <w:rsid w:val="00845E08"/>
    <w:rsid w:val="00845FE0"/>
    <w:rsid w:val="008463D2"/>
    <w:rsid w:val="008464F5"/>
    <w:rsid w:val="00846B61"/>
    <w:rsid w:val="00846C83"/>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462"/>
    <w:rsid w:val="0085152E"/>
    <w:rsid w:val="008515A3"/>
    <w:rsid w:val="00851CB2"/>
    <w:rsid w:val="00851F82"/>
    <w:rsid w:val="00852164"/>
    <w:rsid w:val="00852232"/>
    <w:rsid w:val="00852241"/>
    <w:rsid w:val="008522A1"/>
    <w:rsid w:val="00852BB3"/>
    <w:rsid w:val="00852CA0"/>
    <w:rsid w:val="00853204"/>
    <w:rsid w:val="00853259"/>
    <w:rsid w:val="00853503"/>
    <w:rsid w:val="008536C5"/>
    <w:rsid w:val="008538D0"/>
    <w:rsid w:val="00853BE9"/>
    <w:rsid w:val="008540F0"/>
    <w:rsid w:val="008544AB"/>
    <w:rsid w:val="008544DE"/>
    <w:rsid w:val="00854705"/>
    <w:rsid w:val="00854B0C"/>
    <w:rsid w:val="00854D01"/>
    <w:rsid w:val="00854F5A"/>
    <w:rsid w:val="00854FFF"/>
    <w:rsid w:val="00855536"/>
    <w:rsid w:val="008555E1"/>
    <w:rsid w:val="00855672"/>
    <w:rsid w:val="00855ADE"/>
    <w:rsid w:val="00855BBE"/>
    <w:rsid w:val="00855E65"/>
    <w:rsid w:val="00855F46"/>
    <w:rsid w:val="00856148"/>
    <w:rsid w:val="00856573"/>
    <w:rsid w:val="00856574"/>
    <w:rsid w:val="00856C77"/>
    <w:rsid w:val="00856E9D"/>
    <w:rsid w:val="00856FF6"/>
    <w:rsid w:val="0085775E"/>
    <w:rsid w:val="00857C8D"/>
    <w:rsid w:val="00860577"/>
    <w:rsid w:val="00860D87"/>
    <w:rsid w:val="00860E65"/>
    <w:rsid w:val="00860EA2"/>
    <w:rsid w:val="008611C4"/>
    <w:rsid w:val="00861829"/>
    <w:rsid w:val="0086184A"/>
    <w:rsid w:val="00861C2A"/>
    <w:rsid w:val="00861F59"/>
    <w:rsid w:val="0086209D"/>
    <w:rsid w:val="008621A5"/>
    <w:rsid w:val="0086288B"/>
    <w:rsid w:val="00862A07"/>
    <w:rsid w:val="00862A4B"/>
    <w:rsid w:val="0086308B"/>
    <w:rsid w:val="00863373"/>
    <w:rsid w:val="00863381"/>
    <w:rsid w:val="0086341E"/>
    <w:rsid w:val="00863EB0"/>
    <w:rsid w:val="00864587"/>
    <w:rsid w:val="008645B1"/>
    <w:rsid w:val="00864614"/>
    <w:rsid w:val="008649C7"/>
    <w:rsid w:val="00864AFA"/>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48"/>
    <w:rsid w:val="0087396D"/>
    <w:rsid w:val="00873D80"/>
    <w:rsid w:val="00874025"/>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EBC"/>
    <w:rsid w:val="00877F05"/>
    <w:rsid w:val="0088006B"/>
    <w:rsid w:val="00880343"/>
    <w:rsid w:val="008803C5"/>
    <w:rsid w:val="00880400"/>
    <w:rsid w:val="00880962"/>
    <w:rsid w:val="00880BD7"/>
    <w:rsid w:val="008810CF"/>
    <w:rsid w:val="00881300"/>
    <w:rsid w:val="0088143E"/>
    <w:rsid w:val="00881548"/>
    <w:rsid w:val="00882169"/>
    <w:rsid w:val="00882186"/>
    <w:rsid w:val="00882250"/>
    <w:rsid w:val="00882370"/>
    <w:rsid w:val="008824C9"/>
    <w:rsid w:val="00882506"/>
    <w:rsid w:val="0088294D"/>
    <w:rsid w:val="0088302C"/>
    <w:rsid w:val="008830D6"/>
    <w:rsid w:val="00883200"/>
    <w:rsid w:val="00883225"/>
    <w:rsid w:val="0088369B"/>
    <w:rsid w:val="0088372A"/>
    <w:rsid w:val="00883762"/>
    <w:rsid w:val="00883A5F"/>
    <w:rsid w:val="00883AE7"/>
    <w:rsid w:val="00883D78"/>
    <w:rsid w:val="008841CE"/>
    <w:rsid w:val="0088484F"/>
    <w:rsid w:val="00884903"/>
    <w:rsid w:val="008849C1"/>
    <w:rsid w:val="00884EC9"/>
    <w:rsid w:val="00885781"/>
    <w:rsid w:val="008857A0"/>
    <w:rsid w:val="00885BA7"/>
    <w:rsid w:val="00885CBF"/>
    <w:rsid w:val="00885F00"/>
    <w:rsid w:val="00886416"/>
    <w:rsid w:val="00886B74"/>
    <w:rsid w:val="00886BD4"/>
    <w:rsid w:val="00886C8F"/>
    <w:rsid w:val="00886C9A"/>
    <w:rsid w:val="00886F29"/>
    <w:rsid w:val="00887246"/>
    <w:rsid w:val="008877F5"/>
    <w:rsid w:val="00887B15"/>
    <w:rsid w:val="00887C74"/>
    <w:rsid w:val="00887CC1"/>
    <w:rsid w:val="00887CF9"/>
    <w:rsid w:val="008902A1"/>
    <w:rsid w:val="008907F3"/>
    <w:rsid w:val="00890B0F"/>
    <w:rsid w:val="00890EE2"/>
    <w:rsid w:val="00891518"/>
    <w:rsid w:val="0089166D"/>
    <w:rsid w:val="00891CEF"/>
    <w:rsid w:val="00891DE9"/>
    <w:rsid w:val="00892155"/>
    <w:rsid w:val="00892224"/>
    <w:rsid w:val="0089224B"/>
    <w:rsid w:val="0089234B"/>
    <w:rsid w:val="0089279B"/>
    <w:rsid w:val="00892C4A"/>
    <w:rsid w:val="00892CEF"/>
    <w:rsid w:val="00892E4C"/>
    <w:rsid w:val="00892F02"/>
    <w:rsid w:val="0089323C"/>
    <w:rsid w:val="00893241"/>
    <w:rsid w:val="008933C8"/>
    <w:rsid w:val="008935EF"/>
    <w:rsid w:val="008936FC"/>
    <w:rsid w:val="008940A9"/>
    <w:rsid w:val="00894898"/>
    <w:rsid w:val="00894B33"/>
    <w:rsid w:val="00894C3F"/>
    <w:rsid w:val="00894D5A"/>
    <w:rsid w:val="00894D76"/>
    <w:rsid w:val="00894D7E"/>
    <w:rsid w:val="00895092"/>
    <w:rsid w:val="0089526D"/>
    <w:rsid w:val="00895274"/>
    <w:rsid w:val="00895B93"/>
    <w:rsid w:val="00896993"/>
    <w:rsid w:val="00896ACF"/>
    <w:rsid w:val="00896C12"/>
    <w:rsid w:val="00896ECF"/>
    <w:rsid w:val="00897044"/>
    <w:rsid w:val="0089740A"/>
    <w:rsid w:val="008978B0"/>
    <w:rsid w:val="0089796C"/>
    <w:rsid w:val="00897B99"/>
    <w:rsid w:val="00897E78"/>
    <w:rsid w:val="008A06C7"/>
    <w:rsid w:val="008A087E"/>
    <w:rsid w:val="008A08E7"/>
    <w:rsid w:val="008A0CA2"/>
    <w:rsid w:val="008A0F05"/>
    <w:rsid w:val="008A1771"/>
    <w:rsid w:val="008A21D4"/>
    <w:rsid w:val="008A23B3"/>
    <w:rsid w:val="008A24CE"/>
    <w:rsid w:val="008A25FD"/>
    <w:rsid w:val="008A26B0"/>
    <w:rsid w:val="008A2A33"/>
    <w:rsid w:val="008A300D"/>
    <w:rsid w:val="008A3361"/>
    <w:rsid w:val="008A3857"/>
    <w:rsid w:val="008A3ABD"/>
    <w:rsid w:val="008A3E31"/>
    <w:rsid w:val="008A3F86"/>
    <w:rsid w:val="008A41E8"/>
    <w:rsid w:val="008A435B"/>
    <w:rsid w:val="008A44E1"/>
    <w:rsid w:val="008A4615"/>
    <w:rsid w:val="008A47D6"/>
    <w:rsid w:val="008A4984"/>
    <w:rsid w:val="008A4EBD"/>
    <w:rsid w:val="008A4F3D"/>
    <w:rsid w:val="008A50AD"/>
    <w:rsid w:val="008A533A"/>
    <w:rsid w:val="008A5B37"/>
    <w:rsid w:val="008A5D43"/>
    <w:rsid w:val="008A607F"/>
    <w:rsid w:val="008A69AE"/>
    <w:rsid w:val="008A69F2"/>
    <w:rsid w:val="008A725C"/>
    <w:rsid w:val="008A726C"/>
    <w:rsid w:val="008A72E0"/>
    <w:rsid w:val="008A742A"/>
    <w:rsid w:val="008A74FE"/>
    <w:rsid w:val="008A76E0"/>
    <w:rsid w:val="008A7910"/>
    <w:rsid w:val="008A7BD6"/>
    <w:rsid w:val="008A7F70"/>
    <w:rsid w:val="008A7F82"/>
    <w:rsid w:val="008A7FAF"/>
    <w:rsid w:val="008B0347"/>
    <w:rsid w:val="008B0367"/>
    <w:rsid w:val="008B0588"/>
    <w:rsid w:val="008B0B00"/>
    <w:rsid w:val="008B0C05"/>
    <w:rsid w:val="008B0FE8"/>
    <w:rsid w:val="008B1313"/>
    <w:rsid w:val="008B1513"/>
    <w:rsid w:val="008B16E6"/>
    <w:rsid w:val="008B19AF"/>
    <w:rsid w:val="008B1D08"/>
    <w:rsid w:val="008B1DAF"/>
    <w:rsid w:val="008B2A13"/>
    <w:rsid w:val="008B2B07"/>
    <w:rsid w:val="008B2C32"/>
    <w:rsid w:val="008B3226"/>
    <w:rsid w:val="008B32F5"/>
    <w:rsid w:val="008B36F2"/>
    <w:rsid w:val="008B3CBC"/>
    <w:rsid w:val="008B3D8F"/>
    <w:rsid w:val="008B464A"/>
    <w:rsid w:val="008B477A"/>
    <w:rsid w:val="008B4894"/>
    <w:rsid w:val="008B4A04"/>
    <w:rsid w:val="008B5028"/>
    <w:rsid w:val="008B5049"/>
    <w:rsid w:val="008B5496"/>
    <w:rsid w:val="008B5552"/>
    <w:rsid w:val="008B55D5"/>
    <w:rsid w:val="008B56EE"/>
    <w:rsid w:val="008B5D63"/>
    <w:rsid w:val="008B5F04"/>
    <w:rsid w:val="008B5F82"/>
    <w:rsid w:val="008B60D5"/>
    <w:rsid w:val="008B6575"/>
    <w:rsid w:val="008B67F0"/>
    <w:rsid w:val="008B689F"/>
    <w:rsid w:val="008B6B93"/>
    <w:rsid w:val="008B6CF5"/>
    <w:rsid w:val="008B6E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93D"/>
    <w:rsid w:val="008C10F7"/>
    <w:rsid w:val="008C14FA"/>
    <w:rsid w:val="008C1662"/>
    <w:rsid w:val="008C172A"/>
    <w:rsid w:val="008C1E7A"/>
    <w:rsid w:val="008C209D"/>
    <w:rsid w:val="008C2138"/>
    <w:rsid w:val="008C2260"/>
    <w:rsid w:val="008C23F6"/>
    <w:rsid w:val="008C2914"/>
    <w:rsid w:val="008C2AAA"/>
    <w:rsid w:val="008C2BA6"/>
    <w:rsid w:val="008C2E53"/>
    <w:rsid w:val="008C30C6"/>
    <w:rsid w:val="008C335B"/>
    <w:rsid w:val="008C35BB"/>
    <w:rsid w:val="008C39DF"/>
    <w:rsid w:val="008C3BF4"/>
    <w:rsid w:val="008C3CB2"/>
    <w:rsid w:val="008C3DB2"/>
    <w:rsid w:val="008C42CE"/>
    <w:rsid w:val="008C43AA"/>
    <w:rsid w:val="008C4D0F"/>
    <w:rsid w:val="008C4ED7"/>
    <w:rsid w:val="008C5146"/>
    <w:rsid w:val="008C547F"/>
    <w:rsid w:val="008C5547"/>
    <w:rsid w:val="008C5627"/>
    <w:rsid w:val="008C5FB9"/>
    <w:rsid w:val="008C6386"/>
    <w:rsid w:val="008C648C"/>
    <w:rsid w:val="008C66D1"/>
    <w:rsid w:val="008C67D0"/>
    <w:rsid w:val="008C6AAF"/>
    <w:rsid w:val="008C6F66"/>
    <w:rsid w:val="008C7273"/>
    <w:rsid w:val="008C7313"/>
    <w:rsid w:val="008C7603"/>
    <w:rsid w:val="008C7B58"/>
    <w:rsid w:val="008C7CC1"/>
    <w:rsid w:val="008C7CF2"/>
    <w:rsid w:val="008D0201"/>
    <w:rsid w:val="008D0216"/>
    <w:rsid w:val="008D074D"/>
    <w:rsid w:val="008D0825"/>
    <w:rsid w:val="008D0A70"/>
    <w:rsid w:val="008D0E30"/>
    <w:rsid w:val="008D0E9E"/>
    <w:rsid w:val="008D1056"/>
    <w:rsid w:val="008D16DD"/>
    <w:rsid w:val="008D1755"/>
    <w:rsid w:val="008D1911"/>
    <w:rsid w:val="008D1E83"/>
    <w:rsid w:val="008D2378"/>
    <w:rsid w:val="008D2618"/>
    <w:rsid w:val="008D26F9"/>
    <w:rsid w:val="008D2AB5"/>
    <w:rsid w:val="008D2BB8"/>
    <w:rsid w:val="008D2C81"/>
    <w:rsid w:val="008D2E55"/>
    <w:rsid w:val="008D30C2"/>
    <w:rsid w:val="008D3709"/>
    <w:rsid w:val="008D3935"/>
    <w:rsid w:val="008D408A"/>
    <w:rsid w:val="008D4383"/>
    <w:rsid w:val="008D4446"/>
    <w:rsid w:val="008D47BD"/>
    <w:rsid w:val="008D48E8"/>
    <w:rsid w:val="008D4A65"/>
    <w:rsid w:val="008D4D43"/>
    <w:rsid w:val="008D4E5E"/>
    <w:rsid w:val="008D4F8D"/>
    <w:rsid w:val="008D4FC6"/>
    <w:rsid w:val="008D4FDB"/>
    <w:rsid w:val="008D51EE"/>
    <w:rsid w:val="008D5577"/>
    <w:rsid w:val="008D5740"/>
    <w:rsid w:val="008D57AB"/>
    <w:rsid w:val="008D57D5"/>
    <w:rsid w:val="008D5DBA"/>
    <w:rsid w:val="008D60A7"/>
    <w:rsid w:val="008D6396"/>
    <w:rsid w:val="008D67B4"/>
    <w:rsid w:val="008D695F"/>
    <w:rsid w:val="008D6EC7"/>
    <w:rsid w:val="008D7150"/>
    <w:rsid w:val="008D71C0"/>
    <w:rsid w:val="008D743C"/>
    <w:rsid w:val="008D79C6"/>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66"/>
    <w:rsid w:val="008E3876"/>
    <w:rsid w:val="008E3AC8"/>
    <w:rsid w:val="008E3D86"/>
    <w:rsid w:val="008E3EF6"/>
    <w:rsid w:val="008E46D8"/>
    <w:rsid w:val="008E4F7E"/>
    <w:rsid w:val="008E5537"/>
    <w:rsid w:val="008E557E"/>
    <w:rsid w:val="008E559D"/>
    <w:rsid w:val="008E575A"/>
    <w:rsid w:val="008E594E"/>
    <w:rsid w:val="008E5AB2"/>
    <w:rsid w:val="008E5C2C"/>
    <w:rsid w:val="008E5CF3"/>
    <w:rsid w:val="008E612C"/>
    <w:rsid w:val="008E65D9"/>
    <w:rsid w:val="008E6864"/>
    <w:rsid w:val="008E68F3"/>
    <w:rsid w:val="008E6B26"/>
    <w:rsid w:val="008E6BD0"/>
    <w:rsid w:val="008E6CB5"/>
    <w:rsid w:val="008E6E91"/>
    <w:rsid w:val="008E6F2A"/>
    <w:rsid w:val="008E7798"/>
    <w:rsid w:val="008E7964"/>
    <w:rsid w:val="008E7AB5"/>
    <w:rsid w:val="008E7BAE"/>
    <w:rsid w:val="008E7F31"/>
    <w:rsid w:val="008E7F6E"/>
    <w:rsid w:val="008E7FA9"/>
    <w:rsid w:val="008E7FCE"/>
    <w:rsid w:val="008F0447"/>
    <w:rsid w:val="008F088E"/>
    <w:rsid w:val="008F0892"/>
    <w:rsid w:val="008F0B65"/>
    <w:rsid w:val="008F10F0"/>
    <w:rsid w:val="008F13D7"/>
    <w:rsid w:val="008F1462"/>
    <w:rsid w:val="008F14C9"/>
    <w:rsid w:val="008F16A5"/>
    <w:rsid w:val="008F176E"/>
    <w:rsid w:val="008F1874"/>
    <w:rsid w:val="008F188C"/>
    <w:rsid w:val="008F1C07"/>
    <w:rsid w:val="008F1E98"/>
    <w:rsid w:val="008F1F16"/>
    <w:rsid w:val="008F1FF8"/>
    <w:rsid w:val="008F258D"/>
    <w:rsid w:val="008F27A4"/>
    <w:rsid w:val="008F2A94"/>
    <w:rsid w:val="008F3243"/>
    <w:rsid w:val="008F32A3"/>
    <w:rsid w:val="008F32FA"/>
    <w:rsid w:val="008F362C"/>
    <w:rsid w:val="008F3632"/>
    <w:rsid w:val="008F39DD"/>
    <w:rsid w:val="008F3E38"/>
    <w:rsid w:val="008F41F8"/>
    <w:rsid w:val="008F4297"/>
    <w:rsid w:val="008F43D9"/>
    <w:rsid w:val="008F4730"/>
    <w:rsid w:val="008F478C"/>
    <w:rsid w:val="008F47AC"/>
    <w:rsid w:val="008F4836"/>
    <w:rsid w:val="008F4E6E"/>
    <w:rsid w:val="008F4F75"/>
    <w:rsid w:val="008F5014"/>
    <w:rsid w:val="008F5054"/>
    <w:rsid w:val="008F5176"/>
    <w:rsid w:val="008F535D"/>
    <w:rsid w:val="008F5BE2"/>
    <w:rsid w:val="008F5CB9"/>
    <w:rsid w:val="008F5E22"/>
    <w:rsid w:val="008F5EEC"/>
    <w:rsid w:val="008F6173"/>
    <w:rsid w:val="008F631A"/>
    <w:rsid w:val="008F66F1"/>
    <w:rsid w:val="008F670B"/>
    <w:rsid w:val="008F6BE3"/>
    <w:rsid w:val="008F6DCD"/>
    <w:rsid w:val="008F7A64"/>
    <w:rsid w:val="008F7C31"/>
    <w:rsid w:val="008F7D35"/>
    <w:rsid w:val="00900231"/>
    <w:rsid w:val="009007F1"/>
    <w:rsid w:val="00900ECD"/>
    <w:rsid w:val="00901324"/>
    <w:rsid w:val="009016FB"/>
    <w:rsid w:val="009018B8"/>
    <w:rsid w:val="00901B8B"/>
    <w:rsid w:val="00901BBB"/>
    <w:rsid w:val="00901CE3"/>
    <w:rsid w:val="00902108"/>
    <w:rsid w:val="00902133"/>
    <w:rsid w:val="009021FE"/>
    <w:rsid w:val="00902419"/>
    <w:rsid w:val="00902514"/>
    <w:rsid w:val="00902804"/>
    <w:rsid w:val="00902C7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456"/>
    <w:rsid w:val="009065A5"/>
    <w:rsid w:val="00906E18"/>
    <w:rsid w:val="00906E5F"/>
    <w:rsid w:val="00906F50"/>
    <w:rsid w:val="0090716B"/>
    <w:rsid w:val="009075B5"/>
    <w:rsid w:val="00907665"/>
    <w:rsid w:val="00907979"/>
    <w:rsid w:val="00907BA2"/>
    <w:rsid w:val="00907EE0"/>
    <w:rsid w:val="00910163"/>
    <w:rsid w:val="00910180"/>
    <w:rsid w:val="009101AE"/>
    <w:rsid w:val="009103FF"/>
    <w:rsid w:val="00910737"/>
    <w:rsid w:val="00910F8D"/>
    <w:rsid w:val="0091125C"/>
    <w:rsid w:val="0091138B"/>
    <w:rsid w:val="00911430"/>
    <w:rsid w:val="00911777"/>
    <w:rsid w:val="00911A40"/>
    <w:rsid w:val="00911D4D"/>
    <w:rsid w:val="0091289A"/>
    <w:rsid w:val="00912B86"/>
    <w:rsid w:val="00913206"/>
    <w:rsid w:val="00913774"/>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B02"/>
    <w:rsid w:val="00915B36"/>
    <w:rsid w:val="00915BDF"/>
    <w:rsid w:val="00915C41"/>
    <w:rsid w:val="00915C98"/>
    <w:rsid w:val="00915CB2"/>
    <w:rsid w:val="009161F5"/>
    <w:rsid w:val="009163B9"/>
    <w:rsid w:val="00916510"/>
    <w:rsid w:val="0091668F"/>
    <w:rsid w:val="0091677C"/>
    <w:rsid w:val="009167BE"/>
    <w:rsid w:val="009167FE"/>
    <w:rsid w:val="00916812"/>
    <w:rsid w:val="0091691E"/>
    <w:rsid w:val="00916AA3"/>
    <w:rsid w:val="00917042"/>
    <w:rsid w:val="00917159"/>
    <w:rsid w:val="009172A4"/>
    <w:rsid w:val="00917572"/>
    <w:rsid w:val="00917D32"/>
    <w:rsid w:val="00920169"/>
    <w:rsid w:val="0092070C"/>
    <w:rsid w:val="009207D6"/>
    <w:rsid w:val="00920892"/>
    <w:rsid w:val="00920D77"/>
    <w:rsid w:val="00921303"/>
    <w:rsid w:val="00921375"/>
    <w:rsid w:val="00921662"/>
    <w:rsid w:val="00921740"/>
    <w:rsid w:val="00921EB3"/>
    <w:rsid w:val="00921F29"/>
    <w:rsid w:val="009223F3"/>
    <w:rsid w:val="00922407"/>
    <w:rsid w:val="009228DA"/>
    <w:rsid w:val="00922AD6"/>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C"/>
    <w:rsid w:val="00926A48"/>
    <w:rsid w:val="00926B88"/>
    <w:rsid w:val="00926BFE"/>
    <w:rsid w:val="00926DC7"/>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F9B"/>
    <w:rsid w:val="00931020"/>
    <w:rsid w:val="00931509"/>
    <w:rsid w:val="0093151B"/>
    <w:rsid w:val="0093156A"/>
    <w:rsid w:val="009316F1"/>
    <w:rsid w:val="00931970"/>
    <w:rsid w:val="00931A1F"/>
    <w:rsid w:val="00931B6A"/>
    <w:rsid w:val="00931B7E"/>
    <w:rsid w:val="00931E6D"/>
    <w:rsid w:val="00931F02"/>
    <w:rsid w:val="0093224D"/>
    <w:rsid w:val="009322C7"/>
    <w:rsid w:val="009324DC"/>
    <w:rsid w:val="009326DB"/>
    <w:rsid w:val="00932843"/>
    <w:rsid w:val="00932A44"/>
    <w:rsid w:val="00932B43"/>
    <w:rsid w:val="00932B5D"/>
    <w:rsid w:val="00932C23"/>
    <w:rsid w:val="00932DB8"/>
    <w:rsid w:val="009330B1"/>
    <w:rsid w:val="00933273"/>
    <w:rsid w:val="009336AF"/>
    <w:rsid w:val="00933786"/>
    <w:rsid w:val="00933BE2"/>
    <w:rsid w:val="009340D9"/>
    <w:rsid w:val="00934106"/>
    <w:rsid w:val="009347BC"/>
    <w:rsid w:val="009347C0"/>
    <w:rsid w:val="00934D16"/>
    <w:rsid w:val="00934F99"/>
    <w:rsid w:val="00935317"/>
    <w:rsid w:val="00935499"/>
    <w:rsid w:val="00935541"/>
    <w:rsid w:val="00935577"/>
    <w:rsid w:val="00935607"/>
    <w:rsid w:val="00935758"/>
    <w:rsid w:val="00935785"/>
    <w:rsid w:val="00935969"/>
    <w:rsid w:val="0093596F"/>
    <w:rsid w:val="00935CAD"/>
    <w:rsid w:val="00935CEC"/>
    <w:rsid w:val="00935D54"/>
    <w:rsid w:val="00935F07"/>
    <w:rsid w:val="00935F3D"/>
    <w:rsid w:val="00935FA9"/>
    <w:rsid w:val="00936354"/>
    <w:rsid w:val="009364A3"/>
    <w:rsid w:val="0093659D"/>
    <w:rsid w:val="0093673C"/>
    <w:rsid w:val="009369E7"/>
    <w:rsid w:val="00936AEA"/>
    <w:rsid w:val="00936B9C"/>
    <w:rsid w:val="00936E7C"/>
    <w:rsid w:val="00936F26"/>
    <w:rsid w:val="009373E2"/>
    <w:rsid w:val="00937587"/>
    <w:rsid w:val="009375AE"/>
    <w:rsid w:val="00937D51"/>
    <w:rsid w:val="00937F9B"/>
    <w:rsid w:val="009404B3"/>
    <w:rsid w:val="009405E3"/>
    <w:rsid w:val="009407C4"/>
    <w:rsid w:val="009407CA"/>
    <w:rsid w:val="00940F8C"/>
    <w:rsid w:val="0094108E"/>
    <w:rsid w:val="009410B4"/>
    <w:rsid w:val="00942112"/>
    <w:rsid w:val="009425EA"/>
    <w:rsid w:val="00942771"/>
    <w:rsid w:val="00942B7B"/>
    <w:rsid w:val="00942E61"/>
    <w:rsid w:val="00942FEB"/>
    <w:rsid w:val="00943078"/>
    <w:rsid w:val="009430E2"/>
    <w:rsid w:val="0094334D"/>
    <w:rsid w:val="009433CE"/>
    <w:rsid w:val="0094351C"/>
    <w:rsid w:val="00943719"/>
    <w:rsid w:val="009443D5"/>
    <w:rsid w:val="00944BA8"/>
    <w:rsid w:val="00944E82"/>
    <w:rsid w:val="00945130"/>
    <w:rsid w:val="00945873"/>
    <w:rsid w:val="00945A54"/>
    <w:rsid w:val="00945A80"/>
    <w:rsid w:val="00945B4D"/>
    <w:rsid w:val="009461B7"/>
    <w:rsid w:val="009464C0"/>
    <w:rsid w:val="009464DC"/>
    <w:rsid w:val="00946AED"/>
    <w:rsid w:val="00946DB6"/>
    <w:rsid w:val="00946E86"/>
    <w:rsid w:val="00947092"/>
    <w:rsid w:val="0094781A"/>
    <w:rsid w:val="00947DE3"/>
    <w:rsid w:val="00947FC6"/>
    <w:rsid w:val="009502F3"/>
    <w:rsid w:val="00950356"/>
    <w:rsid w:val="00950426"/>
    <w:rsid w:val="0095079A"/>
    <w:rsid w:val="009507B1"/>
    <w:rsid w:val="00950861"/>
    <w:rsid w:val="0095086C"/>
    <w:rsid w:val="00950CF3"/>
    <w:rsid w:val="00950ED0"/>
    <w:rsid w:val="009511C4"/>
    <w:rsid w:val="009513E5"/>
    <w:rsid w:val="00951428"/>
    <w:rsid w:val="009516EE"/>
    <w:rsid w:val="00951856"/>
    <w:rsid w:val="009518FD"/>
    <w:rsid w:val="00952068"/>
    <w:rsid w:val="009528DA"/>
    <w:rsid w:val="0095297A"/>
    <w:rsid w:val="009529B3"/>
    <w:rsid w:val="00952D48"/>
    <w:rsid w:val="00953373"/>
    <w:rsid w:val="009535BD"/>
    <w:rsid w:val="009536D8"/>
    <w:rsid w:val="0095387D"/>
    <w:rsid w:val="00953A87"/>
    <w:rsid w:val="00953E39"/>
    <w:rsid w:val="009541A1"/>
    <w:rsid w:val="0095420F"/>
    <w:rsid w:val="00954DDC"/>
    <w:rsid w:val="00954FB1"/>
    <w:rsid w:val="0095520C"/>
    <w:rsid w:val="009552F5"/>
    <w:rsid w:val="00955878"/>
    <w:rsid w:val="00955881"/>
    <w:rsid w:val="009559D4"/>
    <w:rsid w:val="00956567"/>
    <w:rsid w:val="00956649"/>
    <w:rsid w:val="009568AC"/>
    <w:rsid w:val="00956997"/>
    <w:rsid w:val="00956F35"/>
    <w:rsid w:val="00956FD9"/>
    <w:rsid w:val="009571EC"/>
    <w:rsid w:val="00957440"/>
    <w:rsid w:val="0095744C"/>
    <w:rsid w:val="009578B5"/>
    <w:rsid w:val="00957ACD"/>
    <w:rsid w:val="00957C18"/>
    <w:rsid w:val="00957ECD"/>
    <w:rsid w:val="00957F1E"/>
    <w:rsid w:val="009600FF"/>
    <w:rsid w:val="00960116"/>
    <w:rsid w:val="0096031C"/>
    <w:rsid w:val="00960322"/>
    <w:rsid w:val="009604B7"/>
    <w:rsid w:val="0096088B"/>
    <w:rsid w:val="00960A46"/>
    <w:rsid w:val="00960C09"/>
    <w:rsid w:val="00961233"/>
    <w:rsid w:val="00961461"/>
    <w:rsid w:val="0096150A"/>
    <w:rsid w:val="0096180C"/>
    <w:rsid w:val="00961B88"/>
    <w:rsid w:val="009624D0"/>
    <w:rsid w:val="0096269E"/>
    <w:rsid w:val="00962B36"/>
    <w:rsid w:val="00962B7F"/>
    <w:rsid w:val="00962CE3"/>
    <w:rsid w:val="00962DED"/>
    <w:rsid w:val="0096341F"/>
    <w:rsid w:val="00963430"/>
    <w:rsid w:val="00963497"/>
    <w:rsid w:val="00963616"/>
    <w:rsid w:val="00963A70"/>
    <w:rsid w:val="00963E69"/>
    <w:rsid w:val="009642A8"/>
    <w:rsid w:val="00964503"/>
    <w:rsid w:val="00964772"/>
    <w:rsid w:val="00964806"/>
    <w:rsid w:val="009648B6"/>
    <w:rsid w:val="00964948"/>
    <w:rsid w:val="00964ECE"/>
    <w:rsid w:val="00965214"/>
    <w:rsid w:val="009653E3"/>
    <w:rsid w:val="0096555E"/>
    <w:rsid w:val="009656E0"/>
    <w:rsid w:val="00965909"/>
    <w:rsid w:val="009662B4"/>
    <w:rsid w:val="00966823"/>
    <w:rsid w:val="00966FF0"/>
    <w:rsid w:val="00967321"/>
    <w:rsid w:val="0096740C"/>
    <w:rsid w:val="00967A39"/>
    <w:rsid w:val="00967B4A"/>
    <w:rsid w:val="00967D6D"/>
    <w:rsid w:val="00967DF8"/>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21C4"/>
    <w:rsid w:val="00972280"/>
    <w:rsid w:val="00972874"/>
    <w:rsid w:val="00972B16"/>
    <w:rsid w:val="00973111"/>
    <w:rsid w:val="00973134"/>
    <w:rsid w:val="00973267"/>
    <w:rsid w:val="00973396"/>
    <w:rsid w:val="00973977"/>
    <w:rsid w:val="00973EC2"/>
    <w:rsid w:val="009741F4"/>
    <w:rsid w:val="0097436A"/>
    <w:rsid w:val="009746BA"/>
    <w:rsid w:val="009747A9"/>
    <w:rsid w:val="00974AD4"/>
    <w:rsid w:val="0097567E"/>
    <w:rsid w:val="00975D36"/>
    <w:rsid w:val="0097611D"/>
    <w:rsid w:val="00976605"/>
    <w:rsid w:val="00976692"/>
    <w:rsid w:val="0097683F"/>
    <w:rsid w:val="00976975"/>
    <w:rsid w:val="00976A01"/>
    <w:rsid w:val="00976CA5"/>
    <w:rsid w:val="00976E19"/>
    <w:rsid w:val="0097728B"/>
    <w:rsid w:val="009773D7"/>
    <w:rsid w:val="00977573"/>
    <w:rsid w:val="0097760C"/>
    <w:rsid w:val="00977828"/>
    <w:rsid w:val="00977B8B"/>
    <w:rsid w:val="00977CDB"/>
    <w:rsid w:val="00980196"/>
    <w:rsid w:val="00980275"/>
    <w:rsid w:val="00980522"/>
    <w:rsid w:val="009806EB"/>
    <w:rsid w:val="00980DE8"/>
    <w:rsid w:val="00981082"/>
    <w:rsid w:val="0098122A"/>
    <w:rsid w:val="00981561"/>
    <w:rsid w:val="00981591"/>
    <w:rsid w:val="009815BF"/>
    <w:rsid w:val="009816D1"/>
    <w:rsid w:val="00981C8E"/>
    <w:rsid w:val="00981F97"/>
    <w:rsid w:val="0098221C"/>
    <w:rsid w:val="00982392"/>
    <w:rsid w:val="00982975"/>
    <w:rsid w:val="00982D43"/>
    <w:rsid w:val="00982D80"/>
    <w:rsid w:val="00982E9C"/>
    <w:rsid w:val="0098322D"/>
    <w:rsid w:val="00983481"/>
    <w:rsid w:val="00983944"/>
    <w:rsid w:val="00984081"/>
    <w:rsid w:val="0098444C"/>
    <w:rsid w:val="00984B2D"/>
    <w:rsid w:val="00984B78"/>
    <w:rsid w:val="00984C6C"/>
    <w:rsid w:val="00984D36"/>
    <w:rsid w:val="00984E2A"/>
    <w:rsid w:val="009851F6"/>
    <w:rsid w:val="009852A3"/>
    <w:rsid w:val="009854B3"/>
    <w:rsid w:val="009854DC"/>
    <w:rsid w:val="00985771"/>
    <w:rsid w:val="009858B8"/>
    <w:rsid w:val="009859DC"/>
    <w:rsid w:val="00985A59"/>
    <w:rsid w:val="00985A6A"/>
    <w:rsid w:val="00985A6B"/>
    <w:rsid w:val="00985ECD"/>
    <w:rsid w:val="0098600E"/>
    <w:rsid w:val="00986A1C"/>
    <w:rsid w:val="00986A37"/>
    <w:rsid w:val="00986EE7"/>
    <w:rsid w:val="00987026"/>
    <w:rsid w:val="009870A1"/>
    <w:rsid w:val="009870AA"/>
    <w:rsid w:val="0098724F"/>
    <w:rsid w:val="0098726E"/>
    <w:rsid w:val="009875A8"/>
    <w:rsid w:val="00987746"/>
    <w:rsid w:val="009877EB"/>
    <w:rsid w:val="0098795D"/>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6F9"/>
    <w:rsid w:val="00992EDD"/>
    <w:rsid w:val="00993000"/>
    <w:rsid w:val="009930F1"/>
    <w:rsid w:val="009939BF"/>
    <w:rsid w:val="00993A53"/>
    <w:rsid w:val="00993A5A"/>
    <w:rsid w:val="00993CA0"/>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995"/>
    <w:rsid w:val="00996B07"/>
    <w:rsid w:val="00996CB9"/>
    <w:rsid w:val="00997363"/>
    <w:rsid w:val="0099758C"/>
    <w:rsid w:val="009976BE"/>
    <w:rsid w:val="00997711"/>
    <w:rsid w:val="00997BAB"/>
    <w:rsid w:val="00997C0D"/>
    <w:rsid w:val="00997C96"/>
    <w:rsid w:val="009A0037"/>
    <w:rsid w:val="009A0073"/>
    <w:rsid w:val="009A0536"/>
    <w:rsid w:val="009A0605"/>
    <w:rsid w:val="009A07C2"/>
    <w:rsid w:val="009A0830"/>
    <w:rsid w:val="009A09E4"/>
    <w:rsid w:val="009A0FCE"/>
    <w:rsid w:val="009A103A"/>
    <w:rsid w:val="009A1184"/>
    <w:rsid w:val="009A11A4"/>
    <w:rsid w:val="009A138D"/>
    <w:rsid w:val="009A1548"/>
    <w:rsid w:val="009A171F"/>
    <w:rsid w:val="009A208A"/>
    <w:rsid w:val="009A2271"/>
    <w:rsid w:val="009A22E3"/>
    <w:rsid w:val="009A262B"/>
    <w:rsid w:val="009A2955"/>
    <w:rsid w:val="009A2C42"/>
    <w:rsid w:val="009A2C7A"/>
    <w:rsid w:val="009A2C9A"/>
    <w:rsid w:val="009A2D89"/>
    <w:rsid w:val="009A311B"/>
    <w:rsid w:val="009A316A"/>
    <w:rsid w:val="009A3274"/>
    <w:rsid w:val="009A342A"/>
    <w:rsid w:val="009A3506"/>
    <w:rsid w:val="009A35BE"/>
    <w:rsid w:val="009A3609"/>
    <w:rsid w:val="009A39CC"/>
    <w:rsid w:val="009A3CAA"/>
    <w:rsid w:val="009A42FB"/>
    <w:rsid w:val="009A4583"/>
    <w:rsid w:val="009A4DFD"/>
    <w:rsid w:val="009A52C9"/>
    <w:rsid w:val="009A5371"/>
    <w:rsid w:val="009A53FF"/>
    <w:rsid w:val="009A54E8"/>
    <w:rsid w:val="009A5739"/>
    <w:rsid w:val="009A5845"/>
    <w:rsid w:val="009A584B"/>
    <w:rsid w:val="009A5931"/>
    <w:rsid w:val="009A5B45"/>
    <w:rsid w:val="009A5B7A"/>
    <w:rsid w:val="009A5D58"/>
    <w:rsid w:val="009A5DDB"/>
    <w:rsid w:val="009A6340"/>
    <w:rsid w:val="009A6BCC"/>
    <w:rsid w:val="009A6CBB"/>
    <w:rsid w:val="009A6D8D"/>
    <w:rsid w:val="009A7201"/>
    <w:rsid w:val="009A7408"/>
    <w:rsid w:val="009A7B13"/>
    <w:rsid w:val="009A7CFF"/>
    <w:rsid w:val="009A7E19"/>
    <w:rsid w:val="009B0458"/>
    <w:rsid w:val="009B06DB"/>
    <w:rsid w:val="009B07A3"/>
    <w:rsid w:val="009B0916"/>
    <w:rsid w:val="009B0A83"/>
    <w:rsid w:val="009B0DC7"/>
    <w:rsid w:val="009B0EE1"/>
    <w:rsid w:val="009B1D26"/>
    <w:rsid w:val="009B227D"/>
    <w:rsid w:val="009B2466"/>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816"/>
    <w:rsid w:val="009B5C10"/>
    <w:rsid w:val="009B6081"/>
    <w:rsid w:val="009B68EE"/>
    <w:rsid w:val="009B734C"/>
    <w:rsid w:val="009B734F"/>
    <w:rsid w:val="009B7813"/>
    <w:rsid w:val="009B790E"/>
    <w:rsid w:val="009C009F"/>
    <w:rsid w:val="009C0297"/>
    <w:rsid w:val="009C0553"/>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F19"/>
    <w:rsid w:val="009C2FC1"/>
    <w:rsid w:val="009C34A4"/>
    <w:rsid w:val="009C3538"/>
    <w:rsid w:val="009C369A"/>
    <w:rsid w:val="009C3C20"/>
    <w:rsid w:val="009C460F"/>
    <w:rsid w:val="009C48F7"/>
    <w:rsid w:val="009C4A94"/>
    <w:rsid w:val="009C4ED9"/>
    <w:rsid w:val="009C5266"/>
    <w:rsid w:val="009C54AF"/>
    <w:rsid w:val="009C5633"/>
    <w:rsid w:val="009C5701"/>
    <w:rsid w:val="009C5A95"/>
    <w:rsid w:val="009C5B5E"/>
    <w:rsid w:val="009C5C4B"/>
    <w:rsid w:val="009C5E04"/>
    <w:rsid w:val="009C5F25"/>
    <w:rsid w:val="009C62C3"/>
    <w:rsid w:val="009C6411"/>
    <w:rsid w:val="009C65B9"/>
    <w:rsid w:val="009C6A88"/>
    <w:rsid w:val="009C6C51"/>
    <w:rsid w:val="009C6FD5"/>
    <w:rsid w:val="009C73F0"/>
    <w:rsid w:val="009C781A"/>
    <w:rsid w:val="009C78BC"/>
    <w:rsid w:val="009C7CC2"/>
    <w:rsid w:val="009C7E97"/>
    <w:rsid w:val="009D0194"/>
    <w:rsid w:val="009D042F"/>
    <w:rsid w:val="009D05DF"/>
    <w:rsid w:val="009D079B"/>
    <w:rsid w:val="009D08C2"/>
    <w:rsid w:val="009D0BB1"/>
    <w:rsid w:val="009D1099"/>
    <w:rsid w:val="009D146F"/>
    <w:rsid w:val="009D196D"/>
    <w:rsid w:val="009D24D1"/>
    <w:rsid w:val="009D2A48"/>
    <w:rsid w:val="009D2BFF"/>
    <w:rsid w:val="009D2CE4"/>
    <w:rsid w:val="009D2D29"/>
    <w:rsid w:val="009D2E31"/>
    <w:rsid w:val="009D2FDD"/>
    <w:rsid w:val="009D34A7"/>
    <w:rsid w:val="009D34E4"/>
    <w:rsid w:val="009D3C85"/>
    <w:rsid w:val="009D3CCD"/>
    <w:rsid w:val="009D3EA0"/>
    <w:rsid w:val="009D434C"/>
    <w:rsid w:val="009D440F"/>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618"/>
    <w:rsid w:val="009D7694"/>
    <w:rsid w:val="009D7A2D"/>
    <w:rsid w:val="009D7FC9"/>
    <w:rsid w:val="009E024A"/>
    <w:rsid w:val="009E02A4"/>
    <w:rsid w:val="009E06D4"/>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A4F"/>
    <w:rsid w:val="009E2A79"/>
    <w:rsid w:val="009E2B54"/>
    <w:rsid w:val="009E2D04"/>
    <w:rsid w:val="009E2F86"/>
    <w:rsid w:val="009E3266"/>
    <w:rsid w:val="009E327C"/>
    <w:rsid w:val="009E3418"/>
    <w:rsid w:val="009E3773"/>
    <w:rsid w:val="009E37FA"/>
    <w:rsid w:val="009E3A74"/>
    <w:rsid w:val="009E3F40"/>
    <w:rsid w:val="009E403E"/>
    <w:rsid w:val="009E433C"/>
    <w:rsid w:val="009E454D"/>
    <w:rsid w:val="009E4762"/>
    <w:rsid w:val="009E482C"/>
    <w:rsid w:val="009E514F"/>
    <w:rsid w:val="009E515C"/>
    <w:rsid w:val="009E518A"/>
    <w:rsid w:val="009E55B6"/>
    <w:rsid w:val="009E570F"/>
    <w:rsid w:val="009E5A41"/>
    <w:rsid w:val="009E5DE7"/>
    <w:rsid w:val="009E615D"/>
    <w:rsid w:val="009E66F3"/>
    <w:rsid w:val="009E66FB"/>
    <w:rsid w:val="009E6936"/>
    <w:rsid w:val="009E71E9"/>
    <w:rsid w:val="009E74DA"/>
    <w:rsid w:val="009E777A"/>
    <w:rsid w:val="009E7875"/>
    <w:rsid w:val="009E78DA"/>
    <w:rsid w:val="009E7A3A"/>
    <w:rsid w:val="009E7AEA"/>
    <w:rsid w:val="009E7B20"/>
    <w:rsid w:val="009E7B39"/>
    <w:rsid w:val="009F03AD"/>
    <w:rsid w:val="009F055F"/>
    <w:rsid w:val="009F0900"/>
    <w:rsid w:val="009F0984"/>
    <w:rsid w:val="009F0A17"/>
    <w:rsid w:val="009F0A27"/>
    <w:rsid w:val="009F0B92"/>
    <w:rsid w:val="009F1226"/>
    <w:rsid w:val="009F1338"/>
    <w:rsid w:val="009F13C7"/>
    <w:rsid w:val="009F1565"/>
    <w:rsid w:val="009F184E"/>
    <w:rsid w:val="009F19D5"/>
    <w:rsid w:val="009F221A"/>
    <w:rsid w:val="009F2457"/>
    <w:rsid w:val="009F28C3"/>
    <w:rsid w:val="009F29BD"/>
    <w:rsid w:val="009F2EBA"/>
    <w:rsid w:val="009F315E"/>
    <w:rsid w:val="009F31D6"/>
    <w:rsid w:val="009F3711"/>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66"/>
    <w:rsid w:val="00A0107C"/>
    <w:rsid w:val="00A012C4"/>
    <w:rsid w:val="00A01490"/>
    <w:rsid w:val="00A014A9"/>
    <w:rsid w:val="00A014C8"/>
    <w:rsid w:val="00A0194E"/>
    <w:rsid w:val="00A01B66"/>
    <w:rsid w:val="00A01B98"/>
    <w:rsid w:val="00A01C11"/>
    <w:rsid w:val="00A020DD"/>
    <w:rsid w:val="00A022A0"/>
    <w:rsid w:val="00A0239A"/>
    <w:rsid w:val="00A027FD"/>
    <w:rsid w:val="00A02AA4"/>
    <w:rsid w:val="00A02B5A"/>
    <w:rsid w:val="00A02BDF"/>
    <w:rsid w:val="00A02DA2"/>
    <w:rsid w:val="00A02EC9"/>
    <w:rsid w:val="00A02F37"/>
    <w:rsid w:val="00A02F4C"/>
    <w:rsid w:val="00A0333D"/>
    <w:rsid w:val="00A034A7"/>
    <w:rsid w:val="00A03686"/>
    <w:rsid w:val="00A03792"/>
    <w:rsid w:val="00A03839"/>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61F1"/>
    <w:rsid w:val="00A062F2"/>
    <w:rsid w:val="00A064DE"/>
    <w:rsid w:val="00A064EC"/>
    <w:rsid w:val="00A06711"/>
    <w:rsid w:val="00A06914"/>
    <w:rsid w:val="00A06E2F"/>
    <w:rsid w:val="00A07297"/>
    <w:rsid w:val="00A072DA"/>
    <w:rsid w:val="00A07432"/>
    <w:rsid w:val="00A076E4"/>
    <w:rsid w:val="00A07859"/>
    <w:rsid w:val="00A07918"/>
    <w:rsid w:val="00A07C5F"/>
    <w:rsid w:val="00A07D3B"/>
    <w:rsid w:val="00A07D68"/>
    <w:rsid w:val="00A07DF8"/>
    <w:rsid w:val="00A07F83"/>
    <w:rsid w:val="00A10162"/>
    <w:rsid w:val="00A1055C"/>
    <w:rsid w:val="00A108B4"/>
    <w:rsid w:val="00A108C9"/>
    <w:rsid w:val="00A1099B"/>
    <w:rsid w:val="00A10B99"/>
    <w:rsid w:val="00A10FA4"/>
    <w:rsid w:val="00A10FB7"/>
    <w:rsid w:val="00A1122B"/>
    <w:rsid w:val="00A1151A"/>
    <w:rsid w:val="00A116D1"/>
    <w:rsid w:val="00A11D44"/>
    <w:rsid w:val="00A12562"/>
    <w:rsid w:val="00A1268B"/>
    <w:rsid w:val="00A12918"/>
    <w:rsid w:val="00A12DB6"/>
    <w:rsid w:val="00A12FE9"/>
    <w:rsid w:val="00A1307F"/>
    <w:rsid w:val="00A133FD"/>
    <w:rsid w:val="00A13AF7"/>
    <w:rsid w:val="00A13B9A"/>
    <w:rsid w:val="00A13D4D"/>
    <w:rsid w:val="00A13F7B"/>
    <w:rsid w:val="00A13FC9"/>
    <w:rsid w:val="00A140BC"/>
    <w:rsid w:val="00A14297"/>
    <w:rsid w:val="00A14AC1"/>
    <w:rsid w:val="00A14E37"/>
    <w:rsid w:val="00A14E4D"/>
    <w:rsid w:val="00A14F26"/>
    <w:rsid w:val="00A15336"/>
    <w:rsid w:val="00A15453"/>
    <w:rsid w:val="00A1571A"/>
    <w:rsid w:val="00A1577C"/>
    <w:rsid w:val="00A1588D"/>
    <w:rsid w:val="00A15EE2"/>
    <w:rsid w:val="00A15F39"/>
    <w:rsid w:val="00A1603D"/>
    <w:rsid w:val="00A160A4"/>
    <w:rsid w:val="00A1621A"/>
    <w:rsid w:val="00A1657B"/>
    <w:rsid w:val="00A1670F"/>
    <w:rsid w:val="00A1696D"/>
    <w:rsid w:val="00A169B9"/>
    <w:rsid w:val="00A169D6"/>
    <w:rsid w:val="00A16A90"/>
    <w:rsid w:val="00A16C61"/>
    <w:rsid w:val="00A17978"/>
    <w:rsid w:val="00A17BAC"/>
    <w:rsid w:val="00A17C4C"/>
    <w:rsid w:val="00A17E8D"/>
    <w:rsid w:val="00A2010D"/>
    <w:rsid w:val="00A2037E"/>
    <w:rsid w:val="00A20991"/>
    <w:rsid w:val="00A20B20"/>
    <w:rsid w:val="00A20B58"/>
    <w:rsid w:val="00A20D33"/>
    <w:rsid w:val="00A20E11"/>
    <w:rsid w:val="00A213E8"/>
    <w:rsid w:val="00A21477"/>
    <w:rsid w:val="00A216FD"/>
    <w:rsid w:val="00A21763"/>
    <w:rsid w:val="00A21C9A"/>
    <w:rsid w:val="00A22458"/>
    <w:rsid w:val="00A2275E"/>
    <w:rsid w:val="00A22B7B"/>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53E"/>
    <w:rsid w:val="00A26C2C"/>
    <w:rsid w:val="00A26ED8"/>
    <w:rsid w:val="00A26F1D"/>
    <w:rsid w:val="00A27039"/>
    <w:rsid w:val="00A27148"/>
    <w:rsid w:val="00A27A19"/>
    <w:rsid w:val="00A27B1E"/>
    <w:rsid w:val="00A27C43"/>
    <w:rsid w:val="00A27C60"/>
    <w:rsid w:val="00A27C7B"/>
    <w:rsid w:val="00A30315"/>
    <w:rsid w:val="00A30400"/>
    <w:rsid w:val="00A305A9"/>
    <w:rsid w:val="00A306F1"/>
    <w:rsid w:val="00A30946"/>
    <w:rsid w:val="00A30AB4"/>
    <w:rsid w:val="00A30DF9"/>
    <w:rsid w:val="00A30ECA"/>
    <w:rsid w:val="00A30FCE"/>
    <w:rsid w:val="00A31632"/>
    <w:rsid w:val="00A318EA"/>
    <w:rsid w:val="00A31D03"/>
    <w:rsid w:val="00A31F7B"/>
    <w:rsid w:val="00A32315"/>
    <w:rsid w:val="00A32B2B"/>
    <w:rsid w:val="00A32C35"/>
    <w:rsid w:val="00A32C86"/>
    <w:rsid w:val="00A32D87"/>
    <w:rsid w:val="00A32DEB"/>
    <w:rsid w:val="00A332C2"/>
    <w:rsid w:val="00A336E9"/>
    <w:rsid w:val="00A33B76"/>
    <w:rsid w:val="00A33BE1"/>
    <w:rsid w:val="00A33E2B"/>
    <w:rsid w:val="00A3432A"/>
    <w:rsid w:val="00A343D8"/>
    <w:rsid w:val="00A34477"/>
    <w:rsid w:val="00A348C4"/>
    <w:rsid w:val="00A35119"/>
    <w:rsid w:val="00A3512D"/>
    <w:rsid w:val="00A3519E"/>
    <w:rsid w:val="00A3531A"/>
    <w:rsid w:val="00A35556"/>
    <w:rsid w:val="00A35B0B"/>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A80"/>
    <w:rsid w:val="00A404CA"/>
    <w:rsid w:val="00A40A40"/>
    <w:rsid w:val="00A40B1B"/>
    <w:rsid w:val="00A40E85"/>
    <w:rsid w:val="00A41014"/>
    <w:rsid w:val="00A41A97"/>
    <w:rsid w:val="00A41D44"/>
    <w:rsid w:val="00A42064"/>
    <w:rsid w:val="00A420BD"/>
    <w:rsid w:val="00A421BA"/>
    <w:rsid w:val="00A42412"/>
    <w:rsid w:val="00A4246D"/>
    <w:rsid w:val="00A4249E"/>
    <w:rsid w:val="00A4275C"/>
    <w:rsid w:val="00A42962"/>
    <w:rsid w:val="00A429BA"/>
    <w:rsid w:val="00A42A06"/>
    <w:rsid w:val="00A43033"/>
    <w:rsid w:val="00A43352"/>
    <w:rsid w:val="00A43499"/>
    <w:rsid w:val="00A4368D"/>
    <w:rsid w:val="00A43815"/>
    <w:rsid w:val="00A43C3A"/>
    <w:rsid w:val="00A43CAF"/>
    <w:rsid w:val="00A43EE4"/>
    <w:rsid w:val="00A441A6"/>
    <w:rsid w:val="00A444E6"/>
    <w:rsid w:val="00A4451B"/>
    <w:rsid w:val="00A4456F"/>
    <w:rsid w:val="00A44726"/>
    <w:rsid w:val="00A448E6"/>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5EC"/>
    <w:rsid w:val="00A46AD3"/>
    <w:rsid w:val="00A46B13"/>
    <w:rsid w:val="00A46C77"/>
    <w:rsid w:val="00A4769E"/>
    <w:rsid w:val="00A47C91"/>
    <w:rsid w:val="00A47DA0"/>
    <w:rsid w:val="00A47DF9"/>
    <w:rsid w:val="00A47EC0"/>
    <w:rsid w:val="00A47F3C"/>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846"/>
    <w:rsid w:val="00A52AA7"/>
    <w:rsid w:val="00A52AE9"/>
    <w:rsid w:val="00A52C29"/>
    <w:rsid w:val="00A530F0"/>
    <w:rsid w:val="00A537E2"/>
    <w:rsid w:val="00A540FD"/>
    <w:rsid w:val="00A54180"/>
    <w:rsid w:val="00A541FC"/>
    <w:rsid w:val="00A543AF"/>
    <w:rsid w:val="00A54698"/>
    <w:rsid w:val="00A54C65"/>
    <w:rsid w:val="00A54CB0"/>
    <w:rsid w:val="00A54EB4"/>
    <w:rsid w:val="00A550C0"/>
    <w:rsid w:val="00A5519B"/>
    <w:rsid w:val="00A552D8"/>
    <w:rsid w:val="00A55848"/>
    <w:rsid w:val="00A558B2"/>
    <w:rsid w:val="00A55C99"/>
    <w:rsid w:val="00A56789"/>
    <w:rsid w:val="00A568A1"/>
    <w:rsid w:val="00A569A5"/>
    <w:rsid w:val="00A569E5"/>
    <w:rsid w:val="00A56B84"/>
    <w:rsid w:val="00A56BE0"/>
    <w:rsid w:val="00A570DA"/>
    <w:rsid w:val="00A5721A"/>
    <w:rsid w:val="00A57447"/>
    <w:rsid w:val="00A57550"/>
    <w:rsid w:val="00A57687"/>
    <w:rsid w:val="00A57D8B"/>
    <w:rsid w:val="00A57DF8"/>
    <w:rsid w:val="00A57F1A"/>
    <w:rsid w:val="00A600DD"/>
    <w:rsid w:val="00A6026E"/>
    <w:rsid w:val="00A605F4"/>
    <w:rsid w:val="00A607F7"/>
    <w:rsid w:val="00A60B5B"/>
    <w:rsid w:val="00A60FC5"/>
    <w:rsid w:val="00A60FF3"/>
    <w:rsid w:val="00A612AB"/>
    <w:rsid w:val="00A61383"/>
    <w:rsid w:val="00A61637"/>
    <w:rsid w:val="00A61935"/>
    <w:rsid w:val="00A619A0"/>
    <w:rsid w:val="00A61C77"/>
    <w:rsid w:val="00A61CFA"/>
    <w:rsid w:val="00A61EBD"/>
    <w:rsid w:val="00A62AB4"/>
    <w:rsid w:val="00A62C7B"/>
    <w:rsid w:val="00A62D63"/>
    <w:rsid w:val="00A62DCE"/>
    <w:rsid w:val="00A6338F"/>
    <w:rsid w:val="00A636A1"/>
    <w:rsid w:val="00A637EC"/>
    <w:rsid w:val="00A63A96"/>
    <w:rsid w:val="00A64091"/>
    <w:rsid w:val="00A645E7"/>
    <w:rsid w:val="00A647A5"/>
    <w:rsid w:val="00A64912"/>
    <w:rsid w:val="00A64DCB"/>
    <w:rsid w:val="00A64EC1"/>
    <w:rsid w:val="00A64FB8"/>
    <w:rsid w:val="00A64FC3"/>
    <w:rsid w:val="00A65137"/>
    <w:rsid w:val="00A6513D"/>
    <w:rsid w:val="00A65206"/>
    <w:rsid w:val="00A65426"/>
    <w:rsid w:val="00A65432"/>
    <w:rsid w:val="00A655A4"/>
    <w:rsid w:val="00A6571D"/>
    <w:rsid w:val="00A65DE5"/>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1A"/>
    <w:rsid w:val="00A73C28"/>
    <w:rsid w:val="00A73D53"/>
    <w:rsid w:val="00A73EDC"/>
    <w:rsid w:val="00A7426E"/>
    <w:rsid w:val="00A74983"/>
    <w:rsid w:val="00A74B76"/>
    <w:rsid w:val="00A74CFE"/>
    <w:rsid w:val="00A75087"/>
    <w:rsid w:val="00A750CC"/>
    <w:rsid w:val="00A75139"/>
    <w:rsid w:val="00A75200"/>
    <w:rsid w:val="00A754E2"/>
    <w:rsid w:val="00A75548"/>
    <w:rsid w:val="00A75D81"/>
    <w:rsid w:val="00A75ED9"/>
    <w:rsid w:val="00A76107"/>
    <w:rsid w:val="00A761DB"/>
    <w:rsid w:val="00A7649C"/>
    <w:rsid w:val="00A76782"/>
    <w:rsid w:val="00A76ACD"/>
    <w:rsid w:val="00A76B00"/>
    <w:rsid w:val="00A76B2B"/>
    <w:rsid w:val="00A76B8A"/>
    <w:rsid w:val="00A76BD3"/>
    <w:rsid w:val="00A76CD2"/>
    <w:rsid w:val="00A76CF4"/>
    <w:rsid w:val="00A76FA6"/>
    <w:rsid w:val="00A76FEA"/>
    <w:rsid w:val="00A77247"/>
    <w:rsid w:val="00A77728"/>
    <w:rsid w:val="00A77B7F"/>
    <w:rsid w:val="00A77C30"/>
    <w:rsid w:val="00A80640"/>
    <w:rsid w:val="00A80845"/>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D2C"/>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7F7"/>
    <w:rsid w:val="00A91A0F"/>
    <w:rsid w:val="00A91AB4"/>
    <w:rsid w:val="00A91B49"/>
    <w:rsid w:val="00A91BD9"/>
    <w:rsid w:val="00A924B8"/>
    <w:rsid w:val="00A92976"/>
    <w:rsid w:val="00A92AF4"/>
    <w:rsid w:val="00A92BEA"/>
    <w:rsid w:val="00A92D8D"/>
    <w:rsid w:val="00A9305B"/>
    <w:rsid w:val="00A9305C"/>
    <w:rsid w:val="00A9306D"/>
    <w:rsid w:val="00A93120"/>
    <w:rsid w:val="00A932E3"/>
    <w:rsid w:val="00A93959"/>
    <w:rsid w:val="00A93A74"/>
    <w:rsid w:val="00A93BEE"/>
    <w:rsid w:val="00A93D46"/>
    <w:rsid w:val="00A9415C"/>
    <w:rsid w:val="00A94364"/>
    <w:rsid w:val="00A94415"/>
    <w:rsid w:val="00A9448E"/>
    <w:rsid w:val="00A9463A"/>
    <w:rsid w:val="00A949AD"/>
    <w:rsid w:val="00A94AB6"/>
    <w:rsid w:val="00A95004"/>
    <w:rsid w:val="00A9511F"/>
    <w:rsid w:val="00A9524E"/>
    <w:rsid w:val="00A9542F"/>
    <w:rsid w:val="00A954AD"/>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2C5"/>
    <w:rsid w:val="00AA0309"/>
    <w:rsid w:val="00AA0389"/>
    <w:rsid w:val="00AA03C4"/>
    <w:rsid w:val="00AA0586"/>
    <w:rsid w:val="00AA07B1"/>
    <w:rsid w:val="00AA0CD9"/>
    <w:rsid w:val="00AA0E71"/>
    <w:rsid w:val="00AA1036"/>
    <w:rsid w:val="00AA1407"/>
    <w:rsid w:val="00AA1601"/>
    <w:rsid w:val="00AA1735"/>
    <w:rsid w:val="00AA1748"/>
    <w:rsid w:val="00AA1770"/>
    <w:rsid w:val="00AA1C4F"/>
    <w:rsid w:val="00AA1CEA"/>
    <w:rsid w:val="00AA1D6F"/>
    <w:rsid w:val="00AA217D"/>
    <w:rsid w:val="00AA2462"/>
    <w:rsid w:val="00AA2EB8"/>
    <w:rsid w:val="00AA36D1"/>
    <w:rsid w:val="00AA3F53"/>
    <w:rsid w:val="00AA4318"/>
    <w:rsid w:val="00AA4351"/>
    <w:rsid w:val="00AA45E7"/>
    <w:rsid w:val="00AA461E"/>
    <w:rsid w:val="00AA4637"/>
    <w:rsid w:val="00AA4A17"/>
    <w:rsid w:val="00AA51A3"/>
    <w:rsid w:val="00AA5984"/>
    <w:rsid w:val="00AA5B02"/>
    <w:rsid w:val="00AA61A3"/>
    <w:rsid w:val="00AA6251"/>
    <w:rsid w:val="00AA653F"/>
    <w:rsid w:val="00AA65B9"/>
    <w:rsid w:val="00AA6A47"/>
    <w:rsid w:val="00AA6BE8"/>
    <w:rsid w:val="00AA6FC8"/>
    <w:rsid w:val="00AA6FCC"/>
    <w:rsid w:val="00AA7439"/>
    <w:rsid w:val="00AA74CD"/>
    <w:rsid w:val="00AA7678"/>
    <w:rsid w:val="00AA7994"/>
    <w:rsid w:val="00AA7D6E"/>
    <w:rsid w:val="00AA7F1C"/>
    <w:rsid w:val="00AB0230"/>
    <w:rsid w:val="00AB0841"/>
    <w:rsid w:val="00AB097D"/>
    <w:rsid w:val="00AB0D09"/>
    <w:rsid w:val="00AB12BF"/>
    <w:rsid w:val="00AB152D"/>
    <w:rsid w:val="00AB1539"/>
    <w:rsid w:val="00AB16D3"/>
    <w:rsid w:val="00AB1A89"/>
    <w:rsid w:val="00AB1EFA"/>
    <w:rsid w:val="00AB2161"/>
    <w:rsid w:val="00AB22F3"/>
    <w:rsid w:val="00AB23FE"/>
    <w:rsid w:val="00AB245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BB"/>
    <w:rsid w:val="00AB5854"/>
    <w:rsid w:val="00AB5C02"/>
    <w:rsid w:val="00AB6033"/>
    <w:rsid w:val="00AB68BD"/>
    <w:rsid w:val="00AB6902"/>
    <w:rsid w:val="00AB6959"/>
    <w:rsid w:val="00AB6AC8"/>
    <w:rsid w:val="00AB6ACE"/>
    <w:rsid w:val="00AB6D26"/>
    <w:rsid w:val="00AB7449"/>
    <w:rsid w:val="00AB76E9"/>
    <w:rsid w:val="00AB77A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A53"/>
    <w:rsid w:val="00AC1ABD"/>
    <w:rsid w:val="00AC1FD6"/>
    <w:rsid w:val="00AC246C"/>
    <w:rsid w:val="00AC2485"/>
    <w:rsid w:val="00AC2880"/>
    <w:rsid w:val="00AC2A39"/>
    <w:rsid w:val="00AC2B34"/>
    <w:rsid w:val="00AC2D6F"/>
    <w:rsid w:val="00AC30F1"/>
    <w:rsid w:val="00AC33DB"/>
    <w:rsid w:val="00AC3442"/>
    <w:rsid w:val="00AC35A7"/>
    <w:rsid w:val="00AC3C84"/>
    <w:rsid w:val="00AC3E90"/>
    <w:rsid w:val="00AC3F37"/>
    <w:rsid w:val="00AC3FE6"/>
    <w:rsid w:val="00AC40B4"/>
    <w:rsid w:val="00AC4159"/>
    <w:rsid w:val="00AC4A3A"/>
    <w:rsid w:val="00AC4A94"/>
    <w:rsid w:val="00AC4FC8"/>
    <w:rsid w:val="00AC4FF7"/>
    <w:rsid w:val="00AC505D"/>
    <w:rsid w:val="00AC5352"/>
    <w:rsid w:val="00AC53EE"/>
    <w:rsid w:val="00AC5433"/>
    <w:rsid w:val="00AC5533"/>
    <w:rsid w:val="00AC597F"/>
    <w:rsid w:val="00AC6348"/>
    <w:rsid w:val="00AC63A2"/>
    <w:rsid w:val="00AC64BA"/>
    <w:rsid w:val="00AC6544"/>
    <w:rsid w:val="00AC68B7"/>
    <w:rsid w:val="00AC6A9B"/>
    <w:rsid w:val="00AC6D8D"/>
    <w:rsid w:val="00AC6F97"/>
    <w:rsid w:val="00AC701D"/>
    <w:rsid w:val="00AC703F"/>
    <w:rsid w:val="00AC7266"/>
    <w:rsid w:val="00AC7587"/>
    <w:rsid w:val="00AC7643"/>
    <w:rsid w:val="00AC792A"/>
    <w:rsid w:val="00AC7AF8"/>
    <w:rsid w:val="00AC7ECC"/>
    <w:rsid w:val="00AD0222"/>
    <w:rsid w:val="00AD02DD"/>
    <w:rsid w:val="00AD067D"/>
    <w:rsid w:val="00AD088A"/>
    <w:rsid w:val="00AD0BA0"/>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423"/>
    <w:rsid w:val="00AD35CB"/>
    <w:rsid w:val="00AD376D"/>
    <w:rsid w:val="00AD392A"/>
    <w:rsid w:val="00AD3BAD"/>
    <w:rsid w:val="00AD3D86"/>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AF0"/>
    <w:rsid w:val="00AD5EBB"/>
    <w:rsid w:val="00AD6F8B"/>
    <w:rsid w:val="00AD6F9E"/>
    <w:rsid w:val="00AD70A6"/>
    <w:rsid w:val="00AE015E"/>
    <w:rsid w:val="00AE02C6"/>
    <w:rsid w:val="00AE098D"/>
    <w:rsid w:val="00AE0A49"/>
    <w:rsid w:val="00AE0C51"/>
    <w:rsid w:val="00AE17A3"/>
    <w:rsid w:val="00AE17C9"/>
    <w:rsid w:val="00AE1A31"/>
    <w:rsid w:val="00AE1B12"/>
    <w:rsid w:val="00AE1C6D"/>
    <w:rsid w:val="00AE1D35"/>
    <w:rsid w:val="00AE1E19"/>
    <w:rsid w:val="00AE2275"/>
    <w:rsid w:val="00AE22B3"/>
    <w:rsid w:val="00AE2360"/>
    <w:rsid w:val="00AE246E"/>
    <w:rsid w:val="00AE2493"/>
    <w:rsid w:val="00AE28D2"/>
    <w:rsid w:val="00AE2D6D"/>
    <w:rsid w:val="00AE2EA6"/>
    <w:rsid w:val="00AE3024"/>
    <w:rsid w:val="00AE337E"/>
    <w:rsid w:val="00AE34FA"/>
    <w:rsid w:val="00AE3833"/>
    <w:rsid w:val="00AE3A7D"/>
    <w:rsid w:val="00AE3B03"/>
    <w:rsid w:val="00AE3C9E"/>
    <w:rsid w:val="00AE42E1"/>
    <w:rsid w:val="00AE4336"/>
    <w:rsid w:val="00AE47A6"/>
    <w:rsid w:val="00AE4E76"/>
    <w:rsid w:val="00AE53C2"/>
    <w:rsid w:val="00AE55DF"/>
    <w:rsid w:val="00AE56DF"/>
    <w:rsid w:val="00AE57CA"/>
    <w:rsid w:val="00AE57D9"/>
    <w:rsid w:val="00AE601D"/>
    <w:rsid w:val="00AE6095"/>
    <w:rsid w:val="00AE60EB"/>
    <w:rsid w:val="00AE626B"/>
    <w:rsid w:val="00AE6A2F"/>
    <w:rsid w:val="00AE70FF"/>
    <w:rsid w:val="00AE735D"/>
    <w:rsid w:val="00AE771F"/>
    <w:rsid w:val="00AE78A8"/>
    <w:rsid w:val="00AE790C"/>
    <w:rsid w:val="00AE7B5C"/>
    <w:rsid w:val="00AE7C44"/>
    <w:rsid w:val="00AE7CC4"/>
    <w:rsid w:val="00AE7EFB"/>
    <w:rsid w:val="00AF0120"/>
    <w:rsid w:val="00AF021C"/>
    <w:rsid w:val="00AF0317"/>
    <w:rsid w:val="00AF055A"/>
    <w:rsid w:val="00AF0782"/>
    <w:rsid w:val="00AF0866"/>
    <w:rsid w:val="00AF0A08"/>
    <w:rsid w:val="00AF0B81"/>
    <w:rsid w:val="00AF0C1F"/>
    <w:rsid w:val="00AF0C38"/>
    <w:rsid w:val="00AF0E8D"/>
    <w:rsid w:val="00AF0F66"/>
    <w:rsid w:val="00AF0FCC"/>
    <w:rsid w:val="00AF10CB"/>
    <w:rsid w:val="00AF1177"/>
    <w:rsid w:val="00AF1206"/>
    <w:rsid w:val="00AF1C8D"/>
    <w:rsid w:val="00AF1E10"/>
    <w:rsid w:val="00AF202F"/>
    <w:rsid w:val="00AF20FE"/>
    <w:rsid w:val="00AF2835"/>
    <w:rsid w:val="00AF28E4"/>
    <w:rsid w:val="00AF291D"/>
    <w:rsid w:val="00AF2B7D"/>
    <w:rsid w:val="00AF3677"/>
    <w:rsid w:val="00AF36C9"/>
    <w:rsid w:val="00AF3BF5"/>
    <w:rsid w:val="00AF3E31"/>
    <w:rsid w:val="00AF409B"/>
    <w:rsid w:val="00AF42EC"/>
    <w:rsid w:val="00AF43C6"/>
    <w:rsid w:val="00AF48DC"/>
    <w:rsid w:val="00AF4923"/>
    <w:rsid w:val="00AF4D95"/>
    <w:rsid w:val="00AF5077"/>
    <w:rsid w:val="00AF559B"/>
    <w:rsid w:val="00AF56C6"/>
    <w:rsid w:val="00AF56E1"/>
    <w:rsid w:val="00AF60A5"/>
    <w:rsid w:val="00AF6251"/>
    <w:rsid w:val="00AF642B"/>
    <w:rsid w:val="00AF64B3"/>
    <w:rsid w:val="00AF6566"/>
    <w:rsid w:val="00AF6568"/>
    <w:rsid w:val="00AF66FA"/>
    <w:rsid w:val="00AF6712"/>
    <w:rsid w:val="00AF700A"/>
    <w:rsid w:val="00AF7077"/>
    <w:rsid w:val="00AF7330"/>
    <w:rsid w:val="00AF7A6E"/>
    <w:rsid w:val="00B0000D"/>
    <w:rsid w:val="00B007A4"/>
    <w:rsid w:val="00B00A16"/>
    <w:rsid w:val="00B00D1F"/>
    <w:rsid w:val="00B00D7C"/>
    <w:rsid w:val="00B01255"/>
    <w:rsid w:val="00B01885"/>
    <w:rsid w:val="00B01F82"/>
    <w:rsid w:val="00B020A7"/>
    <w:rsid w:val="00B02359"/>
    <w:rsid w:val="00B02395"/>
    <w:rsid w:val="00B024E7"/>
    <w:rsid w:val="00B0282A"/>
    <w:rsid w:val="00B02A5F"/>
    <w:rsid w:val="00B02CCE"/>
    <w:rsid w:val="00B02CF1"/>
    <w:rsid w:val="00B02ED8"/>
    <w:rsid w:val="00B02F6E"/>
    <w:rsid w:val="00B02F81"/>
    <w:rsid w:val="00B03410"/>
    <w:rsid w:val="00B036CE"/>
    <w:rsid w:val="00B037D3"/>
    <w:rsid w:val="00B03925"/>
    <w:rsid w:val="00B03ADB"/>
    <w:rsid w:val="00B03B24"/>
    <w:rsid w:val="00B03BEC"/>
    <w:rsid w:val="00B03BF2"/>
    <w:rsid w:val="00B041A9"/>
    <w:rsid w:val="00B04202"/>
    <w:rsid w:val="00B044BD"/>
    <w:rsid w:val="00B04786"/>
    <w:rsid w:val="00B048A1"/>
    <w:rsid w:val="00B048AC"/>
    <w:rsid w:val="00B04961"/>
    <w:rsid w:val="00B04972"/>
    <w:rsid w:val="00B04A53"/>
    <w:rsid w:val="00B04B09"/>
    <w:rsid w:val="00B04FCD"/>
    <w:rsid w:val="00B057BD"/>
    <w:rsid w:val="00B057CA"/>
    <w:rsid w:val="00B05AEF"/>
    <w:rsid w:val="00B05BFC"/>
    <w:rsid w:val="00B05E7A"/>
    <w:rsid w:val="00B05E91"/>
    <w:rsid w:val="00B0635F"/>
    <w:rsid w:val="00B066EF"/>
    <w:rsid w:val="00B06BED"/>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6A3"/>
    <w:rsid w:val="00B11800"/>
    <w:rsid w:val="00B1192F"/>
    <w:rsid w:val="00B119FE"/>
    <w:rsid w:val="00B11E53"/>
    <w:rsid w:val="00B11FD4"/>
    <w:rsid w:val="00B1241A"/>
    <w:rsid w:val="00B12B15"/>
    <w:rsid w:val="00B12BE0"/>
    <w:rsid w:val="00B12BE4"/>
    <w:rsid w:val="00B131B1"/>
    <w:rsid w:val="00B132CD"/>
    <w:rsid w:val="00B13687"/>
    <w:rsid w:val="00B1391F"/>
    <w:rsid w:val="00B13A10"/>
    <w:rsid w:val="00B13BFB"/>
    <w:rsid w:val="00B13C63"/>
    <w:rsid w:val="00B13D32"/>
    <w:rsid w:val="00B13F33"/>
    <w:rsid w:val="00B13FBF"/>
    <w:rsid w:val="00B144E2"/>
    <w:rsid w:val="00B1468B"/>
    <w:rsid w:val="00B146EA"/>
    <w:rsid w:val="00B14FF2"/>
    <w:rsid w:val="00B154D0"/>
    <w:rsid w:val="00B154F7"/>
    <w:rsid w:val="00B15600"/>
    <w:rsid w:val="00B1581E"/>
    <w:rsid w:val="00B15D05"/>
    <w:rsid w:val="00B15EA6"/>
    <w:rsid w:val="00B15EF9"/>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BF1"/>
    <w:rsid w:val="00B20EB1"/>
    <w:rsid w:val="00B215BA"/>
    <w:rsid w:val="00B21C70"/>
    <w:rsid w:val="00B21C9A"/>
    <w:rsid w:val="00B21CF7"/>
    <w:rsid w:val="00B221D2"/>
    <w:rsid w:val="00B221ED"/>
    <w:rsid w:val="00B225EE"/>
    <w:rsid w:val="00B227CD"/>
    <w:rsid w:val="00B22941"/>
    <w:rsid w:val="00B22D6E"/>
    <w:rsid w:val="00B232DF"/>
    <w:rsid w:val="00B23308"/>
    <w:rsid w:val="00B23381"/>
    <w:rsid w:val="00B235B5"/>
    <w:rsid w:val="00B238B5"/>
    <w:rsid w:val="00B23C20"/>
    <w:rsid w:val="00B23E52"/>
    <w:rsid w:val="00B23E76"/>
    <w:rsid w:val="00B2405F"/>
    <w:rsid w:val="00B241F2"/>
    <w:rsid w:val="00B2497A"/>
    <w:rsid w:val="00B24BB3"/>
    <w:rsid w:val="00B24CDB"/>
    <w:rsid w:val="00B251B4"/>
    <w:rsid w:val="00B2532F"/>
    <w:rsid w:val="00B25663"/>
    <w:rsid w:val="00B259A6"/>
    <w:rsid w:val="00B259DB"/>
    <w:rsid w:val="00B25D9E"/>
    <w:rsid w:val="00B26110"/>
    <w:rsid w:val="00B261D4"/>
    <w:rsid w:val="00B262A8"/>
    <w:rsid w:val="00B2638C"/>
    <w:rsid w:val="00B26582"/>
    <w:rsid w:val="00B26A21"/>
    <w:rsid w:val="00B26CBA"/>
    <w:rsid w:val="00B26D2A"/>
    <w:rsid w:val="00B26D65"/>
    <w:rsid w:val="00B272FF"/>
    <w:rsid w:val="00B2747B"/>
    <w:rsid w:val="00B27493"/>
    <w:rsid w:val="00B274F7"/>
    <w:rsid w:val="00B2781D"/>
    <w:rsid w:val="00B278AE"/>
    <w:rsid w:val="00B27E0D"/>
    <w:rsid w:val="00B27FB8"/>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CB9"/>
    <w:rsid w:val="00B32DF0"/>
    <w:rsid w:val="00B33826"/>
    <w:rsid w:val="00B33B91"/>
    <w:rsid w:val="00B33FD2"/>
    <w:rsid w:val="00B34350"/>
    <w:rsid w:val="00B3449B"/>
    <w:rsid w:val="00B34583"/>
    <w:rsid w:val="00B34860"/>
    <w:rsid w:val="00B349FC"/>
    <w:rsid w:val="00B34D25"/>
    <w:rsid w:val="00B34D56"/>
    <w:rsid w:val="00B35220"/>
    <w:rsid w:val="00B3522B"/>
    <w:rsid w:val="00B35AC3"/>
    <w:rsid w:val="00B35CC2"/>
    <w:rsid w:val="00B35F37"/>
    <w:rsid w:val="00B36472"/>
    <w:rsid w:val="00B365AB"/>
    <w:rsid w:val="00B36A2D"/>
    <w:rsid w:val="00B36A5F"/>
    <w:rsid w:val="00B36BEC"/>
    <w:rsid w:val="00B373BA"/>
    <w:rsid w:val="00B37844"/>
    <w:rsid w:val="00B37973"/>
    <w:rsid w:val="00B37981"/>
    <w:rsid w:val="00B37E4F"/>
    <w:rsid w:val="00B40087"/>
    <w:rsid w:val="00B40277"/>
    <w:rsid w:val="00B4099D"/>
    <w:rsid w:val="00B40B7F"/>
    <w:rsid w:val="00B40D0F"/>
    <w:rsid w:val="00B40D3A"/>
    <w:rsid w:val="00B40D63"/>
    <w:rsid w:val="00B40D69"/>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396"/>
    <w:rsid w:val="00B436B9"/>
    <w:rsid w:val="00B4381C"/>
    <w:rsid w:val="00B43876"/>
    <w:rsid w:val="00B438F0"/>
    <w:rsid w:val="00B43C2E"/>
    <w:rsid w:val="00B440F1"/>
    <w:rsid w:val="00B44195"/>
    <w:rsid w:val="00B444A5"/>
    <w:rsid w:val="00B44851"/>
    <w:rsid w:val="00B44991"/>
    <w:rsid w:val="00B44ACE"/>
    <w:rsid w:val="00B44BC9"/>
    <w:rsid w:val="00B4524F"/>
    <w:rsid w:val="00B453E7"/>
    <w:rsid w:val="00B453EE"/>
    <w:rsid w:val="00B455C7"/>
    <w:rsid w:val="00B45716"/>
    <w:rsid w:val="00B45901"/>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D51"/>
    <w:rsid w:val="00B51EA2"/>
    <w:rsid w:val="00B5283A"/>
    <w:rsid w:val="00B528A7"/>
    <w:rsid w:val="00B52D0D"/>
    <w:rsid w:val="00B532CE"/>
    <w:rsid w:val="00B532DE"/>
    <w:rsid w:val="00B53486"/>
    <w:rsid w:val="00B536B9"/>
    <w:rsid w:val="00B538FE"/>
    <w:rsid w:val="00B5391D"/>
    <w:rsid w:val="00B539AB"/>
    <w:rsid w:val="00B5411B"/>
    <w:rsid w:val="00B5421B"/>
    <w:rsid w:val="00B54372"/>
    <w:rsid w:val="00B546AC"/>
    <w:rsid w:val="00B54D23"/>
    <w:rsid w:val="00B54E41"/>
    <w:rsid w:val="00B54F81"/>
    <w:rsid w:val="00B55179"/>
    <w:rsid w:val="00B551E3"/>
    <w:rsid w:val="00B55754"/>
    <w:rsid w:val="00B55A54"/>
    <w:rsid w:val="00B55CDB"/>
    <w:rsid w:val="00B55D66"/>
    <w:rsid w:val="00B55DFB"/>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517"/>
    <w:rsid w:val="00B62593"/>
    <w:rsid w:val="00B6289C"/>
    <w:rsid w:val="00B62B1F"/>
    <w:rsid w:val="00B62ED8"/>
    <w:rsid w:val="00B63004"/>
    <w:rsid w:val="00B63449"/>
    <w:rsid w:val="00B63531"/>
    <w:rsid w:val="00B63623"/>
    <w:rsid w:val="00B63769"/>
    <w:rsid w:val="00B63CAD"/>
    <w:rsid w:val="00B63D98"/>
    <w:rsid w:val="00B64166"/>
    <w:rsid w:val="00B64A95"/>
    <w:rsid w:val="00B64D88"/>
    <w:rsid w:val="00B6507F"/>
    <w:rsid w:val="00B65139"/>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F33"/>
    <w:rsid w:val="00B70FA2"/>
    <w:rsid w:val="00B7111F"/>
    <w:rsid w:val="00B712AB"/>
    <w:rsid w:val="00B7143F"/>
    <w:rsid w:val="00B71611"/>
    <w:rsid w:val="00B716D9"/>
    <w:rsid w:val="00B719DA"/>
    <w:rsid w:val="00B71A2F"/>
    <w:rsid w:val="00B71D99"/>
    <w:rsid w:val="00B71DA0"/>
    <w:rsid w:val="00B723A9"/>
    <w:rsid w:val="00B72446"/>
    <w:rsid w:val="00B72479"/>
    <w:rsid w:val="00B72495"/>
    <w:rsid w:val="00B726A9"/>
    <w:rsid w:val="00B726AA"/>
    <w:rsid w:val="00B727F8"/>
    <w:rsid w:val="00B72886"/>
    <w:rsid w:val="00B72B26"/>
    <w:rsid w:val="00B72C0F"/>
    <w:rsid w:val="00B72DC8"/>
    <w:rsid w:val="00B72FB0"/>
    <w:rsid w:val="00B7316D"/>
    <w:rsid w:val="00B73950"/>
    <w:rsid w:val="00B73C5C"/>
    <w:rsid w:val="00B73DC0"/>
    <w:rsid w:val="00B74457"/>
    <w:rsid w:val="00B74819"/>
    <w:rsid w:val="00B749DB"/>
    <w:rsid w:val="00B74FA9"/>
    <w:rsid w:val="00B75119"/>
    <w:rsid w:val="00B752DC"/>
    <w:rsid w:val="00B75320"/>
    <w:rsid w:val="00B75333"/>
    <w:rsid w:val="00B753BB"/>
    <w:rsid w:val="00B75604"/>
    <w:rsid w:val="00B7562E"/>
    <w:rsid w:val="00B7578F"/>
    <w:rsid w:val="00B75794"/>
    <w:rsid w:val="00B75D4A"/>
    <w:rsid w:val="00B7670E"/>
    <w:rsid w:val="00B768A5"/>
    <w:rsid w:val="00B7701D"/>
    <w:rsid w:val="00B77326"/>
    <w:rsid w:val="00B7747F"/>
    <w:rsid w:val="00B77579"/>
    <w:rsid w:val="00B7762D"/>
    <w:rsid w:val="00B777D0"/>
    <w:rsid w:val="00B778AF"/>
    <w:rsid w:val="00B77B98"/>
    <w:rsid w:val="00B77E5D"/>
    <w:rsid w:val="00B77F04"/>
    <w:rsid w:val="00B77F9B"/>
    <w:rsid w:val="00B77FBC"/>
    <w:rsid w:val="00B803E7"/>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D05"/>
    <w:rsid w:val="00B83ECE"/>
    <w:rsid w:val="00B84115"/>
    <w:rsid w:val="00B841BE"/>
    <w:rsid w:val="00B84614"/>
    <w:rsid w:val="00B847EC"/>
    <w:rsid w:val="00B84EC5"/>
    <w:rsid w:val="00B8519D"/>
    <w:rsid w:val="00B85452"/>
    <w:rsid w:val="00B85842"/>
    <w:rsid w:val="00B85C6A"/>
    <w:rsid w:val="00B85FAB"/>
    <w:rsid w:val="00B86839"/>
    <w:rsid w:val="00B86C24"/>
    <w:rsid w:val="00B871D7"/>
    <w:rsid w:val="00B872A4"/>
    <w:rsid w:val="00B873F7"/>
    <w:rsid w:val="00B87513"/>
    <w:rsid w:val="00B875E6"/>
    <w:rsid w:val="00B87693"/>
    <w:rsid w:val="00B877D4"/>
    <w:rsid w:val="00B878FA"/>
    <w:rsid w:val="00B87A74"/>
    <w:rsid w:val="00B87B5A"/>
    <w:rsid w:val="00B87F0E"/>
    <w:rsid w:val="00B90130"/>
    <w:rsid w:val="00B901E8"/>
    <w:rsid w:val="00B90236"/>
    <w:rsid w:val="00B90417"/>
    <w:rsid w:val="00B9045F"/>
    <w:rsid w:val="00B90676"/>
    <w:rsid w:val="00B9091B"/>
    <w:rsid w:val="00B91234"/>
    <w:rsid w:val="00B917BF"/>
    <w:rsid w:val="00B9183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3417"/>
    <w:rsid w:val="00B93783"/>
    <w:rsid w:val="00B93891"/>
    <w:rsid w:val="00B93DA0"/>
    <w:rsid w:val="00B93DBE"/>
    <w:rsid w:val="00B93E7D"/>
    <w:rsid w:val="00B93FEE"/>
    <w:rsid w:val="00B94329"/>
    <w:rsid w:val="00B94344"/>
    <w:rsid w:val="00B943B8"/>
    <w:rsid w:val="00B9472F"/>
    <w:rsid w:val="00B9484D"/>
    <w:rsid w:val="00B95110"/>
    <w:rsid w:val="00B9516A"/>
    <w:rsid w:val="00B95258"/>
    <w:rsid w:val="00B9562C"/>
    <w:rsid w:val="00B9569B"/>
    <w:rsid w:val="00B956D4"/>
    <w:rsid w:val="00B959B9"/>
    <w:rsid w:val="00B95A87"/>
    <w:rsid w:val="00B95C4A"/>
    <w:rsid w:val="00B962D4"/>
    <w:rsid w:val="00B9633E"/>
    <w:rsid w:val="00B96736"/>
    <w:rsid w:val="00B96F3B"/>
    <w:rsid w:val="00B976E7"/>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B2C"/>
    <w:rsid w:val="00BA3CE8"/>
    <w:rsid w:val="00BA3D04"/>
    <w:rsid w:val="00BA3D42"/>
    <w:rsid w:val="00BA4398"/>
    <w:rsid w:val="00BA44C6"/>
    <w:rsid w:val="00BA4591"/>
    <w:rsid w:val="00BA46BC"/>
    <w:rsid w:val="00BA4860"/>
    <w:rsid w:val="00BA4898"/>
    <w:rsid w:val="00BA4BAA"/>
    <w:rsid w:val="00BA4EB7"/>
    <w:rsid w:val="00BA4F4C"/>
    <w:rsid w:val="00BA515E"/>
    <w:rsid w:val="00BA535F"/>
    <w:rsid w:val="00BA55ED"/>
    <w:rsid w:val="00BA574F"/>
    <w:rsid w:val="00BA6520"/>
    <w:rsid w:val="00BA689D"/>
    <w:rsid w:val="00BA6B20"/>
    <w:rsid w:val="00BA6B5A"/>
    <w:rsid w:val="00BA6BD2"/>
    <w:rsid w:val="00BA6D43"/>
    <w:rsid w:val="00BA6E90"/>
    <w:rsid w:val="00BA70B2"/>
    <w:rsid w:val="00BA74E8"/>
    <w:rsid w:val="00BA762C"/>
    <w:rsid w:val="00BA76A9"/>
    <w:rsid w:val="00BA7C19"/>
    <w:rsid w:val="00BA7E80"/>
    <w:rsid w:val="00BA7F94"/>
    <w:rsid w:val="00BA7FC7"/>
    <w:rsid w:val="00BB0157"/>
    <w:rsid w:val="00BB029F"/>
    <w:rsid w:val="00BB03BE"/>
    <w:rsid w:val="00BB040F"/>
    <w:rsid w:val="00BB04AA"/>
    <w:rsid w:val="00BB0A1F"/>
    <w:rsid w:val="00BB0CD0"/>
    <w:rsid w:val="00BB0D36"/>
    <w:rsid w:val="00BB1130"/>
    <w:rsid w:val="00BB12F9"/>
    <w:rsid w:val="00BB17B8"/>
    <w:rsid w:val="00BB18ED"/>
    <w:rsid w:val="00BB1972"/>
    <w:rsid w:val="00BB19EF"/>
    <w:rsid w:val="00BB1B89"/>
    <w:rsid w:val="00BB20E0"/>
    <w:rsid w:val="00BB21BD"/>
    <w:rsid w:val="00BB22CA"/>
    <w:rsid w:val="00BB2397"/>
    <w:rsid w:val="00BB2736"/>
    <w:rsid w:val="00BB29A0"/>
    <w:rsid w:val="00BB29D1"/>
    <w:rsid w:val="00BB2CEF"/>
    <w:rsid w:val="00BB3040"/>
    <w:rsid w:val="00BB3285"/>
    <w:rsid w:val="00BB33A1"/>
    <w:rsid w:val="00BB352A"/>
    <w:rsid w:val="00BB3799"/>
    <w:rsid w:val="00BB39DF"/>
    <w:rsid w:val="00BB3CF2"/>
    <w:rsid w:val="00BB463A"/>
    <w:rsid w:val="00BB46BA"/>
    <w:rsid w:val="00BB4B41"/>
    <w:rsid w:val="00BB4DC6"/>
    <w:rsid w:val="00BB4FDC"/>
    <w:rsid w:val="00BB5245"/>
    <w:rsid w:val="00BB53CF"/>
    <w:rsid w:val="00BB54A9"/>
    <w:rsid w:val="00BB59A2"/>
    <w:rsid w:val="00BB59E0"/>
    <w:rsid w:val="00BB6246"/>
    <w:rsid w:val="00BB6247"/>
    <w:rsid w:val="00BB63F5"/>
    <w:rsid w:val="00BB6406"/>
    <w:rsid w:val="00BB64BE"/>
    <w:rsid w:val="00BB6563"/>
    <w:rsid w:val="00BB695C"/>
    <w:rsid w:val="00BB6C4F"/>
    <w:rsid w:val="00BB6D48"/>
    <w:rsid w:val="00BB7019"/>
    <w:rsid w:val="00BB7025"/>
    <w:rsid w:val="00BB74F4"/>
    <w:rsid w:val="00BB768F"/>
    <w:rsid w:val="00BB77A2"/>
    <w:rsid w:val="00BB7A04"/>
    <w:rsid w:val="00BB7A1B"/>
    <w:rsid w:val="00BB7A7F"/>
    <w:rsid w:val="00BB7C8D"/>
    <w:rsid w:val="00BB7CE6"/>
    <w:rsid w:val="00BC02FB"/>
    <w:rsid w:val="00BC043D"/>
    <w:rsid w:val="00BC06BB"/>
    <w:rsid w:val="00BC0880"/>
    <w:rsid w:val="00BC08F9"/>
    <w:rsid w:val="00BC0B12"/>
    <w:rsid w:val="00BC0F75"/>
    <w:rsid w:val="00BC1043"/>
    <w:rsid w:val="00BC1B5F"/>
    <w:rsid w:val="00BC1CB8"/>
    <w:rsid w:val="00BC24A8"/>
    <w:rsid w:val="00BC27CD"/>
    <w:rsid w:val="00BC2859"/>
    <w:rsid w:val="00BC2A61"/>
    <w:rsid w:val="00BC2B20"/>
    <w:rsid w:val="00BC2CBA"/>
    <w:rsid w:val="00BC3387"/>
    <w:rsid w:val="00BC3476"/>
    <w:rsid w:val="00BC3526"/>
    <w:rsid w:val="00BC3838"/>
    <w:rsid w:val="00BC388C"/>
    <w:rsid w:val="00BC3F46"/>
    <w:rsid w:val="00BC4E01"/>
    <w:rsid w:val="00BC514B"/>
    <w:rsid w:val="00BC558E"/>
    <w:rsid w:val="00BC5742"/>
    <w:rsid w:val="00BC6406"/>
    <w:rsid w:val="00BC6509"/>
    <w:rsid w:val="00BC6533"/>
    <w:rsid w:val="00BC6D53"/>
    <w:rsid w:val="00BC6D5B"/>
    <w:rsid w:val="00BC6EFE"/>
    <w:rsid w:val="00BC71BC"/>
    <w:rsid w:val="00BC73AB"/>
    <w:rsid w:val="00BC74E3"/>
    <w:rsid w:val="00BC782A"/>
    <w:rsid w:val="00BC7876"/>
    <w:rsid w:val="00BC7980"/>
    <w:rsid w:val="00BC7A1D"/>
    <w:rsid w:val="00BC7A60"/>
    <w:rsid w:val="00BC7EFF"/>
    <w:rsid w:val="00BD00C5"/>
    <w:rsid w:val="00BD02F9"/>
    <w:rsid w:val="00BD0726"/>
    <w:rsid w:val="00BD0D0D"/>
    <w:rsid w:val="00BD0F1C"/>
    <w:rsid w:val="00BD1041"/>
    <w:rsid w:val="00BD1484"/>
    <w:rsid w:val="00BD1532"/>
    <w:rsid w:val="00BD1680"/>
    <w:rsid w:val="00BD17D6"/>
    <w:rsid w:val="00BD18C7"/>
    <w:rsid w:val="00BD1DEF"/>
    <w:rsid w:val="00BD1F34"/>
    <w:rsid w:val="00BD236E"/>
    <w:rsid w:val="00BD24DA"/>
    <w:rsid w:val="00BD2771"/>
    <w:rsid w:val="00BD2BC0"/>
    <w:rsid w:val="00BD2D36"/>
    <w:rsid w:val="00BD2FB4"/>
    <w:rsid w:val="00BD2FC8"/>
    <w:rsid w:val="00BD318B"/>
    <w:rsid w:val="00BD332A"/>
    <w:rsid w:val="00BD3475"/>
    <w:rsid w:val="00BD358F"/>
    <w:rsid w:val="00BD3881"/>
    <w:rsid w:val="00BD3A75"/>
    <w:rsid w:val="00BD3A88"/>
    <w:rsid w:val="00BD3FE4"/>
    <w:rsid w:val="00BD413D"/>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6E44"/>
    <w:rsid w:val="00BD7173"/>
    <w:rsid w:val="00BD72EF"/>
    <w:rsid w:val="00BD736B"/>
    <w:rsid w:val="00BD7439"/>
    <w:rsid w:val="00BD75E0"/>
    <w:rsid w:val="00BD7C6B"/>
    <w:rsid w:val="00BD7D8B"/>
    <w:rsid w:val="00BD7EBF"/>
    <w:rsid w:val="00BD7F14"/>
    <w:rsid w:val="00BE0100"/>
    <w:rsid w:val="00BE027C"/>
    <w:rsid w:val="00BE06B4"/>
    <w:rsid w:val="00BE0903"/>
    <w:rsid w:val="00BE0D5C"/>
    <w:rsid w:val="00BE0F6A"/>
    <w:rsid w:val="00BE1061"/>
    <w:rsid w:val="00BE1C9C"/>
    <w:rsid w:val="00BE1D26"/>
    <w:rsid w:val="00BE1D43"/>
    <w:rsid w:val="00BE2097"/>
    <w:rsid w:val="00BE23AC"/>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5773"/>
    <w:rsid w:val="00BE577C"/>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BF"/>
    <w:rsid w:val="00BF0E14"/>
    <w:rsid w:val="00BF1006"/>
    <w:rsid w:val="00BF1059"/>
    <w:rsid w:val="00BF1404"/>
    <w:rsid w:val="00BF1665"/>
    <w:rsid w:val="00BF17EA"/>
    <w:rsid w:val="00BF1B2D"/>
    <w:rsid w:val="00BF1DCE"/>
    <w:rsid w:val="00BF22D3"/>
    <w:rsid w:val="00BF2541"/>
    <w:rsid w:val="00BF2757"/>
    <w:rsid w:val="00BF2938"/>
    <w:rsid w:val="00BF29D6"/>
    <w:rsid w:val="00BF2A12"/>
    <w:rsid w:val="00BF2C0F"/>
    <w:rsid w:val="00BF2C45"/>
    <w:rsid w:val="00BF2FE9"/>
    <w:rsid w:val="00BF3158"/>
    <w:rsid w:val="00BF3264"/>
    <w:rsid w:val="00BF3B31"/>
    <w:rsid w:val="00BF3B58"/>
    <w:rsid w:val="00BF3CCC"/>
    <w:rsid w:val="00BF3D49"/>
    <w:rsid w:val="00BF3D7B"/>
    <w:rsid w:val="00BF3DCD"/>
    <w:rsid w:val="00BF3F0C"/>
    <w:rsid w:val="00BF3F20"/>
    <w:rsid w:val="00BF4151"/>
    <w:rsid w:val="00BF4220"/>
    <w:rsid w:val="00BF4368"/>
    <w:rsid w:val="00BF478D"/>
    <w:rsid w:val="00BF48FF"/>
    <w:rsid w:val="00BF4D68"/>
    <w:rsid w:val="00BF55C7"/>
    <w:rsid w:val="00BF565F"/>
    <w:rsid w:val="00BF588A"/>
    <w:rsid w:val="00BF58E9"/>
    <w:rsid w:val="00BF5AA3"/>
    <w:rsid w:val="00BF5AF6"/>
    <w:rsid w:val="00BF5DB9"/>
    <w:rsid w:val="00BF6121"/>
    <w:rsid w:val="00BF61BB"/>
    <w:rsid w:val="00BF64BA"/>
    <w:rsid w:val="00BF64F6"/>
    <w:rsid w:val="00BF6A4F"/>
    <w:rsid w:val="00BF6DCF"/>
    <w:rsid w:val="00BF6FF5"/>
    <w:rsid w:val="00BF72D1"/>
    <w:rsid w:val="00BF7553"/>
    <w:rsid w:val="00BF75FB"/>
    <w:rsid w:val="00BF79DA"/>
    <w:rsid w:val="00BF7F9D"/>
    <w:rsid w:val="00C0040B"/>
    <w:rsid w:val="00C006DF"/>
    <w:rsid w:val="00C007F3"/>
    <w:rsid w:val="00C00AE6"/>
    <w:rsid w:val="00C00F87"/>
    <w:rsid w:val="00C01081"/>
    <w:rsid w:val="00C011B9"/>
    <w:rsid w:val="00C0132D"/>
    <w:rsid w:val="00C017EC"/>
    <w:rsid w:val="00C01CEA"/>
    <w:rsid w:val="00C02272"/>
    <w:rsid w:val="00C02C36"/>
    <w:rsid w:val="00C03482"/>
    <w:rsid w:val="00C034A8"/>
    <w:rsid w:val="00C034CA"/>
    <w:rsid w:val="00C03527"/>
    <w:rsid w:val="00C035DB"/>
    <w:rsid w:val="00C03AB1"/>
    <w:rsid w:val="00C03F25"/>
    <w:rsid w:val="00C04004"/>
    <w:rsid w:val="00C041FB"/>
    <w:rsid w:val="00C0442B"/>
    <w:rsid w:val="00C048B7"/>
    <w:rsid w:val="00C04D0C"/>
    <w:rsid w:val="00C04F43"/>
    <w:rsid w:val="00C04FB0"/>
    <w:rsid w:val="00C04FC6"/>
    <w:rsid w:val="00C053FC"/>
    <w:rsid w:val="00C05992"/>
    <w:rsid w:val="00C05D9B"/>
    <w:rsid w:val="00C060C5"/>
    <w:rsid w:val="00C0621A"/>
    <w:rsid w:val="00C0650F"/>
    <w:rsid w:val="00C06A30"/>
    <w:rsid w:val="00C06C3F"/>
    <w:rsid w:val="00C0713D"/>
    <w:rsid w:val="00C0743C"/>
    <w:rsid w:val="00C07AF7"/>
    <w:rsid w:val="00C07BF1"/>
    <w:rsid w:val="00C07DBC"/>
    <w:rsid w:val="00C07E64"/>
    <w:rsid w:val="00C1003B"/>
    <w:rsid w:val="00C10076"/>
    <w:rsid w:val="00C1015A"/>
    <w:rsid w:val="00C101DF"/>
    <w:rsid w:val="00C10821"/>
    <w:rsid w:val="00C10868"/>
    <w:rsid w:val="00C108BF"/>
    <w:rsid w:val="00C1096B"/>
    <w:rsid w:val="00C10E71"/>
    <w:rsid w:val="00C10FEB"/>
    <w:rsid w:val="00C11105"/>
    <w:rsid w:val="00C11351"/>
    <w:rsid w:val="00C11456"/>
    <w:rsid w:val="00C114B3"/>
    <w:rsid w:val="00C11795"/>
    <w:rsid w:val="00C118F8"/>
    <w:rsid w:val="00C11A03"/>
    <w:rsid w:val="00C11F46"/>
    <w:rsid w:val="00C11FC9"/>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79E"/>
    <w:rsid w:val="00C157DE"/>
    <w:rsid w:val="00C158CF"/>
    <w:rsid w:val="00C15D78"/>
    <w:rsid w:val="00C15D8E"/>
    <w:rsid w:val="00C15EF9"/>
    <w:rsid w:val="00C15F84"/>
    <w:rsid w:val="00C16664"/>
    <w:rsid w:val="00C16F3E"/>
    <w:rsid w:val="00C16FCD"/>
    <w:rsid w:val="00C172FE"/>
    <w:rsid w:val="00C17BAE"/>
    <w:rsid w:val="00C203A4"/>
    <w:rsid w:val="00C204C3"/>
    <w:rsid w:val="00C205E9"/>
    <w:rsid w:val="00C20818"/>
    <w:rsid w:val="00C20AE6"/>
    <w:rsid w:val="00C210C2"/>
    <w:rsid w:val="00C21640"/>
    <w:rsid w:val="00C2195D"/>
    <w:rsid w:val="00C21F90"/>
    <w:rsid w:val="00C22051"/>
    <w:rsid w:val="00C22431"/>
    <w:rsid w:val="00C22682"/>
    <w:rsid w:val="00C226F6"/>
    <w:rsid w:val="00C227CC"/>
    <w:rsid w:val="00C22AD0"/>
    <w:rsid w:val="00C22DEF"/>
    <w:rsid w:val="00C237B7"/>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14C"/>
    <w:rsid w:val="00C303AE"/>
    <w:rsid w:val="00C30571"/>
    <w:rsid w:val="00C305AB"/>
    <w:rsid w:val="00C30B2E"/>
    <w:rsid w:val="00C31061"/>
    <w:rsid w:val="00C31E22"/>
    <w:rsid w:val="00C31FC8"/>
    <w:rsid w:val="00C322AC"/>
    <w:rsid w:val="00C3233D"/>
    <w:rsid w:val="00C32CF1"/>
    <w:rsid w:val="00C3312F"/>
    <w:rsid w:val="00C33447"/>
    <w:rsid w:val="00C337A8"/>
    <w:rsid w:val="00C33AAE"/>
    <w:rsid w:val="00C3448A"/>
    <w:rsid w:val="00C346B7"/>
    <w:rsid w:val="00C34C59"/>
    <w:rsid w:val="00C35103"/>
    <w:rsid w:val="00C353F5"/>
    <w:rsid w:val="00C354A0"/>
    <w:rsid w:val="00C35747"/>
    <w:rsid w:val="00C35A4F"/>
    <w:rsid w:val="00C35C58"/>
    <w:rsid w:val="00C35E60"/>
    <w:rsid w:val="00C35FB9"/>
    <w:rsid w:val="00C3602D"/>
    <w:rsid w:val="00C36243"/>
    <w:rsid w:val="00C3643E"/>
    <w:rsid w:val="00C3651D"/>
    <w:rsid w:val="00C36621"/>
    <w:rsid w:val="00C36677"/>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0E8"/>
    <w:rsid w:val="00C40100"/>
    <w:rsid w:val="00C401B1"/>
    <w:rsid w:val="00C405E7"/>
    <w:rsid w:val="00C4069D"/>
    <w:rsid w:val="00C40824"/>
    <w:rsid w:val="00C40BB1"/>
    <w:rsid w:val="00C411B7"/>
    <w:rsid w:val="00C4145B"/>
    <w:rsid w:val="00C414F4"/>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EA3"/>
    <w:rsid w:val="00C44541"/>
    <w:rsid w:val="00C445EC"/>
    <w:rsid w:val="00C44CDF"/>
    <w:rsid w:val="00C45625"/>
    <w:rsid w:val="00C45779"/>
    <w:rsid w:val="00C45FF4"/>
    <w:rsid w:val="00C46963"/>
    <w:rsid w:val="00C46A6B"/>
    <w:rsid w:val="00C4753D"/>
    <w:rsid w:val="00C4772B"/>
    <w:rsid w:val="00C47A3E"/>
    <w:rsid w:val="00C47FF9"/>
    <w:rsid w:val="00C500BD"/>
    <w:rsid w:val="00C5040B"/>
    <w:rsid w:val="00C50736"/>
    <w:rsid w:val="00C50AB3"/>
    <w:rsid w:val="00C50C12"/>
    <w:rsid w:val="00C50E5C"/>
    <w:rsid w:val="00C50EF3"/>
    <w:rsid w:val="00C5104F"/>
    <w:rsid w:val="00C511D6"/>
    <w:rsid w:val="00C5163C"/>
    <w:rsid w:val="00C5192B"/>
    <w:rsid w:val="00C51AD5"/>
    <w:rsid w:val="00C51BA4"/>
    <w:rsid w:val="00C51BEC"/>
    <w:rsid w:val="00C51D1F"/>
    <w:rsid w:val="00C51F1F"/>
    <w:rsid w:val="00C51FCE"/>
    <w:rsid w:val="00C521CB"/>
    <w:rsid w:val="00C5243F"/>
    <w:rsid w:val="00C52713"/>
    <w:rsid w:val="00C5281C"/>
    <w:rsid w:val="00C52912"/>
    <w:rsid w:val="00C52D27"/>
    <w:rsid w:val="00C52E27"/>
    <w:rsid w:val="00C52F22"/>
    <w:rsid w:val="00C5364C"/>
    <w:rsid w:val="00C53AE6"/>
    <w:rsid w:val="00C53D3A"/>
    <w:rsid w:val="00C53E4E"/>
    <w:rsid w:val="00C5415E"/>
    <w:rsid w:val="00C544E5"/>
    <w:rsid w:val="00C545DA"/>
    <w:rsid w:val="00C54970"/>
    <w:rsid w:val="00C54BE2"/>
    <w:rsid w:val="00C55002"/>
    <w:rsid w:val="00C551D1"/>
    <w:rsid w:val="00C55336"/>
    <w:rsid w:val="00C557E0"/>
    <w:rsid w:val="00C5588C"/>
    <w:rsid w:val="00C55AF8"/>
    <w:rsid w:val="00C55C85"/>
    <w:rsid w:val="00C55E44"/>
    <w:rsid w:val="00C55ED1"/>
    <w:rsid w:val="00C55EE2"/>
    <w:rsid w:val="00C56182"/>
    <w:rsid w:val="00C561DB"/>
    <w:rsid w:val="00C56E21"/>
    <w:rsid w:val="00C56E71"/>
    <w:rsid w:val="00C570DD"/>
    <w:rsid w:val="00C57666"/>
    <w:rsid w:val="00C57919"/>
    <w:rsid w:val="00C57998"/>
    <w:rsid w:val="00C579A5"/>
    <w:rsid w:val="00C579BD"/>
    <w:rsid w:val="00C57D38"/>
    <w:rsid w:val="00C57DFB"/>
    <w:rsid w:val="00C6059C"/>
    <w:rsid w:val="00C60675"/>
    <w:rsid w:val="00C60699"/>
    <w:rsid w:val="00C6085D"/>
    <w:rsid w:val="00C6091D"/>
    <w:rsid w:val="00C60989"/>
    <w:rsid w:val="00C60AFB"/>
    <w:rsid w:val="00C61065"/>
    <w:rsid w:val="00C61151"/>
    <w:rsid w:val="00C61155"/>
    <w:rsid w:val="00C61491"/>
    <w:rsid w:val="00C6152A"/>
    <w:rsid w:val="00C6156F"/>
    <w:rsid w:val="00C615ED"/>
    <w:rsid w:val="00C61668"/>
    <w:rsid w:val="00C61AC3"/>
    <w:rsid w:val="00C61ACD"/>
    <w:rsid w:val="00C620E0"/>
    <w:rsid w:val="00C623EE"/>
    <w:rsid w:val="00C6292E"/>
    <w:rsid w:val="00C62E65"/>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99D"/>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70161"/>
    <w:rsid w:val="00C702A1"/>
    <w:rsid w:val="00C70A5B"/>
    <w:rsid w:val="00C70A65"/>
    <w:rsid w:val="00C70B1F"/>
    <w:rsid w:val="00C713C5"/>
    <w:rsid w:val="00C71C04"/>
    <w:rsid w:val="00C71D4F"/>
    <w:rsid w:val="00C71F5F"/>
    <w:rsid w:val="00C7224A"/>
    <w:rsid w:val="00C725BE"/>
    <w:rsid w:val="00C72991"/>
    <w:rsid w:val="00C72A02"/>
    <w:rsid w:val="00C72BB4"/>
    <w:rsid w:val="00C72C6C"/>
    <w:rsid w:val="00C72C70"/>
    <w:rsid w:val="00C73038"/>
    <w:rsid w:val="00C730EF"/>
    <w:rsid w:val="00C7330A"/>
    <w:rsid w:val="00C73762"/>
    <w:rsid w:val="00C73A91"/>
    <w:rsid w:val="00C73B56"/>
    <w:rsid w:val="00C73E4D"/>
    <w:rsid w:val="00C73E5F"/>
    <w:rsid w:val="00C73EEC"/>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A23"/>
    <w:rsid w:val="00C76A28"/>
    <w:rsid w:val="00C76E8C"/>
    <w:rsid w:val="00C77163"/>
    <w:rsid w:val="00C772A8"/>
    <w:rsid w:val="00C775F8"/>
    <w:rsid w:val="00C77702"/>
    <w:rsid w:val="00C777B7"/>
    <w:rsid w:val="00C778AF"/>
    <w:rsid w:val="00C77A3F"/>
    <w:rsid w:val="00C77E06"/>
    <w:rsid w:val="00C77EF5"/>
    <w:rsid w:val="00C8037C"/>
    <w:rsid w:val="00C806EC"/>
    <w:rsid w:val="00C8085B"/>
    <w:rsid w:val="00C80D23"/>
    <w:rsid w:val="00C80E79"/>
    <w:rsid w:val="00C81688"/>
    <w:rsid w:val="00C81B8C"/>
    <w:rsid w:val="00C81C68"/>
    <w:rsid w:val="00C81DB7"/>
    <w:rsid w:val="00C81E70"/>
    <w:rsid w:val="00C81F60"/>
    <w:rsid w:val="00C82482"/>
    <w:rsid w:val="00C826F8"/>
    <w:rsid w:val="00C828C4"/>
    <w:rsid w:val="00C82C11"/>
    <w:rsid w:val="00C83011"/>
    <w:rsid w:val="00C83327"/>
    <w:rsid w:val="00C8337A"/>
    <w:rsid w:val="00C839CB"/>
    <w:rsid w:val="00C839CC"/>
    <w:rsid w:val="00C83CAD"/>
    <w:rsid w:val="00C8436A"/>
    <w:rsid w:val="00C84E0B"/>
    <w:rsid w:val="00C8510A"/>
    <w:rsid w:val="00C852E2"/>
    <w:rsid w:val="00C85339"/>
    <w:rsid w:val="00C8561D"/>
    <w:rsid w:val="00C85BD2"/>
    <w:rsid w:val="00C863DE"/>
    <w:rsid w:val="00C865D7"/>
    <w:rsid w:val="00C86F8E"/>
    <w:rsid w:val="00C871AC"/>
    <w:rsid w:val="00C874E8"/>
    <w:rsid w:val="00C87590"/>
    <w:rsid w:val="00C87848"/>
    <w:rsid w:val="00C87DDE"/>
    <w:rsid w:val="00C9020E"/>
    <w:rsid w:val="00C90B03"/>
    <w:rsid w:val="00C90D19"/>
    <w:rsid w:val="00C90D9B"/>
    <w:rsid w:val="00C9190B"/>
    <w:rsid w:val="00C922E3"/>
    <w:rsid w:val="00C9253D"/>
    <w:rsid w:val="00C925CE"/>
    <w:rsid w:val="00C92650"/>
    <w:rsid w:val="00C928C2"/>
    <w:rsid w:val="00C928E0"/>
    <w:rsid w:val="00C929AA"/>
    <w:rsid w:val="00C92C05"/>
    <w:rsid w:val="00C92CA0"/>
    <w:rsid w:val="00C92EB4"/>
    <w:rsid w:val="00C930FD"/>
    <w:rsid w:val="00C933FD"/>
    <w:rsid w:val="00C93829"/>
    <w:rsid w:val="00C938EC"/>
    <w:rsid w:val="00C939B5"/>
    <w:rsid w:val="00C93A68"/>
    <w:rsid w:val="00C93EEC"/>
    <w:rsid w:val="00C945FE"/>
    <w:rsid w:val="00C94785"/>
    <w:rsid w:val="00C94CD1"/>
    <w:rsid w:val="00C95133"/>
    <w:rsid w:val="00C9517D"/>
    <w:rsid w:val="00C952EF"/>
    <w:rsid w:val="00C9558E"/>
    <w:rsid w:val="00C95590"/>
    <w:rsid w:val="00C95957"/>
    <w:rsid w:val="00C959AE"/>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E31"/>
    <w:rsid w:val="00C97EEB"/>
    <w:rsid w:val="00CA03CF"/>
    <w:rsid w:val="00CA03F6"/>
    <w:rsid w:val="00CA05D0"/>
    <w:rsid w:val="00CA0B1F"/>
    <w:rsid w:val="00CA0B76"/>
    <w:rsid w:val="00CA0D25"/>
    <w:rsid w:val="00CA0EC4"/>
    <w:rsid w:val="00CA0FE0"/>
    <w:rsid w:val="00CA11A9"/>
    <w:rsid w:val="00CA1873"/>
    <w:rsid w:val="00CA187D"/>
    <w:rsid w:val="00CA1AE2"/>
    <w:rsid w:val="00CA1C84"/>
    <w:rsid w:val="00CA1CA6"/>
    <w:rsid w:val="00CA1CFF"/>
    <w:rsid w:val="00CA1D15"/>
    <w:rsid w:val="00CA1D70"/>
    <w:rsid w:val="00CA1EED"/>
    <w:rsid w:val="00CA2391"/>
    <w:rsid w:val="00CA24F8"/>
    <w:rsid w:val="00CA25C7"/>
    <w:rsid w:val="00CA27F1"/>
    <w:rsid w:val="00CA2BA7"/>
    <w:rsid w:val="00CA2DBF"/>
    <w:rsid w:val="00CA34A0"/>
    <w:rsid w:val="00CA3681"/>
    <w:rsid w:val="00CA36C8"/>
    <w:rsid w:val="00CA384D"/>
    <w:rsid w:val="00CA396E"/>
    <w:rsid w:val="00CA3F3D"/>
    <w:rsid w:val="00CA3F79"/>
    <w:rsid w:val="00CA4602"/>
    <w:rsid w:val="00CA474A"/>
    <w:rsid w:val="00CA474B"/>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C2"/>
    <w:rsid w:val="00CA7943"/>
    <w:rsid w:val="00CA7A07"/>
    <w:rsid w:val="00CA7A7C"/>
    <w:rsid w:val="00CB049D"/>
    <w:rsid w:val="00CB058B"/>
    <w:rsid w:val="00CB0759"/>
    <w:rsid w:val="00CB0836"/>
    <w:rsid w:val="00CB0880"/>
    <w:rsid w:val="00CB088C"/>
    <w:rsid w:val="00CB0A21"/>
    <w:rsid w:val="00CB0D61"/>
    <w:rsid w:val="00CB0EB8"/>
    <w:rsid w:val="00CB0F0C"/>
    <w:rsid w:val="00CB1338"/>
    <w:rsid w:val="00CB140C"/>
    <w:rsid w:val="00CB143A"/>
    <w:rsid w:val="00CB18B6"/>
    <w:rsid w:val="00CB1F70"/>
    <w:rsid w:val="00CB1F79"/>
    <w:rsid w:val="00CB2656"/>
    <w:rsid w:val="00CB2ED0"/>
    <w:rsid w:val="00CB2F25"/>
    <w:rsid w:val="00CB3081"/>
    <w:rsid w:val="00CB3155"/>
    <w:rsid w:val="00CB3214"/>
    <w:rsid w:val="00CB3752"/>
    <w:rsid w:val="00CB3888"/>
    <w:rsid w:val="00CB3983"/>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107F"/>
    <w:rsid w:val="00CC1FFE"/>
    <w:rsid w:val="00CC217A"/>
    <w:rsid w:val="00CC2349"/>
    <w:rsid w:val="00CC244C"/>
    <w:rsid w:val="00CC3261"/>
    <w:rsid w:val="00CC3281"/>
    <w:rsid w:val="00CC32B1"/>
    <w:rsid w:val="00CC3317"/>
    <w:rsid w:val="00CC3335"/>
    <w:rsid w:val="00CC3629"/>
    <w:rsid w:val="00CC370C"/>
    <w:rsid w:val="00CC3ABC"/>
    <w:rsid w:val="00CC3B47"/>
    <w:rsid w:val="00CC3CD3"/>
    <w:rsid w:val="00CC4351"/>
    <w:rsid w:val="00CC456A"/>
    <w:rsid w:val="00CC4814"/>
    <w:rsid w:val="00CC486A"/>
    <w:rsid w:val="00CC4DDA"/>
    <w:rsid w:val="00CC4FCA"/>
    <w:rsid w:val="00CC51A7"/>
    <w:rsid w:val="00CC55F4"/>
    <w:rsid w:val="00CC5B36"/>
    <w:rsid w:val="00CC5DD3"/>
    <w:rsid w:val="00CC5F2C"/>
    <w:rsid w:val="00CC64FD"/>
    <w:rsid w:val="00CC65C4"/>
    <w:rsid w:val="00CC69EA"/>
    <w:rsid w:val="00CC6BE6"/>
    <w:rsid w:val="00CC6EA7"/>
    <w:rsid w:val="00CC7D0E"/>
    <w:rsid w:val="00CC7DB9"/>
    <w:rsid w:val="00CC7E06"/>
    <w:rsid w:val="00CD011D"/>
    <w:rsid w:val="00CD09CD"/>
    <w:rsid w:val="00CD0A32"/>
    <w:rsid w:val="00CD0BDE"/>
    <w:rsid w:val="00CD0F1A"/>
    <w:rsid w:val="00CD1473"/>
    <w:rsid w:val="00CD178D"/>
    <w:rsid w:val="00CD1819"/>
    <w:rsid w:val="00CD1A46"/>
    <w:rsid w:val="00CD1A69"/>
    <w:rsid w:val="00CD1CD9"/>
    <w:rsid w:val="00CD2035"/>
    <w:rsid w:val="00CD249A"/>
    <w:rsid w:val="00CD25C1"/>
    <w:rsid w:val="00CD2A67"/>
    <w:rsid w:val="00CD2D07"/>
    <w:rsid w:val="00CD351B"/>
    <w:rsid w:val="00CD3943"/>
    <w:rsid w:val="00CD3A1A"/>
    <w:rsid w:val="00CD3A3E"/>
    <w:rsid w:val="00CD3AD7"/>
    <w:rsid w:val="00CD3B90"/>
    <w:rsid w:val="00CD3C08"/>
    <w:rsid w:val="00CD3D60"/>
    <w:rsid w:val="00CD3E1A"/>
    <w:rsid w:val="00CD497A"/>
    <w:rsid w:val="00CD4B92"/>
    <w:rsid w:val="00CD4D70"/>
    <w:rsid w:val="00CD5120"/>
    <w:rsid w:val="00CD54E7"/>
    <w:rsid w:val="00CD5718"/>
    <w:rsid w:val="00CD575F"/>
    <w:rsid w:val="00CD5A45"/>
    <w:rsid w:val="00CD5C09"/>
    <w:rsid w:val="00CD62AA"/>
    <w:rsid w:val="00CD6461"/>
    <w:rsid w:val="00CD6653"/>
    <w:rsid w:val="00CD6B18"/>
    <w:rsid w:val="00CD6C71"/>
    <w:rsid w:val="00CD7211"/>
    <w:rsid w:val="00CD74AE"/>
    <w:rsid w:val="00CD7AA4"/>
    <w:rsid w:val="00CD7E8F"/>
    <w:rsid w:val="00CE003C"/>
    <w:rsid w:val="00CE0099"/>
    <w:rsid w:val="00CE064A"/>
    <w:rsid w:val="00CE07C3"/>
    <w:rsid w:val="00CE0899"/>
    <w:rsid w:val="00CE09F3"/>
    <w:rsid w:val="00CE1044"/>
    <w:rsid w:val="00CE109C"/>
    <w:rsid w:val="00CE2033"/>
    <w:rsid w:val="00CE253B"/>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2C5"/>
    <w:rsid w:val="00CE5501"/>
    <w:rsid w:val="00CE5547"/>
    <w:rsid w:val="00CE5B83"/>
    <w:rsid w:val="00CE5B99"/>
    <w:rsid w:val="00CE5CAE"/>
    <w:rsid w:val="00CE61DE"/>
    <w:rsid w:val="00CE65CE"/>
    <w:rsid w:val="00CE67A5"/>
    <w:rsid w:val="00CE6D52"/>
    <w:rsid w:val="00CE6FC8"/>
    <w:rsid w:val="00CE7118"/>
    <w:rsid w:val="00CE781A"/>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C87"/>
    <w:rsid w:val="00CF5C8F"/>
    <w:rsid w:val="00CF5CDB"/>
    <w:rsid w:val="00CF5D1E"/>
    <w:rsid w:val="00CF62C9"/>
    <w:rsid w:val="00CF644A"/>
    <w:rsid w:val="00CF6BB6"/>
    <w:rsid w:val="00CF6EE7"/>
    <w:rsid w:val="00CF701C"/>
    <w:rsid w:val="00CF7A67"/>
    <w:rsid w:val="00D00061"/>
    <w:rsid w:val="00D0033F"/>
    <w:rsid w:val="00D00350"/>
    <w:rsid w:val="00D003CC"/>
    <w:rsid w:val="00D005C7"/>
    <w:rsid w:val="00D00BD0"/>
    <w:rsid w:val="00D00F5A"/>
    <w:rsid w:val="00D010AF"/>
    <w:rsid w:val="00D0113F"/>
    <w:rsid w:val="00D0133A"/>
    <w:rsid w:val="00D0159D"/>
    <w:rsid w:val="00D01686"/>
    <w:rsid w:val="00D01CBF"/>
    <w:rsid w:val="00D01D47"/>
    <w:rsid w:val="00D0263D"/>
    <w:rsid w:val="00D026C7"/>
    <w:rsid w:val="00D027F8"/>
    <w:rsid w:val="00D02953"/>
    <w:rsid w:val="00D02D40"/>
    <w:rsid w:val="00D02DC0"/>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F05"/>
    <w:rsid w:val="00D05848"/>
    <w:rsid w:val="00D05B2E"/>
    <w:rsid w:val="00D06597"/>
    <w:rsid w:val="00D067CC"/>
    <w:rsid w:val="00D071EA"/>
    <w:rsid w:val="00D0783C"/>
    <w:rsid w:val="00D07900"/>
    <w:rsid w:val="00D07A2B"/>
    <w:rsid w:val="00D07BDE"/>
    <w:rsid w:val="00D07C33"/>
    <w:rsid w:val="00D07DBA"/>
    <w:rsid w:val="00D07DD1"/>
    <w:rsid w:val="00D07FDD"/>
    <w:rsid w:val="00D103F6"/>
    <w:rsid w:val="00D10607"/>
    <w:rsid w:val="00D10ADF"/>
    <w:rsid w:val="00D10CBA"/>
    <w:rsid w:val="00D110CF"/>
    <w:rsid w:val="00D111E1"/>
    <w:rsid w:val="00D11317"/>
    <w:rsid w:val="00D11376"/>
    <w:rsid w:val="00D11429"/>
    <w:rsid w:val="00D1152A"/>
    <w:rsid w:val="00D11748"/>
    <w:rsid w:val="00D119C0"/>
    <w:rsid w:val="00D122CF"/>
    <w:rsid w:val="00D126AA"/>
    <w:rsid w:val="00D12943"/>
    <w:rsid w:val="00D1296D"/>
    <w:rsid w:val="00D12987"/>
    <w:rsid w:val="00D12AB3"/>
    <w:rsid w:val="00D12BEC"/>
    <w:rsid w:val="00D12F54"/>
    <w:rsid w:val="00D13042"/>
    <w:rsid w:val="00D13DF6"/>
    <w:rsid w:val="00D13EA5"/>
    <w:rsid w:val="00D14197"/>
    <w:rsid w:val="00D14337"/>
    <w:rsid w:val="00D146B6"/>
    <w:rsid w:val="00D14B1A"/>
    <w:rsid w:val="00D14CAF"/>
    <w:rsid w:val="00D14CC8"/>
    <w:rsid w:val="00D14D22"/>
    <w:rsid w:val="00D1583C"/>
    <w:rsid w:val="00D15927"/>
    <w:rsid w:val="00D15EEA"/>
    <w:rsid w:val="00D1602E"/>
    <w:rsid w:val="00D16155"/>
    <w:rsid w:val="00D164A1"/>
    <w:rsid w:val="00D168E9"/>
    <w:rsid w:val="00D16ADC"/>
    <w:rsid w:val="00D16B3E"/>
    <w:rsid w:val="00D16D3A"/>
    <w:rsid w:val="00D171CC"/>
    <w:rsid w:val="00D17769"/>
    <w:rsid w:val="00D17785"/>
    <w:rsid w:val="00D17A2E"/>
    <w:rsid w:val="00D17BD6"/>
    <w:rsid w:val="00D17CB2"/>
    <w:rsid w:val="00D17EF8"/>
    <w:rsid w:val="00D20E77"/>
    <w:rsid w:val="00D2101C"/>
    <w:rsid w:val="00D21100"/>
    <w:rsid w:val="00D2159E"/>
    <w:rsid w:val="00D215F1"/>
    <w:rsid w:val="00D2163C"/>
    <w:rsid w:val="00D21AC0"/>
    <w:rsid w:val="00D21B25"/>
    <w:rsid w:val="00D21F47"/>
    <w:rsid w:val="00D2206A"/>
    <w:rsid w:val="00D2212F"/>
    <w:rsid w:val="00D2281E"/>
    <w:rsid w:val="00D22EC9"/>
    <w:rsid w:val="00D22EFE"/>
    <w:rsid w:val="00D230AF"/>
    <w:rsid w:val="00D2325E"/>
    <w:rsid w:val="00D234ED"/>
    <w:rsid w:val="00D23556"/>
    <w:rsid w:val="00D236EB"/>
    <w:rsid w:val="00D2372E"/>
    <w:rsid w:val="00D23B52"/>
    <w:rsid w:val="00D23C5D"/>
    <w:rsid w:val="00D23C72"/>
    <w:rsid w:val="00D23F30"/>
    <w:rsid w:val="00D2404A"/>
    <w:rsid w:val="00D24492"/>
    <w:rsid w:val="00D2464F"/>
    <w:rsid w:val="00D24A7F"/>
    <w:rsid w:val="00D24AAA"/>
    <w:rsid w:val="00D24FD1"/>
    <w:rsid w:val="00D251FE"/>
    <w:rsid w:val="00D253F1"/>
    <w:rsid w:val="00D255B5"/>
    <w:rsid w:val="00D25920"/>
    <w:rsid w:val="00D25CCD"/>
    <w:rsid w:val="00D25D73"/>
    <w:rsid w:val="00D25E55"/>
    <w:rsid w:val="00D266FC"/>
    <w:rsid w:val="00D268EC"/>
    <w:rsid w:val="00D26B92"/>
    <w:rsid w:val="00D26F12"/>
    <w:rsid w:val="00D272A0"/>
    <w:rsid w:val="00D272F3"/>
    <w:rsid w:val="00D27719"/>
    <w:rsid w:val="00D278D5"/>
    <w:rsid w:val="00D27D85"/>
    <w:rsid w:val="00D27ECE"/>
    <w:rsid w:val="00D27FB7"/>
    <w:rsid w:val="00D30113"/>
    <w:rsid w:val="00D303B6"/>
    <w:rsid w:val="00D304E1"/>
    <w:rsid w:val="00D30548"/>
    <w:rsid w:val="00D30654"/>
    <w:rsid w:val="00D30776"/>
    <w:rsid w:val="00D30983"/>
    <w:rsid w:val="00D312D4"/>
    <w:rsid w:val="00D314EF"/>
    <w:rsid w:val="00D31841"/>
    <w:rsid w:val="00D318B7"/>
    <w:rsid w:val="00D31A3D"/>
    <w:rsid w:val="00D31BCC"/>
    <w:rsid w:val="00D31EC0"/>
    <w:rsid w:val="00D32257"/>
    <w:rsid w:val="00D324AE"/>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D"/>
    <w:rsid w:val="00D367D9"/>
    <w:rsid w:val="00D36DE3"/>
    <w:rsid w:val="00D36E41"/>
    <w:rsid w:val="00D36FEB"/>
    <w:rsid w:val="00D37169"/>
    <w:rsid w:val="00D371D8"/>
    <w:rsid w:val="00D372EF"/>
    <w:rsid w:val="00D374EF"/>
    <w:rsid w:val="00D377F3"/>
    <w:rsid w:val="00D378DE"/>
    <w:rsid w:val="00D37CD6"/>
    <w:rsid w:val="00D37D1C"/>
    <w:rsid w:val="00D37EAA"/>
    <w:rsid w:val="00D37F26"/>
    <w:rsid w:val="00D37FEB"/>
    <w:rsid w:val="00D400A1"/>
    <w:rsid w:val="00D406EC"/>
    <w:rsid w:val="00D40824"/>
    <w:rsid w:val="00D4090C"/>
    <w:rsid w:val="00D40CDB"/>
    <w:rsid w:val="00D40D7D"/>
    <w:rsid w:val="00D40FC7"/>
    <w:rsid w:val="00D4146C"/>
    <w:rsid w:val="00D41757"/>
    <w:rsid w:val="00D41812"/>
    <w:rsid w:val="00D41912"/>
    <w:rsid w:val="00D41C2A"/>
    <w:rsid w:val="00D41EC2"/>
    <w:rsid w:val="00D425AE"/>
    <w:rsid w:val="00D42B91"/>
    <w:rsid w:val="00D42F20"/>
    <w:rsid w:val="00D43194"/>
    <w:rsid w:val="00D432ED"/>
    <w:rsid w:val="00D43301"/>
    <w:rsid w:val="00D4353E"/>
    <w:rsid w:val="00D43612"/>
    <w:rsid w:val="00D43620"/>
    <w:rsid w:val="00D43B01"/>
    <w:rsid w:val="00D43BE3"/>
    <w:rsid w:val="00D43C81"/>
    <w:rsid w:val="00D43D5F"/>
    <w:rsid w:val="00D43DC0"/>
    <w:rsid w:val="00D43FA3"/>
    <w:rsid w:val="00D440FE"/>
    <w:rsid w:val="00D44265"/>
    <w:rsid w:val="00D44853"/>
    <w:rsid w:val="00D44A05"/>
    <w:rsid w:val="00D44AB8"/>
    <w:rsid w:val="00D44B11"/>
    <w:rsid w:val="00D44E60"/>
    <w:rsid w:val="00D44F20"/>
    <w:rsid w:val="00D45085"/>
    <w:rsid w:val="00D453FD"/>
    <w:rsid w:val="00D457A6"/>
    <w:rsid w:val="00D45806"/>
    <w:rsid w:val="00D4594E"/>
    <w:rsid w:val="00D45B2C"/>
    <w:rsid w:val="00D45CB9"/>
    <w:rsid w:val="00D46038"/>
    <w:rsid w:val="00D4629D"/>
    <w:rsid w:val="00D4645F"/>
    <w:rsid w:val="00D4648B"/>
    <w:rsid w:val="00D464BB"/>
    <w:rsid w:val="00D4660B"/>
    <w:rsid w:val="00D46692"/>
    <w:rsid w:val="00D467AE"/>
    <w:rsid w:val="00D467FD"/>
    <w:rsid w:val="00D468C9"/>
    <w:rsid w:val="00D469AD"/>
    <w:rsid w:val="00D46C3E"/>
    <w:rsid w:val="00D46FAF"/>
    <w:rsid w:val="00D4707B"/>
    <w:rsid w:val="00D47254"/>
    <w:rsid w:val="00D47409"/>
    <w:rsid w:val="00D47772"/>
    <w:rsid w:val="00D47D0C"/>
    <w:rsid w:val="00D50074"/>
    <w:rsid w:val="00D501B6"/>
    <w:rsid w:val="00D506B9"/>
    <w:rsid w:val="00D5083F"/>
    <w:rsid w:val="00D50A39"/>
    <w:rsid w:val="00D50A60"/>
    <w:rsid w:val="00D50EF4"/>
    <w:rsid w:val="00D50F16"/>
    <w:rsid w:val="00D51233"/>
    <w:rsid w:val="00D51921"/>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4F91"/>
    <w:rsid w:val="00D55266"/>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746"/>
    <w:rsid w:val="00D609D8"/>
    <w:rsid w:val="00D60A93"/>
    <w:rsid w:val="00D60CBA"/>
    <w:rsid w:val="00D60EDA"/>
    <w:rsid w:val="00D60FBA"/>
    <w:rsid w:val="00D61260"/>
    <w:rsid w:val="00D61363"/>
    <w:rsid w:val="00D613EA"/>
    <w:rsid w:val="00D61DCD"/>
    <w:rsid w:val="00D61E57"/>
    <w:rsid w:val="00D6226C"/>
    <w:rsid w:val="00D62454"/>
    <w:rsid w:val="00D6249C"/>
    <w:rsid w:val="00D6299D"/>
    <w:rsid w:val="00D62A26"/>
    <w:rsid w:val="00D62C3A"/>
    <w:rsid w:val="00D62F33"/>
    <w:rsid w:val="00D62FF9"/>
    <w:rsid w:val="00D630AC"/>
    <w:rsid w:val="00D63122"/>
    <w:rsid w:val="00D6347F"/>
    <w:rsid w:val="00D63730"/>
    <w:rsid w:val="00D639C6"/>
    <w:rsid w:val="00D63CCB"/>
    <w:rsid w:val="00D64254"/>
    <w:rsid w:val="00D6453B"/>
    <w:rsid w:val="00D64565"/>
    <w:rsid w:val="00D64608"/>
    <w:rsid w:val="00D6461D"/>
    <w:rsid w:val="00D64A4A"/>
    <w:rsid w:val="00D64A8B"/>
    <w:rsid w:val="00D6558C"/>
    <w:rsid w:val="00D6576D"/>
    <w:rsid w:val="00D65FF2"/>
    <w:rsid w:val="00D661E9"/>
    <w:rsid w:val="00D664EA"/>
    <w:rsid w:val="00D6652A"/>
    <w:rsid w:val="00D666B2"/>
    <w:rsid w:val="00D66775"/>
    <w:rsid w:val="00D66BBB"/>
    <w:rsid w:val="00D66F4A"/>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2F0"/>
    <w:rsid w:val="00D724F6"/>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CD6"/>
    <w:rsid w:val="00D73EA0"/>
    <w:rsid w:val="00D742ED"/>
    <w:rsid w:val="00D7498A"/>
    <w:rsid w:val="00D74B1D"/>
    <w:rsid w:val="00D74EB3"/>
    <w:rsid w:val="00D74ED3"/>
    <w:rsid w:val="00D755FC"/>
    <w:rsid w:val="00D75657"/>
    <w:rsid w:val="00D7584D"/>
    <w:rsid w:val="00D7585D"/>
    <w:rsid w:val="00D75B32"/>
    <w:rsid w:val="00D75C66"/>
    <w:rsid w:val="00D75D63"/>
    <w:rsid w:val="00D75E3B"/>
    <w:rsid w:val="00D7615B"/>
    <w:rsid w:val="00D761EA"/>
    <w:rsid w:val="00D763F2"/>
    <w:rsid w:val="00D76421"/>
    <w:rsid w:val="00D769B4"/>
    <w:rsid w:val="00D77181"/>
    <w:rsid w:val="00D771B2"/>
    <w:rsid w:val="00D772D0"/>
    <w:rsid w:val="00D7737B"/>
    <w:rsid w:val="00D7752E"/>
    <w:rsid w:val="00D7754F"/>
    <w:rsid w:val="00D77639"/>
    <w:rsid w:val="00D77BBE"/>
    <w:rsid w:val="00D77C63"/>
    <w:rsid w:val="00D80009"/>
    <w:rsid w:val="00D80193"/>
    <w:rsid w:val="00D80618"/>
    <w:rsid w:val="00D80782"/>
    <w:rsid w:val="00D80E23"/>
    <w:rsid w:val="00D80EC3"/>
    <w:rsid w:val="00D810CF"/>
    <w:rsid w:val="00D81202"/>
    <w:rsid w:val="00D8144F"/>
    <w:rsid w:val="00D815D6"/>
    <w:rsid w:val="00D81989"/>
    <w:rsid w:val="00D81A39"/>
    <w:rsid w:val="00D81EF1"/>
    <w:rsid w:val="00D82361"/>
    <w:rsid w:val="00D82403"/>
    <w:rsid w:val="00D82485"/>
    <w:rsid w:val="00D82A33"/>
    <w:rsid w:val="00D82B81"/>
    <w:rsid w:val="00D82C82"/>
    <w:rsid w:val="00D82C91"/>
    <w:rsid w:val="00D82D8A"/>
    <w:rsid w:val="00D82EC8"/>
    <w:rsid w:val="00D82EE6"/>
    <w:rsid w:val="00D82F33"/>
    <w:rsid w:val="00D83550"/>
    <w:rsid w:val="00D835A3"/>
    <w:rsid w:val="00D83717"/>
    <w:rsid w:val="00D83BAC"/>
    <w:rsid w:val="00D83DB6"/>
    <w:rsid w:val="00D849D7"/>
    <w:rsid w:val="00D84B2B"/>
    <w:rsid w:val="00D84BA3"/>
    <w:rsid w:val="00D84D10"/>
    <w:rsid w:val="00D85089"/>
    <w:rsid w:val="00D853F7"/>
    <w:rsid w:val="00D854D6"/>
    <w:rsid w:val="00D85F9B"/>
    <w:rsid w:val="00D860FB"/>
    <w:rsid w:val="00D86386"/>
    <w:rsid w:val="00D86491"/>
    <w:rsid w:val="00D8652F"/>
    <w:rsid w:val="00D866A6"/>
    <w:rsid w:val="00D86777"/>
    <w:rsid w:val="00D86788"/>
    <w:rsid w:val="00D86B75"/>
    <w:rsid w:val="00D86CFE"/>
    <w:rsid w:val="00D879BC"/>
    <w:rsid w:val="00D87AA6"/>
    <w:rsid w:val="00D902EC"/>
    <w:rsid w:val="00D90346"/>
    <w:rsid w:val="00D90423"/>
    <w:rsid w:val="00D906EE"/>
    <w:rsid w:val="00D90851"/>
    <w:rsid w:val="00D909D5"/>
    <w:rsid w:val="00D90BFA"/>
    <w:rsid w:val="00D90D32"/>
    <w:rsid w:val="00D90E19"/>
    <w:rsid w:val="00D913F3"/>
    <w:rsid w:val="00D9161E"/>
    <w:rsid w:val="00D917F0"/>
    <w:rsid w:val="00D91B21"/>
    <w:rsid w:val="00D91D01"/>
    <w:rsid w:val="00D92152"/>
    <w:rsid w:val="00D92B5A"/>
    <w:rsid w:val="00D92FA6"/>
    <w:rsid w:val="00D92FE8"/>
    <w:rsid w:val="00D933B3"/>
    <w:rsid w:val="00D93572"/>
    <w:rsid w:val="00D93594"/>
    <w:rsid w:val="00D93601"/>
    <w:rsid w:val="00D936A4"/>
    <w:rsid w:val="00D936A5"/>
    <w:rsid w:val="00D937B4"/>
    <w:rsid w:val="00D93804"/>
    <w:rsid w:val="00D938A9"/>
    <w:rsid w:val="00D9399E"/>
    <w:rsid w:val="00D93D3E"/>
    <w:rsid w:val="00D93FF8"/>
    <w:rsid w:val="00D94183"/>
    <w:rsid w:val="00D942B5"/>
    <w:rsid w:val="00D945B1"/>
    <w:rsid w:val="00D94847"/>
    <w:rsid w:val="00D94D61"/>
    <w:rsid w:val="00D94EDF"/>
    <w:rsid w:val="00D9505B"/>
    <w:rsid w:val="00D952F4"/>
    <w:rsid w:val="00D957B3"/>
    <w:rsid w:val="00D9582E"/>
    <w:rsid w:val="00D9603E"/>
    <w:rsid w:val="00D96078"/>
    <w:rsid w:val="00D9623F"/>
    <w:rsid w:val="00D962DC"/>
    <w:rsid w:val="00D96E13"/>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5A7"/>
    <w:rsid w:val="00DA18B3"/>
    <w:rsid w:val="00DA1E57"/>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2E9"/>
    <w:rsid w:val="00DA4424"/>
    <w:rsid w:val="00DA4450"/>
    <w:rsid w:val="00DA4772"/>
    <w:rsid w:val="00DA5279"/>
    <w:rsid w:val="00DA5371"/>
    <w:rsid w:val="00DA56EC"/>
    <w:rsid w:val="00DA5A66"/>
    <w:rsid w:val="00DA5B58"/>
    <w:rsid w:val="00DA5EF3"/>
    <w:rsid w:val="00DA610B"/>
    <w:rsid w:val="00DA6756"/>
    <w:rsid w:val="00DA6BA0"/>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E60"/>
    <w:rsid w:val="00DB1EAD"/>
    <w:rsid w:val="00DB1F81"/>
    <w:rsid w:val="00DB20E3"/>
    <w:rsid w:val="00DB244E"/>
    <w:rsid w:val="00DB25E3"/>
    <w:rsid w:val="00DB2716"/>
    <w:rsid w:val="00DB2B1C"/>
    <w:rsid w:val="00DB2B46"/>
    <w:rsid w:val="00DB2B72"/>
    <w:rsid w:val="00DB2D14"/>
    <w:rsid w:val="00DB31C8"/>
    <w:rsid w:val="00DB32BE"/>
    <w:rsid w:val="00DB35D9"/>
    <w:rsid w:val="00DB3A46"/>
    <w:rsid w:val="00DB3C16"/>
    <w:rsid w:val="00DB3E03"/>
    <w:rsid w:val="00DB3FB9"/>
    <w:rsid w:val="00DB4128"/>
    <w:rsid w:val="00DB4220"/>
    <w:rsid w:val="00DB45BE"/>
    <w:rsid w:val="00DB4B9C"/>
    <w:rsid w:val="00DB4D52"/>
    <w:rsid w:val="00DB4E19"/>
    <w:rsid w:val="00DB4FE3"/>
    <w:rsid w:val="00DB5226"/>
    <w:rsid w:val="00DB5A06"/>
    <w:rsid w:val="00DB5D18"/>
    <w:rsid w:val="00DB6008"/>
    <w:rsid w:val="00DB6315"/>
    <w:rsid w:val="00DB68A9"/>
    <w:rsid w:val="00DB6C13"/>
    <w:rsid w:val="00DB7040"/>
    <w:rsid w:val="00DB706C"/>
    <w:rsid w:val="00DB7092"/>
    <w:rsid w:val="00DB73C9"/>
    <w:rsid w:val="00DB74E4"/>
    <w:rsid w:val="00DB7551"/>
    <w:rsid w:val="00DB78EB"/>
    <w:rsid w:val="00DB7B76"/>
    <w:rsid w:val="00DB7D46"/>
    <w:rsid w:val="00DB7D72"/>
    <w:rsid w:val="00DC004A"/>
    <w:rsid w:val="00DC0BEA"/>
    <w:rsid w:val="00DC0CC4"/>
    <w:rsid w:val="00DC0E9B"/>
    <w:rsid w:val="00DC0F05"/>
    <w:rsid w:val="00DC0F42"/>
    <w:rsid w:val="00DC10D8"/>
    <w:rsid w:val="00DC1348"/>
    <w:rsid w:val="00DC1356"/>
    <w:rsid w:val="00DC1359"/>
    <w:rsid w:val="00DC1E06"/>
    <w:rsid w:val="00DC1F09"/>
    <w:rsid w:val="00DC2449"/>
    <w:rsid w:val="00DC259D"/>
    <w:rsid w:val="00DC2685"/>
    <w:rsid w:val="00DC2949"/>
    <w:rsid w:val="00DC2BEB"/>
    <w:rsid w:val="00DC2EB7"/>
    <w:rsid w:val="00DC2EC5"/>
    <w:rsid w:val="00DC2F77"/>
    <w:rsid w:val="00DC32AC"/>
    <w:rsid w:val="00DC33C7"/>
    <w:rsid w:val="00DC3478"/>
    <w:rsid w:val="00DC34FD"/>
    <w:rsid w:val="00DC37CE"/>
    <w:rsid w:val="00DC3A4A"/>
    <w:rsid w:val="00DC3DC5"/>
    <w:rsid w:val="00DC4C3C"/>
    <w:rsid w:val="00DC4E4E"/>
    <w:rsid w:val="00DC574B"/>
    <w:rsid w:val="00DC5814"/>
    <w:rsid w:val="00DC5AD0"/>
    <w:rsid w:val="00DC5CED"/>
    <w:rsid w:val="00DC5DEE"/>
    <w:rsid w:val="00DC5EA9"/>
    <w:rsid w:val="00DC5F00"/>
    <w:rsid w:val="00DC624E"/>
    <w:rsid w:val="00DC663A"/>
    <w:rsid w:val="00DC694C"/>
    <w:rsid w:val="00DC69B9"/>
    <w:rsid w:val="00DC6A4B"/>
    <w:rsid w:val="00DC6D06"/>
    <w:rsid w:val="00DC6EE1"/>
    <w:rsid w:val="00DC70FC"/>
    <w:rsid w:val="00DC7113"/>
    <w:rsid w:val="00DC7116"/>
    <w:rsid w:val="00DC712C"/>
    <w:rsid w:val="00DC75BA"/>
    <w:rsid w:val="00DC77EC"/>
    <w:rsid w:val="00DC7B82"/>
    <w:rsid w:val="00DC7CCC"/>
    <w:rsid w:val="00DC7D08"/>
    <w:rsid w:val="00DD00B1"/>
    <w:rsid w:val="00DD013E"/>
    <w:rsid w:val="00DD0159"/>
    <w:rsid w:val="00DD01A5"/>
    <w:rsid w:val="00DD055A"/>
    <w:rsid w:val="00DD0808"/>
    <w:rsid w:val="00DD09E1"/>
    <w:rsid w:val="00DD0ADE"/>
    <w:rsid w:val="00DD0EF7"/>
    <w:rsid w:val="00DD1012"/>
    <w:rsid w:val="00DD1259"/>
    <w:rsid w:val="00DD1CD2"/>
    <w:rsid w:val="00DD1D4B"/>
    <w:rsid w:val="00DD1E7E"/>
    <w:rsid w:val="00DD203C"/>
    <w:rsid w:val="00DD22FC"/>
    <w:rsid w:val="00DD28C9"/>
    <w:rsid w:val="00DD2B51"/>
    <w:rsid w:val="00DD2D5E"/>
    <w:rsid w:val="00DD323D"/>
    <w:rsid w:val="00DD32E9"/>
    <w:rsid w:val="00DD3470"/>
    <w:rsid w:val="00DD3B0A"/>
    <w:rsid w:val="00DD3B34"/>
    <w:rsid w:val="00DD3E23"/>
    <w:rsid w:val="00DD41F0"/>
    <w:rsid w:val="00DD41F3"/>
    <w:rsid w:val="00DD430B"/>
    <w:rsid w:val="00DD4609"/>
    <w:rsid w:val="00DD4DDE"/>
    <w:rsid w:val="00DD56BF"/>
    <w:rsid w:val="00DD5DFA"/>
    <w:rsid w:val="00DD5E6F"/>
    <w:rsid w:val="00DD5FC3"/>
    <w:rsid w:val="00DD609D"/>
    <w:rsid w:val="00DD63DE"/>
    <w:rsid w:val="00DD6897"/>
    <w:rsid w:val="00DD6CC8"/>
    <w:rsid w:val="00DD6D12"/>
    <w:rsid w:val="00DD6E3D"/>
    <w:rsid w:val="00DD6F2B"/>
    <w:rsid w:val="00DD6FF7"/>
    <w:rsid w:val="00DD7168"/>
    <w:rsid w:val="00DD73EF"/>
    <w:rsid w:val="00DD7503"/>
    <w:rsid w:val="00DD762A"/>
    <w:rsid w:val="00DD78B0"/>
    <w:rsid w:val="00DD7B1F"/>
    <w:rsid w:val="00DD7DB1"/>
    <w:rsid w:val="00DE0524"/>
    <w:rsid w:val="00DE0C66"/>
    <w:rsid w:val="00DE0E6C"/>
    <w:rsid w:val="00DE0EF7"/>
    <w:rsid w:val="00DE0F38"/>
    <w:rsid w:val="00DE10EE"/>
    <w:rsid w:val="00DE1188"/>
    <w:rsid w:val="00DE1395"/>
    <w:rsid w:val="00DE1B36"/>
    <w:rsid w:val="00DE25FF"/>
    <w:rsid w:val="00DE261D"/>
    <w:rsid w:val="00DE2A35"/>
    <w:rsid w:val="00DE3104"/>
    <w:rsid w:val="00DE31B6"/>
    <w:rsid w:val="00DE35C8"/>
    <w:rsid w:val="00DE3925"/>
    <w:rsid w:val="00DE3942"/>
    <w:rsid w:val="00DE3BD1"/>
    <w:rsid w:val="00DE3C3E"/>
    <w:rsid w:val="00DE3DC8"/>
    <w:rsid w:val="00DE4064"/>
    <w:rsid w:val="00DE430A"/>
    <w:rsid w:val="00DE4890"/>
    <w:rsid w:val="00DE4A7B"/>
    <w:rsid w:val="00DE4C2E"/>
    <w:rsid w:val="00DE4C9D"/>
    <w:rsid w:val="00DE53AA"/>
    <w:rsid w:val="00DE557E"/>
    <w:rsid w:val="00DE5942"/>
    <w:rsid w:val="00DE5D35"/>
    <w:rsid w:val="00DE5D4F"/>
    <w:rsid w:val="00DE5F50"/>
    <w:rsid w:val="00DE61CB"/>
    <w:rsid w:val="00DE6337"/>
    <w:rsid w:val="00DE641E"/>
    <w:rsid w:val="00DE6449"/>
    <w:rsid w:val="00DE653A"/>
    <w:rsid w:val="00DE662F"/>
    <w:rsid w:val="00DE6799"/>
    <w:rsid w:val="00DE6F6F"/>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B5D"/>
    <w:rsid w:val="00DF1C0E"/>
    <w:rsid w:val="00DF225B"/>
    <w:rsid w:val="00DF24CB"/>
    <w:rsid w:val="00DF2537"/>
    <w:rsid w:val="00DF26D9"/>
    <w:rsid w:val="00DF300F"/>
    <w:rsid w:val="00DF326B"/>
    <w:rsid w:val="00DF33E9"/>
    <w:rsid w:val="00DF39CD"/>
    <w:rsid w:val="00DF408B"/>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8A9"/>
    <w:rsid w:val="00E0044B"/>
    <w:rsid w:val="00E004DD"/>
    <w:rsid w:val="00E0082C"/>
    <w:rsid w:val="00E00859"/>
    <w:rsid w:val="00E00AFD"/>
    <w:rsid w:val="00E00E12"/>
    <w:rsid w:val="00E00F06"/>
    <w:rsid w:val="00E01047"/>
    <w:rsid w:val="00E010BC"/>
    <w:rsid w:val="00E011F9"/>
    <w:rsid w:val="00E01217"/>
    <w:rsid w:val="00E01278"/>
    <w:rsid w:val="00E019C5"/>
    <w:rsid w:val="00E01EF0"/>
    <w:rsid w:val="00E02100"/>
    <w:rsid w:val="00E021D6"/>
    <w:rsid w:val="00E0265D"/>
    <w:rsid w:val="00E0292E"/>
    <w:rsid w:val="00E030C3"/>
    <w:rsid w:val="00E03382"/>
    <w:rsid w:val="00E035B5"/>
    <w:rsid w:val="00E03A79"/>
    <w:rsid w:val="00E0401D"/>
    <w:rsid w:val="00E040A2"/>
    <w:rsid w:val="00E0426E"/>
    <w:rsid w:val="00E043A0"/>
    <w:rsid w:val="00E043B8"/>
    <w:rsid w:val="00E0478D"/>
    <w:rsid w:val="00E047EF"/>
    <w:rsid w:val="00E04958"/>
    <w:rsid w:val="00E04C7A"/>
    <w:rsid w:val="00E04DD0"/>
    <w:rsid w:val="00E05061"/>
    <w:rsid w:val="00E05287"/>
    <w:rsid w:val="00E05471"/>
    <w:rsid w:val="00E05B4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BE"/>
    <w:rsid w:val="00E070E9"/>
    <w:rsid w:val="00E07282"/>
    <w:rsid w:val="00E07313"/>
    <w:rsid w:val="00E077D9"/>
    <w:rsid w:val="00E07AAD"/>
    <w:rsid w:val="00E07B58"/>
    <w:rsid w:val="00E07E84"/>
    <w:rsid w:val="00E07EDE"/>
    <w:rsid w:val="00E102B0"/>
    <w:rsid w:val="00E1048B"/>
    <w:rsid w:val="00E10A31"/>
    <w:rsid w:val="00E10C2D"/>
    <w:rsid w:val="00E10CC6"/>
    <w:rsid w:val="00E111DA"/>
    <w:rsid w:val="00E1132D"/>
    <w:rsid w:val="00E118B3"/>
    <w:rsid w:val="00E11C4C"/>
    <w:rsid w:val="00E11E0E"/>
    <w:rsid w:val="00E12023"/>
    <w:rsid w:val="00E120EB"/>
    <w:rsid w:val="00E1244C"/>
    <w:rsid w:val="00E127C9"/>
    <w:rsid w:val="00E1297C"/>
    <w:rsid w:val="00E12BC4"/>
    <w:rsid w:val="00E12CB3"/>
    <w:rsid w:val="00E12F02"/>
    <w:rsid w:val="00E12FA1"/>
    <w:rsid w:val="00E1322A"/>
    <w:rsid w:val="00E132BA"/>
    <w:rsid w:val="00E13425"/>
    <w:rsid w:val="00E13447"/>
    <w:rsid w:val="00E135C9"/>
    <w:rsid w:val="00E136B2"/>
    <w:rsid w:val="00E1381C"/>
    <w:rsid w:val="00E1382C"/>
    <w:rsid w:val="00E13A8E"/>
    <w:rsid w:val="00E13EED"/>
    <w:rsid w:val="00E140EA"/>
    <w:rsid w:val="00E14211"/>
    <w:rsid w:val="00E14758"/>
    <w:rsid w:val="00E14D42"/>
    <w:rsid w:val="00E150D0"/>
    <w:rsid w:val="00E151AE"/>
    <w:rsid w:val="00E15653"/>
    <w:rsid w:val="00E158AE"/>
    <w:rsid w:val="00E15D5B"/>
    <w:rsid w:val="00E15E79"/>
    <w:rsid w:val="00E16364"/>
    <w:rsid w:val="00E164FC"/>
    <w:rsid w:val="00E16946"/>
    <w:rsid w:val="00E16D5A"/>
    <w:rsid w:val="00E16FE7"/>
    <w:rsid w:val="00E17088"/>
    <w:rsid w:val="00E17474"/>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B49"/>
    <w:rsid w:val="00E210B9"/>
    <w:rsid w:val="00E2132F"/>
    <w:rsid w:val="00E2135D"/>
    <w:rsid w:val="00E216BE"/>
    <w:rsid w:val="00E216CC"/>
    <w:rsid w:val="00E2173C"/>
    <w:rsid w:val="00E22A74"/>
    <w:rsid w:val="00E22B53"/>
    <w:rsid w:val="00E22C17"/>
    <w:rsid w:val="00E22F5C"/>
    <w:rsid w:val="00E23946"/>
    <w:rsid w:val="00E239D3"/>
    <w:rsid w:val="00E244CA"/>
    <w:rsid w:val="00E244DB"/>
    <w:rsid w:val="00E2451D"/>
    <w:rsid w:val="00E245C8"/>
    <w:rsid w:val="00E24843"/>
    <w:rsid w:val="00E24AED"/>
    <w:rsid w:val="00E24E76"/>
    <w:rsid w:val="00E24EDB"/>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75"/>
    <w:rsid w:val="00E27686"/>
    <w:rsid w:val="00E278FC"/>
    <w:rsid w:val="00E27942"/>
    <w:rsid w:val="00E27A45"/>
    <w:rsid w:val="00E27CEE"/>
    <w:rsid w:val="00E30054"/>
    <w:rsid w:val="00E3010F"/>
    <w:rsid w:val="00E30234"/>
    <w:rsid w:val="00E302EA"/>
    <w:rsid w:val="00E308A0"/>
    <w:rsid w:val="00E30A40"/>
    <w:rsid w:val="00E3120B"/>
    <w:rsid w:val="00E313D5"/>
    <w:rsid w:val="00E313E5"/>
    <w:rsid w:val="00E315B5"/>
    <w:rsid w:val="00E31A84"/>
    <w:rsid w:val="00E31C6E"/>
    <w:rsid w:val="00E31D67"/>
    <w:rsid w:val="00E31FCC"/>
    <w:rsid w:val="00E33054"/>
    <w:rsid w:val="00E3316C"/>
    <w:rsid w:val="00E3354F"/>
    <w:rsid w:val="00E33584"/>
    <w:rsid w:val="00E33A19"/>
    <w:rsid w:val="00E33B4D"/>
    <w:rsid w:val="00E33EE8"/>
    <w:rsid w:val="00E33F4B"/>
    <w:rsid w:val="00E349E2"/>
    <w:rsid w:val="00E34C26"/>
    <w:rsid w:val="00E34C93"/>
    <w:rsid w:val="00E34CD6"/>
    <w:rsid w:val="00E351A2"/>
    <w:rsid w:val="00E35211"/>
    <w:rsid w:val="00E35974"/>
    <w:rsid w:val="00E35A59"/>
    <w:rsid w:val="00E35AC8"/>
    <w:rsid w:val="00E35D0E"/>
    <w:rsid w:val="00E3600D"/>
    <w:rsid w:val="00E3617A"/>
    <w:rsid w:val="00E364D6"/>
    <w:rsid w:val="00E366D9"/>
    <w:rsid w:val="00E3697D"/>
    <w:rsid w:val="00E36CD6"/>
    <w:rsid w:val="00E36DE5"/>
    <w:rsid w:val="00E3710F"/>
    <w:rsid w:val="00E37159"/>
    <w:rsid w:val="00E378B6"/>
    <w:rsid w:val="00E378FB"/>
    <w:rsid w:val="00E37F0C"/>
    <w:rsid w:val="00E40495"/>
    <w:rsid w:val="00E4081F"/>
    <w:rsid w:val="00E40917"/>
    <w:rsid w:val="00E410C5"/>
    <w:rsid w:val="00E411BD"/>
    <w:rsid w:val="00E417A8"/>
    <w:rsid w:val="00E41D2F"/>
    <w:rsid w:val="00E4208A"/>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4BA"/>
    <w:rsid w:val="00E44B85"/>
    <w:rsid w:val="00E44BBF"/>
    <w:rsid w:val="00E451CE"/>
    <w:rsid w:val="00E455D4"/>
    <w:rsid w:val="00E455E8"/>
    <w:rsid w:val="00E45814"/>
    <w:rsid w:val="00E45889"/>
    <w:rsid w:val="00E45C6A"/>
    <w:rsid w:val="00E45E65"/>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1F6C"/>
    <w:rsid w:val="00E5232C"/>
    <w:rsid w:val="00E5244D"/>
    <w:rsid w:val="00E525DE"/>
    <w:rsid w:val="00E52616"/>
    <w:rsid w:val="00E52855"/>
    <w:rsid w:val="00E53192"/>
    <w:rsid w:val="00E532DE"/>
    <w:rsid w:val="00E53826"/>
    <w:rsid w:val="00E53896"/>
    <w:rsid w:val="00E544A3"/>
    <w:rsid w:val="00E549A2"/>
    <w:rsid w:val="00E54A75"/>
    <w:rsid w:val="00E54D90"/>
    <w:rsid w:val="00E54DD3"/>
    <w:rsid w:val="00E552D0"/>
    <w:rsid w:val="00E5535A"/>
    <w:rsid w:val="00E5554E"/>
    <w:rsid w:val="00E55CD9"/>
    <w:rsid w:val="00E56026"/>
    <w:rsid w:val="00E56898"/>
    <w:rsid w:val="00E56BA5"/>
    <w:rsid w:val="00E56C9D"/>
    <w:rsid w:val="00E571D6"/>
    <w:rsid w:val="00E5721E"/>
    <w:rsid w:val="00E574CA"/>
    <w:rsid w:val="00E5794C"/>
    <w:rsid w:val="00E57A5A"/>
    <w:rsid w:val="00E57BD1"/>
    <w:rsid w:val="00E6073D"/>
    <w:rsid w:val="00E60750"/>
    <w:rsid w:val="00E60836"/>
    <w:rsid w:val="00E60D25"/>
    <w:rsid w:val="00E61314"/>
    <w:rsid w:val="00E614E9"/>
    <w:rsid w:val="00E61719"/>
    <w:rsid w:val="00E61A11"/>
    <w:rsid w:val="00E61A67"/>
    <w:rsid w:val="00E61B8E"/>
    <w:rsid w:val="00E61BD0"/>
    <w:rsid w:val="00E61FED"/>
    <w:rsid w:val="00E62208"/>
    <w:rsid w:val="00E62249"/>
    <w:rsid w:val="00E629C7"/>
    <w:rsid w:val="00E63265"/>
    <w:rsid w:val="00E634C8"/>
    <w:rsid w:val="00E636D2"/>
    <w:rsid w:val="00E63B1F"/>
    <w:rsid w:val="00E63DC0"/>
    <w:rsid w:val="00E63E8E"/>
    <w:rsid w:val="00E63F1B"/>
    <w:rsid w:val="00E641A5"/>
    <w:rsid w:val="00E641BF"/>
    <w:rsid w:val="00E64255"/>
    <w:rsid w:val="00E64276"/>
    <w:rsid w:val="00E644A9"/>
    <w:rsid w:val="00E646D6"/>
    <w:rsid w:val="00E64751"/>
    <w:rsid w:val="00E648D8"/>
    <w:rsid w:val="00E64B81"/>
    <w:rsid w:val="00E6510A"/>
    <w:rsid w:val="00E6560D"/>
    <w:rsid w:val="00E656DD"/>
    <w:rsid w:val="00E65ABF"/>
    <w:rsid w:val="00E65C2A"/>
    <w:rsid w:val="00E660B4"/>
    <w:rsid w:val="00E663A6"/>
    <w:rsid w:val="00E664E2"/>
    <w:rsid w:val="00E66B9D"/>
    <w:rsid w:val="00E67473"/>
    <w:rsid w:val="00E6770C"/>
    <w:rsid w:val="00E679F5"/>
    <w:rsid w:val="00E67BE7"/>
    <w:rsid w:val="00E67CF6"/>
    <w:rsid w:val="00E67EE7"/>
    <w:rsid w:val="00E701B5"/>
    <w:rsid w:val="00E7022E"/>
    <w:rsid w:val="00E70273"/>
    <w:rsid w:val="00E70327"/>
    <w:rsid w:val="00E70328"/>
    <w:rsid w:val="00E70553"/>
    <w:rsid w:val="00E70570"/>
    <w:rsid w:val="00E70A04"/>
    <w:rsid w:val="00E70D20"/>
    <w:rsid w:val="00E71209"/>
    <w:rsid w:val="00E7147F"/>
    <w:rsid w:val="00E71909"/>
    <w:rsid w:val="00E71A77"/>
    <w:rsid w:val="00E71CB5"/>
    <w:rsid w:val="00E7209A"/>
    <w:rsid w:val="00E72489"/>
    <w:rsid w:val="00E724CB"/>
    <w:rsid w:val="00E7256F"/>
    <w:rsid w:val="00E7267D"/>
    <w:rsid w:val="00E72C7C"/>
    <w:rsid w:val="00E72E8B"/>
    <w:rsid w:val="00E7308D"/>
    <w:rsid w:val="00E73196"/>
    <w:rsid w:val="00E7320E"/>
    <w:rsid w:val="00E73468"/>
    <w:rsid w:val="00E73628"/>
    <w:rsid w:val="00E73643"/>
    <w:rsid w:val="00E737A0"/>
    <w:rsid w:val="00E739F8"/>
    <w:rsid w:val="00E73E8B"/>
    <w:rsid w:val="00E74405"/>
    <w:rsid w:val="00E745A2"/>
    <w:rsid w:val="00E745A6"/>
    <w:rsid w:val="00E74D3F"/>
    <w:rsid w:val="00E74FE6"/>
    <w:rsid w:val="00E75495"/>
    <w:rsid w:val="00E756BB"/>
    <w:rsid w:val="00E7592E"/>
    <w:rsid w:val="00E75E09"/>
    <w:rsid w:val="00E76840"/>
    <w:rsid w:val="00E7685A"/>
    <w:rsid w:val="00E76C92"/>
    <w:rsid w:val="00E76EA4"/>
    <w:rsid w:val="00E77051"/>
    <w:rsid w:val="00E77847"/>
    <w:rsid w:val="00E77B20"/>
    <w:rsid w:val="00E77B93"/>
    <w:rsid w:val="00E77D08"/>
    <w:rsid w:val="00E77DEA"/>
    <w:rsid w:val="00E804B2"/>
    <w:rsid w:val="00E8067F"/>
    <w:rsid w:val="00E80719"/>
    <w:rsid w:val="00E80739"/>
    <w:rsid w:val="00E81164"/>
    <w:rsid w:val="00E8150E"/>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4054"/>
    <w:rsid w:val="00E841F9"/>
    <w:rsid w:val="00E842E1"/>
    <w:rsid w:val="00E84868"/>
    <w:rsid w:val="00E84895"/>
    <w:rsid w:val="00E84964"/>
    <w:rsid w:val="00E84B6F"/>
    <w:rsid w:val="00E84D2E"/>
    <w:rsid w:val="00E84E27"/>
    <w:rsid w:val="00E84EC1"/>
    <w:rsid w:val="00E85231"/>
    <w:rsid w:val="00E8525D"/>
    <w:rsid w:val="00E85596"/>
    <w:rsid w:val="00E85812"/>
    <w:rsid w:val="00E85897"/>
    <w:rsid w:val="00E85A69"/>
    <w:rsid w:val="00E85B88"/>
    <w:rsid w:val="00E85FBA"/>
    <w:rsid w:val="00E860BE"/>
    <w:rsid w:val="00E861B5"/>
    <w:rsid w:val="00E8637B"/>
    <w:rsid w:val="00E8689E"/>
    <w:rsid w:val="00E86D44"/>
    <w:rsid w:val="00E86FBF"/>
    <w:rsid w:val="00E875D8"/>
    <w:rsid w:val="00E877DC"/>
    <w:rsid w:val="00E879BB"/>
    <w:rsid w:val="00E87A24"/>
    <w:rsid w:val="00E87F11"/>
    <w:rsid w:val="00E906B0"/>
    <w:rsid w:val="00E912C1"/>
    <w:rsid w:val="00E915A8"/>
    <w:rsid w:val="00E919B9"/>
    <w:rsid w:val="00E91D5E"/>
    <w:rsid w:val="00E91F35"/>
    <w:rsid w:val="00E91FFD"/>
    <w:rsid w:val="00E92119"/>
    <w:rsid w:val="00E9216A"/>
    <w:rsid w:val="00E92459"/>
    <w:rsid w:val="00E92581"/>
    <w:rsid w:val="00E92640"/>
    <w:rsid w:val="00E926DE"/>
    <w:rsid w:val="00E927E6"/>
    <w:rsid w:val="00E92859"/>
    <w:rsid w:val="00E929EE"/>
    <w:rsid w:val="00E92BAC"/>
    <w:rsid w:val="00E92C00"/>
    <w:rsid w:val="00E92CFF"/>
    <w:rsid w:val="00E92EB7"/>
    <w:rsid w:val="00E93164"/>
    <w:rsid w:val="00E93772"/>
    <w:rsid w:val="00E93813"/>
    <w:rsid w:val="00E93977"/>
    <w:rsid w:val="00E93EF5"/>
    <w:rsid w:val="00E94411"/>
    <w:rsid w:val="00E94468"/>
    <w:rsid w:val="00E946C2"/>
    <w:rsid w:val="00E94A30"/>
    <w:rsid w:val="00E94D6F"/>
    <w:rsid w:val="00E94EAD"/>
    <w:rsid w:val="00E94F83"/>
    <w:rsid w:val="00E94FDD"/>
    <w:rsid w:val="00E95085"/>
    <w:rsid w:val="00E95636"/>
    <w:rsid w:val="00E95885"/>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621"/>
    <w:rsid w:val="00EA0A7C"/>
    <w:rsid w:val="00EA0BFF"/>
    <w:rsid w:val="00EA0E6B"/>
    <w:rsid w:val="00EA185E"/>
    <w:rsid w:val="00EA1890"/>
    <w:rsid w:val="00EA18A1"/>
    <w:rsid w:val="00EA19F1"/>
    <w:rsid w:val="00EA1C78"/>
    <w:rsid w:val="00EA1DEA"/>
    <w:rsid w:val="00EA1F0A"/>
    <w:rsid w:val="00EA2047"/>
    <w:rsid w:val="00EA2149"/>
    <w:rsid w:val="00EA2188"/>
    <w:rsid w:val="00EA224B"/>
    <w:rsid w:val="00EA2388"/>
    <w:rsid w:val="00EA2B04"/>
    <w:rsid w:val="00EA2CCD"/>
    <w:rsid w:val="00EA2D4A"/>
    <w:rsid w:val="00EA2D61"/>
    <w:rsid w:val="00EA2E18"/>
    <w:rsid w:val="00EA3004"/>
    <w:rsid w:val="00EA3327"/>
    <w:rsid w:val="00EA33EB"/>
    <w:rsid w:val="00EA3570"/>
    <w:rsid w:val="00EA35CA"/>
    <w:rsid w:val="00EA36A4"/>
    <w:rsid w:val="00EA3753"/>
    <w:rsid w:val="00EA3832"/>
    <w:rsid w:val="00EA3DFA"/>
    <w:rsid w:val="00EA41CD"/>
    <w:rsid w:val="00EA4435"/>
    <w:rsid w:val="00EA4969"/>
    <w:rsid w:val="00EA4F00"/>
    <w:rsid w:val="00EA52BD"/>
    <w:rsid w:val="00EA557C"/>
    <w:rsid w:val="00EA5AB6"/>
    <w:rsid w:val="00EA5BB6"/>
    <w:rsid w:val="00EA5E99"/>
    <w:rsid w:val="00EA6139"/>
    <w:rsid w:val="00EA636E"/>
    <w:rsid w:val="00EA6430"/>
    <w:rsid w:val="00EA696C"/>
    <w:rsid w:val="00EA69C3"/>
    <w:rsid w:val="00EA6B06"/>
    <w:rsid w:val="00EA6D40"/>
    <w:rsid w:val="00EA6F18"/>
    <w:rsid w:val="00EA6FA3"/>
    <w:rsid w:val="00EA71C7"/>
    <w:rsid w:val="00EA76B3"/>
    <w:rsid w:val="00EA7B4B"/>
    <w:rsid w:val="00EA7D55"/>
    <w:rsid w:val="00EA7D89"/>
    <w:rsid w:val="00EA7DB0"/>
    <w:rsid w:val="00EB0023"/>
    <w:rsid w:val="00EB023D"/>
    <w:rsid w:val="00EB0458"/>
    <w:rsid w:val="00EB0594"/>
    <w:rsid w:val="00EB05AA"/>
    <w:rsid w:val="00EB05B9"/>
    <w:rsid w:val="00EB07B8"/>
    <w:rsid w:val="00EB0A0D"/>
    <w:rsid w:val="00EB0C51"/>
    <w:rsid w:val="00EB0DD3"/>
    <w:rsid w:val="00EB0FFF"/>
    <w:rsid w:val="00EB1118"/>
    <w:rsid w:val="00EB116D"/>
    <w:rsid w:val="00EB203C"/>
    <w:rsid w:val="00EB20CF"/>
    <w:rsid w:val="00EB2851"/>
    <w:rsid w:val="00EB2D7A"/>
    <w:rsid w:val="00EB3348"/>
    <w:rsid w:val="00EB3756"/>
    <w:rsid w:val="00EB3803"/>
    <w:rsid w:val="00EB3B07"/>
    <w:rsid w:val="00EB3B0E"/>
    <w:rsid w:val="00EB428F"/>
    <w:rsid w:val="00EB43E8"/>
    <w:rsid w:val="00EB4438"/>
    <w:rsid w:val="00EB447A"/>
    <w:rsid w:val="00EB4562"/>
    <w:rsid w:val="00EB4646"/>
    <w:rsid w:val="00EB46A9"/>
    <w:rsid w:val="00EB480A"/>
    <w:rsid w:val="00EB485A"/>
    <w:rsid w:val="00EB4A1D"/>
    <w:rsid w:val="00EB4C48"/>
    <w:rsid w:val="00EB4D99"/>
    <w:rsid w:val="00EB4EEF"/>
    <w:rsid w:val="00EB501B"/>
    <w:rsid w:val="00EB538F"/>
    <w:rsid w:val="00EB5402"/>
    <w:rsid w:val="00EB586F"/>
    <w:rsid w:val="00EB5B54"/>
    <w:rsid w:val="00EB5D94"/>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E04"/>
    <w:rsid w:val="00EC12A0"/>
    <w:rsid w:val="00EC1418"/>
    <w:rsid w:val="00EC149C"/>
    <w:rsid w:val="00EC16BE"/>
    <w:rsid w:val="00EC1807"/>
    <w:rsid w:val="00EC1B1B"/>
    <w:rsid w:val="00EC204A"/>
    <w:rsid w:val="00EC2401"/>
    <w:rsid w:val="00EC2488"/>
    <w:rsid w:val="00EC2574"/>
    <w:rsid w:val="00EC282A"/>
    <w:rsid w:val="00EC28A9"/>
    <w:rsid w:val="00EC2C4E"/>
    <w:rsid w:val="00EC3106"/>
    <w:rsid w:val="00EC354D"/>
    <w:rsid w:val="00EC3BD3"/>
    <w:rsid w:val="00EC3F53"/>
    <w:rsid w:val="00EC48B8"/>
    <w:rsid w:val="00EC4A94"/>
    <w:rsid w:val="00EC4F1C"/>
    <w:rsid w:val="00EC50FD"/>
    <w:rsid w:val="00EC51D2"/>
    <w:rsid w:val="00EC51DB"/>
    <w:rsid w:val="00EC572F"/>
    <w:rsid w:val="00EC5771"/>
    <w:rsid w:val="00EC5958"/>
    <w:rsid w:val="00EC5972"/>
    <w:rsid w:val="00EC59B9"/>
    <w:rsid w:val="00EC5E2A"/>
    <w:rsid w:val="00EC5F6F"/>
    <w:rsid w:val="00EC64B9"/>
    <w:rsid w:val="00EC688D"/>
    <w:rsid w:val="00EC6956"/>
    <w:rsid w:val="00EC6A58"/>
    <w:rsid w:val="00EC6EAB"/>
    <w:rsid w:val="00EC7173"/>
    <w:rsid w:val="00EC7260"/>
    <w:rsid w:val="00EC7345"/>
    <w:rsid w:val="00EC777A"/>
    <w:rsid w:val="00EC78F8"/>
    <w:rsid w:val="00EC7C2A"/>
    <w:rsid w:val="00EC7D16"/>
    <w:rsid w:val="00EC7DB0"/>
    <w:rsid w:val="00EC7E7C"/>
    <w:rsid w:val="00EC7EC7"/>
    <w:rsid w:val="00EC7F1A"/>
    <w:rsid w:val="00ED001C"/>
    <w:rsid w:val="00ED0211"/>
    <w:rsid w:val="00ED047E"/>
    <w:rsid w:val="00ED0754"/>
    <w:rsid w:val="00ED07A2"/>
    <w:rsid w:val="00ED1518"/>
    <w:rsid w:val="00ED1896"/>
    <w:rsid w:val="00ED198B"/>
    <w:rsid w:val="00ED19E4"/>
    <w:rsid w:val="00ED1B6C"/>
    <w:rsid w:val="00ED288D"/>
    <w:rsid w:val="00ED29A0"/>
    <w:rsid w:val="00ED2AFC"/>
    <w:rsid w:val="00ED2C2F"/>
    <w:rsid w:val="00ED2D23"/>
    <w:rsid w:val="00ED34F9"/>
    <w:rsid w:val="00ED351B"/>
    <w:rsid w:val="00ED3841"/>
    <w:rsid w:val="00ED3A72"/>
    <w:rsid w:val="00ED3E43"/>
    <w:rsid w:val="00ED4058"/>
    <w:rsid w:val="00ED44A5"/>
    <w:rsid w:val="00ED4994"/>
    <w:rsid w:val="00ED5020"/>
    <w:rsid w:val="00ED5077"/>
    <w:rsid w:val="00ED53B2"/>
    <w:rsid w:val="00ED543D"/>
    <w:rsid w:val="00ED54FD"/>
    <w:rsid w:val="00ED551B"/>
    <w:rsid w:val="00ED555B"/>
    <w:rsid w:val="00ED5601"/>
    <w:rsid w:val="00ED5B6D"/>
    <w:rsid w:val="00ED5BCE"/>
    <w:rsid w:val="00ED5D02"/>
    <w:rsid w:val="00ED68D4"/>
    <w:rsid w:val="00ED6925"/>
    <w:rsid w:val="00ED6E3D"/>
    <w:rsid w:val="00ED6F22"/>
    <w:rsid w:val="00ED70F8"/>
    <w:rsid w:val="00ED79B0"/>
    <w:rsid w:val="00ED7BC5"/>
    <w:rsid w:val="00EE037B"/>
    <w:rsid w:val="00EE03CB"/>
    <w:rsid w:val="00EE06A5"/>
    <w:rsid w:val="00EE140C"/>
    <w:rsid w:val="00EE166B"/>
    <w:rsid w:val="00EE191E"/>
    <w:rsid w:val="00EE192D"/>
    <w:rsid w:val="00EE1BC3"/>
    <w:rsid w:val="00EE1CC3"/>
    <w:rsid w:val="00EE1E1D"/>
    <w:rsid w:val="00EE26A8"/>
    <w:rsid w:val="00EE27F6"/>
    <w:rsid w:val="00EE28CC"/>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A8B"/>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E2"/>
    <w:rsid w:val="00EE71CA"/>
    <w:rsid w:val="00EE72A4"/>
    <w:rsid w:val="00EE73DE"/>
    <w:rsid w:val="00EE7610"/>
    <w:rsid w:val="00EE78FA"/>
    <w:rsid w:val="00EE797F"/>
    <w:rsid w:val="00EF0369"/>
    <w:rsid w:val="00EF0610"/>
    <w:rsid w:val="00EF0F9B"/>
    <w:rsid w:val="00EF0FF2"/>
    <w:rsid w:val="00EF117C"/>
    <w:rsid w:val="00EF1648"/>
    <w:rsid w:val="00EF18CA"/>
    <w:rsid w:val="00EF19E8"/>
    <w:rsid w:val="00EF1B8A"/>
    <w:rsid w:val="00EF1C3B"/>
    <w:rsid w:val="00EF1EDD"/>
    <w:rsid w:val="00EF2337"/>
    <w:rsid w:val="00EF2581"/>
    <w:rsid w:val="00EF25AF"/>
    <w:rsid w:val="00EF2ABD"/>
    <w:rsid w:val="00EF2D1B"/>
    <w:rsid w:val="00EF3096"/>
    <w:rsid w:val="00EF30C9"/>
    <w:rsid w:val="00EF30EE"/>
    <w:rsid w:val="00EF3F50"/>
    <w:rsid w:val="00EF4496"/>
    <w:rsid w:val="00EF47E5"/>
    <w:rsid w:val="00EF47F3"/>
    <w:rsid w:val="00EF49FB"/>
    <w:rsid w:val="00EF49FF"/>
    <w:rsid w:val="00EF4A17"/>
    <w:rsid w:val="00EF4ECE"/>
    <w:rsid w:val="00EF50E8"/>
    <w:rsid w:val="00EF5132"/>
    <w:rsid w:val="00EF525C"/>
    <w:rsid w:val="00EF59D0"/>
    <w:rsid w:val="00EF62CE"/>
    <w:rsid w:val="00EF6DF0"/>
    <w:rsid w:val="00EF6FF2"/>
    <w:rsid w:val="00EF7B72"/>
    <w:rsid w:val="00EF7CED"/>
    <w:rsid w:val="00EF7DAB"/>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CC7"/>
    <w:rsid w:val="00F04DC7"/>
    <w:rsid w:val="00F04F10"/>
    <w:rsid w:val="00F04FD6"/>
    <w:rsid w:val="00F050BC"/>
    <w:rsid w:val="00F05247"/>
    <w:rsid w:val="00F05A11"/>
    <w:rsid w:val="00F05E5A"/>
    <w:rsid w:val="00F05F20"/>
    <w:rsid w:val="00F05F4F"/>
    <w:rsid w:val="00F060E9"/>
    <w:rsid w:val="00F064EA"/>
    <w:rsid w:val="00F066C7"/>
    <w:rsid w:val="00F06764"/>
    <w:rsid w:val="00F068BA"/>
    <w:rsid w:val="00F06911"/>
    <w:rsid w:val="00F06AE0"/>
    <w:rsid w:val="00F06E59"/>
    <w:rsid w:val="00F06EFD"/>
    <w:rsid w:val="00F07526"/>
    <w:rsid w:val="00F07951"/>
    <w:rsid w:val="00F07A70"/>
    <w:rsid w:val="00F07BEA"/>
    <w:rsid w:val="00F07D93"/>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DF"/>
    <w:rsid w:val="00F134ED"/>
    <w:rsid w:val="00F135E5"/>
    <w:rsid w:val="00F13812"/>
    <w:rsid w:val="00F13995"/>
    <w:rsid w:val="00F13AFA"/>
    <w:rsid w:val="00F13C53"/>
    <w:rsid w:val="00F14682"/>
    <w:rsid w:val="00F14BC1"/>
    <w:rsid w:val="00F14C67"/>
    <w:rsid w:val="00F14DE1"/>
    <w:rsid w:val="00F14FBF"/>
    <w:rsid w:val="00F14FE9"/>
    <w:rsid w:val="00F15187"/>
    <w:rsid w:val="00F151CE"/>
    <w:rsid w:val="00F1532A"/>
    <w:rsid w:val="00F153BB"/>
    <w:rsid w:val="00F15458"/>
    <w:rsid w:val="00F15951"/>
    <w:rsid w:val="00F159CB"/>
    <w:rsid w:val="00F15E6C"/>
    <w:rsid w:val="00F16288"/>
    <w:rsid w:val="00F16304"/>
    <w:rsid w:val="00F16726"/>
    <w:rsid w:val="00F16B9E"/>
    <w:rsid w:val="00F16ED6"/>
    <w:rsid w:val="00F16FA1"/>
    <w:rsid w:val="00F1745C"/>
    <w:rsid w:val="00F1766E"/>
    <w:rsid w:val="00F17850"/>
    <w:rsid w:val="00F1791B"/>
    <w:rsid w:val="00F17CCE"/>
    <w:rsid w:val="00F20458"/>
    <w:rsid w:val="00F20F59"/>
    <w:rsid w:val="00F21309"/>
    <w:rsid w:val="00F2160D"/>
    <w:rsid w:val="00F21C25"/>
    <w:rsid w:val="00F21DCB"/>
    <w:rsid w:val="00F2201F"/>
    <w:rsid w:val="00F2207E"/>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D2"/>
    <w:rsid w:val="00F244AB"/>
    <w:rsid w:val="00F24540"/>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C55"/>
    <w:rsid w:val="00F26D01"/>
    <w:rsid w:val="00F26EAB"/>
    <w:rsid w:val="00F27693"/>
    <w:rsid w:val="00F2769B"/>
    <w:rsid w:val="00F279F8"/>
    <w:rsid w:val="00F27F6D"/>
    <w:rsid w:val="00F3040C"/>
    <w:rsid w:val="00F30E08"/>
    <w:rsid w:val="00F31053"/>
    <w:rsid w:val="00F3147F"/>
    <w:rsid w:val="00F316CE"/>
    <w:rsid w:val="00F31879"/>
    <w:rsid w:val="00F31A95"/>
    <w:rsid w:val="00F323E4"/>
    <w:rsid w:val="00F325AC"/>
    <w:rsid w:val="00F327F6"/>
    <w:rsid w:val="00F32C23"/>
    <w:rsid w:val="00F331FF"/>
    <w:rsid w:val="00F335E1"/>
    <w:rsid w:val="00F33835"/>
    <w:rsid w:val="00F3387C"/>
    <w:rsid w:val="00F33AF3"/>
    <w:rsid w:val="00F33CC0"/>
    <w:rsid w:val="00F33FB2"/>
    <w:rsid w:val="00F34131"/>
    <w:rsid w:val="00F34314"/>
    <w:rsid w:val="00F3459B"/>
    <w:rsid w:val="00F347F2"/>
    <w:rsid w:val="00F34AE1"/>
    <w:rsid w:val="00F34D09"/>
    <w:rsid w:val="00F35009"/>
    <w:rsid w:val="00F35015"/>
    <w:rsid w:val="00F350C0"/>
    <w:rsid w:val="00F35313"/>
    <w:rsid w:val="00F354A9"/>
    <w:rsid w:val="00F354E7"/>
    <w:rsid w:val="00F356F8"/>
    <w:rsid w:val="00F35799"/>
    <w:rsid w:val="00F36B17"/>
    <w:rsid w:val="00F36D01"/>
    <w:rsid w:val="00F36DF7"/>
    <w:rsid w:val="00F37074"/>
    <w:rsid w:val="00F37416"/>
    <w:rsid w:val="00F37597"/>
    <w:rsid w:val="00F37C74"/>
    <w:rsid w:val="00F37F97"/>
    <w:rsid w:val="00F4021C"/>
    <w:rsid w:val="00F4058E"/>
    <w:rsid w:val="00F408F9"/>
    <w:rsid w:val="00F40931"/>
    <w:rsid w:val="00F4095B"/>
    <w:rsid w:val="00F40F64"/>
    <w:rsid w:val="00F41245"/>
    <w:rsid w:val="00F416B1"/>
    <w:rsid w:val="00F416C4"/>
    <w:rsid w:val="00F41718"/>
    <w:rsid w:val="00F4199B"/>
    <w:rsid w:val="00F41DA2"/>
    <w:rsid w:val="00F425B0"/>
    <w:rsid w:val="00F425D1"/>
    <w:rsid w:val="00F4277F"/>
    <w:rsid w:val="00F42859"/>
    <w:rsid w:val="00F42C9D"/>
    <w:rsid w:val="00F42EEF"/>
    <w:rsid w:val="00F43524"/>
    <w:rsid w:val="00F43A0A"/>
    <w:rsid w:val="00F43A6B"/>
    <w:rsid w:val="00F43DDE"/>
    <w:rsid w:val="00F4463F"/>
    <w:rsid w:val="00F44A78"/>
    <w:rsid w:val="00F44B40"/>
    <w:rsid w:val="00F44BBC"/>
    <w:rsid w:val="00F44E41"/>
    <w:rsid w:val="00F4501C"/>
    <w:rsid w:val="00F4558C"/>
    <w:rsid w:val="00F458F8"/>
    <w:rsid w:val="00F45A91"/>
    <w:rsid w:val="00F45C76"/>
    <w:rsid w:val="00F45D5F"/>
    <w:rsid w:val="00F45DD2"/>
    <w:rsid w:val="00F45F49"/>
    <w:rsid w:val="00F460A7"/>
    <w:rsid w:val="00F4620D"/>
    <w:rsid w:val="00F4635C"/>
    <w:rsid w:val="00F4652F"/>
    <w:rsid w:val="00F467FD"/>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B77"/>
    <w:rsid w:val="00F52928"/>
    <w:rsid w:val="00F5294E"/>
    <w:rsid w:val="00F52B32"/>
    <w:rsid w:val="00F52B72"/>
    <w:rsid w:val="00F52E0B"/>
    <w:rsid w:val="00F5302D"/>
    <w:rsid w:val="00F53305"/>
    <w:rsid w:val="00F53B05"/>
    <w:rsid w:val="00F53C8F"/>
    <w:rsid w:val="00F53F96"/>
    <w:rsid w:val="00F53F9C"/>
    <w:rsid w:val="00F54B01"/>
    <w:rsid w:val="00F553EA"/>
    <w:rsid w:val="00F55616"/>
    <w:rsid w:val="00F559BE"/>
    <w:rsid w:val="00F55D9E"/>
    <w:rsid w:val="00F56120"/>
    <w:rsid w:val="00F567A6"/>
    <w:rsid w:val="00F56FEB"/>
    <w:rsid w:val="00F570FB"/>
    <w:rsid w:val="00F57157"/>
    <w:rsid w:val="00F57244"/>
    <w:rsid w:val="00F5759E"/>
    <w:rsid w:val="00F57E69"/>
    <w:rsid w:val="00F57EA9"/>
    <w:rsid w:val="00F60412"/>
    <w:rsid w:val="00F604F7"/>
    <w:rsid w:val="00F606A4"/>
    <w:rsid w:val="00F60C13"/>
    <w:rsid w:val="00F6103B"/>
    <w:rsid w:val="00F61127"/>
    <w:rsid w:val="00F613B3"/>
    <w:rsid w:val="00F61457"/>
    <w:rsid w:val="00F614CC"/>
    <w:rsid w:val="00F6156C"/>
    <w:rsid w:val="00F615ED"/>
    <w:rsid w:val="00F6179B"/>
    <w:rsid w:val="00F61B21"/>
    <w:rsid w:val="00F61F35"/>
    <w:rsid w:val="00F630DF"/>
    <w:rsid w:val="00F6322B"/>
    <w:rsid w:val="00F63D30"/>
    <w:rsid w:val="00F63DE7"/>
    <w:rsid w:val="00F63DFB"/>
    <w:rsid w:val="00F640D0"/>
    <w:rsid w:val="00F641E1"/>
    <w:rsid w:val="00F6449D"/>
    <w:rsid w:val="00F64516"/>
    <w:rsid w:val="00F646E4"/>
    <w:rsid w:val="00F64819"/>
    <w:rsid w:val="00F64871"/>
    <w:rsid w:val="00F64C15"/>
    <w:rsid w:val="00F64DD6"/>
    <w:rsid w:val="00F6512F"/>
    <w:rsid w:val="00F65142"/>
    <w:rsid w:val="00F65144"/>
    <w:rsid w:val="00F653A5"/>
    <w:rsid w:val="00F65659"/>
    <w:rsid w:val="00F659DE"/>
    <w:rsid w:val="00F65BB9"/>
    <w:rsid w:val="00F65FF6"/>
    <w:rsid w:val="00F66041"/>
    <w:rsid w:val="00F66343"/>
    <w:rsid w:val="00F66490"/>
    <w:rsid w:val="00F665FD"/>
    <w:rsid w:val="00F6676F"/>
    <w:rsid w:val="00F667A0"/>
    <w:rsid w:val="00F66BBD"/>
    <w:rsid w:val="00F670EE"/>
    <w:rsid w:val="00F6732C"/>
    <w:rsid w:val="00F677D2"/>
    <w:rsid w:val="00F67826"/>
    <w:rsid w:val="00F67A50"/>
    <w:rsid w:val="00F67AC7"/>
    <w:rsid w:val="00F7013A"/>
    <w:rsid w:val="00F7025F"/>
    <w:rsid w:val="00F703D2"/>
    <w:rsid w:val="00F70747"/>
    <w:rsid w:val="00F7092A"/>
    <w:rsid w:val="00F70F13"/>
    <w:rsid w:val="00F7102D"/>
    <w:rsid w:val="00F714F3"/>
    <w:rsid w:val="00F717DC"/>
    <w:rsid w:val="00F7196B"/>
    <w:rsid w:val="00F71C74"/>
    <w:rsid w:val="00F71CA8"/>
    <w:rsid w:val="00F722C8"/>
    <w:rsid w:val="00F72371"/>
    <w:rsid w:val="00F724E1"/>
    <w:rsid w:val="00F72841"/>
    <w:rsid w:val="00F72BAE"/>
    <w:rsid w:val="00F72E53"/>
    <w:rsid w:val="00F72E99"/>
    <w:rsid w:val="00F72F73"/>
    <w:rsid w:val="00F730A0"/>
    <w:rsid w:val="00F73587"/>
    <w:rsid w:val="00F735CD"/>
    <w:rsid w:val="00F73A36"/>
    <w:rsid w:val="00F73B07"/>
    <w:rsid w:val="00F73D48"/>
    <w:rsid w:val="00F73D68"/>
    <w:rsid w:val="00F73F12"/>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6E6"/>
    <w:rsid w:val="00F76C94"/>
    <w:rsid w:val="00F76FA4"/>
    <w:rsid w:val="00F7737B"/>
    <w:rsid w:val="00F7757D"/>
    <w:rsid w:val="00F77747"/>
    <w:rsid w:val="00F77A9D"/>
    <w:rsid w:val="00F77EEB"/>
    <w:rsid w:val="00F806E4"/>
    <w:rsid w:val="00F808DB"/>
    <w:rsid w:val="00F808F5"/>
    <w:rsid w:val="00F8090F"/>
    <w:rsid w:val="00F81562"/>
    <w:rsid w:val="00F816C2"/>
    <w:rsid w:val="00F81C13"/>
    <w:rsid w:val="00F81F3F"/>
    <w:rsid w:val="00F81F94"/>
    <w:rsid w:val="00F821D9"/>
    <w:rsid w:val="00F8220E"/>
    <w:rsid w:val="00F82420"/>
    <w:rsid w:val="00F82558"/>
    <w:rsid w:val="00F82913"/>
    <w:rsid w:val="00F82921"/>
    <w:rsid w:val="00F82BF2"/>
    <w:rsid w:val="00F82E75"/>
    <w:rsid w:val="00F8328A"/>
    <w:rsid w:val="00F835D1"/>
    <w:rsid w:val="00F83660"/>
    <w:rsid w:val="00F8387B"/>
    <w:rsid w:val="00F83AC1"/>
    <w:rsid w:val="00F83B57"/>
    <w:rsid w:val="00F83BF6"/>
    <w:rsid w:val="00F8499C"/>
    <w:rsid w:val="00F84D01"/>
    <w:rsid w:val="00F84E05"/>
    <w:rsid w:val="00F85072"/>
    <w:rsid w:val="00F85360"/>
    <w:rsid w:val="00F8566A"/>
    <w:rsid w:val="00F85AD5"/>
    <w:rsid w:val="00F85E64"/>
    <w:rsid w:val="00F868D5"/>
    <w:rsid w:val="00F87030"/>
    <w:rsid w:val="00F87174"/>
    <w:rsid w:val="00F875BF"/>
    <w:rsid w:val="00F876EA"/>
    <w:rsid w:val="00F8774A"/>
    <w:rsid w:val="00F87778"/>
    <w:rsid w:val="00F8779F"/>
    <w:rsid w:val="00F87F78"/>
    <w:rsid w:val="00F90105"/>
    <w:rsid w:val="00F901D8"/>
    <w:rsid w:val="00F905D5"/>
    <w:rsid w:val="00F906C7"/>
    <w:rsid w:val="00F9078A"/>
    <w:rsid w:val="00F91A82"/>
    <w:rsid w:val="00F91C89"/>
    <w:rsid w:val="00F91D40"/>
    <w:rsid w:val="00F91D78"/>
    <w:rsid w:val="00F91D90"/>
    <w:rsid w:val="00F91F70"/>
    <w:rsid w:val="00F92113"/>
    <w:rsid w:val="00F925F2"/>
    <w:rsid w:val="00F9264A"/>
    <w:rsid w:val="00F92D36"/>
    <w:rsid w:val="00F92DD0"/>
    <w:rsid w:val="00F931FE"/>
    <w:rsid w:val="00F937D4"/>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BF"/>
    <w:rsid w:val="00F9677D"/>
    <w:rsid w:val="00F967BC"/>
    <w:rsid w:val="00F9684C"/>
    <w:rsid w:val="00F9691C"/>
    <w:rsid w:val="00F96D1C"/>
    <w:rsid w:val="00F96EFD"/>
    <w:rsid w:val="00F97235"/>
    <w:rsid w:val="00F976AD"/>
    <w:rsid w:val="00F97C5F"/>
    <w:rsid w:val="00F97D61"/>
    <w:rsid w:val="00F97D70"/>
    <w:rsid w:val="00FA0626"/>
    <w:rsid w:val="00FA0C54"/>
    <w:rsid w:val="00FA0CB1"/>
    <w:rsid w:val="00FA0D21"/>
    <w:rsid w:val="00FA10BC"/>
    <w:rsid w:val="00FA1139"/>
    <w:rsid w:val="00FA19D3"/>
    <w:rsid w:val="00FA238D"/>
    <w:rsid w:val="00FA23DF"/>
    <w:rsid w:val="00FA2576"/>
    <w:rsid w:val="00FA272B"/>
    <w:rsid w:val="00FA2750"/>
    <w:rsid w:val="00FA275C"/>
    <w:rsid w:val="00FA27F4"/>
    <w:rsid w:val="00FA2B34"/>
    <w:rsid w:val="00FA2D45"/>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4D85"/>
    <w:rsid w:val="00FA53E0"/>
    <w:rsid w:val="00FA553C"/>
    <w:rsid w:val="00FA56E1"/>
    <w:rsid w:val="00FA57E8"/>
    <w:rsid w:val="00FA57FB"/>
    <w:rsid w:val="00FA5B0D"/>
    <w:rsid w:val="00FA62E9"/>
    <w:rsid w:val="00FA6497"/>
    <w:rsid w:val="00FA6D8D"/>
    <w:rsid w:val="00FA6E38"/>
    <w:rsid w:val="00FA6F8F"/>
    <w:rsid w:val="00FA6FB6"/>
    <w:rsid w:val="00FA7DD7"/>
    <w:rsid w:val="00FB008B"/>
    <w:rsid w:val="00FB00B4"/>
    <w:rsid w:val="00FB00D9"/>
    <w:rsid w:val="00FB064D"/>
    <w:rsid w:val="00FB097F"/>
    <w:rsid w:val="00FB0A48"/>
    <w:rsid w:val="00FB0AD7"/>
    <w:rsid w:val="00FB0BD2"/>
    <w:rsid w:val="00FB0D4B"/>
    <w:rsid w:val="00FB0DE6"/>
    <w:rsid w:val="00FB1086"/>
    <w:rsid w:val="00FB10A4"/>
    <w:rsid w:val="00FB10A6"/>
    <w:rsid w:val="00FB1BD5"/>
    <w:rsid w:val="00FB1E1E"/>
    <w:rsid w:val="00FB2090"/>
    <w:rsid w:val="00FB2222"/>
    <w:rsid w:val="00FB247B"/>
    <w:rsid w:val="00FB2595"/>
    <w:rsid w:val="00FB259A"/>
    <w:rsid w:val="00FB2B55"/>
    <w:rsid w:val="00FB353F"/>
    <w:rsid w:val="00FB354F"/>
    <w:rsid w:val="00FB35EB"/>
    <w:rsid w:val="00FB375C"/>
    <w:rsid w:val="00FB38C3"/>
    <w:rsid w:val="00FB3BD7"/>
    <w:rsid w:val="00FB3D92"/>
    <w:rsid w:val="00FB3F38"/>
    <w:rsid w:val="00FB3F51"/>
    <w:rsid w:val="00FB4280"/>
    <w:rsid w:val="00FB43F8"/>
    <w:rsid w:val="00FB44CD"/>
    <w:rsid w:val="00FB48D0"/>
    <w:rsid w:val="00FB4993"/>
    <w:rsid w:val="00FB4A67"/>
    <w:rsid w:val="00FB4B40"/>
    <w:rsid w:val="00FB4D7D"/>
    <w:rsid w:val="00FB5107"/>
    <w:rsid w:val="00FB5116"/>
    <w:rsid w:val="00FB5636"/>
    <w:rsid w:val="00FB5BAC"/>
    <w:rsid w:val="00FB5CC8"/>
    <w:rsid w:val="00FB6017"/>
    <w:rsid w:val="00FB6045"/>
    <w:rsid w:val="00FB6989"/>
    <w:rsid w:val="00FB69C0"/>
    <w:rsid w:val="00FB6AF6"/>
    <w:rsid w:val="00FB6B90"/>
    <w:rsid w:val="00FB6C9B"/>
    <w:rsid w:val="00FB6E4B"/>
    <w:rsid w:val="00FB6FA6"/>
    <w:rsid w:val="00FB7039"/>
    <w:rsid w:val="00FB71CE"/>
    <w:rsid w:val="00FB77E4"/>
    <w:rsid w:val="00FB78AD"/>
    <w:rsid w:val="00FB79A0"/>
    <w:rsid w:val="00FB7A0A"/>
    <w:rsid w:val="00FC0137"/>
    <w:rsid w:val="00FC073E"/>
    <w:rsid w:val="00FC099D"/>
    <w:rsid w:val="00FC0A2D"/>
    <w:rsid w:val="00FC1075"/>
    <w:rsid w:val="00FC1328"/>
    <w:rsid w:val="00FC1426"/>
    <w:rsid w:val="00FC19BF"/>
    <w:rsid w:val="00FC1B4F"/>
    <w:rsid w:val="00FC1DB3"/>
    <w:rsid w:val="00FC210F"/>
    <w:rsid w:val="00FC247E"/>
    <w:rsid w:val="00FC2C95"/>
    <w:rsid w:val="00FC2F66"/>
    <w:rsid w:val="00FC32EF"/>
    <w:rsid w:val="00FC36E6"/>
    <w:rsid w:val="00FC382C"/>
    <w:rsid w:val="00FC3A55"/>
    <w:rsid w:val="00FC4010"/>
    <w:rsid w:val="00FC413E"/>
    <w:rsid w:val="00FC41E7"/>
    <w:rsid w:val="00FC420B"/>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727C"/>
    <w:rsid w:val="00FC72C4"/>
    <w:rsid w:val="00FC72FF"/>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0B1A"/>
    <w:rsid w:val="00FD0E29"/>
    <w:rsid w:val="00FD1315"/>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221"/>
    <w:rsid w:val="00FD359B"/>
    <w:rsid w:val="00FD35F4"/>
    <w:rsid w:val="00FD3731"/>
    <w:rsid w:val="00FD3C3F"/>
    <w:rsid w:val="00FD3CA6"/>
    <w:rsid w:val="00FD3DE7"/>
    <w:rsid w:val="00FD3EE5"/>
    <w:rsid w:val="00FD3F23"/>
    <w:rsid w:val="00FD3F55"/>
    <w:rsid w:val="00FD4BF4"/>
    <w:rsid w:val="00FD4FCB"/>
    <w:rsid w:val="00FD5004"/>
    <w:rsid w:val="00FD55C6"/>
    <w:rsid w:val="00FD6180"/>
    <w:rsid w:val="00FD6440"/>
    <w:rsid w:val="00FD66A8"/>
    <w:rsid w:val="00FD6860"/>
    <w:rsid w:val="00FD6978"/>
    <w:rsid w:val="00FD6D47"/>
    <w:rsid w:val="00FD7612"/>
    <w:rsid w:val="00FD7BDC"/>
    <w:rsid w:val="00FD7D16"/>
    <w:rsid w:val="00FE0207"/>
    <w:rsid w:val="00FE045C"/>
    <w:rsid w:val="00FE04B1"/>
    <w:rsid w:val="00FE06A9"/>
    <w:rsid w:val="00FE06D4"/>
    <w:rsid w:val="00FE0CF2"/>
    <w:rsid w:val="00FE12D8"/>
    <w:rsid w:val="00FE1630"/>
    <w:rsid w:val="00FE19E9"/>
    <w:rsid w:val="00FE1B79"/>
    <w:rsid w:val="00FE1CCA"/>
    <w:rsid w:val="00FE1EC3"/>
    <w:rsid w:val="00FE226C"/>
    <w:rsid w:val="00FE242A"/>
    <w:rsid w:val="00FE29C2"/>
    <w:rsid w:val="00FE2B09"/>
    <w:rsid w:val="00FE2C0F"/>
    <w:rsid w:val="00FE2D27"/>
    <w:rsid w:val="00FE2D2F"/>
    <w:rsid w:val="00FE30E0"/>
    <w:rsid w:val="00FE32A2"/>
    <w:rsid w:val="00FE35F4"/>
    <w:rsid w:val="00FE3B90"/>
    <w:rsid w:val="00FE3CB5"/>
    <w:rsid w:val="00FE3E93"/>
    <w:rsid w:val="00FE3FAC"/>
    <w:rsid w:val="00FE43A6"/>
    <w:rsid w:val="00FE4A0A"/>
    <w:rsid w:val="00FE539D"/>
    <w:rsid w:val="00FE5630"/>
    <w:rsid w:val="00FE566C"/>
    <w:rsid w:val="00FE5703"/>
    <w:rsid w:val="00FE5936"/>
    <w:rsid w:val="00FE5AE9"/>
    <w:rsid w:val="00FE5C7C"/>
    <w:rsid w:val="00FE5E4D"/>
    <w:rsid w:val="00FE60A2"/>
    <w:rsid w:val="00FE6212"/>
    <w:rsid w:val="00FE63B1"/>
    <w:rsid w:val="00FE67DC"/>
    <w:rsid w:val="00FE68D2"/>
    <w:rsid w:val="00FE6A01"/>
    <w:rsid w:val="00FE6B99"/>
    <w:rsid w:val="00FE6D48"/>
    <w:rsid w:val="00FE6D97"/>
    <w:rsid w:val="00FE71EA"/>
    <w:rsid w:val="00FE722C"/>
    <w:rsid w:val="00FE7380"/>
    <w:rsid w:val="00FE76B0"/>
    <w:rsid w:val="00FE7785"/>
    <w:rsid w:val="00FE7C1E"/>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2105"/>
    <w:rsid w:val="00FF2852"/>
    <w:rsid w:val="00FF28C5"/>
    <w:rsid w:val="00FF3085"/>
    <w:rsid w:val="00FF31A9"/>
    <w:rsid w:val="00FF40F5"/>
    <w:rsid w:val="00FF474A"/>
    <w:rsid w:val="00FF4826"/>
    <w:rsid w:val="00FF4F85"/>
    <w:rsid w:val="00FF5609"/>
    <w:rsid w:val="00FF5A19"/>
    <w:rsid w:val="00FF6168"/>
    <w:rsid w:val="00FF6501"/>
    <w:rsid w:val="00FF67C9"/>
    <w:rsid w:val="00FF68B2"/>
    <w:rsid w:val="00FF6950"/>
    <w:rsid w:val="00FF6E25"/>
    <w:rsid w:val="00FF6E50"/>
    <w:rsid w:val="00FF7083"/>
    <w:rsid w:val="00FF715A"/>
    <w:rsid w:val="00FF72CC"/>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2004315940">
          <w:marLeft w:val="0"/>
          <w:marRight w:val="0"/>
          <w:marTop w:val="0"/>
          <w:marBottom w:val="0"/>
          <w:divBdr>
            <w:top w:val="none" w:sz="0" w:space="0" w:color="auto"/>
            <w:left w:val="none" w:sz="0" w:space="0" w:color="auto"/>
            <w:bottom w:val="none" w:sz="0" w:space="0" w:color="auto"/>
            <w:right w:val="none" w:sz="0" w:space="0" w:color="auto"/>
          </w:divBdr>
        </w:div>
        <w:div w:id="1856385036">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s://www.kingsfund.org.uk/publications/making-case-quality-improvement" TargetMode="External"/><Relationship Id="rId26" Type="http://schemas.openxmlformats.org/officeDocument/2006/relationships/hyperlink" Target="http://dx.doi.org/10.1377/hlthaff.2017.0612"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safetyandquality.gov.au/our-work/cognitive-impairment/" TargetMode="External"/><Relationship Id="rId34" Type="http://schemas.openxmlformats.org/officeDocument/2006/relationships/hyperlink" Target="https://www.nice.org.uk/guidance/cg89" TargetMode="Externa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s://ahha.asn.au/publication/issue-briefs/deeble-issues-brief-no-23-active-disinvestment-low%E2%80%90value-care-australia" TargetMode="External"/><Relationship Id="rId25" Type="http://schemas.openxmlformats.org/officeDocument/2006/relationships/hyperlink" Target="http://dx.doi.org/10.1377/hlthaff.2017.0658" TargetMode="External"/><Relationship Id="rId33" Type="http://schemas.openxmlformats.org/officeDocument/2006/relationships/hyperlink" Target="https://www.nice.org.uk"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who.int/ageing/publications/guidelines-icope/en/" TargetMode="External"/><Relationship Id="rId20" Type="http://schemas.openxmlformats.org/officeDocument/2006/relationships/hyperlink" Target="http://dx.doi.org/10.1056/NEJMcp1605501" TargetMode="External"/><Relationship Id="rId29" Type="http://schemas.openxmlformats.org/officeDocument/2006/relationships/hyperlink" Target="https://qualitysafety.bmj.com/content/early/rece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afetyandquality.gov.au/" TargetMode="External"/><Relationship Id="rId24" Type="http://schemas.openxmlformats.org/officeDocument/2006/relationships/hyperlink" Target="http://dx.doi.org/10.1377/hlthaff.2017.0385" TargetMode="External"/><Relationship Id="rId32" Type="http://schemas.openxmlformats.org/officeDocument/2006/relationships/hyperlink" Target="https://www.ahrq.gov/professionals/systems/hospital/pressureinjurypxtraining/index.html"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dx.doi.org/10.9778/cmajo.20170007" TargetMode="External"/><Relationship Id="rId28" Type="http://schemas.openxmlformats.org/officeDocument/2006/relationships/hyperlink" Target="http://journals.sagepub.com/toc/hsrb/22/4" TargetMode="External"/><Relationship Id="rId36" Type="http://schemas.openxmlformats.org/officeDocument/2006/relationships/hyperlink" Target="https://www.nice.org.uk/guidance/qs162" TargetMode="External"/><Relationship Id="rId10" Type="http://schemas.openxmlformats.org/officeDocument/2006/relationships/hyperlink" Target="https://www.safetyandquality.gov.au/publications-resources/on-the-radar/" TargetMode="External"/><Relationship Id="rId19" Type="http://schemas.openxmlformats.org/officeDocument/2006/relationships/hyperlink" Target="http://www.ihi.org/about/news/Pages/New-Survey-Looks-at-Patient-Experiences-With-Medical-Error.aspx" TargetMode="External"/><Relationship Id="rId31" Type="http://schemas.openxmlformats.org/officeDocument/2006/relationships/hyperlink" Target="https://youtu.be/VZ1Wvb0dvGI"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s://www.safetyandquality.gov.au" TargetMode="External"/><Relationship Id="rId22" Type="http://schemas.openxmlformats.org/officeDocument/2006/relationships/hyperlink" Target="https://www.safetyandquality.gov.au/our-work/clinical-care-standards/delirium-clinical-care-standard/" TargetMode="External"/><Relationship Id="rId27" Type="http://schemas.openxmlformats.org/officeDocument/2006/relationships/hyperlink" Target="http://www.phrp.com.au/issues/october-2017-volume-27-issue-4/" TargetMode="External"/><Relationship Id="rId30" Type="http://schemas.openxmlformats.org/officeDocument/2006/relationships/hyperlink" Target="http://www.ismp.org/selfassessments/SAHAM/" TargetMode="External"/><Relationship Id="rId35" Type="http://schemas.openxmlformats.org/officeDocument/2006/relationships/hyperlink" Target="https://www.nice.org.uk/guidance/ng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0F1B-1651-49BD-A63E-06E47BF91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3889</Words>
  <Characters>22168</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26005</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2</cp:revision>
  <cp:lastPrinted>2017-05-19T05:23:00Z</cp:lastPrinted>
  <dcterms:created xsi:type="dcterms:W3CDTF">2017-10-13T02:44:00Z</dcterms:created>
  <dcterms:modified xsi:type="dcterms:W3CDTF">2017-10-13T02:44:00Z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