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bookmarkStart w:id="0" w:name="_GoBack"/>
      <w:bookmarkEnd w:id="0"/>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FA5481">
        <w:rPr>
          <w:rFonts w:ascii="Garamond" w:hAnsi="Garamond"/>
          <w:color w:val="000000"/>
          <w:lang w:val="en-AU"/>
        </w:rPr>
        <w:t>46</w:t>
      </w:r>
    </w:p>
    <w:p w:rsidR="00755242" w:rsidRPr="00C3014C" w:rsidRDefault="00FA5481" w:rsidP="00B160EF">
      <w:pPr>
        <w:rPr>
          <w:rFonts w:ascii="Garamond" w:hAnsi="Garamond"/>
          <w:lang w:val="en-AU"/>
        </w:rPr>
      </w:pPr>
      <w:r>
        <w:rPr>
          <w:rFonts w:ascii="Garamond" w:hAnsi="Garamond"/>
          <w:lang w:val="en-AU"/>
        </w:rPr>
        <w:t>6 Novem</w:t>
      </w:r>
      <w:r w:rsidR="00DE3942">
        <w:rPr>
          <w:rFonts w:ascii="Garamond" w:hAnsi="Garamond"/>
          <w:lang w:val="en-AU"/>
        </w:rPr>
        <w:t xml:space="preserve">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1"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1"/>
    </w:p>
    <w:p w:rsidR="00727B35" w:rsidRPr="00C3014C" w:rsidRDefault="00727B35" w:rsidP="00691DE3">
      <w:pPr>
        <w:keepLines/>
        <w:autoSpaceDE w:val="0"/>
        <w:autoSpaceDN w:val="0"/>
        <w:adjustRightInd w:val="0"/>
        <w:rPr>
          <w:rFonts w:ascii="Garamond" w:hAnsi="Garamond"/>
          <w:lang w:val="en-AU"/>
        </w:rPr>
      </w:pPr>
    </w:p>
    <w:p w:rsidR="00177F9F" w:rsidRPr="00C3014C" w:rsidRDefault="00177F9F" w:rsidP="00644660">
      <w:pPr>
        <w:keepNext/>
        <w:keepLines/>
        <w:autoSpaceDE w:val="0"/>
        <w:autoSpaceDN w:val="0"/>
        <w:adjustRightInd w:val="0"/>
        <w:rPr>
          <w:rFonts w:ascii="Garamond" w:hAnsi="Garamond"/>
          <w:b/>
          <w:lang w:val="en-AU"/>
        </w:rPr>
      </w:pPr>
      <w:r w:rsidRPr="00C3014C">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CB479C" w:rsidRDefault="00CB479C" w:rsidP="00CB479C">
      <w:pPr>
        <w:keepNext/>
        <w:keepLines/>
        <w:autoSpaceDE w:val="0"/>
        <w:autoSpaceDN w:val="0"/>
        <w:adjustRightInd w:val="0"/>
        <w:rPr>
          <w:rFonts w:ascii="Garamond" w:hAnsi="Garamond"/>
          <w:lang w:val="en-AU"/>
        </w:rPr>
      </w:pPr>
      <w:r w:rsidRPr="00CB479C">
        <w:rPr>
          <w:rFonts w:ascii="Garamond" w:hAnsi="Garamond"/>
          <w:i/>
          <w:lang w:val="en-AU"/>
        </w:rPr>
        <w:t>Specialist dementia care units</w:t>
      </w:r>
      <w:r w:rsidR="000F388E">
        <w:rPr>
          <w:rFonts w:ascii="Garamond" w:hAnsi="Garamond"/>
          <w:i/>
          <w:lang w:val="en-AU"/>
        </w:rPr>
        <w:t xml:space="preserve">. </w:t>
      </w:r>
      <w:r w:rsidRPr="00CB479C">
        <w:rPr>
          <w:rFonts w:ascii="Garamond" w:hAnsi="Garamond"/>
          <w:lang w:val="en-AU"/>
        </w:rPr>
        <w:t>An Evidence Check rapid review brokered by the Sax Institute (www</w:t>
      </w:r>
      <w:r w:rsidR="000F388E">
        <w:rPr>
          <w:rFonts w:ascii="Garamond" w:hAnsi="Garamond"/>
          <w:lang w:val="en-AU"/>
        </w:rPr>
        <w:t>.</w:t>
      </w:r>
      <w:r w:rsidRPr="00CB479C">
        <w:rPr>
          <w:rFonts w:ascii="Garamond" w:hAnsi="Garamond"/>
          <w:lang w:val="en-AU"/>
        </w:rPr>
        <w:t>saxinstituteorg</w:t>
      </w:r>
      <w:r w:rsidR="000F388E">
        <w:rPr>
          <w:rFonts w:ascii="Garamond" w:hAnsi="Garamond"/>
          <w:lang w:val="en-AU"/>
        </w:rPr>
        <w:t>.</w:t>
      </w:r>
      <w:r w:rsidRPr="00CB479C">
        <w:rPr>
          <w:rFonts w:ascii="Garamond" w:hAnsi="Garamond"/>
          <w:lang w:val="en-AU"/>
        </w:rPr>
        <w:t>au) for the Commonwealth Department of Health</w:t>
      </w:r>
    </w:p>
    <w:p w:rsidR="00CB479C" w:rsidRDefault="00CB479C" w:rsidP="008415E4">
      <w:pPr>
        <w:keepNext/>
        <w:keepLines/>
        <w:autoSpaceDE w:val="0"/>
        <w:autoSpaceDN w:val="0"/>
        <w:adjustRightInd w:val="0"/>
        <w:rPr>
          <w:rFonts w:ascii="Garamond" w:hAnsi="Garamond"/>
          <w:lang w:val="en-AU"/>
        </w:rPr>
      </w:pPr>
      <w:r w:rsidRPr="00CB479C">
        <w:rPr>
          <w:rFonts w:ascii="Garamond" w:hAnsi="Garamond"/>
          <w:lang w:val="en-AU"/>
        </w:rPr>
        <w:t>Masso M, Duncan C, Grootematt P, Phillipson L, Samsa P, Fildes D, et al</w:t>
      </w:r>
    </w:p>
    <w:p w:rsidR="008415E4" w:rsidRPr="00C3014C" w:rsidRDefault="00CB479C" w:rsidP="008415E4">
      <w:pPr>
        <w:keepNext/>
        <w:keepLines/>
        <w:autoSpaceDE w:val="0"/>
        <w:autoSpaceDN w:val="0"/>
        <w:adjustRightInd w:val="0"/>
        <w:rPr>
          <w:rFonts w:ascii="Garamond" w:hAnsi="Garamond"/>
          <w:lang w:val="en-AU"/>
        </w:rPr>
      </w:pPr>
      <w:r w:rsidRPr="00CB479C">
        <w:rPr>
          <w:rFonts w:ascii="Garamond" w:hAnsi="Garamond"/>
          <w:lang w:val="en-AU"/>
        </w:rPr>
        <w:t xml:space="preserve">Sydney: Sax Institute; 2017. </w:t>
      </w:r>
      <w:proofErr w:type="gramStart"/>
      <w:r w:rsidRPr="00CB479C">
        <w:rPr>
          <w:rFonts w:ascii="Garamond" w:hAnsi="Garamond"/>
          <w:lang w:val="en-AU"/>
        </w:rPr>
        <w:t>p. 62.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15E4" w:rsidRPr="00C3014C" w:rsidRDefault="00CB479C" w:rsidP="00CB479C">
            <w:pPr>
              <w:rPr>
                <w:rStyle w:val="Hyperlink"/>
                <w:rFonts w:ascii="Garamond" w:hAnsi="Garamond"/>
                <w:color w:val="auto"/>
                <w:u w:val="none"/>
                <w:lang w:val="en-AU"/>
              </w:rPr>
            </w:pPr>
            <w:hyperlink r:id="rId16" w:history="1">
              <w:r w:rsidRPr="001B0011">
                <w:rPr>
                  <w:rStyle w:val="Hyperlink"/>
                  <w:rFonts w:ascii="Garamond" w:hAnsi="Garamond"/>
                  <w:lang w:val="en-AU"/>
                </w:rPr>
                <w:t>https://www.saxinstitute.org.au/publications/specialist-dementia-care-units/</w:t>
              </w:r>
            </w:hyperlink>
          </w:p>
        </w:tc>
      </w:tr>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18BB" w:rsidRPr="00BC18BB" w:rsidRDefault="00BC18BB" w:rsidP="00BC18BB">
            <w:pPr>
              <w:rPr>
                <w:rFonts w:ascii="Garamond" w:hAnsi="Garamond"/>
                <w:lang w:val="en-AU"/>
              </w:rPr>
            </w:pPr>
            <w:r>
              <w:rPr>
                <w:rFonts w:ascii="Garamond" w:hAnsi="Garamond"/>
                <w:lang w:val="en-AU"/>
              </w:rPr>
              <w:t xml:space="preserve">This rapid </w:t>
            </w:r>
            <w:r w:rsidRPr="00BC18BB">
              <w:rPr>
                <w:rFonts w:ascii="Garamond" w:hAnsi="Garamond"/>
                <w:lang w:val="en-AU"/>
              </w:rPr>
              <w:t xml:space="preserve">review examined the evidence </w:t>
            </w:r>
            <w:r>
              <w:rPr>
                <w:rFonts w:ascii="Garamond" w:hAnsi="Garamond"/>
                <w:lang w:val="en-AU"/>
              </w:rPr>
              <w:t xml:space="preserve">on </w:t>
            </w:r>
            <w:r w:rsidRPr="00BC18BB">
              <w:rPr>
                <w:rFonts w:ascii="Garamond" w:hAnsi="Garamond"/>
                <w:lang w:val="en-AU"/>
              </w:rPr>
              <w:t xml:space="preserve">management and care of people with severe and extreme behavioural and psychological symptoms of dementia. The review </w:t>
            </w:r>
            <w:r>
              <w:rPr>
                <w:rFonts w:ascii="Garamond" w:hAnsi="Garamond"/>
                <w:lang w:val="en-AU"/>
              </w:rPr>
              <w:t xml:space="preserve">team </w:t>
            </w:r>
            <w:r w:rsidRPr="00BC18BB">
              <w:rPr>
                <w:rFonts w:ascii="Garamond" w:hAnsi="Garamond"/>
                <w:lang w:val="en-AU"/>
              </w:rPr>
              <w:t xml:space="preserve">looked at specialist dementia care units </w:t>
            </w:r>
            <w:r>
              <w:rPr>
                <w:rFonts w:ascii="Garamond" w:hAnsi="Garamond"/>
                <w:lang w:val="en-AU"/>
              </w:rPr>
              <w:t xml:space="preserve">seeking to identify </w:t>
            </w:r>
            <w:r w:rsidRPr="00BC18BB">
              <w:rPr>
                <w:rFonts w:ascii="Garamond" w:hAnsi="Garamond"/>
                <w:lang w:val="en-AU"/>
              </w:rPr>
              <w:t>common elements and critical success factors. The review found four units which demonstrated improvements in behavioural symptoms, and eight common elements, although evidence to support the</w:t>
            </w:r>
            <w:r>
              <w:rPr>
                <w:rFonts w:ascii="Garamond" w:hAnsi="Garamond"/>
                <w:lang w:val="en-AU"/>
              </w:rPr>
              <w:t xml:space="preserve">se </w:t>
            </w:r>
            <w:r w:rsidRPr="00BC18BB">
              <w:rPr>
                <w:rFonts w:ascii="Garamond" w:hAnsi="Garamond"/>
                <w:lang w:val="en-AU"/>
              </w:rPr>
              <w:t>was limited.</w:t>
            </w:r>
            <w:r>
              <w:rPr>
                <w:rFonts w:ascii="Garamond" w:hAnsi="Garamond"/>
                <w:lang w:val="en-AU"/>
              </w:rPr>
              <w:t xml:space="preserve"> The </w:t>
            </w:r>
            <w:r w:rsidRPr="00BC18BB">
              <w:rPr>
                <w:rFonts w:ascii="Garamond" w:hAnsi="Garamond"/>
                <w:lang w:val="en-AU"/>
              </w:rPr>
              <w:t>eight common elements across the included papers</w:t>
            </w:r>
            <w:r>
              <w:rPr>
                <w:rFonts w:ascii="Garamond" w:hAnsi="Garamond"/>
                <w:lang w:val="en-AU"/>
              </w:rPr>
              <w:t xml:space="preserve"> were</w:t>
            </w:r>
            <w:r w:rsidRPr="00BC18BB">
              <w:rPr>
                <w:rFonts w:ascii="Garamond" w:hAnsi="Garamond"/>
                <w:lang w:val="en-AU"/>
              </w:rPr>
              <w:t>:</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Unit philosophy/approach to care</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Supportive physical environment</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Education, skills and training</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Medical staffing</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Allied health staffing</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Therapeutic and meaningful activities</w:t>
            </w:r>
          </w:p>
          <w:p w:rsidR="00BC18BB" w:rsidRPr="00BC18BB" w:rsidRDefault="00BC18BB" w:rsidP="00BC18BB">
            <w:pPr>
              <w:pStyle w:val="ListParagraph"/>
              <w:numPr>
                <w:ilvl w:val="0"/>
                <w:numId w:val="31"/>
              </w:numPr>
              <w:rPr>
                <w:rFonts w:ascii="Garamond" w:hAnsi="Garamond"/>
                <w:lang w:val="en-AU"/>
              </w:rPr>
            </w:pPr>
            <w:r w:rsidRPr="00BC18BB">
              <w:rPr>
                <w:rFonts w:ascii="Garamond" w:hAnsi="Garamond"/>
                <w:lang w:val="en-AU"/>
              </w:rPr>
              <w:t>Assessment and care planning</w:t>
            </w:r>
          </w:p>
          <w:p w:rsidR="008415E4" w:rsidRPr="00BC18BB" w:rsidRDefault="00BC18BB" w:rsidP="00BC18BB">
            <w:pPr>
              <w:pStyle w:val="ListParagraph"/>
              <w:numPr>
                <w:ilvl w:val="0"/>
                <w:numId w:val="31"/>
              </w:numPr>
              <w:rPr>
                <w:rFonts w:ascii="Garamond" w:hAnsi="Garamond"/>
                <w:lang w:val="en-AU"/>
              </w:rPr>
            </w:pPr>
            <w:r w:rsidRPr="00BC18BB">
              <w:rPr>
                <w:rFonts w:ascii="Garamond" w:hAnsi="Garamond"/>
                <w:lang w:val="en-AU"/>
              </w:rPr>
              <w:t>Multidisciplinary approach.</w:t>
            </w:r>
          </w:p>
        </w:tc>
      </w:tr>
    </w:tbl>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lastRenderedPageBreak/>
        <w:t>Journal articles</w:t>
      </w:r>
    </w:p>
    <w:p w:rsidR="0010604C" w:rsidRPr="00C3014C" w:rsidRDefault="0010604C" w:rsidP="00644660">
      <w:pPr>
        <w:keepNext/>
        <w:keepLines/>
        <w:autoSpaceDE w:val="0"/>
        <w:autoSpaceDN w:val="0"/>
        <w:adjustRightInd w:val="0"/>
        <w:rPr>
          <w:rFonts w:ascii="Garamond" w:hAnsi="Garamond"/>
          <w:lang w:val="en-AU"/>
        </w:rPr>
      </w:pPr>
    </w:p>
    <w:p w:rsidR="00C93DA1" w:rsidRPr="00C93DA1" w:rsidRDefault="00C93DA1" w:rsidP="00C93DA1">
      <w:pPr>
        <w:keepNext/>
        <w:rPr>
          <w:rFonts w:ascii="Garamond" w:hAnsi="Garamond"/>
          <w:i/>
          <w:lang w:val="en-AU"/>
        </w:rPr>
      </w:pPr>
      <w:r w:rsidRPr="00C93DA1">
        <w:rPr>
          <w:rFonts w:ascii="Garamond" w:hAnsi="Garamond"/>
          <w:i/>
          <w:lang w:val="en-AU"/>
        </w:rPr>
        <w:t>Health service use in the older person with complex health needs</w:t>
      </w:r>
    </w:p>
    <w:p w:rsidR="00C93DA1" w:rsidRDefault="00C93DA1" w:rsidP="00EC4046">
      <w:pPr>
        <w:keepNext/>
        <w:rPr>
          <w:rFonts w:ascii="Garamond" w:hAnsi="Garamond"/>
          <w:lang w:val="en-AU"/>
        </w:rPr>
      </w:pPr>
      <w:r w:rsidRPr="00C93DA1">
        <w:rPr>
          <w:rFonts w:ascii="Garamond" w:hAnsi="Garamond"/>
          <w:lang w:val="en-AU"/>
        </w:rPr>
        <w:t>Bartlett M, Wang J, Hay L, Pang G</w:t>
      </w:r>
    </w:p>
    <w:p w:rsidR="00EC4046" w:rsidRPr="00C3014C" w:rsidRDefault="00C93DA1" w:rsidP="00EC4046">
      <w:pPr>
        <w:keepNext/>
        <w:rPr>
          <w:rFonts w:ascii="Garamond" w:hAnsi="Garamond"/>
          <w:lang w:val="en-AU"/>
        </w:rPr>
      </w:pPr>
      <w:proofErr w:type="gramStart"/>
      <w:r w:rsidRPr="00C93DA1">
        <w:rPr>
          <w:rFonts w:ascii="Garamond" w:hAnsi="Garamond"/>
          <w:lang w:val="en-AU"/>
        </w:rPr>
        <w:t>Australian Health Review.</w:t>
      </w:r>
      <w:proofErr w:type="gramEnd"/>
      <w:r w:rsidRPr="00C93DA1">
        <w:rPr>
          <w:rFonts w:ascii="Garamond" w:hAnsi="Garamond"/>
          <w:lang w:val="en-AU"/>
        </w:rPr>
        <w:t xml:space="preserve"> 2017</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EC4046" w:rsidRPr="00C3014C" w:rsidTr="00C53621">
        <w:tc>
          <w:tcPr>
            <w:tcW w:w="1080" w:type="dxa"/>
            <w:tcBorders>
              <w:top w:val="single" w:sz="4" w:space="0" w:color="auto"/>
              <w:left w:val="single" w:sz="4" w:space="0" w:color="auto"/>
              <w:bottom w:val="single" w:sz="4" w:space="0" w:color="auto"/>
              <w:right w:val="single" w:sz="4" w:space="0" w:color="auto"/>
            </w:tcBorders>
            <w:vAlign w:val="center"/>
          </w:tcPr>
          <w:p w:rsidR="00EC4046" w:rsidRPr="00C3014C" w:rsidRDefault="00EC4046" w:rsidP="00C536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4046" w:rsidRPr="00C3014C" w:rsidRDefault="007763BB" w:rsidP="00C53621">
            <w:pPr>
              <w:rPr>
                <w:rStyle w:val="Hyperlink"/>
                <w:rFonts w:ascii="Garamond" w:hAnsi="Garamond"/>
                <w:color w:val="auto"/>
                <w:u w:val="none"/>
                <w:lang w:val="en-AU"/>
              </w:rPr>
            </w:pPr>
            <w:hyperlink r:id="rId17" w:history="1">
              <w:r w:rsidR="00C93DA1" w:rsidRPr="001B0011">
                <w:rPr>
                  <w:rStyle w:val="Hyperlink"/>
                  <w:rFonts w:ascii="Garamond" w:hAnsi="Garamond"/>
                  <w:lang w:val="en-AU"/>
                </w:rPr>
                <w:t>https://doi</w:t>
              </w:r>
            </w:hyperlink>
            <w:r w:rsidR="00C93DA1" w:rsidRPr="00C93DA1">
              <w:rPr>
                <w:rStyle w:val="Hyperlink"/>
                <w:rFonts w:ascii="Garamond" w:hAnsi="Garamond"/>
                <w:color w:val="auto"/>
                <w:u w:val="none"/>
                <w:lang w:val="en-AU"/>
              </w:rPr>
              <w:t>.org/10.1071/AH16286</w:t>
            </w:r>
          </w:p>
        </w:tc>
      </w:tr>
      <w:tr w:rsidR="00EC4046" w:rsidRPr="00C3014C" w:rsidTr="00C53621">
        <w:tc>
          <w:tcPr>
            <w:tcW w:w="1080" w:type="dxa"/>
            <w:tcBorders>
              <w:top w:val="single" w:sz="4" w:space="0" w:color="auto"/>
              <w:left w:val="single" w:sz="4" w:space="0" w:color="auto"/>
              <w:bottom w:val="single" w:sz="4" w:space="0" w:color="auto"/>
              <w:right w:val="single" w:sz="4" w:space="0" w:color="auto"/>
            </w:tcBorders>
            <w:vAlign w:val="center"/>
          </w:tcPr>
          <w:p w:rsidR="00EC4046" w:rsidRPr="00C3014C" w:rsidRDefault="00EC4046" w:rsidP="00C536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4046" w:rsidRPr="00A92DEC" w:rsidRDefault="00C93DA1" w:rsidP="00EB5D03">
            <w:pPr>
              <w:rPr>
                <w:rFonts w:ascii="Garamond" w:hAnsi="Garamond"/>
                <w:lang w:val="en-AU"/>
              </w:rPr>
            </w:pPr>
            <w:r>
              <w:rPr>
                <w:rFonts w:ascii="Garamond" w:hAnsi="Garamond"/>
                <w:lang w:val="en-AU"/>
              </w:rPr>
              <w:t xml:space="preserve">Patients with complex health needs are known to be high users of health services. This study sought to understand which services and to what extent older patients with complex needs </w:t>
            </w:r>
            <w:r w:rsidR="00907E8B">
              <w:rPr>
                <w:rFonts w:ascii="Garamond" w:hAnsi="Garamond"/>
                <w:lang w:val="en-AU"/>
              </w:rPr>
              <w:t>use</w:t>
            </w:r>
            <w:r>
              <w:rPr>
                <w:rFonts w:ascii="Garamond" w:hAnsi="Garamond"/>
                <w:lang w:val="en-AU"/>
              </w:rPr>
              <w:t xml:space="preserve"> so as to </w:t>
            </w:r>
            <w:r w:rsidRPr="00C93DA1">
              <w:rPr>
                <w:rFonts w:ascii="Garamond" w:hAnsi="Garamond"/>
                <w:lang w:val="en-AU"/>
              </w:rPr>
              <w:t xml:space="preserve">inform </w:t>
            </w:r>
            <w:r>
              <w:rPr>
                <w:rFonts w:ascii="Garamond" w:hAnsi="Garamond"/>
                <w:lang w:val="en-AU"/>
              </w:rPr>
              <w:t xml:space="preserve">the </w:t>
            </w:r>
            <w:r w:rsidRPr="00C93DA1">
              <w:rPr>
                <w:rFonts w:ascii="Garamond" w:hAnsi="Garamond"/>
                <w:lang w:val="en-AU"/>
              </w:rPr>
              <w:t>implementation and evaluation of the</w:t>
            </w:r>
            <w:r>
              <w:rPr>
                <w:rFonts w:ascii="Garamond" w:hAnsi="Garamond"/>
                <w:lang w:val="en-AU"/>
              </w:rPr>
              <w:t xml:space="preserve"> </w:t>
            </w:r>
            <w:r w:rsidRPr="00C93DA1">
              <w:rPr>
                <w:rFonts w:ascii="Garamond" w:hAnsi="Garamond"/>
                <w:lang w:val="en-AU"/>
              </w:rPr>
              <w:t>Building Partnerships Framework of the New South Wales Agency for Clinical Innovation</w:t>
            </w:r>
            <w:r w:rsidR="000710EC">
              <w:rPr>
                <w:rFonts w:ascii="Garamond" w:hAnsi="Garamond"/>
                <w:lang w:val="en-AU"/>
              </w:rPr>
              <w:t>. This Framework</w:t>
            </w:r>
            <w:r w:rsidRPr="00C93DA1">
              <w:rPr>
                <w:rFonts w:ascii="Garamond" w:hAnsi="Garamond"/>
                <w:lang w:val="en-AU"/>
              </w:rPr>
              <w:t xml:space="preserve"> seeks to promote collaboration and integration among service providers</w:t>
            </w:r>
            <w:r w:rsidR="000710EC">
              <w:rPr>
                <w:rFonts w:ascii="Garamond" w:hAnsi="Garamond"/>
                <w:lang w:val="en-AU"/>
              </w:rPr>
              <w:t>.  Using data</w:t>
            </w:r>
            <w:r w:rsidR="000710EC" w:rsidRPr="000710EC">
              <w:rPr>
                <w:rFonts w:ascii="Garamond" w:hAnsi="Garamond"/>
                <w:lang w:val="en-AU"/>
              </w:rPr>
              <w:t xml:space="preserve"> from the 45 and Up Study linked with deaths and service data from hospitalisations and the Medicare Benefits Schedule (MBS)</w:t>
            </w:r>
            <w:r w:rsidR="000710EC">
              <w:rPr>
                <w:rFonts w:ascii="Garamond" w:hAnsi="Garamond"/>
                <w:lang w:val="en-AU"/>
              </w:rPr>
              <w:t xml:space="preserve">, the study found that the </w:t>
            </w:r>
            <w:r w:rsidR="000710EC" w:rsidRPr="000710EC">
              <w:rPr>
                <w:rFonts w:ascii="Garamond" w:hAnsi="Garamond"/>
                <w:lang w:val="en-AU"/>
              </w:rPr>
              <w:t xml:space="preserve">rate of hospitalisation in the 2 years following index </w:t>
            </w:r>
            <w:r w:rsidR="000710EC" w:rsidRPr="000710EC">
              <w:rPr>
                <w:rFonts w:ascii="Garamond" w:hAnsi="Garamond"/>
                <w:b/>
                <w:lang w:val="en-AU"/>
              </w:rPr>
              <w:t>admission</w:t>
            </w:r>
            <w:r w:rsidR="000710EC" w:rsidRPr="000710EC">
              <w:rPr>
                <w:rFonts w:ascii="Garamond" w:hAnsi="Garamond"/>
                <w:lang w:val="en-AU"/>
              </w:rPr>
              <w:t xml:space="preserve"> for the complex needs group was </w:t>
            </w:r>
            <w:r w:rsidR="000710EC" w:rsidRPr="000710EC">
              <w:rPr>
                <w:rFonts w:ascii="Garamond" w:hAnsi="Garamond"/>
                <w:b/>
                <w:lang w:val="en-AU"/>
              </w:rPr>
              <w:t>18% greater</w:t>
            </w:r>
            <w:r w:rsidR="000710EC" w:rsidRPr="000710EC">
              <w:rPr>
                <w:rFonts w:ascii="Garamond" w:hAnsi="Garamond"/>
                <w:lang w:val="en-AU"/>
              </w:rPr>
              <w:t xml:space="preserve"> than the comparison group and </w:t>
            </w:r>
            <w:r w:rsidR="000710EC" w:rsidRPr="000710EC">
              <w:rPr>
                <w:rFonts w:ascii="Garamond" w:hAnsi="Garamond"/>
                <w:b/>
                <w:lang w:val="en-AU"/>
              </w:rPr>
              <w:t>specialist physician attendance</w:t>
            </w:r>
            <w:r w:rsidR="000710EC" w:rsidRPr="000710EC">
              <w:rPr>
                <w:rFonts w:ascii="Garamond" w:hAnsi="Garamond"/>
                <w:lang w:val="en-AU"/>
              </w:rPr>
              <w:t xml:space="preserve"> was </w:t>
            </w:r>
            <w:r w:rsidR="000710EC" w:rsidRPr="000710EC">
              <w:rPr>
                <w:rFonts w:ascii="Garamond" w:hAnsi="Garamond"/>
                <w:b/>
                <w:lang w:val="en-AU"/>
              </w:rPr>
              <w:t>13% greater</w:t>
            </w:r>
            <w:r w:rsidR="000710EC" w:rsidRPr="000710EC">
              <w:rPr>
                <w:rFonts w:ascii="Garamond" w:hAnsi="Garamond"/>
                <w:lang w:val="en-AU"/>
              </w:rPr>
              <w:t>. The rate of general practitioner (</w:t>
            </w:r>
            <w:r w:rsidR="000710EC" w:rsidRPr="000710EC">
              <w:rPr>
                <w:rFonts w:ascii="Garamond" w:hAnsi="Garamond"/>
                <w:b/>
                <w:lang w:val="en-AU"/>
              </w:rPr>
              <w:t>GP</w:t>
            </w:r>
            <w:r w:rsidR="000710EC" w:rsidRPr="000710EC">
              <w:rPr>
                <w:rFonts w:ascii="Garamond" w:hAnsi="Garamond"/>
                <w:lang w:val="en-AU"/>
              </w:rPr>
              <w:t xml:space="preserve">) </w:t>
            </w:r>
            <w:r w:rsidR="000710EC" w:rsidRPr="000710EC">
              <w:rPr>
                <w:rFonts w:ascii="Garamond" w:hAnsi="Garamond"/>
                <w:b/>
                <w:lang w:val="en-AU"/>
              </w:rPr>
              <w:t>attendances</w:t>
            </w:r>
            <w:r w:rsidR="000710EC" w:rsidRPr="000710EC">
              <w:rPr>
                <w:rFonts w:ascii="Garamond" w:hAnsi="Garamond"/>
                <w:lang w:val="en-AU"/>
              </w:rPr>
              <w:t xml:space="preserve"> was </w:t>
            </w:r>
            <w:r w:rsidR="000710EC" w:rsidRPr="000710EC">
              <w:rPr>
                <w:rFonts w:ascii="Garamond" w:hAnsi="Garamond"/>
                <w:b/>
                <w:lang w:val="en-AU"/>
              </w:rPr>
              <w:t>2% greater</w:t>
            </w:r>
            <w:r w:rsidR="000710EC" w:rsidRPr="000710EC">
              <w:rPr>
                <w:rFonts w:ascii="Garamond" w:hAnsi="Garamond"/>
                <w:lang w:val="en-AU"/>
              </w:rPr>
              <w:t xml:space="preserve"> in the complex needs group, but this was not statistically significant.</w:t>
            </w:r>
            <w:r w:rsidR="00907E8B">
              <w:rPr>
                <w:rFonts w:ascii="Garamond" w:hAnsi="Garamond"/>
                <w:lang w:val="en-AU"/>
              </w:rPr>
              <w:t xml:space="preserve"> </w:t>
            </w:r>
            <w:r w:rsidR="00907E8B" w:rsidRPr="00907E8B">
              <w:rPr>
                <w:rFonts w:ascii="Garamond" w:hAnsi="Garamond"/>
                <w:lang w:val="en-AU"/>
              </w:rPr>
              <w:t xml:space="preserve">Patients with complex needs had almost twice the </w:t>
            </w:r>
            <w:r w:rsidR="00907E8B">
              <w:rPr>
                <w:rFonts w:ascii="Garamond" w:hAnsi="Garamond"/>
                <w:lang w:val="en-AU"/>
              </w:rPr>
              <w:t xml:space="preserve">average </w:t>
            </w:r>
            <w:r w:rsidR="00907E8B" w:rsidRPr="00907E8B">
              <w:rPr>
                <w:rFonts w:ascii="Garamond" w:hAnsi="Garamond"/>
                <w:lang w:val="en-AU"/>
              </w:rPr>
              <w:t>number of days in hospital and their average length of stay was 50% greater than among the comparison group.</w:t>
            </w:r>
            <w:r w:rsidR="00EB5D03">
              <w:rPr>
                <w:rFonts w:ascii="Garamond" w:hAnsi="Garamond"/>
                <w:lang w:val="en-AU"/>
              </w:rPr>
              <w:t xml:space="preserve"> </w:t>
            </w:r>
            <w:r w:rsidR="000710EC">
              <w:rPr>
                <w:rFonts w:ascii="Garamond" w:hAnsi="Garamond"/>
                <w:lang w:val="en-AU"/>
              </w:rPr>
              <w:t>The authors note that “</w:t>
            </w:r>
            <w:r w:rsidR="000710EC" w:rsidRPr="000710EC">
              <w:rPr>
                <w:rFonts w:ascii="Garamond" w:hAnsi="Garamond"/>
                <w:lang w:val="en-AU"/>
              </w:rPr>
              <w:t xml:space="preserve">Given the prominence of </w:t>
            </w:r>
            <w:r w:rsidR="000710EC" w:rsidRPr="000710EC">
              <w:rPr>
                <w:rFonts w:ascii="Garamond" w:hAnsi="Garamond"/>
                <w:b/>
                <w:lang w:val="en-AU"/>
              </w:rPr>
              <w:t>primary care in service integration</w:t>
            </w:r>
            <w:r w:rsidR="000710EC" w:rsidRPr="000710EC">
              <w:rPr>
                <w:rFonts w:ascii="Garamond" w:hAnsi="Garamond"/>
                <w:lang w:val="en-AU"/>
              </w:rPr>
              <w:t xml:space="preserve"> literature, policy and strategy and the findings of the present study with regard to the relative level of GP involvement in the management of people with complex needs, careful policy implementation will be required to </w:t>
            </w:r>
            <w:r w:rsidR="000710EC" w:rsidRPr="000710EC">
              <w:rPr>
                <w:rFonts w:ascii="Garamond" w:hAnsi="Garamond"/>
                <w:b/>
                <w:lang w:val="en-AU"/>
              </w:rPr>
              <w:t>ensure GPs are able to contribute significantly to coordinated cooperation between health services.</w:t>
            </w:r>
            <w:r w:rsidR="000710EC">
              <w:rPr>
                <w:rFonts w:ascii="Garamond" w:hAnsi="Garamond"/>
                <w:lang w:val="en-AU"/>
              </w:rPr>
              <w:t>”</w:t>
            </w:r>
          </w:p>
        </w:tc>
      </w:tr>
    </w:tbl>
    <w:p w:rsidR="00EC4046" w:rsidRDefault="00EC4046" w:rsidP="00EC4046">
      <w:pPr>
        <w:keepLines/>
        <w:autoSpaceDE w:val="0"/>
        <w:autoSpaceDN w:val="0"/>
        <w:adjustRightInd w:val="0"/>
        <w:rPr>
          <w:rFonts w:ascii="Garamond" w:hAnsi="Garamond"/>
          <w:lang w:val="en-AU"/>
        </w:rPr>
      </w:pPr>
    </w:p>
    <w:p w:rsidR="00FA5481" w:rsidRDefault="000710EC" w:rsidP="000710EC">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primary health care, including the current consultation on the </w:t>
      </w:r>
      <w:r w:rsidRPr="000710EC">
        <w:rPr>
          <w:rFonts w:ascii="Garamond" w:hAnsi="Garamond"/>
          <w:i/>
          <w:lang w:val="en-AU"/>
        </w:rPr>
        <w:t>Patient safety and quality improvement in primary care</w:t>
      </w:r>
      <w:r w:rsidRPr="000710EC">
        <w:rPr>
          <w:rFonts w:ascii="Garamond" w:hAnsi="Garamond"/>
          <w:lang w:val="en-AU"/>
        </w:rPr>
        <w:t xml:space="preserve"> </w:t>
      </w:r>
      <w:r>
        <w:rPr>
          <w:rFonts w:ascii="Garamond" w:hAnsi="Garamond"/>
          <w:lang w:val="en-AU"/>
        </w:rPr>
        <w:t xml:space="preserve">consultation paper, see </w:t>
      </w:r>
      <w:hyperlink r:id="rId18" w:history="1">
        <w:r w:rsidRPr="001B0011">
          <w:rPr>
            <w:rStyle w:val="Hyperlink"/>
            <w:rFonts w:ascii="Garamond" w:hAnsi="Garamond"/>
            <w:lang w:val="en-AU"/>
          </w:rPr>
          <w:t>https://www.safetyandquality.gov.au/our-work/primary-health-care/</w:t>
        </w:r>
      </w:hyperlink>
    </w:p>
    <w:p w:rsidR="000710EC" w:rsidRDefault="000710EC" w:rsidP="00FA5481">
      <w:pPr>
        <w:keepNext/>
        <w:rPr>
          <w:rFonts w:ascii="Garamond" w:hAnsi="Garamond"/>
          <w:lang w:val="en-AU"/>
        </w:rPr>
      </w:pPr>
    </w:p>
    <w:p w:rsidR="00432F16" w:rsidRPr="00432F16" w:rsidRDefault="00432F16" w:rsidP="00432F16">
      <w:pPr>
        <w:keepNext/>
        <w:rPr>
          <w:rFonts w:ascii="Garamond" w:hAnsi="Garamond"/>
          <w:i/>
          <w:lang w:val="en-AU"/>
        </w:rPr>
      </w:pPr>
      <w:r w:rsidRPr="00432F16">
        <w:rPr>
          <w:rFonts w:ascii="Garamond" w:hAnsi="Garamond"/>
          <w:i/>
          <w:lang w:val="en-AU"/>
        </w:rPr>
        <w:t>Using Fault Trees to Advance Understanding of Diagnostic Errors</w:t>
      </w:r>
    </w:p>
    <w:p w:rsidR="00432F16" w:rsidRDefault="00432F16" w:rsidP="00FA5481">
      <w:pPr>
        <w:keepNext/>
        <w:rPr>
          <w:rFonts w:ascii="Garamond" w:hAnsi="Garamond"/>
          <w:lang w:val="en-AU"/>
        </w:rPr>
      </w:pPr>
      <w:r w:rsidRPr="00432F16">
        <w:rPr>
          <w:rFonts w:ascii="Garamond" w:hAnsi="Garamond"/>
          <w:lang w:val="en-AU"/>
        </w:rPr>
        <w:t>Rogith D, Iyengar MS, Singh H</w:t>
      </w:r>
    </w:p>
    <w:p w:rsidR="000710EC" w:rsidRPr="00C3014C" w:rsidRDefault="00432F16" w:rsidP="00FA5481">
      <w:pPr>
        <w:keepNext/>
        <w:rPr>
          <w:rFonts w:ascii="Garamond" w:hAnsi="Garamond"/>
          <w:lang w:val="en-AU"/>
        </w:rPr>
      </w:pPr>
      <w:proofErr w:type="gramStart"/>
      <w:r w:rsidRPr="00432F16">
        <w:rPr>
          <w:rFonts w:ascii="Garamond" w:hAnsi="Garamond"/>
          <w:lang w:val="en-AU"/>
        </w:rPr>
        <w:t>The Joint Commission Journal on Quality and Patient Safety.</w:t>
      </w:r>
      <w:proofErr w:type="gramEnd"/>
      <w:r w:rsidRPr="00432F16">
        <w:rPr>
          <w:rFonts w:ascii="Garamond" w:hAnsi="Garamond"/>
          <w:lang w:val="en-AU"/>
        </w:rPr>
        <w:t xml:space="preserve"> 2017</w:t>
      </w:r>
      <w:proofErr w:type="gramStart"/>
      <w:r w:rsidRPr="00432F16">
        <w:rPr>
          <w:rFonts w:ascii="Garamond" w:hAnsi="Garamond"/>
          <w:lang w:val="en-AU"/>
        </w:rPr>
        <w:t>;43</w:t>
      </w:r>
      <w:proofErr w:type="gramEnd"/>
      <w:r w:rsidRPr="00432F16">
        <w:rPr>
          <w:rFonts w:ascii="Garamond" w:hAnsi="Garamond"/>
          <w:lang w:val="en-AU"/>
        </w:rPr>
        <w:t>(11):598-605.</w:t>
      </w:r>
    </w:p>
    <w:tbl>
      <w:tblPr>
        <w:tblStyle w:val="TableGrid"/>
        <w:tblW w:w="0" w:type="auto"/>
        <w:tblInd w:w="288" w:type="dxa"/>
        <w:tblLayout w:type="fixed"/>
        <w:tblLook w:val="01E0" w:firstRow="1" w:lastRow="1" w:firstColumn="1" w:lastColumn="1" w:noHBand="0" w:noVBand="0"/>
      </w:tblPr>
      <w:tblGrid>
        <w:gridCol w:w="1080"/>
        <w:gridCol w:w="8280"/>
      </w:tblGrid>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C3014C" w:rsidRDefault="00432F16" w:rsidP="009D27C9">
            <w:pPr>
              <w:rPr>
                <w:rStyle w:val="Hyperlink"/>
                <w:rFonts w:ascii="Garamond" w:hAnsi="Garamond"/>
                <w:color w:val="auto"/>
                <w:u w:val="none"/>
                <w:lang w:val="en-AU"/>
              </w:rPr>
            </w:pPr>
            <w:hyperlink r:id="rId19" w:history="1">
              <w:r w:rsidRPr="001B0011">
                <w:rPr>
                  <w:rStyle w:val="Hyperlink"/>
                  <w:rFonts w:ascii="Garamond" w:hAnsi="Garamond"/>
                  <w:lang w:val="en-AU"/>
                </w:rPr>
                <w:t>https://doi.org/10.1016/j.jcjq.2017.06.007</w:t>
              </w:r>
            </w:hyperlink>
          </w:p>
        </w:tc>
      </w:tr>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A92DEC" w:rsidRDefault="00934108" w:rsidP="00432F16">
            <w:pPr>
              <w:rPr>
                <w:rFonts w:ascii="Garamond" w:hAnsi="Garamond"/>
                <w:lang w:val="en-AU"/>
              </w:rPr>
            </w:pPr>
            <w:r>
              <w:rPr>
                <w:rFonts w:ascii="Garamond" w:hAnsi="Garamond"/>
                <w:lang w:val="en-AU"/>
              </w:rPr>
              <w:t xml:space="preserve">Errors in diagnosis and how to ameliorate them has been an emerging area for a while now. This paper describes the use </w:t>
            </w:r>
            <w:r w:rsidRPr="00934108">
              <w:rPr>
                <w:rFonts w:ascii="Garamond" w:hAnsi="Garamond"/>
                <w:lang w:val="en-AU"/>
              </w:rPr>
              <w:t>fault-tree analysis</w:t>
            </w:r>
            <w:r w:rsidR="00432F16">
              <w:rPr>
                <w:rFonts w:ascii="Garamond" w:hAnsi="Garamond"/>
                <w:lang w:val="en-AU"/>
              </w:rPr>
              <w:t>, a form of root cause analysis,</w:t>
            </w:r>
            <w:r w:rsidRPr="00934108">
              <w:rPr>
                <w:rFonts w:ascii="Garamond" w:hAnsi="Garamond"/>
                <w:lang w:val="en-AU"/>
              </w:rPr>
              <w:t xml:space="preserve"> as </w:t>
            </w:r>
            <w:r>
              <w:rPr>
                <w:rFonts w:ascii="Garamond" w:hAnsi="Garamond"/>
                <w:lang w:val="en-AU"/>
              </w:rPr>
              <w:t xml:space="preserve">one method to identify </w:t>
            </w:r>
            <w:r w:rsidR="00432F16">
              <w:rPr>
                <w:rFonts w:ascii="Garamond" w:hAnsi="Garamond"/>
                <w:lang w:val="en-AU"/>
              </w:rPr>
              <w:t>the contributory factors in diagnostic error</w:t>
            </w:r>
            <w:r w:rsidRPr="00934108">
              <w:rPr>
                <w:rFonts w:ascii="Garamond" w:hAnsi="Garamond"/>
                <w:lang w:val="en-AU"/>
              </w:rPr>
              <w:t>.</w:t>
            </w:r>
            <w:r w:rsidR="00432F16">
              <w:rPr>
                <w:rFonts w:ascii="Garamond" w:hAnsi="Garamond"/>
                <w:lang w:val="en-AU"/>
              </w:rPr>
              <w:t xml:space="preserve"> The authors suggest that “</w:t>
            </w:r>
            <w:r w:rsidR="00432F16" w:rsidRPr="00432F16">
              <w:rPr>
                <w:rFonts w:ascii="Garamond" w:hAnsi="Garamond"/>
                <w:lang w:val="en-AU"/>
              </w:rPr>
              <w:t>fault trees might provide a useful framework for both quantitative and qualitative analysis of diagnostic errors</w:t>
            </w:r>
            <w:r w:rsidR="00432F16">
              <w:rPr>
                <w:rFonts w:ascii="Garamond" w:hAnsi="Garamond"/>
                <w:lang w:val="en-AU"/>
              </w:rPr>
              <w:t>”</w:t>
            </w:r>
            <w:r w:rsidR="00432F16" w:rsidRPr="00432F16">
              <w:rPr>
                <w:rFonts w:ascii="Garamond" w:hAnsi="Garamond"/>
                <w:lang w:val="en-AU"/>
              </w:rPr>
              <w:t>.</w:t>
            </w:r>
          </w:p>
        </w:tc>
      </w:tr>
    </w:tbl>
    <w:p w:rsidR="00FA5481" w:rsidRDefault="00FA5481" w:rsidP="00FA5481">
      <w:pPr>
        <w:keepLines/>
        <w:autoSpaceDE w:val="0"/>
        <w:autoSpaceDN w:val="0"/>
        <w:adjustRightInd w:val="0"/>
        <w:rPr>
          <w:rFonts w:ascii="Garamond" w:hAnsi="Garamond"/>
          <w:lang w:val="en-AU"/>
        </w:rPr>
      </w:pPr>
    </w:p>
    <w:p w:rsidR="000F388E" w:rsidRPr="00941B28" w:rsidRDefault="000F388E" w:rsidP="000F388E">
      <w:pPr>
        <w:keepNext/>
        <w:rPr>
          <w:rFonts w:ascii="Garamond" w:hAnsi="Garamond"/>
          <w:i/>
          <w:lang w:val="en-AU"/>
        </w:rPr>
      </w:pPr>
      <w:r w:rsidRPr="00941B28">
        <w:rPr>
          <w:rFonts w:ascii="Garamond" w:hAnsi="Garamond"/>
          <w:i/>
          <w:lang w:val="en-AU"/>
        </w:rPr>
        <w:t>A Novel Process Audit for Standardized Perioperative Handoff Protocols</w:t>
      </w:r>
    </w:p>
    <w:p w:rsidR="000F388E" w:rsidRDefault="000F388E" w:rsidP="000F388E">
      <w:pPr>
        <w:keepNext/>
        <w:rPr>
          <w:rFonts w:ascii="Garamond" w:hAnsi="Garamond"/>
          <w:lang w:val="en-AU"/>
        </w:rPr>
      </w:pPr>
      <w:r w:rsidRPr="00941B28">
        <w:rPr>
          <w:rFonts w:ascii="Garamond" w:hAnsi="Garamond"/>
          <w:lang w:val="en-AU"/>
        </w:rPr>
        <w:t>Pallekonda V, Scholl AT, McKelvey GM, Amhaz H, Essa D, Narreddy S, et al</w:t>
      </w:r>
    </w:p>
    <w:p w:rsidR="000F388E" w:rsidRDefault="000F388E" w:rsidP="000F388E">
      <w:pPr>
        <w:keepNext/>
        <w:rPr>
          <w:rFonts w:ascii="Garamond" w:hAnsi="Garamond"/>
          <w:lang w:val="en-AU"/>
        </w:rPr>
      </w:pPr>
      <w:proofErr w:type="gramStart"/>
      <w:r w:rsidRPr="00941B28">
        <w:rPr>
          <w:rFonts w:ascii="Garamond" w:hAnsi="Garamond"/>
          <w:lang w:val="en-AU"/>
        </w:rPr>
        <w:t>The Joint Commission Journal on Quality and Patient Safety.</w:t>
      </w:r>
      <w:proofErr w:type="gramEnd"/>
      <w:r w:rsidRPr="00941B28">
        <w:rPr>
          <w:rFonts w:ascii="Garamond" w:hAnsi="Garamond"/>
          <w:lang w:val="en-AU"/>
        </w:rPr>
        <w:t xml:space="preserve"> 2017</w:t>
      </w:r>
      <w:proofErr w:type="gramStart"/>
      <w:r w:rsidRPr="00941B28">
        <w:rPr>
          <w:rFonts w:ascii="Garamond" w:hAnsi="Garamond"/>
          <w:lang w:val="en-AU"/>
        </w:rPr>
        <w:t>;43</w:t>
      </w:r>
      <w:proofErr w:type="gramEnd"/>
      <w:r w:rsidRPr="00941B28">
        <w:rPr>
          <w:rFonts w:ascii="Garamond" w:hAnsi="Garamond"/>
          <w:lang w:val="en-AU"/>
        </w:rPr>
        <w:t xml:space="preserve">(11):611-8. </w:t>
      </w:r>
    </w:p>
    <w:tbl>
      <w:tblPr>
        <w:tblStyle w:val="TableGrid"/>
        <w:tblW w:w="0" w:type="auto"/>
        <w:tblInd w:w="288" w:type="dxa"/>
        <w:tblLayout w:type="fixed"/>
        <w:tblLook w:val="01E0" w:firstRow="1" w:lastRow="1" w:firstColumn="1" w:lastColumn="1" w:noHBand="0" w:noVBand="0"/>
      </w:tblPr>
      <w:tblGrid>
        <w:gridCol w:w="1080"/>
        <w:gridCol w:w="8280"/>
      </w:tblGrid>
      <w:tr w:rsidR="000F388E"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0F388E" w:rsidRPr="00C3014C" w:rsidRDefault="000F388E" w:rsidP="002752AE">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388E" w:rsidRPr="00C3014C" w:rsidRDefault="000F388E" w:rsidP="002752AE">
            <w:pPr>
              <w:rPr>
                <w:rStyle w:val="Hyperlink"/>
                <w:rFonts w:ascii="Garamond" w:hAnsi="Garamond"/>
                <w:color w:val="auto"/>
                <w:u w:val="none"/>
                <w:lang w:val="en-AU"/>
              </w:rPr>
            </w:pPr>
            <w:hyperlink r:id="rId20" w:history="1">
              <w:r w:rsidRPr="001B0011">
                <w:rPr>
                  <w:rStyle w:val="Hyperlink"/>
                  <w:rFonts w:ascii="Garamond" w:hAnsi="Garamond"/>
                  <w:lang w:val="en-AU"/>
                </w:rPr>
                <w:t>https://doi.org/10.1016/j.jcjq.2017.04.011</w:t>
              </w:r>
            </w:hyperlink>
          </w:p>
        </w:tc>
      </w:tr>
      <w:tr w:rsidR="000F388E"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0F388E" w:rsidRPr="00C3014C" w:rsidRDefault="000F388E" w:rsidP="002752AE">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388E" w:rsidRPr="00A92DEC" w:rsidRDefault="000F388E" w:rsidP="000F388E">
            <w:pPr>
              <w:rPr>
                <w:rFonts w:ascii="Garamond" w:hAnsi="Garamond"/>
                <w:lang w:val="en-AU"/>
              </w:rPr>
            </w:pPr>
            <w:r>
              <w:rPr>
                <w:rFonts w:ascii="Garamond" w:hAnsi="Garamond"/>
                <w:lang w:val="en-AU"/>
              </w:rPr>
              <w:t xml:space="preserve">Clinical handover (or handoff) is a recognised opportunity for miscommunication and error. There have been many efforts at developing forms of standardised handover communication, including protocols, forms, checklists, etc. Thus paper describes a setting where a standardised </w:t>
            </w:r>
            <w:r w:rsidRPr="00941B28">
              <w:rPr>
                <w:rFonts w:ascii="Garamond" w:hAnsi="Garamond"/>
                <w:lang w:val="en-AU"/>
              </w:rPr>
              <w:t>perioperative hand</w:t>
            </w:r>
            <w:r>
              <w:rPr>
                <w:rFonts w:ascii="Garamond" w:hAnsi="Garamond"/>
                <w:lang w:val="en-AU"/>
              </w:rPr>
              <w:t>over</w:t>
            </w:r>
            <w:r w:rsidRPr="00941B28">
              <w:rPr>
                <w:rFonts w:ascii="Garamond" w:hAnsi="Garamond"/>
                <w:lang w:val="en-AU"/>
              </w:rPr>
              <w:t xml:space="preserve"> protocol </w:t>
            </w:r>
            <w:r>
              <w:rPr>
                <w:rFonts w:ascii="Garamond" w:hAnsi="Garamond"/>
                <w:lang w:val="en-AU"/>
              </w:rPr>
              <w:t xml:space="preserve">is designed to ensure a standardised </w:t>
            </w:r>
            <w:r w:rsidRPr="00941B28">
              <w:rPr>
                <w:rFonts w:ascii="Garamond" w:hAnsi="Garamond"/>
                <w:lang w:val="en-AU"/>
              </w:rPr>
              <w:t>communication from the operating room to the post</w:t>
            </w:r>
            <w:r>
              <w:rPr>
                <w:rFonts w:ascii="Garamond" w:hAnsi="Garamond"/>
                <w:lang w:val="en-AU"/>
              </w:rPr>
              <w:t>-</w:t>
            </w:r>
            <w:r w:rsidRPr="00941B28">
              <w:rPr>
                <w:rFonts w:ascii="Garamond" w:hAnsi="Garamond"/>
                <w:lang w:val="en-AU"/>
              </w:rPr>
              <w:t>an</w:t>
            </w:r>
            <w:r>
              <w:rPr>
                <w:rFonts w:ascii="Garamond" w:hAnsi="Garamond"/>
                <w:lang w:val="en-AU"/>
              </w:rPr>
              <w:t>a</w:t>
            </w:r>
            <w:r w:rsidRPr="00941B28">
              <w:rPr>
                <w:rFonts w:ascii="Garamond" w:hAnsi="Garamond"/>
                <w:lang w:val="en-AU"/>
              </w:rPr>
              <w:t>esthes</w:t>
            </w:r>
            <w:r>
              <w:rPr>
                <w:rFonts w:ascii="Garamond" w:hAnsi="Garamond"/>
                <w:lang w:val="en-AU"/>
              </w:rPr>
              <w:t>i</w:t>
            </w:r>
            <w:r w:rsidRPr="00941B28">
              <w:rPr>
                <w:rFonts w:ascii="Garamond" w:hAnsi="Garamond"/>
                <w:lang w:val="en-AU"/>
              </w:rPr>
              <w:t xml:space="preserve">a care unit or ICU. The protocol's success is </w:t>
            </w:r>
            <w:r>
              <w:rPr>
                <w:rFonts w:ascii="Garamond" w:hAnsi="Garamond"/>
                <w:lang w:val="en-AU"/>
              </w:rPr>
              <w:t xml:space="preserve">partially </w:t>
            </w:r>
            <w:r w:rsidRPr="00941B28">
              <w:rPr>
                <w:rFonts w:ascii="Garamond" w:hAnsi="Garamond"/>
                <w:lang w:val="en-AU"/>
              </w:rPr>
              <w:t>dependent</w:t>
            </w:r>
            <w:r>
              <w:rPr>
                <w:rFonts w:ascii="Garamond" w:hAnsi="Garamond"/>
                <w:lang w:val="en-AU"/>
              </w:rPr>
              <w:t xml:space="preserve"> </w:t>
            </w:r>
            <w:r w:rsidRPr="00941B28">
              <w:rPr>
                <w:rFonts w:ascii="Garamond" w:hAnsi="Garamond"/>
                <w:lang w:val="en-AU"/>
              </w:rPr>
              <w:t xml:space="preserve">on its continued proper use over time. </w:t>
            </w:r>
            <w:r>
              <w:rPr>
                <w:rFonts w:ascii="Garamond" w:hAnsi="Garamond"/>
                <w:lang w:val="en-AU"/>
              </w:rPr>
              <w:t xml:space="preserve">The paper focuses on the </w:t>
            </w:r>
            <w:r w:rsidRPr="00941B28">
              <w:rPr>
                <w:rFonts w:ascii="Garamond" w:hAnsi="Garamond"/>
                <w:lang w:val="en-AU"/>
              </w:rPr>
              <w:t xml:space="preserve">novel process audit </w:t>
            </w:r>
            <w:r>
              <w:rPr>
                <w:rFonts w:ascii="Garamond" w:hAnsi="Garamond"/>
                <w:lang w:val="en-AU"/>
              </w:rPr>
              <w:t xml:space="preserve">that </w:t>
            </w:r>
            <w:r w:rsidRPr="00941B28">
              <w:rPr>
                <w:rFonts w:ascii="Garamond" w:hAnsi="Garamond"/>
                <w:lang w:val="en-AU"/>
              </w:rPr>
              <w:t xml:space="preserve">was developed to help ensure that </w:t>
            </w:r>
            <w:r>
              <w:rPr>
                <w:rFonts w:ascii="Garamond" w:hAnsi="Garamond"/>
                <w:lang w:val="en-AU"/>
              </w:rPr>
              <w:t xml:space="preserve">the </w:t>
            </w:r>
            <w:r w:rsidRPr="00941B28">
              <w:rPr>
                <w:rFonts w:ascii="Garamond" w:hAnsi="Garamond"/>
                <w:lang w:val="en-AU"/>
              </w:rPr>
              <w:t xml:space="preserve">protocol </w:t>
            </w:r>
            <w:r>
              <w:rPr>
                <w:rFonts w:ascii="Garamond" w:hAnsi="Garamond"/>
                <w:lang w:val="en-AU"/>
              </w:rPr>
              <w:t xml:space="preserve">was </w:t>
            </w:r>
            <w:r w:rsidRPr="00941B28">
              <w:rPr>
                <w:rFonts w:ascii="Garamond" w:hAnsi="Garamond"/>
                <w:lang w:val="en-AU"/>
              </w:rPr>
              <w:t>used accurately and appropriately over time.</w:t>
            </w:r>
          </w:p>
        </w:tc>
      </w:tr>
    </w:tbl>
    <w:p w:rsidR="000F388E" w:rsidRDefault="000F388E" w:rsidP="000F388E">
      <w:pPr>
        <w:keepLines/>
        <w:autoSpaceDE w:val="0"/>
        <w:autoSpaceDN w:val="0"/>
        <w:adjustRightInd w:val="0"/>
        <w:rPr>
          <w:rFonts w:ascii="Garamond" w:hAnsi="Garamond"/>
          <w:lang w:val="en-AU"/>
        </w:rPr>
      </w:pPr>
      <w:r w:rsidRPr="00C3014C">
        <w:rPr>
          <w:rFonts w:ascii="Garamond" w:hAnsi="Garamond"/>
          <w:lang w:val="en-AU"/>
        </w:rPr>
        <w:lastRenderedPageBreak/>
        <w:t>For information on the Commission’s work on</w:t>
      </w:r>
      <w:r>
        <w:rPr>
          <w:rFonts w:ascii="Garamond" w:hAnsi="Garamond"/>
          <w:lang w:val="en-AU"/>
        </w:rPr>
        <w:t xml:space="preserve"> clinical communications, including clinical handover, see </w:t>
      </w:r>
      <w:hyperlink r:id="rId21" w:history="1">
        <w:r w:rsidRPr="001B0011">
          <w:rPr>
            <w:rStyle w:val="Hyperlink"/>
            <w:rFonts w:ascii="Garamond" w:hAnsi="Garamond"/>
            <w:lang w:val="en-AU"/>
          </w:rPr>
          <w:t>https://www.safetyandquality.gov.au/our-work/clinical-communications/</w:t>
        </w:r>
      </w:hyperlink>
    </w:p>
    <w:p w:rsidR="00057056" w:rsidRDefault="00057056" w:rsidP="00057056">
      <w:pPr>
        <w:keepLines/>
        <w:autoSpaceDE w:val="0"/>
        <w:autoSpaceDN w:val="0"/>
        <w:adjustRightInd w:val="0"/>
        <w:rPr>
          <w:rFonts w:ascii="Garamond" w:hAnsi="Garamond"/>
          <w:lang w:val="en-AU"/>
        </w:rPr>
      </w:pPr>
    </w:p>
    <w:p w:rsidR="00057056" w:rsidRPr="00057056" w:rsidRDefault="00057056" w:rsidP="00057056">
      <w:pPr>
        <w:keepNext/>
        <w:rPr>
          <w:rFonts w:ascii="Garamond" w:hAnsi="Garamond"/>
          <w:i/>
          <w:lang w:val="en-AU"/>
        </w:rPr>
      </w:pPr>
      <w:r w:rsidRPr="00057056">
        <w:rPr>
          <w:rFonts w:ascii="Garamond" w:hAnsi="Garamond"/>
          <w:i/>
          <w:lang w:val="en-AU"/>
        </w:rPr>
        <w:t>Sustained User Engagement in Health Information Technology: The Long Road from Implementation to System Optimization of Computerized Physician Order Entry and Clinical Decision Support Systems for Prescribing in Hospitals in England</w:t>
      </w:r>
    </w:p>
    <w:p w:rsidR="00057056" w:rsidRDefault="00057056" w:rsidP="00057056">
      <w:pPr>
        <w:keepNext/>
        <w:rPr>
          <w:rFonts w:ascii="Garamond" w:hAnsi="Garamond"/>
          <w:lang w:val="en-AU"/>
        </w:rPr>
      </w:pPr>
      <w:r w:rsidRPr="00057056">
        <w:rPr>
          <w:rFonts w:ascii="Garamond" w:hAnsi="Garamond"/>
          <w:lang w:val="en-AU"/>
        </w:rPr>
        <w:t>Cresswell KM, Lee L, Mozaffar H, Williams R, Sheikh A, on behalf of the NePT</w:t>
      </w:r>
    </w:p>
    <w:p w:rsidR="00057056" w:rsidRPr="00C3014C" w:rsidRDefault="00057056" w:rsidP="00057056">
      <w:pPr>
        <w:keepNext/>
        <w:rPr>
          <w:rFonts w:ascii="Garamond" w:hAnsi="Garamond"/>
          <w:lang w:val="en-AU"/>
        </w:rPr>
      </w:pPr>
      <w:proofErr w:type="gramStart"/>
      <w:r w:rsidRPr="00057056">
        <w:rPr>
          <w:rFonts w:ascii="Garamond" w:hAnsi="Garamond"/>
          <w:lang w:val="en-AU"/>
        </w:rPr>
        <w:t>Health Services Research.</w:t>
      </w:r>
      <w:proofErr w:type="gramEnd"/>
      <w:r w:rsidRPr="00057056">
        <w:rPr>
          <w:rFonts w:ascii="Garamond" w:hAnsi="Garamond"/>
          <w:lang w:val="en-AU"/>
        </w:rPr>
        <w:t xml:space="preserve"> 2017</w:t>
      </w:r>
      <w:proofErr w:type="gramStart"/>
      <w:r w:rsidRPr="00057056">
        <w:rPr>
          <w:rFonts w:ascii="Garamond" w:hAnsi="Garamond"/>
          <w:lang w:val="en-AU"/>
        </w:rPr>
        <w:t>;52</w:t>
      </w:r>
      <w:proofErr w:type="gramEnd"/>
      <w:r w:rsidRPr="00057056">
        <w:rPr>
          <w:rFonts w:ascii="Garamond" w:hAnsi="Garamond"/>
          <w:lang w:val="en-AU"/>
        </w:rPr>
        <w:t>(5):1928-57.</w:t>
      </w:r>
    </w:p>
    <w:tbl>
      <w:tblPr>
        <w:tblStyle w:val="TableGrid"/>
        <w:tblW w:w="0" w:type="auto"/>
        <w:tblInd w:w="288" w:type="dxa"/>
        <w:tblLayout w:type="fixed"/>
        <w:tblLook w:val="01E0" w:firstRow="1" w:lastRow="1" w:firstColumn="1" w:lastColumn="1" w:noHBand="0" w:noVBand="0"/>
      </w:tblPr>
      <w:tblGrid>
        <w:gridCol w:w="1080"/>
        <w:gridCol w:w="8280"/>
      </w:tblGrid>
      <w:tr w:rsidR="00057056"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057056" w:rsidRPr="00C3014C" w:rsidRDefault="00057056" w:rsidP="002752AE">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57056" w:rsidRPr="00C3014C" w:rsidRDefault="003B7F79" w:rsidP="002752AE">
            <w:pPr>
              <w:rPr>
                <w:rStyle w:val="Hyperlink"/>
                <w:rFonts w:ascii="Garamond" w:hAnsi="Garamond"/>
                <w:color w:val="auto"/>
                <w:u w:val="none"/>
                <w:lang w:val="en-AU"/>
              </w:rPr>
            </w:pPr>
            <w:hyperlink r:id="rId22" w:history="1">
              <w:r w:rsidRPr="001B0011">
                <w:rPr>
                  <w:rStyle w:val="Hyperlink"/>
                  <w:rFonts w:ascii="Garamond" w:hAnsi="Garamond"/>
                  <w:lang w:val="en-AU"/>
                </w:rPr>
                <w:t>http://dx.doi.org/10.1111/1475-6773.12581</w:t>
              </w:r>
            </w:hyperlink>
          </w:p>
        </w:tc>
      </w:tr>
      <w:tr w:rsidR="00057056"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057056" w:rsidRPr="00C3014C" w:rsidRDefault="00057056" w:rsidP="002752AE">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57056" w:rsidRPr="00A92DEC" w:rsidRDefault="00057056" w:rsidP="003B7F79">
            <w:pPr>
              <w:rPr>
                <w:rFonts w:ascii="Garamond" w:hAnsi="Garamond"/>
                <w:lang w:val="en-AU"/>
              </w:rPr>
            </w:pPr>
            <w:r>
              <w:rPr>
                <w:rFonts w:ascii="Garamond" w:hAnsi="Garamond"/>
                <w:lang w:val="en-AU"/>
              </w:rPr>
              <w:t>Successfully introducing and sustaining change in some workplaces can be difficult, perhaps particularly so when new technologies are involved. This paper</w:t>
            </w:r>
            <w:r w:rsidR="003B7F79">
              <w:rPr>
                <w:rFonts w:ascii="Garamond" w:hAnsi="Garamond"/>
                <w:lang w:val="en-AU"/>
              </w:rPr>
              <w:t xml:space="preserve"> discusses the </w:t>
            </w:r>
            <w:r w:rsidR="003B7F79" w:rsidRPr="003B7F79">
              <w:rPr>
                <w:rFonts w:ascii="Garamond" w:hAnsi="Garamond"/>
                <w:lang w:val="en-AU"/>
              </w:rPr>
              <w:t xml:space="preserve">approaches to user engagement </w:t>
            </w:r>
            <w:r w:rsidR="003B7F79">
              <w:rPr>
                <w:rFonts w:ascii="Garamond" w:hAnsi="Garamond"/>
                <w:lang w:val="en-AU"/>
              </w:rPr>
              <w:t xml:space="preserve">of </w:t>
            </w:r>
            <w:r w:rsidR="003B7F79" w:rsidRPr="003B7F79">
              <w:rPr>
                <w:rFonts w:ascii="Garamond" w:hAnsi="Garamond"/>
                <w:lang w:val="en-AU"/>
              </w:rPr>
              <w:t>health care workers and organi</w:t>
            </w:r>
            <w:r w:rsidR="003B7F79">
              <w:rPr>
                <w:rFonts w:ascii="Garamond" w:hAnsi="Garamond"/>
                <w:lang w:val="en-AU"/>
              </w:rPr>
              <w:t>s</w:t>
            </w:r>
            <w:r w:rsidR="003B7F79" w:rsidRPr="003B7F79">
              <w:rPr>
                <w:rFonts w:ascii="Garamond" w:hAnsi="Garamond"/>
                <w:lang w:val="en-AU"/>
              </w:rPr>
              <w:t xml:space="preserve">ations </w:t>
            </w:r>
            <w:r w:rsidR="003B7F79">
              <w:rPr>
                <w:rFonts w:ascii="Garamond" w:hAnsi="Garamond"/>
                <w:lang w:val="en-AU"/>
              </w:rPr>
              <w:t xml:space="preserve">around </w:t>
            </w:r>
            <w:r w:rsidR="003B7F79" w:rsidRPr="003B7F79">
              <w:rPr>
                <w:rFonts w:ascii="Garamond" w:hAnsi="Garamond"/>
                <w:lang w:val="en-AU"/>
              </w:rPr>
              <w:t>the introduction of computerized physician order entry (CPOE) and computerized decision support (CDS) for hospital prescribing</w:t>
            </w:r>
            <w:r w:rsidR="003B7F79">
              <w:rPr>
                <w:rFonts w:ascii="Garamond" w:hAnsi="Garamond"/>
                <w:lang w:val="en-AU"/>
              </w:rPr>
              <w:t xml:space="preserve"> in six English hospitals. From </w:t>
            </w:r>
            <w:r w:rsidR="003B7F79" w:rsidRPr="003B7F79">
              <w:rPr>
                <w:rFonts w:ascii="Garamond" w:hAnsi="Garamond"/>
                <w:lang w:val="en-AU"/>
              </w:rPr>
              <w:t xml:space="preserve">173 interviews, 24 observations, </w:t>
            </w:r>
            <w:r w:rsidR="003B7F79">
              <w:rPr>
                <w:rFonts w:ascii="Garamond" w:hAnsi="Garamond"/>
                <w:lang w:val="en-AU"/>
              </w:rPr>
              <w:t xml:space="preserve">various </w:t>
            </w:r>
            <w:r w:rsidR="003B7F79" w:rsidRPr="003B7F79">
              <w:rPr>
                <w:rFonts w:ascii="Garamond" w:hAnsi="Garamond"/>
                <w:lang w:val="en-AU"/>
              </w:rPr>
              <w:t xml:space="preserve">17 documents </w:t>
            </w:r>
            <w:r w:rsidR="003B7F79">
              <w:rPr>
                <w:rFonts w:ascii="Garamond" w:hAnsi="Garamond"/>
                <w:lang w:val="en-AU"/>
              </w:rPr>
              <w:t xml:space="preserve">the study </w:t>
            </w:r>
            <w:r w:rsidR="003B7F79" w:rsidRPr="003B7F79">
              <w:rPr>
                <w:rFonts w:ascii="Garamond" w:hAnsi="Garamond"/>
                <w:lang w:val="en-AU"/>
              </w:rPr>
              <w:t xml:space="preserve">found that perceived individual and safety benefits among different user groups tended to facilitate engagement in some, while other less engaged groups developed resistance and unsanctioned workarounds if systems were perceived to be inadequate. </w:t>
            </w:r>
            <w:r w:rsidR="003B7F79">
              <w:rPr>
                <w:rFonts w:ascii="Garamond" w:hAnsi="Garamond"/>
                <w:lang w:val="en-AU"/>
              </w:rPr>
              <w:t xml:space="preserve">They also </w:t>
            </w:r>
            <w:r w:rsidR="003B7F79" w:rsidRPr="003B7F79">
              <w:rPr>
                <w:rFonts w:ascii="Garamond" w:hAnsi="Garamond"/>
                <w:lang w:val="en-AU"/>
              </w:rPr>
              <w:t>identified both the opportunity and need for sustained engagement across user groups around system enhancement (e.g., through customizing software) and the development of user competencies and effective use.</w:t>
            </w:r>
            <w:r w:rsidR="003B7F79">
              <w:rPr>
                <w:rFonts w:ascii="Garamond" w:hAnsi="Garamond"/>
                <w:lang w:val="en-AU"/>
              </w:rPr>
              <w:t xml:space="preserve"> </w:t>
            </w:r>
            <w:r>
              <w:rPr>
                <w:rFonts w:ascii="Garamond" w:hAnsi="Garamond"/>
                <w:lang w:val="en-AU"/>
              </w:rPr>
              <w:t>One of the key messages is the importance of properly supporting the frontline users, not just at implementation but as a key component to sustaining and normalising the changes.</w:t>
            </w:r>
          </w:p>
        </w:tc>
      </w:tr>
    </w:tbl>
    <w:p w:rsidR="00057056" w:rsidRDefault="00057056" w:rsidP="00057056">
      <w:pPr>
        <w:keepLines/>
        <w:autoSpaceDE w:val="0"/>
        <w:autoSpaceDN w:val="0"/>
        <w:adjustRightInd w:val="0"/>
        <w:rPr>
          <w:rFonts w:ascii="Garamond" w:hAnsi="Garamond"/>
          <w:lang w:val="en-AU"/>
        </w:rPr>
      </w:pPr>
    </w:p>
    <w:p w:rsidR="00057056" w:rsidRDefault="00057056" w:rsidP="00057056">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safety in e-Health, see </w:t>
      </w:r>
      <w:hyperlink r:id="rId23" w:history="1">
        <w:r w:rsidRPr="001B0011">
          <w:rPr>
            <w:rStyle w:val="Hyperlink"/>
            <w:rFonts w:ascii="Garamond" w:hAnsi="Garamond"/>
            <w:lang w:val="en-AU"/>
          </w:rPr>
          <w:t>https://www.safetyandquality.gov.au/our-work/safety-in-e-health/</w:t>
        </w:r>
      </w:hyperlink>
    </w:p>
    <w:p w:rsidR="00057056" w:rsidRDefault="00057056" w:rsidP="00057056">
      <w:pPr>
        <w:keepLines/>
        <w:autoSpaceDE w:val="0"/>
        <w:autoSpaceDN w:val="0"/>
        <w:adjustRightInd w:val="0"/>
        <w:rPr>
          <w:rFonts w:ascii="Garamond" w:hAnsi="Garamond"/>
          <w:lang w:val="en-AU"/>
        </w:rPr>
      </w:pPr>
    </w:p>
    <w:p w:rsidR="0033696A" w:rsidRPr="0033696A" w:rsidRDefault="0033696A" w:rsidP="0033696A">
      <w:pPr>
        <w:keepNext/>
        <w:rPr>
          <w:rFonts w:ascii="Garamond" w:hAnsi="Garamond"/>
          <w:i/>
          <w:lang w:val="en-AU"/>
        </w:rPr>
      </w:pPr>
      <w:r w:rsidRPr="0033696A">
        <w:rPr>
          <w:rFonts w:ascii="Garamond" w:hAnsi="Garamond"/>
          <w:i/>
          <w:lang w:val="en-AU"/>
        </w:rPr>
        <w:t>Non–Health Care Facility Cardiovascular Medication Errors in the United States</w:t>
      </w:r>
    </w:p>
    <w:p w:rsidR="0033696A" w:rsidRDefault="0033696A" w:rsidP="0033696A">
      <w:pPr>
        <w:keepNext/>
        <w:rPr>
          <w:rFonts w:ascii="Garamond" w:hAnsi="Garamond"/>
          <w:lang w:val="en-AU"/>
        </w:rPr>
      </w:pPr>
      <w:r w:rsidRPr="0033696A">
        <w:rPr>
          <w:rFonts w:ascii="Garamond" w:hAnsi="Garamond"/>
          <w:lang w:val="en-AU"/>
        </w:rPr>
        <w:t>Kamboj AK, Spiller HA, Casavant MJ, Hodges NL, Chounthirath T, Smith GA</w:t>
      </w:r>
    </w:p>
    <w:p w:rsidR="0033696A" w:rsidRPr="00C3014C" w:rsidRDefault="0033696A" w:rsidP="0033696A">
      <w:pPr>
        <w:keepNext/>
        <w:rPr>
          <w:rFonts w:ascii="Garamond" w:hAnsi="Garamond"/>
          <w:lang w:val="en-AU"/>
        </w:rPr>
      </w:pPr>
      <w:proofErr w:type="gramStart"/>
      <w:r w:rsidRPr="0033696A">
        <w:rPr>
          <w:rFonts w:ascii="Garamond" w:hAnsi="Garamond"/>
          <w:lang w:val="en-AU"/>
        </w:rPr>
        <w:t>Annals of Pharmacotherapy.</w:t>
      </w:r>
      <w:proofErr w:type="gramEnd"/>
      <w:r w:rsidRPr="0033696A">
        <w:rPr>
          <w:rFonts w:ascii="Garamond" w:hAnsi="Garamond"/>
          <w:lang w:val="en-AU"/>
        </w:rPr>
        <w:t xml:space="preserve"> 2017</w:t>
      </w:r>
      <w:proofErr w:type="gramStart"/>
      <w:r w:rsidRPr="0033696A">
        <w:rPr>
          <w:rFonts w:ascii="Garamond" w:hAnsi="Garamond"/>
          <w:lang w:val="en-AU"/>
        </w:rPr>
        <w:t>;51</w:t>
      </w:r>
      <w:proofErr w:type="gramEnd"/>
      <w:r w:rsidRPr="0033696A">
        <w:rPr>
          <w:rFonts w:ascii="Garamond" w:hAnsi="Garamond"/>
          <w:lang w:val="en-AU"/>
        </w:rPr>
        <w:t>(10):825-33.</w:t>
      </w:r>
    </w:p>
    <w:tbl>
      <w:tblPr>
        <w:tblStyle w:val="TableGrid"/>
        <w:tblW w:w="0" w:type="auto"/>
        <w:tblInd w:w="288" w:type="dxa"/>
        <w:tblLayout w:type="fixed"/>
        <w:tblLook w:val="01E0" w:firstRow="1" w:lastRow="1" w:firstColumn="1" w:lastColumn="1" w:noHBand="0" w:noVBand="0"/>
      </w:tblPr>
      <w:tblGrid>
        <w:gridCol w:w="1080"/>
        <w:gridCol w:w="8280"/>
      </w:tblGrid>
      <w:tr w:rsidR="0033696A"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Style w:val="Hyperlink"/>
                <w:rFonts w:ascii="Garamond" w:hAnsi="Garamond"/>
                <w:color w:val="auto"/>
                <w:u w:val="none"/>
                <w:lang w:val="en-AU"/>
              </w:rPr>
            </w:pPr>
            <w:hyperlink r:id="rId24" w:history="1">
              <w:r w:rsidRPr="001B0011">
                <w:rPr>
                  <w:rStyle w:val="Hyperlink"/>
                  <w:rFonts w:ascii="Garamond" w:hAnsi="Garamond"/>
                  <w:lang w:val="en-AU"/>
                </w:rPr>
                <w:t>http://dx.doi.org/10.1177/1060028017714271</w:t>
              </w:r>
            </w:hyperlink>
          </w:p>
        </w:tc>
      </w:tr>
      <w:tr w:rsidR="0033696A"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3696A" w:rsidRPr="00A92DEC" w:rsidRDefault="0033696A" w:rsidP="002752AE">
            <w:pPr>
              <w:rPr>
                <w:rFonts w:ascii="Garamond" w:hAnsi="Garamond"/>
                <w:lang w:val="en-AU"/>
              </w:rPr>
            </w:pPr>
            <w:r>
              <w:rPr>
                <w:rFonts w:ascii="Garamond" w:hAnsi="Garamond"/>
                <w:lang w:val="en-AU"/>
              </w:rPr>
              <w:t>Medications errors are not uncommon. This study looked at medication errors involving cardiovascular medications that occurred in the community (that is, not in healthcare facilities). The study used information for 2000–2012 from poison control centre</w:t>
            </w:r>
            <w:r w:rsidRPr="0033696A">
              <w:rPr>
                <w:rFonts w:ascii="Garamond" w:hAnsi="Garamond"/>
                <w:lang w:val="en-AU"/>
              </w:rPr>
              <w:t>s in the United States</w:t>
            </w:r>
            <w:r>
              <w:rPr>
                <w:rFonts w:ascii="Garamond" w:hAnsi="Garamond"/>
                <w:lang w:val="en-AU"/>
              </w:rPr>
              <w:t xml:space="preserve"> as recorded in </w:t>
            </w:r>
            <w:r w:rsidRPr="0033696A">
              <w:rPr>
                <w:rFonts w:ascii="Garamond" w:hAnsi="Garamond"/>
                <w:lang w:val="en-AU"/>
              </w:rPr>
              <w:t>the National Poison Data System database</w:t>
            </w:r>
            <w:r>
              <w:rPr>
                <w:rFonts w:ascii="Garamond" w:hAnsi="Garamond"/>
                <w:lang w:val="en-AU"/>
              </w:rPr>
              <w:t xml:space="preserve">. </w:t>
            </w:r>
            <w:r w:rsidRPr="0033696A">
              <w:rPr>
                <w:rFonts w:ascii="Garamond" w:hAnsi="Garamond"/>
                <w:lang w:val="en-AU"/>
              </w:rPr>
              <w:t>278</w:t>
            </w:r>
            <w:r w:rsidRPr="0033696A">
              <w:rPr>
                <w:lang w:val="en-AU"/>
              </w:rPr>
              <w:t> </w:t>
            </w:r>
            <w:r w:rsidRPr="0033696A">
              <w:rPr>
                <w:rFonts w:ascii="Garamond" w:hAnsi="Garamond"/>
                <w:lang w:val="en-AU"/>
              </w:rPr>
              <w:t xml:space="preserve">444 medication errors associated with cardiovascular drugs </w:t>
            </w:r>
            <w:r>
              <w:rPr>
                <w:rFonts w:ascii="Garamond" w:hAnsi="Garamond"/>
                <w:lang w:val="en-AU"/>
              </w:rPr>
              <w:t xml:space="preserve">were </w:t>
            </w:r>
            <w:r w:rsidRPr="0033696A">
              <w:rPr>
                <w:rFonts w:ascii="Garamond" w:hAnsi="Garamond"/>
                <w:lang w:val="en-AU"/>
              </w:rPr>
              <w:t>reported, averaging 21</w:t>
            </w:r>
            <w:r w:rsidRPr="0033696A">
              <w:rPr>
                <w:lang w:val="en-AU"/>
              </w:rPr>
              <w:t> </w:t>
            </w:r>
            <w:r w:rsidRPr="0033696A">
              <w:rPr>
                <w:rFonts w:ascii="Garamond" w:hAnsi="Garamond"/>
                <w:lang w:val="en-AU"/>
              </w:rPr>
              <w:t>419 annually. The overall rate of cardiovascular medication errors per 100</w:t>
            </w:r>
            <w:r w:rsidRPr="0033696A">
              <w:rPr>
                <w:lang w:val="en-AU"/>
              </w:rPr>
              <w:t> </w:t>
            </w:r>
            <w:r w:rsidRPr="0033696A">
              <w:rPr>
                <w:rFonts w:ascii="Garamond" w:hAnsi="Garamond"/>
                <w:lang w:val="en-AU"/>
              </w:rPr>
              <w:t xml:space="preserve">000 population increased 104.6% from 2000 to 2012 and the highest rates were among older adults. Most cases (83.6%) did not require </w:t>
            </w:r>
            <w:r>
              <w:rPr>
                <w:rFonts w:ascii="Garamond" w:hAnsi="Garamond"/>
                <w:lang w:val="en-AU"/>
              </w:rPr>
              <w:t xml:space="preserve">medical </w:t>
            </w:r>
            <w:r w:rsidRPr="0033696A">
              <w:rPr>
                <w:rFonts w:ascii="Garamond" w:hAnsi="Garamond"/>
                <w:lang w:val="en-AU"/>
              </w:rPr>
              <w:t>treatment</w:t>
            </w:r>
            <w:r>
              <w:rPr>
                <w:rFonts w:ascii="Garamond" w:hAnsi="Garamond"/>
                <w:lang w:val="en-AU"/>
              </w:rPr>
              <w:t>, but s</w:t>
            </w:r>
            <w:r w:rsidRPr="0033696A">
              <w:rPr>
                <w:rFonts w:ascii="Garamond" w:hAnsi="Garamond"/>
                <w:lang w:val="en-AU"/>
              </w:rPr>
              <w:t>erious medical outcomes were reported in 4.0% of exposures. The cardiovascular drugs most commonly implicated in medication errors were β-blockers (28.2%), calcium antagonists (17.7%), and angiotensin-converting enzyme inhibitors (15.9%). Most of the 114 deaths were associated with cardiac glycosides (47.4%) or calcium antagonists (29.8%). Most medication errors involved taking or being given a medication twice (52.6%). The number and rate of cardiovascular medication errors increased steadily from 2000 to 2012, with the highest error rates among older adults.</w:t>
            </w:r>
          </w:p>
        </w:tc>
      </w:tr>
    </w:tbl>
    <w:p w:rsidR="0033696A" w:rsidRDefault="0033696A" w:rsidP="0033696A">
      <w:pPr>
        <w:keepLines/>
        <w:autoSpaceDE w:val="0"/>
        <w:autoSpaceDN w:val="0"/>
        <w:adjustRightInd w:val="0"/>
        <w:rPr>
          <w:rFonts w:ascii="Garamond" w:hAnsi="Garamond"/>
          <w:lang w:val="en-AU"/>
        </w:rPr>
      </w:pPr>
    </w:p>
    <w:p w:rsidR="00433EB4" w:rsidRDefault="00433EB4" w:rsidP="00FA5481">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w:t>
      </w:r>
      <w:r>
        <w:rPr>
          <w:rFonts w:ascii="Garamond" w:hAnsi="Garamond"/>
          <w:lang w:val="en-AU"/>
        </w:rPr>
        <w:t>medication safety</w:t>
      </w:r>
      <w:r>
        <w:rPr>
          <w:rFonts w:ascii="Garamond" w:hAnsi="Garamond"/>
          <w:lang w:val="en-AU"/>
        </w:rPr>
        <w:t>,</w:t>
      </w:r>
      <w:r>
        <w:rPr>
          <w:rFonts w:ascii="Garamond" w:hAnsi="Garamond"/>
          <w:lang w:val="en-AU"/>
        </w:rPr>
        <w:t xml:space="preserve"> see </w:t>
      </w:r>
      <w:hyperlink r:id="rId25" w:history="1">
        <w:r w:rsidRPr="001B0011">
          <w:rPr>
            <w:rStyle w:val="Hyperlink"/>
            <w:rFonts w:ascii="Garamond" w:hAnsi="Garamond"/>
            <w:lang w:val="en-AU"/>
          </w:rPr>
          <w:t>https://www.safetyandquality.gov.au/our-work/medication-safety/</w:t>
        </w:r>
      </w:hyperlink>
      <w:r>
        <w:rPr>
          <w:rFonts w:ascii="Garamond" w:hAnsi="Garamond"/>
          <w:lang w:val="en-AU"/>
        </w:rPr>
        <w:t xml:space="preserve"> </w:t>
      </w:r>
    </w:p>
    <w:p w:rsidR="00433EB4" w:rsidRDefault="00433EB4" w:rsidP="00FA5481">
      <w:pPr>
        <w:keepLines/>
        <w:autoSpaceDE w:val="0"/>
        <w:autoSpaceDN w:val="0"/>
        <w:adjustRightInd w:val="0"/>
        <w:rPr>
          <w:rFonts w:ascii="Garamond" w:hAnsi="Garamond"/>
          <w:lang w:val="en-AU"/>
        </w:rPr>
      </w:pPr>
    </w:p>
    <w:p w:rsidR="0033696A" w:rsidRPr="00433EB4" w:rsidRDefault="0033696A" w:rsidP="0033696A">
      <w:pPr>
        <w:keepNext/>
        <w:rPr>
          <w:rFonts w:ascii="Garamond" w:hAnsi="Garamond"/>
          <w:i/>
          <w:lang w:val="en-AU"/>
        </w:rPr>
      </w:pPr>
      <w:r w:rsidRPr="00433EB4">
        <w:rPr>
          <w:rFonts w:ascii="Garamond" w:hAnsi="Garamond"/>
          <w:i/>
          <w:lang w:val="en-AU"/>
        </w:rPr>
        <w:lastRenderedPageBreak/>
        <w:t xml:space="preserve">A Comparison of Error Rates </w:t>
      </w:r>
      <w:proofErr w:type="gramStart"/>
      <w:r w:rsidRPr="00433EB4">
        <w:rPr>
          <w:rFonts w:ascii="Garamond" w:hAnsi="Garamond"/>
          <w:i/>
          <w:lang w:val="en-AU"/>
        </w:rPr>
        <w:t>Between</w:t>
      </w:r>
      <w:proofErr w:type="gramEnd"/>
      <w:r w:rsidRPr="00433EB4">
        <w:rPr>
          <w:rFonts w:ascii="Garamond" w:hAnsi="Garamond"/>
          <w:i/>
          <w:lang w:val="en-AU"/>
        </w:rPr>
        <w:t xml:space="preserve"> Intravenous Push Methods: A Prospective, Multisite, Observational Study</w:t>
      </w:r>
    </w:p>
    <w:p w:rsidR="0033696A" w:rsidRDefault="0033696A" w:rsidP="0033696A">
      <w:pPr>
        <w:keepNext/>
        <w:rPr>
          <w:rFonts w:ascii="Garamond" w:hAnsi="Garamond"/>
          <w:lang w:val="en-AU"/>
        </w:rPr>
      </w:pPr>
      <w:r w:rsidRPr="00433EB4">
        <w:rPr>
          <w:rFonts w:ascii="Garamond" w:hAnsi="Garamond"/>
          <w:lang w:val="en-AU"/>
        </w:rPr>
        <w:t>Hertig JB, Degnan DD, Scott CR, Lenz JR, Li X, Anderson CM</w:t>
      </w:r>
    </w:p>
    <w:p w:rsidR="0033696A" w:rsidRPr="00C3014C" w:rsidRDefault="0033696A" w:rsidP="0033696A">
      <w:pPr>
        <w:keepNext/>
        <w:rPr>
          <w:rFonts w:ascii="Garamond" w:hAnsi="Garamond"/>
          <w:lang w:val="en-AU"/>
        </w:rPr>
      </w:pPr>
      <w:proofErr w:type="gramStart"/>
      <w:r w:rsidRPr="00433EB4">
        <w:rPr>
          <w:rFonts w:ascii="Garamond" w:hAnsi="Garamond"/>
          <w:lang w:val="en-AU"/>
        </w:rPr>
        <w:t>Journal of Patient Safety.</w:t>
      </w:r>
      <w:proofErr w:type="gramEnd"/>
      <w:r w:rsidRPr="00433EB4">
        <w:rPr>
          <w:rFonts w:ascii="Garamond" w:hAnsi="Garamond"/>
          <w:lang w:val="en-AU"/>
        </w:rPr>
        <w:t xml:space="preserve"> </w:t>
      </w:r>
      <w:proofErr w:type="gramStart"/>
      <w:r w:rsidRPr="00433EB4">
        <w:rPr>
          <w:rFonts w:ascii="Garamond" w:hAnsi="Garamond"/>
          <w:lang w:val="en-AU"/>
        </w:rPr>
        <w:t>2017</w:t>
      </w:r>
      <w:r>
        <w:rPr>
          <w:rFonts w:ascii="Garamond" w:hAnsi="Garamond"/>
          <w:lang w:val="en-AU"/>
        </w:rPr>
        <w:t xml:space="preserve"> [epub]</w:t>
      </w:r>
      <w:r w:rsidRPr="00433EB4">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3696A"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Style w:val="Hyperlink"/>
                <w:rFonts w:ascii="Garamond" w:hAnsi="Garamond"/>
                <w:color w:val="auto"/>
                <w:u w:val="none"/>
                <w:lang w:val="en-AU"/>
              </w:rPr>
            </w:pPr>
            <w:hyperlink r:id="rId26" w:history="1">
              <w:r w:rsidRPr="001B0011">
                <w:rPr>
                  <w:rStyle w:val="Hyperlink"/>
                  <w:rFonts w:ascii="Garamond" w:hAnsi="Garamond"/>
                  <w:lang w:val="en-AU"/>
                </w:rPr>
                <w:t>http://dx.doi.org/10.1097/PTS.0000000000000419</w:t>
              </w:r>
            </w:hyperlink>
          </w:p>
        </w:tc>
      </w:tr>
      <w:tr w:rsidR="0033696A" w:rsidRPr="00C3014C" w:rsidTr="002752AE">
        <w:tc>
          <w:tcPr>
            <w:tcW w:w="1080" w:type="dxa"/>
            <w:tcBorders>
              <w:top w:val="single" w:sz="4" w:space="0" w:color="auto"/>
              <w:left w:val="single" w:sz="4" w:space="0" w:color="auto"/>
              <w:bottom w:val="single" w:sz="4" w:space="0" w:color="auto"/>
              <w:right w:val="single" w:sz="4" w:space="0" w:color="auto"/>
            </w:tcBorders>
            <w:vAlign w:val="center"/>
          </w:tcPr>
          <w:p w:rsidR="0033696A" w:rsidRPr="00C3014C" w:rsidRDefault="0033696A" w:rsidP="002752AE">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3696A" w:rsidRPr="00A92DEC" w:rsidRDefault="0033696A" w:rsidP="002752AE">
            <w:pPr>
              <w:rPr>
                <w:rFonts w:ascii="Garamond" w:hAnsi="Garamond"/>
                <w:lang w:val="en-AU"/>
              </w:rPr>
            </w:pPr>
            <w:r>
              <w:rPr>
                <w:rFonts w:ascii="Garamond" w:hAnsi="Garamond"/>
                <w:lang w:val="en-AU"/>
              </w:rPr>
              <w:t xml:space="preserve">In the work health and safety (WHS) space there is hierarchy of responses to risks that sees elimination of risk as the preferred option and then descends through substitution, isolation, engineering to administrative actions and personal protective equipment. This paper looks at an engineering response to a medication administration issue. Reporting on an </w:t>
            </w:r>
            <w:r w:rsidRPr="00433EB4">
              <w:rPr>
                <w:rFonts w:ascii="Garamond" w:hAnsi="Garamond"/>
                <w:lang w:val="en-AU"/>
              </w:rPr>
              <w:t>industry-funded</w:t>
            </w:r>
            <w:r>
              <w:rPr>
                <w:rFonts w:ascii="Garamond" w:hAnsi="Garamond"/>
                <w:lang w:val="en-AU"/>
              </w:rPr>
              <w:t xml:space="preserve"> study that sought to </w:t>
            </w:r>
            <w:r w:rsidRPr="00433EB4">
              <w:rPr>
                <w:rFonts w:ascii="Garamond" w:hAnsi="Garamond"/>
                <w:lang w:val="en-AU"/>
              </w:rPr>
              <w:t>compare medication preparation and administration errors between ready-to-administer product and IV push traditional practice, including a cartridge-based syringe system and vials and syringes.</w:t>
            </w:r>
            <w:r>
              <w:rPr>
                <w:rFonts w:ascii="Garamond" w:hAnsi="Garamond"/>
                <w:lang w:val="en-AU"/>
              </w:rPr>
              <w:t xml:space="preserve"> Based on </w:t>
            </w:r>
            <w:r w:rsidRPr="00433EB4">
              <w:rPr>
                <w:rFonts w:ascii="Garamond" w:hAnsi="Garamond"/>
                <w:lang w:val="en-AU"/>
              </w:rPr>
              <w:t xml:space="preserve">329 observations (ready to administer = 102; traditional practice = 227) </w:t>
            </w:r>
            <w:r>
              <w:rPr>
                <w:rFonts w:ascii="Garamond" w:hAnsi="Garamond"/>
                <w:lang w:val="en-AU"/>
              </w:rPr>
              <w:t xml:space="preserve">the study </w:t>
            </w:r>
            <w:r w:rsidRPr="00433EB4">
              <w:rPr>
                <w:rFonts w:ascii="Garamond" w:hAnsi="Garamond"/>
                <w:lang w:val="en-AU"/>
              </w:rPr>
              <w:t>observed 260 errors (ready to administer = 25; traditional practice = 235). The overall observed error rate for ready-to-administer products was 2.5%, and the observed error rate for IV push traditional practice was 10.4%.</w:t>
            </w:r>
          </w:p>
        </w:tc>
      </w:tr>
    </w:tbl>
    <w:p w:rsidR="00360A87" w:rsidRDefault="00360A87" w:rsidP="00A150D0">
      <w:pPr>
        <w:keepLines/>
        <w:autoSpaceDE w:val="0"/>
        <w:autoSpaceDN w:val="0"/>
        <w:adjustRightInd w:val="0"/>
        <w:rPr>
          <w:rFonts w:ascii="Garamond" w:hAnsi="Garamond"/>
          <w:lang w:val="en-AU"/>
        </w:rPr>
      </w:pPr>
    </w:p>
    <w:p w:rsidR="00915CB2" w:rsidRPr="00C3014C" w:rsidRDefault="00915CB2" w:rsidP="00915CB2">
      <w:pPr>
        <w:keepNext/>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C3014C" w:rsidRDefault="007763BB" w:rsidP="00DD2274">
            <w:pPr>
              <w:keepNext/>
              <w:rPr>
                <w:rFonts w:ascii="Garamond" w:hAnsi="Garamond"/>
                <w:lang w:val="en-AU"/>
              </w:rPr>
            </w:pPr>
            <w:hyperlink r:id="rId27" w:history="1">
              <w:r w:rsidR="00915CB2" w:rsidRPr="00C3014C">
                <w:rPr>
                  <w:rStyle w:val="Hyperlink"/>
                  <w:rFonts w:ascii="Garamond" w:hAnsi="Garamond"/>
                  <w:lang w:val="en-AU"/>
                </w:rPr>
                <w:t>https://qualitysafety.bmj.com/content/early/recent</w:t>
              </w:r>
            </w:hyperlink>
          </w:p>
        </w:tc>
      </w:tr>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C3014C" w:rsidRDefault="00915CB2" w:rsidP="00DD2274">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1D3D60" w:rsidRDefault="009867B5" w:rsidP="009867B5">
            <w:pPr>
              <w:pStyle w:val="ListParagraph"/>
              <w:numPr>
                <w:ilvl w:val="0"/>
                <w:numId w:val="14"/>
              </w:numPr>
              <w:rPr>
                <w:rFonts w:ascii="Garamond" w:hAnsi="Garamond"/>
                <w:lang w:val="en-AU"/>
              </w:rPr>
            </w:pPr>
            <w:r w:rsidRPr="009867B5">
              <w:rPr>
                <w:rFonts w:ascii="Garamond" w:hAnsi="Garamond"/>
                <w:lang w:val="en-AU"/>
              </w:rPr>
              <w:t xml:space="preserve">Reorganisation of </w:t>
            </w:r>
            <w:r w:rsidRPr="009867B5">
              <w:rPr>
                <w:rFonts w:ascii="Garamond" w:hAnsi="Garamond"/>
                <w:b/>
                <w:lang w:val="en-AU"/>
              </w:rPr>
              <w:t>stroke care</w:t>
            </w:r>
            <w:r w:rsidRPr="009867B5">
              <w:rPr>
                <w:rFonts w:ascii="Garamond" w:hAnsi="Garamond"/>
                <w:lang w:val="en-AU"/>
              </w:rPr>
              <w:t xml:space="preserve"> and impact on </w:t>
            </w:r>
            <w:r w:rsidRPr="009867B5">
              <w:rPr>
                <w:rFonts w:ascii="Garamond" w:hAnsi="Garamond"/>
                <w:b/>
                <w:lang w:val="en-AU"/>
              </w:rPr>
              <w:t>mortality</w:t>
            </w:r>
            <w:r w:rsidRPr="009867B5">
              <w:rPr>
                <w:rFonts w:ascii="Garamond" w:hAnsi="Garamond"/>
                <w:lang w:val="en-AU"/>
              </w:rPr>
              <w:t xml:space="preserve"> in patients admitted during weekends: a national descriptive study based on administrative data</w:t>
            </w:r>
            <w:r>
              <w:rPr>
                <w:rFonts w:ascii="Garamond" w:hAnsi="Garamond"/>
                <w:lang w:val="en-AU"/>
              </w:rPr>
              <w:t xml:space="preserve"> (</w:t>
            </w:r>
            <w:r w:rsidRPr="009867B5">
              <w:rPr>
                <w:rFonts w:ascii="Garamond" w:hAnsi="Garamond"/>
                <w:lang w:val="en-AU"/>
              </w:rPr>
              <w:t>Violeta Balinskaite, Alex Bottle, Louise Johanna Shaw, Azeem Majeed, Paul Aylin</w:t>
            </w:r>
            <w:r>
              <w:rPr>
                <w:rFonts w:ascii="Garamond" w:hAnsi="Garamond"/>
                <w:lang w:val="en-AU"/>
              </w:rPr>
              <w:t>)</w:t>
            </w:r>
          </w:p>
          <w:p w:rsidR="00CD4FE6" w:rsidRPr="00C3014C" w:rsidRDefault="00CD4FE6" w:rsidP="00CD4FE6">
            <w:pPr>
              <w:pStyle w:val="ListParagraph"/>
              <w:numPr>
                <w:ilvl w:val="0"/>
                <w:numId w:val="14"/>
              </w:numPr>
              <w:rPr>
                <w:rFonts w:ascii="Garamond" w:hAnsi="Garamond"/>
                <w:lang w:val="en-AU"/>
              </w:rPr>
            </w:pPr>
            <w:r w:rsidRPr="00CD4FE6">
              <w:rPr>
                <w:rFonts w:ascii="Garamond" w:hAnsi="Garamond"/>
                <w:lang w:val="en-AU"/>
              </w:rPr>
              <w:t xml:space="preserve">Value of small sample sizes in rapid-cycle quality improvement projects 2: assessing </w:t>
            </w:r>
            <w:r w:rsidRPr="00CD4FE6">
              <w:rPr>
                <w:rFonts w:ascii="Garamond" w:hAnsi="Garamond"/>
                <w:b/>
                <w:lang w:val="en-AU"/>
              </w:rPr>
              <w:t>fidelity of implementation for improvement interventions</w:t>
            </w:r>
            <w:r w:rsidRPr="00CD4FE6">
              <w:rPr>
                <w:rFonts w:ascii="Garamond" w:hAnsi="Garamond"/>
                <w:lang w:val="en-AU"/>
              </w:rPr>
              <w:t xml:space="preserve"> </w:t>
            </w:r>
            <w:r>
              <w:rPr>
                <w:rFonts w:ascii="Garamond" w:hAnsi="Garamond"/>
                <w:lang w:val="en-AU"/>
              </w:rPr>
              <w:t>(</w:t>
            </w:r>
            <w:r w:rsidRPr="00CD4FE6">
              <w:rPr>
                <w:rFonts w:ascii="Garamond" w:hAnsi="Garamond"/>
                <w:lang w:val="en-AU"/>
              </w:rPr>
              <w:t>Edward Etchells, Thomas Woodcock</w:t>
            </w:r>
            <w:r>
              <w:rPr>
                <w:rFonts w:ascii="Garamond" w:hAnsi="Garamond"/>
                <w:lang w:val="en-AU"/>
              </w:rPr>
              <w:t>)</w:t>
            </w:r>
          </w:p>
        </w:tc>
      </w:tr>
    </w:tbl>
    <w:p w:rsidR="00360A87" w:rsidRDefault="00360A87">
      <w:pPr>
        <w:rPr>
          <w:rFonts w:ascii="Garamond" w:hAnsi="Garamond"/>
          <w:i/>
          <w:lang w:val="en-AU"/>
        </w:rPr>
      </w:pPr>
    </w:p>
    <w:p w:rsidR="007229BA" w:rsidRPr="00C3014C" w:rsidRDefault="007229BA"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Default="00177F9F" w:rsidP="00177F9F">
      <w:pPr>
        <w:rPr>
          <w:rFonts w:ascii="Garamond" w:hAnsi="Garamond"/>
          <w:i/>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p w:rsidR="00177F9F" w:rsidRPr="00C3014C" w:rsidRDefault="007763BB" w:rsidP="00177F9F">
      <w:pPr>
        <w:keepNext/>
        <w:keepLines/>
        <w:rPr>
          <w:rFonts w:ascii="Garamond" w:hAnsi="Garamond"/>
          <w:u w:val="single"/>
          <w:lang w:val="en-AU"/>
        </w:rPr>
      </w:pPr>
      <w:hyperlink r:id="rId28" w:history="1">
        <w:r w:rsidR="00177F9F" w:rsidRPr="00C3014C">
          <w:rPr>
            <w:rStyle w:val="Hyperlink"/>
            <w:rFonts w:ascii="Garamond" w:hAnsi="Garamond"/>
            <w:lang w:val="en-AU"/>
          </w:rPr>
          <w:t>https://www.nice.org.uk</w:t>
        </w:r>
      </w:hyperlink>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FA5481" w:rsidRDefault="004A2A17" w:rsidP="004A2A17">
      <w:pPr>
        <w:pStyle w:val="ListParagraph"/>
        <w:keepNext/>
        <w:keepLines/>
        <w:numPr>
          <w:ilvl w:val="0"/>
          <w:numId w:val="14"/>
        </w:numPr>
        <w:rPr>
          <w:rFonts w:ascii="Garamond" w:hAnsi="Garamond"/>
          <w:lang w:val="en-AU"/>
        </w:rPr>
      </w:pPr>
      <w:r>
        <w:rPr>
          <w:rFonts w:ascii="Garamond" w:hAnsi="Garamond"/>
          <w:lang w:val="en-AU"/>
        </w:rPr>
        <w:t xml:space="preserve">NICE Guideline NG79 </w:t>
      </w:r>
      <w:r w:rsidRPr="004A2A17">
        <w:rPr>
          <w:rFonts w:ascii="Garamond" w:hAnsi="Garamond"/>
          <w:b/>
          <w:i/>
          <w:lang w:val="en-AU"/>
        </w:rPr>
        <w:t>Sinusitis</w:t>
      </w:r>
      <w:r w:rsidRPr="004A2A17">
        <w:rPr>
          <w:rFonts w:ascii="Garamond" w:hAnsi="Garamond"/>
          <w:i/>
          <w:lang w:val="en-AU"/>
        </w:rPr>
        <w:t xml:space="preserve"> (acute): </w:t>
      </w:r>
      <w:r w:rsidRPr="004A2A17">
        <w:rPr>
          <w:rFonts w:ascii="Garamond" w:hAnsi="Garamond"/>
          <w:b/>
          <w:i/>
          <w:lang w:val="en-AU"/>
        </w:rPr>
        <w:t>antimicrobial</w:t>
      </w:r>
      <w:r w:rsidRPr="004A2A17">
        <w:rPr>
          <w:rFonts w:ascii="Garamond" w:hAnsi="Garamond"/>
          <w:i/>
          <w:lang w:val="en-AU"/>
        </w:rPr>
        <w:t xml:space="preserve"> prescribing</w:t>
      </w:r>
      <w:r>
        <w:rPr>
          <w:rFonts w:ascii="Garamond" w:hAnsi="Garamond"/>
          <w:lang w:val="en-AU"/>
        </w:rPr>
        <w:t xml:space="preserve"> </w:t>
      </w:r>
      <w:hyperlink r:id="rId29" w:history="1">
        <w:r w:rsidRPr="006A4A72">
          <w:rPr>
            <w:rStyle w:val="Hyperlink"/>
            <w:rFonts w:ascii="Garamond" w:hAnsi="Garamond"/>
            <w:lang w:val="en-AU"/>
          </w:rPr>
          <w:t>https://www.nice.org.uk/guidance/ng79</w:t>
        </w:r>
      </w:hyperlink>
    </w:p>
    <w:p w:rsidR="004A2A17" w:rsidRDefault="004A2A17" w:rsidP="004A2A17">
      <w:pPr>
        <w:pStyle w:val="ListParagraph"/>
        <w:keepNext/>
        <w:keepLines/>
        <w:numPr>
          <w:ilvl w:val="0"/>
          <w:numId w:val="14"/>
        </w:numPr>
        <w:rPr>
          <w:rFonts w:ascii="Garamond" w:hAnsi="Garamond"/>
          <w:lang w:val="en-AU"/>
        </w:rPr>
      </w:pPr>
      <w:r>
        <w:rPr>
          <w:rFonts w:ascii="Garamond" w:hAnsi="Garamond"/>
          <w:lang w:val="en-AU"/>
        </w:rPr>
        <w:t xml:space="preserve">NICE Guideline NG81 </w:t>
      </w:r>
      <w:r w:rsidRPr="004A2A17">
        <w:rPr>
          <w:rFonts w:ascii="Garamond" w:hAnsi="Garamond"/>
          <w:b/>
          <w:i/>
          <w:lang w:val="en-AU"/>
        </w:rPr>
        <w:t>Glaucoma</w:t>
      </w:r>
      <w:r w:rsidRPr="004A2A17">
        <w:rPr>
          <w:rFonts w:ascii="Garamond" w:hAnsi="Garamond"/>
          <w:i/>
          <w:lang w:val="en-AU"/>
        </w:rPr>
        <w:t>: diagnosis and management</w:t>
      </w:r>
      <w:r>
        <w:rPr>
          <w:rFonts w:ascii="Garamond" w:hAnsi="Garamond"/>
          <w:lang w:val="en-AU"/>
        </w:rPr>
        <w:t xml:space="preserve"> </w:t>
      </w:r>
      <w:hyperlink r:id="rId30" w:history="1">
        <w:r w:rsidRPr="006A4A72">
          <w:rPr>
            <w:rStyle w:val="Hyperlink"/>
            <w:rFonts w:ascii="Garamond" w:hAnsi="Garamond"/>
            <w:lang w:val="en-AU"/>
          </w:rPr>
          <w:t>https://www.nice.org.uk/guidance/ng81</w:t>
        </w:r>
      </w:hyperlink>
    </w:p>
    <w:p w:rsidR="004A2A17" w:rsidRPr="00CD4FE6" w:rsidRDefault="004A2A17" w:rsidP="004A2A17">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NICE Quality Standard QS7 </w:t>
      </w:r>
      <w:r w:rsidRPr="004A2A17">
        <w:rPr>
          <w:rFonts w:ascii="Garamond" w:hAnsi="Garamond"/>
          <w:b/>
          <w:i/>
          <w:lang w:val="en-AU"/>
        </w:rPr>
        <w:t>Glaucoma</w:t>
      </w:r>
      <w:r w:rsidRPr="004A2A17">
        <w:rPr>
          <w:rFonts w:ascii="Garamond" w:hAnsi="Garamond"/>
          <w:i/>
          <w:lang w:val="en-AU"/>
        </w:rPr>
        <w:t xml:space="preserve"> in adults</w:t>
      </w:r>
      <w:r>
        <w:rPr>
          <w:rFonts w:ascii="Garamond" w:hAnsi="Garamond"/>
          <w:lang w:val="en-AU"/>
        </w:rPr>
        <w:t xml:space="preserve"> </w:t>
      </w:r>
      <w:hyperlink r:id="rId31" w:history="1">
        <w:r w:rsidRPr="006A4A72">
          <w:rPr>
            <w:rStyle w:val="Hyperlink"/>
            <w:rFonts w:ascii="Garamond" w:hAnsi="Garamond"/>
            <w:lang w:val="en-AU"/>
          </w:rPr>
          <w:t>https://www.nice.org.uk/guidance/qs7</w:t>
        </w:r>
      </w:hyperlink>
    </w:p>
    <w:p w:rsidR="00CD4FE6" w:rsidRDefault="00CD4FE6" w:rsidP="00CD4FE6">
      <w:pPr>
        <w:pStyle w:val="ListParagraph"/>
        <w:keepNext/>
        <w:keepLines/>
        <w:numPr>
          <w:ilvl w:val="0"/>
          <w:numId w:val="14"/>
        </w:numPr>
        <w:rPr>
          <w:rFonts w:ascii="Garamond" w:hAnsi="Garamond"/>
          <w:lang w:val="en-AU"/>
        </w:rPr>
      </w:pPr>
      <w:r>
        <w:rPr>
          <w:rFonts w:ascii="Garamond" w:hAnsi="Garamond"/>
          <w:lang w:val="en-AU"/>
        </w:rPr>
        <w:t xml:space="preserve">Clinical Guideline CG71 </w:t>
      </w:r>
      <w:r w:rsidRPr="00CD4FE6">
        <w:rPr>
          <w:rFonts w:ascii="Garamond" w:hAnsi="Garamond"/>
          <w:i/>
          <w:lang w:val="en-AU"/>
        </w:rPr>
        <w:t xml:space="preserve">Familial </w:t>
      </w:r>
      <w:r w:rsidRPr="00CD4FE6">
        <w:rPr>
          <w:rFonts w:ascii="Garamond" w:hAnsi="Garamond"/>
          <w:b/>
          <w:i/>
          <w:lang w:val="en-AU"/>
        </w:rPr>
        <w:t>hypercholesterolaemia</w:t>
      </w:r>
      <w:r w:rsidRPr="00CD4FE6">
        <w:rPr>
          <w:rFonts w:ascii="Garamond" w:hAnsi="Garamond"/>
          <w:i/>
          <w:lang w:val="en-AU"/>
        </w:rPr>
        <w:t>: identification and management</w:t>
      </w:r>
      <w:r>
        <w:rPr>
          <w:rFonts w:ascii="Garamond" w:hAnsi="Garamond"/>
          <w:lang w:val="en-AU"/>
        </w:rPr>
        <w:t xml:space="preserve"> </w:t>
      </w:r>
      <w:hyperlink r:id="rId32" w:history="1">
        <w:r w:rsidRPr="001B0011">
          <w:rPr>
            <w:rStyle w:val="Hyperlink"/>
            <w:rFonts w:ascii="Garamond" w:hAnsi="Garamond"/>
            <w:lang w:val="en-AU"/>
          </w:rPr>
          <w:t>https://www.nice.org.uk/guidance/cg71</w:t>
        </w:r>
      </w:hyperlink>
    </w:p>
    <w:p w:rsidR="00FA5481" w:rsidRDefault="00FA5481" w:rsidP="0033696A">
      <w:pPr>
        <w:keepLines/>
        <w:rPr>
          <w:rFonts w:ascii="Garamond" w:hAnsi="Garamond"/>
          <w:i/>
          <w:lang w:val="en-AU"/>
        </w:rPr>
      </w:pPr>
    </w:p>
    <w:p w:rsidR="000F426D" w:rsidRPr="00160029" w:rsidRDefault="000F426D" w:rsidP="000F426D">
      <w:pPr>
        <w:keepNext/>
        <w:keepLines/>
        <w:rPr>
          <w:rFonts w:ascii="Garamond" w:hAnsi="Garamond"/>
          <w:i/>
          <w:lang w:val="en-AU"/>
        </w:rPr>
      </w:pPr>
      <w:r w:rsidRPr="00160029">
        <w:rPr>
          <w:rFonts w:ascii="Garamond" w:hAnsi="Garamond"/>
          <w:i/>
          <w:lang w:val="en-AU"/>
        </w:rPr>
        <w:t>[USA] Effective Health Care Program reports</w:t>
      </w:r>
    </w:p>
    <w:p w:rsidR="000F426D" w:rsidRPr="00160029" w:rsidRDefault="007763BB" w:rsidP="000F426D">
      <w:pPr>
        <w:keepNext/>
        <w:keepLines/>
        <w:rPr>
          <w:rFonts w:ascii="Garamond" w:hAnsi="Garamond"/>
          <w:u w:val="single"/>
          <w:lang w:val="en-AU"/>
        </w:rPr>
      </w:pPr>
      <w:hyperlink r:id="rId33" w:history="1">
        <w:r w:rsidR="000F426D" w:rsidRPr="00D67EE9">
          <w:rPr>
            <w:rStyle w:val="Hyperlink"/>
            <w:rFonts w:ascii="Garamond" w:hAnsi="Garamond"/>
            <w:lang w:val="en-AU"/>
          </w:rPr>
          <w:t>https://effectivehealthcare.ahrq.gov/</w:t>
        </w:r>
      </w:hyperlink>
    </w:p>
    <w:p w:rsidR="000F426D" w:rsidRPr="00160029" w:rsidRDefault="000F426D" w:rsidP="000F426D">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4A2A17" w:rsidRDefault="004A2A17" w:rsidP="004A2A17">
      <w:pPr>
        <w:pStyle w:val="ListParagraph"/>
        <w:keepNext/>
        <w:keepLines/>
        <w:numPr>
          <w:ilvl w:val="0"/>
          <w:numId w:val="14"/>
        </w:numPr>
        <w:rPr>
          <w:rFonts w:ascii="Garamond" w:hAnsi="Garamond"/>
          <w:lang w:val="en-AU"/>
        </w:rPr>
      </w:pPr>
      <w:r w:rsidRPr="004A2A17">
        <w:rPr>
          <w:rFonts w:ascii="Garamond" w:hAnsi="Garamond"/>
          <w:i/>
          <w:lang w:val="en-AU"/>
        </w:rPr>
        <w:t xml:space="preserve">Treatment for Adults With </w:t>
      </w:r>
      <w:r w:rsidRPr="004A2A17">
        <w:rPr>
          <w:rFonts w:ascii="Garamond" w:hAnsi="Garamond"/>
          <w:b/>
          <w:i/>
          <w:lang w:val="en-AU"/>
        </w:rPr>
        <w:t>Schizophrenia</w:t>
      </w:r>
      <w:r>
        <w:rPr>
          <w:rFonts w:ascii="Garamond" w:hAnsi="Garamond"/>
          <w:lang w:val="en-AU"/>
        </w:rPr>
        <w:t xml:space="preserve"> </w:t>
      </w:r>
      <w:hyperlink r:id="rId34" w:history="1">
        <w:r w:rsidRPr="006A4A72">
          <w:rPr>
            <w:rStyle w:val="Hyperlink"/>
            <w:rFonts w:ascii="Garamond" w:hAnsi="Garamond"/>
            <w:lang w:val="en-AU"/>
          </w:rPr>
          <w:t>https://effectivehealthcare.ahrq.gov/topics/schizophrenia-adult/research-2017/</w:t>
        </w:r>
      </w:hyperlink>
    </w:p>
    <w:p w:rsidR="00D30983" w:rsidRDefault="00D30983" w:rsidP="0033696A">
      <w:pPr>
        <w:keepLines/>
        <w:rPr>
          <w:rFonts w:ascii="Garamond" w:hAnsi="Garamond"/>
          <w:i/>
          <w:lang w:val="en-AU"/>
        </w:rPr>
      </w:pPr>
    </w:p>
    <w:p w:rsidR="00000496" w:rsidRPr="007A47A8" w:rsidRDefault="00000496" w:rsidP="00000496">
      <w:pPr>
        <w:keepNext/>
        <w:keepLines/>
        <w:rPr>
          <w:rFonts w:ascii="Garamond" w:hAnsi="Garamond"/>
          <w:i/>
          <w:lang w:val="en-AU"/>
        </w:rPr>
      </w:pPr>
      <w:r w:rsidRPr="007A47A8">
        <w:rPr>
          <w:rFonts w:ascii="Garamond" w:hAnsi="Garamond"/>
          <w:i/>
          <w:lang w:val="en-AU"/>
        </w:rPr>
        <w:lastRenderedPageBreak/>
        <w:t>[UK] National Institute for Health Research</w:t>
      </w:r>
    </w:p>
    <w:p w:rsidR="00000496" w:rsidRPr="007A47A8" w:rsidRDefault="00000496" w:rsidP="00000496">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000496" w:rsidRDefault="00000496" w:rsidP="00000496">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b/>
          <w:lang w:val="en-AU"/>
        </w:rPr>
        <w:t>Multiple illnesses</w:t>
      </w:r>
      <w:r w:rsidRPr="00000496">
        <w:rPr>
          <w:rFonts w:ascii="Garamond" w:hAnsi="Garamond"/>
          <w:lang w:val="en-AU"/>
        </w:rPr>
        <w:t xml:space="preserve"> and </w:t>
      </w:r>
      <w:r w:rsidRPr="00000496">
        <w:rPr>
          <w:rFonts w:ascii="Garamond" w:hAnsi="Garamond"/>
          <w:b/>
          <w:lang w:val="en-AU"/>
        </w:rPr>
        <w:t>end-of-life care</w:t>
      </w:r>
      <w:r w:rsidRPr="00000496">
        <w:rPr>
          <w:rFonts w:ascii="Garamond" w:hAnsi="Garamond"/>
          <w:lang w:val="en-AU"/>
        </w:rPr>
        <w:t xml:space="preserve"> drive high </w:t>
      </w:r>
      <w:r w:rsidRPr="00000496">
        <w:rPr>
          <w:rFonts w:ascii="Garamond" w:hAnsi="Garamond"/>
          <w:b/>
          <w:lang w:val="en-AU"/>
        </w:rPr>
        <w:t>healthcare costs in old age</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Terbinafine is probably first choice oral dr</w:t>
      </w:r>
      <w:r>
        <w:rPr>
          <w:rFonts w:ascii="Garamond" w:hAnsi="Garamond"/>
          <w:lang w:val="en-AU"/>
        </w:rPr>
        <w:t xml:space="preserve">ug for </w:t>
      </w:r>
      <w:r w:rsidRPr="00000496">
        <w:rPr>
          <w:rFonts w:ascii="Garamond" w:hAnsi="Garamond"/>
          <w:b/>
          <w:lang w:val="en-AU"/>
        </w:rPr>
        <w:t>fungal toenail infection</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 xml:space="preserve">Talking therapy may relieve high levels of </w:t>
      </w:r>
      <w:r w:rsidRPr="00000496">
        <w:rPr>
          <w:rFonts w:ascii="Garamond" w:hAnsi="Garamond"/>
          <w:b/>
          <w:lang w:val="en-AU"/>
        </w:rPr>
        <w:t>anxiety</w:t>
      </w:r>
      <w:r>
        <w:rPr>
          <w:rFonts w:ascii="Garamond" w:hAnsi="Garamond"/>
          <w:lang w:val="en-AU"/>
        </w:rPr>
        <w:t xml:space="preserve"> about health conditions</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 xml:space="preserve">Placing wet gauze on </w:t>
      </w:r>
      <w:r w:rsidRPr="00000496">
        <w:rPr>
          <w:rFonts w:ascii="Garamond" w:hAnsi="Garamond"/>
          <w:b/>
          <w:lang w:val="en-AU"/>
        </w:rPr>
        <w:t>babies’</w:t>
      </w:r>
      <w:r w:rsidRPr="00000496">
        <w:rPr>
          <w:rFonts w:ascii="Garamond" w:hAnsi="Garamond"/>
          <w:lang w:val="en-AU"/>
        </w:rPr>
        <w:t xml:space="preserve"> tum</w:t>
      </w:r>
      <w:r>
        <w:rPr>
          <w:rFonts w:ascii="Garamond" w:hAnsi="Garamond"/>
          <w:lang w:val="en-AU"/>
        </w:rPr>
        <w:t xml:space="preserve">mies speeds up </w:t>
      </w:r>
      <w:r w:rsidRPr="00000496">
        <w:rPr>
          <w:rFonts w:ascii="Garamond" w:hAnsi="Garamond"/>
          <w:b/>
          <w:lang w:val="en-AU"/>
        </w:rPr>
        <w:t>urine collection</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Long-term antibiotics likely to redu</w:t>
      </w:r>
      <w:r>
        <w:rPr>
          <w:rFonts w:ascii="Garamond" w:hAnsi="Garamond"/>
          <w:lang w:val="en-AU"/>
        </w:rPr>
        <w:t xml:space="preserve">ce risk of </w:t>
      </w:r>
      <w:r w:rsidRPr="00000496">
        <w:rPr>
          <w:rFonts w:ascii="Garamond" w:hAnsi="Garamond"/>
          <w:b/>
          <w:lang w:val="en-AU"/>
        </w:rPr>
        <w:t>recurrent cellulitis</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 xml:space="preserve">Carefully managed antibiotic use could halve </w:t>
      </w:r>
      <w:r w:rsidRPr="00000496">
        <w:rPr>
          <w:rFonts w:ascii="Garamond" w:hAnsi="Garamond"/>
          <w:b/>
          <w:lang w:val="en-AU"/>
        </w:rPr>
        <w:t>antibiotic-resistant infections</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b/>
          <w:lang w:val="en-AU"/>
        </w:rPr>
        <w:t>Second-hand smoke</w:t>
      </w:r>
      <w:r w:rsidRPr="00000496">
        <w:rPr>
          <w:rFonts w:ascii="Garamond" w:hAnsi="Garamond"/>
          <w:lang w:val="en-AU"/>
        </w:rPr>
        <w:t xml:space="preserve"> levels in Scottish prisons equ</w:t>
      </w:r>
      <w:r>
        <w:rPr>
          <w:rFonts w:ascii="Garamond" w:hAnsi="Garamond"/>
          <w:lang w:val="en-AU"/>
        </w:rPr>
        <w:t>ivalent to living with a smoker</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 xml:space="preserve">Wider </w:t>
      </w:r>
      <w:r w:rsidRPr="00000496">
        <w:rPr>
          <w:rFonts w:ascii="Garamond" w:hAnsi="Garamond"/>
          <w:b/>
          <w:lang w:val="en-AU"/>
        </w:rPr>
        <w:t>stakeholder involvement</w:t>
      </w:r>
      <w:r w:rsidRPr="00000496">
        <w:rPr>
          <w:rFonts w:ascii="Garamond" w:hAnsi="Garamond"/>
          <w:lang w:val="en-AU"/>
        </w:rPr>
        <w:t xml:space="preserve"> could overcome resistance to </w:t>
      </w:r>
      <w:r>
        <w:rPr>
          <w:rFonts w:ascii="Garamond" w:hAnsi="Garamond"/>
          <w:lang w:val="en-AU"/>
        </w:rPr>
        <w:t>modernising healthcare services</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Individual support of nurses using electronic medicine mon</w:t>
      </w:r>
      <w:r>
        <w:rPr>
          <w:rFonts w:ascii="Garamond" w:hAnsi="Garamond"/>
          <w:lang w:val="en-AU"/>
        </w:rPr>
        <w:t xml:space="preserve">itors can improve </w:t>
      </w:r>
      <w:r w:rsidRPr="00000496">
        <w:rPr>
          <w:rFonts w:ascii="Garamond" w:hAnsi="Garamond"/>
          <w:b/>
          <w:lang w:val="en-AU"/>
        </w:rPr>
        <w:t>HIV treatment</w:t>
      </w:r>
    </w:p>
    <w:p w:rsidR="00000496" w:rsidRPr="00000496" w:rsidRDefault="00000496" w:rsidP="00000496">
      <w:pPr>
        <w:pStyle w:val="ListParagraph"/>
        <w:keepNext/>
        <w:keepLines/>
        <w:numPr>
          <w:ilvl w:val="0"/>
          <w:numId w:val="14"/>
        </w:numPr>
        <w:rPr>
          <w:rFonts w:ascii="Garamond" w:hAnsi="Garamond"/>
          <w:lang w:val="en-AU"/>
        </w:rPr>
      </w:pPr>
      <w:r w:rsidRPr="00000496">
        <w:rPr>
          <w:rFonts w:ascii="Garamond" w:hAnsi="Garamond"/>
          <w:lang w:val="en-AU"/>
        </w:rPr>
        <w:t xml:space="preserve">Older people with </w:t>
      </w:r>
      <w:r w:rsidRPr="00000496">
        <w:rPr>
          <w:rFonts w:ascii="Garamond" w:hAnsi="Garamond"/>
          <w:b/>
          <w:lang w:val="en-AU"/>
        </w:rPr>
        <w:t>acute coronary syndromes</w:t>
      </w:r>
      <w:r w:rsidRPr="00000496">
        <w:rPr>
          <w:rFonts w:ascii="Garamond" w:hAnsi="Garamond"/>
          <w:lang w:val="en-AU"/>
        </w:rPr>
        <w:t xml:space="preserve"> may benefit from routine invasive therapy</w:t>
      </w:r>
      <w:r>
        <w:rPr>
          <w:rFonts w:ascii="Garamond" w:hAnsi="Garamond"/>
          <w:lang w:val="en-AU"/>
        </w:rPr>
        <w:t>.</w:t>
      </w:r>
    </w:p>
    <w:p w:rsidR="004A2A17" w:rsidRDefault="004A2A17" w:rsidP="00070CFE">
      <w:pPr>
        <w:rPr>
          <w:rFonts w:ascii="Garamond" w:hAnsi="Garamond"/>
          <w:i/>
          <w:lang w:val="en-AU"/>
        </w:rPr>
      </w:pPr>
    </w:p>
    <w:p w:rsidR="007F12D4" w:rsidRDefault="007F12D4" w:rsidP="00070CFE">
      <w:pPr>
        <w:rPr>
          <w:rFonts w:ascii="Garamond" w:hAnsi="Garamond"/>
          <w:i/>
          <w:lang w:val="en-AU"/>
        </w:rPr>
      </w:pPr>
      <w:r>
        <w:rPr>
          <w:rFonts w:ascii="Garamond" w:hAnsi="Garamond"/>
          <w:i/>
          <w:lang w:val="en-AU"/>
        </w:rPr>
        <w:t xml:space="preserve">[Canada] </w:t>
      </w:r>
      <w:r w:rsidRPr="007F12D4">
        <w:rPr>
          <w:rFonts w:ascii="Garamond" w:hAnsi="Garamond"/>
          <w:i/>
          <w:lang w:val="en-AU"/>
        </w:rPr>
        <w:t>CanMEDS Resource Stewardship Curriculum Toolkit Series</w:t>
      </w:r>
    </w:p>
    <w:p w:rsidR="007F12D4" w:rsidRDefault="007763BB" w:rsidP="00070CFE">
      <w:pPr>
        <w:rPr>
          <w:rFonts w:ascii="Garamond" w:hAnsi="Garamond"/>
          <w:lang w:val="en-AU"/>
        </w:rPr>
      </w:pPr>
      <w:hyperlink r:id="rId35" w:history="1">
        <w:r w:rsidR="007F12D4" w:rsidRPr="001B0011">
          <w:rPr>
            <w:rStyle w:val="Hyperlink"/>
            <w:rFonts w:ascii="Garamond" w:hAnsi="Garamond"/>
            <w:lang w:val="en-AU"/>
          </w:rPr>
          <w:t>http://www.royalcollege.ca/rcsite/canmeds/resource-stewardship-e</w:t>
        </w:r>
      </w:hyperlink>
    </w:p>
    <w:p w:rsidR="00526F35" w:rsidRDefault="00526F35" w:rsidP="00526F35">
      <w:pPr>
        <w:rPr>
          <w:rFonts w:ascii="Garamond" w:hAnsi="Garamond"/>
          <w:lang w:val="en-AU"/>
        </w:rPr>
      </w:pPr>
      <w:r>
        <w:rPr>
          <w:rFonts w:ascii="Garamond" w:hAnsi="Garamond"/>
          <w:lang w:val="en-AU"/>
        </w:rPr>
        <w:t xml:space="preserve">The </w:t>
      </w:r>
      <w:r w:rsidRPr="00526F35">
        <w:rPr>
          <w:rFonts w:ascii="Garamond" w:hAnsi="Garamond"/>
          <w:lang w:val="en-AU"/>
        </w:rPr>
        <w:t xml:space="preserve">Royal College of Physicians and Surgeons of Canada </w:t>
      </w:r>
      <w:r>
        <w:rPr>
          <w:rFonts w:ascii="Garamond" w:hAnsi="Garamond"/>
          <w:lang w:val="en-AU"/>
        </w:rPr>
        <w:t xml:space="preserve">(along with </w:t>
      </w:r>
      <w:r w:rsidRPr="00526F35">
        <w:rPr>
          <w:rFonts w:ascii="Garamond" w:hAnsi="Garamond"/>
          <w:lang w:val="en-AU"/>
        </w:rPr>
        <w:t>t</w:t>
      </w:r>
      <w:r>
        <w:rPr>
          <w:rFonts w:ascii="Garamond" w:hAnsi="Garamond"/>
          <w:lang w:val="en-AU"/>
        </w:rPr>
        <w:t>he College of Family Physicians and</w:t>
      </w:r>
      <w:r w:rsidRPr="00526F35">
        <w:rPr>
          <w:rFonts w:ascii="Garamond" w:hAnsi="Garamond"/>
          <w:lang w:val="en-AU"/>
        </w:rPr>
        <w:t xml:space="preserve"> Choosing Wisely Canada</w:t>
      </w:r>
      <w:r>
        <w:rPr>
          <w:rFonts w:ascii="Garamond" w:hAnsi="Garamond"/>
          <w:lang w:val="en-AU"/>
        </w:rPr>
        <w:t xml:space="preserve">) have developed </w:t>
      </w:r>
      <w:r w:rsidRPr="00526F35">
        <w:rPr>
          <w:rFonts w:ascii="Garamond" w:hAnsi="Garamond"/>
          <w:lang w:val="en-AU"/>
        </w:rPr>
        <w:t>three toolkits to help clinicians teach medical residents about the basics of resource stewardship, including antimicrobial stewardship and appropriate antibiotic use.</w:t>
      </w:r>
      <w:r>
        <w:rPr>
          <w:rFonts w:ascii="Garamond" w:hAnsi="Garamond"/>
          <w:lang w:val="en-AU"/>
        </w:rPr>
        <w:t xml:space="preserve"> The </w:t>
      </w:r>
      <w:r w:rsidRPr="00526F35">
        <w:rPr>
          <w:rFonts w:ascii="Garamond" w:hAnsi="Garamond"/>
          <w:lang w:val="en-AU"/>
        </w:rPr>
        <w:t xml:space="preserve">toolkits include things like modifiable </w:t>
      </w:r>
      <w:r>
        <w:rPr>
          <w:rFonts w:ascii="Garamond" w:hAnsi="Garamond"/>
          <w:lang w:val="en-AU"/>
        </w:rPr>
        <w:t xml:space="preserve">PowerPoint </w:t>
      </w:r>
      <w:r w:rsidRPr="00526F35">
        <w:rPr>
          <w:rFonts w:ascii="Garamond" w:hAnsi="Garamond"/>
          <w:lang w:val="en-AU"/>
        </w:rPr>
        <w:t xml:space="preserve">slide decks, annotated bibliographies, how-to guides, </w:t>
      </w:r>
      <w:r>
        <w:rPr>
          <w:rFonts w:ascii="Garamond" w:hAnsi="Garamond"/>
          <w:lang w:val="en-AU"/>
        </w:rPr>
        <w:t xml:space="preserve">roadmaps, assessment tools, </w:t>
      </w:r>
      <w:r w:rsidRPr="00526F35">
        <w:rPr>
          <w:rFonts w:ascii="Garamond" w:hAnsi="Garamond"/>
          <w:lang w:val="en-AU"/>
        </w:rPr>
        <w:t>etc</w:t>
      </w:r>
      <w:r>
        <w:rPr>
          <w:rFonts w:ascii="Garamond" w:hAnsi="Garamond"/>
          <w:lang w:val="en-AU"/>
        </w:rPr>
        <w:t>.  The three toolkits are:</w:t>
      </w:r>
    </w:p>
    <w:p w:rsidR="00526F35" w:rsidRPr="00526F35" w:rsidRDefault="00526F35" w:rsidP="00526F35">
      <w:pPr>
        <w:pStyle w:val="ListParagraph"/>
        <w:numPr>
          <w:ilvl w:val="0"/>
          <w:numId w:val="29"/>
        </w:numPr>
        <w:rPr>
          <w:rFonts w:ascii="Garamond" w:hAnsi="Garamond"/>
          <w:lang w:val="en-AU"/>
        </w:rPr>
      </w:pPr>
      <w:r w:rsidRPr="00526F35">
        <w:rPr>
          <w:rFonts w:ascii="Garamond" w:hAnsi="Garamond"/>
          <w:lang w:val="en-AU"/>
        </w:rPr>
        <w:t>Foundations Toolkit: Foundations of Resource</w:t>
      </w:r>
      <w:r>
        <w:rPr>
          <w:rFonts w:ascii="Garamond" w:hAnsi="Garamond"/>
          <w:lang w:val="en-AU"/>
        </w:rPr>
        <w:t xml:space="preserve"> </w:t>
      </w:r>
      <w:r w:rsidRPr="00526F35">
        <w:rPr>
          <w:rFonts w:ascii="Garamond" w:hAnsi="Garamond"/>
          <w:lang w:val="en-AU"/>
        </w:rPr>
        <w:t>Stewardship</w:t>
      </w:r>
    </w:p>
    <w:p w:rsidR="00526F35" w:rsidRPr="00526F35" w:rsidRDefault="00526F35" w:rsidP="00526F35">
      <w:pPr>
        <w:pStyle w:val="ListParagraph"/>
        <w:numPr>
          <w:ilvl w:val="0"/>
          <w:numId w:val="29"/>
        </w:numPr>
        <w:rPr>
          <w:rFonts w:ascii="Garamond" w:hAnsi="Garamond"/>
          <w:lang w:val="en-AU"/>
        </w:rPr>
      </w:pPr>
      <w:r w:rsidRPr="00526F35">
        <w:rPr>
          <w:rFonts w:ascii="Garamond" w:hAnsi="Garamond"/>
          <w:lang w:val="en-AU"/>
        </w:rPr>
        <w:t>Projects Toolkit</w:t>
      </w:r>
      <w:r>
        <w:rPr>
          <w:rFonts w:ascii="Garamond" w:hAnsi="Garamond"/>
          <w:lang w:val="en-AU"/>
        </w:rPr>
        <w:t xml:space="preserve">:  </w:t>
      </w:r>
      <w:r w:rsidRPr="00526F35">
        <w:rPr>
          <w:rFonts w:ascii="Garamond" w:hAnsi="Garamond"/>
          <w:lang w:val="en-AU"/>
        </w:rPr>
        <w:t>Undertaking a Resource Stewardship Project During Postgraduate Training</w:t>
      </w:r>
    </w:p>
    <w:p w:rsidR="00526F35" w:rsidRPr="00526F35" w:rsidRDefault="00526F35" w:rsidP="00526F35">
      <w:pPr>
        <w:pStyle w:val="ListParagraph"/>
        <w:numPr>
          <w:ilvl w:val="0"/>
          <w:numId w:val="29"/>
        </w:numPr>
        <w:rPr>
          <w:rFonts w:ascii="Garamond" w:hAnsi="Garamond"/>
          <w:lang w:val="en-AU"/>
        </w:rPr>
      </w:pPr>
      <w:r w:rsidRPr="00526F35">
        <w:rPr>
          <w:rFonts w:ascii="Garamond" w:hAnsi="Garamond"/>
          <w:lang w:val="en-AU"/>
        </w:rPr>
        <w:t xml:space="preserve">Communication Toolkit: Communicating with Patients and Families </w:t>
      </w:r>
      <w:proofErr w:type="gramStart"/>
      <w:r w:rsidRPr="00526F35">
        <w:rPr>
          <w:rFonts w:ascii="Garamond" w:hAnsi="Garamond"/>
          <w:lang w:val="en-AU"/>
        </w:rPr>
        <w:t>About</w:t>
      </w:r>
      <w:proofErr w:type="gramEnd"/>
      <w:r w:rsidRPr="00526F35">
        <w:rPr>
          <w:rFonts w:ascii="Garamond" w:hAnsi="Garamond"/>
          <w:lang w:val="en-AU"/>
        </w:rPr>
        <w:t xml:space="preserve"> Resource Stewardship</w:t>
      </w:r>
      <w:r>
        <w:rPr>
          <w:rFonts w:ascii="Garamond" w:hAnsi="Garamond"/>
          <w:lang w:val="en-AU"/>
        </w:rPr>
        <w:t>.</w:t>
      </w:r>
    </w:p>
    <w:p w:rsidR="007F12D4" w:rsidRPr="007F12D4" w:rsidRDefault="007F12D4" w:rsidP="00070CFE">
      <w:pPr>
        <w:rPr>
          <w:rFonts w:ascii="Garamond" w:hAnsi="Garamond"/>
          <w:lang w:val="en-AU"/>
        </w:rPr>
      </w:pPr>
    </w:p>
    <w:p w:rsidR="00222BB8" w:rsidRPr="00D22777" w:rsidRDefault="00222BB8" w:rsidP="00070CFE">
      <w:pPr>
        <w:rPr>
          <w:rFonts w:ascii="Garamond" w:hAnsi="Garamond"/>
          <w:i/>
          <w:lang w:val="en-AU"/>
        </w:rPr>
      </w:pPr>
      <w:r w:rsidRPr="00D22777">
        <w:rPr>
          <w:rFonts w:ascii="Garamond" w:hAnsi="Garamond"/>
          <w:i/>
          <w:lang w:val="en-AU"/>
        </w:rPr>
        <w:t xml:space="preserve">[USA] </w:t>
      </w:r>
      <w:r w:rsidR="00D22777" w:rsidRPr="00D22777">
        <w:rPr>
          <w:rFonts w:ascii="Garamond" w:hAnsi="Garamond"/>
          <w:i/>
          <w:lang w:val="en-AU"/>
        </w:rPr>
        <w:t>Better Care Playbook</w:t>
      </w:r>
    </w:p>
    <w:p w:rsidR="00BF4AA0" w:rsidRDefault="007763BB" w:rsidP="00070CFE">
      <w:pPr>
        <w:rPr>
          <w:rFonts w:ascii="Garamond" w:hAnsi="Garamond"/>
          <w:lang w:val="en-AU"/>
        </w:rPr>
      </w:pPr>
      <w:hyperlink r:id="rId36" w:history="1">
        <w:r w:rsidR="00D22777" w:rsidRPr="001B0011">
          <w:rPr>
            <w:rStyle w:val="Hyperlink"/>
            <w:rFonts w:ascii="Garamond" w:hAnsi="Garamond"/>
            <w:lang w:val="en-AU"/>
          </w:rPr>
          <w:t>http://www.bettercareplaybook.org/</w:t>
        </w:r>
      </w:hyperlink>
    </w:p>
    <w:p w:rsidR="00D22777" w:rsidRDefault="00D22777" w:rsidP="00D22777">
      <w:pPr>
        <w:rPr>
          <w:rFonts w:ascii="Garamond" w:hAnsi="Garamond"/>
          <w:lang w:val="en-AU"/>
        </w:rPr>
      </w:pPr>
      <w:r>
        <w:rPr>
          <w:rFonts w:ascii="Garamond" w:hAnsi="Garamond"/>
          <w:lang w:val="en-AU"/>
        </w:rPr>
        <w:t xml:space="preserve">The (US) </w:t>
      </w:r>
      <w:r w:rsidRPr="00D22777">
        <w:rPr>
          <w:rFonts w:ascii="Garamond" w:hAnsi="Garamond"/>
          <w:lang w:val="en-AU"/>
        </w:rPr>
        <w:t>Insti</w:t>
      </w:r>
      <w:r>
        <w:rPr>
          <w:rFonts w:ascii="Garamond" w:hAnsi="Garamond"/>
          <w:lang w:val="en-AU"/>
        </w:rPr>
        <w:t xml:space="preserve">tute for Healthcare Improvement has added some new resources to its </w:t>
      </w:r>
      <w:r w:rsidRPr="00D22777">
        <w:rPr>
          <w:rFonts w:ascii="Garamond" w:hAnsi="Garamond"/>
          <w:lang w:val="en-AU"/>
        </w:rPr>
        <w:t>Better Care Playbook</w:t>
      </w:r>
      <w:r>
        <w:rPr>
          <w:rFonts w:ascii="Garamond" w:hAnsi="Garamond"/>
          <w:lang w:val="en-AU"/>
        </w:rPr>
        <w:t>. The new resources include:</w:t>
      </w:r>
    </w:p>
    <w:p w:rsidR="00D22777" w:rsidRPr="00D22777" w:rsidRDefault="00D22777" w:rsidP="00D22777">
      <w:pPr>
        <w:pStyle w:val="ListParagraph"/>
        <w:numPr>
          <w:ilvl w:val="0"/>
          <w:numId w:val="30"/>
        </w:numPr>
        <w:rPr>
          <w:rFonts w:ascii="Garamond" w:hAnsi="Garamond"/>
          <w:lang w:val="en-AU"/>
        </w:rPr>
      </w:pPr>
      <w:r w:rsidRPr="00D22777">
        <w:rPr>
          <w:rFonts w:ascii="Garamond" w:hAnsi="Garamond"/>
          <w:lang w:val="en-AU"/>
        </w:rPr>
        <w:t>Interventions for improving outcomes in patients with multiple co-morbidities in primary care and community settings</w:t>
      </w:r>
    </w:p>
    <w:p w:rsidR="00D22777" w:rsidRPr="00D22777" w:rsidRDefault="00D22777" w:rsidP="00D22777">
      <w:pPr>
        <w:pStyle w:val="ListParagraph"/>
        <w:numPr>
          <w:ilvl w:val="0"/>
          <w:numId w:val="30"/>
        </w:numPr>
        <w:rPr>
          <w:rFonts w:ascii="Garamond" w:hAnsi="Garamond"/>
          <w:lang w:val="en-AU"/>
        </w:rPr>
      </w:pPr>
      <w:r w:rsidRPr="00D22777">
        <w:rPr>
          <w:rFonts w:ascii="Garamond" w:hAnsi="Garamond"/>
          <w:lang w:val="en-AU"/>
        </w:rPr>
        <w:t>The cost-effectiveness of clinical nurse specialist-led interventions in palliative care</w:t>
      </w:r>
    </w:p>
    <w:p w:rsidR="00D22777" w:rsidRPr="00D22777" w:rsidRDefault="00D22777" w:rsidP="00D22777">
      <w:pPr>
        <w:pStyle w:val="ListParagraph"/>
        <w:numPr>
          <w:ilvl w:val="0"/>
          <w:numId w:val="30"/>
        </w:numPr>
        <w:rPr>
          <w:rFonts w:ascii="Garamond" w:hAnsi="Garamond"/>
          <w:lang w:val="en-AU"/>
        </w:rPr>
      </w:pPr>
      <w:r w:rsidRPr="00D22777">
        <w:rPr>
          <w:rFonts w:ascii="Garamond" w:hAnsi="Garamond"/>
          <w:lang w:val="en-AU"/>
        </w:rPr>
        <w:t>Non-nursing staff interventions to improve nutritional support in nursing homes: A cost-effectiveness analysis</w:t>
      </w:r>
    </w:p>
    <w:p w:rsidR="00D22777" w:rsidRPr="00BF4AA0" w:rsidRDefault="00D22777" w:rsidP="00D22777">
      <w:pPr>
        <w:rPr>
          <w:rFonts w:ascii="Garamond" w:hAnsi="Garamond"/>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763BB">
      <w:rPr>
        <w:rStyle w:val="PageNumber"/>
        <w:noProof/>
      </w:rPr>
      <w:t>2</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A5481">
      <w:rPr>
        <w:rFonts w:ascii="Garamond" w:hAnsi="Garamond"/>
      </w:rPr>
      <w:t xml:space="preserve"> Issue 346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763BB">
      <w:rPr>
        <w:rStyle w:val="PageNumber"/>
        <w:rFonts w:ascii="Garamond" w:hAnsi="Garamond"/>
        <w:noProof/>
      </w:rPr>
      <w:t>1</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FA5481">
      <w:rPr>
        <w:rFonts w:ascii="Garamond" w:hAnsi="Garamond"/>
      </w:rPr>
      <w:t xml:space="preserve"> Issue 346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570077"/>
    <w:multiLevelType w:val="hybridMultilevel"/>
    <w:tmpl w:val="130E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EE1EA0"/>
    <w:multiLevelType w:val="hybridMultilevel"/>
    <w:tmpl w:val="0F48B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4859CC"/>
    <w:multiLevelType w:val="hybridMultilevel"/>
    <w:tmpl w:val="83D8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FB1E9E"/>
    <w:multiLevelType w:val="hybridMultilevel"/>
    <w:tmpl w:val="8796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887B24"/>
    <w:multiLevelType w:val="hybridMultilevel"/>
    <w:tmpl w:val="F134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9D0BBF"/>
    <w:multiLevelType w:val="hybridMultilevel"/>
    <w:tmpl w:val="AF643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10"/>
  </w:num>
  <w:num w:numId="16">
    <w:abstractNumId w:val="24"/>
  </w:num>
  <w:num w:numId="17">
    <w:abstractNumId w:val="29"/>
  </w:num>
  <w:num w:numId="18">
    <w:abstractNumId w:val="20"/>
  </w:num>
  <w:num w:numId="19">
    <w:abstractNumId w:val="21"/>
  </w:num>
  <w:num w:numId="20">
    <w:abstractNumId w:val="28"/>
  </w:num>
  <w:num w:numId="21">
    <w:abstractNumId w:val="13"/>
  </w:num>
  <w:num w:numId="22">
    <w:abstractNumId w:val="31"/>
  </w:num>
  <w:num w:numId="23">
    <w:abstractNumId w:val="11"/>
  </w:num>
  <w:num w:numId="24">
    <w:abstractNumId w:val="15"/>
  </w:num>
  <w:num w:numId="25">
    <w:abstractNumId w:val="14"/>
  </w:num>
  <w:num w:numId="26">
    <w:abstractNumId w:val="27"/>
  </w:num>
  <w:num w:numId="27">
    <w:abstractNumId w:val="12"/>
  </w:num>
  <w:num w:numId="28">
    <w:abstractNumId w:val="17"/>
  </w:num>
  <w:num w:numId="29">
    <w:abstractNumId w:val="18"/>
  </w:num>
  <w:num w:numId="30">
    <w:abstractNumId w:val="19"/>
  </w:num>
  <w:num w:numId="31">
    <w:abstractNumId w:val="25"/>
  </w:num>
  <w:num w:numId="3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496"/>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056"/>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0EC"/>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8E"/>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D1F"/>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4F8"/>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BB8"/>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96A"/>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B7F7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9B3"/>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6"/>
    <w:rsid w:val="00433344"/>
    <w:rsid w:val="004337B5"/>
    <w:rsid w:val="0043399F"/>
    <w:rsid w:val="00433BAC"/>
    <w:rsid w:val="00433DB9"/>
    <w:rsid w:val="00433EB4"/>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6F0"/>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35"/>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3BB"/>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2D4"/>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5B5"/>
    <w:rsid w:val="00907665"/>
    <w:rsid w:val="00907979"/>
    <w:rsid w:val="00907BA2"/>
    <w:rsid w:val="00907E8B"/>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108"/>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1B28"/>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8BB"/>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DA1"/>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656"/>
    <w:rsid w:val="00CB2ED0"/>
    <w:rsid w:val="00CB2F25"/>
    <w:rsid w:val="00CB3081"/>
    <w:rsid w:val="00CB3155"/>
    <w:rsid w:val="00CB3214"/>
    <w:rsid w:val="00CB3752"/>
    <w:rsid w:val="00CB3888"/>
    <w:rsid w:val="00CB3983"/>
    <w:rsid w:val="00CB432B"/>
    <w:rsid w:val="00CB4765"/>
    <w:rsid w:val="00CB479C"/>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4FE6"/>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D5A"/>
    <w:rsid w:val="00D21F47"/>
    <w:rsid w:val="00D2206A"/>
    <w:rsid w:val="00D2212F"/>
    <w:rsid w:val="00D22777"/>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03"/>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primary-health-care/" TargetMode="External"/><Relationship Id="rId26" Type="http://schemas.openxmlformats.org/officeDocument/2006/relationships/hyperlink" Target="http://dx.doi.org/10.1097/PTS.000000000000041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tyandquality.gov.au/our-work/clinical-communications/" TargetMode="External"/><Relationship Id="rId34" Type="http://schemas.openxmlformats.org/officeDocument/2006/relationships/hyperlink" Target="https://effectivehealthcare.ahrq.gov/topics/schizophrenia-adult/research-2017/"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s://effectivehealthcare.ahrq.go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xinstitute.org.au/publications/specialist-dementia-care-units/" TargetMode="External"/><Relationship Id="rId20" Type="http://schemas.openxmlformats.org/officeDocument/2006/relationships/hyperlink" Target="https://doi.org/10.1016/j.jcjq.2017.04.011" TargetMode="External"/><Relationship Id="rId29" Type="http://schemas.openxmlformats.org/officeDocument/2006/relationships/hyperlink" Target="https://www.nice.org.uk/guidance/ng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177/1060028017714271" TargetMode="External"/><Relationship Id="rId32" Type="http://schemas.openxmlformats.org/officeDocument/2006/relationships/hyperlink" Target="https://www.nice.org.uk/guidance/cg7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safety-in-e-health/" TargetMode="External"/><Relationship Id="rId28" Type="http://schemas.openxmlformats.org/officeDocument/2006/relationships/hyperlink" Target="https://www.nice.org.uk" TargetMode="External"/><Relationship Id="rId36" Type="http://schemas.openxmlformats.org/officeDocument/2006/relationships/hyperlink" Target="http://www.bettercareplaybook.org/"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16/j.jcjq.2017.06.007" TargetMode="External"/><Relationship Id="rId31" Type="http://schemas.openxmlformats.org/officeDocument/2006/relationships/hyperlink" Target="https://www.nice.org.uk/guidance/qs7"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111/1475-6773.12581"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ng81" TargetMode="External"/><Relationship Id="rId35" Type="http://schemas.openxmlformats.org/officeDocument/2006/relationships/hyperlink" Target="http://www.royalcollege.ca/rcsite/canmeds/resource-stewardsh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5BEC-8341-4DB2-9282-2F6AA814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16659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2017-11-03T02:26:00Z</dcterms:created>
  <dcterms:modified xsi:type="dcterms:W3CDTF">2017-11-03T02:26:00Z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