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0170DA" w:rsidRDefault="00715F47" w:rsidP="00B160EF">
      <w:pPr>
        <w:rPr>
          <w:rFonts w:ascii="Garamond" w:hAnsi="Garamond"/>
          <w:color w:val="000000"/>
          <w:lang w:val="en-AU"/>
        </w:rPr>
      </w:pPr>
      <w:r w:rsidRPr="000170DA">
        <w:rPr>
          <w:rFonts w:ascii="Garamond" w:hAnsi="Garamond"/>
          <w:color w:val="000000"/>
          <w:lang w:val="en-AU"/>
        </w:rPr>
        <w:t xml:space="preserve">Issue </w:t>
      </w:r>
      <w:r w:rsidR="00252A38" w:rsidRPr="000170DA">
        <w:rPr>
          <w:rFonts w:ascii="Garamond" w:hAnsi="Garamond"/>
          <w:color w:val="000000"/>
          <w:lang w:val="en-AU"/>
        </w:rPr>
        <w:t>3</w:t>
      </w:r>
      <w:r w:rsidR="00EF418C">
        <w:rPr>
          <w:rFonts w:ascii="Garamond" w:hAnsi="Garamond"/>
          <w:color w:val="000000"/>
          <w:lang w:val="en-AU"/>
        </w:rPr>
        <w:t>51</w:t>
      </w:r>
    </w:p>
    <w:p w:rsidR="00755242" w:rsidRPr="000170DA" w:rsidRDefault="00EF418C" w:rsidP="00B160EF">
      <w:pPr>
        <w:rPr>
          <w:rFonts w:ascii="Garamond" w:hAnsi="Garamond"/>
          <w:lang w:val="en-AU"/>
        </w:rPr>
      </w:pPr>
      <w:r>
        <w:rPr>
          <w:rFonts w:ascii="Garamond" w:hAnsi="Garamond"/>
          <w:lang w:val="en-AU"/>
        </w:rPr>
        <w:t>11</w:t>
      </w:r>
      <w:r w:rsidR="00947A2B" w:rsidRPr="000170DA">
        <w:rPr>
          <w:rFonts w:ascii="Garamond" w:hAnsi="Garamond"/>
          <w:lang w:val="en-AU"/>
        </w:rPr>
        <w:t xml:space="preserve"> Dec</w:t>
      </w:r>
      <w:r w:rsidR="00FA5481" w:rsidRPr="000170DA">
        <w:rPr>
          <w:rFonts w:ascii="Garamond" w:hAnsi="Garamond"/>
          <w:lang w:val="en-AU"/>
        </w:rPr>
        <w:t>em</w:t>
      </w:r>
      <w:r w:rsidR="00DE3942" w:rsidRPr="000170DA">
        <w:rPr>
          <w:rFonts w:ascii="Garamond" w:hAnsi="Garamond"/>
          <w:lang w:val="en-AU"/>
        </w:rPr>
        <w:t xml:space="preserve">ber </w:t>
      </w:r>
      <w:r w:rsidR="00F74A58" w:rsidRPr="000170DA">
        <w:rPr>
          <w:rFonts w:ascii="Garamond" w:hAnsi="Garamond"/>
          <w:lang w:val="en-AU"/>
        </w:rPr>
        <w:t>2017</w:t>
      </w:r>
    </w:p>
    <w:p w:rsidR="00566895" w:rsidRPr="000170DA" w:rsidRDefault="00566895" w:rsidP="00B160EF">
      <w:pPr>
        <w:rPr>
          <w:rFonts w:ascii="Garamond" w:hAnsi="Garamond"/>
          <w:lang w:val="en-AU"/>
        </w:rPr>
      </w:pPr>
    </w:p>
    <w:p w:rsidR="00B160EF" w:rsidRPr="000170DA" w:rsidRDefault="00B160EF" w:rsidP="00B160EF">
      <w:pPr>
        <w:rPr>
          <w:rFonts w:ascii="Garamond" w:hAnsi="Garamond"/>
          <w:b/>
          <w:lang w:val="en-AU"/>
        </w:rPr>
      </w:pPr>
      <w:r w:rsidRPr="000170DA">
        <w:rPr>
          <w:rFonts w:ascii="Garamond" w:hAnsi="Garamond"/>
          <w:i/>
          <w:lang w:val="en-AU"/>
        </w:rPr>
        <w:t>On the Radar</w:t>
      </w:r>
      <w:r w:rsidRPr="000170DA">
        <w:rPr>
          <w:rFonts w:ascii="Garamond" w:hAnsi="Garamond"/>
          <w:lang w:val="en-AU"/>
        </w:rPr>
        <w:t xml:space="preserve"> is a summary of some of the recent publications in </w:t>
      </w:r>
      <w:r w:rsidR="000025DB" w:rsidRPr="000170DA">
        <w:rPr>
          <w:rFonts w:ascii="Garamond" w:hAnsi="Garamond"/>
          <w:lang w:val="en-AU"/>
        </w:rPr>
        <w:t>the</w:t>
      </w:r>
      <w:r w:rsidRPr="000170DA">
        <w:rPr>
          <w:rFonts w:ascii="Garamond" w:hAnsi="Garamond"/>
          <w:lang w:val="en-AU"/>
        </w:rPr>
        <w:t xml:space="preserve"> areas of safety and quality in health care. Inclusion in this document is not an endorsement or recommendation of any publication or provider.</w:t>
      </w:r>
      <w:r w:rsidR="00594E21" w:rsidRPr="000170DA">
        <w:rPr>
          <w:rFonts w:ascii="Garamond" w:hAnsi="Garamond"/>
          <w:lang w:val="en-AU"/>
        </w:rPr>
        <w:t xml:space="preserve"> </w:t>
      </w:r>
      <w:r w:rsidRPr="000170DA">
        <w:rPr>
          <w:rFonts w:ascii="Garamond" w:hAnsi="Garamond"/>
          <w:lang w:val="en-AU"/>
        </w:rPr>
        <w:t>Access to particular documents may depend on whether they are Open Access or not, and/or your individual or institutional access to subscription sites/services.</w:t>
      </w:r>
      <w:r w:rsidR="00F460A7" w:rsidRPr="000170DA">
        <w:rPr>
          <w:rFonts w:ascii="Garamond" w:hAnsi="Garamond"/>
          <w:lang w:val="en-AU"/>
        </w:rPr>
        <w:t xml:space="preserve"> Material that may require subscription is included as it is considered relevant.</w:t>
      </w:r>
    </w:p>
    <w:p w:rsidR="00B160EF" w:rsidRPr="000170DA" w:rsidRDefault="00B160EF" w:rsidP="00B160EF">
      <w:pPr>
        <w:rPr>
          <w:rFonts w:ascii="Garamond" w:hAnsi="Garamond"/>
          <w:lang w:val="en-AU"/>
        </w:rPr>
      </w:pPr>
    </w:p>
    <w:p w:rsidR="00230D83" w:rsidRPr="000170DA" w:rsidRDefault="00B160EF" w:rsidP="0045757F">
      <w:pPr>
        <w:autoSpaceDE w:val="0"/>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available </w:t>
      </w:r>
      <w:r w:rsidR="003D1E7A" w:rsidRPr="000170DA">
        <w:rPr>
          <w:rFonts w:ascii="Garamond" w:hAnsi="Garamond"/>
          <w:lang w:val="en-AU"/>
        </w:rPr>
        <w:t xml:space="preserve">online, </w:t>
      </w:r>
      <w:r w:rsidRPr="000170DA">
        <w:rPr>
          <w:rFonts w:ascii="Garamond" w:hAnsi="Garamond"/>
          <w:lang w:val="en-AU"/>
        </w:rPr>
        <w:t xml:space="preserve">via email or as a PDF </w:t>
      </w:r>
      <w:r w:rsidR="006F34BB" w:rsidRPr="000170DA">
        <w:rPr>
          <w:rFonts w:ascii="Garamond" w:hAnsi="Garamond"/>
          <w:lang w:val="en-AU"/>
        </w:rPr>
        <w:t xml:space="preserve">or Word </w:t>
      </w:r>
      <w:r w:rsidRPr="000170DA">
        <w:rPr>
          <w:rFonts w:ascii="Garamond" w:hAnsi="Garamond"/>
          <w:lang w:val="en-AU"/>
        </w:rPr>
        <w:t xml:space="preserve">document from </w:t>
      </w:r>
      <w:hyperlink r:id="rId10" w:history="1">
        <w:r w:rsidR="00543EF2" w:rsidRPr="000170DA">
          <w:rPr>
            <w:rStyle w:val="Hyperlink"/>
            <w:rFonts w:ascii="Garamond" w:hAnsi="Garamond"/>
            <w:lang w:val="en-AU"/>
          </w:rPr>
          <w:t>https://www.safetyandquality.gov.au/publications-resources/on-the-radar/</w:t>
        </w:r>
      </w:hyperlink>
    </w:p>
    <w:p w:rsidR="0090536C" w:rsidRPr="000170DA" w:rsidRDefault="0090536C" w:rsidP="0045757F">
      <w:pPr>
        <w:autoSpaceDE w:val="0"/>
        <w:rPr>
          <w:rFonts w:ascii="Garamond" w:hAnsi="Garamond"/>
          <w:lang w:val="en-AU"/>
        </w:rPr>
      </w:pPr>
    </w:p>
    <w:p w:rsidR="00B160EF" w:rsidRPr="000170DA" w:rsidRDefault="00B160EF" w:rsidP="0045757F">
      <w:pPr>
        <w:autoSpaceDE w:val="0"/>
        <w:rPr>
          <w:rFonts w:ascii="Garamond" w:hAnsi="Garamond"/>
          <w:lang w:val="en-AU"/>
        </w:rPr>
      </w:pPr>
      <w:r w:rsidRPr="000170DA">
        <w:rPr>
          <w:rFonts w:ascii="Garamond" w:hAnsi="Garamond"/>
          <w:lang w:val="en-AU"/>
        </w:rPr>
        <w:t xml:space="preserve">If you would like to receive </w:t>
      </w:r>
      <w:r w:rsidRPr="000170DA">
        <w:rPr>
          <w:rFonts w:ascii="Garamond" w:hAnsi="Garamond"/>
          <w:i/>
          <w:lang w:val="en-AU"/>
        </w:rPr>
        <w:t>On the Radar</w:t>
      </w:r>
      <w:r w:rsidRPr="000170DA">
        <w:rPr>
          <w:rFonts w:ascii="Garamond" w:hAnsi="Garamond"/>
          <w:lang w:val="en-AU"/>
        </w:rPr>
        <w:t xml:space="preserve"> via email</w:t>
      </w:r>
      <w:r w:rsidR="003D7B9E" w:rsidRPr="000170DA">
        <w:rPr>
          <w:rFonts w:ascii="Garamond" w:hAnsi="Garamond"/>
          <w:lang w:val="en-AU"/>
        </w:rPr>
        <w:t>, you can</w:t>
      </w:r>
      <w:r w:rsidR="00F24F60" w:rsidRPr="000170DA">
        <w:rPr>
          <w:rFonts w:ascii="Garamond" w:hAnsi="Garamond"/>
          <w:lang w:val="en-AU"/>
        </w:rPr>
        <w:t xml:space="preserve"> subscribe on our website </w:t>
      </w:r>
      <w:hyperlink r:id="rId11" w:history="1">
        <w:r w:rsidR="00543EF2" w:rsidRPr="000170DA">
          <w:rPr>
            <w:rStyle w:val="Hyperlink"/>
            <w:rFonts w:ascii="Garamond" w:hAnsi="Garamond"/>
            <w:lang w:val="en-AU"/>
          </w:rPr>
          <w:t>https://www.safetyandquality.gov.au/</w:t>
        </w:r>
      </w:hyperlink>
      <w:r w:rsidR="003D7B9E" w:rsidRPr="000170DA">
        <w:rPr>
          <w:rFonts w:ascii="Garamond" w:hAnsi="Garamond"/>
          <w:lang w:val="en-AU"/>
        </w:rPr>
        <w:t xml:space="preserve"> or by emailing us at </w:t>
      </w:r>
      <w:r w:rsidR="003D7B9E" w:rsidRPr="000170DA">
        <w:rPr>
          <w:rFonts w:ascii="Garamond" w:hAnsi="Garamond" w:cs="ZWAdobeF"/>
          <w:sz w:val="2"/>
          <w:szCs w:val="2"/>
          <w:lang w:val="en-AU"/>
        </w:rPr>
        <w:t>H</w:t>
      </w:r>
      <w:hyperlink r:id="rId12"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 xml:space="preserve">. </w:t>
      </w:r>
      <w:r w:rsidR="00E51D23" w:rsidRPr="000170DA">
        <w:rPr>
          <w:rFonts w:ascii="Garamond" w:hAnsi="Garamond"/>
          <w:lang w:val="en-AU"/>
        </w:rPr>
        <w:br/>
      </w:r>
      <w:r w:rsidR="003D7B9E" w:rsidRPr="000170DA">
        <w:rPr>
          <w:rFonts w:ascii="Garamond" w:hAnsi="Garamond"/>
          <w:lang w:val="en-AU"/>
        </w:rPr>
        <w:t xml:space="preserve">You can also send feedback and comments to </w:t>
      </w:r>
      <w:r w:rsidR="003D7B9E" w:rsidRPr="000170DA">
        <w:rPr>
          <w:rFonts w:ascii="Garamond" w:hAnsi="Garamond" w:cs="ZWAdobeF"/>
          <w:sz w:val="2"/>
          <w:szCs w:val="2"/>
          <w:lang w:val="en-AU"/>
        </w:rPr>
        <w:t>H</w:t>
      </w:r>
      <w:hyperlink r:id="rId13"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w:t>
      </w:r>
    </w:p>
    <w:p w:rsidR="00B160EF" w:rsidRPr="000170DA" w:rsidRDefault="00B160EF" w:rsidP="00837FC4">
      <w:pPr>
        <w:tabs>
          <w:tab w:val="left" w:pos="7773"/>
        </w:tabs>
        <w:rPr>
          <w:rFonts w:ascii="Garamond" w:hAnsi="Garamond"/>
          <w:lang w:val="en-AU"/>
        </w:rPr>
      </w:pPr>
    </w:p>
    <w:p w:rsidR="00837FC4" w:rsidRPr="000170DA" w:rsidRDefault="00B160EF" w:rsidP="004554DB">
      <w:pPr>
        <w:autoSpaceDE w:val="0"/>
        <w:rPr>
          <w:rFonts w:ascii="Garamond" w:hAnsi="Garamond"/>
          <w:lang w:val="en-AU"/>
        </w:rPr>
      </w:pPr>
      <w:bookmarkStart w:id="0" w:name="OLE_LINK1"/>
      <w:r w:rsidRPr="000170DA">
        <w:rPr>
          <w:rFonts w:ascii="Garamond" w:hAnsi="Garamond"/>
          <w:lang w:val="en-AU"/>
        </w:rPr>
        <w:t xml:space="preserve">For information about the Commission and its programs and publications, please visit </w:t>
      </w:r>
      <w:hyperlink r:id="rId14" w:history="1">
        <w:r w:rsidR="00543EF2" w:rsidRPr="000170DA">
          <w:rPr>
            <w:rStyle w:val="Hyperlink"/>
            <w:rFonts w:ascii="Garamond" w:hAnsi="Garamond"/>
            <w:lang w:val="en-AU"/>
          </w:rPr>
          <w:t>https://www.safetyandquality.gov.au</w:t>
        </w:r>
      </w:hyperlink>
    </w:p>
    <w:p w:rsidR="0054703F" w:rsidRPr="000170DA" w:rsidRDefault="004554DB" w:rsidP="004554DB">
      <w:pPr>
        <w:autoSpaceDE w:val="0"/>
        <w:rPr>
          <w:rFonts w:ascii="Garamond" w:hAnsi="Garamond"/>
          <w:lang w:val="en-AU"/>
        </w:rPr>
      </w:pPr>
      <w:r w:rsidRPr="000170DA">
        <w:rPr>
          <w:rFonts w:ascii="Garamond" w:hAnsi="Garamond"/>
          <w:lang w:val="en-AU"/>
        </w:rPr>
        <w:t>You can also follow us on Twitter @ACSQHC.</w:t>
      </w:r>
    </w:p>
    <w:p w:rsidR="00210235" w:rsidRPr="000170DA" w:rsidRDefault="00210235" w:rsidP="00210235">
      <w:pPr>
        <w:keepNext/>
        <w:pBdr>
          <w:top w:val="single" w:sz="4" w:space="1" w:color="auto"/>
        </w:pBdr>
        <w:rPr>
          <w:rFonts w:ascii="Garamond" w:hAnsi="Garamond"/>
          <w:b/>
          <w:lang w:val="en-AU"/>
        </w:rPr>
      </w:pPr>
      <w:r w:rsidRPr="000170DA">
        <w:rPr>
          <w:rFonts w:ascii="Garamond" w:hAnsi="Garamond"/>
          <w:b/>
          <w:lang w:val="en-AU"/>
        </w:rPr>
        <w:t>On the Radar</w:t>
      </w:r>
    </w:p>
    <w:p w:rsidR="00340157" w:rsidRPr="000170DA" w:rsidRDefault="00340157" w:rsidP="00210235">
      <w:pPr>
        <w:keepNext/>
        <w:pBdr>
          <w:top w:val="single" w:sz="4" w:space="1" w:color="auto"/>
        </w:pBdr>
        <w:rPr>
          <w:rFonts w:ascii="Garamond" w:hAnsi="Garamond"/>
          <w:bCs/>
          <w:lang w:val="en-AU"/>
        </w:rPr>
      </w:pPr>
      <w:r w:rsidRPr="000170DA">
        <w:rPr>
          <w:rFonts w:ascii="Garamond" w:hAnsi="Garamond"/>
          <w:bCs/>
          <w:lang w:val="en-AU"/>
        </w:rPr>
        <w:t xml:space="preserve">Editor: </w:t>
      </w:r>
      <w:r w:rsidR="00C8085B" w:rsidRPr="000170DA">
        <w:rPr>
          <w:rFonts w:ascii="Garamond" w:hAnsi="Garamond"/>
          <w:bCs/>
          <w:lang w:val="en-AU"/>
        </w:rPr>
        <w:t xml:space="preserve">Dr </w:t>
      </w:r>
      <w:r w:rsidRPr="000170DA">
        <w:rPr>
          <w:rFonts w:ascii="Garamond" w:hAnsi="Garamond"/>
          <w:bCs/>
          <w:lang w:val="en-AU"/>
        </w:rPr>
        <w:t xml:space="preserve">Niall Johnson </w:t>
      </w:r>
      <w:hyperlink r:id="rId15" w:history="1">
        <w:r w:rsidRPr="000170DA">
          <w:rPr>
            <w:rStyle w:val="Hyperlink"/>
            <w:rFonts w:ascii="Garamond" w:hAnsi="Garamond"/>
            <w:bCs/>
            <w:lang w:val="en-AU"/>
          </w:rPr>
          <w:t>niall.johnson@safetyandquality.gov.au</w:t>
        </w:r>
      </w:hyperlink>
    </w:p>
    <w:p w:rsidR="009A35BE" w:rsidRPr="000170DA" w:rsidRDefault="00210235" w:rsidP="00753906">
      <w:pPr>
        <w:keepNext/>
        <w:pBdr>
          <w:top w:val="single" w:sz="4" w:space="1" w:color="auto"/>
        </w:pBdr>
        <w:rPr>
          <w:rFonts w:ascii="Garamond" w:hAnsi="Garamond"/>
          <w:shd w:val="clear" w:color="auto" w:fill="FFFFFF"/>
          <w:lang w:val="en-AU"/>
        </w:rPr>
      </w:pPr>
      <w:r w:rsidRPr="000170DA">
        <w:rPr>
          <w:rFonts w:ascii="Garamond" w:hAnsi="Garamond"/>
          <w:bCs/>
          <w:lang w:val="en-AU"/>
        </w:rPr>
        <w:t xml:space="preserve">Contributors: </w:t>
      </w:r>
      <w:r w:rsidR="0056339A" w:rsidRPr="000170DA">
        <w:rPr>
          <w:rFonts w:ascii="Garamond" w:hAnsi="Garamond"/>
          <w:bCs/>
          <w:lang w:val="en-AU"/>
        </w:rPr>
        <w:t>Niall Johnson</w:t>
      </w:r>
      <w:bookmarkEnd w:id="0"/>
      <w:r w:rsidR="002369E7">
        <w:rPr>
          <w:rFonts w:ascii="Garamond" w:hAnsi="Garamond"/>
          <w:bCs/>
          <w:lang w:val="en-AU"/>
        </w:rPr>
        <w:t>, Alice Bhasale</w:t>
      </w:r>
      <w:r w:rsidR="009C36C9">
        <w:rPr>
          <w:rFonts w:ascii="Garamond" w:hAnsi="Garamond"/>
          <w:bCs/>
          <w:lang w:val="en-AU"/>
        </w:rPr>
        <w:t>, Vannary Sar</w:t>
      </w:r>
    </w:p>
    <w:p w:rsidR="00727B35" w:rsidRDefault="00727B35" w:rsidP="00691DE3">
      <w:pPr>
        <w:keepLines/>
        <w:autoSpaceDE w:val="0"/>
        <w:autoSpaceDN w:val="0"/>
        <w:adjustRightInd w:val="0"/>
        <w:rPr>
          <w:rFonts w:ascii="Garamond" w:hAnsi="Garamond"/>
          <w:lang w:val="en-AU"/>
        </w:rPr>
      </w:pPr>
    </w:p>
    <w:p w:rsidR="00177F9F" w:rsidRPr="000170DA" w:rsidRDefault="00177F9F" w:rsidP="00644660">
      <w:pPr>
        <w:keepNext/>
        <w:keepLines/>
        <w:autoSpaceDE w:val="0"/>
        <w:autoSpaceDN w:val="0"/>
        <w:adjustRightInd w:val="0"/>
        <w:rPr>
          <w:rFonts w:ascii="Garamond" w:hAnsi="Garamond"/>
          <w:b/>
          <w:lang w:val="en-AU"/>
        </w:rPr>
      </w:pPr>
      <w:r w:rsidRPr="000170DA">
        <w:rPr>
          <w:rFonts w:ascii="Garamond" w:hAnsi="Garamond"/>
          <w:b/>
          <w:lang w:val="en-AU"/>
        </w:rPr>
        <w:t>Reports</w:t>
      </w:r>
    </w:p>
    <w:p w:rsidR="00177F9F" w:rsidRPr="000170DA" w:rsidRDefault="00177F9F" w:rsidP="00644660">
      <w:pPr>
        <w:keepNext/>
        <w:keepLines/>
        <w:autoSpaceDE w:val="0"/>
        <w:autoSpaceDN w:val="0"/>
        <w:adjustRightInd w:val="0"/>
        <w:rPr>
          <w:rFonts w:ascii="Garamond" w:hAnsi="Garamond"/>
          <w:b/>
          <w:lang w:val="en-AU"/>
        </w:rPr>
      </w:pPr>
    </w:p>
    <w:p w:rsidR="007448AE" w:rsidRPr="004479F7" w:rsidRDefault="007448AE" w:rsidP="007448AE">
      <w:pPr>
        <w:keepNext/>
        <w:keepLines/>
        <w:autoSpaceDE w:val="0"/>
        <w:autoSpaceDN w:val="0"/>
        <w:adjustRightInd w:val="0"/>
        <w:rPr>
          <w:rFonts w:ascii="Garamond" w:hAnsi="Garamond"/>
          <w:i/>
          <w:lang w:val="en-AU"/>
        </w:rPr>
      </w:pPr>
      <w:r w:rsidRPr="004479F7">
        <w:rPr>
          <w:rFonts w:ascii="Garamond" w:hAnsi="Garamond"/>
          <w:i/>
          <w:lang w:val="en-AU"/>
        </w:rPr>
        <w:t>Connected: Improving the Patient-Physician Relationship – and Health Care Itself – Through Communication</w:t>
      </w:r>
    </w:p>
    <w:p w:rsidR="007448AE" w:rsidRDefault="007448AE" w:rsidP="007448AE">
      <w:pPr>
        <w:keepNext/>
        <w:keepLines/>
        <w:autoSpaceDE w:val="0"/>
        <w:autoSpaceDN w:val="0"/>
        <w:adjustRightInd w:val="0"/>
        <w:rPr>
          <w:rFonts w:ascii="Garamond" w:hAnsi="Garamond"/>
          <w:lang w:val="en-AU"/>
        </w:rPr>
      </w:pPr>
      <w:r w:rsidRPr="00A106D6">
        <w:rPr>
          <w:rFonts w:ascii="Garamond" w:hAnsi="Garamond"/>
          <w:lang w:val="en-AU"/>
        </w:rPr>
        <w:t>American Association for Physician Leadership</w:t>
      </w:r>
      <w:r>
        <w:rPr>
          <w:rFonts w:ascii="Garamond" w:hAnsi="Garamond"/>
          <w:lang w:val="en-AU"/>
        </w:rPr>
        <w:t xml:space="preserve"> and</w:t>
      </w:r>
      <w:r w:rsidRPr="00A106D6">
        <w:rPr>
          <w:rFonts w:ascii="Garamond" w:hAnsi="Garamond"/>
          <w:lang w:val="en-AU"/>
        </w:rPr>
        <w:t xml:space="preserve"> The Beryl Institute</w:t>
      </w:r>
    </w:p>
    <w:p w:rsidR="007448AE" w:rsidRPr="000170DA" w:rsidRDefault="007448AE" w:rsidP="007448AE">
      <w:pPr>
        <w:keepNext/>
        <w:keepLines/>
        <w:autoSpaceDE w:val="0"/>
        <w:autoSpaceDN w:val="0"/>
        <w:adjustRightInd w:val="0"/>
        <w:rPr>
          <w:rFonts w:ascii="Garamond" w:hAnsi="Garamond"/>
          <w:lang w:val="en-AU"/>
        </w:rPr>
      </w:pPr>
      <w:r w:rsidRPr="00A106D6">
        <w:rPr>
          <w:rFonts w:ascii="Garamond" w:hAnsi="Garamond"/>
          <w:lang w:val="en-AU"/>
        </w:rPr>
        <w:t>Tampa FL and Southlake TX: American Association for Physician Leadership and The Beryl Institute; 2017. p. 24.</w:t>
      </w:r>
    </w:p>
    <w:tbl>
      <w:tblPr>
        <w:tblStyle w:val="TableGrid"/>
        <w:tblW w:w="0" w:type="auto"/>
        <w:tblInd w:w="288" w:type="dxa"/>
        <w:tblLayout w:type="fixed"/>
        <w:tblLook w:val="01E0" w:firstRow="1" w:lastRow="1" w:firstColumn="1" w:lastColumn="1" w:noHBand="0" w:noVBand="0"/>
      </w:tblPr>
      <w:tblGrid>
        <w:gridCol w:w="1080"/>
        <w:gridCol w:w="8280"/>
      </w:tblGrid>
      <w:tr w:rsidR="007448AE"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7448AE" w:rsidRPr="000170DA" w:rsidRDefault="007448AE" w:rsidP="0030768C">
            <w:pPr>
              <w:rPr>
                <w:rStyle w:val="Hyperlink"/>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448AE" w:rsidRPr="000170DA" w:rsidRDefault="00F95090" w:rsidP="0030768C">
            <w:pPr>
              <w:rPr>
                <w:rStyle w:val="Hyperlink"/>
                <w:rFonts w:ascii="Garamond" w:hAnsi="Garamond"/>
                <w:color w:val="auto"/>
                <w:u w:val="none"/>
                <w:lang w:val="en-AU"/>
              </w:rPr>
            </w:pPr>
            <w:hyperlink r:id="rId16" w:history="1">
              <w:r w:rsidR="007448AE" w:rsidRPr="00F77BC0">
                <w:rPr>
                  <w:rStyle w:val="Hyperlink"/>
                  <w:rFonts w:ascii="Garamond" w:hAnsi="Garamond"/>
                  <w:lang w:val="en-AU"/>
                </w:rPr>
                <w:t>https://theberylinstitute.site-ym.com/store/ViewProduct.aspx?id=10354794</w:t>
              </w:r>
            </w:hyperlink>
          </w:p>
        </w:tc>
      </w:tr>
      <w:tr w:rsidR="007448AE"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7448AE" w:rsidRPr="000170DA" w:rsidRDefault="007448AE" w:rsidP="0030768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448AE" w:rsidRPr="00231747" w:rsidRDefault="007448AE" w:rsidP="0030768C">
            <w:pPr>
              <w:rPr>
                <w:rFonts w:ascii="Garamond" w:hAnsi="Garamond"/>
                <w:lang w:val="en-AU"/>
              </w:rPr>
            </w:pPr>
            <w:r>
              <w:rPr>
                <w:rFonts w:ascii="Garamond" w:hAnsi="Garamond"/>
                <w:lang w:val="en-AU"/>
              </w:rPr>
              <w:t xml:space="preserve">The </w:t>
            </w:r>
            <w:r w:rsidRPr="00A106D6">
              <w:rPr>
                <w:rFonts w:ascii="Garamond" w:hAnsi="Garamond"/>
                <w:lang w:val="en-AU"/>
              </w:rPr>
              <w:t>American Association for Physician Leadership and The Beryl Institute</w:t>
            </w:r>
            <w:r>
              <w:rPr>
                <w:rFonts w:ascii="Garamond" w:hAnsi="Garamond"/>
                <w:lang w:val="en-AU"/>
              </w:rPr>
              <w:t xml:space="preserve"> have collaborated to produce this short report exploring </w:t>
            </w:r>
            <w:r w:rsidRPr="00231747">
              <w:rPr>
                <w:rFonts w:ascii="Garamond" w:hAnsi="Garamond"/>
                <w:lang w:val="en-AU"/>
              </w:rPr>
              <w:t xml:space="preserve">the value and impact of patient-physician communication in health care. The </w:t>
            </w:r>
            <w:r>
              <w:rPr>
                <w:rFonts w:ascii="Garamond" w:hAnsi="Garamond"/>
                <w:lang w:val="en-AU"/>
              </w:rPr>
              <w:t xml:space="preserve">document give </w:t>
            </w:r>
            <w:r w:rsidRPr="00231747">
              <w:rPr>
                <w:rFonts w:ascii="Garamond" w:hAnsi="Garamond"/>
                <w:lang w:val="en-AU"/>
              </w:rPr>
              <w:t>an overview of the patient</w:t>
            </w:r>
            <w:r>
              <w:rPr>
                <w:rFonts w:ascii="Garamond" w:hAnsi="Garamond"/>
                <w:lang w:val="en-AU"/>
              </w:rPr>
              <w:t>–</w:t>
            </w:r>
            <w:r w:rsidRPr="00231747">
              <w:rPr>
                <w:rFonts w:ascii="Garamond" w:hAnsi="Garamond"/>
                <w:lang w:val="en-AU"/>
              </w:rPr>
              <w:t>physician partnership</w:t>
            </w:r>
            <w:r w:rsidR="000778FC">
              <w:rPr>
                <w:rFonts w:ascii="Garamond" w:hAnsi="Garamond"/>
                <w:lang w:val="en-AU"/>
              </w:rPr>
              <w:t xml:space="preserve"> and</w:t>
            </w:r>
            <w:r w:rsidRPr="00231747">
              <w:rPr>
                <w:rFonts w:ascii="Garamond" w:hAnsi="Garamond"/>
                <w:lang w:val="en-AU"/>
              </w:rPr>
              <w:t xml:space="preserve"> the influence of physician leadership </w:t>
            </w:r>
            <w:r w:rsidR="000778FC">
              <w:rPr>
                <w:rFonts w:ascii="Garamond" w:hAnsi="Garamond"/>
                <w:lang w:val="en-AU"/>
              </w:rPr>
              <w:t xml:space="preserve">and also </w:t>
            </w:r>
            <w:r>
              <w:rPr>
                <w:rFonts w:ascii="Garamond" w:hAnsi="Garamond"/>
                <w:lang w:val="en-AU"/>
              </w:rPr>
              <w:t>discusses</w:t>
            </w:r>
            <w:r w:rsidRPr="00231747">
              <w:rPr>
                <w:rFonts w:ascii="Garamond" w:hAnsi="Garamond"/>
                <w:lang w:val="en-AU"/>
              </w:rPr>
              <w:t xml:space="preserve"> </w:t>
            </w:r>
          </w:p>
          <w:p w:rsidR="007448AE" w:rsidRPr="00231747" w:rsidRDefault="007448AE" w:rsidP="006B3922">
            <w:pPr>
              <w:pStyle w:val="ListParagraph"/>
              <w:numPr>
                <w:ilvl w:val="0"/>
                <w:numId w:val="15"/>
              </w:numPr>
              <w:rPr>
                <w:rFonts w:ascii="Garamond" w:hAnsi="Garamond"/>
                <w:lang w:val="en-AU"/>
              </w:rPr>
            </w:pPr>
            <w:r w:rsidRPr="00231747">
              <w:rPr>
                <w:rFonts w:ascii="Garamond" w:hAnsi="Garamond"/>
                <w:lang w:val="en-AU"/>
              </w:rPr>
              <w:t xml:space="preserve">Recommendations on how to bring health care teams and organizations back to basics when communicating with patients </w:t>
            </w:r>
          </w:p>
          <w:p w:rsidR="007448AE" w:rsidRPr="00231747" w:rsidRDefault="007448AE" w:rsidP="006B3922">
            <w:pPr>
              <w:pStyle w:val="ListParagraph"/>
              <w:numPr>
                <w:ilvl w:val="0"/>
                <w:numId w:val="15"/>
              </w:numPr>
              <w:rPr>
                <w:rFonts w:ascii="Garamond" w:hAnsi="Garamond"/>
                <w:lang w:val="en-AU"/>
              </w:rPr>
            </w:pPr>
            <w:r w:rsidRPr="00231747">
              <w:rPr>
                <w:rFonts w:ascii="Garamond" w:hAnsi="Garamond"/>
                <w:lang w:val="en-AU"/>
              </w:rPr>
              <w:t xml:space="preserve">Insights on how collaboration is a partnership that requires honest dialogue </w:t>
            </w:r>
          </w:p>
          <w:p w:rsidR="007448AE" w:rsidRPr="00231747" w:rsidRDefault="007448AE" w:rsidP="006B3922">
            <w:pPr>
              <w:pStyle w:val="ListParagraph"/>
              <w:numPr>
                <w:ilvl w:val="0"/>
                <w:numId w:val="15"/>
              </w:numPr>
              <w:rPr>
                <w:rFonts w:ascii="Garamond" w:hAnsi="Garamond"/>
                <w:lang w:val="en-AU"/>
              </w:rPr>
            </w:pPr>
            <w:r w:rsidRPr="00231747">
              <w:rPr>
                <w:rFonts w:ascii="Garamond" w:hAnsi="Garamond"/>
                <w:lang w:val="en-AU"/>
              </w:rPr>
              <w:t xml:space="preserve">Tips for patients and physicians on how to improve the patient experience </w:t>
            </w:r>
          </w:p>
          <w:p w:rsidR="007448AE" w:rsidRPr="00231747" w:rsidRDefault="007448AE" w:rsidP="006B3922">
            <w:pPr>
              <w:pStyle w:val="ListParagraph"/>
              <w:numPr>
                <w:ilvl w:val="0"/>
                <w:numId w:val="15"/>
              </w:numPr>
              <w:rPr>
                <w:rFonts w:ascii="Garamond" w:hAnsi="Garamond"/>
                <w:lang w:val="en-AU"/>
              </w:rPr>
            </w:pPr>
            <w:r w:rsidRPr="00231747">
              <w:rPr>
                <w:rFonts w:ascii="Garamond" w:hAnsi="Garamond"/>
                <w:lang w:val="en-AU"/>
              </w:rPr>
              <w:t>Patient and physician voices and perspectives.</w:t>
            </w:r>
          </w:p>
        </w:tc>
      </w:tr>
    </w:tbl>
    <w:p w:rsidR="007448AE" w:rsidRDefault="007448AE" w:rsidP="007448AE">
      <w:pPr>
        <w:rPr>
          <w:lang w:val="en-AU"/>
        </w:rPr>
      </w:pPr>
    </w:p>
    <w:p w:rsidR="007448AE" w:rsidRDefault="007448AE" w:rsidP="007448AE">
      <w:pPr>
        <w:rPr>
          <w:lang w:val="en-AU"/>
        </w:rPr>
      </w:pPr>
      <w:r w:rsidRPr="000170DA">
        <w:rPr>
          <w:rFonts w:ascii="Garamond" w:hAnsi="Garamond"/>
          <w:lang w:val="en-AU"/>
        </w:rPr>
        <w:t>For information on the Commission’s work on</w:t>
      </w:r>
      <w:r>
        <w:rPr>
          <w:rFonts w:ascii="Garamond" w:hAnsi="Garamond"/>
          <w:lang w:val="en-AU"/>
        </w:rPr>
        <w:t xml:space="preserve"> clinical communications, see </w:t>
      </w:r>
      <w:hyperlink r:id="rId17" w:history="1">
        <w:r w:rsidRPr="004B683A">
          <w:rPr>
            <w:rStyle w:val="Hyperlink"/>
            <w:rFonts w:ascii="Garamond" w:hAnsi="Garamond"/>
            <w:lang w:val="en-AU"/>
          </w:rPr>
          <w:t>https://www.safetyandquality.gov.au/our-work/clinical-communications/</w:t>
        </w:r>
      </w:hyperlink>
    </w:p>
    <w:p w:rsidR="007448AE" w:rsidRDefault="007448AE" w:rsidP="007448AE">
      <w:pPr>
        <w:rPr>
          <w:lang w:val="en-AU"/>
        </w:rPr>
      </w:pPr>
    </w:p>
    <w:p w:rsidR="00C40225" w:rsidRDefault="00C40225">
      <w:pPr>
        <w:rPr>
          <w:rFonts w:ascii="Garamond" w:hAnsi="Garamond"/>
          <w:i/>
          <w:lang w:val="en-AU"/>
        </w:rPr>
      </w:pPr>
      <w:r>
        <w:rPr>
          <w:rFonts w:ascii="Garamond" w:hAnsi="Garamond"/>
          <w:i/>
          <w:lang w:val="en-AU"/>
        </w:rPr>
        <w:br w:type="page"/>
      </w:r>
    </w:p>
    <w:p w:rsidR="00C40225" w:rsidRDefault="00C40225" w:rsidP="00C40225">
      <w:pPr>
        <w:rPr>
          <w:rFonts w:ascii="Garamond" w:hAnsi="Garamond"/>
          <w:i/>
          <w:lang w:val="en-AU"/>
        </w:rPr>
      </w:pPr>
      <w:r w:rsidRPr="00D1361C">
        <w:rPr>
          <w:rFonts w:ascii="Garamond" w:hAnsi="Garamond"/>
          <w:i/>
          <w:lang w:val="en-AU"/>
        </w:rPr>
        <w:lastRenderedPageBreak/>
        <w:t xml:space="preserve">Power through knowledge: </w:t>
      </w:r>
      <w:r>
        <w:rPr>
          <w:rFonts w:ascii="Garamond" w:hAnsi="Garamond"/>
          <w:i/>
          <w:lang w:val="en-AU"/>
        </w:rPr>
        <w:t>P</w:t>
      </w:r>
      <w:r w:rsidRPr="00D1361C">
        <w:rPr>
          <w:rFonts w:ascii="Garamond" w:hAnsi="Garamond"/>
          <w:i/>
          <w:lang w:val="en-AU"/>
        </w:rPr>
        <w:t>atient education and self-management keys to successfully managing chronic pain</w:t>
      </w:r>
    </w:p>
    <w:p w:rsidR="00C40225" w:rsidRDefault="00C40225" w:rsidP="00C40225">
      <w:pPr>
        <w:rPr>
          <w:rFonts w:ascii="Garamond" w:hAnsi="Garamond"/>
          <w:lang w:val="en-AU"/>
        </w:rPr>
      </w:pPr>
      <w:r w:rsidRPr="009C36C9">
        <w:rPr>
          <w:rFonts w:ascii="Garamond" w:hAnsi="Garamond"/>
          <w:lang w:val="en-AU"/>
        </w:rPr>
        <w:t>Deeble Institute Evidence Brief No 17</w:t>
      </w:r>
    </w:p>
    <w:p w:rsidR="00C40225" w:rsidRDefault="00C40225" w:rsidP="00C40225">
      <w:pPr>
        <w:rPr>
          <w:rFonts w:ascii="Garamond" w:hAnsi="Garamond"/>
          <w:lang w:val="en-AU"/>
        </w:rPr>
      </w:pPr>
      <w:r w:rsidRPr="009C36C9">
        <w:rPr>
          <w:rFonts w:ascii="Garamond" w:hAnsi="Garamond"/>
          <w:lang w:val="en-AU"/>
        </w:rPr>
        <w:t>Bennett C</w:t>
      </w:r>
    </w:p>
    <w:p w:rsidR="00C40225" w:rsidRPr="00D1361C" w:rsidRDefault="00C40225" w:rsidP="00C40225">
      <w:pPr>
        <w:rPr>
          <w:rFonts w:ascii="Garamond" w:hAnsi="Garamond"/>
          <w:lang w:val="en-AU"/>
        </w:rPr>
      </w:pPr>
      <w:r w:rsidRPr="009C36C9">
        <w:rPr>
          <w:rFonts w:ascii="Garamond" w:hAnsi="Garamond"/>
          <w:lang w:val="en-AU"/>
        </w:rPr>
        <w:t>Canberra: Australian Healthcare and Hospitals Association; 2017. p. 9.</w:t>
      </w:r>
    </w:p>
    <w:tbl>
      <w:tblPr>
        <w:tblStyle w:val="TableGrid"/>
        <w:tblW w:w="0" w:type="auto"/>
        <w:tblInd w:w="288" w:type="dxa"/>
        <w:tblLayout w:type="fixed"/>
        <w:tblLook w:val="01E0" w:firstRow="1" w:lastRow="1" w:firstColumn="1" w:lastColumn="1" w:noHBand="0" w:noVBand="0"/>
      </w:tblPr>
      <w:tblGrid>
        <w:gridCol w:w="1080"/>
        <w:gridCol w:w="8280"/>
      </w:tblGrid>
      <w:tr w:rsidR="00C40225" w:rsidRPr="000170DA" w:rsidTr="000F7ACF">
        <w:tc>
          <w:tcPr>
            <w:tcW w:w="1080" w:type="dxa"/>
            <w:tcBorders>
              <w:top w:val="single" w:sz="4" w:space="0" w:color="auto"/>
              <w:left w:val="single" w:sz="4" w:space="0" w:color="auto"/>
              <w:bottom w:val="single" w:sz="4" w:space="0" w:color="auto"/>
              <w:right w:val="single" w:sz="4" w:space="0" w:color="auto"/>
            </w:tcBorders>
            <w:vAlign w:val="center"/>
          </w:tcPr>
          <w:p w:rsidR="00C40225" w:rsidRPr="000170DA" w:rsidRDefault="00C40225" w:rsidP="000F7ACF">
            <w:pPr>
              <w:rPr>
                <w:rStyle w:val="Hyperlink"/>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40225" w:rsidRPr="000170DA" w:rsidRDefault="00F95090" w:rsidP="000F7ACF">
            <w:pPr>
              <w:keepNext/>
              <w:keepLines/>
              <w:autoSpaceDE w:val="0"/>
              <w:autoSpaceDN w:val="0"/>
              <w:adjustRightInd w:val="0"/>
              <w:rPr>
                <w:rStyle w:val="Hyperlink"/>
                <w:rFonts w:ascii="Garamond" w:hAnsi="Garamond"/>
                <w:color w:val="auto"/>
                <w:u w:val="none"/>
                <w:lang w:val="en-AU"/>
              </w:rPr>
            </w:pPr>
            <w:hyperlink r:id="rId18" w:history="1">
              <w:r w:rsidR="00C40225" w:rsidRPr="00752CA1">
                <w:rPr>
                  <w:rStyle w:val="Hyperlink"/>
                  <w:rFonts w:ascii="Garamond" w:hAnsi="Garamond"/>
                  <w:lang w:val="en-AU"/>
                </w:rPr>
                <w:t>https://ahha.asn.au/publication/evidence-briefs/evidence-brief-17-power-through-knowledge-patient-education-and-self</w:t>
              </w:r>
            </w:hyperlink>
          </w:p>
        </w:tc>
      </w:tr>
      <w:tr w:rsidR="00C40225" w:rsidRPr="000170DA" w:rsidTr="000F7ACF">
        <w:tc>
          <w:tcPr>
            <w:tcW w:w="1080" w:type="dxa"/>
            <w:tcBorders>
              <w:top w:val="single" w:sz="4" w:space="0" w:color="auto"/>
              <w:left w:val="single" w:sz="4" w:space="0" w:color="auto"/>
              <w:bottom w:val="single" w:sz="4" w:space="0" w:color="auto"/>
              <w:right w:val="single" w:sz="4" w:space="0" w:color="auto"/>
            </w:tcBorders>
            <w:vAlign w:val="center"/>
          </w:tcPr>
          <w:p w:rsidR="00C40225" w:rsidRPr="000170DA" w:rsidRDefault="00C40225" w:rsidP="000F7AC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0225" w:rsidRDefault="00C40225" w:rsidP="000F7ACF">
            <w:pPr>
              <w:rPr>
                <w:rFonts w:ascii="Garamond" w:hAnsi="Garamond"/>
                <w:lang w:val="en-AU"/>
              </w:rPr>
            </w:pPr>
            <w:r>
              <w:rPr>
                <w:rFonts w:ascii="Garamond" w:hAnsi="Garamond"/>
                <w:lang w:val="en-AU"/>
              </w:rPr>
              <w:t xml:space="preserve">The Deeble Institute of the </w:t>
            </w:r>
            <w:r w:rsidRPr="00CC42EE">
              <w:rPr>
                <w:rFonts w:ascii="Garamond" w:hAnsi="Garamond"/>
                <w:lang w:val="en-AU"/>
              </w:rPr>
              <w:t>Australian Healthcare and Hospitals Association</w:t>
            </w:r>
            <w:r>
              <w:rPr>
                <w:rFonts w:ascii="Garamond" w:hAnsi="Garamond"/>
                <w:lang w:val="en-AU"/>
              </w:rPr>
              <w:t xml:space="preserve"> has published this short evidence brief observing the extent and state of </w:t>
            </w:r>
            <w:r w:rsidRPr="008E4389">
              <w:rPr>
                <w:rFonts w:ascii="Garamond" w:hAnsi="Garamond"/>
                <w:b/>
                <w:lang w:val="en-AU"/>
              </w:rPr>
              <w:t>chronic pain management</w:t>
            </w:r>
            <w:r>
              <w:rPr>
                <w:rFonts w:ascii="Garamond" w:hAnsi="Garamond"/>
                <w:lang w:val="en-AU"/>
              </w:rPr>
              <w:t xml:space="preserve">. The </w:t>
            </w:r>
            <w:r w:rsidR="008E4389">
              <w:rPr>
                <w:rFonts w:ascii="Garamond" w:hAnsi="Garamond"/>
                <w:lang w:val="en-AU"/>
              </w:rPr>
              <w:t>b</w:t>
            </w:r>
            <w:r>
              <w:rPr>
                <w:rFonts w:ascii="Garamond" w:hAnsi="Garamond"/>
                <w:lang w:val="en-AU"/>
              </w:rPr>
              <w:t xml:space="preserve">rief argues that chronic pain (defined as </w:t>
            </w:r>
            <w:r w:rsidRPr="009C36C9">
              <w:rPr>
                <w:rFonts w:ascii="Garamond" w:hAnsi="Garamond"/>
                <w:lang w:val="en-AU"/>
              </w:rPr>
              <w:t>ongoing or recurrent pain that continues beyond three months or the expected time for healing)</w:t>
            </w:r>
            <w:r>
              <w:rPr>
                <w:rFonts w:ascii="Garamond" w:hAnsi="Garamond"/>
                <w:lang w:val="en-AU"/>
              </w:rPr>
              <w:t xml:space="preserve"> affects </w:t>
            </w:r>
            <w:r w:rsidRPr="008E4389">
              <w:rPr>
                <w:rFonts w:ascii="Garamond" w:hAnsi="Garamond"/>
                <w:b/>
                <w:lang w:val="en-AU"/>
              </w:rPr>
              <w:t>20% of Australian adults and children</w:t>
            </w:r>
            <w:r w:rsidRPr="009C36C9">
              <w:rPr>
                <w:rFonts w:ascii="Garamond" w:hAnsi="Garamond"/>
                <w:lang w:val="en-AU"/>
              </w:rPr>
              <w:t xml:space="preserve"> and one in three people aged over the age of 65</w:t>
            </w:r>
            <w:r>
              <w:rPr>
                <w:rFonts w:ascii="Garamond" w:hAnsi="Garamond"/>
                <w:lang w:val="en-AU"/>
              </w:rPr>
              <w:t xml:space="preserve">. This means it has </w:t>
            </w:r>
            <w:r w:rsidRPr="009C36C9">
              <w:rPr>
                <w:rFonts w:ascii="Garamond" w:hAnsi="Garamond"/>
                <w:lang w:val="en-AU"/>
              </w:rPr>
              <w:t>significant economic and social cost.</w:t>
            </w:r>
            <w:r w:rsidR="008E4389">
              <w:rPr>
                <w:rFonts w:ascii="Garamond" w:hAnsi="Garamond"/>
                <w:lang w:val="en-AU"/>
              </w:rPr>
              <w:t xml:space="preserve"> </w:t>
            </w:r>
            <w:r>
              <w:rPr>
                <w:rFonts w:ascii="Garamond" w:hAnsi="Garamond"/>
                <w:lang w:val="en-AU"/>
              </w:rPr>
              <w:t xml:space="preserve">The Brief includes a proposal for </w:t>
            </w:r>
            <w:r w:rsidRPr="009C36C9">
              <w:rPr>
                <w:rFonts w:ascii="Garamond" w:hAnsi="Garamond"/>
                <w:lang w:val="en-AU"/>
              </w:rPr>
              <w:t xml:space="preserve">six actions the Australian Government </w:t>
            </w:r>
            <w:r>
              <w:rPr>
                <w:rFonts w:ascii="Garamond" w:hAnsi="Garamond"/>
                <w:lang w:val="en-AU"/>
              </w:rPr>
              <w:t xml:space="preserve">could </w:t>
            </w:r>
            <w:r w:rsidRPr="009C36C9">
              <w:rPr>
                <w:rFonts w:ascii="Garamond" w:hAnsi="Garamond"/>
                <w:lang w:val="en-AU"/>
              </w:rPr>
              <w:t xml:space="preserve">focus on as part of a long-term national strategy to reduce Australia’s pain burden on the economy, on productivity and on those who live with pain and their families. </w:t>
            </w:r>
            <w:r>
              <w:rPr>
                <w:rFonts w:ascii="Garamond" w:hAnsi="Garamond"/>
                <w:lang w:val="en-AU"/>
              </w:rPr>
              <w:t xml:space="preserve">The proposal is for a </w:t>
            </w:r>
            <w:r w:rsidRPr="00C40225">
              <w:rPr>
                <w:rFonts w:ascii="Garamond" w:hAnsi="Garamond"/>
                <w:lang w:val="en-AU"/>
              </w:rPr>
              <w:t>national pain strategy that seeks to:</w:t>
            </w:r>
          </w:p>
          <w:p w:rsidR="00C40225" w:rsidRDefault="00C40225" w:rsidP="000F7ACF">
            <w:pPr>
              <w:pStyle w:val="ListParagraph"/>
              <w:numPr>
                <w:ilvl w:val="0"/>
                <w:numId w:val="20"/>
              </w:numPr>
              <w:rPr>
                <w:rFonts w:ascii="Garamond" w:hAnsi="Garamond"/>
                <w:lang w:val="en-AU"/>
              </w:rPr>
            </w:pPr>
            <w:r w:rsidRPr="00C40225">
              <w:rPr>
                <w:rFonts w:ascii="Garamond" w:hAnsi="Garamond"/>
                <w:lang w:val="en-AU"/>
              </w:rPr>
              <w:t>empower consumers</w:t>
            </w:r>
          </w:p>
          <w:p w:rsidR="00C40225" w:rsidRDefault="00C40225" w:rsidP="000F7ACF">
            <w:pPr>
              <w:pStyle w:val="ListParagraph"/>
              <w:numPr>
                <w:ilvl w:val="0"/>
                <w:numId w:val="20"/>
              </w:numPr>
              <w:rPr>
                <w:rFonts w:ascii="Garamond" w:hAnsi="Garamond"/>
                <w:lang w:val="en-AU"/>
              </w:rPr>
            </w:pPr>
            <w:r w:rsidRPr="00C40225">
              <w:rPr>
                <w:rFonts w:ascii="Garamond" w:hAnsi="Garamond"/>
                <w:lang w:val="en-AU"/>
              </w:rPr>
              <w:t>prevent chronic pain and intervene early</w:t>
            </w:r>
          </w:p>
          <w:p w:rsidR="00C40225" w:rsidRDefault="00C40225" w:rsidP="000F7ACF">
            <w:pPr>
              <w:pStyle w:val="ListParagraph"/>
              <w:numPr>
                <w:ilvl w:val="0"/>
                <w:numId w:val="20"/>
              </w:numPr>
              <w:rPr>
                <w:rFonts w:ascii="Garamond" w:hAnsi="Garamond"/>
                <w:lang w:val="en-AU"/>
              </w:rPr>
            </w:pPr>
            <w:r w:rsidRPr="00C40225">
              <w:rPr>
                <w:rFonts w:ascii="Garamond" w:hAnsi="Garamond"/>
                <w:lang w:val="en-AU"/>
              </w:rPr>
              <w:t>expand treatment services</w:t>
            </w:r>
          </w:p>
          <w:p w:rsidR="00C40225" w:rsidRDefault="00C40225" w:rsidP="000F7ACF">
            <w:pPr>
              <w:pStyle w:val="ListParagraph"/>
              <w:numPr>
                <w:ilvl w:val="0"/>
                <w:numId w:val="20"/>
              </w:numPr>
              <w:rPr>
                <w:rFonts w:ascii="Garamond" w:hAnsi="Garamond"/>
                <w:lang w:val="en-AU"/>
              </w:rPr>
            </w:pPr>
            <w:r w:rsidRPr="00C40225">
              <w:rPr>
                <w:rFonts w:ascii="Garamond" w:hAnsi="Garamond"/>
                <w:lang w:val="en-AU"/>
              </w:rPr>
              <w:t>build capacity in our health and aged care workforce</w:t>
            </w:r>
          </w:p>
          <w:p w:rsidR="00C40225" w:rsidRDefault="00C40225" w:rsidP="000F7ACF">
            <w:pPr>
              <w:pStyle w:val="ListParagraph"/>
              <w:numPr>
                <w:ilvl w:val="0"/>
                <w:numId w:val="20"/>
              </w:numPr>
              <w:rPr>
                <w:rFonts w:ascii="Garamond" w:hAnsi="Garamond"/>
                <w:lang w:val="en-AU"/>
              </w:rPr>
            </w:pPr>
            <w:r w:rsidRPr="00C40225">
              <w:rPr>
                <w:rFonts w:ascii="Garamond" w:hAnsi="Garamond"/>
                <w:lang w:val="en-AU"/>
              </w:rPr>
              <w:t>mi</w:t>
            </w:r>
            <w:r>
              <w:rPr>
                <w:rFonts w:ascii="Garamond" w:hAnsi="Garamond"/>
                <w:lang w:val="en-AU"/>
              </w:rPr>
              <w:t>nimise impact in our workplaces,</w:t>
            </w:r>
            <w:r w:rsidRPr="00C40225">
              <w:rPr>
                <w:rFonts w:ascii="Garamond" w:hAnsi="Garamond"/>
                <w:lang w:val="en-AU"/>
              </w:rPr>
              <w:t xml:space="preserve"> and </w:t>
            </w:r>
          </w:p>
          <w:p w:rsidR="00C40225" w:rsidRPr="00D1361C" w:rsidRDefault="00C40225" w:rsidP="000F7ACF">
            <w:pPr>
              <w:pStyle w:val="ListParagraph"/>
              <w:numPr>
                <w:ilvl w:val="0"/>
                <w:numId w:val="20"/>
              </w:numPr>
              <w:rPr>
                <w:rFonts w:ascii="Garamond" w:hAnsi="Garamond"/>
                <w:lang w:val="en-AU"/>
              </w:rPr>
            </w:pPr>
            <w:r>
              <w:rPr>
                <w:rFonts w:ascii="Garamond" w:hAnsi="Garamond"/>
                <w:lang w:val="en-AU"/>
              </w:rPr>
              <w:t>b</w:t>
            </w:r>
            <w:r w:rsidRPr="00C40225">
              <w:rPr>
                <w:rFonts w:ascii="Garamond" w:hAnsi="Garamond"/>
                <w:lang w:val="en-AU"/>
              </w:rPr>
              <w:t>etter understand the impact of pain and how we can best treat and support people living with chronic pain.</w:t>
            </w:r>
          </w:p>
        </w:tc>
      </w:tr>
    </w:tbl>
    <w:p w:rsidR="00C40225" w:rsidRDefault="00C40225" w:rsidP="002A3B8E">
      <w:pPr>
        <w:keepNext/>
        <w:keepLines/>
        <w:autoSpaceDE w:val="0"/>
        <w:autoSpaceDN w:val="0"/>
        <w:adjustRightInd w:val="0"/>
        <w:rPr>
          <w:rFonts w:ascii="Garamond" w:hAnsi="Garamond"/>
          <w:i/>
          <w:lang w:val="en-AU"/>
        </w:rPr>
      </w:pPr>
    </w:p>
    <w:p w:rsidR="00C40225" w:rsidRPr="002A3B8E" w:rsidRDefault="00C40225" w:rsidP="00C40225">
      <w:pPr>
        <w:keepNext/>
        <w:keepLines/>
        <w:autoSpaceDE w:val="0"/>
        <w:autoSpaceDN w:val="0"/>
        <w:adjustRightInd w:val="0"/>
        <w:rPr>
          <w:rFonts w:ascii="Garamond" w:hAnsi="Garamond"/>
          <w:i/>
          <w:lang w:val="en-AU"/>
        </w:rPr>
      </w:pPr>
      <w:r w:rsidRPr="002A3B8E">
        <w:rPr>
          <w:rFonts w:ascii="Garamond" w:hAnsi="Garamond"/>
          <w:i/>
          <w:lang w:val="en-AU"/>
        </w:rPr>
        <w:t>Reducing Inappropriate Medication Use by Implementing Deprescribing Guidelines. A Case Study for US Health Care Delivery System Innovation</w:t>
      </w:r>
    </w:p>
    <w:p w:rsidR="00C40225" w:rsidRDefault="00C40225" w:rsidP="00C40225">
      <w:pPr>
        <w:keepNext/>
        <w:keepLines/>
        <w:autoSpaceDE w:val="0"/>
        <w:autoSpaceDN w:val="0"/>
        <w:adjustRightInd w:val="0"/>
        <w:rPr>
          <w:rFonts w:ascii="Garamond" w:hAnsi="Garamond"/>
          <w:lang w:val="en-AU"/>
        </w:rPr>
      </w:pPr>
      <w:r w:rsidRPr="002A3B8E">
        <w:rPr>
          <w:rFonts w:ascii="Garamond" w:hAnsi="Garamond"/>
          <w:lang w:val="en-AU"/>
        </w:rPr>
        <w:t>McCarthy D</w:t>
      </w:r>
    </w:p>
    <w:p w:rsidR="00C40225" w:rsidRPr="000170DA" w:rsidRDefault="00C40225" w:rsidP="00C40225">
      <w:pPr>
        <w:keepNext/>
        <w:keepLines/>
        <w:autoSpaceDE w:val="0"/>
        <w:autoSpaceDN w:val="0"/>
        <w:adjustRightInd w:val="0"/>
        <w:rPr>
          <w:rFonts w:ascii="Garamond" w:hAnsi="Garamond"/>
          <w:lang w:val="en-AU"/>
        </w:rPr>
      </w:pPr>
      <w:r w:rsidRPr="002A3B8E">
        <w:rPr>
          <w:rFonts w:ascii="Garamond" w:hAnsi="Garamond"/>
          <w:lang w:val="en-AU"/>
        </w:rPr>
        <w:t>Cambridge: Institute for Healthcare Improvement; 2017. p. 14.</w:t>
      </w:r>
    </w:p>
    <w:tbl>
      <w:tblPr>
        <w:tblStyle w:val="TableGrid"/>
        <w:tblW w:w="0" w:type="auto"/>
        <w:tblInd w:w="288" w:type="dxa"/>
        <w:tblLayout w:type="fixed"/>
        <w:tblLook w:val="01E0" w:firstRow="1" w:lastRow="1" w:firstColumn="1" w:lastColumn="1" w:noHBand="0" w:noVBand="0"/>
      </w:tblPr>
      <w:tblGrid>
        <w:gridCol w:w="1080"/>
        <w:gridCol w:w="8280"/>
      </w:tblGrid>
      <w:tr w:rsidR="00C40225" w:rsidRPr="000170DA" w:rsidTr="000F7ACF">
        <w:tc>
          <w:tcPr>
            <w:tcW w:w="1080" w:type="dxa"/>
            <w:tcBorders>
              <w:top w:val="single" w:sz="4" w:space="0" w:color="auto"/>
              <w:left w:val="single" w:sz="4" w:space="0" w:color="auto"/>
              <w:bottom w:val="single" w:sz="4" w:space="0" w:color="auto"/>
              <w:right w:val="single" w:sz="4" w:space="0" w:color="auto"/>
            </w:tcBorders>
            <w:vAlign w:val="center"/>
          </w:tcPr>
          <w:p w:rsidR="00C40225" w:rsidRPr="000170DA" w:rsidRDefault="00C40225" w:rsidP="000F7ACF">
            <w:pPr>
              <w:rPr>
                <w:rStyle w:val="Hyperlink"/>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40225" w:rsidRPr="000170DA" w:rsidRDefault="00F95090" w:rsidP="000F7ACF">
            <w:pPr>
              <w:rPr>
                <w:rStyle w:val="Hyperlink"/>
                <w:rFonts w:ascii="Garamond" w:hAnsi="Garamond"/>
                <w:color w:val="auto"/>
                <w:u w:val="none"/>
                <w:lang w:val="en-AU"/>
              </w:rPr>
            </w:pPr>
            <w:hyperlink r:id="rId19" w:history="1">
              <w:r w:rsidR="00C40225" w:rsidRPr="004B683A">
                <w:rPr>
                  <w:rStyle w:val="Hyperlink"/>
                  <w:rFonts w:ascii="Garamond" w:hAnsi="Garamond"/>
                  <w:lang w:val="en-AU"/>
                </w:rPr>
                <w:t>http://www.ihi.org/resources/Pages/Publications/Evidence-Based-Medication-Deprescribing-Innovation-Case-Study.aspx</w:t>
              </w:r>
            </w:hyperlink>
          </w:p>
        </w:tc>
      </w:tr>
      <w:tr w:rsidR="00C40225" w:rsidRPr="000170DA" w:rsidTr="000F7ACF">
        <w:tc>
          <w:tcPr>
            <w:tcW w:w="1080" w:type="dxa"/>
            <w:tcBorders>
              <w:top w:val="single" w:sz="4" w:space="0" w:color="auto"/>
              <w:left w:val="single" w:sz="4" w:space="0" w:color="auto"/>
              <w:bottom w:val="single" w:sz="4" w:space="0" w:color="auto"/>
              <w:right w:val="single" w:sz="4" w:space="0" w:color="auto"/>
            </w:tcBorders>
            <w:vAlign w:val="center"/>
          </w:tcPr>
          <w:p w:rsidR="00C40225" w:rsidRPr="000170DA" w:rsidRDefault="00C40225" w:rsidP="000F7AC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0225" w:rsidRPr="004479F7" w:rsidRDefault="00C40225" w:rsidP="000F7ACF">
            <w:pPr>
              <w:rPr>
                <w:rFonts w:ascii="Garamond" w:hAnsi="Garamond"/>
                <w:lang w:val="en-AU"/>
              </w:rPr>
            </w:pPr>
            <w:r>
              <w:rPr>
                <w:rFonts w:ascii="Garamond" w:hAnsi="Garamond"/>
                <w:lang w:val="en-AU"/>
              </w:rPr>
              <w:t xml:space="preserve">The (US) </w:t>
            </w:r>
            <w:r w:rsidRPr="002A3B8E">
              <w:rPr>
                <w:rFonts w:ascii="Garamond" w:hAnsi="Garamond"/>
                <w:lang w:val="en-AU"/>
              </w:rPr>
              <w:t>Institute for Healthcare Improvement</w:t>
            </w:r>
            <w:r>
              <w:rPr>
                <w:rFonts w:ascii="Garamond" w:hAnsi="Garamond"/>
                <w:lang w:val="en-AU"/>
              </w:rPr>
              <w:t xml:space="preserve"> has published this short report reviewing a Canadian </w:t>
            </w:r>
            <w:r w:rsidRPr="008E4389">
              <w:rPr>
                <w:rFonts w:ascii="Garamond" w:hAnsi="Garamond"/>
                <w:b/>
                <w:lang w:val="en-AU"/>
              </w:rPr>
              <w:t>deprescribing</w:t>
            </w:r>
            <w:r>
              <w:rPr>
                <w:rFonts w:ascii="Garamond" w:hAnsi="Garamond"/>
                <w:lang w:val="en-AU"/>
              </w:rPr>
              <w:t xml:space="preserve"> initiative with a view to how such innovations could be applied to the US health system. The report describes the Canadian initiative as “</w:t>
            </w:r>
            <w:r w:rsidRPr="002A3B8E">
              <w:rPr>
                <w:rFonts w:ascii="Garamond" w:hAnsi="Garamond"/>
                <w:lang w:val="en-AU"/>
              </w:rPr>
              <w:t>a credible, low-cost process for developing and implementing evidence-based deprescribing guidelines and tools for assessing, tapering, and stopping medications that may cause harm or no longer benefit patients</w:t>
            </w:r>
            <w:r>
              <w:rPr>
                <w:rFonts w:ascii="Garamond" w:hAnsi="Garamond"/>
                <w:lang w:val="en-AU"/>
              </w:rPr>
              <w:t>”</w:t>
            </w:r>
            <w:r w:rsidRPr="002A3B8E">
              <w:rPr>
                <w:rFonts w:ascii="Garamond" w:hAnsi="Garamond"/>
                <w:lang w:val="en-AU"/>
              </w:rPr>
              <w:t>.</w:t>
            </w:r>
            <w:r>
              <w:rPr>
                <w:rFonts w:ascii="Garamond" w:hAnsi="Garamond"/>
                <w:lang w:val="en-AU"/>
              </w:rPr>
              <w:t xml:space="preserve"> The intervention guided primary care providers in considering ways of </w:t>
            </w:r>
            <w:r w:rsidRPr="002A3B8E">
              <w:rPr>
                <w:rFonts w:ascii="Garamond" w:hAnsi="Garamond"/>
                <w:lang w:val="en-AU"/>
              </w:rPr>
              <w:t>identifying such medications and engaging patients in conversations about discontinuing them</w:t>
            </w:r>
            <w:r>
              <w:rPr>
                <w:rFonts w:ascii="Garamond" w:hAnsi="Garamond"/>
                <w:lang w:val="en-AU"/>
              </w:rPr>
              <w:t xml:space="preserve">. </w:t>
            </w:r>
            <w:r w:rsidRPr="002A3B8E">
              <w:rPr>
                <w:rFonts w:ascii="Garamond" w:hAnsi="Garamond"/>
                <w:lang w:val="en-AU"/>
              </w:rPr>
              <w:t xml:space="preserve">Expected outcomes include </w:t>
            </w:r>
            <w:r w:rsidRPr="008E4389">
              <w:rPr>
                <w:rFonts w:ascii="Garamond" w:hAnsi="Garamond"/>
                <w:b/>
                <w:lang w:val="en-AU"/>
              </w:rPr>
              <w:t>reductions in adverse drug events and medication costs</w:t>
            </w:r>
            <w:r w:rsidRPr="002A3B8E">
              <w:rPr>
                <w:rFonts w:ascii="Garamond" w:hAnsi="Garamond"/>
                <w:lang w:val="en-AU"/>
              </w:rPr>
              <w:t xml:space="preserve"> as well as </w:t>
            </w:r>
            <w:r w:rsidRPr="008E4389">
              <w:rPr>
                <w:rFonts w:ascii="Garamond" w:hAnsi="Garamond"/>
                <w:b/>
                <w:lang w:val="en-AU"/>
              </w:rPr>
              <w:t>improvements in patient quality of life</w:t>
            </w:r>
            <w:r w:rsidRPr="002A3B8E">
              <w:rPr>
                <w:rFonts w:ascii="Garamond" w:hAnsi="Garamond"/>
                <w:lang w:val="en-AU"/>
              </w:rPr>
              <w:t xml:space="preserve">. </w:t>
            </w:r>
            <w:r>
              <w:rPr>
                <w:rFonts w:ascii="Garamond" w:hAnsi="Garamond"/>
                <w:lang w:val="en-AU"/>
              </w:rPr>
              <w:t>The report suggests that “</w:t>
            </w:r>
            <w:r w:rsidRPr="002A3B8E">
              <w:rPr>
                <w:rFonts w:ascii="Garamond" w:hAnsi="Garamond"/>
                <w:lang w:val="en-AU"/>
              </w:rPr>
              <w:t>Adoption of these deprescribing guidelines in the United States may be facilitated by medication management and stewardship programs, value-based payment incentives, and patient concerns about medication safety and cost-sharing burdens.</w:t>
            </w:r>
            <w:r>
              <w:rPr>
                <w:rFonts w:ascii="Garamond" w:hAnsi="Garamond"/>
                <w:lang w:val="en-AU"/>
              </w:rPr>
              <w:t>”</w:t>
            </w:r>
          </w:p>
        </w:tc>
      </w:tr>
    </w:tbl>
    <w:p w:rsidR="00C40225" w:rsidRDefault="00C40225" w:rsidP="00C40225">
      <w:pPr>
        <w:keepNext/>
        <w:keepLines/>
        <w:autoSpaceDE w:val="0"/>
        <w:autoSpaceDN w:val="0"/>
        <w:adjustRightInd w:val="0"/>
        <w:rPr>
          <w:rFonts w:ascii="Garamond" w:hAnsi="Garamond"/>
          <w:b/>
          <w:lang w:val="en-AU"/>
        </w:rPr>
      </w:pPr>
    </w:p>
    <w:p w:rsidR="00C40225" w:rsidRDefault="00C40225" w:rsidP="00C40225">
      <w:pPr>
        <w:keepNext/>
        <w:keepLines/>
        <w:autoSpaceDE w:val="0"/>
        <w:autoSpaceDN w:val="0"/>
        <w:adjustRightInd w:val="0"/>
        <w:rPr>
          <w:rFonts w:ascii="Garamond" w:hAnsi="Garamond"/>
          <w:b/>
          <w:lang w:val="en-AU"/>
        </w:rPr>
      </w:pPr>
      <w:r w:rsidRPr="000170DA">
        <w:rPr>
          <w:rFonts w:ascii="Garamond" w:hAnsi="Garamond"/>
          <w:lang w:val="en-AU"/>
        </w:rPr>
        <w:t>For information on the Commission’s work on</w:t>
      </w:r>
      <w:r>
        <w:rPr>
          <w:rFonts w:ascii="Garamond" w:hAnsi="Garamond"/>
          <w:lang w:val="en-AU"/>
        </w:rPr>
        <w:t xml:space="preserve"> medication safety, see </w:t>
      </w:r>
      <w:hyperlink r:id="rId20" w:history="1">
        <w:r w:rsidRPr="004B683A">
          <w:rPr>
            <w:rStyle w:val="Hyperlink"/>
            <w:rFonts w:ascii="Garamond" w:hAnsi="Garamond"/>
            <w:lang w:val="en-AU"/>
          </w:rPr>
          <w:t>https://www.safetyandquality.gov.au/our-work/medication-safety/</w:t>
        </w:r>
      </w:hyperlink>
    </w:p>
    <w:p w:rsidR="00C40225" w:rsidRDefault="00C40225" w:rsidP="00C40225">
      <w:pPr>
        <w:keepNext/>
        <w:keepLines/>
        <w:autoSpaceDE w:val="0"/>
        <w:autoSpaceDN w:val="0"/>
        <w:adjustRightInd w:val="0"/>
        <w:rPr>
          <w:rFonts w:ascii="Garamond" w:hAnsi="Garamond"/>
          <w:i/>
          <w:lang w:val="en-AU"/>
        </w:rPr>
      </w:pPr>
    </w:p>
    <w:p w:rsidR="00C40225" w:rsidRDefault="00C40225">
      <w:pPr>
        <w:rPr>
          <w:rFonts w:ascii="Garamond" w:hAnsi="Garamond"/>
          <w:i/>
          <w:lang w:val="en-AU"/>
        </w:rPr>
      </w:pPr>
      <w:r>
        <w:rPr>
          <w:rFonts w:ascii="Garamond" w:hAnsi="Garamond"/>
          <w:i/>
          <w:lang w:val="en-AU"/>
        </w:rPr>
        <w:br w:type="page"/>
      </w:r>
    </w:p>
    <w:p w:rsidR="002A3B8E" w:rsidRPr="00E530B7" w:rsidRDefault="002A3B8E" w:rsidP="002A3B8E">
      <w:pPr>
        <w:keepNext/>
        <w:keepLines/>
        <w:autoSpaceDE w:val="0"/>
        <w:autoSpaceDN w:val="0"/>
        <w:adjustRightInd w:val="0"/>
        <w:rPr>
          <w:rFonts w:ascii="Garamond" w:hAnsi="Garamond"/>
          <w:i/>
          <w:lang w:val="en-AU"/>
        </w:rPr>
      </w:pPr>
      <w:r w:rsidRPr="00E530B7">
        <w:rPr>
          <w:rFonts w:ascii="Garamond" w:hAnsi="Garamond"/>
          <w:i/>
          <w:lang w:val="en-AU"/>
        </w:rPr>
        <w:lastRenderedPageBreak/>
        <w:t>Items which should not be routinely prescribed in primary care</w:t>
      </w:r>
    </w:p>
    <w:p w:rsidR="002A3B8E" w:rsidRDefault="002A3B8E" w:rsidP="002A3B8E">
      <w:pPr>
        <w:keepNext/>
        <w:keepLines/>
        <w:autoSpaceDE w:val="0"/>
        <w:autoSpaceDN w:val="0"/>
        <w:adjustRightInd w:val="0"/>
        <w:rPr>
          <w:rFonts w:ascii="Garamond" w:hAnsi="Garamond"/>
          <w:lang w:val="en-AU"/>
        </w:rPr>
      </w:pPr>
      <w:r>
        <w:rPr>
          <w:rFonts w:ascii="Garamond" w:hAnsi="Garamond"/>
          <w:lang w:val="en-AU"/>
        </w:rPr>
        <w:t>NHS England</w:t>
      </w:r>
    </w:p>
    <w:p w:rsidR="002A3B8E" w:rsidRPr="000170DA" w:rsidRDefault="002A3B8E" w:rsidP="002A3B8E">
      <w:pPr>
        <w:keepNext/>
        <w:keepLines/>
        <w:autoSpaceDE w:val="0"/>
        <w:autoSpaceDN w:val="0"/>
        <w:adjustRightInd w:val="0"/>
        <w:rPr>
          <w:rFonts w:ascii="Garamond" w:hAnsi="Garamond"/>
          <w:lang w:val="en-AU"/>
        </w:rPr>
      </w:pPr>
      <w:r>
        <w:rPr>
          <w:rFonts w:ascii="Garamond" w:hAnsi="Garamond"/>
          <w:lang w:val="en-AU"/>
        </w:rPr>
        <w:t>London: NHS England</w:t>
      </w:r>
    </w:p>
    <w:tbl>
      <w:tblPr>
        <w:tblStyle w:val="TableGrid"/>
        <w:tblW w:w="0" w:type="auto"/>
        <w:tblInd w:w="288" w:type="dxa"/>
        <w:tblLayout w:type="fixed"/>
        <w:tblLook w:val="01E0" w:firstRow="1" w:lastRow="1" w:firstColumn="1" w:lastColumn="1" w:noHBand="0" w:noVBand="0"/>
      </w:tblPr>
      <w:tblGrid>
        <w:gridCol w:w="1080"/>
        <w:gridCol w:w="8280"/>
      </w:tblGrid>
      <w:tr w:rsidR="002A3B8E"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2A3B8E" w:rsidRPr="000170DA" w:rsidRDefault="002A3B8E" w:rsidP="0030768C">
            <w:pPr>
              <w:rPr>
                <w:rStyle w:val="Hyperlink"/>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A3B8E" w:rsidRPr="000170DA" w:rsidRDefault="00F95090" w:rsidP="0030768C">
            <w:pPr>
              <w:rPr>
                <w:rStyle w:val="Hyperlink"/>
                <w:rFonts w:ascii="Garamond" w:hAnsi="Garamond"/>
                <w:color w:val="auto"/>
                <w:u w:val="none"/>
                <w:lang w:val="en-AU"/>
              </w:rPr>
            </w:pPr>
            <w:hyperlink r:id="rId21" w:history="1">
              <w:r w:rsidR="002A3B8E" w:rsidRPr="0065129B">
                <w:rPr>
                  <w:rStyle w:val="Hyperlink"/>
                  <w:rFonts w:ascii="Garamond" w:hAnsi="Garamond"/>
                  <w:lang w:val="en-AU"/>
                </w:rPr>
                <w:t>https://www.england.nhs.uk/medicines/items-which-should-not-be-routinely-prescribed/</w:t>
              </w:r>
            </w:hyperlink>
          </w:p>
        </w:tc>
      </w:tr>
      <w:tr w:rsidR="002A3B8E"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2A3B8E" w:rsidRPr="000170DA" w:rsidRDefault="002A3B8E" w:rsidP="0030768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A3B8E" w:rsidRDefault="002A3B8E" w:rsidP="0030768C">
            <w:pPr>
              <w:rPr>
                <w:rFonts w:ascii="Garamond" w:hAnsi="Garamond"/>
                <w:lang w:val="en-AU"/>
              </w:rPr>
            </w:pPr>
            <w:r w:rsidRPr="00393598">
              <w:rPr>
                <w:rFonts w:ascii="Garamond" w:hAnsi="Garamond"/>
                <w:lang w:val="en-AU"/>
              </w:rPr>
              <w:t xml:space="preserve">NHS England has taken action to reduce </w:t>
            </w:r>
            <w:r w:rsidRPr="000778FC">
              <w:rPr>
                <w:rFonts w:ascii="Garamond" w:hAnsi="Garamond"/>
                <w:b/>
                <w:lang w:val="en-AU"/>
              </w:rPr>
              <w:t>inappropriate prescribing</w:t>
            </w:r>
            <w:r w:rsidRPr="00393598">
              <w:rPr>
                <w:rFonts w:ascii="Garamond" w:hAnsi="Garamond"/>
                <w:lang w:val="en-AU"/>
              </w:rPr>
              <w:t xml:space="preserve"> of 18 medicines which </w:t>
            </w:r>
            <w:r>
              <w:rPr>
                <w:rFonts w:ascii="Garamond" w:hAnsi="Garamond"/>
                <w:lang w:val="en-AU"/>
              </w:rPr>
              <w:t xml:space="preserve">is intended to </w:t>
            </w:r>
            <w:r w:rsidRPr="00393598">
              <w:rPr>
                <w:rFonts w:ascii="Garamond" w:hAnsi="Garamond"/>
                <w:lang w:val="en-AU"/>
              </w:rPr>
              <w:t>improve health and save millions of pounds a year.</w:t>
            </w:r>
            <w:r>
              <w:rPr>
                <w:rFonts w:ascii="Garamond" w:hAnsi="Garamond"/>
                <w:lang w:val="en-AU"/>
              </w:rPr>
              <w:t xml:space="preserve"> They have published n</w:t>
            </w:r>
            <w:r w:rsidRPr="00393598">
              <w:rPr>
                <w:rFonts w:ascii="Garamond" w:hAnsi="Garamond"/>
                <w:lang w:val="en-AU"/>
              </w:rPr>
              <w:t>ational guidance on medicines which should no longer be routinely prescribed in primary care to ensure people receive the safest and most effective treatment available, and save the NHS up to £141 million a yea</w:t>
            </w:r>
            <w:r>
              <w:rPr>
                <w:rFonts w:ascii="Garamond" w:hAnsi="Garamond"/>
                <w:lang w:val="en-AU"/>
              </w:rPr>
              <w:t>r. NHS England has produced a number of items on this topic, including:</w:t>
            </w:r>
          </w:p>
          <w:p w:rsidR="002A3B8E" w:rsidRPr="00393598" w:rsidRDefault="002A3B8E" w:rsidP="006B3922">
            <w:pPr>
              <w:pStyle w:val="ListParagraph"/>
              <w:numPr>
                <w:ilvl w:val="0"/>
                <w:numId w:val="17"/>
              </w:numPr>
              <w:rPr>
                <w:rFonts w:ascii="Garamond" w:hAnsi="Garamond"/>
                <w:lang w:val="en-AU"/>
              </w:rPr>
            </w:pPr>
            <w:r w:rsidRPr="00393598">
              <w:rPr>
                <w:rFonts w:ascii="Garamond" w:hAnsi="Garamond"/>
                <w:i/>
                <w:lang w:val="en-AU"/>
              </w:rPr>
              <w:t>Items which should not be routinely prescribed in primary care: findings of consultation and next steps</w:t>
            </w:r>
            <w:r>
              <w:rPr>
                <w:rFonts w:ascii="Garamond" w:hAnsi="Garamond"/>
                <w:lang w:val="en-AU"/>
              </w:rPr>
              <w:t xml:space="preserve"> – paper outlining </w:t>
            </w:r>
            <w:r w:rsidRPr="00393598">
              <w:rPr>
                <w:rFonts w:ascii="Garamond" w:hAnsi="Garamond"/>
                <w:lang w:val="en-AU"/>
              </w:rPr>
              <w:t xml:space="preserve">the findings of </w:t>
            </w:r>
            <w:r>
              <w:rPr>
                <w:rFonts w:ascii="Garamond" w:hAnsi="Garamond"/>
                <w:lang w:val="en-AU"/>
              </w:rPr>
              <w:t xml:space="preserve">a </w:t>
            </w:r>
            <w:r w:rsidRPr="00393598">
              <w:rPr>
                <w:rFonts w:ascii="Garamond" w:hAnsi="Garamond"/>
                <w:lang w:val="en-AU"/>
              </w:rPr>
              <w:t>public consultation in relation to the prescribing of 18 items considered to be of low clinical value. The paper also outlines the next steps following the findings of the consultation. Two evidence reviews on the effectiveness of homeopathy and lidocaine plasters accompany this report.</w:t>
            </w:r>
          </w:p>
          <w:p w:rsidR="002A3B8E" w:rsidRPr="00393598" w:rsidRDefault="002A3B8E" w:rsidP="006B3922">
            <w:pPr>
              <w:pStyle w:val="ListParagraph"/>
              <w:numPr>
                <w:ilvl w:val="0"/>
                <w:numId w:val="17"/>
              </w:numPr>
              <w:rPr>
                <w:rFonts w:ascii="Garamond" w:hAnsi="Garamond"/>
                <w:lang w:val="en-AU"/>
              </w:rPr>
            </w:pPr>
            <w:r w:rsidRPr="00393598">
              <w:rPr>
                <w:rFonts w:ascii="Garamond" w:hAnsi="Garamond"/>
                <w:i/>
                <w:lang w:val="en-AU"/>
              </w:rPr>
              <w:t>Items which should not be routinely prescribed in primary care: equality and health inequalities full analysis</w:t>
            </w:r>
            <w:r>
              <w:rPr>
                <w:rFonts w:ascii="Garamond" w:hAnsi="Garamond"/>
                <w:lang w:val="en-AU"/>
              </w:rPr>
              <w:t xml:space="preserve"> – report containing </w:t>
            </w:r>
            <w:r w:rsidRPr="00393598">
              <w:rPr>
                <w:rFonts w:ascii="Garamond" w:hAnsi="Garamond"/>
                <w:lang w:val="en-AU"/>
              </w:rPr>
              <w:t xml:space="preserve">the equality impact assessment that accompanied the consultation on prescribing items of low clinical value. </w:t>
            </w:r>
          </w:p>
          <w:p w:rsidR="002A3B8E" w:rsidRDefault="002A3B8E" w:rsidP="006B3922">
            <w:pPr>
              <w:pStyle w:val="ListParagraph"/>
              <w:numPr>
                <w:ilvl w:val="0"/>
                <w:numId w:val="17"/>
              </w:numPr>
              <w:rPr>
                <w:rFonts w:ascii="Garamond" w:hAnsi="Garamond"/>
                <w:lang w:val="en-AU"/>
              </w:rPr>
            </w:pPr>
            <w:r w:rsidRPr="00393598">
              <w:rPr>
                <w:rFonts w:ascii="Garamond" w:hAnsi="Garamond"/>
                <w:i/>
                <w:lang w:val="en-AU"/>
              </w:rPr>
              <w:t>Items which should not be routinely prescribed in primary care: guidance for CCGs</w:t>
            </w:r>
            <w:r>
              <w:rPr>
                <w:rFonts w:ascii="Garamond" w:hAnsi="Garamond"/>
                <w:lang w:val="en-AU"/>
              </w:rPr>
              <w:t xml:space="preserve"> – guidance to assist </w:t>
            </w:r>
            <w:r w:rsidRPr="00393598">
              <w:rPr>
                <w:rFonts w:ascii="Garamond" w:hAnsi="Garamond"/>
                <w:lang w:val="en-AU"/>
              </w:rPr>
              <w:t xml:space="preserve">clinical commissioning groups (CCGs) to support them </w:t>
            </w:r>
            <w:r>
              <w:rPr>
                <w:rFonts w:ascii="Garamond" w:hAnsi="Garamond"/>
                <w:lang w:val="en-AU"/>
              </w:rPr>
              <w:t xml:space="preserve">with </w:t>
            </w:r>
            <w:r w:rsidRPr="00393598">
              <w:rPr>
                <w:rFonts w:ascii="Garamond" w:hAnsi="Garamond"/>
                <w:lang w:val="en-AU"/>
              </w:rPr>
              <w:t>their duties around appropriate use of prescribing resources. It aims to support CCGs in their decision-making to address unwarranted variation and to provide clear national advice to make local prescribing practices more effective. It is accompanied by a set of frequently asked questions.</w:t>
            </w:r>
          </w:p>
          <w:p w:rsidR="002A3B8E" w:rsidRDefault="002A3B8E" w:rsidP="0030768C">
            <w:pPr>
              <w:rPr>
                <w:rFonts w:ascii="Garamond" w:hAnsi="Garamond"/>
                <w:lang w:val="en-AU"/>
              </w:rPr>
            </w:pPr>
            <w:r>
              <w:rPr>
                <w:rFonts w:ascii="Garamond" w:hAnsi="Garamond"/>
                <w:lang w:val="en-AU"/>
              </w:rPr>
              <w:t>The 18 items that are deemed inappropriate for routine prescription are:</w:t>
            </w:r>
          </w:p>
          <w:p w:rsidR="002A3B8E" w:rsidRDefault="002A3B8E" w:rsidP="006B3922">
            <w:pPr>
              <w:pStyle w:val="ListParagraph"/>
              <w:numPr>
                <w:ilvl w:val="0"/>
                <w:numId w:val="18"/>
              </w:numPr>
              <w:rPr>
                <w:rFonts w:ascii="Garamond" w:hAnsi="Garamond"/>
                <w:lang w:val="en-AU"/>
              </w:rPr>
            </w:pPr>
            <w:r w:rsidRPr="00393598">
              <w:rPr>
                <w:rFonts w:ascii="Garamond" w:hAnsi="Garamond"/>
                <w:lang w:val="en-AU"/>
              </w:rPr>
              <w:t>Co-proxamol</w:t>
            </w:r>
          </w:p>
          <w:p w:rsidR="002A3B8E" w:rsidRDefault="002A3B8E" w:rsidP="006B3922">
            <w:pPr>
              <w:pStyle w:val="ListParagraph"/>
              <w:numPr>
                <w:ilvl w:val="0"/>
                <w:numId w:val="18"/>
              </w:numPr>
              <w:rPr>
                <w:rFonts w:ascii="Garamond" w:hAnsi="Garamond"/>
                <w:lang w:val="en-AU"/>
              </w:rPr>
            </w:pPr>
            <w:r>
              <w:rPr>
                <w:rFonts w:ascii="Garamond" w:hAnsi="Garamond"/>
                <w:lang w:val="en-AU"/>
              </w:rPr>
              <w:t>Dosulepin</w:t>
            </w:r>
          </w:p>
          <w:p w:rsidR="002A3B8E" w:rsidRPr="00393598" w:rsidRDefault="002A3B8E" w:rsidP="006B3922">
            <w:pPr>
              <w:pStyle w:val="ListParagraph"/>
              <w:numPr>
                <w:ilvl w:val="0"/>
                <w:numId w:val="18"/>
              </w:numPr>
              <w:rPr>
                <w:rFonts w:ascii="Garamond" w:hAnsi="Garamond"/>
                <w:lang w:val="en-AU"/>
              </w:rPr>
            </w:pPr>
            <w:r w:rsidRPr="00393598">
              <w:rPr>
                <w:rFonts w:ascii="Garamond" w:hAnsi="Garamond"/>
                <w:lang w:val="en-AU"/>
              </w:rPr>
              <w:t>Prolonged-release Doxazosin</w:t>
            </w:r>
          </w:p>
          <w:p w:rsidR="002A3B8E" w:rsidRPr="00393598" w:rsidRDefault="002A3B8E" w:rsidP="006B3922">
            <w:pPr>
              <w:pStyle w:val="ListParagraph"/>
              <w:numPr>
                <w:ilvl w:val="0"/>
                <w:numId w:val="18"/>
              </w:numPr>
              <w:rPr>
                <w:rFonts w:ascii="Garamond" w:hAnsi="Garamond"/>
                <w:lang w:val="en-AU"/>
              </w:rPr>
            </w:pPr>
            <w:r w:rsidRPr="00393598">
              <w:rPr>
                <w:rFonts w:ascii="Garamond" w:hAnsi="Garamond"/>
                <w:lang w:val="en-AU"/>
              </w:rPr>
              <w:t>Immediate release Fentanyl</w:t>
            </w:r>
          </w:p>
          <w:p w:rsidR="002A3B8E" w:rsidRPr="00393598" w:rsidRDefault="002A3B8E" w:rsidP="006B3922">
            <w:pPr>
              <w:pStyle w:val="ListParagraph"/>
              <w:numPr>
                <w:ilvl w:val="0"/>
                <w:numId w:val="18"/>
              </w:numPr>
              <w:rPr>
                <w:rFonts w:ascii="Garamond" w:hAnsi="Garamond"/>
                <w:lang w:val="en-AU"/>
              </w:rPr>
            </w:pPr>
            <w:r w:rsidRPr="00393598">
              <w:rPr>
                <w:rFonts w:ascii="Garamond" w:hAnsi="Garamond"/>
                <w:lang w:val="en-AU"/>
              </w:rPr>
              <w:t>Glucosamine and Chondroitin</w:t>
            </w:r>
          </w:p>
          <w:p w:rsidR="002A3B8E" w:rsidRPr="00393598" w:rsidRDefault="002A3B8E" w:rsidP="006B3922">
            <w:pPr>
              <w:pStyle w:val="ListParagraph"/>
              <w:numPr>
                <w:ilvl w:val="0"/>
                <w:numId w:val="18"/>
              </w:numPr>
              <w:rPr>
                <w:rFonts w:ascii="Garamond" w:hAnsi="Garamond"/>
                <w:lang w:val="en-AU"/>
              </w:rPr>
            </w:pPr>
            <w:r w:rsidRPr="00393598">
              <w:rPr>
                <w:rFonts w:ascii="Garamond" w:hAnsi="Garamond"/>
                <w:lang w:val="en-AU"/>
              </w:rPr>
              <w:t>Herbal Treatments</w:t>
            </w:r>
          </w:p>
          <w:p w:rsidR="002A3B8E" w:rsidRPr="00393598" w:rsidRDefault="002A3B8E" w:rsidP="006B3922">
            <w:pPr>
              <w:pStyle w:val="ListParagraph"/>
              <w:numPr>
                <w:ilvl w:val="0"/>
                <w:numId w:val="18"/>
              </w:numPr>
              <w:rPr>
                <w:rFonts w:ascii="Garamond" w:hAnsi="Garamond"/>
                <w:lang w:val="en-AU"/>
              </w:rPr>
            </w:pPr>
            <w:r w:rsidRPr="00393598">
              <w:rPr>
                <w:rFonts w:ascii="Garamond" w:hAnsi="Garamond"/>
                <w:lang w:val="en-AU"/>
              </w:rPr>
              <w:t>Homeopathy</w:t>
            </w:r>
          </w:p>
          <w:p w:rsidR="002A3B8E" w:rsidRDefault="002A3B8E" w:rsidP="006B3922">
            <w:pPr>
              <w:pStyle w:val="ListParagraph"/>
              <w:numPr>
                <w:ilvl w:val="0"/>
                <w:numId w:val="18"/>
              </w:numPr>
              <w:rPr>
                <w:rFonts w:ascii="Garamond" w:hAnsi="Garamond"/>
                <w:lang w:val="en-AU"/>
              </w:rPr>
            </w:pPr>
            <w:r w:rsidRPr="00393598">
              <w:rPr>
                <w:rFonts w:ascii="Garamond" w:hAnsi="Garamond"/>
                <w:lang w:val="en-AU"/>
              </w:rPr>
              <w:t>Lidocaine Plasters</w:t>
            </w:r>
          </w:p>
          <w:p w:rsidR="002A3B8E" w:rsidRPr="00393598" w:rsidRDefault="002A3B8E" w:rsidP="006B3922">
            <w:pPr>
              <w:pStyle w:val="ListParagraph"/>
              <w:numPr>
                <w:ilvl w:val="0"/>
                <w:numId w:val="18"/>
              </w:numPr>
              <w:rPr>
                <w:rFonts w:ascii="Garamond" w:hAnsi="Garamond"/>
                <w:lang w:val="en-AU"/>
              </w:rPr>
            </w:pPr>
            <w:r w:rsidRPr="00393598">
              <w:rPr>
                <w:rFonts w:ascii="Garamond" w:hAnsi="Garamond"/>
                <w:lang w:val="en-AU"/>
              </w:rPr>
              <w:t>Liothyronine</w:t>
            </w:r>
          </w:p>
          <w:p w:rsidR="002A3B8E" w:rsidRPr="00393598" w:rsidRDefault="002A3B8E" w:rsidP="006B3922">
            <w:pPr>
              <w:pStyle w:val="ListParagraph"/>
              <w:numPr>
                <w:ilvl w:val="0"/>
                <w:numId w:val="18"/>
              </w:numPr>
              <w:rPr>
                <w:rFonts w:ascii="Garamond" w:hAnsi="Garamond"/>
                <w:lang w:val="en-AU"/>
              </w:rPr>
            </w:pPr>
            <w:r w:rsidRPr="00393598">
              <w:rPr>
                <w:rFonts w:ascii="Garamond" w:hAnsi="Garamond"/>
                <w:lang w:val="en-AU"/>
              </w:rPr>
              <w:t>Lutein and Antioxidants</w:t>
            </w:r>
          </w:p>
          <w:p w:rsidR="002A3B8E" w:rsidRPr="00393598" w:rsidRDefault="002A3B8E" w:rsidP="006B3922">
            <w:pPr>
              <w:pStyle w:val="ListParagraph"/>
              <w:numPr>
                <w:ilvl w:val="0"/>
                <w:numId w:val="18"/>
              </w:numPr>
              <w:rPr>
                <w:rFonts w:ascii="Garamond" w:hAnsi="Garamond"/>
                <w:lang w:val="en-AU"/>
              </w:rPr>
            </w:pPr>
            <w:r w:rsidRPr="00393598">
              <w:rPr>
                <w:rFonts w:ascii="Garamond" w:hAnsi="Garamond"/>
                <w:lang w:val="en-AU"/>
              </w:rPr>
              <w:t>Omega-3 Fatty Acid Compounds</w:t>
            </w:r>
          </w:p>
          <w:p w:rsidR="002A3B8E" w:rsidRPr="00393598" w:rsidRDefault="002A3B8E" w:rsidP="006B3922">
            <w:pPr>
              <w:pStyle w:val="ListParagraph"/>
              <w:numPr>
                <w:ilvl w:val="0"/>
                <w:numId w:val="18"/>
              </w:numPr>
              <w:rPr>
                <w:rFonts w:ascii="Garamond" w:hAnsi="Garamond"/>
                <w:lang w:val="en-AU"/>
              </w:rPr>
            </w:pPr>
            <w:r w:rsidRPr="00393598">
              <w:rPr>
                <w:rFonts w:ascii="Garamond" w:hAnsi="Garamond"/>
                <w:lang w:val="en-AU"/>
              </w:rPr>
              <w:t>Oxycodone and Naloxone combination product</w:t>
            </w:r>
          </w:p>
          <w:p w:rsidR="002A3B8E" w:rsidRPr="00393598" w:rsidRDefault="002A3B8E" w:rsidP="006B3922">
            <w:pPr>
              <w:pStyle w:val="ListParagraph"/>
              <w:numPr>
                <w:ilvl w:val="0"/>
                <w:numId w:val="18"/>
              </w:numPr>
              <w:rPr>
                <w:rFonts w:ascii="Garamond" w:hAnsi="Garamond"/>
                <w:lang w:val="en-AU"/>
              </w:rPr>
            </w:pPr>
            <w:r w:rsidRPr="00393598">
              <w:rPr>
                <w:rFonts w:ascii="Garamond" w:hAnsi="Garamond"/>
                <w:lang w:val="en-AU"/>
              </w:rPr>
              <w:t>Paracetamol and Tramadol combination product</w:t>
            </w:r>
          </w:p>
          <w:p w:rsidR="002A3B8E" w:rsidRPr="00393598" w:rsidRDefault="002A3B8E" w:rsidP="006B3922">
            <w:pPr>
              <w:pStyle w:val="ListParagraph"/>
              <w:numPr>
                <w:ilvl w:val="0"/>
                <w:numId w:val="18"/>
              </w:numPr>
              <w:rPr>
                <w:rFonts w:ascii="Garamond" w:hAnsi="Garamond"/>
                <w:lang w:val="en-AU"/>
              </w:rPr>
            </w:pPr>
            <w:r w:rsidRPr="00393598">
              <w:rPr>
                <w:rFonts w:ascii="Garamond" w:hAnsi="Garamond"/>
                <w:lang w:val="en-AU"/>
              </w:rPr>
              <w:t>Perindopril Arginine</w:t>
            </w:r>
          </w:p>
          <w:p w:rsidR="002A3B8E" w:rsidRPr="00393598" w:rsidRDefault="002A3B8E" w:rsidP="006B3922">
            <w:pPr>
              <w:pStyle w:val="ListParagraph"/>
              <w:numPr>
                <w:ilvl w:val="0"/>
                <w:numId w:val="18"/>
              </w:numPr>
              <w:rPr>
                <w:rFonts w:ascii="Garamond" w:hAnsi="Garamond"/>
                <w:lang w:val="en-AU"/>
              </w:rPr>
            </w:pPr>
            <w:r w:rsidRPr="00393598">
              <w:rPr>
                <w:rFonts w:ascii="Garamond" w:hAnsi="Garamond"/>
                <w:lang w:val="en-AU"/>
              </w:rPr>
              <w:t>Rubefacients (excluding topical NSAIDs)</w:t>
            </w:r>
          </w:p>
          <w:p w:rsidR="002A3B8E" w:rsidRPr="00393598" w:rsidRDefault="002A3B8E" w:rsidP="006B3922">
            <w:pPr>
              <w:pStyle w:val="ListParagraph"/>
              <w:numPr>
                <w:ilvl w:val="0"/>
                <w:numId w:val="18"/>
              </w:numPr>
              <w:rPr>
                <w:rFonts w:ascii="Garamond" w:hAnsi="Garamond"/>
                <w:lang w:val="en-AU"/>
              </w:rPr>
            </w:pPr>
            <w:r w:rsidRPr="00393598">
              <w:rPr>
                <w:rFonts w:ascii="Garamond" w:hAnsi="Garamond"/>
                <w:lang w:val="en-AU"/>
              </w:rPr>
              <w:t>Once daily Tadalafil</w:t>
            </w:r>
          </w:p>
          <w:p w:rsidR="002A3B8E" w:rsidRDefault="002A3B8E" w:rsidP="006B3922">
            <w:pPr>
              <w:pStyle w:val="ListParagraph"/>
              <w:numPr>
                <w:ilvl w:val="0"/>
                <w:numId w:val="18"/>
              </w:numPr>
              <w:rPr>
                <w:rFonts w:ascii="Garamond" w:hAnsi="Garamond"/>
                <w:lang w:val="en-AU"/>
              </w:rPr>
            </w:pPr>
            <w:r w:rsidRPr="00393598">
              <w:rPr>
                <w:rFonts w:ascii="Garamond" w:hAnsi="Garamond"/>
                <w:lang w:val="en-AU"/>
              </w:rPr>
              <w:t>Vaccines administered exclusively for the purposes of travel</w:t>
            </w:r>
          </w:p>
          <w:p w:rsidR="002A3B8E" w:rsidRPr="00393598" w:rsidRDefault="002A3B8E" w:rsidP="006B3922">
            <w:pPr>
              <w:pStyle w:val="ListParagraph"/>
              <w:numPr>
                <w:ilvl w:val="0"/>
                <w:numId w:val="18"/>
              </w:numPr>
              <w:rPr>
                <w:rFonts w:ascii="Garamond" w:hAnsi="Garamond"/>
                <w:lang w:val="en-AU"/>
              </w:rPr>
            </w:pPr>
            <w:r w:rsidRPr="00393598">
              <w:rPr>
                <w:rFonts w:ascii="Garamond" w:hAnsi="Garamond"/>
                <w:lang w:val="en-AU"/>
              </w:rPr>
              <w:t>Trimipramine</w:t>
            </w:r>
            <w:r>
              <w:rPr>
                <w:rFonts w:ascii="Garamond" w:hAnsi="Garamond"/>
                <w:lang w:val="en-AU"/>
              </w:rPr>
              <w:t>.</w:t>
            </w:r>
          </w:p>
        </w:tc>
      </w:tr>
    </w:tbl>
    <w:p w:rsidR="00C40225" w:rsidRDefault="00C40225" w:rsidP="008279A6">
      <w:pPr>
        <w:keepNext/>
        <w:keepLines/>
        <w:autoSpaceDE w:val="0"/>
        <w:autoSpaceDN w:val="0"/>
        <w:adjustRightInd w:val="0"/>
        <w:rPr>
          <w:rFonts w:ascii="Garamond" w:hAnsi="Garamond"/>
          <w:i/>
          <w:lang w:val="en-AU"/>
        </w:rPr>
      </w:pPr>
    </w:p>
    <w:p w:rsidR="00C40225" w:rsidRDefault="00C40225" w:rsidP="00C40225">
      <w:pPr>
        <w:rPr>
          <w:lang w:val="en-AU"/>
        </w:rPr>
      </w:pPr>
      <w:r>
        <w:rPr>
          <w:lang w:val="en-AU"/>
        </w:rPr>
        <w:br w:type="page"/>
      </w:r>
    </w:p>
    <w:p w:rsidR="008279A6" w:rsidRPr="008279A6" w:rsidRDefault="008279A6" w:rsidP="008279A6">
      <w:pPr>
        <w:keepNext/>
        <w:keepLines/>
        <w:autoSpaceDE w:val="0"/>
        <w:autoSpaceDN w:val="0"/>
        <w:adjustRightInd w:val="0"/>
        <w:rPr>
          <w:rFonts w:ascii="Garamond" w:hAnsi="Garamond"/>
          <w:i/>
          <w:lang w:val="en-AU"/>
        </w:rPr>
      </w:pPr>
      <w:r w:rsidRPr="008279A6">
        <w:rPr>
          <w:rFonts w:ascii="Garamond" w:hAnsi="Garamond"/>
          <w:i/>
          <w:lang w:val="en-AU"/>
        </w:rPr>
        <w:lastRenderedPageBreak/>
        <w:t>Closing the Loop: A Guide to Safer Ambulatory Referrals in the EHR Era</w:t>
      </w:r>
    </w:p>
    <w:p w:rsidR="002A3B8E" w:rsidRDefault="002A3B8E" w:rsidP="008279A6">
      <w:pPr>
        <w:keepNext/>
        <w:keepLines/>
        <w:autoSpaceDE w:val="0"/>
        <w:autoSpaceDN w:val="0"/>
        <w:adjustRightInd w:val="0"/>
        <w:rPr>
          <w:rFonts w:ascii="Garamond" w:hAnsi="Garamond"/>
          <w:lang w:val="en-AU"/>
        </w:rPr>
      </w:pPr>
      <w:r w:rsidRPr="002A3B8E">
        <w:rPr>
          <w:rFonts w:ascii="Garamond" w:hAnsi="Garamond"/>
          <w:lang w:val="en-AU"/>
        </w:rPr>
        <w:t>Institute for Healthcare Improvement, National Patient Safety Foundation</w:t>
      </w:r>
    </w:p>
    <w:p w:rsidR="008279A6" w:rsidRPr="000170DA" w:rsidRDefault="002A3B8E" w:rsidP="008279A6">
      <w:pPr>
        <w:keepNext/>
        <w:keepLines/>
        <w:autoSpaceDE w:val="0"/>
        <w:autoSpaceDN w:val="0"/>
        <w:adjustRightInd w:val="0"/>
        <w:rPr>
          <w:rFonts w:ascii="Garamond" w:hAnsi="Garamond"/>
          <w:lang w:val="en-AU"/>
        </w:rPr>
      </w:pPr>
      <w:r w:rsidRPr="002A3B8E">
        <w:rPr>
          <w:rFonts w:ascii="Garamond" w:hAnsi="Garamond"/>
          <w:lang w:val="en-AU"/>
        </w:rPr>
        <w:t>Cambridge: Institute for Healthcare Improvement; 2017. p. 42.</w:t>
      </w:r>
    </w:p>
    <w:tbl>
      <w:tblPr>
        <w:tblStyle w:val="TableGrid"/>
        <w:tblW w:w="0" w:type="auto"/>
        <w:tblInd w:w="288" w:type="dxa"/>
        <w:tblLayout w:type="fixed"/>
        <w:tblLook w:val="01E0" w:firstRow="1" w:lastRow="1" w:firstColumn="1" w:lastColumn="1" w:noHBand="0" w:noVBand="0"/>
      </w:tblPr>
      <w:tblGrid>
        <w:gridCol w:w="1080"/>
        <w:gridCol w:w="8280"/>
      </w:tblGrid>
      <w:tr w:rsidR="008279A6" w:rsidRPr="000170DA" w:rsidTr="000C5478">
        <w:tc>
          <w:tcPr>
            <w:tcW w:w="1080" w:type="dxa"/>
            <w:tcBorders>
              <w:top w:val="single" w:sz="4" w:space="0" w:color="auto"/>
              <w:left w:val="single" w:sz="4" w:space="0" w:color="auto"/>
              <w:bottom w:val="single" w:sz="4" w:space="0" w:color="auto"/>
              <w:right w:val="single" w:sz="4" w:space="0" w:color="auto"/>
            </w:tcBorders>
            <w:vAlign w:val="center"/>
          </w:tcPr>
          <w:p w:rsidR="008279A6" w:rsidRPr="000170DA" w:rsidRDefault="008279A6" w:rsidP="000C5478">
            <w:pPr>
              <w:rPr>
                <w:rStyle w:val="Hyperlink"/>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279A6" w:rsidRPr="000170DA" w:rsidRDefault="00F95090" w:rsidP="000C5478">
            <w:pPr>
              <w:rPr>
                <w:rStyle w:val="Hyperlink"/>
                <w:rFonts w:ascii="Garamond" w:hAnsi="Garamond"/>
                <w:color w:val="auto"/>
                <w:u w:val="none"/>
                <w:lang w:val="en-AU"/>
              </w:rPr>
            </w:pPr>
            <w:hyperlink r:id="rId22" w:history="1">
              <w:r w:rsidR="008279A6" w:rsidRPr="004B683A">
                <w:rPr>
                  <w:rStyle w:val="Hyperlink"/>
                  <w:rFonts w:ascii="Garamond" w:hAnsi="Garamond"/>
                  <w:lang w:val="en-AU"/>
                </w:rPr>
                <w:t>http://www.ihi.org/resources/Pages/Publications/Closing-the-Loop-A-Guide-to-Safer-Ambulatory-Referrals.aspx</w:t>
              </w:r>
            </w:hyperlink>
          </w:p>
        </w:tc>
      </w:tr>
      <w:tr w:rsidR="008279A6" w:rsidRPr="000170DA" w:rsidTr="000C5478">
        <w:tc>
          <w:tcPr>
            <w:tcW w:w="1080" w:type="dxa"/>
            <w:tcBorders>
              <w:top w:val="single" w:sz="4" w:space="0" w:color="auto"/>
              <w:left w:val="single" w:sz="4" w:space="0" w:color="auto"/>
              <w:bottom w:val="single" w:sz="4" w:space="0" w:color="auto"/>
              <w:right w:val="single" w:sz="4" w:space="0" w:color="auto"/>
            </w:tcBorders>
            <w:vAlign w:val="center"/>
          </w:tcPr>
          <w:p w:rsidR="008279A6" w:rsidRPr="000170DA" w:rsidRDefault="008279A6" w:rsidP="000C547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279A6" w:rsidRDefault="002A3B8E" w:rsidP="000C5478">
            <w:pPr>
              <w:rPr>
                <w:rFonts w:ascii="Garamond" w:hAnsi="Garamond"/>
                <w:lang w:val="en-AU"/>
              </w:rPr>
            </w:pPr>
            <w:r>
              <w:rPr>
                <w:rFonts w:ascii="Garamond" w:hAnsi="Garamond"/>
                <w:lang w:val="en-AU"/>
              </w:rPr>
              <w:t xml:space="preserve">The recently merged (US) </w:t>
            </w:r>
            <w:r w:rsidRPr="002A3B8E">
              <w:rPr>
                <w:rFonts w:ascii="Garamond" w:hAnsi="Garamond"/>
                <w:lang w:val="en-AU"/>
              </w:rPr>
              <w:t>Institute for Healthcare Improvement</w:t>
            </w:r>
            <w:r>
              <w:rPr>
                <w:rFonts w:ascii="Garamond" w:hAnsi="Garamond"/>
                <w:lang w:val="en-AU"/>
              </w:rPr>
              <w:t xml:space="preserve"> and (US) </w:t>
            </w:r>
            <w:r w:rsidRPr="002A3B8E">
              <w:rPr>
                <w:rFonts w:ascii="Garamond" w:hAnsi="Garamond"/>
                <w:lang w:val="en-AU"/>
              </w:rPr>
              <w:t>National Patient Safety Foundation</w:t>
            </w:r>
            <w:r>
              <w:rPr>
                <w:rFonts w:ascii="Garamond" w:hAnsi="Garamond"/>
                <w:lang w:val="en-AU"/>
              </w:rPr>
              <w:t xml:space="preserve"> have produced this guide describing a process of better and safer referral to specialists. The IHI observes that t</w:t>
            </w:r>
            <w:r w:rsidRPr="002A3B8E">
              <w:rPr>
                <w:rFonts w:ascii="Garamond" w:hAnsi="Garamond"/>
                <w:lang w:val="en-AU"/>
              </w:rPr>
              <w:t>he referral process is often hindered by ambiguity of roles, communication breakdowns, clinicians' workloads, and variations in requirements among specialists. Such difficulties can lead to missed or delayed diagnoses, delays in treatment, and other lapses in patient safety</w:t>
            </w:r>
            <w:r w:rsidR="007448AE">
              <w:rPr>
                <w:rFonts w:ascii="Garamond" w:hAnsi="Garamond"/>
                <w:lang w:val="en-AU"/>
              </w:rPr>
              <w:t xml:space="preserve">. This report </w:t>
            </w:r>
            <w:r w:rsidR="008E4389">
              <w:rPr>
                <w:rFonts w:ascii="Garamond" w:hAnsi="Garamond"/>
                <w:lang w:val="en-AU"/>
              </w:rPr>
              <w:t>d</w:t>
            </w:r>
            <w:r w:rsidR="007448AE" w:rsidRPr="007448AE">
              <w:rPr>
                <w:rFonts w:ascii="Garamond" w:hAnsi="Garamond"/>
                <w:lang w:val="en-AU"/>
              </w:rPr>
              <w:t xml:space="preserve">escribes a </w:t>
            </w:r>
            <w:r w:rsidR="007448AE" w:rsidRPr="008E4389">
              <w:rPr>
                <w:rFonts w:ascii="Garamond" w:hAnsi="Garamond"/>
                <w:b/>
                <w:lang w:val="en-AU"/>
              </w:rPr>
              <w:t>nine-step, closed-loop process</w:t>
            </w:r>
            <w:r w:rsidR="007448AE" w:rsidRPr="007448AE">
              <w:rPr>
                <w:rFonts w:ascii="Garamond" w:hAnsi="Garamond"/>
                <w:lang w:val="en-AU"/>
              </w:rPr>
              <w:t xml:space="preserve"> in which </w:t>
            </w:r>
            <w:r w:rsidR="007448AE" w:rsidRPr="008E4389">
              <w:rPr>
                <w:rFonts w:ascii="Garamond" w:hAnsi="Garamond"/>
                <w:b/>
                <w:lang w:val="en-AU"/>
              </w:rPr>
              <w:t>all relevant patient information</w:t>
            </w:r>
            <w:r w:rsidR="007448AE" w:rsidRPr="007448AE">
              <w:rPr>
                <w:rFonts w:ascii="Garamond" w:hAnsi="Garamond"/>
                <w:lang w:val="en-AU"/>
              </w:rPr>
              <w:t xml:space="preserve"> is communicated to the </w:t>
            </w:r>
            <w:r w:rsidR="007448AE" w:rsidRPr="008E4389">
              <w:rPr>
                <w:rFonts w:ascii="Garamond" w:hAnsi="Garamond"/>
                <w:b/>
                <w:lang w:val="en-AU"/>
              </w:rPr>
              <w:t>correct person</w:t>
            </w:r>
            <w:r w:rsidR="007448AE" w:rsidRPr="007448AE">
              <w:rPr>
                <w:rFonts w:ascii="Garamond" w:hAnsi="Garamond"/>
                <w:lang w:val="en-AU"/>
              </w:rPr>
              <w:t xml:space="preserve"> through the </w:t>
            </w:r>
            <w:r w:rsidR="007448AE" w:rsidRPr="008E4389">
              <w:rPr>
                <w:rFonts w:ascii="Garamond" w:hAnsi="Garamond"/>
                <w:b/>
                <w:lang w:val="en-AU"/>
              </w:rPr>
              <w:t>appropriate channels</w:t>
            </w:r>
            <w:r w:rsidR="007448AE" w:rsidRPr="007448AE">
              <w:rPr>
                <w:rFonts w:ascii="Garamond" w:hAnsi="Garamond"/>
                <w:lang w:val="en-AU"/>
              </w:rPr>
              <w:t xml:space="preserve"> and in a </w:t>
            </w:r>
            <w:r w:rsidR="007448AE" w:rsidRPr="008E4389">
              <w:rPr>
                <w:rFonts w:ascii="Garamond" w:hAnsi="Garamond"/>
                <w:b/>
                <w:lang w:val="en-AU"/>
              </w:rPr>
              <w:t>timely manner</w:t>
            </w:r>
            <w:r w:rsidR="007448AE" w:rsidRPr="007448AE">
              <w:rPr>
                <w:rFonts w:ascii="Garamond" w:hAnsi="Garamond"/>
                <w:lang w:val="en-AU"/>
              </w:rPr>
              <w:t>.</w:t>
            </w:r>
          </w:p>
          <w:p w:rsidR="008E4389" w:rsidRDefault="008E4389" w:rsidP="000C5478">
            <w:pPr>
              <w:rPr>
                <w:rFonts w:ascii="Garamond" w:hAnsi="Garamond"/>
                <w:lang w:val="en-AU"/>
              </w:rPr>
            </w:pPr>
          </w:p>
          <w:p w:rsidR="002A3B8E" w:rsidRPr="004479F7" w:rsidRDefault="007448AE" w:rsidP="000C5478">
            <w:pPr>
              <w:rPr>
                <w:rFonts w:ascii="Garamond" w:hAnsi="Garamond"/>
                <w:lang w:val="en-AU"/>
              </w:rPr>
            </w:pPr>
            <w:r>
              <w:rPr>
                <w:rFonts w:ascii="Garamond" w:hAnsi="Garamond"/>
                <w:noProof/>
                <w:lang w:val="en-AU" w:eastAsia="en-AU"/>
              </w:rPr>
              <w:drawing>
                <wp:inline distT="0" distB="0" distL="0" distR="0">
                  <wp:extent cx="5120640" cy="486537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p.png"/>
                          <pic:cNvPicPr/>
                        </pic:nvPicPr>
                        <pic:blipFill>
                          <a:blip r:embed="rId23">
                            <a:extLst>
                              <a:ext uri="{28A0092B-C50C-407E-A947-70E740481C1C}">
                                <a14:useLocalDpi xmlns:a14="http://schemas.microsoft.com/office/drawing/2010/main" val="0"/>
                              </a:ext>
                            </a:extLst>
                          </a:blip>
                          <a:stretch>
                            <a:fillRect/>
                          </a:stretch>
                        </pic:blipFill>
                        <pic:spPr>
                          <a:xfrm>
                            <a:off x="0" y="0"/>
                            <a:ext cx="5120640" cy="4865370"/>
                          </a:xfrm>
                          <a:prstGeom prst="rect">
                            <a:avLst/>
                          </a:prstGeom>
                        </pic:spPr>
                      </pic:pic>
                    </a:graphicData>
                  </a:graphic>
                </wp:inline>
              </w:drawing>
            </w:r>
          </w:p>
        </w:tc>
      </w:tr>
    </w:tbl>
    <w:p w:rsidR="00E530B7" w:rsidRPr="00E530B7" w:rsidRDefault="00E530B7" w:rsidP="00644660">
      <w:pPr>
        <w:keepNext/>
        <w:keepLines/>
        <w:autoSpaceDE w:val="0"/>
        <w:autoSpaceDN w:val="0"/>
        <w:adjustRightInd w:val="0"/>
        <w:rPr>
          <w:rFonts w:ascii="Garamond" w:hAnsi="Garamond"/>
          <w:lang w:val="en-AU"/>
        </w:rPr>
      </w:pPr>
    </w:p>
    <w:p w:rsidR="00C40225" w:rsidRDefault="00C40225">
      <w:pPr>
        <w:rPr>
          <w:rFonts w:ascii="Garamond" w:hAnsi="Garamond"/>
          <w:i/>
          <w:lang w:val="en-AU"/>
        </w:rPr>
      </w:pPr>
      <w:r>
        <w:rPr>
          <w:rFonts w:ascii="Garamond" w:hAnsi="Garamond"/>
          <w:i/>
          <w:lang w:val="en-AU"/>
        </w:rPr>
        <w:br w:type="page"/>
      </w:r>
    </w:p>
    <w:p w:rsidR="00C40225" w:rsidRPr="00316942" w:rsidRDefault="00C40225" w:rsidP="00C40225">
      <w:pPr>
        <w:keepNext/>
        <w:keepLines/>
        <w:autoSpaceDE w:val="0"/>
        <w:autoSpaceDN w:val="0"/>
        <w:adjustRightInd w:val="0"/>
        <w:rPr>
          <w:rFonts w:ascii="Garamond" w:hAnsi="Garamond"/>
          <w:i/>
          <w:lang w:val="en-AU"/>
        </w:rPr>
      </w:pPr>
      <w:r w:rsidRPr="00316942">
        <w:rPr>
          <w:rFonts w:ascii="Garamond" w:hAnsi="Garamond"/>
          <w:i/>
          <w:lang w:val="en-AU"/>
        </w:rPr>
        <w:lastRenderedPageBreak/>
        <w:t>Meeting the quality challenge; sharing best practice from clinical leaders in emergency departments</w:t>
      </w:r>
    </w:p>
    <w:p w:rsidR="00C40225" w:rsidRDefault="00C40225" w:rsidP="00C40225">
      <w:pPr>
        <w:keepNext/>
        <w:keepLines/>
        <w:autoSpaceDE w:val="0"/>
        <w:autoSpaceDN w:val="0"/>
        <w:adjustRightInd w:val="0"/>
        <w:rPr>
          <w:rFonts w:ascii="Garamond" w:hAnsi="Garamond"/>
          <w:lang w:val="en-AU"/>
        </w:rPr>
      </w:pPr>
      <w:r w:rsidRPr="00316942">
        <w:rPr>
          <w:rFonts w:ascii="Garamond" w:hAnsi="Garamond"/>
          <w:lang w:val="en-AU"/>
        </w:rPr>
        <w:t>Care Quality Commission</w:t>
      </w:r>
    </w:p>
    <w:p w:rsidR="00C40225" w:rsidRDefault="00C40225" w:rsidP="00C40225">
      <w:pPr>
        <w:keepNext/>
        <w:keepLines/>
        <w:autoSpaceDE w:val="0"/>
        <w:autoSpaceDN w:val="0"/>
        <w:adjustRightInd w:val="0"/>
        <w:rPr>
          <w:rFonts w:ascii="Garamond" w:hAnsi="Garamond"/>
          <w:lang w:val="en-AU"/>
        </w:rPr>
      </w:pPr>
      <w:r w:rsidRPr="00316942">
        <w:rPr>
          <w:rFonts w:ascii="Garamond" w:hAnsi="Garamond"/>
          <w:lang w:val="en-AU"/>
        </w:rPr>
        <w:t>Newcastle Upon Tyne: Care Quality Commission</w:t>
      </w:r>
      <w:r>
        <w:rPr>
          <w:rFonts w:ascii="Garamond" w:hAnsi="Garamond"/>
          <w:lang w:val="en-AU"/>
        </w:rPr>
        <w:t>;</w:t>
      </w:r>
      <w:r w:rsidRPr="00316942">
        <w:rPr>
          <w:rFonts w:ascii="Garamond" w:hAnsi="Garamond"/>
          <w:lang w:val="en-AU"/>
        </w:rPr>
        <w:t xml:space="preserve"> 2017. p. 28.</w:t>
      </w:r>
    </w:p>
    <w:tbl>
      <w:tblPr>
        <w:tblStyle w:val="TableGrid"/>
        <w:tblW w:w="0" w:type="auto"/>
        <w:tblInd w:w="288" w:type="dxa"/>
        <w:tblLayout w:type="fixed"/>
        <w:tblLook w:val="01E0" w:firstRow="1" w:lastRow="1" w:firstColumn="1" w:lastColumn="1" w:noHBand="0" w:noVBand="0"/>
      </w:tblPr>
      <w:tblGrid>
        <w:gridCol w:w="1080"/>
        <w:gridCol w:w="8280"/>
      </w:tblGrid>
      <w:tr w:rsidR="00C40225" w:rsidRPr="000170DA" w:rsidTr="000F7ACF">
        <w:tc>
          <w:tcPr>
            <w:tcW w:w="1080" w:type="dxa"/>
            <w:tcBorders>
              <w:top w:val="single" w:sz="4" w:space="0" w:color="auto"/>
              <w:left w:val="single" w:sz="4" w:space="0" w:color="auto"/>
              <w:bottom w:val="single" w:sz="4" w:space="0" w:color="auto"/>
              <w:right w:val="single" w:sz="4" w:space="0" w:color="auto"/>
            </w:tcBorders>
            <w:vAlign w:val="center"/>
          </w:tcPr>
          <w:p w:rsidR="00C40225" w:rsidRPr="000170DA" w:rsidRDefault="00C40225" w:rsidP="000F7ACF">
            <w:pPr>
              <w:rPr>
                <w:rStyle w:val="Hyperlink"/>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40225" w:rsidRPr="000170DA" w:rsidRDefault="00F95090" w:rsidP="000F7ACF">
            <w:pPr>
              <w:keepNext/>
              <w:keepLines/>
              <w:autoSpaceDE w:val="0"/>
              <w:autoSpaceDN w:val="0"/>
              <w:adjustRightInd w:val="0"/>
              <w:rPr>
                <w:rStyle w:val="Hyperlink"/>
                <w:rFonts w:ascii="Garamond" w:hAnsi="Garamond"/>
                <w:color w:val="auto"/>
                <w:u w:val="none"/>
                <w:lang w:val="en-AU"/>
              </w:rPr>
            </w:pPr>
            <w:hyperlink r:id="rId24" w:history="1">
              <w:r w:rsidR="00C40225" w:rsidRPr="0065129B">
                <w:rPr>
                  <w:rStyle w:val="Hyperlink"/>
                  <w:rFonts w:ascii="Garamond" w:hAnsi="Garamond"/>
                  <w:lang w:val="en-AU"/>
                </w:rPr>
                <w:t>http://www.cqc.org.uk/publications/themed-work/sharing-best-practice-clinical-leaders-emergency-departments</w:t>
              </w:r>
            </w:hyperlink>
          </w:p>
        </w:tc>
      </w:tr>
      <w:tr w:rsidR="00C40225" w:rsidRPr="000170DA" w:rsidTr="000F7ACF">
        <w:tc>
          <w:tcPr>
            <w:tcW w:w="1080" w:type="dxa"/>
            <w:tcBorders>
              <w:top w:val="single" w:sz="4" w:space="0" w:color="auto"/>
              <w:left w:val="single" w:sz="4" w:space="0" w:color="auto"/>
              <w:bottom w:val="single" w:sz="4" w:space="0" w:color="auto"/>
              <w:right w:val="single" w:sz="4" w:space="0" w:color="auto"/>
            </w:tcBorders>
            <w:vAlign w:val="center"/>
          </w:tcPr>
          <w:p w:rsidR="00C40225" w:rsidRPr="000170DA" w:rsidRDefault="00C40225" w:rsidP="000F7AC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0225" w:rsidRPr="00316942" w:rsidRDefault="00C40225" w:rsidP="000F7ACF">
            <w:pPr>
              <w:rPr>
                <w:rFonts w:ascii="Garamond" w:hAnsi="Garamond"/>
                <w:lang w:val="en-AU"/>
              </w:rPr>
            </w:pPr>
            <w:r>
              <w:rPr>
                <w:rFonts w:ascii="Garamond" w:hAnsi="Garamond"/>
                <w:lang w:val="en-AU"/>
              </w:rPr>
              <w:t xml:space="preserve">The UK’s Care Quality Commission brought together </w:t>
            </w:r>
            <w:r w:rsidRPr="00316942">
              <w:rPr>
                <w:rFonts w:ascii="Garamond" w:hAnsi="Garamond"/>
                <w:lang w:val="en-AU"/>
              </w:rPr>
              <w:t>consultants, clinical leads, senior nursing staff and managers from leading emergency departments in 17 NHS acute trusts across England where good practic</w:t>
            </w:r>
            <w:r>
              <w:rPr>
                <w:rFonts w:ascii="Garamond" w:hAnsi="Garamond"/>
                <w:lang w:val="en-AU"/>
              </w:rPr>
              <w:t xml:space="preserve">e had been identified. The group discussed </w:t>
            </w:r>
            <w:r w:rsidRPr="00316942">
              <w:rPr>
                <w:rFonts w:ascii="Garamond" w:hAnsi="Garamond"/>
                <w:lang w:val="en-AU"/>
              </w:rPr>
              <w:t xml:space="preserve">how their trusts are meeting the challenges of managing capacity and demand, and managing risks to patient safety. </w:t>
            </w:r>
            <w:r>
              <w:rPr>
                <w:rFonts w:ascii="Garamond" w:hAnsi="Garamond"/>
                <w:lang w:val="en-AU"/>
              </w:rPr>
              <w:t xml:space="preserve">This report shares the </w:t>
            </w:r>
            <w:r w:rsidRPr="00316942">
              <w:rPr>
                <w:rFonts w:ascii="Garamond" w:hAnsi="Garamond"/>
                <w:lang w:val="en-AU"/>
              </w:rPr>
              <w:t>practical examples and initiatives so that other</w:t>
            </w:r>
            <w:r>
              <w:rPr>
                <w:rFonts w:ascii="Garamond" w:hAnsi="Garamond"/>
                <w:lang w:val="en-AU"/>
              </w:rPr>
              <w:t>s</w:t>
            </w:r>
            <w:r w:rsidRPr="00316942">
              <w:rPr>
                <w:rFonts w:ascii="Garamond" w:hAnsi="Garamond"/>
                <w:lang w:val="en-AU"/>
              </w:rPr>
              <w:t xml:space="preserve"> can learn from them and adapt them to their own </w:t>
            </w:r>
            <w:r>
              <w:rPr>
                <w:rFonts w:ascii="Garamond" w:hAnsi="Garamond"/>
                <w:lang w:val="en-AU"/>
              </w:rPr>
              <w:t xml:space="preserve">settings </w:t>
            </w:r>
            <w:r w:rsidRPr="00316942">
              <w:rPr>
                <w:rFonts w:ascii="Garamond" w:hAnsi="Garamond"/>
                <w:lang w:val="en-AU"/>
              </w:rPr>
              <w:t>to help improve the quality of emergency care for patients.</w:t>
            </w:r>
          </w:p>
          <w:p w:rsidR="00C40225" w:rsidRPr="00316942" w:rsidRDefault="00C40225" w:rsidP="000F7ACF">
            <w:pPr>
              <w:rPr>
                <w:rFonts w:ascii="Garamond" w:hAnsi="Garamond"/>
                <w:lang w:val="en-AU"/>
              </w:rPr>
            </w:pPr>
            <w:r w:rsidRPr="00316942">
              <w:rPr>
                <w:rFonts w:ascii="Garamond" w:hAnsi="Garamond"/>
                <w:lang w:val="en-AU"/>
              </w:rPr>
              <w:t>This resource identifies:</w:t>
            </w:r>
          </w:p>
          <w:p w:rsidR="00C40225" w:rsidRPr="00316942" w:rsidRDefault="00C40225" w:rsidP="000F7ACF">
            <w:pPr>
              <w:pStyle w:val="ListParagraph"/>
              <w:numPr>
                <w:ilvl w:val="0"/>
                <w:numId w:val="20"/>
              </w:numPr>
              <w:rPr>
                <w:rFonts w:ascii="Garamond" w:hAnsi="Garamond"/>
                <w:lang w:val="en-AU"/>
              </w:rPr>
            </w:pPr>
            <w:r w:rsidRPr="008E4389">
              <w:rPr>
                <w:rFonts w:ascii="Garamond" w:hAnsi="Garamond"/>
                <w:b/>
                <w:lang w:val="en-AU"/>
              </w:rPr>
              <w:t>strategies</w:t>
            </w:r>
            <w:r w:rsidRPr="00316942">
              <w:rPr>
                <w:rFonts w:ascii="Garamond" w:hAnsi="Garamond"/>
                <w:lang w:val="en-AU"/>
              </w:rPr>
              <w:t xml:space="preserve"> staff use to meet the challenge of increased demand and manage risks to patient safety</w:t>
            </w:r>
          </w:p>
          <w:p w:rsidR="00C40225" w:rsidRPr="00316942" w:rsidRDefault="00C40225" w:rsidP="000F7ACF">
            <w:pPr>
              <w:pStyle w:val="ListParagraph"/>
              <w:numPr>
                <w:ilvl w:val="0"/>
                <w:numId w:val="20"/>
              </w:numPr>
              <w:rPr>
                <w:rFonts w:ascii="Garamond" w:hAnsi="Garamond"/>
                <w:lang w:val="en-AU"/>
              </w:rPr>
            </w:pPr>
            <w:r w:rsidRPr="00316942">
              <w:rPr>
                <w:rFonts w:ascii="Garamond" w:hAnsi="Garamond"/>
                <w:lang w:val="en-AU"/>
              </w:rPr>
              <w:t xml:space="preserve">positive </w:t>
            </w:r>
            <w:r w:rsidRPr="008E4389">
              <w:rPr>
                <w:rFonts w:ascii="Garamond" w:hAnsi="Garamond"/>
                <w:b/>
                <w:lang w:val="en-AU"/>
              </w:rPr>
              <w:t>actions</w:t>
            </w:r>
            <w:r w:rsidRPr="00316942">
              <w:rPr>
                <w:rFonts w:ascii="Garamond" w:hAnsi="Garamond"/>
                <w:lang w:val="en-AU"/>
              </w:rPr>
              <w:t xml:space="preserve"> to address potential safety risks and to manage increased demand better</w:t>
            </w:r>
          </w:p>
          <w:p w:rsidR="00C40225" w:rsidRPr="00316942" w:rsidRDefault="00C40225" w:rsidP="000F7ACF">
            <w:pPr>
              <w:pStyle w:val="ListParagraph"/>
              <w:numPr>
                <w:ilvl w:val="0"/>
                <w:numId w:val="20"/>
              </w:numPr>
              <w:rPr>
                <w:rFonts w:ascii="Garamond" w:hAnsi="Garamond"/>
                <w:lang w:val="en-AU"/>
              </w:rPr>
            </w:pPr>
            <w:r w:rsidRPr="00316942">
              <w:rPr>
                <w:rFonts w:ascii="Garamond" w:hAnsi="Garamond"/>
                <w:lang w:val="en-AU"/>
              </w:rPr>
              <w:t xml:space="preserve">how </w:t>
            </w:r>
            <w:r w:rsidRPr="008E4389">
              <w:rPr>
                <w:rFonts w:ascii="Garamond" w:hAnsi="Garamond"/>
                <w:b/>
                <w:lang w:val="en-AU"/>
              </w:rPr>
              <w:t>working with</w:t>
            </w:r>
            <w:r w:rsidRPr="00316942">
              <w:rPr>
                <w:rFonts w:ascii="Garamond" w:hAnsi="Garamond"/>
                <w:lang w:val="en-AU"/>
              </w:rPr>
              <w:t xml:space="preserve"> others can manage patient flow and ensure patients get the care they need</w:t>
            </w:r>
          </w:p>
          <w:p w:rsidR="00C40225" w:rsidRPr="00316942" w:rsidRDefault="00C40225" w:rsidP="000F7ACF">
            <w:pPr>
              <w:pStyle w:val="ListParagraph"/>
              <w:numPr>
                <w:ilvl w:val="0"/>
                <w:numId w:val="20"/>
              </w:numPr>
              <w:rPr>
                <w:rFonts w:ascii="Garamond" w:hAnsi="Garamond"/>
                <w:lang w:val="en-AU"/>
              </w:rPr>
            </w:pPr>
            <w:r w:rsidRPr="00316942">
              <w:rPr>
                <w:rFonts w:ascii="Garamond" w:hAnsi="Garamond"/>
                <w:lang w:val="en-AU"/>
              </w:rPr>
              <w:t xml:space="preserve">that </w:t>
            </w:r>
            <w:r w:rsidRPr="008E4389">
              <w:rPr>
                <w:rFonts w:ascii="Garamond" w:hAnsi="Garamond"/>
                <w:b/>
                <w:lang w:val="en-AU"/>
              </w:rPr>
              <w:t>rising demand</w:t>
            </w:r>
            <w:r w:rsidRPr="00316942">
              <w:rPr>
                <w:rFonts w:ascii="Garamond" w:hAnsi="Garamond"/>
                <w:lang w:val="en-AU"/>
              </w:rPr>
              <w:t xml:space="preserve"> pressures in emergency departments are an issue for the whole hospital and local health economy.</w:t>
            </w:r>
          </w:p>
        </w:tc>
      </w:tr>
    </w:tbl>
    <w:p w:rsidR="00C40225" w:rsidRDefault="00C40225" w:rsidP="00C40225">
      <w:pPr>
        <w:keepNext/>
        <w:keepLines/>
        <w:autoSpaceDE w:val="0"/>
        <w:autoSpaceDN w:val="0"/>
        <w:adjustRightInd w:val="0"/>
        <w:rPr>
          <w:rFonts w:ascii="Garamond" w:hAnsi="Garamond"/>
          <w:b/>
          <w:lang w:val="en-AU"/>
        </w:rPr>
      </w:pPr>
    </w:p>
    <w:p w:rsidR="00B24D09" w:rsidRPr="00B24D09" w:rsidRDefault="00B24D09" w:rsidP="00B24D09">
      <w:pPr>
        <w:keepNext/>
        <w:keepLines/>
        <w:autoSpaceDE w:val="0"/>
        <w:autoSpaceDN w:val="0"/>
        <w:adjustRightInd w:val="0"/>
        <w:rPr>
          <w:rFonts w:ascii="Garamond" w:hAnsi="Garamond"/>
          <w:i/>
          <w:lang w:val="en-AU"/>
        </w:rPr>
      </w:pPr>
      <w:r w:rsidRPr="00B24D09">
        <w:rPr>
          <w:rFonts w:ascii="Garamond" w:hAnsi="Garamond"/>
          <w:i/>
          <w:lang w:val="en-AU"/>
        </w:rPr>
        <w:t>Comprehensive Care: Older people living with frailty in hospitals</w:t>
      </w:r>
    </w:p>
    <w:p w:rsidR="00B24D09" w:rsidRDefault="00B24D09" w:rsidP="00B24D09">
      <w:pPr>
        <w:keepNext/>
        <w:keepLines/>
        <w:autoSpaceDE w:val="0"/>
        <w:autoSpaceDN w:val="0"/>
        <w:adjustRightInd w:val="0"/>
        <w:rPr>
          <w:rFonts w:ascii="Garamond" w:hAnsi="Garamond"/>
          <w:lang w:val="en-AU"/>
        </w:rPr>
      </w:pPr>
      <w:r w:rsidRPr="00B24D09">
        <w:rPr>
          <w:rFonts w:ascii="Garamond" w:hAnsi="Garamond"/>
          <w:lang w:val="en-AU"/>
        </w:rPr>
        <w:t>Themed review</w:t>
      </w:r>
    </w:p>
    <w:p w:rsidR="00B24D09" w:rsidRDefault="00B24D09" w:rsidP="00C40225">
      <w:pPr>
        <w:keepNext/>
        <w:keepLines/>
        <w:autoSpaceDE w:val="0"/>
        <w:autoSpaceDN w:val="0"/>
        <w:adjustRightInd w:val="0"/>
        <w:rPr>
          <w:rFonts w:ascii="Garamond" w:hAnsi="Garamond"/>
          <w:lang w:val="en-AU"/>
        </w:rPr>
      </w:pPr>
      <w:r w:rsidRPr="00B24D09">
        <w:rPr>
          <w:rFonts w:ascii="Garamond" w:hAnsi="Garamond"/>
          <w:lang w:val="en-AU"/>
        </w:rPr>
        <w:t>National Institute for Health Research</w:t>
      </w:r>
    </w:p>
    <w:p w:rsidR="005B205C" w:rsidRPr="00B24D09" w:rsidRDefault="00B24D09" w:rsidP="00C40225">
      <w:pPr>
        <w:keepNext/>
        <w:keepLines/>
        <w:autoSpaceDE w:val="0"/>
        <w:autoSpaceDN w:val="0"/>
        <w:adjustRightInd w:val="0"/>
        <w:rPr>
          <w:rFonts w:ascii="Garamond" w:hAnsi="Garamond"/>
          <w:lang w:val="en-AU"/>
        </w:rPr>
      </w:pPr>
      <w:r w:rsidRPr="00B24D09">
        <w:rPr>
          <w:rFonts w:ascii="Garamond" w:hAnsi="Garamond"/>
          <w:lang w:val="en-AU"/>
        </w:rPr>
        <w:t>London: NHS NIHR; 2017. p. 48.</w:t>
      </w:r>
    </w:p>
    <w:tbl>
      <w:tblPr>
        <w:tblStyle w:val="TableGrid"/>
        <w:tblW w:w="0" w:type="auto"/>
        <w:tblInd w:w="288" w:type="dxa"/>
        <w:tblLayout w:type="fixed"/>
        <w:tblLook w:val="01E0" w:firstRow="1" w:lastRow="1" w:firstColumn="1" w:lastColumn="1" w:noHBand="0" w:noVBand="0"/>
      </w:tblPr>
      <w:tblGrid>
        <w:gridCol w:w="1080"/>
        <w:gridCol w:w="8280"/>
      </w:tblGrid>
      <w:tr w:rsidR="00B24D09" w:rsidRPr="000170DA" w:rsidTr="000F7ACF">
        <w:tc>
          <w:tcPr>
            <w:tcW w:w="1080" w:type="dxa"/>
            <w:tcBorders>
              <w:top w:val="single" w:sz="4" w:space="0" w:color="auto"/>
              <w:left w:val="single" w:sz="4" w:space="0" w:color="auto"/>
              <w:bottom w:val="single" w:sz="4" w:space="0" w:color="auto"/>
              <w:right w:val="single" w:sz="4" w:space="0" w:color="auto"/>
            </w:tcBorders>
            <w:vAlign w:val="center"/>
          </w:tcPr>
          <w:p w:rsidR="00B24D09" w:rsidRPr="000170DA" w:rsidRDefault="00B24D09" w:rsidP="000F7ACF">
            <w:pPr>
              <w:rPr>
                <w:rStyle w:val="Hyperlink"/>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24D09" w:rsidRPr="000170DA" w:rsidRDefault="00F95090" w:rsidP="000F7ACF">
            <w:pPr>
              <w:keepNext/>
              <w:keepLines/>
              <w:autoSpaceDE w:val="0"/>
              <w:autoSpaceDN w:val="0"/>
              <w:adjustRightInd w:val="0"/>
              <w:rPr>
                <w:rStyle w:val="Hyperlink"/>
                <w:rFonts w:ascii="Garamond" w:hAnsi="Garamond"/>
                <w:color w:val="auto"/>
                <w:u w:val="none"/>
                <w:lang w:val="en-AU"/>
              </w:rPr>
            </w:pPr>
            <w:hyperlink r:id="rId25" w:history="1">
              <w:r w:rsidR="00B24D09" w:rsidRPr="00752CA1">
                <w:rPr>
                  <w:rStyle w:val="Hyperlink"/>
                  <w:rFonts w:ascii="Garamond" w:hAnsi="Garamond"/>
                  <w:lang w:val="en-AU"/>
                </w:rPr>
                <w:t>http://www.dc.nihr.ac.uk/themed-reviews/comprehensive-care.htm</w:t>
              </w:r>
            </w:hyperlink>
          </w:p>
        </w:tc>
      </w:tr>
      <w:tr w:rsidR="00B24D09" w:rsidRPr="000170DA" w:rsidTr="000F7ACF">
        <w:tc>
          <w:tcPr>
            <w:tcW w:w="1080" w:type="dxa"/>
            <w:tcBorders>
              <w:top w:val="single" w:sz="4" w:space="0" w:color="auto"/>
              <w:left w:val="single" w:sz="4" w:space="0" w:color="auto"/>
              <w:bottom w:val="single" w:sz="4" w:space="0" w:color="auto"/>
              <w:right w:val="single" w:sz="4" w:space="0" w:color="auto"/>
            </w:tcBorders>
            <w:vAlign w:val="center"/>
          </w:tcPr>
          <w:p w:rsidR="00B24D09" w:rsidRPr="000170DA" w:rsidRDefault="00B24D09" w:rsidP="000F7AC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74EE3" w:rsidRDefault="00B24D09" w:rsidP="00574EE3">
            <w:pPr>
              <w:rPr>
                <w:rFonts w:ascii="Garamond" w:hAnsi="Garamond"/>
                <w:lang w:val="en-AU"/>
              </w:rPr>
            </w:pPr>
            <w:r w:rsidRPr="00B24D09">
              <w:rPr>
                <w:rFonts w:ascii="Garamond" w:hAnsi="Garamond"/>
                <w:lang w:val="en-AU"/>
              </w:rPr>
              <w:t>The UK’s National Institute for Health Research (NIHR) have produced this themed review</w:t>
            </w:r>
            <w:r>
              <w:rPr>
                <w:rFonts w:ascii="Garamond" w:hAnsi="Garamond"/>
                <w:lang w:val="en-AU"/>
              </w:rPr>
              <w:t xml:space="preserve"> </w:t>
            </w:r>
            <w:r w:rsidR="00574EE3">
              <w:rPr>
                <w:rFonts w:ascii="Garamond" w:hAnsi="Garamond"/>
                <w:lang w:val="en-AU"/>
              </w:rPr>
              <w:t xml:space="preserve">drawing together </w:t>
            </w:r>
            <w:r w:rsidR="00574EE3" w:rsidRPr="00574EE3">
              <w:rPr>
                <w:rFonts w:ascii="Garamond" w:hAnsi="Garamond"/>
                <w:lang w:val="en-AU"/>
              </w:rPr>
              <w:t>research into the care of older people living with frailty in hospitals.</w:t>
            </w:r>
            <w:r w:rsidR="00574EE3">
              <w:rPr>
                <w:rFonts w:ascii="Garamond" w:hAnsi="Garamond"/>
                <w:lang w:val="en-AU"/>
              </w:rPr>
              <w:t xml:space="preserve"> The themed review </w:t>
            </w:r>
            <w:r w:rsidR="00574EE3" w:rsidRPr="00574EE3">
              <w:rPr>
                <w:rFonts w:ascii="Garamond" w:hAnsi="Garamond"/>
                <w:lang w:val="en-AU"/>
              </w:rPr>
              <w:t>looks at the concept of ‘frailty’ in older people living in hospital</w:t>
            </w:r>
            <w:r w:rsidR="00574EE3">
              <w:rPr>
                <w:rFonts w:ascii="Garamond" w:hAnsi="Garamond"/>
                <w:lang w:val="en-AU"/>
              </w:rPr>
              <w:t xml:space="preserve">. The collected research looked </w:t>
            </w:r>
            <w:r w:rsidR="00574EE3" w:rsidRPr="00574EE3">
              <w:rPr>
                <w:rFonts w:ascii="Garamond" w:hAnsi="Garamond"/>
                <w:lang w:val="en-AU"/>
              </w:rPr>
              <w:t xml:space="preserve">what can be done to identify and manage the needs of this group and to avoid potential problems. </w:t>
            </w:r>
            <w:r w:rsidR="00574EE3">
              <w:rPr>
                <w:rFonts w:ascii="Garamond" w:hAnsi="Garamond"/>
                <w:lang w:val="en-AU"/>
              </w:rPr>
              <w:t>The r</w:t>
            </w:r>
            <w:r w:rsidR="00574EE3" w:rsidRPr="00574EE3">
              <w:rPr>
                <w:rFonts w:ascii="Garamond" w:hAnsi="Garamond"/>
                <w:lang w:val="en-AU"/>
              </w:rPr>
              <w:t xml:space="preserve">eview covers </w:t>
            </w:r>
            <w:r w:rsidR="00574EE3" w:rsidRPr="008E4389">
              <w:rPr>
                <w:rFonts w:ascii="Garamond" w:hAnsi="Garamond"/>
                <w:b/>
                <w:lang w:val="en-AU"/>
              </w:rPr>
              <w:t>four key aspects</w:t>
            </w:r>
            <w:r w:rsidR="00574EE3" w:rsidRPr="00574EE3">
              <w:rPr>
                <w:rFonts w:ascii="Garamond" w:hAnsi="Garamond"/>
                <w:lang w:val="en-AU"/>
              </w:rPr>
              <w:t xml:space="preserve"> of caring for older people living with frailty in hospital:</w:t>
            </w:r>
          </w:p>
          <w:p w:rsidR="00574EE3" w:rsidRPr="008E4389" w:rsidRDefault="00574EE3" w:rsidP="00574EE3">
            <w:pPr>
              <w:pStyle w:val="ListParagraph"/>
              <w:numPr>
                <w:ilvl w:val="0"/>
                <w:numId w:val="24"/>
              </w:numPr>
              <w:rPr>
                <w:rFonts w:ascii="Garamond" w:hAnsi="Garamond"/>
                <w:b/>
                <w:lang w:val="en-AU"/>
              </w:rPr>
            </w:pPr>
            <w:r w:rsidRPr="008E4389">
              <w:rPr>
                <w:rFonts w:ascii="Garamond" w:hAnsi="Garamond"/>
                <w:b/>
                <w:lang w:val="en-AU"/>
              </w:rPr>
              <w:t>Assessment</w:t>
            </w:r>
          </w:p>
          <w:p w:rsidR="00574EE3" w:rsidRPr="00574EE3" w:rsidRDefault="00574EE3" w:rsidP="00574EE3">
            <w:pPr>
              <w:pStyle w:val="ListParagraph"/>
              <w:numPr>
                <w:ilvl w:val="0"/>
                <w:numId w:val="24"/>
              </w:numPr>
              <w:rPr>
                <w:rFonts w:ascii="Garamond" w:hAnsi="Garamond"/>
                <w:lang w:val="en-AU"/>
              </w:rPr>
            </w:pPr>
            <w:r w:rsidRPr="00574EE3">
              <w:rPr>
                <w:rFonts w:ascii="Garamond" w:hAnsi="Garamond"/>
                <w:lang w:val="en-AU"/>
              </w:rPr>
              <w:t xml:space="preserve">Identifying and managing </w:t>
            </w:r>
            <w:r w:rsidRPr="008E4389">
              <w:rPr>
                <w:rFonts w:ascii="Garamond" w:hAnsi="Garamond"/>
                <w:b/>
                <w:lang w:val="en-AU"/>
              </w:rPr>
              <w:t>symptoms</w:t>
            </w:r>
            <w:r w:rsidRPr="00574EE3">
              <w:rPr>
                <w:rFonts w:ascii="Garamond" w:hAnsi="Garamond"/>
                <w:lang w:val="en-AU"/>
              </w:rPr>
              <w:t xml:space="preserve"> associated with frailty in hospital</w:t>
            </w:r>
          </w:p>
          <w:p w:rsidR="00574EE3" w:rsidRPr="00574EE3" w:rsidRDefault="00574EE3" w:rsidP="00574EE3">
            <w:pPr>
              <w:pStyle w:val="ListParagraph"/>
              <w:numPr>
                <w:ilvl w:val="0"/>
                <w:numId w:val="24"/>
              </w:numPr>
              <w:rPr>
                <w:rFonts w:ascii="Garamond" w:hAnsi="Garamond"/>
                <w:lang w:val="en-AU"/>
              </w:rPr>
            </w:pPr>
            <w:r w:rsidRPr="008E4389">
              <w:rPr>
                <w:rFonts w:ascii="Garamond" w:hAnsi="Garamond"/>
                <w:b/>
                <w:lang w:val="en-AU"/>
              </w:rPr>
              <w:t>Discharge</w:t>
            </w:r>
            <w:r w:rsidRPr="00574EE3">
              <w:rPr>
                <w:rFonts w:ascii="Garamond" w:hAnsi="Garamond"/>
                <w:lang w:val="en-AU"/>
              </w:rPr>
              <w:t xml:space="preserve"> planning, and </w:t>
            </w:r>
          </w:p>
          <w:p w:rsidR="00574EE3" w:rsidRPr="00574EE3" w:rsidRDefault="00574EE3" w:rsidP="00574EE3">
            <w:pPr>
              <w:pStyle w:val="ListParagraph"/>
              <w:numPr>
                <w:ilvl w:val="0"/>
                <w:numId w:val="24"/>
              </w:numPr>
              <w:rPr>
                <w:rFonts w:ascii="Garamond" w:hAnsi="Garamond"/>
                <w:lang w:val="en-AU"/>
              </w:rPr>
            </w:pPr>
            <w:r w:rsidRPr="008E4389">
              <w:rPr>
                <w:rFonts w:ascii="Garamond" w:hAnsi="Garamond"/>
                <w:b/>
                <w:lang w:val="en-AU"/>
              </w:rPr>
              <w:t>Caring environments</w:t>
            </w:r>
            <w:r w:rsidRPr="00574EE3">
              <w:rPr>
                <w:rFonts w:ascii="Garamond" w:hAnsi="Garamond"/>
                <w:lang w:val="en-AU"/>
              </w:rPr>
              <w:t>.</w:t>
            </w:r>
          </w:p>
          <w:p w:rsidR="00574EE3" w:rsidRPr="00574EE3" w:rsidRDefault="003837C8" w:rsidP="00574EE3">
            <w:pPr>
              <w:rPr>
                <w:rFonts w:ascii="Garamond" w:hAnsi="Garamond"/>
                <w:lang w:val="en-AU"/>
              </w:rPr>
            </w:pPr>
            <w:r>
              <w:rPr>
                <w:rFonts w:ascii="Garamond" w:hAnsi="Garamond"/>
                <w:lang w:val="en-AU"/>
              </w:rPr>
              <w:t xml:space="preserve">The review </w:t>
            </w:r>
            <w:r w:rsidR="00574EE3" w:rsidRPr="00574EE3">
              <w:rPr>
                <w:rFonts w:ascii="Garamond" w:hAnsi="Garamond"/>
                <w:lang w:val="en-AU"/>
              </w:rPr>
              <w:t>features:</w:t>
            </w:r>
          </w:p>
          <w:p w:rsidR="00574EE3" w:rsidRPr="003837C8" w:rsidRDefault="003837C8" w:rsidP="003837C8">
            <w:pPr>
              <w:pStyle w:val="ListParagraph"/>
              <w:numPr>
                <w:ilvl w:val="0"/>
                <w:numId w:val="25"/>
              </w:numPr>
              <w:rPr>
                <w:rFonts w:ascii="Garamond" w:hAnsi="Garamond"/>
                <w:lang w:val="en-AU"/>
              </w:rPr>
            </w:pPr>
            <w:r w:rsidRPr="003837C8">
              <w:rPr>
                <w:rFonts w:ascii="Garamond" w:hAnsi="Garamond"/>
                <w:lang w:val="en-AU"/>
              </w:rPr>
              <w:t>33 published studies</w:t>
            </w:r>
          </w:p>
          <w:p w:rsidR="00574EE3" w:rsidRPr="003837C8" w:rsidRDefault="00574EE3" w:rsidP="003837C8">
            <w:pPr>
              <w:pStyle w:val="ListParagraph"/>
              <w:numPr>
                <w:ilvl w:val="0"/>
                <w:numId w:val="25"/>
              </w:numPr>
              <w:rPr>
                <w:rFonts w:ascii="Garamond" w:hAnsi="Garamond"/>
                <w:lang w:val="en-AU"/>
              </w:rPr>
            </w:pPr>
            <w:r w:rsidRPr="003837C8">
              <w:rPr>
                <w:rFonts w:ascii="Garamond" w:hAnsi="Garamond"/>
                <w:lang w:val="en-AU"/>
              </w:rPr>
              <w:t xml:space="preserve">20 ongoing research projects </w:t>
            </w:r>
          </w:p>
          <w:p w:rsidR="00B24D09" w:rsidRPr="003837C8" w:rsidRDefault="00574EE3" w:rsidP="003837C8">
            <w:pPr>
              <w:pStyle w:val="ListParagraph"/>
              <w:numPr>
                <w:ilvl w:val="0"/>
                <w:numId w:val="25"/>
              </w:numPr>
              <w:rPr>
                <w:rFonts w:ascii="Garamond" w:hAnsi="Garamond"/>
                <w:lang w:val="en-AU"/>
              </w:rPr>
            </w:pPr>
            <w:r w:rsidRPr="003837C8">
              <w:rPr>
                <w:rFonts w:ascii="Garamond" w:hAnsi="Garamond"/>
                <w:lang w:val="en-AU"/>
              </w:rPr>
              <w:t>Questions to ask about the care of older people with frailty in hospitals.</w:t>
            </w:r>
          </w:p>
        </w:tc>
      </w:tr>
    </w:tbl>
    <w:p w:rsidR="00D1361C" w:rsidRPr="00B24D09" w:rsidRDefault="00D1361C" w:rsidP="00D1361C">
      <w:pPr>
        <w:keepNext/>
        <w:keepLines/>
        <w:autoSpaceDE w:val="0"/>
        <w:autoSpaceDN w:val="0"/>
        <w:adjustRightInd w:val="0"/>
        <w:rPr>
          <w:rFonts w:ascii="Garamond" w:hAnsi="Garamond"/>
          <w:lang w:val="en-AU"/>
        </w:rPr>
      </w:pPr>
    </w:p>
    <w:p w:rsidR="00574EE3" w:rsidRDefault="00574EE3">
      <w:pPr>
        <w:rPr>
          <w:rFonts w:ascii="Garamond" w:hAnsi="Garamond"/>
          <w:b/>
          <w:lang w:val="en-AU"/>
        </w:rPr>
      </w:pPr>
      <w:r>
        <w:rPr>
          <w:rFonts w:ascii="Garamond" w:hAnsi="Garamond"/>
          <w:b/>
          <w:lang w:val="en-AU"/>
        </w:rPr>
        <w:br w:type="page"/>
      </w:r>
    </w:p>
    <w:p w:rsidR="000C6A11" w:rsidRPr="000170DA" w:rsidRDefault="000C6A11" w:rsidP="00644660">
      <w:pPr>
        <w:keepNext/>
        <w:keepLines/>
        <w:autoSpaceDE w:val="0"/>
        <w:autoSpaceDN w:val="0"/>
        <w:adjustRightInd w:val="0"/>
        <w:rPr>
          <w:rFonts w:ascii="Garamond" w:hAnsi="Garamond"/>
          <w:b/>
          <w:lang w:val="en-AU"/>
        </w:rPr>
      </w:pPr>
      <w:r w:rsidRPr="000170DA">
        <w:rPr>
          <w:rFonts w:ascii="Garamond" w:hAnsi="Garamond"/>
          <w:b/>
          <w:lang w:val="en-AU"/>
        </w:rPr>
        <w:lastRenderedPageBreak/>
        <w:t>Journal articles</w:t>
      </w:r>
    </w:p>
    <w:p w:rsidR="00FC4511" w:rsidRPr="000170DA" w:rsidRDefault="00FC4511" w:rsidP="00EA7E4B">
      <w:pPr>
        <w:keepLines/>
        <w:autoSpaceDE w:val="0"/>
        <w:autoSpaceDN w:val="0"/>
        <w:adjustRightInd w:val="0"/>
        <w:rPr>
          <w:rFonts w:ascii="Garamond" w:hAnsi="Garamond"/>
          <w:lang w:val="en-AU"/>
        </w:rPr>
      </w:pPr>
    </w:p>
    <w:p w:rsidR="00956C50" w:rsidRDefault="00956C50" w:rsidP="00956C50">
      <w:pPr>
        <w:keepLines/>
        <w:autoSpaceDE w:val="0"/>
        <w:autoSpaceDN w:val="0"/>
        <w:adjustRightInd w:val="0"/>
        <w:rPr>
          <w:rFonts w:ascii="Garamond" w:hAnsi="Garamond"/>
          <w:i/>
          <w:lang w:val="en-AU"/>
        </w:rPr>
      </w:pPr>
      <w:r w:rsidRPr="00956C50">
        <w:rPr>
          <w:rFonts w:ascii="Garamond" w:hAnsi="Garamond"/>
          <w:i/>
          <w:lang w:val="en-AU"/>
        </w:rPr>
        <w:t>Back to blame: the Bawa-Garba case and the patient safety agenda</w:t>
      </w:r>
    </w:p>
    <w:p w:rsidR="00956C50" w:rsidRPr="00956C50" w:rsidRDefault="00956C50" w:rsidP="007448AE">
      <w:pPr>
        <w:keepLines/>
        <w:autoSpaceDE w:val="0"/>
        <w:autoSpaceDN w:val="0"/>
        <w:adjustRightInd w:val="0"/>
        <w:rPr>
          <w:rFonts w:ascii="Garamond" w:hAnsi="Garamond"/>
          <w:lang w:val="en-AU"/>
        </w:rPr>
      </w:pPr>
      <w:r w:rsidRPr="00956C50">
        <w:rPr>
          <w:rFonts w:ascii="Garamond" w:hAnsi="Garamond"/>
          <w:lang w:val="en-AU"/>
        </w:rPr>
        <w:t>Cohen D</w:t>
      </w:r>
    </w:p>
    <w:p w:rsidR="00956C50" w:rsidRPr="00956C50" w:rsidRDefault="00956C50" w:rsidP="007448AE">
      <w:pPr>
        <w:keepLines/>
        <w:autoSpaceDE w:val="0"/>
        <w:autoSpaceDN w:val="0"/>
        <w:adjustRightInd w:val="0"/>
        <w:rPr>
          <w:rFonts w:ascii="Garamond" w:hAnsi="Garamond"/>
          <w:lang w:val="en-AU"/>
        </w:rPr>
      </w:pPr>
      <w:r w:rsidRPr="00956C50">
        <w:rPr>
          <w:rFonts w:ascii="Garamond" w:hAnsi="Garamond"/>
          <w:lang w:val="en-AU"/>
        </w:rPr>
        <w:t>BMJ. 2017;359:j5534.</w:t>
      </w:r>
    </w:p>
    <w:tbl>
      <w:tblPr>
        <w:tblStyle w:val="TableGrid"/>
        <w:tblW w:w="0" w:type="auto"/>
        <w:tblInd w:w="288" w:type="dxa"/>
        <w:tblLayout w:type="fixed"/>
        <w:tblLook w:val="01E0" w:firstRow="1" w:lastRow="1" w:firstColumn="1" w:lastColumn="1" w:noHBand="0" w:noVBand="0"/>
      </w:tblPr>
      <w:tblGrid>
        <w:gridCol w:w="1080"/>
        <w:gridCol w:w="8280"/>
      </w:tblGrid>
      <w:tr w:rsidR="00956C50"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956C50" w:rsidRPr="000170DA" w:rsidRDefault="00956C50" w:rsidP="0030768C">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56C50" w:rsidRPr="000170DA" w:rsidRDefault="00F95090" w:rsidP="0030768C">
            <w:pPr>
              <w:rPr>
                <w:rStyle w:val="Hyperlink"/>
                <w:rFonts w:ascii="Garamond" w:hAnsi="Garamond"/>
                <w:color w:val="auto"/>
                <w:u w:val="none"/>
                <w:lang w:val="en-AU"/>
              </w:rPr>
            </w:pPr>
            <w:hyperlink r:id="rId26" w:history="1">
              <w:r w:rsidR="00956C50" w:rsidRPr="0065129B">
                <w:rPr>
                  <w:rStyle w:val="Hyperlink"/>
                  <w:rFonts w:ascii="Garamond" w:hAnsi="Garamond"/>
                  <w:lang w:val="en-AU"/>
                </w:rPr>
                <w:t>https://doi.org/10.1136/bmj.j5534</w:t>
              </w:r>
            </w:hyperlink>
          </w:p>
        </w:tc>
      </w:tr>
      <w:tr w:rsidR="00956C50"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956C50" w:rsidRPr="000170DA" w:rsidRDefault="00956C50" w:rsidP="0030768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C20CB" w:rsidRPr="007C20CB" w:rsidRDefault="007C20CB" w:rsidP="007C20CB">
            <w:pPr>
              <w:rPr>
                <w:rFonts w:ascii="Garamond" w:hAnsi="Garamond"/>
                <w:lang w:val="en-AU"/>
              </w:rPr>
            </w:pPr>
            <w:r w:rsidRPr="007C20CB">
              <w:rPr>
                <w:rFonts w:ascii="Garamond" w:hAnsi="Garamond"/>
                <w:lang w:val="en-AU"/>
              </w:rPr>
              <w:t xml:space="preserve">A UK case involving the death of a child from sepsis has been discussed in the </w:t>
            </w:r>
            <w:r w:rsidRPr="007C20CB">
              <w:rPr>
                <w:rFonts w:ascii="Garamond" w:hAnsi="Garamond"/>
                <w:i/>
                <w:lang w:val="en-AU"/>
              </w:rPr>
              <w:t>BMJ</w:t>
            </w:r>
            <w:r w:rsidRPr="007C20CB">
              <w:rPr>
                <w:rFonts w:ascii="Garamond" w:hAnsi="Garamond"/>
                <w:lang w:val="en-AU"/>
              </w:rPr>
              <w:t xml:space="preserve"> recently, noting that the </w:t>
            </w:r>
            <w:r w:rsidRPr="008E4389">
              <w:rPr>
                <w:rFonts w:ascii="Garamond" w:hAnsi="Garamond"/>
                <w:b/>
                <w:lang w:val="en-AU"/>
              </w:rPr>
              <w:t>culture of blame continues to pervade patient safety</w:t>
            </w:r>
            <w:r w:rsidRPr="007C20CB">
              <w:rPr>
                <w:rFonts w:ascii="Garamond" w:hAnsi="Garamond"/>
                <w:lang w:val="en-AU"/>
              </w:rPr>
              <w:t>, particularly when legal systems become involved.</w:t>
            </w:r>
          </w:p>
          <w:p w:rsidR="00956C50" w:rsidRPr="000170DA" w:rsidRDefault="007C20CB" w:rsidP="007C20CB">
            <w:pPr>
              <w:rPr>
                <w:rFonts w:ascii="Garamond" w:hAnsi="Garamond"/>
                <w:lang w:val="en-AU"/>
              </w:rPr>
            </w:pPr>
            <w:r w:rsidRPr="007C20CB">
              <w:rPr>
                <w:rFonts w:ascii="Garamond" w:hAnsi="Garamond"/>
                <w:lang w:val="en-AU"/>
              </w:rPr>
              <w:t xml:space="preserve">The trainee paediatrician involved was convicted of gross negligence manslaughter in 2015, but allowed to maintain her medical registration. The General Medical Council in the UK is attempting to overturn that decision and to have her struck off, citing a careful investigation of the case. As with any incident of this nature, there were clearly individual and system-related factors, which are not described in detail here. However the concern expressed in a recent </w:t>
            </w:r>
            <w:r w:rsidRPr="005B205C">
              <w:rPr>
                <w:rFonts w:ascii="Garamond" w:hAnsi="Garamond"/>
                <w:i/>
                <w:lang w:val="en-AU"/>
              </w:rPr>
              <w:t>BMJ</w:t>
            </w:r>
            <w:r w:rsidRPr="007C20CB">
              <w:rPr>
                <w:rFonts w:ascii="Garamond" w:hAnsi="Garamond"/>
                <w:lang w:val="en-AU"/>
              </w:rPr>
              <w:t xml:space="preserve"> article was that a personal reflection, in which she was asked by her supervising consultant to reflect on the circumstances surrounding the child’s death and to sign a trainee encounter form setting out what she should have done differently, was presented in court and used as evidence leading to her conviction.  It is also noteworthy that the hospital and NHS Trust involved has since implemented procedures that would presumably detect deterioration in a more systematic way.</w:t>
            </w:r>
          </w:p>
        </w:tc>
      </w:tr>
    </w:tbl>
    <w:p w:rsidR="00956C50" w:rsidRDefault="00956C50" w:rsidP="007448AE">
      <w:pPr>
        <w:keepLines/>
        <w:autoSpaceDE w:val="0"/>
        <w:autoSpaceDN w:val="0"/>
        <w:adjustRightInd w:val="0"/>
        <w:rPr>
          <w:rFonts w:ascii="Garamond" w:hAnsi="Garamond"/>
          <w:i/>
          <w:lang w:val="en-AU"/>
        </w:rPr>
      </w:pPr>
    </w:p>
    <w:p w:rsidR="008279A6" w:rsidRPr="008279A6" w:rsidRDefault="008279A6" w:rsidP="00C40225">
      <w:pPr>
        <w:keepNext/>
        <w:keepLines/>
        <w:autoSpaceDE w:val="0"/>
        <w:autoSpaceDN w:val="0"/>
        <w:adjustRightInd w:val="0"/>
        <w:rPr>
          <w:rFonts w:ascii="Garamond" w:hAnsi="Garamond"/>
          <w:i/>
          <w:lang w:val="en-AU"/>
        </w:rPr>
      </w:pPr>
      <w:r w:rsidRPr="008279A6">
        <w:rPr>
          <w:rFonts w:ascii="Garamond" w:hAnsi="Garamond"/>
          <w:i/>
          <w:lang w:val="en-AU"/>
        </w:rPr>
        <w:t>Citizen participation in health services co-production: a roadmap for navigating participation types and outcomes</w:t>
      </w:r>
    </w:p>
    <w:p w:rsidR="008279A6" w:rsidRDefault="008279A6" w:rsidP="00C40225">
      <w:pPr>
        <w:keepNext/>
        <w:keepLines/>
        <w:autoSpaceDE w:val="0"/>
        <w:autoSpaceDN w:val="0"/>
        <w:adjustRightInd w:val="0"/>
        <w:rPr>
          <w:rFonts w:ascii="Garamond" w:hAnsi="Garamond"/>
          <w:lang w:val="en-AU"/>
        </w:rPr>
      </w:pPr>
      <w:r w:rsidRPr="008279A6">
        <w:rPr>
          <w:rFonts w:ascii="Garamond" w:hAnsi="Garamond"/>
          <w:lang w:val="en-AU"/>
        </w:rPr>
        <w:t>Farmer J, Taylor J, Stewart E, Kenny A</w:t>
      </w:r>
    </w:p>
    <w:p w:rsidR="000170DA" w:rsidRPr="000170DA" w:rsidRDefault="008279A6" w:rsidP="00C40225">
      <w:pPr>
        <w:keepNext/>
        <w:keepLines/>
        <w:autoSpaceDE w:val="0"/>
        <w:autoSpaceDN w:val="0"/>
        <w:adjustRightInd w:val="0"/>
        <w:rPr>
          <w:rFonts w:ascii="Garamond" w:hAnsi="Garamond"/>
          <w:lang w:val="en-AU"/>
        </w:rPr>
      </w:pPr>
      <w:r w:rsidRPr="008279A6">
        <w:rPr>
          <w:rFonts w:ascii="Garamond" w:hAnsi="Garamond"/>
          <w:lang w:val="en-AU"/>
        </w:rPr>
        <w:t>Australian Journal of Primary Health. 2017;23(6):509-15.</w:t>
      </w:r>
    </w:p>
    <w:tbl>
      <w:tblPr>
        <w:tblStyle w:val="TableGrid"/>
        <w:tblW w:w="0" w:type="auto"/>
        <w:tblInd w:w="288" w:type="dxa"/>
        <w:tblLayout w:type="fixed"/>
        <w:tblLook w:val="01E0" w:firstRow="1" w:lastRow="1" w:firstColumn="1" w:lastColumn="1" w:noHBand="0" w:noVBand="0"/>
      </w:tblPr>
      <w:tblGrid>
        <w:gridCol w:w="1080"/>
        <w:gridCol w:w="8280"/>
      </w:tblGrid>
      <w:tr w:rsidR="00E2743E" w:rsidRPr="000170DA"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0170DA" w:rsidRDefault="00E2743E" w:rsidP="00A80421">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2743E" w:rsidRPr="000170DA" w:rsidRDefault="00F95090" w:rsidP="00A80421">
            <w:pPr>
              <w:rPr>
                <w:rStyle w:val="Hyperlink"/>
                <w:rFonts w:ascii="Garamond" w:hAnsi="Garamond"/>
                <w:color w:val="auto"/>
                <w:u w:val="none"/>
                <w:lang w:val="en-AU"/>
              </w:rPr>
            </w:pPr>
            <w:hyperlink r:id="rId27" w:history="1">
              <w:r w:rsidR="008279A6" w:rsidRPr="004B683A">
                <w:rPr>
                  <w:rStyle w:val="Hyperlink"/>
                  <w:rFonts w:ascii="Garamond" w:hAnsi="Garamond"/>
                  <w:lang w:val="en-AU"/>
                </w:rPr>
                <w:t>https://doi.org/10.1071/PY16133</w:t>
              </w:r>
            </w:hyperlink>
          </w:p>
        </w:tc>
      </w:tr>
      <w:tr w:rsidR="00E2743E" w:rsidRPr="000170DA"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0170DA" w:rsidRDefault="00E2743E" w:rsidP="00A8042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743E" w:rsidRDefault="00CE25BC" w:rsidP="005A3105">
            <w:pPr>
              <w:rPr>
                <w:rFonts w:ascii="Garamond" w:hAnsi="Garamond"/>
                <w:lang w:val="en-AU"/>
              </w:rPr>
            </w:pPr>
            <w:r>
              <w:rPr>
                <w:rFonts w:ascii="Garamond" w:hAnsi="Garamond"/>
                <w:lang w:val="en-AU"/>
              </w:rPr>
              <w:t>Paper describing a practical ‘roadmap’ tool to assist primary healthcare managers with the conceptualisation, development, implementation and evaluation of ways to engage and include citizens/consumers/patients in service co-design and co-production. The maps has been developed using existing guidance and literature as well as the lived experiences of the authors.</w:t>
            </w:r>
          </w:p>
          <w:p w:rsidR="00415E99" w:rsidRDefault="00415E99" w:rsidP="005A3105">
            <w:pPr>
              <w:rPr>
                <w:rFonts w:ascii="Garamond" w:hAnsi="Garamond"/>
                <w:lang w:val="en-AU"/>
              </w:rPr>
            </w:pPr>
          </w:p>
          <w:p w:rsidR="00F85979" w:rsidRPr="000170DA" w:rsidRDefault="00F85979" w:rsidP="005A3105">
            <w:pPr>
              <w:rPr>
                <w:rFonts w:ascii="Garamond" w:hAnsi="Garamond"/>
                <w:lang w:val="en-AU"/>
              </w:rPr>
            </w:pPr>
            <w:r>
              <w:rPr>
                <w:rFonts w:ascii="Garamond" w:hAnsi="Garamond"/>
                <w:noProof/>
                <w:lang w:val="en-AU" w:eastAsia="en-AU"/>
              </w:rPr>
              <w:drawing>
                <wp:inline distT="0" distB="0" distL="0" distR="0" wp14:anchorId="0E690403" wp14:editId="6DCB97A4">
                  <wp:extent cx="5118100" cy="3390900"/>
                  <wp:effectExtent l="0" t="0" r="6350" b="0"/>
                  <wp:docPr id="1" name="Picture 1" descr="\\central.health\dfsuserenv\Users\User_07\johnni\Desktop\Map 2017-12-05_14-05-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Map 2017-12-05_14-05-0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18100" cy="3390900"/>
                          </a:xfrm>
                          <a:prstGeom prst="rect">
                            <a:avLst/>
                          </a:prstGeom>
                          <a:noFill/>
                          <a:ln>
                            <a:noFill/>
                          </a:ln>
                        </pic:spPr>
                      </pic:pic>
                    </a:graphicData>
                  </a:graphic>
                </wp:inline>
              </w:drawing>
            </w:r>
          </w:p>
        </w:tc>
      </w:tr>
    </w:tbl>
    <w:p w:rsidR="008279A6" w:rsidRDefault="008279A6" w:rsidP="00E2743E">
      <w:pPr>
        <w:keepLines/>
        <w:autoSpaceDE w:val="0"/>
        <w:autoSpaceDN w:val="0"/>
        <w:adjustRightInd w:val="0"/>
        <w:rPr>
          <w:rFonts w:ascii="Garamond" w:hAnsi="Garamond"/>
          <w:lang w:val="en-AU"/>
        </w:rPr>
      </w:pPr>
      <w:r w:rsidRPr="000170DA">
        <w:rPr>
          <w:rFonts w:ascii="Garamond" w:hAnsi="Garamond"/>
          <w:lang w:val="en-AU"/>
        </w:rPr>
        <w:lastRenderedPageBreak/>
        <w:t>For information on the Commission’s work on</w:t>
      </w:r>
      <w:r>
        <w:rPr>
          <w:rFonts w:ascii="Garamond" w:hAnsi="Garamond"/>
          <w:lang w:val="en-AU"/>
        </w:rPr>
        <w:t xml:space="preserve"> patient and consumer centred care, see </w:t>
      </w:r>
      <w:hyperlink r:id="rId29" w:history="1">
        <w:r w:rsidRPr="004B683A">
          <w:rPr>
            <w:rStyle w:val="Hyperlink"/>
            <w:rFonts w:ascii="Garamond" w:hAnsi="Garamond"/>
            <w:lang w:val="en-AU"/>
          </w:rPr>
          <w:t>https://www.safetyandquality.gov.au/our-work/patient-and-consumer-centred-care/</w:t>
        </w:r>
      </w:hyperlink>
    </w:p>
    <w:p w:rsidR="008279A6" w:rsidRDefault="008279A6" w:rsidP="00E2743E">
      <w:pPr>
        <w:keepLines/>
        <w:autoSpaceDE w:val="0"/>
        <w:autoSpaceDN w:val="0"/>
        <w:adjustRightInd w:val="0"/>
        <w:rPr>
          <w:rFonts w:ascii="Garamond" w:hAnsi="Garamond"/>
          <w:lang w:val="en-AU"/>
        </w:rPr>
      </w:pPr>
    </w:p>
    <w:p w:rsidR="008279A6" w:rsidRDefault="008279A6" w:rsidP="00E2743E">
      <w:pPr>
        <w:keepLines/>
        <w:autoSpaceDE w:val="0"/>
        <w:autoSpaceDN w:val="0"/>
        <w:adjustRightInd w:val="0"/>
        <w:rPr>
          <w:rFonts w:ascii="Garamond" w:hAnsi="Garamond"/>
          <w:lang w:val="en-AU"/>
        </w:rPr>
      </w:pPr>
      <w:r w:rsidRPr="000170DA">
        <w:rPr>
          <w:rFonts w:ascii="Garamond" w:hAnsi="Garamond"/>
          <w:lang w:val="en-AU"/>
        </w:rPr>
        <w:t>For information on the Commission’s work on</w:t>
      </w:r>
      <w:r>
        <w:rPr>
          <w:rFonts w:ascii="Garamond" w:hAnsi="Garamond"/>
          <w:lang w:val="en-AU"/>
        </w:rPr>
        <w:t xml:space="preserve"> primary health care, see </w:t>
      </w:r>
      <w:hyperlink r:id="rId30" w:history="1">
        <w:r w:rsidRPr="004B683A">
          <w:rPr>
            <w:rStyle w:val="Hyperlink"/>
            <w:rFonts w:ascii="Garamond" w:hAnsi="Garamond"/>
            <w:lang w:val="en-AU"/>
          </w:rPr>
          <w:t>https://www.safetyandquality.gov.au/our-work/primary-health-care/</w:t>
        </w:r>
      </w:hyperlink>
    </w:p>
    <w:p w:rsidR="008279A6" w:rsidRDefault="008279A6" w:rsidP="00E2743E">
      <w:pPr>
        <w:keepLines/>
        <w:autoSpaceDE w:val="0"/>
        <w:autoSpaceDN w:val="0"/>
        <w:adjustRightInd w:val="0"/>
        <w:rPr>
          <w:rFonts w:ascii="Garamond" w:hAnsi="Garamond"/>
          <w:lang w:val="en-AU"/>
        </w:rPr>
      </w:pPr>
    </w:p>
    <w:p w:rsidR="00EF418C" w:rsidRPr="008279A6" w:rsidRDefault="008279A6" w:rsidP="00EF418C">
      <w:pPr>
        <w:keepLines/>
        <w:autoSpaceDE w:val="0"/>
        <w:autoSpaceDN w:val="0"/>
        <w:adjustRightInd w:val="0"/>
        <w:rPr>
          <w:rFonts w:ascii="Garamond" w:hAnsi="Garamond"/>
          <w:i/>
          <w:lang w:val="en-AU"/>
        </w:rPr>
      </w:pPr>
      <w:r w:rsidRPr="008279A6">
        <w:rPr>
          <w:rFonts w:ascii="Garamond" w:hAnsi="Garamond"/>
          <w:i/>
          <w:lang w:val="en-AU"/>
        </w:rPr>
        <w:t>A Department of Medicine Infrastructure for Patient Safety and Clinical Quality Improvement</w:t>
      </w:r>
    </w:p>
    <w:p w:rsidR="005A7B9B" w:rsidRDefault="005A7B9B" w:rsidP="00EF418C">
      <w:pPr>
        <w:keepLines/>
        <w:autoSpaceDE w:val="0"/>
        <w:autoSpaceDN w:val="0"/>
        <w:adjustRightInd w:val="0"/>
        <w:rPr>
          <w:rFonts w:ascii="Garamond" w:hAnsi="Garamond"/>
          <w:lang w:val="en-AU"/>
        </w:rPr>
      </w:pPr>
      <w:r w:rsidRPr="005A7B9B">
        <w:rPr>
          <w:rFonts w:ascii="Garamond" w:hAnsi="Garamond"/>
          <w:lang w:val="en-AU"/>
        </w:rPr>
        <w:t>Mathews SC, Pronovost PJ, Biddison ELD, Petty BG, Anderson ME, Nelson TS, et al.</w:t>
      </w:r>
    </w:p>
    <w:p w:rsidR="008279A6" w:rsidRPr="000170DA" w:rsidRDefault="005A7B9B" w:rsidP="00EF418C">
      <w:pPr>
        <w:keepLines/>
        <w:autoSpaceDE w:val="0"/>
        <w:autoSpaceDN w:val="0"/>
        <w:adjustRightInd w:val="0"/>
        <w:rPr>
          <w:rFonts w:ascii="Garamond" w:hAnsi="Garamond"/>
          <w:lang w:val="en-AU"/>
        </w:rPr>
      </w:pPr>
      <w:r w:rsidRPr="005A7B9B">
        <w:rPr>
          <w:rFonts w:ascii="Garamond" w:hAnsi="Garamond"/>
          <w:lang w:val="en-AU"/>
        </w:rPr>
        <w:t>American Journal of Medical Quality. 2017</w:t>
      </w:r>
      <w:r>
        <w:rPr>
          <w:rFonts w:ascii="Garamond" w:hAnsi="Garamond"/>
          <w:lang w:val="en-AU"/>
        </w:rPr>
        <w:t xml:space="preserve"> [epub]</w:t>
      </w:r>
      <w:r w:rsidRPr="005A7B9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F418C" w:rsidRPr="000170DA" w:rsidTr="00D843FA">
        <w:tc>
          <w:tcPr>
            <w:tcW w:w="1080" w:type="dxa"/>
            <w:tcBorders>
              <w:top w:val="single" w:sz="4" w:space="0" w:color="auto"/>
              <w:left w:val="single" w:sz="4" w:space="0" w:color="auto"/>
              <w:bottom w:val="single" w:sz="4" w:space="0" w:color="auto"/>
              <w:right w:val="single" w:sz="4" w:space="0" w:color="auto"/>
            </w:tcBorders>
            <w:vAlign w:val="center"/>
          </w:tcPr>
          <w:p w:rsidR="00EF418C" w:rsidRPr="000170DA" w:rsidRDefault="00EF418C" w:rsidP="00D843FA">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F418C" w:rsidRPr="000170DA" w:rsidRDefault="00F95090" w:rsidP="00D843FA">
            <w:pPr>
              <w:rPr>
                <w:rStyle w:val="Hyperlink"/>
                <w:rFonts w:ascii="Garamond" w:hAnsi="Garamond"/>
                <w:color w:val="auto"/>
                <w:u w:val="none"/>
                <w:lang w:val="en-AU"/>
              </w:rPr>
            </w:pPr>
            <w:hyperlink r:id="rId31" w:history="1">
              <w:r w:rsidR="008279A6" w:rsidRPr="004B683A">
                <w:rPr>
                  <w:rStyle w:val="Hyperlink"/>
                  <w:rFonts w:ascii="Garamond" w:hAnsi="Garamond"/>
                  <w:lang w:val="en-AU"/>
                </w:rPr>
                <w:t>https://doi.org/10.1177/1062860617743324</w:t>
              </w:r>
            </w:hyperlink>
          </w:p>
        </w:tc>
      </w:tr>
      <w:tr w:rsidR="00EF418C" w:rsidRPr="000170DA" w:rsidTr="00D843FA">
        <w:tc>
          <w:tcPr>
            <w:tcW w:w="1080" w:type="dxa"/>
            <w:tcBorders>
              <w:top w:val="single" w:sz="4" w:space="0" w:color="auto"/>
              <w:left w:val="single" w:sz="4" w:space="0" w:color="auto"/>
              <w:bottom w:val="single" w:sz="4" w:space="0" w:color="auto"/>
              <w:right w:val="single" w:sz="4" w:space="0" w:color="auto"/>
            </w:tcBorders>
            <w:vAlign w:val="center"/>
          </w:tcPr>
          <w:p w:rsidR="00EF418C" w:rsidRPr="000170DA" w:rsidRDefault="00EF418C" w:rsidP="00D843F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A7B9B" w:rsidRPr="000170DA" w:rsidRDefault="00753E62" w:rsidP="005A7B9B">
            <w:pPr>
              <w:rPr>
                <w:rFonts w:ascii="Garamond" w:hAnsi="Garamond"/>
                <w:lang w:val="en-AU"/>
              </w:rPr>
            </w:pPr>
            <w:r>
              <w:rPr>
                <w:rFonts w:ascii="Garamond" w:hAnsi="Garamond"/>
                <w:lang w:val="en-AU"/>
              </w:rPr>
              <w:t xml:space="preserve">Paper describing how </w:t>
            </w:r>
            <w:r w:rsidR="005A7B9B">
              <w:rPr>
                <w:rFonts w:ascii="Garamond" w:hAnsi="Garamond"/>
                <w:lang w:val="en-AU"/>
              </w:rPr>
              <w:t xml:space="preserve">the </w:t>
            </w:r>
            <w:r w:rsidR="005A7B9B" w:rsidRPr="005A7B9B">
              <w:rPr>
                <w:rFonts w:ascii="Garamond" w:hAnsi="Garamond"/>
                <w:lang w:val="en-AU"/>
              </w:rPr>
              <w:t xml:space="preserve">Johns Hopkins Hospital Department of Medicine </w:t>
            </w:r>
            <w:r>
              <w:rPr>
                <w:rFonts w:ascii="Garamond" w:hAnsi="Garamond"/>
                <w:lang w:val="en-AU"/>
              </w:rPr>
              <w:t xml:space="preserve">in Baltimore has </w:t>
            </w:r>
            <w:r w:rsidR="005A7B9B">
              <w:rPr>
                <w:rFonts w:ascii="Garamond" w:hAnsi="Garamond"/>
                <w:lang w:val="en-AU"/>
              </w:rPr>
              <w:t xml:space="preserve">developed a </w:t>
            </w:r>
            <w:r w:rsidR="005A7B9B" w:rsidRPr="005A7B9B">
              <w:rPr>
                <w:rFonts w:ascii="Garamond" w:hAnsi="Garamond"/>
                <w:lang w:val="en-AU"/>
              </w:rPr>
              <w:t xml:space="preserve">practical model </w:t>
            </w:r>
            <w:r w:rsidR="005A7B9B">
              <w:rPr>
                <w:rFonts w:ascii="Garamond" w:hAnsi="Garamond"/>
                <w:lang w:val="en-AU"/>
              </w:rPr>
              <w:t xml:space="preserve">of quality and safety. This paper </w:t>
            </w:r>
            <w:r w:rsidR="005A7B9B" w:rsidRPr="005A7B9B">
              <w:rPr>
                <w:rFonts w:ascii="Garamond" w:hAnsi="Garamond"/>
                <w:lang w:val="en-AU"/>
              </w:rPr>
              <w:t xml:space="preserve">details its structure and operation within a large academic health system. It is based on a fractal model that integrates multiple smaller units similar in structure (composition of faculty/staff), process (use of similar tools), and approach (using a common framework </w:t>
            </w:r>
            <w:r w:rsidR="005A7B9B">
              <w:rPr>
                <w:rFonts w:ascii="Garamond" w:hAnsi="Garamond"/>
                <w:lang w:val="en-AU"/>
              </w:rPr>
              <w:t>to address issues). This organis</w:t>
            </w:r>
            <w:r w:rsidR="005A7B9B" w:rsidRPr="005A7B9B">
              <w:rPr>
                <w:rFonts w:ascii="Garamond" w:hAnsi="Garamond"/>
                <w:lang w:val="en-AU"/>
              </w:rPr>
              <w:t xml:space="preserve">ation stresses </w:t>
            </w:r>
            <w:r w:rsidR="005A7B9B" w:rsidRPr="00415E99">
              <w:rPr>
                <w:rFonts w:ascii="Garamond" w:hAnsi="Garamond"/>
                <w:b/>
                <w:lang w:val="en-AU"/>
              </w:rPr>
              <w:t>local, multidisciplinary leadership</w:t>
            </w:r>
            <w:r w:rsidR="005A7B9B" w:rsidRPr="005A7B9B">
              <w:rPr>
                <w:rFonts w:ascii="Garamond" w:hAnsi="Garamond"/>
                <w:lang w:val="en-AU"/>
              </w:rPr>
              <w:t xml:space="preserve">, facilitates horizontal connections for </w:t>
            </w:r>
            <w:r w:rsidR="005A7B9B" w:rsidRPr="00415E99">
              <w:rPr>
                <w:rFonts w:ascii="Garamond" w:hAnsi="Garamond"/>
                <w:b/>
                <w:lang w:val="en-AU"/>
              </w:rPr>
              <w:t>peer learning</w:t>
            </w:r>
            <w:r w:rsidR="005A7B9B" w:rsidRPr="005A7B9B">
              <w:rPr>
                <w:rFonts w:ascii="Garamond" w:hAnsi="Garamond"/>
                <w:lang w:val="en-AU"/>
              </w:rPr>
              <w:t xml:space="preserve">, and maintains vertical connections for broader </w:t>
            </w:r>
            <w:r w:rsidR="005A7B9B" w:rsidRPr="00415E99">
              <w:rPr>
                <w:rFonts w:ascii="Garamond" w:hAnsi="Garamond"/>
                <w:b/>
                <w:lang w:val="en-AU"/>
              </w:rPr>
              <w:t>accountability</w:t>
            </w:r>
            <w:r w:rsidR="005A7B9B" w:rsidRPr="005A7B9B">
              <w:rPr>
                <w:rFonts w:ascii="Garamond" w:hAnsi="Garamond"/>
                <w:lang w:val="en-AU"/>
              </w:rPr>
              <w:t>.</w:t>
            </w:r>
          </w:p>
        </w:tc>
      </w:tr>
    </w:tbl>
    <w:p w:rsidR="00EF418C" w:rsidRPr="000170DA" w:rsidRDefault="00EF418C" w:rsidP="00EF418C">
      <w:pPr>
        <w:keepLines/>
        <w:autoSpaceDE w:val="0"/>
        <w:autoSpaceDN w:val="0"/>
        <w:adjustRightInd w:val="0"/>
        <w:rPr>
          <w:rFonts w:ascii="Garamond" w:hAnsi="Garamond"/>
          <w:lang w:val="en-AU"/>
        </w:rPr>
      </w:pPr>
    </w:p>
    <w:p w:rsidR="00EF418C" w:rsidRPr="008279A6" w:rsidRDefault="008279A6" w:rsidP="00EF418C">
      <w:pPr>
        <w:keepLines/>
        <w:autoSpaceDE w:val="0"/>
        <w:autoSpaceDN w:val="0"/>
        <w:adjustRightInd w:val="0"/>
        <w:rPr>
          <w:rFonts w:ascii="Garamond" w:hAnsi="Garamond"/>
          <w:i/>
          <w:lang w:val="en-AU"/>
        </w:rPr>
      </w:pPr>
      <w:r w:rsidRPr="008279A6">
        <w:rPr>
          <w:rFonts w:ascii="Garamond" w:hAnsi="Garamond"/>
          <w:i/>
          <w:lang w:val="en-AU"/>
        </w:rPr>
        <w:t>A qualitative study of patient involvement in medicines management after hospital discharge: an under-recognised source of systems resilience</w:t>
      </w:r>
    </w:p>
    <w:p w:rsidR="003837C8" w:rsidRDefault="003837C8" w:rsidP="00EF418C">
      <w:pPr>
        <w:keepLines/>
        <w:autoSpaceDE w:val="0"/>
        <w:autoSpaceDN w:val="0"/>
        <w:adjustRightInd w:val="0"/>
        <w:rPr>
          <w:rFonts w:ascii="Garamond" w:hAnsi="Garamond"/>
          <w:lang w:val="en-AU"/>
        </w:rPr>
      </w:pPr>
      <w:r w:rsidRPr="003837C8">
        <w:rPr>
          <w:rFonts w:ascii="Garamond" w:hAnsi="Garamond"/>
          <w:lang w:val="en-AU"/>
        </w:rPr>
        <w:t>Fylan B, Armitage G, Naylor D, Blenkinsopp</w:t>
      </w:r>
    </w:p>
    <w:p w:rsidR="008279A6" w:rsidRPr="000170DA" w:rsidRDefault="003837C8" w:rsidP="00EF418C">
      <w:pPr>
        <w:keepLines/>
        <w:autoSpaceDE w:val="0"/>
        <w:autoSpaceDN w:val="0"/>
        <w:adjustRightInd w:val="0"/>
        <w:rPr>
          <w:rFonts w:ascii="Garamond" w:hAnsi="Garamond"/>
          <w:lang w:val="en-AU"/>
        </w:rPr>
      </w:pPr>
      <w:r w:rsidRPr="003837C8">
        <w:rPr>
          <w:rFonts w:ascii="Garamond" w:hAnsi="Garamond"/>
          <w:lang w:val="en-AU"/>
        </w:rPr>
        <w:t>BMJ Quality &amp; Safety. 2017</w:t>
      </w:r>
      <w:r>
        <w:rPr>
          <w:rFonts w:ascii="Garamond" w:hAnsi="Garamond"/>
          <w:lang w:val="en-AU"/>
        </w:rPr>
        <w:t xml:space="preserve"> [epub]</w:t>
      </w:r>
      <w:r w:rsidRPr="003837C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F418C" w:rsidRPr="000170DA" w:rsidTr="00D843FA">
        <w:tc>
          <w:tcPr>
            <w:tcW w:w="1080" w:type="dxa"/>
            <w:tcBorders>
              <w:top w:val="single" w:sz="4" w:space="0" w:color="auto"/>
              <w:left w:val="single" w:sz="4" w:space="0" w:color="auto"/>
              <w:bottom w:val="single" w:sz="4" w:space="0" w:color="auto"/>
              <w:right w:val="single" w:sz="4" w:space="0" w:color="auto"/>
            </w:tcBorders>
            <w:vAlign w:val="center"/>
          </w:tcPr>
          <w:p w:rsidR="00EF418C" w:rsidRPr="000170DA" w:rsidRDefault="00EF418C" w:rsidP="00D843FA">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F418C" w:rsidRPr="000170DA" w:rsidRDefault="00F95090" w:rsidP="00D843FA">
            <w:pPr>
              <w:rPr>
                <w:rStyle w:val="Hyperlink"/>
                <w:rFonts w:ascii="Garamond" w:hAnsi="Garamond"/>
                <w:color w:val="auto"/>
                <w:u w:val="none"/>
                <w:lang w:val="en-AU"/>
              </w:rPr>
            </w:pPr>
            <w:hyperlink r:id="rId32" w:history="1">
              <w:r w:rsidR="008279A6" w:rsidRPr="004B683A">
                <w:rPr>
                  <w:rStyle w:val="Hyperlink"/>
                  <w:rFonts w:ascii="Garamond" w:hAnsi="Garamond"/>
                  <w:lang w:val="en-AU"/>
                </w:rPr>
                <w:t>http://dx.doi.org/10.1136/bmjqs-2017-006813</w:t>
              </w:r>
            </w:hyperlink>
          </w:p>
        </w:tc>
      </w:tr>
      <w:tr w:rsidR="00EF418C" w:rsidRPr="000170DA" w:rsidTr="00D843FA">
        <w:tc>
          <w:tcPr>
            <w:tcW w:w="1080" w:type="dxa"/>
            <w:tcBorders>
              <w:top w:val="single" w:sz="4" w:space="0" w:color="auto"/>
              <w:left w:val="single" w:sz="4" w:space="0" w:color="auto"/>
              <w:bottom w:val="single" w:sz="4" w:space="0" w:color="auto"/>
              <w:right w:val="single" w:sz="4" w:space="0" w:color="auto"/>
            </w:tcBorders>
            <w:vAlign w:val="center"/>
          </w:tcPr>
          <w:p w:rsidR="00EF418C" w:rsidRPr="000170DA" w:rsidRDefault="00EF418C" w:rsidP="00D843F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78FC" w:rsidRPr="000170DA" w:rsidRDefault="00753E62" w:rsidP="003837C8">
            <w:pPr>
              <w:rPr>
                <w:rFonts w:ascii="Garamond" w:hAnsi="Garamond"/>
                <w:lang w:val="en-AU"/>
              </w:rPr>
            </w:pPr>
            <w:r>
              <w:rPr>
                <w:rFonts w:ascii="Garamond" w:hAnsi="Garamond"/>
                <w:lang w:val="en-AU"/>
              </w:rPr>
              <w:t xml:space="preserve">Paper reporting on a </w:t>
            </w:r>
            <w:r w:rsidR="00F64A3D">
              <w:rPr>
                <w:rFonts w:ascii="Garamond" w:hAnsi="Garamond"/>
                <w:lang w:val="en-AU"/>
              </w:rPr>
              <w:t>study that looked at the potential role of the patient in improving medication management.</w:t>
            </w:r>
            <w:r w:rsidR="000778FC">
              <w:rPr>
                <w:rFonts w:ascii="Garamond" w:hAnsi="Garamond"/>
                <w:lang w:val="en-AU"/>
              </w:rPr>
              <w:t xml:space="preserve"> </w:t>
            </w:r>
            <w:r w:rsidR="000778FC" w:rsidRPr="000778FC">
              <w:rPr>
                <w:rFonts w:ascii="Garamond" w:hAnsi="Garamond"/>
                <w:lang w:val="en-AU"/>
              </w:rPr>
              <w:t xml:space="preserve">This </w:t>
            </w:r>
            <w:r w:rsidR="000778FC">
              <w:rPr>
                <w:rFonts w:ascii="Garamond" w:hAnsi="Garamond"/>
                <w:lang w:val="en-AU"/>
              </w:rPr>
              <w:t xml:space="preserve">UK </w:t>
            </w:r>
            <w:r w:rsidR="000778FC" w:rsidRPr="000778FC">
              <w:rPr>
                <w:rFonts w:ascii="Garamond" w:hAnsi="Garamond"/>
                <w:lang w:val="en-AU"/>
              </w:rPr>
              <w:t xml:space="preserve">qualitative study interviewed </w:t>
            </w:r>
            <w:r w:rsidR="003837C8">
              <w:rPr>
                <w:rFonts w:ascii="Garamond" w:hAnsi="Garamond"/>
                <w:lang w:val="en-AU"/>
              </w:rPr>
              <w:t xml:space="preserve">60 </w:t>
            </w:r>
            <w:r w:rsidR="000778FC" w:rsidRPr="000778FC">
              <w:rPr>
                <w:rFonts w:ascii="Garamond" w:hAnsi="Garamond"/>
                <w:lang w:val="en-AU"/>
              </w:rPr>
              <w:t xml:space="preserve">cardiology patients about their experiences managing medications after being discharged from </w:t>
            </w:r>
            <w:r w:rsidR="003837C8">
              <w:rPr>
                <w:rFonts w:ascii="Garamond" w:hAnsi="Garamond"/>
                <w:lang w:val="en-AU"/>
              </w:rPr>
              <w:t xml:space="preserve">two </w:t>
            </w:r>
            <w:r w:rsidR="000778FC" w:rsidRPr="000778FC">
              <w:rPr>
                <w:rFonts w:ascii="Garamond" w:hAnsi="Garamond"/>
                <w:lang w:val="en-AU"/>
              </w:rPr>
              <w:t>hospitals</w:t>
            </w:r>
            <w:r w:rsidR="000778FC">
              <w:rPr>
                <w:rFonts w:ascii="Garamond" w:hAnsi="Garamond"/>
                <w:lang w:val="en-AU"/>
              </w:rPr>
              <w:t>.</w:t>
            </w:r>
            <w:r w:rsidR="003837C8">
              <w:rPr>
                <w:rFonts w:ascii="Garamond" w:hAnsi="Garamond"/>
                <w:lang w:val="en-AU"/>
              </w:rPr>
              <w:t xml:space="preserve"> From the </w:t>
            </w:r>
            <w:r w:rsidR="003837C8" w:rsidRPr="003837C8">
              <w:rPr>
                <w:rFonts w:ascii="Garamond" w:hAnsi="Garamond"/>
                <w:lang w:val="en-AU"/>
              </w:rPr>
              <w:t xml:space="preserve">medicines management resilience strategies </w:t>
            </w:r>
            <w:r w:rsidR="003837C8">
              <w:rPr>
                <w:rFonts w:ascii="Garamond" w:hAnsi="Garamond"/>
                <w:lang w:val="en-AU"/>
              </w:rPr>
              <w:t xml:space="preserve">described by 23 </w:t>
            </w:r>
            <w:r w:rsidR="00833D12">
              <w:rPr>
                <w:rFonts w:ascii="Garamond" w:hAnsi="Garamond"/>
                <w:lang w:val="en-AU"/>
              </w:rPr>
              <w:t>patients</w:t>
            </w:r>
            <w:r w:rsidR="003837C8">
              <w:rPr>
                <w:rFonts w:ascii="Garamond" w:hAnsi="Garamond"/>
                <w:lang w:val="en-AU"/>
              </w:rPr>
              <w:t xml:space="preserve">, </w:t>
            </w:r>
            <w:r w:rsidR="003837C8" w:rsidRPr="003837C8">
              <w:rPr>
                <w:rFonts w:ascii="Garamond" w:hAnsi="Garamond"/>
                <w:lang w:val="en-AU"/>
              </w:rPr>
              <w:t>two main themes</w:t>
            </w:r>
            <w:r w:rsidR="003837C8">
              <w:rPr>
                <w:rFonts w:ascii="Garamond" w:hAnsi="Garamond"/>
                <w:lang w:val="en-AU"/>
              </w:rPr>
              <w:t xml:space="preserve"> emerged</w:t>
            </w:r>
            <w:r w:rsidR="003837C8" w:rsidRPr="003837C8">
              <w:rPr>
                <w:rFonts w:ascii="Garamond" w:hAnsi="Garamond"/>
                <w:lang w:val="en-AU"/>
              </w:rPr>
              <w:t xml:space="preserve">: identifying </w:t>
            </w:r>
            <w:r w:rsidR="003837C8" w:rsidRPr="003837C8">
              <w:rPr>
                <w:rFonts w:ascii="Garamond" w:hAnsi="Garamond"/>
                <w:b/>
                <w:lang w:val="en-AU"/>
              </w:rPr>
              <w:t>system vulnerabilities</w:t>
            </w:r>
            <w:r w:rsidR="003837C8" w:rsidRPr="003837C8">
              <w:rPr>
                <w:rFonts w:ascii="Garamond" w:hAnsi="Garamond"/>
                <w:lang w:val="en-AU"/>
              </w:rPr>
              <w:t xml:space="preserve">; and establishing </w:t>
            </w:r>
            <w:r w:rsidR="003837C8" w:rsidRPr="003837C8">
              <w:rPr>
                <w:rFonts w:ascii="Garamond" w:hAnsi="Garamond"/>
                <w:b/>
                <w:lang w:val="en-AU"/>
              </w:rPr>
              <w:t>self-management strategies</w:t>
            </w:r>
            <w:r w:rsidR="003837C8" w:rsidRPr="003837C8">
              <w:rPr>
                <w:rFonts w:ascii="Garamond" w:hAnsi="Garamond"/>
                <w:lang w:val="en-AU"/>
              </w:rPr>
              <w:t xml:space="preserve">. </w:t>
            </w:r>
            <w:r w:rsidR="003837C8">
              <w:rPr>
                <w:rFonts w:ascii="Garamond" w:hAnsi="Garamond"/>
                <w:lang w:val="en-AU"/>
              </w:rPr>
              <w:t>According to the authors, “</w:t>
            </w:r>
            <w:r w:rsidR="003837C8" w:rsidRPr="003837C8">
              <w:rPr>
                <w:rFonts w:ascii="Garamond" w:hAnsi="Garamond"/>
                <w:lang w:val="en-AU"/>
              </w:rPr>
              <w:t xml:space="preserve">Patients could anticipate problems in the system that supplied them with medicines and took specific actions to prevent them. They also identified when errors had occurred both before and after medicines had been supplied and took corrective action to avoid harm. </w:t>
            </w:r>
            <w:r w:rsidR="003837C8">
              <w:rPr>
                <w:rFonts w:ascii="Garamond" w:hAnsi="Garamond"/>
                <w:lang w:val="en-AU"/>
              </w:rPr>
              <w:t xml:space="preserve">… </w:t>
            </w:r>
            <w:r w:rsidR="003837C8" w:rsidRPr="003837C8">
              <w:rPr>
                <w:rFonts w:ascii="Garamond" w:hAnsi="Garamond"/>
                <w:lang w:val="en-AU"/>
              </w:rPr>
              <w:t>Patients recounted how they ensured information about medicines changes was correctly communicated and acted upon, and described their strategies to enhance their own reliability in adherence and resource management.</w:t>
            </w:r>
            <w:r w:rsidR="003837C8">
              <w:rPr>
                <w:rFonts w:ascii="Garamond" w:hAnsi="Garamond"/>
                <w:lang w:val="en-AU"/>
              </w:rPr>
              <w:t>”</w:t>
            </w:r>
          </w:p>
        </w:tc>
      </w:tr>
    </w:tbl>
    <w:p w:rsidR="00EF418C" w:rsidRPr="000170DA" w:rsidRDefault="00EF418C" w:rsidP="00EF418C">
      <w:pPr>
        <w:keepLines/>
        <w:autoSpaceDE w:val="0"/>
        <w:autoSpaceDN w:val="0"/>
        <w:adjustRightInd w:val="0"/>
        <w:rPr>
          <w:rFonts w:ascii="Garamond" w:hAnsi="Garamond"/>
          <w:lang w:val="en-AU"/>
        </w:rPr>
      </w:pPr>
    </w:p>
    <w:p w:rsidR="003837C8" w:rsidRPr="008279A6" w:rsidRDefault="003837C8" w:rsidP="003837C8">
      <w:pPr>
        <w:keepNext/>
        <w:keepLines/>
        <w:autoSpaceDE w:val="0"/>
        <w:autoSpaceDN w:val="0"/>
        <w:adjustRightInd w:val="0"/>
        <w:rPr>
          <w:rFonts w:ascii="Garamond" w:hAnsi="Garamond"/>
          <w:i/>
          <w:lang w:val="en-AU"/>
        </w:rPr>
      </w:pPr>
      <w:r w:rsidRPr="008279A6">
        <w:rPr>
          <w:rFonts w:ascii="Garamond" w:hAnsi="Garamond"/>
          <w:i/>
          <w:lang w:val="en-AU"/>
        </w:rPr>
        <w:t>A narrative review of the safety concerns of deprescribing in older adults and strategies to mitigate potential harms</w:t>
      </w:r>
    </w:p>
    <w:p w:rsidR="003837C8" w:rsidRDefault="003837C8" w:rsidP="003837C8">
      <w:pPr>
        <w:keepNext/>
        <w:keepLines/>
        <w:autoSpaceDE w:val="0"/>
        <w:autoSpaceDN w:val="0"/>
        <w:adjustRightInd w:val="0"/>
        <w:rPr>
          <w:rFonts w:ascii="Garamond" w:hAnsi="Garamond"/>
          <w:lang w:val="en-AU"/>
        </w:rPr>
      </w:pPr>
      <w:r w:rsidRPr="000778FC">
        <w:rPr>
          <w:rFonts w:ascii="Garamond" w:hAnsi="Garamond"/>
          <w:lang w:val="en-AU"/>
        </w:rPr>
        <w:t>Reeve E, Moriarty F, Nahas R, Turner JP, Kouladjian O’Donnell L, Hilmer SN</w:t>
      </w:r>
    </w:p>
    <w:p w:rsidR="003837C8" w:rsidRPr="000170DA" w:rsidRDefault="003837C8" w:rsidP="003837C8">
      <w:pPr>
        <w:keepNext/>
        <w:keepLines/>
        <w:autoSpaceDE w:val="0"/>
        <w:autoSpaceDN w:val="0"/>
        <w:adjustRightInd w:val="0"/>
        <w:rPr>
          <w:rFonts w:ascii="Garamond" w:hAnsi="Garamond"/>
          <w:lang w:val="en-AU"/>
        </w:rPr>
      </w:pPr>
      <w:r w:rsidRPr="000778FC">
        <w:rPr>
          <w:rFonts w:ascii="Garamond" w:hAnsi="Garamond"/>
          <w:lang w:val="en-AU"/>
        </w:rPr>
        <w:t>Expert Opinion on Drug Safety. 2017</w:t>
      </w:r>
      <w:r>
        <w:rPr>
          <w:rFonts w:ascii="Garamond" w:hAnsi="Garamond"/>
          <w:lang w:val="en-AU"/>
        </w:rPr>
        <w:t xml:space="preserve"> [epub]</w:t>
      </w:r>
      <w:r w:rsidRPr="000778FC">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837C8" w:rsidRPr="000170DA" w:rsidTr="000F7ACF">
        <w:tc>
          <w:tcPr>
            <w:tcW w:w="1080" w:type="dxa"/>
            <w:tcBorders>
              <w:top w:val="single" w:sz="4" w:space="0" w:color="auto"/>
              <w:left w:val="single" w:sz="4" w:space="0" w:color="auto"/>
              <w:bottom w:val="single" w:sz="4" w:space="0" w:color="auto"/>
              <w:right w:val="single" w:sz="4" w:space="0" w:color="auto"/>
            </w:tcBorders>
            <w:vAlign w:val="center"/>
          </w:tcPr>
          <w:p w:rsidR="003837C8" w:rsidRPr="000170DA" w:rsidRDefault="003837C8" w:rsidP="000F7ACF">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837C8" w:rsidRPr="000170DA" w:rsidRDefault="00F95090" w:rsidP="000F7ACF">
            <w:pPr>
              <w:rPr>
                <w:rStyle w:val="Hyperlink"/>
                <w:rFonts w:ascii="Garamond" w:hAnsi="Garamond"/>
                <w:color w:val="auto"/>
                <w:u w:val="none"/>
                <w:lang w:val="en-AU"/>
              </w:rPr>
            </w:pPr>
            <w:hyperlink r:id="rId33" w:history="1">
              <w:r w:rsidR="003837C8" w:rsidRPr="004B683A">
                <w:rPr>
                  <w:rStyle w:val="Hyperlink"/>
                  <w:rFonts w:ascii="Garamond" w:hAnsi="Garamond"/>
                  <w:lang w:val="en-AU"/>
                </w:rPr>
                <w:t>http://dx.doi.org/10.1080/14740338.2018.1397625</w:t>
              </w:r>
            </w:hyperlink>
          </w:p>
        </w:tc>
      </w:tr>
      <w:tr w:rsidR="003837C8" w:rsidRPr="000170DA" w:rsidTr="000F7ACF">
        <w:tc>
          <w:tcPr>
            <w:tcW w:w="1080" w:type="dxa"/>
            <w:tcBorders>
              <w:top w:val="single" w:sz="4" w:space="0" w:color="auto"/>
              <w:left w:val="single" w:sz="4" w:space="0" w:color="auto"/>
              <w:bottom w:val="single" w:sz="4" w:space="0" w:color="auto"/>
              <w:right w:val="single" w:sz="4" w:space="0" w:color="auto"/>
            </w:tcBorders>
            <w:vAlign w:val="center"/>
          </w:tcPr>
          <w:p w:rsidR="003837C8" w:rsidRPr="000170DA" w:rsidRDefault="003837C8" w:rsidP="000F7AC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837C8" w:rsidRDefault="003837C8" w:rsidP="000F7ACF">
            <w:pPr>
              <w:rPr>
                <w:rFonts w:ascii="Garamond" w:hAnsi="Garamond"/>
                <w:lang w:val="en-AU"/>
              </w:rPr>
            </w:pPr>
            <w:r>
              <w:rPr>
                <w:rFonts w:ascii="Garamond" w:hAnsi="Garamond"/>
                <w:lang w:val="en-AU"/>
              </w:rPr>
              <w:t>This narrative review sought to highlight the fact that deprescribing or withdrawing medications can have its own risks (and benefits). The review focuses on fo</w:t>
            </w:r>
            <w:r w:rsidRPr="000778FC">
              <w:rPr>
                <w:rFonts w:ascii="Garamond" w:hAnsi="Garamond"/>
                <w:lang w:val="en-AU"/>
              </w:rPr>
              <w:t xml:space="preserve">ur concerns/potential harms of deprescribing in older adults: </w:t>
            </w:r>
          </w:p>
          <w:p w:rsidR="003837C8" w:rsidRPr="000778FC" w:rsidRDefault="003837C8" w:rsidP="000F7ACF">
            <w:pPr>
              <w:pStyle w:val="ListParagraph"/>
              <w:numPr>
                <w:ilvl w:val="0"/>
                <w:numId w:val="22"/>
              </w:numPr>
              <w:rPr>
                <w:rFonts w:ascii="Garamond" w:hAnsi="Garamond"/>
                <w:lang w:val="en-AU"/>
              </w:rPr>
            </w:pPr>
            <w:r w:rsidRPr="000778FC">
              <w:rPr>
                <w:rFonts w:ascii="Garamond" w:hAnsi="Garamond"/>
                <w:lang w:val="en-AU"/>
              </w:rPr>
              <w:t xml:space="preserve">adverse drug </w:t>
            </w:r>
            <w:r w:rsidRPr="00415E99">
              <w:rPr>
                <w:rFonts w:ascii="Garamond" w:hAnsi="Garamond"/>
                <w:b/>
                <w:lang w:val="en-AU"/>
              </w:rPr>
              <w:t>withdrawal</w:t>
            </w:r>
            <w:r w:rsidRPr="000778FC">
              <w:rPr>
                <w:rFonts w:ascii="Garamond" w:hAnsi="Garamond"/>
                <w:lang w:val="en-AU"/>
              </w:rPr>
              <w:t xml:space="preserve"> events</w:t>
            </w:r>
          </w:p>
          <w:p w:rsidR="003837C8" w:rsidRPr="00415E99" w:rsidRDefault="003837C8" w:rsidP="000F7ACF">
            <w:pPr>
              <w:pStyle w:val="ListParagraph"/>
              <w:numPr>
                <w:ilvl w:val="0"/>
                <w:numId w:val="22"/>
              </w:numPr>
              <w:rPr>
                <w:rFonts w:ascii="Garamond" w:hAnsi="Garamond"/>
                <w:b/>
                <w:lang w:val="en-AU"/>
              </w:rPr>
            </w:pPr>
            <w:r w:rsidRPr="00415E99">
              <w:rPr>
                <w:rFonts w:ascii="Garamond" w:hAnsi="Garamond"/>
                <w:b/>
                <w:lang w:val="en-AU"/>
              </w:rPr>
              <w:t>return of medical condition(s)</w:t>
            </w:r>
          </w:p>
          <w:p w:rsidR="003837C8" w:rsidRPr="000778FC" w:rsidRDefault="003837C8" w:rsidP="000F7ACF">
            <w:pPr>
              <w:pStyle w:val="ListParagraph"/>
              <w:numPr>
                <w:ilvl w:val="0"/>
                <w:numId w:val="22"/>
              </w:numPr>
              <w:rPr>
                <w:rFonts w:ascii="Garamond" w:hAnsi="Garamond"/>
                <w:lang w:val="en-AU"/>
              </w:rPr>
            </w:pPr>
            <w:r w:rsidRPr="000778FC">
              <w:rPr>
                <w:rFonts w:ascii="Garamond" w:hAnsi="Garamond"/>
                <w:lang w:val="en-AU"/>
              </w:rPr>
              <w:t>reversa</w:t>
            </w:r>
            <w:r>
              <w:rPr>
                <w:rFonts w:ascii="Garamond" w:hAnsi="Garamond"/>
                <w:lang w:val="en-AU"/>
              </w:rPr>
              <w:t xml:space="preserve">l of </w:t>
            </w:r>
            <w:r w:rsidRPr="00415E99">
              <w:rPr>
                <w:rFonts w:ascii="Garamond" w:hAnsi="Garamond"/>
                <w:b/>
                <w:lang w:val="en-AU"/>
              </w:rPr>
              <w:t>drug-drug interactions</w:t>
            </w:r>
            <w:r>
              <w:rPr>
                <w:rFonts w:ascii="Garamond" w:hAnsi="Garamond"/>
                <w:lang w:val="en-AU"/>
              </w:rPr>
              <w:t xml:space="preserve"> and</w:t>
            </w:r>
          </w:p>
          <w:p w:rsidR="003837C8" w:rsidRPr="000778FC" w:rsidRDefault="003837C8" w:rsidP="000F7ACF">
            <w:pPr>
              <w:pStyle w:val="ListParagraph"/>
              <w:numPr>
                <w:ilvl w:val="0"/>
                <w:numId w:val="22"/>
              </w:numPr>
              <w:rPr>
                <w:rFonts w:ascii="Garamond" w:hAnsi="Garamond"/>
                <w:lang w:val="en-AU"/>
              </w:rPr>
            </w:pPr>
            <w:r w:rsidRPr="000778FC">
              <w:rPr>
                <w:rFonts w:ascii="Garamond" w:hAnsi="Garamond"/>
                <w:lang w:val="en-AU"/>
              </w:rPr>
              <w:t xml:space="preserve">damage to the </w:t>
            </w:r>
            <w:r w:rsidRPr="00415E99">
              <w:rPr>
                <w:rFonts w:ascii="Garamond" w:hAnsi="Garamond"/>
                <w:b/>
                <w:lang w:val="en-AU"/>
              </w:rPr>
              <w:t>doctor-patient relationship</w:t>
            </w:r>
            <w:r w:rsidRPr="000778FC">
              <w:rPr>
                <w:rFonts w:ascii="Garamond" w:hAnsi="Garamond"/>
                <w:lang w:val="en-AU"/>
              </w:rPr>
              <w:t>.</w:t>
            </w:r>
          </w:p>
          <w:p w:rsidR="003837C8" w:rsidRPr="000170DA" w:rsidRDefault="003837C8" w:rsidP="000F7ACF">
            <w:pPr>
              <w:rPr>
                <w:rFonts w:ascii="Garamond" w:hAnsi="Garamond"/>
                <w:lang w:val="en-AU"/>
              </w:rPr>
            </w:pPr>
            <w:r w:rsidRPr="000778FC">
              <w:rPr>
                <w:rFonts w:ascii="Garamond" w:hAnsi="Garamond"/>
                <w:lang w:val="en-AU"/>
              </w:rPr>
              <w:t xml:space="preserve">The </w:t>
            </w:r>
            <w:r>
              <w:rPr>
                <w:rFonts w:ascii="Garamond" w:hAnsi="Garamond"/>
                <w:lang w:val="en-AU"/>
              </w:rPr>
              <w:t xml:space="preserve">authors suggest that most of these </w:t>
            </w:r>
            <w:r w:rsidRPr="000778FC">
              <w:rPr>
                <w:rFonts w:ascii="Garamond" w:hAnsi="Garamond"/>
                <w:lang w:val="en-AU"/>
              </w:rPr>
              <w:t>harms can be minimi</w:t>
            </w:r>
            <w:r>
              <w:rPr>
                <w:rFonts w:ascii="Garamond" w:hAnsi="Garamond"/>
                <w:lang w:val="en-AU"/>
              </w:rPr>
              <w:t>s</w:t>
            </w:r>
            <w:r w:rsidRPr="000778FC">
              <w:rPr>
                <w:rFonts w:ascii="Garamond" w:hAnsi="Garamond"/>
                <w:lang w:val="en-AU"/>
              </w:rPr>
              <w:t xml:space="preserve">ed or prevented by using a </w:t>
            </w:r>
            <w:r w:rsidRPr="000778FC">
              <w:rPr>
                <w:rFonts w:ascii="Garamond" w:hAnsi="Garamond"/>
                <w:b/>
                <w:lang w:val="en-AU"/>
              </w:rPr>
              <w:t>patient-centred, structured deprescribing process</w:t>
            </w:r>
            <w:r w:rsidRPr="000778FC">
              <w:rPr>
                <w:rFonts w:ascii="Garamond" w:hAnsi="Garamond"/>
                <w:lang w:val="en-AU"/>
              </w:rPr>
              <w:t xml:space="preserve"> with planning, tapering and close monitoring during, and after medication withdrawal.</w:t>
            </w:r>
          </w:p>
        </w:tc>
      </w:tr>
    </w:tbl>
    <w:p w:rsidR="003837C8" w:rsidRDefault="003837C8" w:rsidP="003837C8">
      <w:pPr>
        <w:keepNext/>
        <w:keepLines/>
        <w:autoSpaceDE w:val="0"/>
        <w:autoSpaceDN w:val="0"/>
        <w:adjustRightInd w:val="0"/>
        <w:rPr>
          <w:rFonts w:ascii="Garamond" w:hAnsi="Garamond"/>
          <w:b/>
          <w:lang w:val="en-AU"/>
        </w:rPr>
      </w:pPr>
      <w:r w:rsidRPr="000170DA">
        <w:rPr>
          <w:rFonts w:ascii="Garamond" w:hAnsi="Garamond"/>
          <w:lang w:val="en-AU"/>
        </w:rPr>
        <w:lastRenderedPageBreak/>
        <w:t>For information on the Commission’s work on</w:t>
      </w:r>
      <w:r>
        <w:rPr>
          <w:rFonts w:ascii="Garamond" w:hAnsi="Garamond"/>
          <w:lang w:val="en-AU"/>
        </w:rPr>
        <w:t xml:space="preserve"> medication safety, see </w:t>
      </w:r>
      <w:hyperlink r:id="rId34" w:history="1">
        <w:r w:rsidRPr="004B683A">
          <w:rPr>
            <w:rStyle w:val="Hyperlink"/>
            <w:rFonts w:ascii="Garamond" w:hAnsi="Garamond"/>
            <w:lang w:val="en-AU"/>
          </w:rPr>
          <w:t>https://www.safetyandquality.gov.au/our-work/medication-safety/</w:t>
        </w:r>
      </w:hyperlink>
    </w:p>
    <w:p w:rsidR="003837C8" w:rsidRDefault="003837C8" w:rsidP="003837C8">
      <w:pPr>
        <w:keepLines/>
        <w:autoSpaceDE w:val="0"/>
        <w:autoSpaceDN w:val="0"/>
        <w:adjustRightInd w:val="0"/>
        <w:rPr>
          <w:rFonts w:ascii="Garamond" w:hAnsi="Garamond"/>
          <w:i/>
          <w:lang w:val="en-AU"/>
        </w:rPr>
      </w:pPr>
    </w:p>
    <w:p w:rsidR="005B205C" w:rsidRPr="008279A6" w:rsidRDefault="005B205C" w:rsidP="00F151C8">
      <w:pPr>
        <w:keepNext/>
        <w:keepLines/>
        <w:autoSpaceDE w:val="0"/>
        <w:autoSpaceDN w:val="0"/>
        <w:adjustRightInd w:val="0"/>
        <w:rPr>
          <w:rFonts w:ascii="Garamond" w:hAnsi="Garamond"/>
          <w:i/>
          <w:lang w:val="en-AU"/>
        </w:rPr>
      </w:pPr>
      <w:r w:rsidRPr="008279A6">
        <w:rPr>
          <w:rFonts w:ascii="Garamond" w:hAnsi="Garamond"/>
          <w:i/>
          <w:lang w:val="en-AU"/>
        </w:rPr>
        <w:t>Regional consolidation of orthopedic surgery: impacts on hip fracture surgery access and outcomes</w:t>
      </w:r>
    </w:p>
    <w:p w:rsidR="005B205C" w:rsidRDefault="005B205C" w:rsidP="00F151C8">
      <w:pPr>
        <w:keepNext/>
        <w:keepLines/>
        <w:autoSpaceDE w:val="0"/>
        <w:autoSpaceDN w:val="0"/>
        <w:adjustRightInd w:val="0"/>
        <w:rPr>
          <w:rFonts w:ascii="Garamond" w:hAnsi="Garamond"/>
          <w:lang w:val="en-AU"/>
        </w:rPr>
      </w:pPr>
      <w:r w:rsidRPr="007448AE">
        <w:rPr>
          <w:rFonts w:ascii="Garamond" w:hAnsi="Garamond"/>
          <w:lang w:val="en-AU"/>
        </w:rPr>
        <w:t>Kreindler SA, Siragusa L, Bohm E, Rudnick W, Metge CJ</w:t>
      </w:r>
    </w:p>
    <w:p w:rsidR="005B205C" w:rsidRPr="000170DA" w:rsidRDefault="005B205C" w:rsidP="00F151C8">
      <w:pPr>
        <w:keepNext/>
        <w:keepLines/>
        <w:autoSpaceDE w:val="0"/>
        <w:autoSpaceDN w:val="0"/>
        <w:adjustRightInd w:val="0"/>
        <w:rPr>
          <w:rFonts w:ascii="Garamond" w:hAnsi="Garamond"/>
          <w:lang w:val="en-AU"/>
        </w:rPr>
      </w:pPr>
      <w:r w:rsidRPr="007448AE">
        <w:rPr>
          <w:rFonts w:ascii="Garamond" w:hAnsi="Garamond"/>
          <w:lang w:val="en-AU"/>
        </w:rPr>
        <w:t>Canadian Journal of Surgery. 2017;60(5):349-54.</w:t>
      </w:r>
    </w:p>
    <w:tbl>
      <w:tblPr>
        <w:tblStyle w:val="TableGrid"/>
        <w:tblW w:w="0" w:type="auto"/>
        <w:tblInd w:w="288" w:type="dxa"/>
        <w:tblLayout w:type="fixed"/>
        <w:tblLook w:val="01E0" w:firstRow="1" w:lastRow="1" w:firstColumn="1" w:lastColumn="1" w:noHBand="0" w:noVBand="0"/>
      </w:tblPr>
      <w:tblGrid>
        <w:gridCol w:w="1080"/>
        <w:gridCol w:w="8280"/>
      </w:tblGrid>
      <w:tr w:rsidR="005B205C" w:rsidRPr="000170DA" w:rsidTr="000F7ACF">
        <w:tc>
          <w:tcPr>
            <w:tcW w:w="1080" w:type="dxa"/>
            <w:tcBorders>
              <w:top w:val="single" w:sz="4" w:space="0" w:color="auto"/>
              <w:left w:val="single" w:sz="4" w:space="0" w:color="auto"/>
              <w:bottom w:val="single" w:sz="4" w:space="0" w:color="auto"/>
              <w:right w:val="single" w:sz="4" w:space="0" w:color="auto"/>
            </w:tcBorders>
            <w:vAlign w:val="center"/>
          </w:tcPr>
          <w:p w:rsidR="005B205C" w:rsidRPr="000170DA" w:rsidRDefault="005B205C" w:rsidP="000F7ACF">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B205C" w:rsidRPr="000170DA" w:rsidRDefault="00F95090" w:rsidP="000F7ACF">
            <w:pPr>
              <w:rPr>
                <w:rStyle w:val="Hyperlink"/>
                <w:rFonts w:ascii="Garamond" w:hAnsi="Garamond"/>
                <w:color w:val="auto"/>
                <w:u w:val="none"/>
                <w:lang w:val="en-AU"/>
              </w:rPr>
            </w:pPr>
            <w:hyperlink r:id="rId35" w:history="1">
              <w:r w:rsidR="005B205C" w:rsidRPr="004B683A">
                <w:rPr>
                  <w:rStyle w:val="Hyperlink"/>
                  <w:rFonts w:ascii="Garamond" w:hAnsi="Garamond"/>
                  <w:lang w:val="en-AU"/>
                </w:rPr>
                <w:t>https://dx.doi.org/10.1503/cjs.000517</w:t>
              </w:r>
            </w:hyperlink>
          </w:p>
        </w:tc>
      </w:tr>
      <w:tr w:rsidR="005B205C" w:rsidRPr="000170DA" w:rsidTr="000F7ACF">
        <w:tc>
          <w:tcPr>
            <w:tcW w:w="1080" w:type="dxa"/>
            <w:tcBorders>
              <w:top w:val="single" w:sz="4" w:space="0" w:color="auto"/>
              <w:left w:val="single" w:sz="4" w:space="0" w:color="auto"/>
              <w:bottom w:val="single" w:sz="4" w:space="0" w:color="auto"/>
              <w:right w:val="single" w:sz="4" w:space="0" w:color="auto"/>
            </w:tcBorders>
            <w:vAlign w:val="center"/>
          </w:tcPr>
          <w:p w:rsidR="005B205C" w:rsidRPr="000170DA" w:rsidRDefault="005B205C" w:rsidP="000F7AC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B205C" w:rsidRPr="000170DA" w:rsidRDefault="005B205C" w:rsidP="000F7ACF">
            <w:pPr>
              <w:rPr>
                <w:rFonts w:ascii="Garamond" w:hAnsi="Garamond"/>
                <w:lang w:val="en-AU"/>
              </w:rPr>
            </w:pPr>
            <w:r>
              <w:rPr>
                <w:rFonts w:ascii="Garamond" w:hAnsi="Garamond"/>
                <w:lang w:val="en-AU"/>
              </w:rPr>
              <w:t>The concentration, consolidation or centralisation of particular medical services is often rather sensitive and can be portrayed as rationing or withdrawing care. However, there has been evidence to demonstrate that such consolidation can deliver better care and better outcomes. This Canadian study adds to that literature in examining the impact of the concentration of orthopaedic surgery in a C</w:t>
            </w:r>
            <w:r w:rsidRPr="00CE25BC">
              <w:rPr>
                <w:rFonts w:ascii="Garamond" w:hAnsi="Garamond"/>
                <w:lang w:val="en-AU"/>
              </w:rPr>
              <w:t xml:space="preserve">anadian health region </w:t>
            </w:r>
            <w:r>
              <w:rPr>
                <w:rFonts w:ascii="Garamond" w:hAnsi="Garamond"/>
                <w:lang w:val="en-AU"/>
              </w:rPr>
              <w:t xml:space="preserve">on </w:t>
            </w:r>
            <w:r w:rsidRPr="00CE25BC">
              <w:rPr>
                <w:rFonts w:ascii="Garamond" w:hAnsi="Garamond"/>
                <w:lang w:val="en-AU"/>
              </w:rPr>
              <w:t>patients requiring hip fracture surgery.</w:t>
            </w:r>
            <w:r>
              <w:rPr>
                <w:rFonts w:ascii="Garamond" w:hAnsi="Garamond"/>
                <w:lang w:val="en-AU"/>
              </w:rPr>
              <w:t xml:space="preserve"> The study examined </w:t>
            </w:r>
            <w:r w:rsidRPr="00CE25BC">
              <w:rPr>
                <w:rFonts w:ascii="Garamond" w:hAnsi="Garamond"/>
                <w:lang w:val="en-AU"/>
              </w:rPr>
              <w:t>1885 hip-fracture surgeries</w:t>
            </w:r>
            <w:r>
              <w:rPr>
                <w:rFonts w:ascii="Garamond" w:hAnsi="Garamond"/>
                <w:lang w:val="en-AU"/>
              </w:rPr>
              <w:t xml:space="preserve"> in the period January 2010–</w:t>
            </w:r>
            <w:r w:rsidRPr="00CE25BC">
              <w:rPr>
                <w:rFonts w:ascii="Garamond" w:hAnsi="Garamond"/>
                <w:lang w:val="en-AU"/>
              </w:rPr>
              <w:t>March 2013</w:t>
            </w:r>
            <w:r>
              <w:rPr>
                <w:rFonts w:ascii="Garamond" w:hAnsi="Garamond"/>
                <w:lang w:val="en-AU"/>
              </w:rPr>
              <w:t xml:space="preserve"> and found that t</w:t>
            </w:r>
            <w:r w:rsidRPr="00CE25BC">
              <w:rPr>
                <w:rFonts w:ascii="Garamond" w:hAnsi="Garamond"/>
                <w:lang w:val="en-AU"/>
              </w:rPr>
              <w:t xml:space="preserve">here was a </w:t>
            </w:r>
            <w:r>
              <w:rPr>
                <w:rFonts w:ascii="Garamond" w:hAnsi="Garamond"/>
                <w:lang w:val="en-AU"/>
              </w:rPr>
              <w:t>“</w:t>
            </w:r>
            <w:r w:rsidRPr="004B715A">
              <w:rPr>
                <w:rFonts w:ascii="Garamond" w:hAnsi="Garamond"/>
                <w:b/>
                <w:lang w:val="en-AU"/>
              </w:rPr>
              <w:t>significant increase</w:t>
            </w:r>
            <w:r w:rsidRPr="00CE25BC">
              <w:rPr>
                <w:rFonts w:ascii="Garamond" w:hAnsi="Garamond"/>
                <w:lang w:val="en-AU"/>
              </w:rPr>
              <w:t xml:space="preserve"> in the proportion of patients receiving </w:t>
            </w:r>
            <w:r w:rsidRPr="004B715A">
              <w:rPr>
                <w:rFonts w:ascii="Garamond" w:hAnsi="Garamond"/>
                <w:b/>
                <w:lang w:val="en-AU"/>
              </w:rPr>
              <w:t>surgery within the benchmark</w:t>
            </w:r>
            <w:r w:rsidRPr="00CE25BC">
              <w:rPr>
                <w:rFonts w:ascii="Garamond" w:hAnsi="Garamond"/>
                <w:lang w:val="en-AU"/>
              </w:rPr>
              <w:t xml:space="preserve">. </w:t>
            </w:r>
            <w:r w:rsidRPr="004B715A">
              <w:rPr>
                <w:rFonts w:ascii="Garamond" w:hAnsi="Garamond"/>
                <w:b/>
                <w:lang w:val="en-AU"/>
              </w:rPr>
              <w:t>Complication rates did not change</w:t>
            </w:r>
            <w:r w:rsidRPr="00CE25BC">
              <w:rPr>
                <w:rFonts w:ascii="Garamond" w:hAnsi="Garamond"/>
                <w:lang w:val="en-AU"/>
              </w:rPr>
              <w:t xml:space="preserve">, but there appeared to be some </w:t>
            </w:r>
            <w:r w:rsidRPr="004B715A">
              <w:rPr>
                <w:rFonts w:ascii="Garamond" w:hAnsi="Garamond"/>
                <w:b/>
                <w:lang w:val="en-AU"/>
              </w:rPr>
              <w:t>decrease in mortality</w:t>
            </w:r>
            <w:r w:rsidRPr="00CE25BC">
              <w:rPr>
                <w:rFonts w:ascii="Garamond" w:hAnsi="Garamond"/>
                <w:lang w:val="en-AU"/>
              </w:rPr>
              <w:t xml:space="preserve"> (significant at 6 mo). Length of stay increased at </w:t>
            </w:r>
            <w:r>
              <w:rPr>
                <w:rFonts w:ascii="Garamond" w:hAnsi="Garamond"/>
                <w:lang w:val="en-AU"/>
              </w:rPr>
              <w:t>one</w:t>
            </w:r>
            <w:r w:rsidRPr="00CE25BC">
              <w:rPr>
                <w:rFonts w:ascii="Garamond" w:hAnsi="Garamond"/>
                <w:lang w:val="en-AU"/>
              </w:rPr>
              <w:t xml:space="preserve"> hospital that experienced a major increase in patient volume, perhaps reflecting challenges associated with patient flow.</w:t>
            </w:r>
            <w:r>
              <w:rPr>
                <w:rFonts w:ascii="Garamond" w:hAnsi="Garamond"/>
                <w:lang w:val="en-AU"/>
              </w:rPr>
              <w:t>”</w:t>
            </w:r>
          </w:p>
        </w:tc>
      </w:tr>
    </w:tbl>
    <w:p w:rsidR="005B205C" w:rsidRPr="000170DA" w:rsidRDefault="005B205C" w:rsidP="005B205C">
      <w:pPr>
        <w:keepLines/>
        <w:autoSpaceDE w:val="0"/>
        <w:autoSpaceDN w:val="0"/>
        <w:adjustRightInd w:val="0"/>
        <w:rPr>
          <w:rFonts w:ascii="Garamond" w:hAnsi="Garamond"/>
          <w:lang w:val="en-AU"/>
        </w:rPr>
      </w:pPr>
    </w:p>
    <w:p w:rsidR="00EF418C" w:rsidRPr="008279A6" w:rsidRDefault="008279A6" w:rsidP="00EF418C">
      <w:pPr>
        <w:keepLines/>
        <w:autoSpaceDE w:val="0"/>
        <w:autoSpaceDN w:val="0"/>
        <w:adjustRightInd w:val="0"/>
        <w:rPr>
          <w:rFonts w:ascii="Garamond" w:hAnsi="Garamond"/>
          <w:i/>
          <w:lang w:val="en-AU"/>
        </w:rPr>
      </w:pPr>
      <w:r w:rsidRPr="008279A6">
        <w:rPr>
          <w:rFonts w:ascii="Garamond" w:hAnsi="Garamond"/>
          <w:i/>
          <w:lang w:val="en-AU"/>
        </w:rPr>
        <w:t xml:space="preserve">Electronic triggers to identify delays in follow-up of mammography: </w:t>
      </w:r>
      <w:r w:rsidR="008E4389">
        <w:rPr>
          <w:rFonts w:ascii="Garamond" w:hAnsi="Garamond"/>
          <w:i/>
          <w:lang w:val="en-AU"/>
        </w:rPr>
        <w:t>H</w:t>
      </w:r>
      <w:r w:rsidRPr="008279A6">
        <w:rPr>
          <w:rFonts w:ascii="Garamond" w:hAnsi="Garamond"/>
          <w:i/>
          <w:lang w:val="en-AU"/>
        </w:rPr>
        <w:t>arnessing the power of big data in health care</w:t>
      </w:r>
    </w:p>
    <w:p w:rsidR="008E4389" w:rsidRDefault="008E4389" w:rsidP="00EF418C">
      <w:pPr>
        <w:keepLines/>
        <w:autoSpaceDE w:val="0"/>
        <w:autoSpaceDN w:val="0"/>
        <w:adjustRightInd w:val="0"/>
        <w:rPr>
          <w:rFonts w:ascii="Garamond" w:hAnsi="Garamond"/>
          <w:lang w:val="en-AU"/>
        </w:rPr>
      </w:pPr>
      <w:r w:rsidRPr="008E4389">
        <w:rPr>
          <w:rFonts w:ascii="Garamond" w:hAnsi="Garamond"/>
          <w:lang w:val="en-AU"/>
        </w:rPr>
        <w:t>Murphy DR, Meyer AND, Vaghani V, Russo E, Sittig DF, Wei L, et al</w:t>
      </w:r>
    </w:p>
    <w:p w:rsidR="008279A6" w:rsidRPr="000170DA" w:rsidRDefault="008E4389" w:rsidP="00EF418C">
      <w:pPr>
        <w:keepLines/>
        <w:autoSpaceDE w:val="0"/>
        <w:autoSpaceDN w:val="0"/>
        <w:adjustRightInd w:val="0"/>
        <w:rPr>
          <w:rFonts w:ascii="Garamond" w:hAnsi="Garamond"/>
          <w:lang w:val="en-AU"/>
        </w:rPr>
      </w:pPr>
      <w:r w:rsidRPr="008E4389">
        <w:rPr>
          <w:rFonts w:ascii="Garamond" w:hAnsi="Garamond"/>
          <w:lang w:val="en-AU"/>
        </w:rPr>
        <w:t>Journal of the American College of Radiology. 2017</w:t>
      </w:r>
      <w:r>
        <w:rPr>
          <w:rFonts w:ascii="Garamond" w:hAnsi="Garamond"/>
          <w:lang w:val="en-AU"/>
        </w:rPr>
        <w:t xml:space="preserve"> [epub]</w:t>
      </w:r>
      <w:r w:rsidRPr="008E4389">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F418C" w:rsidRPr="000170DA" w:rsidTr="00D843FA">
        <w:tc>
          <w:tcPr>
            <w:tcW w:w="1080" w:type="dxa"/>
            <w:tcBorders>
              <w:top w:val="single" w:sz="4" w:space="0" w:color="auto"/>
              <w:left w:val="single" w:sz="4" w:space="0" w:color="auto"/>
              <w:bottom w:val="single" w:sz="4" w:space="0" w:color="auto"/>
              <w:right w:val="single" w:sz="4" w:space="0" w:color="auto"/>
            </w:tcBorders>
            <w:vAlign w:val="center"/>
          </w:tcPr>
          <w:p w:rsidR="00EF418C" w:rsidRPr="000170DA" w:rsidRDefault="00EF418C" w:rsidP="00D843FA">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F418C" w:rsidRPr="000170DA" w:rsidRDefault="00F95090" w:rsidP="00D843FA">
            <w:pPr>
              <w:rPr>
                <w:rStyle w:val="Hyperlink"/>
                <w:rFonts w:ascii="Garamond" w:hAnsi="Garamond"/>
                <w:color w:val="auto"/>
                <w:u w:val="none"/>
                <w:lang w:val="en-AU"/>
              </w:rPr>
            </w:pPr>
            <w:hyperlink r:id="rId36" w:history="1">
              <w:r w:rsidR="008279A6" w:rsidRPr="004B683A">
                <w:rPr>
                  <w:rStyle w:val="Hyperlink"/>
                  <w:rFonts w:ascii="Garamond" w:hAnsi="Garamond"/>
                  <w:lang w:val="en-AU"/>
                </w:rPr>
                <w:t>https://doi.org/10.1016/j.jacr.2017.10.001</w:t>
              </w:r>
            </w:hyperlink>
          </w:p>
        </w:tc>
      </w:tr>
      <w:tr w:rsidR="00EF418C" w:rsidRPr="000170DA" w:rsidTr="00D843FA">
        <w:tc>
          <w:tcPr>
            <w:tcW w:w="1080" w:type="dxa"/>
            <w:tcBorders>
              <w:top w:val="single" w:sz="4" w:space="0" w:color="auto"/>
              <w:left w:val="single" w:sz="4" w:space="0" w:color="auto"/>
              <w:bottom w:val="single" w:sz="4" w:space="0" w:color="auto"/>
              <w:right w:val="single" w:sz="4" w:space="0" w:color="auto"/>
            </w:tcBorders>
            <w:vAlign w:val="center"/>
          </w:tcPr>
          <w:p w:rsidR="00EF418C" w:rsidRPr="000170DA" w:rsidRDefault="00EF418C" w:rsidP="00D843F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78FC" w:rsidRPr="000170DA" w:rsidRDefault="00F64A3D" w:rsidP="00CB2811">
            <w:pPr>
              <w:rPr>
                <w:rFonts w:ascii="Garamond" w:hAnsi="Garamond"/>
                <w:lang w:val="en-AU"/>
              </w:rPr>
            </w:pPr>
            <w:r>
              <w:rPr>
                <w:rFonts w:ascii="Garamond" w:hAnsi="Garamond"/>
                <w:lang w:val="en-AU"/>
              </w:rPr>
              <w:t>The potential use and impact of big data has been speculated on for some years now, and not just in the health sphere. This paper examines how big data could be used to identify and ameliorate delays in fo</w:t>
            </w:r>
            <w:r w:rsidR="000778FC">
              <w:rPr>
                <w:rFonts w:ascii="Garamond" w:hAnsi="Garamond"/>
                <w:lang w:val="en-AU"/>
              </w:rPr>
              <w:t xml:space="preserve">llow-up. The project saw the development of </w:t>
            </w:r>
            <w:r w:rsidR="000778FC" w:rsidRPr="000778FC">
              <w:rPr>
                <w:rFonts w:ascii="Garamond" w:hAnsi="Garamond"/>
                <w:lang w:val="en-AU"/>
              </w:rPr>
              <w:t xml:space="preserve">an electronic health record–based trigger tool </w:t>
            </w:r>
            <w:r w:rsidR="000778FC">
              <w:rPr>
                <w:rFonts w:ascii="Garamond" w:hAnsi="Garamond"/>
                <w:lang w:val="en-AU"/>
              </w:rPr>
              <w:t>t</w:t>
            </w:r>
            <w:r w:rsidR="00415E99">
              <w:rPr>
                <w:rFonts w:ascii="Garamond" w:hAnsi="Garamond"/>
                <w:lang w:val="en-AU"/>
              </w:rPr>
              <w:t>o identify</w:t>
            </w:r>
            <w:r w:rsidR="000778FC">
              <w:rPr>
                <w:rFonts w:ascii="Garamond" w:hAnsi="Garamond"/>
                <w:lang w:val="en-AU"/>
              </w:rPr>
              <w:t xml:space="preserve"> </w:t>
            </w:r>
            <w:r w:rsidR="000778FC" w:rsidRPr="000778FC">
              <w:rPr>
                <w:rFonts w:ascii="Garamond" w:hAnsi="Garamond"/>
                <w:lang w:val="en-AU"/>
              </w:rPr>
              <w:t xml:space="preserve">delays in abnormal mammogram follow-up at </w:t>
            </w:r>
            <w:r w:rsidR="000778FC">
              <w:rPr>
                <w:rFonts w:ascii="Garamond" w:hAnsi="Garamond"/>
                <w:lang w:val="en-AU"/>
              </w:rPr>
              <w:t xml:space="preserve">(US) </w:t>
            </w:r>
            <w:r w:rsidR="000778FC" w:rsidRPr="000778FC">
              <w:rPr>
                <w:rFonts w:ascii="Garamond" w:hAnsi="Garamond"/>
                <w:lang w:val="en-AU"/>
              </w:rPr>
              <w:t xml:space="preserve">Veterans Affairs facilities. </w:t>
            </w:r>
            <w:r w:rsidR="000778FC">
              <w:rPr>
                <w:rFonts w:ascii="Garamond" w:hAnsi="Garamond"/>
                <w:lang w:val="en-AU"/>
              </w:rPr>
              <w:t>According to the paper,</w:t>
            </w:r>
            <w:r w:rsidR="00CB2811">
              <w:rPr>
                <w:rFonts w:ascii="Garamond" w:hAnsi="Garamond"/>
                <w:lang w:val="en-AU"/>
              </w:rPr>
              <w:t xml:space="preserve"> </w:t>
            </w:r>
            <w:r w:rsidR="000778FC">
              <w:rPr>
                <w:rFonts w:ascii="Garamond" w:hAnsi="Garamond"/>
                <w:lang w:val="en-AU"/>
              </w:rPr>
              <w:t>t</w:t>
            </w:r>
            <w:r w:rsidR="000778FC" w:rsidRPr="000778FC">
              <w:rPr>
                <w:rFonts w:ascii="Garamond" w:hAnsi="Garamond"/>
                <w:lang w:val="en-AU"/>
              </w:rPr>
              <w:t xml:space="preserve">he </w:t>
            </w:r>
            <w:r w:rsidR="000778FC">
              <w:rPr>
                <w:rFonts w:ascii="Garamond" w:hAnsi="Garamond"/>
                <w:lang w:val="en-AU"/>
              </w:rPr>
              <w:t xml:space="preserve">trigger </w:t>
            </w:r>
            <w:r w:rsidR="000778FC" w:rsidRPr="000778FC">
              <w:rPr>
                <w:rFonts w:ascii="Garamond" w:hAnsi="Garamond"/>
                <w:lang w:val="en-AU"/>
              </w:rPr>
              <w:t xml:space="preserve">tool was moderately effective in detecting diagnostic and treatment delays and rarely failed to identify a delay. </w:t>
            </w:r>
            <w:r w:rsidR="000778FC">
              <w:rPr>
                <w:rFonts w:ascii="Garamond" w:hAnsi="Garamond"/>
                <w:lang w:val="en-AU"/>
              </w:rPr>
              <w:t>The most common causes of delays were i</w:t>
            </w:r>
            <w:r w:rsidR="000778FC" w:rsidRPr="000778FC">
              <w:rPr>
                <w:rFonts w:ascii="Garamond" w:hAnsi="Garamond"/>
                <w:lang w:val="en-AU"/>
              </w:rPr>
              <w:t xml:space="preserve">nability to schedule timely follow-up and </w:t>
            </w:r>
            <w:r w:rsidR="000778FC">
              <w:rPr>
                <w:rFonts w:ascii="Garamond" w:hAnsi="Garamond"/>
                <w:lang w:val="en-AU"/>
              </w:rPr>
              <w:t>‘</w:t>
            </w:r>
            <w:r w:rsidR="000778FC" w:rsidRPr="000778FC">
              <w:rPr>
                <w:rFonts w:ascii="Garamond" w:hAnsi="Garamond"/>
                <w:lang w:val="en-AU"/>
              </w:rPr>
              <w:t>systems issues</w:t>
            </w:r>
            <w:r w:rsidR="000778FC">
              <w:rPr>
                <w:rFonts w:ascii="Garamond" w:hAnsi="Garamond"/>
                <w:lang w:val="en-AU"/>
              </w:rPr>
              <w:t>’</w:t>
            </w:r>
            <w:r w:rsidR="000778FC" w:rsidRPr="000778FC">
              <w:rPr>
                <w:rFonts w:ascii="Garamond" w:hAnsi="Garamond"/>
                <w:lang w:val="en-AU"/>
              </w:rPr>
              <w:t>.</w:t>
            </w:r>
          </w:p>
        </w:tc>
      </w:tr>
    </w:tbl>
    <w:p w:rsidR="00EF418C" w:rsidRPr="000170DA" w:rsidRDefault="00EF418C" w:rsidP="00EF418C">
      <w:pPr>
        <w:keepLines/>
        <w:autoSpaceDE w:val="0"/>
        <w:autoSpaceDN w:val="0"/>
        <w:adjustRightInd w:val="0"/>
        <w:rPr>
          <w:rFonts w:ascii="Garamond" w:hAnsi="Garamond"/>
          <w:lang w:val="en-AU"/>
        </w:rPr>
      </w:pPr>
    </w:p>
    <w:p w:rsidR="00EF418C" w:rsidRPr="008279A6" w:rsidRDefault="008279A6" w:rsidP="00EF418C">
      <w:pPr>
        <w:keepLines/>
        <w:autoSpaceDE w:val="0"/>
        <w:autoSpaceDN w:val="0"/>
        <w:adjustRightInd w:val="0"/>
        <w:rPr>
          <w:rFonts w:ascii="Garamond" w:hAnsi="Garamond"/>
          <w:i/>
          <w:lang w:val="en-AU"/>
        </w:rPr>
      </w:pPr>
      <w:r w:rsidRPr="008279A6">
        <w:rPr>
          <w:rFonts w:ascii="Garamond" w:hAnsi="Garamond"/>
          <w:i/>
          <w:lang w:val="en-AU"/>
        </w:rPr>
        <w:t>Barriers to speaking up about patient safety concerns</w:t>
      </w:r>
    </w:p>
    <w:p w:rsidR="00415E99" w:rsidRDefault="00415E99" w:rsidP="00EF418C">
      <w:pPr>
        <w:keepLines/>
        <w:autoSpaceDE w:val="0"/>
        <w:autoSpaceDN w:val="0"/>
        <w:adjustRightInd w:val="0"/>
        <w:rPr>
          <w:rFonts w:ascii="Garamond" w:hAnsi="Garamond"/>
          <w:lang w:val="en-AU"/>
        </w:rPr>
      </w:pPr>
      <w:r w:rsidRPr="00415E99">
        <w:rPr>
          <w:rFonts w:ascii="Garamond" w:hAnsi="Garamond"/>
          <w:lang w:val="en-AU"/>
        </w:rPr>
        <w:t>Etchegaray JM, Ottosen MJ, Dancsak T, Thomas EJ</w:t>
      </w:r>
    </w:p>
    <w:p w:rsidR="008279A6" w:rsidRPr="000170DA" w:rsidRDefault="00415E99" w:rsidP="00EF418C">
      <w:pPr>
        <w:keepLines/>
        <w:autoSpaceDE w:val="0"/>
        <w:autoSpaceDN w:val="0"/>
        <w:adjustRightInd w:val="0"/>
        <w:rPr>
          <w:rFonts w:ascii="Garamond" w:hAnsi="Garamond"/>
          <w:lang w:val="en-AU"/>
        </w:rPr>
      </w:pPr>
      <w:r w:rsidRPr="00415E99">
        <w:rPr>
          <w:rFonts w:ascii="Garamond" w:hAnsi="Garamond"/>
          <w:lang w:val="en-AU"/>
        </w:rPr>
        <w:t>Journal of Patient Safety. 2017</w:t>
      </w:r>
      <w:r>
        <w:rPr>
          <w:rFonts w:ascii="Garamond" w:hAnsi="Garamond"/>
          <w:lang w:val="en-AU"/>
        </w:rPr>
        <w:t xml:space="preserve"> [epub[</w:t>
      </w:r>
      <w:r w:rsidRPr="00415E99">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F418C" w:rsidRPr="000170DA" w:rsidTr="00D843FA">
        <w:tc>
          <w:tcPr>
            <w:tcW w:w="1080" w:type="dxa"/>
            <w:tcBorders>
              <w:top w:val="single" w:sz="4" w:space="0" w:color="auto"/>
              <w:left w:val="single" w:sz="4" w:space="0" w:color="auto"/>
              <w:bottom w:val="single" w:sz="4" w:space="0" w:color="auto"/>
              <w:right w:val="single" w:sz="4" w:space="0" w:color="auto"/>
            </w:tcBorders>
            <w:vAlign w:val="center"/>
          </w:tcPr>
          <w:p w:rsidR="00EF418C" w:rsidRPr="000170DA" w:rsidRDefault="00EF418C" w:rsidP="00D843FA">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F418C" w:rsidRPr="000170DA" w:rsidRDefault="00F95090" w:rsidP="00D843FA">
            <w:pPr>
              <w:rPr>
                <w:rStyle w:val="Hyperlink"/>
                <w:rFonts w:ascii="Garamond" w:hAnsi="Garamond"/>
                <w:color w:val="auto"/>
                <w:u w:val="none"/>
                <w:lang w:val="en-AU"/>
              </w:rPr>
            </w:pPr>
            <w:hyperlink r:id="rId37" w:history="1">
              <w:r w:rsidR="008279A6" w:rsidRPr="004B683A">
                <w:rPr>
                  <w:rStyle w:val="Hyperlink"/>
                  <w:rFonts w:ascii="Garamond" w:hAnsi="Garamond"/>
                  <w:lang w:val="en-AU"/>
                </w:rPr>
                <w:t>http://dx.doi.org/10.1097/PTS.0000000000000334</w:t>
              </w:r>
            </w:hyperlink>
          </w:p>
        </w:tc>
      </w:tr>
      <w:tr w:rsidR="00EF418C" w:rsidRPr="000170DA" w:rsidTr="00D843FA">
        <w:tc>
          <w:tcPr>
            <w:tcW w:w="1080" w:type="dxa"/>
            <w:tcBorders>
              <w:top w:val="single" w:sz="4" w:space="0" w:color="auto"/>
              <w:left w:val="single" w:sz="4" w:space="0" w:color="auto"/>
              <w:bottom w:val="single" w:sz="4" w:space="0" w:color="auto"/>
              <w:right w:val="single" w:sz="4" w:space="0" w:color="auto"/>
            </w:tcBorders>
            <w:vAlign w:val="center"/>
          </w:tcPr>
          <w:p w:rsidR="00EF418C" w:rsidRPr="000170DA" w:rsidRDefault="00EF418C" w:rsidP="00D843F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4C0B" w:rsidRPr="000170DA" w:rsidRDefault="00F64A3D" w:rsidP="00415E99">
            <w:pPr>
              <w:rPr>
                <w:rFonts w:ascii="Garamond" w:hAnsi="Garamond"/>
                <w:lang w:val="en-AU"/>
              </w:rPr>
            </w:pPr>
            <w:r>
              <w:rPr>
                <w:rFonts w:ascii="Garamond" w:hAnsi="Garamond"/>
                <w:lang w:val="en-AU"/>
              </w:rPr>
              <w:t>The importance of being able to ‘speak up’ about safety (and quality) has been recognised. However, some of the barriers remain and seem persistent or resistant to change. This a</w:t>
            </w:r>
            <w:r w:rsidR="000778FC">
              <w:rPr>
                <w:rFonts w:ascii="Garamond" w:hAnsi="Garamond"/>
                <w:lang w:val="en-AU"/>
              </w:rPr>
              <w:t>rticle</w:t>
            </w:r>
            <w:r w:rsidR="00415E99">
              <w:rPr>
                <w:rFonts w:ascii="Garamond" w:hAnsi="Garamond"/>
                <w:lang w:val="en-AU"/>
              </w:rPr>
              <w:t>,</w:t>
            </w:r>
            <w:r>
              <w:rPr>
                <w:rFonts w:ascii="Garamond" w:hAnsi="Garamond"/>
                <w:lang w:val="en-AU"/>
              </w:rPr>
              <w:t xml:space="preserve"> </w:t>
            </w:r>
            <w:r w:rsidR="007B4C0B">
              <w:rPr>
                <w:rFonts w:ascii="Garamond" w:hAnsi="Garamond"/>
                <w:lang w:val="en-AU"/>
              </w:rPr>
              <w:t xml:space="preserve">reporting on a survey </w:t>
            </w:r>
            <w:r w:rsidR="00415E99">
              <w:rPr>
                <w:rFonts w:ascii="Garamond" w:hAnsi="Garamond"/>
                <w:lang w:val="en-AU"/>
              </w:rPr>
              <w:t xml:space="preserve">undertaken in a single large US health system with more than 1300 respondents, </w:t>
            </w:r>
            <w:r>
              <w:rPr>
                <w:rFonts w:ascii="Garamond" w:hAnsi="Garamond"/>
                <w:lang w:val="en-AU"/>
              </w:rPr>
              <w:t xml:space="preserve">reminds </w:t>
            </w:r>
            <w:r w:rsidR="000778FC">
              <w:rPr>
                <w:rFonts w:ascii="Garamond" w:hAnsi="Garamond"/>
                <w:lang w:val="en-AU"/>
              </w:rPr>
              <w:t xml:space="preserve">us </w:t>
            </w:r>
            <w:r>
              <w:rPr>
                <w:rFonts w:ascii="Garamond" w:hAnsi="Garamond"/>
                <w:lang w:val="en-AU"/>
              </w:rPr>
              <w:t xml:space="preserve">of some of the major barriers that can exist. </w:t>
            </w:r>
            <w:r w:rsidR="007B4C0B">
              <w:rPr>
                <w:rFonts w:ascii="Garamond" w:hAnsi="Garamond"/>
                <w:lang w:val="en-AU"/>
              </w:rPr>
              <w:t>In t</w:t>
            </w:r>
            <w:r w:rsidR="007B4C0B" w:rsidRPr="007B4C0B">
              <w:rPr>
                <w:rFonts w:ascii="Garamond" w:hAnsi="Garamond"/>
                <w:lang w:val="en-AU"/>
              </w:rPr>
              <w:t>his study fear of being wrong and fear of retaliation</w:t>
            </w:r>
            <w:r w:rsidR="007B4C0B">
              <w:rPr>
                <w:rFonts w:ascii="Garamond" w:hAnsi="Garamond"/>
                <w:lang w:val="en-AU"/>
              </w:rPr>
              <w:t xml:space="preserve"> were among the most common barriers reported.</w:t>
            </w:r>
            <w:r w:rsidR="00415E99">
              <w:rPr>
                <w:rFonts w:ascii="Garamond" w:hAnsi="Garamond"/>
                <w:lang w:val="en-AU"/>
              </w:rPr>
              <w:t xml:space="preserve"> In those areas where a greater proportion said that they would speak up, scores for s</w:t>
            </w:r>
            <w:r w:rsidR="00415E99" w:rsidRPr="00415E99">
              <w:rPr>
                <w:rFonts w:ascii="Garamond" w:hAnsi="Garamond"/>
                <w:lang w:val="en-AU"/>
              </w:rPr>
              <w:t xml:space="preserve">afety culture </w:t>
            </w:r>
            <w:r w:rsidR="00415E99">
              <w:rPr>
                <w:rFonts w:ascii="Garamond" w:hAnsi="Garamond"/>
                <w:lang w:val="en-AU"/>
              </w:rPr>
              <w:t>a</w:t>
            </w:r>
            <w:r w:rsidR="00415E99" w:rsidRPr="00415E99">
              <w:rPr>
                <w:rFonts w:ascii="Garamond" w:hAnsi="Garamond"/>
                <w:lang w:val="en-AU"/>
              </w:rPr>
              <w:t>nd teamwork culture were more positive</w:t>
            </w:r>
            <w:r w:rsidR="00415E99">
              <w:rPr>
                <w:rFonts w:ascii="Garamond" w:hAnsi="Garamond"/>
                <w:lang w:val="en-AU"/>
              </w:rPr>
              <w:t>.</w:t>
            </w:r>
          </w:p>
        </w:tc>
      </w:tr>
    </w:tbl>
    <w:p w:rsidR="00EF418C" w:rsidRPr="000170DA" w:rsidRDefault="00EF418C" w:rsidP="00EF418C">
      <w:pPr>
        <w:keepLines/>
        <w:autoSpaceDE w:val="0"/>
        <w:autoSpaceDN w:val="0"/>
        <w:adjustRightInd w:val="0"/>
        <w:rPr>
          <w:rFonts w:ascii="Garamond" w:hAnsi="Garamond"/>
          <w:lang w:val="en-AU"/>
        </w:rPr>
      </w:pPr>
    </w:p>
    <w:p w:rsidR="00833D12" w:rsidRDefault="00833D12">
      <w:pPr>
        <w:rPr>
          <w:rFonts w:ascii="Garamond" w:hAnsi="Garamond"/>
          <w:i/>
          <w:lang w:val="en-AU"/>
        </w:rPr>
      </w:pPr>
      <w:r>
        <w:rPr>
          <w:rFonts w:ascii="Garamond" w:hAnsi="Garamond"/>
          <w:i/>
          <w:lang w:val="en-AU"/>
        </w:rPr>
        <w:br w:type="page"/>
      </w:r>
    </w:p>
    <w:p w:rsidR="00A44A1F" w:rsidRPr="00A44A1F" w:rsidRDefault="00A44A1F" w:rsidP="00510FFC">
      <w:pPr>
        <w:keepNext/>
        <w:keepLines/>
        <w:autoSpaceDE w:val="0"/>
        <w:autoSpaceDN w:val="0"/>
        <w:adjustRightInd w:val="0"/>
        <w:rPr>
          <w:rFonts w:ascii="Garamond" w:hAnsi="Garamond"/>
          <w:i/>
          <w:lang w:val="en-AU"/>
        </w:rPr>
      </w:pPr>
      <w:r w:rsidRPr="00A44A1F">
        <w:rPr>
          <w:rFonts w:ascii="Garamond" w:hAnsi="Garamond"/>
          <w:i/>
          <w:lang w:val="en-AU"/>
        </w:rPr>
        <w:lastRenderedPageBreak/>
        <w:t>Australian Journal of Primary Health</w:t>
      </w:r>
    </w:p>
    <w:p w:rsidR="00A44A1F" w:rsidRPr="000170DA" w:rsidRDefault="00A44A1F" w:rsidP="00510FFC">
      <w:pPr>
        <w:keepNext/>
        <w:keepLines/>
        <w:autoSpaceDE w:val="0"/>
        <w:autoSpaceDN w:val="0"/>
        <w:adjustRightInd w:val="0"/>
        <w:rPr>
          <w:rFonts w:ascii="Garamond" w:hAnsi="Garamond"/>
          <w:lang w:val="en-AU"/>
        </w:rPr>
      </w:pPr>
      <w:r w:rsidRPr="00A44A1F">
        <w:rPr>
          <w:rFonts w:ascii="Garamond" w:hAnsi="Garamond"/>
          <w:lang w:val="en-AU"/>
        </w:rPr>
        <w:t>Volume 23(6) 2017</w:t>
      </w:r>
    </w:p>
    <w:tbl>
      <w:tblPr>
        <w:tblStyle w:val="TableGrid"/>
        <w:tblW w:w="0" w:type="auto"/>
        <w:tblInd w:w="288" w:type="dxa"/>
        <w:tblLayout w:type="fixed"/>
        <w:tblLook w:val="01E0" w:firstRow="1" w:lastRow="1" w:firstColumn="1" w:lastColumn="1" w:noHBand="0" w:noVBand="0"/>
      </w:tblPr>
      <w:tblGrid>
        <w:gridCol w:w="1080"/>
        <w:gridCol w:w="8280"/>
      </w:tblGrid>
      <w:tr w:rsidR="00A44A1F" w:rsidRPr="000170DA" w:rsidTr="000C5478">
        <w:tc>
          <w:tcPr>
            <w:tcW w:w="1080" w:type="dxa"/>
            <w:tcBorders>
              <w:top w:val="single" w:sz="4" w:space="0" w:color="auto"/>
              <w:left w:val="single" w:sz="4" w:space="0" w:color="auto"/>
              <w:bottom w:val="single" w:sz="4" w:space="0" w:color="auto"/>
              <w:right w:val="single" w:sz="4" w:space="0" w:color="auto"/>
            </w:tcBorders>
            <w:vAlign w:val="center"/>
          </w:tcPr>
          <w:p w:rsidR="00A44A1F" w:rsidRPr="000170DA" w:rsidRDefault="00A44A1F" w:rsidP="000C5478">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44A1F" w:rsidRPr="000170DA" w:rsidRDefault="00F95090" w:rsidP="000C5478">
            <w:pPr>
              <w:rPr>
                <w:rStyle w:val="Hyperlink"/>
                <w:rFonts w:ascii="Garamond" w:hAnsi="Garamond"/>
                <w:color w:val="auto"/>
                <w:u w:val="none"/>
                <w:lang w:val="en-AU"/>
              </w:rPr>
            </w:pPr>
            <w:hyperlink r:id="rId38" w:history="1">
              <w:r w:rsidR="00A44A1F" w:rsidRPr="004B683A">
                <w:rPr>
                  <w:rStyle w:val="Hyperlink"/>
                  <w:rFonts w:ascii="Garamond" w:hAnsi="Garamond"/>
                  <w:lang w:val="en-AU"/>
                </w:rPr>
                <w:t>http://www.publish.csiro.au/py/issue/8588</w:t>
              </w:r>
            </w:hyperlink>
          </w:p>
        </w:tc>
      </w:tr>
      <w:tr w:rsidR="00A44A1F" w:rsidRPr="000170DA" w:rsidTr="000C5478">
        <w:tc>
          <w:tcPr>
            <w:tcW w:w="1080" w:type="dxa"/>
            <w:tcBorders>
              <w:top w:val="single" w:sz="4" w:space="0" w:color="auto"/>
              <w:left w:val="single" w:sz="4" w:space="0" w:color="auto"/>
              <w:bottom w:val="single" w:sz="4" w:space="0" w:color="auto"/>
              <w:right w:val="single" w:sz="4" w:space="0" w:color="auto"/>
            </w:tcBorders>
            <w:vAlign w:val="center"/>
          </w:tcPr>
          <w:p w:rsidR="00A44A1F" w:rsidRPr="000170DA" w:rsidRDefault="00A44A1F" w:rsidP="000C547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4A1F" w:rsidRDefault="00A44A1F" w:rsidP="000C5478">
            <w:pPr>
              <w:rPr>
                <w:rFonts w:ascii="Garamond" w:hAnsi="Garamond"/>
                <w:lang w:val="en-AU"/>
              </w:rPr>
            </w:pPr>
            <w:r w:rsidRPr="00A44A1F">
              <w:rPr>
                <w:rFonts w:ascii="Garamond" w:hAnsi="Garamond"/>
                <w:lang w:val="en-AU"/>
              </w:rPr>
              <w:t xml:space="preserve">A new issue of the </w:t>
            </w:r>
            <w:r w:rsidRPr="00A44A1F">
              <w:rPr>
                <w:rFonts w:ascii="Garamond" w:hAnsi="Garamond"/>
                <w:i/>
                <w:lang w:val="en-AU"/>
              </w:rPr>
              <w:t>Australian Journal of Primary Health</w:t>
            </w:r>
            <w:r w:rsidRPr="00A44A1F">
              <w:rPr>
                <w:rFonts w:ascii="Garamond" w:hAnsi="Garamond"/>
                <w:lang w:val="en-AU"/>
              </w:rPr>
              <w:t xml:space="preserve"> has been published</w:t>
            </w:r>
            <w:r>
              <w:rPr>
                <w:rFonts w:ascii="Garamond" w:hAnsi="Garamond"/>
                <w:lang w:val="en-AU"/>
              </w:rPr>
              <w:t xml:space="preserve"> with a focus on </w:t>
            </w:r>
            <w:r w:rsidRPr="00A44A1F">
              <w:rPr>
                <w:rFonts w:ascii="Garamond" w:hAnsi="Garamond"/>
                <w:lang w:val="en-AU"/>
              </w:rPr>
              <w:t xml:space="preserve">Community–Consumer Participation in Primary Health. Articles in this issue of the </w:t>
            </w:r>
            <w:r w:rsidRPr="00A44A1F">
              <w:rPr>
                <w:rFonts w:ascii="Garamond" w:hAnsi="Garamond"/>
                <w:i/>
                <w:lang w:val="en-AU"/>
              </w:rPr>
              <w:t>Australian Journal of Primary Health</w:t>
            </w:r>
            <w:r w:rsidRPr="00A44A1F">
              <w:rPr>
                <w:rFonts w:ascii="Garamond" w:hAnsi="Garamond"/>
                <w:lang w:val="en-AU"/>
              </w:rPr>
              <w:t xml:space="preserve"> include:</w:t>
            </w:r>
          </w:p>
          <w:p w:rsidR="00A44A1F" w:rsidRPr="00A44A1F" w:rsidRDefault="00A44A1F" w:rsidP="006B3922">
            <w:pPr>
              <w:pStyle w:val="ListParagraph"/>
              <w:numPr>
                <w:ilvl w:val="0"/>
                <w:numId w:val="16"/>
              </w:numPr>
              <w:rPr>
                <w:rFonts w:ascii="Garamond" w:hAnsi="Garamond"/>
                <w:lang w:val="en-AU"/>
              </w:rPr>
            </w:pPr>
            <w:r w:rsidRPr="00A44A1F">
              <w:rPr>
                <w:rFonts w:ascii="Garamond" w:hAnsi="Garamond"/>
                <w:lang w:val="en-AU"/>
              </w:rPr>
              <w:t xml:space="preserve">Reconceptualising </w:t>
            </w:r>
            <w:r w:rsidRPr="00A44A1F">
              <w:rPr>
                <w:rFonts w:ascii="Garamond" w:hAnsi="Garamond"/>
                <w:b/>
                <w:lang w:val="en-AU"/>
              </w:rPr>
              <w:t>community participation in primary health</w:t>
            </w:r>
            <w:r w:rsidRPr="00A44A1F">
              <w:rPr>
                <w:rFonts w:ascii="Garamond" w:hAnsi="Garamond"/>
                <w:lang w:val="en-AU"/>
              </w:rPr>
              <w:t xml:space="preserve"> (Amanda Kenny, Nerida Hyett and Virginia Dickson-Swift</w:t>
            </w:r>
            <w:r>
              <w:rPr>
                <w:rFonts w:ascii="Garamond" w:hAnsi="Garamond"/>
                <w:lang w:val="en-AU"/>
              </w:rPr>
              <w:t>)</w:t>
            </w:r>
          </w:p>
          <w:p w:rsidR="00A44A1F" w:rsidRPr="00A44A1F" w:rsidRDefault="00A44A1F" w:rsidP="006B3922">
            <w:pPr>
              <w:pStyle w:val="ListParagraph"/>
              <w:numPr>
                <w:ilvl w:val="0"/>
                <w:numId w:val="16"/>
              </w:numPr>
              <w:rPr>
                <w:rFonts w:ascii="Garamond" w:hAnsi="Garamond"/>
                <w:lang w:val="en-AU"/>
              </w:rPr>
            </w:pPr>
            <w:r w:rsidRPr="00A44A1F">
              <w:rPr>
                <w:rFonts w:ascii="Garamond" w:hAnsi="Garamond"/>
                <w:lang w:val="en-AU"/>
              </w:rPr>
              <w:t xml:space="preserve">Collective and negotiated design for a clinical trial addressing </w:t>
            </w:r>
            <w:r w:rsidRPr="00A44A1F">
              <w:rPr>
                <w:rFonts w:ascii="Garamond" w:hAnsi="Garamond"/>
                <w:b/>
                <w:lang w:val="en-AU"/>
              </w:rPr>
              <w:t>smoking cessation</w:t>
            </w:r>
            <w:r w:rsidRPr="00A44A1F">
              <w:rPr>
                <w:rFonts w:ascii="Garamond" w:hAnsi="Garamond"/>
                <w:lang w:val="en-AU"/>
              </w:rPr>
              <w:t xml:space="preserve"> supports for </w:t>
            </w:r>
            <w:r w:rsidRPr="00A44A1F">
              <w:rPr>
                <w:rFonts w:ascii="Garamond" w:hAnsi="Garamond"/>
                <w:b/>
                <w:lang w:val="en-AU"/>
              </w:rPr>
              <w:t>Aboriginal and Torres Strait Islander mothers</w:t>
            </w:r>
            <w:r w:rsidRPr="00A44A1F">
              <w:rPr>
                <w:rFonts w:ascii="Garamond" w:hAnsi="Garamond"/>
                <w:lang w:val="en-AU"/>
              </w:rPr>
              <w:t xml:space="preserve"> in NSW, SA and Qld – developing a pilot study (Michelle Bovill, Yael Bar-Zeev, Maree Gruppetta, Peter O'Mara, Brett Cowling and Gillian S Gould</w:t>
            </w:r>
            <w:r>
              <w:rPr>
                <w:rFonts w:ascii="Garamond" w:hAnsi="Garamond"/>
                <w:lang w:val="en-AU"/>
              </w:rPr>
              <w:t>)</w:t>
            </w:r>
          </w:p>
          <w:p w:rsidR="00A44A1F" w:rsidRPr="00A44A1F" w:rsidRDefault="00A44A1F" w:rsidP="006B3922">
            <w:pPr>
              <w:pStyle w:val="ListParagraph"/>
              <w:numPr>
                <w:ilvl w:val="0"/>
                <w:numId w:val="16"/>
              </w:numPr>
              <w:rPr>
                <w:rFonts w:ascii="Garamond" w:hAnsi="Garamond"/>
                <w:lang w:val="en-AU"/>
              </w:rPr>
            </w:pPr>
            <w:r w:rsidRPr="00A44A1F">
              <w:rPr>
                <w:rFonts w:ascii="Garamond" w:hAnsi="Garamond"/>
                <w:lang w:val="en-AU"/>
              </w:rPr>
              <w:t xml:space="preserve">Not just tea and biscuits; the Gold Coast Primary Health Network process of </w:t>
            </w:r>
            <w:r w:rsidRPr="00A44A1F">
              <w:rPr>
                <w:rFonts w:ascii="Garamond" w:hAnsi="Garamond"/>
                <w:b/>
                <w:lang w:val="en-AU"/>
              </w:rPr>
              <w:t>designing, implementing and operating a Community Advisory Council</w:t>
            </w:r>
            <w:r w:rsidRPr="00A44A1F">
              <w:rPr>
                <w:rFonts w:ascii="Garamond" w:hAnsi="Garamond"/>
                <w:lang w:val="en-AU"/>
              </w:rPr>
              <w:t xml:space="preserve"> (Jessica McClean and Kellie Trigger</w:t>
            </w:r>
            <w:r>
              <w:rPr>
                <w:rFonts w:ascii="Garamond" w:hAnsi="Garamond"/>
                <w:lang w:val="en-AU"/>
              </w:rPr>
              <w:t>)</w:t>
            </w:r>
          </w:p>
          <w:p w:rsidR="00A44A1F" w:rsidRPr="00A44A1F" w:rsidRDefault="00A44A1F" w:rsidP="006B3922">
            <w:pPr>
              <w:pStyle w:val="ListParagraph"/>
              <w:numPr>
                <w:ilvl w:val="0"/>
                <w:numId w:val="16"/>
              </w:numPr>
              <w:rPr>
                <w:rFonts w:ascii="Garamond" w:hAnsi="Garamond"/>
                <w:lang w:val="en-AU"/>
              </w:rPr>
            </w:pPr>
            <w:r w:rsidRPr="00A44A1F">
              <w:rPr>
                <w:rFonts w:ascii="Garamond" w:hAnsi="Garamond"/>
                <w:b/>
                <w:lang w:val="en-AU"/>
              </w:rPr>
              <w:t>Citizen participation in health services co-production</w:t>
            </w:r>
            <w:r w:rsidRPr="00A44A1F">
              <w:rPr>
                <w:rFonts w:ascii="Garamond" w:hAnsi="Garamond"/>
                <w:lang w:val="en-AU"/>
              </w:rPr>
              <w:t>: a roadmap for navigating participation types and outcomes (Jane Farmer, Judy Taylor, Ellen Stewart and Amanda Kenny</w:t>
            </w:r>
            <w:r>
              <w:rPr>
                <w:rFonts w:ascii="Garamond" w:hAnsi="Garamond"/>
                <w:lang w:val="en-AU"/>
              </w:rPr>
              <w:t>)</w:t>
            </w:r>
          </w:p>
          <w:p w:rsidR="00A44A1F" w:rsidRPr="00A44A1F" w:rsidRDefault="00A44A1F" w:rsidP="006B3922">
            <w:pPr>
              <w:pStyle w:val="ListParagraph"/>
              <w:numPr>
                <w:ilvl w:val="0"/>
                <w:numId w:val="16"/>
              </w:numPr>
              <w:rPr>
                <w:rFonts w:ascii="Garamond" w:hAnsi="Garamond"/>
                <w:lang w:val="en-AU"/>
              </w:rPr>
            </w:pPr>
            <w:r w:rsidRPr="00A44A1F">
              <w:rPr>
                <w:rFonts w:ascii="Garamond" w:hAnsi="Garamond"/>
                <w:lang w:val="en-AU"/>
              </w:rPr>
              <w:t xml:space="preserve">Understanding the factors that make </w:t>
            </w:r>
            <w:r w:rsidRPr="00A44A1F">
              <w:rPr>
                <w:rFonts w:ascii="Garamond" w:hAnsi="Garamond"/>
                <w:b/>
                <w:lang w:val="en-AU"/>
              </w:rPr>
              <w:t>public participation</w:t>
            </w:r>
            <w:r w:rsidRPr="00A44A1F">
              <w:rPr>
                <w:rFonts w:ascii="Garamond" w:hAnsi="Garamond"/>
                <w:lang w:val="en-AU"/>
              </w:rPr>
              <w:t xml:space="preserve"> effective in </w:t>
            </w:r>
            <w:r w:rsidRPr="00A44A1F">
              <w:rPr>
                <w:rFonts w:ascii="Garamond" w:hAnsi="Garamond"/>
                <w:b/>
                <w:lang w:val="en-AU"/>
              </w:rPr>
              <w:t>health policy and planning</w:t>
            </w:r>
            <w:r w:rsidRPr="00A44A1F">
              <w:rPr>
                <w:rFonts w:ascii="Garamond" w:hAnsi="Garamond"/>
                <w:lang w:val="en-AU"/>
              </w:rPr>
              <w:t>: a realist synthesis (Celso P</w:t>
            </w:r>
            <w:r>
              <w:rPr>
                <w:rFonts w:ascii="Garamond" w:hAnsi="Garamond"/>
                <w:lang w:val="en-AU"/>
              </w:rPr>
              <w:t xml:space="preserve"> Pagatpatan and P R</w:t>
            </w:r>
            <w:r w:rsidRPr="00A44A1F">
              <w:rPr>
                <w:rFonts w:ascii="Garamond" w:hAnsi="Garamond"/>
                <w:lang w:val="en-AU"/>
              </w:rPr>
              <w:t xml:space="preserve"> Ward</w:t>
            </w:r>
            <w:r>
              <w:rPr>
                <w:rFonts w:ascii="Garamond" w:hAnsi="Garamond"/>
                <w:lang w:val="en-AU"/>
              </w:rPr>
              <w:t>)</w:t>
            </w:r>
          </w:p>
          <w:p w:rsidR="00A44A1F" w:rsidRPr="00A44A1F" w:rsidRDefault="00A44A1F" w:rsidP="006B3922">
            <w:pPr>
              <w:pStyle w:val="ListParagraph"/>
              <w:numPr>
                <w:ilvl w:val="0"/>
                <w:numId w:val="16"/>
              </w:numPr>
              <w:rPr>
                <w:rFonts w:ascii="Garamond" w:hAnsi="Garamond"/>
                <w:lang w:val="en-AU"/>
              </w:rPr>
            </w:pPr>
            <w:r w:rsidRPr="00A44A1F">
              <w:rPr>
                <w:rFonts w:ascii="Garamond" w:hAnsi="Garamond"/>
                <w:lang w:val="en-AU"/>
              </w:rPr>
              <w:t xml:space="preserve">Realisation of a </w:t>
            </w:r>
            <w:r w:rsidRPr="00A44A1F">
              <w:rPr>
                <w:rFonts w:ascii="Garamond" w:hAnsi="Garamond"/>
                <w:b/>
                <w:lang w:val="en-AU"/>
              </w:rPr>
              <w:t>joint consumer engagement strategy</w:t>
            </w:r>
            <w:r w:rsidRPr="00A44A1F">
              <w:rPr>
                <w:rFonts w:ascii="Garamond" w:hAnsi="Garamond"/>
                <w:lang w:val="en-AU"/>
              </w:rPr>
              <w:t xml:space="preserve"> in the Nepean Blue Mountains region (Ilse Blignault, Diana Aspinall, Lizz Reay and Kay Hyman</w:t>
            </w:r>
            <w:r>
              <w:rPr>
                <w:rFonts w:ascii="Garamond" w:hAnsi="Garamond"/>
                <w:lang w:val="en-AU"/>
              </w:rPr>
              <w:t>)</w:t>
            </w:r>
          </w:p>
          <w:p w:rsidR="00A44A1F" w:rsidRPr="00A44A1F" w:rsidRDefault="00A44A1F" w:rsidP="006B3922">
            <w:pPr>
              <w:pStyle w:val="ListParagraph"/>
              <w:numPr>
                <w:ilvl w:val="0"/>
                <w:numId w:val="16"/>
              </w:numPr>
              <w:rPr>
                <w:rFonts w:ascii="Garamond" w:hAnsi="Garamond"/>
                <w:lang w:val="en-AU"/>
              </w:rPr>
            </w:pPr>
            <w:r w:rsidRPr="00A44A1F">
              <w:rPr>
                <w:rFonts w:ascii="Garamond" w:hAnsi="Garamond"/>
                <w:b/>
                <w:lang w:val="en-AU"/>
              </w:rPr>
              <w:t>Coproducing Aboriginal patient journey mapping tools</w:t>
            </w:r>
            <w:r w:rsidRPr="00A44A1F">
              <w:rPr>
                <w:rFonts w:ascii="Garamond" w:hAnsi="Garamond"/>
                <w:lang w:val="en-AU"/>
              </w:rPr>
              <w:t xml:space="preserve"> for improved quality and coordination of care (Janet Kelly, Judith Dwyer, Tamara Mackean, Kim O'Donnell and Eileen Willis</w:t>
            </w:r>
            <w:r>
              <w:rPr>
                <w:rFonts w:ascii="Garamond" w:hAnsi="Garamond"/>
                <w:lang w:val="en-AU"/>
              </w:rPr>
              <w:t>)</w:t>
            </w:r>
          </w:p>
          <w:p w:rsidR="00A44A1F" w:rsidRPr="00A44A1F" w:rsidRDefault="00A44A1F" w:rsidP="006B3922">
            <w:pPr>
              <w:pStyle w:val="ListParagraph"/>
              <w:numPr>
                <w:ilvl w:val="0"/>
                <w:numId w:val="16"/>
              </w:numPr>
              <w:rPr>
                <w:rFonts w:ascii="Garamond" w:hAnsi="Garamond"/>
                <w:lang w:val="en-AU"/>
              </w:rPr>
            </w:pPr>
            <w:r w:rsidRPr="00A44A1F">
              <w:rPr>
                <w:rFonts w:ascii="Garamond" w:hAnsi="Garamond"/>
                <w:b/>
                <w:lang w:val="en-AU"/>
              </w:rPr>
              <w:t>Rural and regional community health service boards</w:t>
            </w:r>
            <w:r w:rsidRPr="00A44A1F">
              <w:rPr>
                <w:rFonts w:ascii="Garamond" w:hAnsi="Garamond"/>
                <w:lang w:val="en-AU"/>
              </w:rPr>
              <w:t>: perceptions of community health – a Delphi study (Diana Guzys, Guinever Threlkeld, Virginia Dickson-Swift and Amanda Kenny</w:t>
            </w:r>
            <w:r>
              <w:rPr>
                <w:rFonts w:ascii="Garamond" w:hAnsi="Garamond"/>
                <w:lang w:val="en-AU"/>
              </w:rPr>
              <w:t>)</w:t>
            </w:r>
          </w:p>
          <w:p w:rsidR="00A44A1F" w:rsidRPr="00A44A1F" w:rsidRDefault="00A44A1F" w:rsidP="006B3922">
            <w:pPr>
              <w:pStyle w:val="ListParagraph"/>
              <w:numPr>
                <w:ilvl w:val="0"/>
                <w:numId w:val="16"/>
              </w:numPr>
              <w:rPr>
                <w:rFonts w:ascii="Garamond" w:hAnsi="Garamond"/>
                <w:lang w:val="en-AU"/>
              </w:rPr>
            </w:pPr>
            <w:r w:rsidRPr="00A44A1F">
              <w:rPr>
                <w:rFonts w:ascii="Garamond" w:hAnsi="Garamond"/>
                <w:lang w:val="en-AU"/>
              </w:rPr>
              <w:t xml:space="preserve">'I'm not sure it paints an honest picture of where my health's at' – identifying </w:t>
            </w:r>
            <w:r w:rsidRPr="00A44A1F">
              <w:rPr>
                <w:rFonts w:ascii="Garamond" w:hAnsi="Garamond"/>
                <w:b/>
                <w:lang w:val="en-AU"/>
              </w:rPr>
              <w:t>community health and research priorities</w:t>
            </w:r>
            <w:r w:rsidRPr="00A44A1F">
              <w:rPr>
                <w:rFonts w:ascii="Garamond" w:hAnsi="Garamond"/>
                <w:lang w:val="en-AU"/>
              </w:rPr>
              <w:t xml:space="preserve"> based on health assessments within an </w:t>
            </w:r>
            <w:r w:rsidRPr="00A44A1F">
              <w:rPr>
                <w:rFonts w:ascii="Garamond" w:hAnsi="Garamond"/>
                <w:b/>
                <w:lang w:val="en-AU"/>
              </w:rPr>
              <w:t>Aboriginal and Torres Strait Islander community</w:t>
            </w:r>
            <w:r w:rsidRPr="00A44A1F">
              <w:rPr>
                <w:rFonts w:ascii="Garamond" w:hAnsi="Garamond"/>
                <w:lang w:val="en-AU"/>
              </w:rPr>
              <w:t>: a qualitative study (Geoffrey K Spurling, Chelsea J Bond, Philip J Schluter, Corey I</w:t>
            </w:r>
            <w:r>
              <w:rPr>
                <w:rFonts w:ascii="Garamond" w:hAnsi="Garamond"/>
                <w:lang w:val="en-AU"/>
              </w:rPr>
              <w:t xml:space="preserve"> Kirk and Deborah A</w:t>
            </w:r>
            <w:r w:rsidRPr="00A44A1F">
              <w:rPr>
                <w:rFonts w:ascii="Garamond" w:hAnsi="Garamond"/>
                <w:lang w:val="en-AU"/>
              </w:rPr>
              <w:t xml:space="preserve"> Askew</w:t>
            </w:r>
            <w:r>
              <w:rPr>
                <w:rFonts w:ascii="Garamond" w:hAnsi="Garamond"/>
                <w:lang w:val="en-AU"/>
              </w:rPr>
              <w:t>)</w:t>
            </w:r>
          </w:p>
          <w:p w:rsidR="00A44A1F" w:rsidRPr="00A44A1F" w:rsidRDefault="00A44A1F" w:rsidP="006B3922">
            <w:pPr>
              <w:pStyle w:val="ListParagraph"/>
              <w:numPr>
                <w:ilvl w:val="0"/>
                <w:numId w:val="16"/>
              </w:numPr>
              <w:rPr>
                <w:rFonts w:ascii="Garamond" w:hAnsi="Garamond"/>
                <w:lang w:val="en-AU"/>
              </w:rPr>
            </w:pPr>
            <w:r w:rsidRPr="00A44A1F">
              <w:rPr>
                <w:rFonts w:ascii="Garamond" w:hAnsi="Garamond"/>
                <w:lang w:val="en-AU"/>
              </w:rPr>
              <w:t xml:space="preserve">Developing </w:t>
            </w:r>
            <w:r w:rsidRPr="00A44A1F">
              <w:rPr>
                <w:rFonts w:ascii="Garamond" w:hAnsi="Garamond"/>
                <w:b/>
                <w:lang w:val="en-AU"/>
              </w:rPr>
              <w:t xml:space="preserve">research priorities </w:t>
            </w:r>
            <w:r w:rsidRPr="00A44A1F">
              <w:rPr>
                <w:rFonts w:ascii="Garamond" w:hAnsi="Garamond"/>
                <w:lang w:val="en-AU"/>
              </w:rPr>
              <w:t>in Australian</w:t>
            </w:r>
            <w:r w:rsidRPr="00A44A1F">
              <w:rPr>
                <w:rFonts w:ascii="Garamond" w:hAnsi="Garamond"/>
                <w:b/>
                <w:lang w:val="en-AU"/>
              </w:rPr>
              <w:t xml:space="preserve"> primary health care</w:t>
            </w:r>
            <w:r w:rsidRPr="00A44A1F">
              <w:rPr>
                <w:rFonts w:ascii="Garamond" w:hAnsi="Garamond"/>
                <w:lang w:val="en-AU"/>
              </w:rPr>
              <w:t>: a focus on nutrition and physical activity (Lauren Ball, Katelyn Barnes, Michael Leveritt, Lana Mitchell, Lauren T. Williams, Dianne Ball and Elizabeth Patterson</w:t>
            </w:r>
            <w:r>
              <w:rPr>
                <w:rFonts w:ascii="Garamond" w:hAnsi="Garamond"/>
                <w:lang w:val="en-AU"/>
              </w:rPr>
              <w:t>)</w:t>
            </w:r>
          </w:p>
          <w:p w:rsidR="00A44A1F" w:rsidRPr="00A44A1F" w:rsidRDefault="00A44A1F" w:rsidP="006B3922">
            <w:pPr>
              <w:pStyle w:val="ListParagraph"/>
              <w:numPr>
                <w:ilvl w:val="0"/>
                <w:numId w:val="16"/>
              </w:numPr>
              <w:rPr>
                <w:rFonts w:ascii="Garamond" w:hAnsi="Garamond"/>
                <w:lang w:val="en-AU"/>
              </w:rPr>
            </w:pPr>
            <w:r w:rsidRPr="00A44A1F">
              <w:rPr>
                <w:rFonts w:ascii="Garamond" w:hAnsi="Garamond"/>
                <w:lang w:val="en-AU"/>
              </w:rPr>
              <w:t xml:space="preserve"> ‘Lost and confused’: </w:t>
            </w:r>
            <w:r w:rsidRPr="00A44A1F">
              <w:rPr>
                <w:rFonts w:ascii="Garamond" w:hAnsi="Garamond"/>
                <w:b/>
                <w:lang w:val="en-AU"/>
              </w:rPr>
              <w:t>parent representative groups’ perspectives</w:t>
            </w:r>
            <w:r w:rsidRPr="00A44A1F">
              <w:rPr>
                <w:rFonts w:ascii="Garamond" w:hAnsi="Garamond"/>
                <w:lang w:val="en-AU"/>
              </w:rPr>
              <w:t xml:space="preserve"> on </w:t>
            </w:r>
            <w:r w:rsidRPr="00A44A1F">
              <w:rPr>
                <w:rFonts w:ascii="Garamond" w:hAnsi="Garamond"/>
                <w:b/>
                <w:lang w:val="en-AU"/>
              </w:rPr>
              <w:t>child and family health services</w:t>
            </w:r>
            <w:r w:rsidRPr="00A44A1F">
              <w:rPr>
                <w:rFonts w:ascii="Garamond" w:hAnsi="Garamond"/>
                <w:lang w:val="en-AU"/>
              </w:rPr>
              <w:t xml:space="preserve"> in Australia</w:t>
            </w:r>
            <w:r>
              <w:rPr>
                <w:rFonts w:ascii="Garamond" w:hAnsi="Garamond"/>
                <w:lang w:val="en-AU"/>
              </w:rPr>
              <w:t xml:space="preserve"> (</w:t>
            </w:r>
            <w:r w:rsidRPr="00A44A1F">
              <w:rPr>
                <w:rFonts w:ascii="Garamond" w:hAnsi="Garamond"/>
                <w:lang w:val="en-AU"/>
              </w:rPr>
              <w:t>Amiee Hesson, Cathrine Fowler, Chris Rossiter and Virginia Schmied</w:t>
            </w:r>
            <w:r>
              <w:rPr>
                <w:rFonts w:ascii="Garamond" w:hAnsi="Garamond"/>
                <w:lang w:val="en-AU"/>
              </w:rPr>
              <w:t>)</w:t>
            </w:r>
          </w:p>
        </w:tc>
      </w:tr>
    </w:tbl>
    <w:p w:rsidR="00A44A1F" w:rsidRDefault="00A44A1F" w:rsidP="00A44A1F">
      <w:pPr>
        <w:keepLines/>
        <w:autoSpaceDE w:val="0"/>
        <w:autoSpaceDN w:val="0"/>
        <w:adjustRightInd w:val="0"/>
        <w:rPr>
          <w:rFonts w:ascii="Garamond" w:hAnsi="Garamond"/>
          <w:lang w:val="en-AU"/>
        </w:rPr>
      </w:pPr>
    </w:p>
    <w:p w:rsidR="003F6E6A" w:rsidRPr="003F6E6A" w:rsidRDefault="003F6E6A" w:rsidP="003F6E6A">
      <w:pPr>
        <w:keepLines/>
        <w:autoSpaceDE w:val="0"/>
        <w:autoSpaceDN w:val="0"/>
        <w:adjustRightInd w:val="0"/>
        <w:rPr>
          <w:rFonts w:ascii="Garamond" w:hAnsi="Garamond"/>
          <w:i/>
          <w:lang w:val="en-AU"/>
        </w:rPr>
      </w:pPr>
      <w:r w:rsidRPr="003F6E6A">
        <w:rPr>
          <w:rFonts w:ascii="Garamond" w:hAnsi="Garamond"/>
          <w:i/>
          <w:lang w:val="en-AU"/>
        </w:rPr>
        <w:t>Public Health Research &amp; Practice</w:t>
      </w:r>
    </w:p>
    <w:p w:rsidR="003F6E6A" w:rsidRPr="000170DA" w:rsidRDefault="003F6E6A" w:rsidP="003F6E6A">
      <w:pPr>
        <w:keepLines/>
        <w:autoSpaceDE w:val="0"/>
        <w:autoSpaceDN w:val="0"/>
        <w:adjustRightInd w:val="0"/>
        <w:rPr>
          <w:rFonts w:ascii="Garamond" w:hAnsi="Garamond"/>
          <w:lang w:val="en-AU"/>
        </w:rPr>
      </w:pPr>
      <w:r w:rsidRPr="003F6E6A">
        <w:rPr>
          <w:rFonts w:ascii="Garamond" w:hAnsi="Garamond"/>
          <w:lang w:val="en-AU"/>
        </w:rPr>
        <w:t>December 2017, Volume 27, Issue 5</w:t>
      </w:r>
    </w:p>
    <w:tbl>
      <w:tblPr>
        <w:tblStyle w:val="TableGrid"/>
        <w:tblW w:w="0" w:type="auto"/>
        <w:tblInd w:w="288" w:type="dxa"/>
        <w:tblLayout w:type="fixed"/>
        <w:tblLook w:val="01E0" w:firstRow="1" w:lastRow="1" w:firstColumn="1" w:lastColumn="1" w:noHBand="0" w:noVBand="0"/>
      </w:tblPr>
      <w:tblGrid>
        <w:gridCol w:w="1080"/>
        <w:gridCol w:w="8280"/>
      </w:tblGrid>
      <w:tr w:rsidR="003F6E6A" w:rsidRPr="000170DA" w:rsidTr="003C7446">
        <w:tc>
          <w:tcPr>
            <w:tcW w:w="1080" w:type="dxa"/>
            <w:tcBorders>
              <w:top w:val="single" w:sz="4" w:space="0" w:color="auto"/>
              <w:left w:val="single" w:sz="4" w:space="0" w:color="auto"/>
              <w:bottom w:val="single" w:sz="4" w:space="0" w:color="auto"/>
              <w:right w:val="single" w:sz="4" w:space="0" w:color="auto"/>
            </w:tcBorders>
            <w:vAlign w:val="center"/>
          </w:tcPr>
          <w:p w:rsidR="003F6E6A" w:rsidRPr="000170DA" w:rsidRDefault="003F6E6A" w:rsidP="003C744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6E6A" w:rsidRPr="000170DA" w:rsidRDefault="00F95090" w:rsidP="003F6E6A">
            <w:pPr>
              <w:rPr>
                <w:rStyle w:val="Hyperlink"/>
                <w:rFonts w:ascii="Garamond" w:hAnsi="Garamond"/>
                <w:color w:val="auto"/>
                <w:u w:val="none"/>
                <w:lang w:val="en-AU"/>
              </w:rPr>
            </w:pPr>
            <w:hyperlink r:id="rId39" w:history="1">
              <w:r w:rsidR="003F6E6A" w:rsidRPr="003105F0">
                <w:rPr>
                  <w:rStyle w:val="Hyperlink"/>
                  <w:rFonts w:ascii="Garamond" w:hAnsi="Garamond"/>
                  <w:lang w:val="en-AU"/>
                </w:rPr>
                <w:t>http://www.phrp.com.au/issues/december-2017-volume-27-issue-5/</w:t>
              </w:r>
            </w:hyperlink>
          </w:p>
        </w:tc>
      </w:tr>
      <w:tr w:rsidR="003F6E6A" w:rsidRPr="000170DA" w:rsidTr="003C7446">
        <w:tc>
          <w:tcPr>
            <w:tcW w:w="1080" w:type="dxa"/>
            <w:tcBorders>
              <w:top w:val="single" w:sz="4" w:space="0" w:color="auto"/>
              <w:left w:val="single" w:sz="4" w:space="0" w:color="auto"/>
              <w:bottom w:val="single" w:sz="4" w:space="0" w:color="auto"/>
              <w:right w:val="single" w:sz="4" w:space="0" w:color="auto"/>
            </w:tcBorders>
            <w:vAlign w:val="center"/>
          </w:tcPr>
          <w:p w:rsidR="003F6E6A" w:rsidRPr="000170DA" w:rsidRDefault="003F6E6A" w:rsidP="003C744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6E6A" w:rsidRDefault="003F6E6A" w:rsidP="003F6E6A">
            <w:pPr>
              <w:rPr>
                <w:rFonts w:ascii="Garamond" w:hAnsi="Garamond"/>
                <w:lang w:val="en-AU"/>
              </w:rPr>
            </w:pPr>
            <w:r w:rsidRPr="00A44A1F">
              <w:rPr>
                <w:rFonts w:ascii="Garamond" w:hAnsi="Garamond"/>
                <w:lang w:val="en-AU"/>
              </w:rPr>
              <w:t xml:space="preserve">A new issue of </w:t>
            </w:r>
            <w:r w:rsidRPr="003F6E6A">
              <w:rPr>
                <w:rFonts w:ascii="Garamond" w:hAnsi="Garamond"/>
                <w:i/>
                <w:lang w:val="en-AU"/>
              </w:rPr>
              <w:t>Public Health Research &amp; Practice</w:t>
            </w:r>
            <w:r w:rsidRPr="00A44A1F">
              <w:rPr>
                <w:rFonts w:ascii="Garamond" w:hAnsi="Garamond"/>
                <w:lang w:val="en-AU"/>
              </w:rPr>
              <w:t xml:space="preserve"> has been published</w:t>
            </w:r>
            <w:r>
              <w:rPr>
                <w:rFonts w:ascii="Garamond" w:hAnsi="Garamond"/>
                <w:lang w:val="en-AU"/>
              </w:rPr>
              <w:t xml:space="preserve"> with the focus ‘</w:t>
            </w:r>
            <w:r w:rsidRPr="003F6E6A">
              <w:rPr>
                <w:rFonts w:ascii="Garamond" w:hAnsi="Garamond"/>
                <w:lang w:val="en-AU"/>
              </w:rPr>
              <w:t>contemporary challenges in public health</w:t>
            </w:r>
            <w:r>
              <w:rPr>
                <w:rFonts w:ascii="Garamond" w:hAnsi="Garamond"/>
                <w:lang w:val="en-AU"/>
              </w:rPr>
              <w:t>’</w:t>
            </w:r>
            <w:r w:rsidRPr="00A44A1F">
              <w:rPr>
                <w:rFonts w:ascii="Garamond" w:hAnsi="Garamond"/>
                <w:lang w:val="en-AU"/>
              </w:rPr>
              <w:t xml:space="preserve">. Articles in this issue of </w:t>
            </w:r>
            <w:r w:rsidRPr="003F6E6A">
              <w:rPr>
                <w:rFonts w:ascii="Garamond" w:hAnsi="Garamond"/>
                <w:i/>
                <w:lang w:val="en-AU"/>
              </w:rPr>
              <w:t>Public Health Research &amp; Practice</w:t>
            </w:r>
            <w:r w:rsidRPr="00A44A1F">
              <w:rPr>
                <w:rFonts w:ascii="Garamond" w:hAnsi="Garamond"/>
                <w:lang w:val="en-AU"/>
              </w:rPr>
              <w:t xml:space="preserve"> include:</w:t>
            </w:r>
          </w:p>
          <w:p w:rsidR="003F6E6A" w:rsidRPr="006545ED" w:rsidRDefault="003F6E6A" w:rsidP="006B3922">
            <w:pPr>
              <w:pStyle w:val="ListParagraph"/>
              <w:numPr>
                <w:ilvl w:val="0"/>
                <w:numId w:val="21"/>
              </w:numPr>
              <w:rPr>
                <w:rFonts w:ascii="Garamond" w:hAnsi="Garamond"/>
                <w:lang w:val="en-AU"/>
              </w:rPr>
            </w:pPr>
            <w:r w:rsidRPr="006545ED">
              <w:rPr>
                <w:rFonts w:ascii="Garamond" w:hAnsi="Garamond"/>
                <w:lang w:val="en-AU"/>
              </w:rPr>
              <w:t>Editorial</w:t>
            </w:r>
            <w:r w:rsidR="006545ED" w:rsidRPr="006545ED">
              <w:rPr>
                <w:rFonts w:ascii="Garamond" w:hAnsi="Garamond"/>
                <w:lang w:val="en-AU"/>
              </w:rPr>
              <w:t xml:space="preserve">: </w:t>
            </w:r>
            <w:r w:rsidRPr="006545ED">
              <w:rPr>
                <w:rFonts w:ascii="Garamond" w:hAnsi="Garamond"/>
                <w:lang w:val="en-AU"/>
              </w:rPr>
              <w:t xml:space="preserve">PHRP celebrates 3 years of </w:t>
            </w:r>
            <w:r w:rsidRPr="006B3922">
              <w:rPr>
                <w:rFonts w:ascii="Garamond" w:hAnsi="Garamond"/>
                <w:b/>
                <w:lang w:val="en-AU"/>
              </w:rPr>
              <w:t>supporting public health policy and practice</w:t>
            </w:r>
            <w:r w:rsidR="006545ED" w:rsidRPr="006545ED">
              <w:rPr>
                <w:rFonts w:ascii="Garamond" w:hAnsi="Garamond"/>
                <w:lang w:val="en-AU"/>
              </w:rPr>
              <w:t xml:space="preserve"> (</w:t>
            </w:r>
            <w:r w:rsidRPr="006545ED">
              <w:rPr>
                <w:rFonts w:ascii="Garamond" w:hAnsi="Garamond"/>
                <w:lang w:val="en-AU"/>
              </w:rPr>
              <w:t>Don Nutbeam</w:t>
            </w:r>
            <w:r w:rsidR="006545ED">
              <w:rPr>
                <w:rFonts w:ascii="Garamond" w:hAnsi="Garamond"/>
                <w:lang w:val="en-AU"/>
              </w:rPr>
              <w:t>)</w:t>
            </w:r>
          </w:p>
          <w:p w:rsidR="003F6E6A" w:rsidRPr="006545ED" w:rsidRDefault="003F6E6A" w:rsidP="006B3922">
            <w:pPr>
              <w:pStyle w:val="ListParagraph"/>
              <w:numPr>
                <w:ilvl w:val="0"/>
                <w:numId w:val="21"/>
              </w:numPr>
              <w:rPr>
                <w:rFonts w:ascii="Garamond" w:hAnsi="Garamond"/>
                <w:lang w:val="en-AU"/>
              </w:rPr>
            </w:pPr>
            <w:r w:rsidRPr="006545ED">
              <w:rPr>
                <w:rFonts w:ascii="Garamond" w:hAnsi="Garamond"/>
                <w:lang w:val="en-AU"/>
              </w:rPr>
              <w:t xml:space="preserve">Live and trending: the next step for </w:t>
            </w:r>
            <w:r w:rsidRPr="006B3922">
              <w:rPr>
                <w:rFonts w:ascii="Garamond" w:hAnsi="Garamond"/>
                <w:b/>
                <w:lang w:val="en-AU"/>
              </w:rPr>
              <w:t>public health campaigns</w:t>
            </w:r>
            <w:r w:rsidRPr="006545ED">
              <w:rPr>
                <w:rFonts w:ascii="Garamond" w:hAnsi="Garamond"/>
                <w:lang w:val="en-AU"/>
              </w:rPr>
              <w:t>?</w:t>
            </w:r>
            <w:r w:rsidR="006545ED" w:rsidRPr="006545ED">
              <w:rPr>
                <w:rFonts w:ascii="Garamond" w:hAnsi="Garamond"/>
                <w:lang w:val="en-AU"/>
              </w:rPr>
              <w:t xml:space="preserve"> (</w:t>
            </w:r>
            <w:r w:rsidRPr="006545ED">
              <w:rPr>
                <w:rFonts w:ascii="Garamond" w:hAnsi="Garamond"/>
                <w:lang w:val="en-AU"/>
              </w:rPr>
              <w:t>Dheepa Jeyapalan, Amy Jo Vassallo and Becky Freeman</w:t>
            </w:r>
            <w:r w:rsidR="006545ED">
              <w:rPr>
                <w:rFonts w:ascii="Garamond" w:hAnsi="Garamond"/>
                <w:lang w:val="en-AU"/>
              </w:rPr>
              <w:t>)</w:t>
            </w:r>
          </w:p>
          <w:p w:rsidR="003F6E6A" w:rsidRPr="006545ED" w:rsidRDefault="003F6E6A" w:rsidP="006B3922">
            <w:pPr>
              <w:pStyle w:val="ListParagraph"/>
              <w:numPr>
                <w:ilvl w:val="0"/>
                <w:numId w:val="21"/>
              </w:numPr>
              <w:rPr>
                <w:rFonts w:ascii="Garamond" w:hAnsi="Garamond"/>
                <w:lang w:val="en-AU"/>
              </w:rPr>
            </w:pPr>
            <w:r w:rsidRPr="006545ED">
              <w:rPr>
                <w:rFonts w:ascii="Garamond" w:hAnsi="Garamond"/>
                <w:lang w:val="en-AU"/>
              </w:rPr>
              <w:lastRenderedPageBreak/>
              <w:t xml:space="preserve">Deadly progress: changes in Australian </w:t>
            </w:r>
            <w:r w:rsidRPr="006B3922">
              <w:rPr>
                <w:rFonts w:ascii="Garamond" w:hAnsi="Garamond"/>
                <w:b/>
                <w:lang w:val="en-AU"/>
              </w:rPr>
              <w:t>Aboriginal and Torres Strait Islander adult daily smoking</w:t>
            </w:r>
            <w:r w:rsidRPr="006545ED">
              <w:rPr>
                <w:rFonts w:ascii="Garamond" w:hAnsi="Garamond"/>
                <w:lang w:val="en-AU"/>
              </w:rPr>
              <w:t>, 2004–2015</w:t>
            </w:r>
            <w:r w:rsidR="006545ED" w:rsidRPr="006545ED">
              <w:rPr>
                <w:rFonts w:ascii="Garamond" w:hAnsi="Garamond"/>
                <w:lang w:val="en-AU"/>
              </w:rPr>
              <w:t xml:space="preserve"> (</w:t>
            </w:r>
            <w:r w:rsidRPr="006545ED">
              <w:rPr>
                <w:rFonts w:ascii="Garamond" w:hAnsi="Garamond"/>
                <w:lang w:val="en-AU"/>
              </w:rPr>
              <w:t>Raymond Lovett, Katherine A Thurber, Alyson Wright, Raglan Maddox and Emily Banks</w:t>
            </w:r>
            <w:r w:rsidR="006545ED">
              <w:rPr>
                <w:rFonts w:ascii="Garamond" w:hAnsi="Garamond"/>
                <w:lang w:val="en-AU"/>
              </w:rPr>
              <w:t>)</w:t>
            </w:r>
          </w:p>
          <w:p w:rsidR="003F6E6A" w:rsidRPr="006545ED" w:rsidRDefault="003F6E6A" w:rsidP="006B3922">
            <w:pPr>
              <w:pStyle w:val="ListParagraph"/>
              <w:numPr>
                <w:ilvl w:val="0"/>
                <w:numId w:val="21"/>
              </w:numPr>
              <w:rPr>
                <w:rFonts w:ascii="Garamond" w:hAnsi="Garamond"/>
                <w:lang w:val="en-AU"/>
              </w:rPr>
            </w:pPr>
            <w:r w:rsidRPr="006545ED">
              <w:rPr>
                <w:rFonts w:ascii="Garamond" w:hAnsi="Garamond"/>
                <w:lang w:val="en-AU"/>
              </w:rPr>
              <w:t xml:space="preserve">Support for </w:t>
            </w:r>
            <w:r w:rsidRPr="006B3922">
              <w:rPr>
                <w:rFonts w:ascii="Garamond" w:hAnsi="Garamond"/>
                <w:b/>
                <w:lang w:val="en-AU"/>
              </w:rPr>
              <w:t>food policy initiatives</w:t>
            </w:r>
            <w:r w:rsidRPr="006545ED">
              <w:rPr>
                <w:rFonts w:ascii="Garamond" w:hAnsi="Garamond"/>
                <w:lang w:val="en-AU"/>
              </w:rPr>
              <w:t xml:space="preserve"> is associated with knowledge of obesity-related cancer risk factors</w:t>
            </w:r>
            <w:r w:rsidR="006545ED" w:rsidRPr="006545ED">
              <w:rPr>
                <w:rFonts w:ascii="Garamond" w:hAnsi="Garamond"/>
                <w:lang w:val="en-AU"/>
              </w:rPr>
              <w:t xml:space="preserve"> (</w:t>
            </w:r>
            <w:r w:rsidRPr="006545ED">
              <w:rPr>
                <w:rFonts w:ascii="Garamond" w:hAnsi="Garamond"/>
                <w:lang w:val="en-AU"/>
              </w:rPr>
              <w:t>Wendy Watson, Marianne Weber, Clare Hughes, Lyndal Wellard and Kathryn Chapman</w:t>
            </w:r>
            <w:r w:rsidR="006545ED">
              <w:rPr>
                <w:rFonts w:ascii="Garamond" w:hAnsi="Garamond"/>
                <w:lang w:val="en-AU"/>
              </w:rPr>
              <w:t>)</w:t>
            </w:r>
          </w:p>
          <w:p w:rsidR="003F6E6A" w:rsidRPr="006545ED" w:rsidRDefault="003F6E6A" w:rsidP="006B3922">
            <w:pPr>
              <w:pStyle w:val="ListParagraph"/>
              <w:numPr>
                <w:ilvl w:val="0"/>
                <w:numId w:val="21"/>
              </w:numPr>
              <w:rPr>
                <w:rFonts w:ascii="Garamond" w:hAnsi="Garamond"/>
                <w:lang w:val="en-AU"/>
              </w:rPr>
            </w:pPr>
            <w:r w:rsidRPr="006545ED">
              <w:rPr>
                <w:rFonts w:ascii="Garamond" w:hAnsi="Garamond"/>
                <w:lang w:val="en-AU"/>
              </w:rPr>
              <w:t xml:space="preserve">Retrospective comparison of Australia’s Pharmaceutical Benefits Scheme claims data with prescription data in </w:t>
            </w:r>
            <w:r w:rsidRPr="006B3922">
              <w:rPr>
                <w:rFonts w:ascii="Garamond" w:hAnsi="Garamond"/>
                <w:b/>
                <w:lang w:val="en-AU"/>
              </w:rPr>
              <w:t>HER2-positive early breast cancer patients</w:t>
            </w:r>
            <w:r w:rsidRPr="006545ED">
              <w:rPr>
                <w:rFonts w:ascii="Garamond" w:hAnsi="Garamond"/>
                <w:lang w:val="en-AU"/>
              </w:rPr>
              <w:t>, 2008–2012</w:t>
            </w:r>
            <w:r w:rsidR="006545ED" w:rsidRPr="006545ED">
              <w:rPr>
                <w:rFonts w:ascii="Garamond" w:hAnsi="Garamond"/>
                <w:lang w:val="en-AU"/>
              </w:rPr>
              <w:t xml:space="preserve"> (</w:t>
            </w:r>
            <w:r w:rsidRPr="006545ED">
              <w:rPr>
                <w:rFonts w:ascii="Garamond" w:hAnsi="Garamond"/>
                <w:lang w:val="en-AU"/>
              </w:rPr>
              <w:t>Carole A Harris, Benjamin Daniels, Robyn L Ward and Sallie-Anne Pearson</w:t>
            </w:r>
            <w:r w:rsidR="006545ED">
              <w:rPr>
                <w:rFonts w:ascii="Garamond" w:hAnsi="Garamond"/>
                <w:lang w:val="en-AU"/>
              </w:rPr>
              <w:t>)</w:t>
            </w:r>
          </w:p>
          <w:p w:rsidR="003F6E6A" w:rsidRPr="006545ED" w:rsidRDefault="003F6E6A" w:rsidP="006B3922">
            <w:pPr>
              <w:pStyle w:val="ListParagraph"/>
              <w:numPr>
                <w:ilvl w:val="0"/>
                <w:numId w:val="21"/>
              </w:numPr>
              <w:rPr>
                <w:rFonts w:ascii="Garamond" w:hAnsi="Garamond"/>
                <w:lang w:val="en-AU"/>
              </w:rPr>
            </w:pPr>
            <w:r w:rsidRPr="006545ED">
              <w:rPr>
                <w:rFonts w:ascii="Garamond" w:hAnsi="Garamond"/>
                <w:lang w:val="en-AU"/>
              </w:rPr>
              <w:t xml:space="preserve">Comparison of recording of </w:t>
            </w:r>
            <w:r w:rsidRPr="006B3922">
              <w:rPr>
                <w:rFonts w:ascii="Garamond" w:hAnsi="Garamond"/>
                <w:b/>
                <w:lang w:val="en-AU"/>
              </w:rPr>
              <w:t>hepatitis B</w:t>
            </w:r>
            <w:r w:rsidRPr="006545ED">
              <w:rPr>
                <w:rFonts w:ascii="Garamond" w:hAnsi="Garamond"/>
                <w:lang w:val="en-AU"/>
              </w:rPr>
              <w:t xml:space="preserve"> infection in the NSW Perinatal Data Collection with linked hepatitis B notifications</w:t>
            </w:r>
            <w:r w:rsidR="006545ED" w:rsidRPr="006545ED">
              <w:rPr>
                <w:rFonts w:ascii="Garamond" w:hAnsi="Garamond"/>
                <w:lang w:val="en-AU"/>
              </w:rPr>
              <w:t xml:space="preserve"> (</w:t>
            </w:r>
            <w:r w:rsidRPr="006545ED">
              <w:rPr>
                <w:rFonts w:ascii="Garamond" w:hAnsi="Garamond"/>
                <w:lang w:val="en-AU"/>
              </w:rPr>
              <w:t>Lucy Deng, Joanne Reekie, Andrew Hayen, Marlene Kong, John M Kaldor, James Ward and Bette Liu</w:t>
            </w:r>
            <w:r w:rsidR="006545ED">
              <w:rPr>
                <w:rFonts w:ascii="Garamond" w:hAnsi="Garamond"/>
                <w:lang w:val="en-AU"/>
              </w:rPr>
              <w:t>)</w:t>
            </w:r>
          </w:p>
          <w:p w:rsidR="003F6E6A" w:rsidRPr="006545ED" w:rsidRDefault="003F6E6A" w:rsidP="006B3922">
            <w:pPr>
              <w:pStyle w:val="ListParagraph"/>
              <w:numPr>
                <w:ilvl w:val="0"/>
                <w:numId w:val="21"/>
              </w:numPr>
              <w:rPr>
                <w:rFonts w:ascii="Garamond" w:hAnsi="Garamond"/>
                <w:lang w:val="en-AU"/>
              </w:rPr>
            </w:pPr>
            <w:r w:rsidRPr="006B3922">
              <w:rPr>
                <w:rFonts w:ascii="Garamond" w:hAnsi="Garamond"/>
                <w:b/>
                <w:lang w:val="en-AU"/>
              </w:rPr>
              <w:t>Non-intentional farm injury fatalities</w:t>
            </w:r>
            <w:r w:rsidRPr="006545ED">
              <w:rPr>
                <w:rFonts w:ascii="Garamond" w:hAnsi="Garamond"/>
                <w:lang w:val="en-AU"/>
              </w:rPr>
              <w:t xml:space="preserve"> in NSW, Australia, 2001–2015 </w:t>
            </w:r>
            <w:r w:rsidR="006545ED" w:rsidRPr="006545ED">
              <w:rPr>
                <w:rFonts w:ascii="Garamond" w:hAnsi="Garamond"/>
                <w:lang w:val="en-AU"/>
              </w:rPr>
              <w:t>(</w:t>
            </w:r>
            <w:r w:rsidRPr="006545ED">
              <w:rPr>
                <w:rFonts w:ascii="Garamond" w:hAnsi="Garamond"/>
                <w:lang w:val="en-AU"/>
              </w:rPr>
              <w:t>Tony Lower, Margaret Rolfe and Noeline Monaghan</w:t>
            </w:r>
            <w:r w:rsidR="006545ED">
              <w:rPr>
                <w:rFonts w:ascii="Garamond" w:hAnsi="Garamond"/>
                <w:lang w:val="en-AU"/>
              </w:rPr>
              <w:t>)</w:t>
            </w:r>
          </w:p>
          <w:p w:rsidR="003F6E6A" w:rsidRPr="006545ED" w:rsidRDefault="003F6E6A" w:rsidP="006B3922">
            <w:pPr>
              <w:pStyle w:val="ListParagraph"/>
              <w:numPr>
                <w:ilvl w:val="0"/>
                <w:numId w:val="21"/>
              </w:numPr>
              <w:rPr>
                <w:rFonts w:ascii="Garamond" w:hAnsi="Garamond"/>
                <w:lang w:val="en-AU"/>
              </w:rPr>
            </w:pPr>
            <w:r w:rsidRPr="006545ED">
              <w:rPr>
                <w:rFonts w:ascii="Garamond" w:hAnsi="Garamond"/>
                <w:lang w:val="en-AU"/>
              </w:rPr>
              <w:t xml:space="preserve">Communicating with the public about the risks of </w:t>
            </w:r>
            <w:r w:rsidRPr="006B3922">
              <w:rPr>
                <w:rFonts w:ascii="Garamond" w:hAnsi="Garamond"/>
                <w:b/>
                <w:lang w:val="en-AU"/>
              </w:rPr>
              <w:t>naturally occurring asbestos</w:t>
            </w:r>
            <w:r w:rsidR="006545ED" w:rsidRPr="006545ED">
              <w:rPr>
                <w:rFonts w:ascii="Garamond" w:hAnsi="Garamond"/>
                <w:lang w:val="en-AU"/>
              </w:rPr>
              <w:t xml:space="preserve"> (</w:t>
            </w:r>
            <w:r w:rsidRPr="006545ED">
              <w:rPr>
                <w:rFonts w:ascii="Garamond" w:hAnsi="Garamond"/>
                <w:lang w:val="en-AU"/>
              </w:rPr>
              <w:t>Claire Hooker, Adam Capon and Isabel MR Hess</w:t>
            </w:r>
            <w:r w:rsidR="006545ED">
              <w:rPr>
                <w:rFonts w:ascii="Garamond" w:hAnsi="Garamond"/>
                <w:lang w:val="en-AU"/>
              </w:rPr>
              <w:t>)</w:t>
            </w:r>
          </w:p>
          <w:p w:rsidR="003F6E6A" w:rsidRPr="006545ED" w:rsidRDefault="003F6E6A" w:rsidP="006B3922">
            <w:pPr>
              <w:pStyle w:val="ListParagraph"/>
              <w:numPr>
                <w:ilvl w:val="0"/>
                <w:numId w:val="21"/>
              </w:numPr>
              <w:rPr>
                <w:rFonts w:ascii="Garamond" w:hAnsi="Garamond"/>
                <w:lang w:val="en-AU"/>
              </w:rPr>
            </w:pPr>
            <w:r w:rsidRPr="006545ED">
              <w:rPr>
                <w:rFonts w:ascii="Garamond" w:hAnsi="Garamond"/>
                <w:lang w:val="en-AU"/>
              </w:rPr>
              <w:t xml:space="preserve">Knowledge of </w:t>
            </w:r>
            <w:r w:rsidRPr="006B3922">
              <w:rPr>
                <w:rFonts w:ascii="Garamond" w:hAnsi="Garamond"/>
                <w:b/>
                <w:lang w:val="en-AU"/>
              </w:rPr>
              <w:t>colorectal cancer risk factors and screening</w:t>
            </w:r>
            <w:r w:rsidRPr="006545ED">
              <w:rPr>
                <w:rFonts w:ascii="Garamond" w:hAnsi="Garamond"/>
                <w:lang w:val="en-AU"/>
              </w:rPr>
              <w:t xml:space="preserve"> recommendations: a cross-sectional study of regional Austr</w:t>
            </w:r>
            <w:r w:rsidR="006545ED">
              <w:rPr>
                <w:rFonts w:ascii="Garamond" w:hAnsi="Garamond"/>
                <w:lang w:val="en-AU"/>
              </w:rPr>
              <w:t>alian general practice patients</w:t>
            </w:r>
            <w:r w:rsidR="006545ED" w:rsidRPr="006545ED">
              <w:rPr>
                <w:rFonts w:ascii="Garamond" w:hAnsi="Garamond"/>
                <w:lang w:val="en-AU"/>
              </w:rPr>
              <w:t xml:space="preserve"> (</w:t>
            </w:r>
            <w:r w:rsidRPr="006545ED">
              <w:rPr>
                <w:rFonts w:ascii="Garamond" w:hAnsi="Garamond"/>
                <w:lang w:val="en-AU"/>
              </w:rPr>
              <w:t>Natalie Dodd, Mariko Carey and Elise Mansfield</w:t>
            </w:r>
            <w:r w:rsidR="006545ED">
              <w:rPr>
                <w:rFonts w:ascii="Garamond" w:hAnsi="Garamond"/>
                <w:lang w:val="en-AU"/>
              </w:rPr>
              <w:t>)</w:t>
            </w:r>
          </w:p>
          <w:p w:rsidR="003F6E6A" w:rsidRPr="006545ED" w:rsidRDefault="003F6E6A" w:rsidP="006B3922">
            <w:pPr>
              <w:pStyle w:val="ListParagraph"/>
              <w:numPr>
                <w:ilvl w:val="0"/>
                <w:numId w:val="21"/>
              </w:numPr>
              <w:rPr>
                <w:rFonts w:ascii="Garamond" w:hAnsi="Garamond"/>
                <w:lang w:val="en-AU"/>
              </w:rPr>
            </w:pPr>
            <w:r w:rsidRPr="006545ED">
              <w:rPr>
                <w:rFonts w:ascii="Garamond" w:hAnsi="Garamond"/>
                <w:lang w:val="en-AU"/>
              </w:rPr>
              <w:t xml:space="preserve">Barriers to optimal screening and vaccination of </w:t>
            </w:r>
            <w:r w:rsidRPr="006B3922">
              <w:rPr>
                <w:rFonts w:ascii="Garamond" w:hAnsi="Garamond"/>
                <w:b/>
                <w:lang w:val="en-AU"/>
              </w:rPr>
              <w:t>hepatitis B contacts</w:t>
            </w:r>
            <w:r w:rsidRPr="006545ED">
              <w:rPr>
                <w:rFonts w:ascii="Garamond" w:hAnsi="Garamond"/>
                <w:lang w:val="en-AU"/>
              </w:rPr>
              <w:t>: a survey of general practitioners in NSW, Australia</w:t>
            </w:r>
            <w:r w:rsidR="006545ED" w:rsidRPr="006545ED">
              <w:rPr>
                <w:rFonts w:ascii="Garamond" w:hAnsi="Garamond"/>
                <w:lang w:val="en-AU"/>
              </w:rPr>
              <w:t xml:space="preserve"> (</w:t>
            </w:r>
            <w:r w:rsidRPr="006545ED">
              <w:rPr>
                <w:rFonts w:ascii="Garamond" w:hAnsi="Garamond"/>
                <w:lang w:val="en-AU"/>
              </w:rPr>
              <w:t>Zeina Najjar, Janice Pritchard-Jones, Siaw-Teng Liaw and Leena Gupta</w:t>
            </w:r>
            <w:r w:rsidR="006545ED">
              <w:rPr>
                <w:rFonts w:ascii="Garamond" w:hAnsi="Garamond"/>
                <w:lang w:val="en-AU"/>
              </w:rPr>
              <w:t>)</w:t>
            </w:r>
          </w:p>
          <w:p w:rsidR="003F6E6A" w:rsidRPr="003F6E6A" w:rsidRDefault="003F6E6A" w:rsidP="006B3922">
            <w:pPr>
              <w:pStyle w:val="ListParagraph"/>
              <w:numPr>
                <w:ilvl w:val="0"/>
                <w:numId w:val="21"/>
              </w:numPr>
              <w:rPr>
                <w:rFonts w:ascii="Garamond" w:hAnsi="Garamond"/>
                <w:lang w:val="en-AU"/>
              </w:rPr>
            </w:pPr>
            <w:r w:rsidRPr="006545ED">
              <w:rPr>
                <w:rFonts w:ascii="Garamond" w:hAnsi="Garamond"/>
                <w:lang w:val="en-AU"/>
              </w:rPr>
              <w:t xml:space="preserve">Increased use among GPs of </w:t>
            </w:r>
            <w:r w:rsidRPr="006B3922">
              <w:rPr>
                <w:rFonts w:ascii="Garamond" w:hAnsi="Garamond"/>
                <w:b/>
                <w:lang w:val="en-AU"/>
              </w:rPr>
              <w:t>hepatitis B vaccine</w:t>
            </w:r>
            <w:r w:rsidRPr="006545ED">
              <w:rPr>
                <w:rFonts w:ascii="Garamond" w:hAnsi="Garamond"/>
                <w:lang w:val="en-AU"/>
              </w:rPr>
              <w:t xml:space="preserve"> for priority populations</w:t>
            </w:r>
            <w:r w:rsidR="006545ED" w:rsidRPr="006545ED">
              <w:rPr>
                <w:rFonts w:ascii="Garamond" w:hAnsi="Garamond"/>
                <w:lang w:val="en-AU"/>
              </w:rPr>
              <w:t xml:space="preserve"> (</w:t>
            </w:r>
            <w:r w:rsidRPr="006545ED">
              <w:rPr>
                <w:rFonts w:ascii="Garamond" w:hAnsi="Garamond"/>
                <w:lang w:val="en-AU"/>
              </w:rPr>
              <w:t>Vicky Sheppeard</w:t>
            </w:r>
            <w:r w:rsidR="006545ED">
              <w:rPr>
                <w:rFonts w:ascii="Garamond" w:hAnsi="Garamond"/>
                <w:lang w:val="en-AU"/>
              </w:rPr>
              <w:t>)</w:t>
            </w:r>
          </w:p>
        </w:tc>
      </w:tr>
    </w:tbl>
    <w:p w:rsidR="003F6E6A" w:rsidRDefault="003F6E6A" w:rsidP="00A44A1F">
      <w:pPr>
        <w:keepLines/>
        <w:autoSpaceDE w:val="0"/>
        <w:autoSpaceDN w:val="0"/>
        <w:adjustRightInd w:val="0"/>
        <w:rPr>
          <w:rFonts w:ascii="Garamond" w:hAnsi="Garamond"/>
          <w:lang w:val="en-AU"/>
        </w:rPr>
      </w:pPr>
    </w:p>
    <w:p w:rsidR="00E530B7" w:rsidRPr="00E530B7" w:rsidRDefault="00E530B7" w:rsidP="00A44A1F">
      <w:pPr>
        <w:keepLines/>
        <w:autoSpaceDE w:val="0"/>
        <w:autoSpaceDN w:val="0"/>
        <w:adjustRightInd w:val="0"/>
        <w:rPr>
          <w:rFonts w:ascii="Garamond" w:hAnsi="Garamond"/>
          <w:i/>
          <w:lang w:val="en-AU"/>
        </w:rPr>
      </w:pPr>
      <w:r w:rsidRPr="00E530B7">
        <w:rPr>
          <w:rFonts w:ascii="Garamond" w:hAnsi="Garamond"/>
          <w:i/>
          <w:lang w:val="en-AU"/>
        </w:rPr>
        <w:t>Health Affairs</w:t>
      </w:r>
    </w:p>
    <w:p w:rsidR="001A394D" w:rsidRDefault="001A394D" w:rsidP="001A394D">
      <w:pPr>
        <w:keepLines/>
        <w:autoSpaceDE w:val="0"/>
        <w:autoSpaceDN w:val="0"/>
        <w:adjustRightInd w:val="0"/>
        <w:rPr>
          <w:rFonts w:ascii="Garamond" w:hAnsi="Garamond"/>
          <w:lang w:val="en-AU"/>
        </w:rPr>
      </w:pPr>
      <w:r w:rsidRPr="001A394D">
        <w:rPr>
          <w:rFonts w:ascii="Garamond" w:hAnsi="Garamond"/>
          <w:lang w:val="en-AU"/>
        </w:rPr>
        <w:t>Volume: 36, Number: 12 (December 2017)</w:t>
      </w:r>
    </w:p>
    <w:tbl>
      <w:tblPr>
        <w:tblStyle w:val="TableGrid"/>
        <w:tblW w:w="0" w:type="auto"/>
        <w:tblInd w:w="288" w:type="dxa"/>
        <w:tblLayout w:type="fixed"/>
        <w:tblLook w:val="01E0" w:firstRow="1" w:lastRow="1" w:firstColumn="1" w:lastColumn="1" w:noHBand="0" w:noVBand="0"/>
      </w:tblPr>
      <w:tblGrid>
        <w:gridCol w:w="1080"/>
        <w:gridCol w:w="8280"/>
      </w:tblGrid>
      <w:tr w:rsidR="00E530B7"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E530B7" w:rsidRPr="000170DA" w:rsidRDefault="00E530B7" w:rsidP="0030768C">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530B7" w:rsidRPr="000170DA" w:rsidRDefault="00F95090" w:rsidP="0030768C">
            <w:pPr>
              <w:rPr>
                <w:rStyle w:val="Hyperlink"/>
                <w:rFonts w:ascii="Garamond" w:hAnsi="Garamond"/>
                <w:color w:val="auto"/>
                <w:u w:val="none"/>
                <w:lang w:val="en-AU"/>
              </w:rPr>
            </w:pPr>
            <w:hyperlink r:id="rId40" w:history="1">
              <w:r w:rsidR="003E04D4" w:rsidRPr="0065129B">
                <w:rPr>
                  <w:rStyle w:val="Hyperlink"/>
                  <w:rFonts w:ascii="Garamond" w:hAnsi="Garamond"/>
                  <w:lang w:val="en-AU"/>
                </w:rPr>
                <w:t>https://www.healthaffairs.org/toc/hlthaff/36/12</w:t>
              </w:r>
            </w:hyperlink>
          </w:p>
        </w:tc>
      </w:tr>
      <w:tr w:rsidR="00E530B7"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E530B7" w:rsidRPr="000170DA" w:rsidRDefault="00E530B7" w:rsidP="0030768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530B7" w:rsidRDefault="001A394D" w:rsidP="0030768C">
            <w:pPr>
              <w:rPr>
                <w:rFonts w:ascii="Garamond" w:hAnsi="Garamond"/>
                <w:lang w:val="en-AU"/>
              </w:rPr>
            </w:pPr>
            <w:r w:rsidRPr="001A394D">
              <w:rPr>
                <w:rFonts w:ascii="Garamond" w:hAnsi="Garamond"/>
                <w:lang w:val="en-AU"/>
              </w:rPr>
              <w:t xml:space="preserve">A new issue of </w:t>
            </w:r>
            <w:r w:rsidRPr="00DB51E4">
              <w:rPr>
                <w:rFonts w:ascii="Garamond" w:hAnsi="Garamond"/>
                <w:i/>
                <w:lang w:val="en-AU"/>
              </w:rPr>
              <w:t>Health Affairs</w:t>
            </w:r>
            <w:r w:rsidRPr="001A394D">
              <w:rPr>
                <w:rFonts w:ascii="Garamond" w:hAnsi="Garamond"/>
                <w:lang w:val="en-AU"/>
              </w:rPr>
              <w:t xml:space="preserve"> has been published, with the focus ‘Behavioral Health, Provider Payment &amp; More’. Articles in this issue of </w:t>
            </w:r>
            <w:r w:rsidRPr="00DB51E4">
              <w:rPr>
                <w:rFonts w:ascii="Garamond" w:hAnsi="Garamond"/>
                <w:i/>
                <w:lang w:val="en-AU"/>
              </w:rPr>
              <w:t>Health Affairs</w:t>
            </w:r>
            <w:r w:rsidRPr="001A394D">
              <w:rPr>
                <w:rFonts w:ascii="Garamond" w:hAnsi="Garamond"/>
                <w:lang w:val="en-AU"/>
              </w:rPr>
              <w:t xml:space="preserve"> include:</w:t>
            </w:r>
          </w:p>
          <w:p w:rsidR="001A394D" w:rsidRPr="001A394D" w:rsidRDefault="001A394D" w:rsidP="006B3922">
            <w:pPr>
              <w:pStyle w:val="ListParagraph"/>
              <w:numPr>
                <w:ilvl w:val="0"/>
                <w:numId w:val="19"/>
              </w:numPr>
              <w:rPr>
                <w:rFonts w:ascii="Garamond" w:hAnsi="Garamond"/>
                <w:lang w:val="en-AU"/>
              </w:rPr>
            </w:pPr>
            <w:r w:rsidRPr="001A394D">
              <w:rPr>
                <w:rFonts w:ascii="Garamond" w:hAnsi="Garamond"/>
                <w:lang w:val="en-AU"/>
              </w:rPr>
              <w:t xml:space="preserve">To </w:t>
            </w:r>
            <w:r w:rsidRPr="001A394D">
              <w:rPr>
                <w:rFonts w:ascii="Garamond" w:hAnsi="Garamond"/>
                <w:b/>
                <w:lang w:val="en-AU"/>
              </w:rPr>
              <w:t>Keep Patients</w:t>
            </w:r>
            <w:r w:rsidRPr="001A394D">
              <w:rPr>
                <w:rFonts w:ascii="Garamond" w:hAnsi="Garamond"/>
                <w:lang w:val="en-AU"/>
              </w:rPr>
              <w:t>, Some Physicians Get Creative (</w:t>
            </w:r>
            <w:r>
              <w:rPr>
                <w:rFonts w:ascii="Garamond" w:hAnsi="Garamond"/>
                <w:lang w:val="en-AU"/>
              </w:rPr>
              <w:t>Charlotte Huff)</w:t>
            </w:r>
          </w:p>
          <w:p w:rsidR="001A394D" w:rsidRPr="001A394D" w:rsidRDefault="001A394D" w:rsidP="006B3922">
            <w:pPr>
              <w:pStyle w:val="ListParagraph"/>
              <w:numPr>
                <w:ilvl w:val="0"/>
                <w:numId w:val="19"/>
              </w:numPr>
              <w:rPr>
                <w:rFonts w:ascii="Garamond" w:hAnsi="Garamond"/>
                <w:lang w:val="en-AU"/>
              </w:rPr>
            </w:pPr>
            <w:r w:rsidRPr="001A394D">
              <w:rPr>
                <w:rFonts w:ascii="Garamond" w:hAnsi="Garamond"/>
                <w:lang w:val="en-AU"/>
              </w:rPr>
              <w:t xml:space="preserve">Only One In Twenty Justice-Referred Adults In Specialty </w:t>
            </w:r>
            <w:r w:rsidRPr="001A394D">
              <w:rPr>
                <w:rFonts w:ascii="Garamond" w:hAnsi="Garamond"/>
                <w:b/>
                <w:lang w:val="en-AU"/>
              </w:rPr>
              <w:t>Treatment For Opioid Use</w:t>
            </w:r>
            <w:r w:rsidRPr="001A394D">
              <w:rPr>
                <w:rFonts w:ascii="Garamond" w:hAnsi="Garamond"/>
                <w:lang w:val="en-AU"/>
              </w:rPr>
              <w:t xml:space="preserve"> Receive Methadone Or Buprenorphine (Noa Krawczyk, Caroline E. Picher, Kennet</w:t>
            </w:r>
            <w:r>
              <w:rPr>
                <w:rFonts w:ascii="Garamond" w:hAnsi="Garamond"/>
                <w:lang w:val="en-AU"/>
              </w:rPr>
              <w:t>h A. Feder, and Brendan Saloner)</w:t>
            </w:r>
          </w:p>
          <w:p w:rsidR="001A394D" w:rsidRPr="001A394D" w:rsidRDefault="001A394D" w:rsidP="006B3922">
            <w:pPr>
              <w:pStyle w:val="ListParagraph"/>
              <w:numPr>
                <w:ilvl w:val="0"/>
                <w:numId w:val="19"/>
              </w:numPr>
              <w:rPr>
                <w:rFonts w:ascii="Garamond" w:hAnsi="Garamond"/>
                <w:lang w:val="en-AU"/>
              </w:rPr>
            </w:pPr>
            <w:r w:rsidRPr="001A394D">
              <w:rPr>
                <w:rFonts w:ascii="Garamond" w:hAnsi="Garamond"/>
                <w:b/>
                <w:lang w:val="en-AU"/>
              </w:rPr>
              <w:t>Mortality</w:t>
            </w:r>
            <w:r w:rsidRPr="001A394D">
              <w:rPr>
                <w:rFonts w:ascii="Garamond" w:hAnsi="Garamond"/>
                <w:lang w:val="en-AU"/>
              </w:rPr>
              <w:t xml:space="preserve"> Quadrupled Among </w:t>
            </w:r>
            <w:r w:rsidRPr="001A394D">
              <w:rPr>
                <w:rFonts w:ascii="Garamond" w:hAnsi="Garamond"/>
                <w:b/>
                <w:lang w:val="en-AU"/>
              </w:rPr>
              <w:t>Opioid-Driven Hospitalizations</w:t>
            </w:r>
            <w:r w:rsidRPr="001A394D">
              <w:rPr>
                <w:rFonts w:ascii="Garamond" w:hAnsi="Garamond"/>
                <w:lang w:val="en-AU"/>
              </w:rPr>
              <w:t>, Notably Within Lower-Income And Disabled White Populations (</w:t>
            </w:r>
            <w:r>
              <w:rPr>
                <w:rFonts w:ascii="Garamond" w:hAnsi="Garamond"/>
                <w:lang w:val="en-AU"/>
              </w:rPr>
              <w:t>Zirui Song)</w:t>
            </w:r>
          </w:p>
          <w:p w:rsidR="001A394D" w:rsidRPr="001A394D" w:rsidRDefault="001A394D" w:rsidP="006B3922">
            <w:pPr>
              <w:pStyle w:val="ListParagraph"/>
              <w:numPr>
                <w:ilvl w:val="0"/>
                <w:numId w:val="19"/>
              </w:numPr>
              <w:rPr>
                <w:rFonts w:ascii="Garamond" w:hAnsi="Garamond"/>
                <w:lang w:val="en-AU"/>
              </w:rPr>
            </w:pPr>
            <w:r w:rsidRPr="001A394D">
              <w:rPr>
                <w:rFonts w:ascii="Garamond" w:hAnsi="Garamond"/>
                <w:lang w:val="en-AU"/>
              </w:rPr>
              <w:t xml:space="preserve">National Trends In Specialty </w:t>
            </w:r>
            <w:r w:rsidRPr="001A394D">
              <w:rPr>
                <w:rFonts w:ascii="Garamond" w:hAnsi="Garamond"/>
                <w:b/>
                <w:lang w:val="en-AU"/>
              </w:rPr>
              <w:t>Outpatient Mental Health Care</w:t>
            </w:r>
            <w:r w:rsidRPr="001A394D">
              <w:rPr>
                <w:rFonts w:ascii="Garamond" w:hAnsi="Garamond"/>
                <w:lang w:val="en-AU"/>
              </w:rPr>
              <w:t xml:space="preserve"> Among Adults (Beth Han, Mark Olfson, </w:t>
            </w:r>
            <w:r>
              <w:rPr>
                <w:rFonts w:ascii="Garamond" w:hAnsi="Garamond"/>
                <w:lang w:val="en-AU"/>
              </w:rPr>
              <w:t>Larke Huang, and Ramin Mojtabai)</w:t>
            </w:r>
          </w:p>
          <w:p w:rsidR="001A394D" w:rsidRPr="001A394D" w:rsidRDefault="001A394D" w:rsidP="006B3922">
            <w:pPr>
              <w:pStyle w:val="ListParagraph"/>
              <w:numPr>
                <w:ilvl w:val="0"/>
                <w:numId w:val="19"/>
              </w:numPr>
              <w:rPr>
                <w:rFonts w:ascii="Garamond" w:hAnsi="Garamond"/>
                <w:lang w:val="en-AU"/>
              </w:rPr>
            </w:pPr>
            <w:r w:rsidRPr="001A394D">
              <w:rPr>
                <w:rFonts w:ascii="Garamond" w:hAnsi="Garamond"/>
                <w:b/>
                <w:lang w:val="en-AU"/>
              </w:rPr>
              <w:t>Medicare ACO</w:t>
            </w:r>
            <w:r w:rsidRPr="001A394D">
              <w:rPr>
                <w:rFonts w:ascii="Garamond" w:hAnsi="Garamond"/>
                <w:lang w:val="en-AU"/>
              </w:rPr>
              <w:t xml:space="preserve"> Program Savings Not Tied To </w:t>
            </w:r>
            <w:r w:rsidRPr="001A394D">
              <w:rPr>
                <w:rFonts w:ascii="Garamond" w:hAnsi="Garamond"/>
                <w:b/>
                <w:lang w:val="en-AU"/>
              </w:rPr>
              <w:t xml:space="preserve">Preventable Hospitalizations </w:t>
            </w:r>
            <w:r w:rsidRPr="001A394D">
              <w:rPr>
                <w:rFonts w:ascii="Garamond" w:hAnsi="Garamond"/>
                <w:lang w:val="en-AU"/>
              </w:rPr>
              <w:t>Or Concentrated Among High-Risk Patients (J Michael McWilliams, Michael E</w:t>
            </w:r>
            <w:r>
              <w:rPr>
                <w:rFonts w:ascii="Garamond" w:hAnsi="Garamond"/>
                <w:lang w:val="en-AU"/>
              </w:rPr>
              <w:t xml:space="preserve"> Chernew, and Bruce E</w:t>
            </w:r>
            <w:r w:rsidRPr="001A394D">
              <w:rPr>
                <w:rFonts w:ascii="Garamond" w:hAnsi="Garamond"/>
                <w:lang w:val="en-AU"/>
              </w:rPr>
              <w:t xml:space="preserve"> Landon)</w:t>
            </w:r>
          </w:p>
          <w:p w:rsidR="001A394D" w:rsidRPr="001A394D" w:rsidRDefault="001A394D" w:rsidP="006B3922">
            <w:pPr>
              <w:pStyle w:val="ListParagraph"/>
              <w:numPr>
                <w:ilvl w:val="0"/>
                <w:numId w:val="19"/>
              </w:numPr>
              <w:rPr>
                <w:rFonts w:ascii="Garamond" w:hAnsi="Garamond"/>
                <w:lang w:val="en-AU"/>
              </w:rPr>
            </w:pPr>
            <w:r w:rsidRPr="001A394D">
              <w:rPr>
                <w:rFonts w:ascii="Garamond" w:hAnsi="Garamond"/>
                <w:lang w:val="en-AU"/>
              </w:rPr>
              <w:t xml:space="preserve">Comparing The Effects Of </w:t>
            </w:r>
            <w:r w:rsidRPr="001A394D">
              <w:rPr>
                <w:rFonts w:ascii="Garamond" w:hAnsi="Garamond"/>
                <w:b/>
                <w:lang w:val="en-AU"/>
              </w:rPr>
              <w:t>Reference Pricing</w:t>
            </w:r>
            <w:r w:rsidRPr="001A394D">
              <w:rPr>
                <w:rFonts w:ascii="Garamond" w:hAnsi="Garamond"/>
                <w:lang w:val="en-AU"/>
              </w:rPr>
              <w:t xml:space="preserve"> And Centers-Of-Excellence Approaches To </w:t>
            </w:r>
            <w:r w:rsidRPr="001A394D">
              <w:rPr>
                <w:rFonts w:ascii="Garamond" w:hAnsi="Garamond"/>
                <w:b/>
                <w:lang w:val="en-AU"/>
              </w:rPr>
              <w:t>Value-Based Benefit Design</w:t>
            </w:r>
            <w:r w:rsidRPr="001A394D">
              <w:rPr>
                <w:rFonts w:ascii="Garamond" w:hAnsi="Garamond"/>
                <w:lang w:val="en-AU"/>
              </w:rPr>
              <w:t xml:space="preserve"> (Hui Zhang, Davi</w:t>
            </w:r>
            <w:r>
              <w:rPr>
                <w:rFonts w:ascii="Garamond" w:hAnsi="Garamond"/>
                <w:lang w:val="en-AU"/>
              </w:rPr>
              <w:t>d W Cowling, and Matthew Facer)</w:t>
            </w:r>
          </w:p>
          <w:p w:rsidR="001A394D" w:rsidRPr="001A394D" w:rsidRDefault="001A394D" w:rsidP="006B3922">
            <w:pPr>
              <w:pStyle w:val="ListParagraph"/>
              <w:numPr>
                <w:ilvl w:val="0"/>
                <w:numId w:val="19"/>
              </w:numPr>
              <w:rPr>
                <w:rFonts w:ascii="Garamond" w:hAnsi="Garamond"/>
                <w:lang w:val="en-AU"/>
              </w:rPr>
            </w:pPr>
            <w:r w:rsidRPr="001A394D">
              <w:rPr>
                <w:rFonts w:ascii="Garamond" w:hAnsi="Garamond"/>
                <w:lang w:val="en-AU"/>
              </w:rPr>
              <w:t xml:space="preserve">The </w:t>
            </w:r>
            <w:r w:rsidRPr="001A394D">
              <w:rPr>
                <w:rFonts w:ascii="Garamond" w:hAnsi="Garamond"/>
                <w:b/>
                <w:lang w:val="en-AU"/>
              </w:rPr>
              <w:t>Uninsured</w:t>
            </w:r>
            <w:r w:rsidRPr="001A394D">
              <w:rPr>
                <w:rFonts w:ascii="Garamond" w:hAnsi="Garamond"/>
                <w:lang w:val="en-AU"/>
              </w:rPr>
              <w:t xml:space="preserve"> Do Not Use The </w:t>
            </w:r>
            <w:r w:rsidRPr="001A394D">
              <w:rPr>
                <w:rFonts w:ascii="Garamond" w:hAnsi="Garamond"/>
                <w:b/>
                <w:lang w:val="en-AU"/>
              </w:rPr>
              <w:t>Emergency Department</w:t>
            </w:r>
            <w:r w:rsidRPr="001A394D">
              <w:rPr>
                <w:rFonts w:ascii="Garamond" w:hAnsi="Garamond"/>
                <w:lang w:val="en-AU"/>
              </w:rPr>
              <w:t xml:space="preserve"> More—They Use Other Care Less (Ruohua Annetta Zhou, Katherine Baicker, Sarah </w:t>
            </w:r>
            <w:r>
              <w:rPr>
                <w:rFonts w:ascii="Garamond" w:hAnsi="Garamond"/>
                <w:lang w:val="en-AU"/>
              </w:rPr>
              <w:t>Taubman, and Amy N Finkelstein)</w:t>
            </w:r>
          </w:p>
          <w:p w:rsidR="001A394D" w:rsidRPr="001A394D" w:rsidRDefault="001A394D" w:rsidP="006B3922">
            <w:pPr>
              <w:pStyle w:val="ListParagraph"/>
              <w:numPr>
                <w:ilvl w:val="0"/>
                <w:numId w:val="19"/>
              </w:numPr>
              <w:rPr>
                <w:rFonts w:ascii="Garamond" w:hAnsi="Garamond"/>
                <w:lang w:val="en-AU"/>
              </w:rPr>
            </w:pPr>
            <w:r w:rsidRPr="001A394D">
              <w:rPr>
                <w:rFonts w:ascii="Garamond" w:hAnsi="Garamond"/>
                <w:b/>
                <w:lang w:val="en-AU"/>
              </w:rPr>
              <w:t>Hepatitis C Testing</w:t>
            </w:r>
            <w:r w:rsidRPr="001A394D">
              <w:rPr>
                <w:rFonts w:ascii="Garamond" w:hAnsi="Garamond"/>
                <w:lang w:val="en-AU"/>
              </w:rPr>
              <w:t xml:space="preserve"> Increased Among Baby Boomers Following The 2012 Change To CDC Testing Recommendations (Joshua A Barocas, Jianing Wang, </w:t>
            </w:r>
            <w:r w:rsidRPr="001A394D">
              <w:rPr>
                <w:rFonts w:ascii="Garamond" w:hAnsi="Garamond"/>
                <w:lang w:val="en-AU"/>
              </w:rPr>
              <w:lastRenderedPageBreak/>
              <w:t>Laura F White, Abriana Tasillo, J A Salomon, K A Freedberg, and B P</w:t>
            </w:r>
            <w:r>
              <w:rPr>
                <w:rFonts w:ascii="Garamond" w:hAnsi="Garamond"/>
                <w:lang w:val="en-AU"/>
              </w:rPr>
              <w:t xml:space="preserve"> Linas)</w:t>
            </w:r>
          </w:p>
          <w:p w:rsidR="001A394D" w:rsidRPr="001A394D" w:rsidRDefault="001A394D" w:rsidP="006B3922">
            <w:pPr>
              <w:pStyle w:val="ListParagraph"/>
              <w:numPr>
                <w:ilvl w:val="0"/>
                <w:numId w:val="19"/>
              </w:numPr>
              <w:rPr>
                <w:rFonts w:ascii="Garamond" w:hAnsi="Garamond"/>
                <w:lang w:val="en-AU"/>
              </w:rPr>
            </w:pPr>
            <w:r w:rsidRPr="001A394D">
              <w:rPr>
                <w:rFonts w:ascii="Garamond" w:hAnsi="Garamond"/>
                <w:lang w:val="en-AU"/>
              </w:rPr>
              <w:t xml:space="preserve">Value Of Waiving Coinsurance For </w:t>
            </w:r>
            <w:r w:rsidRPr="001A394D">
              <w:rPr>
                <w:rFonts w:ascii="Garamond" w:hAnsi="Garamond"/>
                <w:b/>
                <w:lang w:val="en-AU"/>
              </w:rPr>
              <w:t>Colorectal Cancer Screening</w:t>
            </w:r>
            <w:r w:rsidRPr="001A394D">
              <w:rPr>
                <w:rFonts w:ascii="Garamond" w:hAnsi="Garamond"/>
                <w:lang w:val="en-AU"/>
              </w:rPr>
              <w:t xml:space="preserve"> In Medicare Beneficiaries (Elisabeth F. P. Peterse, Reinier G. S. Meester, Andrea Gini, Chyke A. Doubeni, Daniel S. Anderson, Franklin G. Berger, Ann G. Zauber, and Iris Lansdorp-Vogelaar </w:t>
            </w:r>
          </w:p>
          <w:p w:rsidR="001A394D" w:rsidRPr="00DB51E4" w:rsidRDefault="001A394D" w:rsidP="006B3922">
            <w:pPr>
              <w:pStyle w:val="ListParagraph"/>
              <w:numPr>
                <w:ilvl w:val="0"/>
                <w:numId w:val="19"/>
              </w:numPr>
              <w:rPr>
                <w:rFonts w:ascii="Garamond" w:hAnsi="Garamond"/>
                <w:lang w:val="en-AU"/>
              </w:rPr>
            </w:pPr>
            <w:r w:rsidRPr="00DB51E4">
              <w:rPr>
                <w:rFonts w:ascii="Garamond" w:hAnsi="Garamond"/>
                <w:b/>
                <w:lang w:val="en-AU"/>
              </w:rPr>
              <w:t>Risk Adjustment</w:t>
            </w:r>
            <w:r w:rsidRPr="00DB51E4">
              <w:rPr>
                <w:rFonts w:ascii="Garamond" w:hAnsi="Garamond"/>
                <w:lang w:val="en-AU"/>
              </w:rPr>
              <w:t xml:space="preserve"> May Lessen </w:t>
            </w:r>
            <w:r w:rsidRPr="00DB51E4">
              <w:rPr>
                <w:rFonts w:ascii="Garamond" w:hAnsi="Garamond"/>
                <w:b/>
                <w:lang w:val="en-AU"/>
              </w:rPr>
              <w:t>Penalties</w:t>
            </w:r>
            <w:r w:rsidRPr="00DB51E4">
              <w:rPr>
                <w:rFonts w:ascii="Garamond" w:hAnsi="Garamond"/>
                <w:lang w:val="en-AU"/>
              </w:rPr>
              <w:t xml:space="preserve"> On Hospitals Treating Complex Cardiac Patients Under Medicare’s </w:t>
            </w:r>
            <w:r w:rsidRPr="00DB51E4">
              <w:rPr>
                <w:rFonts w:ascii="Garamond" w:hAnsi="Garamond"/>
                <w:b/>
                <w:lang w:val="en-AU"/>
              </w:rPr>
              <w:t>Bundled Payments</w:t>
            </w:r>
            <w:r w:rsidRPr="00DB51E4">
              <w:rPr>
                <w:rFonts w:ascii="Garamond" w:hAnsi="Garamond"/>
                <w:lang w:val="en-AU"/>
              </w:rPr>
              <w:t xml:space="preserve"> </w:t>
            </w:r>
            <w:r w:rsidR="00DB51E4" w:rsidRPr="00DB51E4">
              <w:rPr>
                <w:rFonts w:ascii="Garamond" w:hAnsi="Garamond"/>
                <w:lang w:val="en-AU"/>
              </w:rPr>
              <w:t>(</w:t>
            </w:r>
            <w:r w:rsidRPr="00DB51E4">
              <w:rPr>
                <w:rFonts w:ascii="Garamond" w:hAnsi="Garamond"/>
                <w:lang w:val="en-AU"/>
              </w:rPr>
              <w:t>Adam A Markovitz, Chandy Ellimoottil, Devraj S</w:t>
            </w:r>
            <w:r w:rsidR="00DB51E4">
              <w:rPr>
                <w:rFonts w:ascii="Garamond" w:hAnsi="Garamond"/>
                <w:lang w:val="en-AU"/>
              </w:rPr>
              <w:t>ukul, Samyukta Mullangi, Lena M</w:t>
            </w:r>
            <w:r w:rsidRPr="00DB51E4">
              <w:rPr>
                <w:rFonts w:ascii="Garamond" w:hAnsi="Garamond"/>
                <w:lang w:val="en-AU"/>
              </w:rPr>
              <w:t xml:space="preserve"> Chen, Brahmajee K Nallamothu, and Andrew M</w:t>
            </w:r>
            <w:r w:rsidR="00DB51E4">
              <w:rPr>
                <w:rFonts w:ascii="Garamond" w:hAnsi="Garamond"/>
                <w:lang w:val="en-AU"/>
              </w:rPr>
              <w:t xml:space="preserve"> Ryan)</w:t>
            </w:r>
          </w:p>
          <w:p w:rsidR="001A394D" w:rsidRPr="00DB51E4" w:rsidRDefault="001A394D" w:rsidP="006B3922">
            <w:pPr>
              <w:pStyle w:val="ListParagraph"/>
              <w:numPr>
                <w:ilvl w:val="0"/>
                <w:numId w:val="19"/>
              </w:numPr>
              <w:rPr>
                <w:rFonts w:ascii="Garamond" w:hAnsi="Garamond"/>
                <w:lang w:val="en-AU"/>
              </w:rPr>
            </w:pPr>
            <w:r w:rsidRPr="00DB51E4">
              <w:rPr>
                <w:rFonts w:ascii="Garamond" w:hAnsi="Garamond"/>
                <w:lang w:val="en-AU"/>
              </w:rPr>
              <w:t xml:space="preserve">Performance And Participation Of Physicians In Year One Of </w:t>
            </w:r>
            <w:r w:rsidRPr="00DB51E4">
              <w:rPr>
                <w:rFonts w:ascii="Garamond" w:hAnsi="Garamond"/>
                <w:b/>
                <w:lang w:val="en-AU"/>
              </w:rPr>
              <w:t>Medicare’s Value-Based Payment Modifier Program</w:t>
            </w:r>
            <w:r w:rsidRPr="00DB51E4">
              <w:rPr>
                <w:rFonts w:ascii="Garamond" w:hAnsi="Garamond"/>
                <w:lang w:val="en-AU"/>
              </w:rPr>
              <w:t xml:space="preserve"> </w:t>
            </w:r>
            <w:r w:rsidR="00DB51E4" w:rsidRPr="00DB51E4">
              <w:rPr>
                <w:rFonts w:ascii="Garamond" w:hAnsi="Garamond"/>
                <w:lang w:val="en-AU"/>
              </w:rPr>
              <w:t>(</w:t>
            </w:r>
            <w:r w:rsidRPr="00DB51E4">
              <w:rPr>
                <w:rFonts w:ascii="Garamond" w:hAnsi="Garamond"/>
                <w:lang w:val="en-AU"/>
              </w:rPr>
              <w:t>Karen E Joynt Maddox, Arnold M Epstein, Lo</w:t>
            </w:r>
            <w:r w:rsidR="00DB51E4">
              <w:rPr>
                <w:rFonts w:ascii="Garamond" w:hAnsi="Garamond"/>
                <w:lang w:val="en-AU"/>
              </w:rPr>
              <w:t>k Wong Samson, and Lena M Chen)</w:t>
            </w:r>
          </w:p>
          <w:p w:rsidR="001A394D" w:rsidRPr="00DB51E4" w:rsidRDefault="001A394D" w:rsidP="006B3922">
            <w:pPr>
              <w:pStyle w:val="ListParagraph"/>
              <w:numPr>
                <w:ilvl w:val="0"/>
                <w:numId w:val="19"/>
              </w:numPr>
              <w:rPr>
                <w:rFonts w:ascii="Garamond" w:hAnsi="Garamond"/>
                <w:lang w:val="en-AU"/>
              </w:rPr>
            </w:pPr>
            <w:r w:rsidRPr="00DB51E4">
              <w:rPr>
                <w:rFonts w:ascii="Garamond" w:hAnsi="Garamond"/>
                <w:b/>
                <w:lang w:val="en-AU"/>
              </w:rPr>
              <w:t>Medical-Legal Partnerships</w:t>
            </w:r>
            <w:r w:rsidRPr="00DB51E4">
              <w:rPr>
                <w:rFonts w:ascii="Garamond" w:hAnsi="Garamond"/>
                <w:lang w:val="en-AU"/>
              </w:rPr>
              <w:t xml:space="preserve"> At Veterans Affairs Medical Centers Improved Housing And Psychosocial Outcomes For Vets </w:t>
            </w:r>
            <w:r w:rsidR="00DB51E4" w:rsidRPr="00DB51E4">
              <w:rPr>
                <w:rFonts w:ascii="Garamond" w:hAnsi="Garamond"/>
                <w:lang w:val="en-AU"/>
              </w:rPr>
              <w:t>(</w:t>
            </w:r>
            <w:r w:rsidRPr="00DB51E4">
              <w:rPr>
                <w:rFonts w:ascii="Garamond" w:hAnsi="Garamond"/>
                <w:lang w:val="en-AU"/>
              </w:rPr>
              <w:t>Jack Tsai, Margaret Middleton, Jennifer Villegas, Cindy Johnson, Randye Retkin, Alison Seidman, Scott S</w:t>
            </w:r>
            <w:r w:rsidR="00DB51E4">
              <w:rPr>
                <w:rFonts w:ascii="Garamond" w:hAnsi="Garamond"/>
                <w:lang w:val="en-AU"/>
              </w:rPr>
              <w:t>herman, and Robert A Rosenheck)</w:t>
            </w:r>
          </w:p>
          <w:p w:rsidR="001A394D" w:rsidRPr="001A394D" w:rsidRDefault="001A394D" w:rsidP="006B3922">
            <w:pPr>
              <w:pStyle w:val="ListParagraph"/>
              <w:numPr>
                <w:ilvl w:val="0"/>
                <w:numId w:val="19"/>
              </w:numPr>
              <w:rPr>
                <w:rFonts w:ascii="Garamond" w:hAnsi="Garamond"/>
                <w:lang w:val="en-AU"/>
              </w:rPr>
            </w:pPr>
            <w:r w:rsidRPr="001A394D">
              <w:rPr>
                <w:rFonts w:ascii="Garamond" w:hAnsi="Garamond"/>
                <w:lang w:val="en-AU"/>
              </w:rPr>
              <w:t xml:space="preserve">The Promises And Pitfalls Of </w:t>
            </w:r>
            <w:r w:rsidRPr="00DB51E4">
              <w:rPr>
                <w:rFonts w:ascii="Garamond" w:hAnsi="Garamond"/>
                <w:b/>
                <w:lang w:val="en-AU"/>
              </w:rPr>
              <w:t>Treating Addiction</w:t>
            </w:r>
            <w:r w:rsidRPr="001A394D">
              <w:rPr>
                <w:rFonts w:ascii="Garamond" w:hAnsi="Garamond"/>
                <w:lang w:val="en-AU"/>
              </w:rPr>
              <w:t xml:space="preserve"> </w:t>
            </w:r>
            <w:r w:rsidR="00DB51E4">
              <w:rPr>
                <w:rFonts w:ascii="Garamond" w:hAnsi="Garamond"/>
                <w:lang w:val="en-AU"/>
              </w:rPr>
              <w:t>(</w:t>
            </w:r>
            <w:r w:rsidRPr="001A394D">
              <w:rPr>
                <w:rFonts w:ascii="Garamond" w:hAnsi="Garamond"/>
                <w:lang w:val="en-AU"/>
              </w:rPr>
              <w:t>Jessica L Gregg</w:t>
            </w:r>
            <w:r w:rsidR="00DB51E4">
              <w:rPr>
                <w:rFonts w:ascii="Garamond" w:hAnsi="Garamond"/>
                <w:lang w:val="en-AU"/>
              </w:rPr>
              <w:t>)</w:t>
            </w:r>
          </w:p>
        </w:tc>
      </w:tr>
    </w:tbl>
    <w:p w:rsidR="00E530B7" w:rsidRPr="000170DA" w:rsidRDefault="00E530B7" w:rsidP="00A44A1F">
      <w:pPr>
        <w:keepLines/>
        <w:autoSpaceDE w:val="0"/>
        <w:autoSpaceDN w:val="0"/>
        <w:adjustRightInd w:val="0"/>
        <w:rPr>
          <w:rFonts w:ascii="Garamond" w:hAnsi="Garamond"/>
          <w:lang w:val="en-AU"/>
        </w:rPr>
      </w:pPr>
    </w:p>
    <w:p w:rsidR="00915CB2" w:rsidRPr="000170DA" w:rsidRDefault="00915CB2" w:rsidP="00915CB2">
      <w:pPr>
        <w:keepNext/>
        <w:rPr>
          <w:rFonts w:ascii="Garamond" w:hAnsi="Garamond"/>
          <w:lang w:val="en-AU"/>
        </w:rPr>
      </w:pPr>
      <w:r w:rsidRPr="000170DA">
        <w:rPr>
          <w:rFonts w:ascii="Garamond" w:hAnsi="Garamond"/>
          <w:i/>
          <w:lang w:val="en-AU"/>
        </w:rPr>
        <w:t xml:space="preserve">BMJ Quality and Safety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915CB2" w:rsidRPr="000170DA"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0170DA" w:rsidRDefault="00915CB2" w:rsidP="00DD2274">
            <w:pPr>
              <w:keepNext/>
              <w:rPr>
                <w:rFonts w:ascii="Garamond" w:hAnsi="Garamond"/>
                <w:lang w:val="en-AU"/>
              </w:rPr>
            </w:pPr>
            <w:r w:rsidRPr="000170D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915CB2" w:rsidRPr="000170DA" w:rsidRDefault="00F95090" w:rsidP="00DD2274">
            <w:pPr>
              <w:keepNext/>
              <w:rPr>
                <w:rFonts w:ascii="Garamond" w:hAnsi="Garamond"/>
                <w:lang w:val="en-AU"/>
              </w:rPr>
            </w:pPr>
            <w:hyperlink r:id="rId41" w:history="1">
              <w:r w:rsidR="00915CB2" w:rsidRPr="000170DA">
                <w:rPr>
                  <w:rStyle w:val="Hyperlink"/>
                  <w:rFonts w:ascii="Garamond" w:hAnsi="Garamond"/>
                  <w:lang w:val="en-AU"/>
                </w:rPr>
                <w:t>https://qualitysafety.bmj.com/content/early/recent</w:t>
              </w:r>
            </w:hyperlink>
          </w:p>
        </w:tc>
      </w:tr>
      <w:tr w:rsidR="00915CB2" w:rsidRPr="000170DA"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0170DA" w:rsidRDefault="00915CB2" w:rsidP="00DD2274">
            <w:pPr>
              <w:rPr>
                <w:rFonts w:ascii="Garamond" w:hAnsi="Garamond"/>
                <w:lang w:val="en-AU"/>
              </w:rPr>
            </w:pPr>
            <w:r w:rsidRPr="000170DA">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915CB2" w:rsidRPr="000170DA" w:rsidRDefault="00915CB2" w:rsidP="00DD2274">
            <w:pPr>
              <w:rPr>
                <w:rFonts w:ascii="Garamond" w:hAnsi="Garamond"/>
                <w:lang w:val="en-AU"/>
              </w:rPr>
            </w:pPr>
            <w:r w:rsidRPr="000170DA">
              <w:rPr>
                <w:rFonts w:ascii="Garamond" w:hAnsi="Garamond"/>
                <w:i/>
                <w:lang w:val="en-AU"/>
              </w:rPr>
              <w:t>BMJ Quality and Safety</w:t>
            </w:r>
            <w:r w:rsidRPr="000170DA">
              <w:rPr>
                <w:rFonts w:ascii="Garamond" w:hAnsi="Garamond"/>
                <w:lang w:val="en-AU"/>
              </w:rPr>
              <w:t xml:space="preserve"> has published a number of ‘online first’ articles, including:</w:t>
            </w:r>
          </w:p>
          <w:p w:rsidR="00A62FC5" w:rsidRDefault="00EF418C" w:rsidP="00EF418C">
            <w:pPr>
              <w:pStyle w:val="ListParagraph"/>
              <w:numPr>
                <w:ilvl w:val="0"/>
                <w:numId w:val="14"/>
              </w:numPr>
              <w:rPr>
                <w:rFonts w:ascii="Garamond" w:hAnsi="Garamond"/>
                <w:lang w:val="en-AU"/>
              </w:rPr>
            </w:pPr>
            <w:r w:rsidRPr="00EF418C">
              <w:rPr>
                <w:rFonts w:ascii="Garamond" w:hAnsi="Garamond"/>
                <w:lang w:val="en-AU"/>
              </w:rPr>
              <w:t xml:space="preserve">Measurement of </w:t>
            </w:r>
            <w:r w:rsidRPr="00EF418C">
              <w:rPr>
                <w:rFonts w:ascii="Garamond" w:hAnsi="Garamond"/>
                <w:b/>
                <w:lang w:val="en-AU"/>
              </w:rPr>
              <w:t>harms in community care</w:t>
            </w:r>
            <w:r w:rsidRPr="00EF418C">
              <w:rPr>
                <w:rFonts w:ascii="Garamond" w:hAnsi="Garamond"/>
                <w:lang w:val="en-AU"/>
              </w:rPr>
              <w:t>: a qualitative study of use</w:t>
            </w:r>
            <w:r>
              <w:rPr>
                <w:rFonts w:ascii="Garamond" w:hAnsi="Garamond"/>
                <w:lang w:val="en-AU"/>
              </w:rPr>
              <w:t xml:space="preserve"> of the NHS Safety Thermometer (</w:t>
            </w:r>
            <w:r w:rsidRPr="00EF418C">
              <w:rPr>
                <w:rFonts w:ascii="Garamond" w:hAnsi="Garamond"/>
                <w:lang w:val="en-AU"/>
              </w:rPr>
              <w:t>Liz Brewster, Carolyn Tarrant, Janet Willars, Natalie Armstrong</w:t>
            </w:r>
            <w:r>
              <w:rPr>
                <w:rFonts w:ascii="Garamond" w:hAnsi="Garamond"/>
                <w:lang w:val="en-AU"/>
              </w:rPr>
              <w:t>)</w:t>
            </w:r>
          </w:p>
          <w:p w:rsidR="003837C8" w:rsidRPr="000170DA" w:rsidRDefault="003837C8" w:rsidP="003837C8">
            <w:pPr>
              <w:pStyle w:val="ListParagraph"/>
              <w:numPr>
                <w:ilvl w:val="0"/>
                <w:numId w:val="14"/>
              </w:numPr>
              <w:rPr>
                <w:rFonts w:ascii="Garamond" w:hAnsi="Garamond"/>
                <w:lang w:val="en-AU"/>
              </w:rPr>
            </w:pPr>
            <w:r w:rsidRPr="003837C8">
              <w:rPr>
                <w:rFonts w:ascii="Garamond" w:hAnsi="Garamond"/>
                <w:lang w:val="en-AU"/>
              </w:rPr>
              <w:t xml:space="preserve">Editorial: </w:t>
            </w:r>
            <w:r w:rsidRPr="003837C8">
              <w:rPr>
                <w:rFonts w:ascii="Garamond" w:hAnsi="Garamond"/>
                <w:b/>
                <w:lang w:val="en-AU"/>
              </w:rPr>
              <w:t>Raising up the voices</w:t>
            </w:r>
            <w:r w:rsidRPr="003837C8">
              <w:rPr>
                <w:rFonts w:ascii="Garamond" w:hAnsi="Garamond"/>
                <w:lang w:val="en-AU"/>
              </w:rPr>
              <w:t xml:space="preserve"> of the closest observers of care </w:t>
            </w:r>
            <w:r>
              <w:rPr>
                <w:rFonts w:ascii="Garamond" w:hAnsi="Garamond"/>
                <w:lang w:val="en-AU"/>
              </w:rPr>
              <w:t>(</w:t>
            </w:r>
            <w:r w:rsidRPr="003837C8">
              <w:rPr>
                <w:rFonts w:ascii="Garamond" w:hAnsi="Garamond"/>
                <w:lang w:val="en-AU"/>
              </w:rPr>
              <w:t>Naomi S Bardach</w:t>
            </w:r>
            <w:r>
              <w:rPr>
                <w:rFonts w:ascii="Garamond" w:hAnsi="Garamond"/>
                <w:lang w:val="en-AU"/>
              </w:rPr>
              <w:t>)</w:t>
            </w:r>
          </w:p>
        </w:tc>
      </w:tr>
    </w:tbl>
    <w:p w:rsidR="00EF418C" w:rsidRDefault="00EF418C" w:rsidP="00177F9F">
      <w:pPr>
        <w:keepNext/>
        <w:rPr>
          <w:rFonts w:ascii="Garamond" w:hAnsi="Garamond"/>
          <w:lang w:val="en-AU"/>
        </w:rPr>
      </w:pPr>
    </w:p>
    <w:p w:rsidR="00833D12" w:rsidRDefault="00833D12" w:rsidP="00177F9F">
      <w:pPr>
        <w:keepNext/>
        <w:rPr>
          <w:rFonts w:ascii="Garamond" w:hAnsi="Garamond"/>
          <w:lang w:val="en-AU"/>
        </w:rPr>
      </w:pPr>
    </w:p>
    <w:p w:rsidR="00A94041" w:rsidRPr="00EF418C" w:rsidRDefault="00A94041" w:rsidP="00177F9F">
      <w:pPr>
        <w:keepNext/>
        <w:rPr>
          <w:rFonts w:ascii="Garamond" w:hAnsi="Garamond"/>
          <w:lang w:val="en-AU"/>
        </w:rPr>
      </w:pPr>
    </w:p>
    <w:p w:rsidR="00177F9F" w:rsidRPr="000170DA" w:rsidRDefault="00177F9F" w:rsidP="00177F9F">
      <w:pPr>
        <w:keepNext/>
        <w:rPr>
          <w:rFonts w:ascii="Garamond" w:hAnsi="Garamond"/>
          <w:b/>
          <w:lang w:val="en-AU"/>
        </w:rPr>
      </w:pPr>
      <w:r w:rsidRPr="000170DA">
        <w:rPr>
          <w:rFonts w:ascii="Garamond" w:hAnsi="Garamond"/>
          <w:b/>
          <w:lang w:val="en-AU"/>
        </w:rPr>
        <w:t>Online resources</w:t>
      </w:r>
    </w:p>
    <w:p w:rsidR="00177F9F" w:rsidRDefault="00177F9F" w:rsidP="00177F9F">
      <w:pPr>
        <w:rPr>
          <w:rFonts w:ascii="Garamond" w:hAnsi="Garamond"/>
          <w:i/>
          <w:lang w:val="en-AU"/>
        </w:rPr>
      </w:pPr>
    </w:p>
    <w:p w:rsidR="00AB20F7" w:rsidRPr="00AB20F7" w:rsidRDefault="00AB20F7" w:rsidP="00316942">
      <w:pPr>
        <w:keepNext/>
        <w:keepLines/>
        <w:autoSpaceDE w:val="0"/>
        <w:autoSpaceDN w:val="0"/>
        <w:adjustRightInd w:val="0"/>
        <w:rPr>
          <w:rFonts w:ascii="Garamond" w:hAnsi="Garamond"/>
          <w:i/>
          <w:lang w:val="en-AU"/>
        </w:rPr>
      </w:pPr>
      <w:r w:rsidRPr="00AB20F7">
        <w:rPr>
          <w:rFonts w:ascii="Garamond" w:hAnsi="Garamond"/>
          <w:i/>
          <w:lang w:val="en-AU"/>
        </w:rPr>
        <w:t xml:space="preserve">Online e-learning module on communicating benefits and risks </w:t>
      </w:r>
    </w:p>
    <w:p w:rsidR="00AB20F7" w:rsidRDefault="00F95090" w:rsidP="00316942">
      <w:pPr>
        <w:keepNext/>
        <w:keepLines/>
        <w:autoSpaceDE w:val="0"/>
        <w:autoSpaceDN w:val="0"/>
        <w:adjustRightInd w:val="0"/>
        <w:rPr>
          <w:rFonts w:ascii="Garamond" w:hAnsi="Garamond"/>
          <w:lang w:val="en-AU"/>
        </w:rPr>
      </w:pPr>
      <w:hyperlink r:id="rId42" w:history="1">
        <w:r w:rsidR="00AB20F7" w:rsidRPr="0065129B">
          <w:rPr>
            <w:rStyle w:val="Hyperlink"/>
            <w:rFonts w:ascii="Garamond" w:hAnsi="Garamond"/>
            <w:lang w:val="en-AU"/>
          </w:rPr>
          <w:t>https://www.safetyandquality.gov.au/communicatingrisk</w:t>
        </w:r>
      </w:hyperlink>
    </w:p>
    <w:p w:rsidR="00AB20F7" w:rsidRPr="00AB20F7" w:rsidRDefault="00AB20F7" w:rsidP="00AB20F7">
      <w:pPr>
        <w:rPr>
          <w:rFonts w:ascii="Garamond" w:hAnsi="Garamond"/>
          <w:lang w:val="en-AU"/>
        </w:rPr>
      </w:pPr>
      <w:r w:rsidRPr="00AB20F7">
        <w:rPr>
          <w:rFonts w:ascii="Garamond" w:hAnsi="Garamond"/>
          <w:lang w:val="en-AU"/>
        </w:rPr>
        <w:t>Health decisions often have no single ‘best choice’ and require choosing from multiple options. For patients (and carers) to understand risks and have the opportunity to actively be involved in sharing decisions, clinicians need to provide relevant and clear information about treatment options, and the potential benefits, risks, trade-offs and uncertainties of each. This information should reflect the best available evidence and take into account the patient’s personal opinions, preferences, values and priorities.</w:t>
      </w:r>
    </w:p>
    <w:p w:rsidR="00AB20F7" w:rsidRPr="00AB20F7" w:rsidRDefault="00AB20F7" w:rsidP="00AB20F7">
      <w:pPr>
        <w:rPr>
          <w:rFonts w:ascii="Garamond" w:hAnsi="Garamond"/>
          <w:lang w:val="en-AU"/>
        </w:rPr>
      </w:pPr>
      <w:r w:rsidRPr="00AB20F7">
        <w:rPr>
          <w:rFonts w:ascii="Garamond" w:hAnsi="Garamond"/>
          <w:lang w:val="en-AU"/>
        </w:rPr>
        <w:t xml:space="preserve">To support clinicians develop and refine their skills in communicating effectively about the benefits and risks of treatment options with patients, the Australian Commission on Safety and Quality in Health Care has developed an open access 2-hour e-learning module: </w:t>
      </w:r>
      <w:r w:rsidRPr="00F95090">
        <w:rPr>
          <w:rFonts w:ascii="Garamond" w:hAnsi="Garamond"/>
          <w:i/>
          <w:lang w:val="en-AU"/>
        </w:rPr>
        <w:t>Helping Patients Make Informed Decisions: Communicating benefits and risks</w:t>
      </w:r>
      <w:r w:rsidRPr="00AB20F7">
        <w:rPr>
          <w:rFonts w:ascii="Garamond" w:hAnsi="Garamond"/>
          <w:lang w:val="en-AU"/>
        </w:rPr>
        <w:t>.</w:t>
      </w:r>
    </w:p>
    <w:p w:rsidR="00AB20F7" w:rsidRDefault="00AB20F7" w:rsidP="00AB20F7">
      <w:pPr>
        <w:rPr>
          <w:rFonts w:ascii="Garamond" w:hAnsi="Garamond"/>
          <w:lang w:val="en-AU"/>
        </w:rPr>
      </w:pPr>
      <w:r w:rsidRPr="00AB20F7">
        <w:rPr>
          <w:rFonts w:ascii="Garamond" w:hAnsi="Garamond"/>
          <w:lang w:val="en-AU"/>
        </w:rPr>
        <w:t xml:space="preserve">To access and </w:t>
      </w:r>
      <w:r>
        <w:rPr>
          <w:rFonts w:ascii="Garamond" w:hAnsi="Garamond"/>
          <w:lang w:val="en-AU"/>
        </w:rPr>
        <w:t xml:space="preserve">learn </w:t>
      </w:r>
      <w:r w:rsidRPr="00AB20F7">
        <w:rPr>
          <w:rFonts w:ascii="Garamond" w:hAnsi="Garamond"/>
          <w:lang w:val="en-AU"/>
        </w:rPr>
        <w:t>about the module</w:t>
      </w:r>
      <w:r>
        <w:rPr>
          <w:rFonts w:ascii="Garamond" w:hAnsi="Garamond"/>
          <w:lang w:val="en-AU"/>
        </w:rPr>
        <w:t>, see</w:t>
      </w:r>
      <w:r w:rsidRPr="00AB20F7">
        <w:rPr>
          <w:rFonts w:ascii="Garamond" w:hAnsi="Garamond"/>
          <w:lang w:val="en-AU"/>
        </w:rPr>
        <w:t xml:space="preserve"> </w:t>
      </w:r>
      <w:hyperlink r:id="rId43" w:history="1">
        <w:r w:rsidRPr="0065129B">
          <w:rPr>
            <w:rStyle w:val="Hyperlink"/>
            <w:rFonts w:ascii="Garamond" w:hAnsi="Garamond"/>
            <w:lang w:val="en-AU"/>
          </w:rPr>
          <w:t>https://www.safetyandquality.gov.au/communicatingrisk</w:t>
        </w:r>
      </w:hyperlink>
    </w:p>
    <w:p w:rsidR="00AB20F7" w:rsidRDefault="00AB20F7" w:rsidP="00AB20F7">
      <w:pPr>
        <w:rPr>
          <w:rFonts w:ascii="Garamond" w:hAnsi="Garamond"/>
          <w:lang w:val="en-AU"/>
        </w:rPr>
      </w:pPr>
      <w:r>
        <w:rPr>
          <w:rFonts w:ascii="Garamond" w:hAnsi="Garamond"/>
          <w:noProof/>
          <w:lang w:val="en-AU" w:eastAsia="en-AU"/>
        </w:rPr>
        <w:lastRenderedPageBreak/>
        <w:drawing>
          <wp:inline distT="0" distB="0" distL="0" distR="0">
            <wp:extent cx="3289300" cy="4340113"/>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png"/>
                    <pic:cNvPicPr/>
                  </pic:nvPicPr>
                  <pic:blipFill>
                    <a:blip r:embed="rId44">
                      <a:extLst>
                        <a:ext uri="{28A0092B-C50C-407E-A947-70E740481C1C}">
                          <a14:useLocalDpi xmlns:a14="http://schemas.microsoft.com/office/drawing/2010/main" val="0"/>
                        </a:ext>
                      </a:extLst>
                    </a:blip>
                    <a:stretch>
                      <a:fillRect/>
                    </a:stretch>
                  </pic:blipFill>
                  <pic:spPr>
                    <a:xfrm>
                      <a:off x="0" y="0"/>
                      <a:ext cx="3299502" cy="4353574"/>
                    </a:xfrm>
                    <a:prstGeom prst="rect">
                      <a:avLst/>
                    </a:prstGeom>
                  </pic:spPr>
                </pic:pic>
              </a:graphicData>
            </a:graphic>
          </wp:inline>
        </w:drawing>
      </w:r>
    </w:p>
    <w:p w:rsidR="00AB20F7" w:rsidRDefault="00AB20F7" w:rsidP="00AB20F7">
      <w:pPr>
        <w:rPr>
          <w:rFonts w:ascii="Garamond" w:hAnsi="Garamond"/>
          <w:lang w:val="en-AU"/>
        </w:rPr>
      </w:pPr>
    </w:p>
    <w:p w:rsidR="00A94041" w:rsidRPr="00AB20F7" w:rsidRDefault="00A94041" w:rsidP="00AB20F7">
      <w:pPr>
        <w:rPr>
          <w:rFonts w:ascii="Garamond" w:hAnsi="Garamond"/>
          <w:lang w:val="en-AU"/>
        </w:rPr>
      </w:pPr>
    </w:p>
    <w:p w:rsidR="00AB20F7" w:rsidRPr="00AB20F7" w:rsidRDefault="00AB20F7" w:rsidP="00AB20F7">
      <w:pPr>
        <w:rPr>
          <w:rFonts w:ascii="Garamond" w:hAnsi="Garamond"/>
          <w:i/>
          <w:lang w:val="en-AU"/>
        </w:rPr>
      </w:pPr>
      <w:r w:rsidRPr="00AB20F7">
        <w:rPr>
          <w:rFonts w:ascii="Garamond" w:hAnsi="Garamond"/>
          <w:i/>
          <w:lang w:val="en-AU"/>
        </w:rPr>
        <w:t>New videos on Shared Decision Making</w:t>
      </w:r>
    </w:p>
    <w:p w:rsidR="00AB20F7" w:rsidRDefault="00F95090" w:rsidP="00AB20F7">
      <w:pPr>
        <w:rPr>
          <w:rFonts w:ascii="Garamond" w:hAnsi="Garamond"/>
          <w:lang w:val="en-AU"/>
        </w:rPr>
      </w:pPr>
      <w:hyperlink r:id="rId45" w:history="1">
        <w:r w:rsidR="00AB20F7" w:rsidRPr="0065129B">
          <w:rPr>
            <w:rStyle w:val="Hyperlink"/>
            <w:rFonts w:ascii="Garamond" w:hAnsi="Garamond"/>
            <w:lang w:val="en-AU"/>
          </w:rPr>
          <w:t>https://www.safetyandquality.gov.au/communicatingrisk</w:t>
        </w:r>
      </w:hyperlink>
    </w:p>
    <w:p w:rsidR="00AB20F7" w:rsidRPr="00AB20F7" w:rsidRDefault="00AB20F7" w:rsidP="00AB20F7">
      <w:pPr>
        <w:rPr>
          <w:rFonts w:ascii="Garamond" w:hAnsi="Garamond"/>
          <w:lang w:val="en-AU"/>
        </w:rPr>
      </w:pPr>
      <w:r w:rsidRPr="00AB20F7">
        <w:rPr>
          <w:rFonts w:ascii="Garamond" w:hAnsi="Garamond"/>
          <w:lang w:val="en-AU"/>
        </w:rPr>
        <w:t>Research shows that shared decision making between clinicians and patients can lead to improvements in safety, quality, cost effectiveness and contribute to better quality decisions.</w:t>
      </w:r>
    </w:p>
    <w:p w:rsidR="00AB20F7" w:rsidRPr="00AB20F7" w:rsidRDefault="00AB20F7" w:rsidP="00AB20F7">
      <w:pPr>
        <w:rPr>
          <w:rFonts w:ascii="Garamond" w:hAnsi="Garamond"/>
          <w:lang w:val="en-AU"/>
        </w:rPr>
      </w:pPr>
      <w:r w:rsidRPr="00AB20F7">
        <w:rPr>
          <w:rFonts w:ascii="Garamond" w:hAnsi="Garamond"/>
          <w:lang w:val="en-AU"/>
        </w:rPr>
        <w:t xml:space="preserve">To promote shared decision making in practice, the Australian Commission on Safety and Quality in Health Care has developed three short videos for clinicians. The videos provide an overview on shared decision making; challenges myths about shared decision making in practice; and explains how to use patient decision aids and where to find them. </w:t>
      </w:r>
    </w:p>
    <w:p w:rsidR="00AB20F7" w:rsidRDefault="00AB20F7" w:rsidP="00AB20F7">
      <w:pPr>
        <w:rPr>
          <w:rFonts w:ascii="Garamond" w:hAnsi="Garamond"/>
          <w:lang w:val="en-AU"/>
        </w:rPr>
      </w:pPr>
      <w:r w:rsidRPr="00AB20F7">
        <w:rPr>
          <w:rFonts w:ascii="Garamond" w:hAnsi="Garamond"/>
          <w:lang w:val="en-AU"/>
        </w:rPr>
        <w:t>To access the video</w:t>
      </w:r>
      <w:r>
        <w:rPr>
          <w:rFonts w:ascii="Garamond" w:hAnsi="Garamond"/>
          <w:lang w:val="en-AU"/>
        </w:rPr>
        <w:t>s, see</w:t>
      </w:r>
      <w:r w:rsidRPr="00AB20F7">
        <w:rPr>
          <w:rFonts w:ascii="Garamond" w:hAnsi="Garamond"/>
          <w:lang w:val="en-AU"/>
        </w:rPr>
        <w:t xml:space="preserve"> </w:t>
      </w:r>
      <w:hyperlink r:id="rId46" w:history="1">
        <w:r w:rsidRPr="0065129B">
          <w:rPr>
            <w:rStyle w:val="Hyperlink"/>
            <w:rFonts w:ascii="Garamond" w:hAnsi="Garamond"/>
            <w:lang w:val="en-AU"/>
          </w:rPr>
          <w:t>https://www.safetyandquality.gov.au/communicatingrisk</w:t>
        </w:r>
      </w:hyperlink>
    </w:p>
    <w:p w:rsidR="00AB20F7" w:rsidRPr="00AB20F7" w:rsidRDefault="00AB20F7" w:rsidP="00AB20F7">
      <w:pPr>
        <w:rPr>
          <w:rFonts w:ascii="Garamond" w:hAnsi="Garamond"/>
          <w:lang w:val="en-AU"/>
        </w:rPr>
      </w:pPr>
    </w:p>
    <w:p w:rsidR="00AB20F7" w:rsidRDefault="00AB20F7" w:rsidP="00AB20F7">
      <w:pPr>
        <w:rPr>
          <w:rFonts w:ascii="Garamond" w:hAnsi="Garamond"/>
          <w:lang w:val="en-AU"/>
        </w:rPr>
      </w:pPr>
      <w:r w:rsidRPr="00AB20F7">
        <w:rPr>
          <w:rFonts w:ascii="Garamond" w:hAnsi="Garamond"/>
          <w:lang w:val="en-AU"/>
        </w:rPr>
        <w:t xml:space="preserve">For information on the Commission’s work on shared decision making, see </w:t>
      </w:r>
      <w:hyperlink r:id="rId47" w:history="1">
        <w:r w:rsidRPr="0065129B">
          <w:rPr>
            <w:rStyle w:val="Hyperlink"/>
            <w:rFonts w:ascii="Garamond" w:hAnsi="Garamond"/>
            <w:lang w:val="en-AU"/>
          </w:rPr>
          <w:t>https://www.safetyandquality.gov.au/our-work/shared-decision-making/</w:t>
        </w:r>
      </w:hyperlink>
    </w:p>
    <w:p w:rsidR="00AB20F7" w:rsidRPr="00AB20F7" w:rsidRDefault="00AB20F7" w:rsidP="00AB20F7">
      <w:pPr>
        <w:rPr>
          <w:rFonts w:ascii="Garamond" w:hAnsi="Garamond"/>
          <w:lang w:val="en-AU"/>
        </w:rPr>
      </w:pPr>
    </w:p>
    <w:p w:rsidR="001B04AB" w:rsidRDefault="001B04AB" w:rsidP="001B04AB">
      <w:pPr>
        <w:keepNext/>
        <w:rPr>
          <w:rFonts w:ascii="Garamond" w:hAnsi="Garamond"/>
          <w:i/>
          <w:lang w:val="en-AU"/>
        </w:rPr>
      </w:pPr>
      <w:r>
        <w:rPr>
          <w:rFonts w:ascii="Garamond" w:hAnsi="Garamond"/>
          <w:i/>
          <w:lang w:val="en-AU"/>
        </w:rPr>
        <w:t xml:space="preserve">[UK] </w:t>
      </w:r>
      <w:r w:rsidRPr="00502CDE">
        <w:rPr>
          <w:rFonts w:ascii="Garamond" w:hAnsi="Garamond"/>
          <w:i/>
          <w:lang w:val="en-AU"/>
        </w:rPr>
        <w:t>Antimicrobial prescribing guidelines</w:t>
      </w:r>
    </w:p>
    <w:p w:rsidR="001B04AB" w:rsidRDefault="00F95090" w:rsidP="001B04AB">
      <w:pPr>
        <w:rPr>
          <w:rFonts w:ascii="Garamond" w:hAnsi="Garamond"/>
          <w:lang w:val="en-AU"/>
        </w:rPr>
      </w:pPr>
      <w:hyperlink r:id="rId48" w:history="1">
        <w:r w:rsidR="001B04AB" w:rsidRPr="00F77BC0">
          <w:rPr>
            <w:rStyle w:val="Hyperlink"/>
            <w:rFonts w:ascii="Garamond" w:hAnsi="Garamond"/>
            <w:lang w:val="en-AU"/>
          </w:rPr>
          <w:t>https://www.nice.org.uk/about/what-we-do/our-programmes/nice-guidance/antimicrobial-prescribing-guidelines</w:t>
        </w:r>
      </w:hyperlink>
    </w:p>
    <w:p w:rsidR="001B04AB" w:rsidRDefault="001B04AB" w:rsidP="001B04AB">
      <w:pPr>
        <w:rPr>
          <w:rFonts w:ascii="Garamond" w:hAnsi="Garamond"/>
          <w:lang w:val="en-AU"/>
        </w:rPr>
      </w:pPr>
      <w:r w:rsidRPr="000170DA">
        <w:rPr>
          <w:rFonts w:ascii="Garamond" w:hAnsi="Garamond"/>
          <w:lang w:val="en-AU"/>
        </w:rPr>
        <w:t>The UK’s National Institute for Health and Care Excellence (NICE) has</w:t>
      </w:r>
      <w:r>
        <w:rPr>
          <w:rFonts w:ascii="Garamond" w:hAnsi="Garamond"/>
          <w:lang w:val="en-AU"/>
        </w:rPr>
        <w:t xml:space="preserve"> developed this </w:t>
      </w:r>
      <w:r w:rsidRPr="00502CDE">
        <w:rPr>
          <w:rFonts w:ascii="Garamond" w:hAnsi="Garamond"/>
          <w:lang w:val="en-AU"/>
        </w:rPr>
        <w:t>antimicrobial prescribing hub page on the NICE website. Th</w:t>
      </w:r>
      <w:r>
        <w:rPr>
          <w:rFonts w:ascii="Garamond" w:hAnsi="Garamond"/>
          <w:lang w:val="en-AU"/>
        </w:rPr>
        <w:t>e</w:t>
      </w:r>
      <w:r w:rsidRPr="00502CDE">
        <w:rPr>
          <w:rFonts w:ascii="Garamond" w:hAnsi="Garamond"/>
          <w:lang w:val="en-AU"/>
        </w:rPr>
        <w:t xml:space="preserve"> page lists all of </w:t>
      </w:r>
      <w:r>
        <w:rPr>
          <w:rFonts w:ascii="Garamond" w:hAnsi="Garamond"/>
          <w:lang w:val="en-AU"/>
        </w:rPr>
        <w:t xml:space="preserve">NICE’s common infection </w:t>
      </w:r>
      <w:r w:rsidRPr="00502CDE">
        <w:rPr>
          <w:rFonts w:ascii="Garamond" w:hAnsi="Garamond"/>
          <w:lang w:val="en-AU"/>
        </w:rPr>
        <w:t>guidance and advice to help manage common infections and tackle antimicrobial resistance.</w:t>
      </w:r>
    </w:p>
    <w:p w:rsidR="001B04AB" w:rsidRPr="00502CDE" w:rsidRDefault="001B04AB" w:rsidP="001B04AB">
      <w:pPr>
        <w:pStyle w:val="ListParagraph"/>
        <w:numPr>
          <w:ilvl w:val="0"/>
          <w:numId w:val="14"/>
        </w:numPr>
        <w:rPr>
          <w:rFonts w:ascii="Garamond" w:hAnsi="Garamond"/>
          <w:lang w:val="en-AU"/>
        </w:rPr>
      </w:pPr>
      <w:r w:rsidRPr="00502CDE">
        <w:rPr>
          <w:rFonts w:ascii="Garamond" w:hAnsi="Garamond"/>
          <w:b/>
          <w:lang w:val="en-AU"/>
        </w:rPr>
        <w:t>Guidance</w:t>
      </w:r>
      <w:r w:rsidRPr="00502CDE">
        <w:rPr>
          <w:rFonts w:ascii="Garamond" w:hAnsi="Garamond"/>
          <w:lang w:val="en-AU"/>
        </w:rPr>
        <w:t xml:space="preserve"> – guidelines offer evidence-based antimicrobial prescribing information for all care settings. These focus on bacterial infections and appropriate antibiotic use. Each guideline topic features a visual summary of the recommendations, a guideline and an evidence review.</w:t>
      </w:r>
    </w:p>
    <w:p w:rsidR="001B04AB" w:rsidRPr="00502CDE" w:rsidRDefault="001B04AB" w:rsidP="001B04AB">
      <w:pPr>
        <w:pStyle w:val="ListParagraph"/>
        <w:numPr>
          <w:ilvl w:val="0"/>
          <w:numId w:val="14"/>
        </w:numPr>
        <w:rPr>
          <w:rFonts w:ascii="Garamond" w:hAnsi="Garamond"/>
          <w:lang w:val="en-AU"/>
        </w:rPr>
      </w:pPr>
      <w:r w:rsidRPr="00502CDE">
        <w:rPr>
          <w:rFonts w:ascii="Garamond" w:hAnsi="Garamond"/>
          <w:b/>
          <w:lang w:val="en-AU"/>
        </w:rPr>
        <w:t>Advice</w:t>
      </w:r>
      <w:r w:rsidRPr="00502CDE">
        <w:rPr>
          <w:rFonts w:ascii="Garamond" w:hAnsi="Garamond"/>
          <w:lang w:val="en-AU"/>
        </w:rPr>
        <w:t xml:space="preserve"> – antimicrobial evidence summaries provide commissioners, providers and health professionals with a summary of the best available evidence for antimicrobials.</w:t>
      </w:r>
    </w:p>
    <w:p w:rsidR="00177F9F" w:rsidRPr="000170DA" w:rsidRDefault="00177F9F" w:rsidP="001B04AB">
      <w:pPr>
        <w:keepNext/>
        <w:keepLines/>
        <w:rPr>
          <w:rFonts w:ascii="Garamond" w:hAnsi="Garamond"/>
          <w:i/>
          <w:lang w:val="en-AU"/>
        </w:rPr>
      </w:pPr>
      <w:r w:rsidRPr="000170DA">
        <w:rPr>
          <w:rFonts w:ascii="Garamond" w:hAnsi="Garamond"/>
          <w:i/>
          <w:lang w:val="en-AU"/>
        </w:rPr>
        <w:lastRenderedPageBreak/>
        <w:t>[UK] NICE Guidelines and Quality Standards</w:t>
      </w:r>
    </w:p>
    <w:p w:rsidR="00177F9F" w:rsidRPr="000170DA" w:rsidRDefault="00F95090" w:rsidP="00177F9F">
      <w:pPr>
        <w:keepNext/>
        <w:keepLines/>
        <w:rPr>
          <w:rFonts w:ascii="Garamond" w:hAnsi="Garamond"/>
          <w:u w:val="single"/>
          <w:lang w:val="en-AU"/>
        </w:rPr>
      </w:pPr>
      <w:hyperlink r:id="rId49" w:history="1">
        <w:r w:rsidR="00177F9F" w:rsidRPr="000170DA">
          <w:rPr>
            <w:rStyle w:val="Hyperlink"/>
            <w:rFonts w:ascii="Garamond" w:hAnsi="Garamond"/>
            <w:lang w:val="en-AU"/>
          </w:rPr>
          <w:t>https://www.nice.org.uk</w:t>
        </w:r>
      </w:hyperlink>
    </w:p>
    <w:p w:rsidR="00177F9F" w:rsidRPr="000170DA" w:rsidRDefault="00177F9F" w:rsidP="00177F9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EC5AEF" w:rsidRDefault="00D15E62" w:rsidP="00D15E62">
      <w:pPr>
        <w:pStyle w:val="ListParagraph"/>
        <w:keepNext/>
        <w:keepLines/>
        <w:numPr>
          <w:ilvl w:val="0"/>
          <w:numId w:val="14"/>
        </w:numPr>
        <w:rPr>
          <w:rFonts w:ascii="Garamond" w:hAnsi="Garamond"/>
          <w:lang w:val="en-AU"/>
        </w:rPr>
      </w:pPr>
      <w:r>
        <w:rPr>
          <w:rFonts w:ascii="Garamond" w:hAnsi="Garamond"/>
          <w:lang w:val="en-AU"/>
        </w:rPr>
        <w:t xml:space="preserve">Quality Standard </w:t>
      </w:r>
      <w:bookmarkStart w:id="1" w:name="_GoBack"/>
      <w:r>
        <w:rPr>
          <w:rFonts w:ascii="Garamond" w:hAnsi="Garamond"/>
          <w:lang w:val="en-AU"/>
        </w:rPr>
        <w:t xml:space="preserve">QS124 </w:t>
      </w:r>
      <w:r w:rsidRPr="00D15E62">
        <w:rPr>
          <w:rFonts w:ascii="Garamond" w:hAnsi="Garamond"/>
          <w:i/>
          <w:lang w:val="en-AU"/>
        </w:rPr>
        <w:t xml:space="preserve">Suspected </w:t>
      </w:r>
      <w:r w:rsidRPr="00D15E62">
        <w:rPr>
          <w:rFonts w:ascii="Garamond" w:hAnsi="Garamond"/>
          <w:b/>
          <w:i/>
          <w:lang w:val="en-AU"/>
        </w:rPr>
        <w:t>cancer</w:t>
      </w:r>
      <w:r>
        <w:rPr>
          <w:rFonts w:ascii="Garamond" w:hAnsi="Garamond"/>
          <w:lang w:val="en-AU"/>
        </w:rPr>
        <w:t xml:space="preserve"> </w:t>
      </w:r>
      <w:hyperlink r:id="rId50" w:history="1">
        <w:r w:rsidRPr="003105F0">
          <w:rPr>
            <w:rStyle w:val="Hyperlink"/>
            <w:rFonts w:ascii="Garamond" w:hAnsi="Garamond"/>
            <w:lang w:val="en-AU"/>
          </w:rPr>
          <w:t>https://www.nice.org.uk/guidance/qs124</w:t>
        </w:r>
      </w:hyperlink>
    </w:p>
    <w:bookmarkEnd w:id="1"/>
    <w:p w:rsidR="003B2B6E" w:rsidRPr="000170DA" w:rsidRDefault="003B2B6E" w:rsidP="000F426D">
      <w:pPr>
        <w:keepNext/>
        <w:keepLines/>
        <w:rPr>
          <w:rFonts w:ascii="Garamond" w:hAnsi="Garamond"/>
          <w:i/>
          <w:lang w:val="en-AU"/>
        </w:rPr>
      </w:pPr>
    </w:p>
    <w:p w:rsidR="008279A6" w:rsidRPr="000170DA" w:rsidRDefault="008279A6" w:rsidP="00070CFE">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headerReference w:type="even" r:id="rId51"/>
      <w:headerReference w:type="default" r:id="rId52"/>
      <w:footerReference w:type="even" r:id="rId53"/>
      <w:footerReference w:type="default" r:id="rId54"/>
      <w:headerReference w:type="first" r:id="rId55"/>
      <w:footerReference w:type="first" r:id="rId5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74" w:rsidRDefault="00DD2274">
      <w:r>
        <w:separator/>
      </w:r>
    </w:p>
  </w:endnote>
  <w:endnote w:type="continuationSeparator" w:id="0">
    <w:p w:rsidR="00DD2274" w:rsidRDefault="00DD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Default="00DD2274"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95090">
      <w:rPr>
        <w:rStyle w:val="PageNumber"/>
        <w:noProof/>
      </w:rPr>
      <w:t>12</w:t>
    </w:r>
    <w:r>
      <w:rPr>
        <w:rStyle w:val="PageNumber"/>
      </w:rPr>
      <w:fldChar w:fldCharType="end"/>
    </w:r>
  </w:p>
  <w:p w:rsidR="00DD2274" w:rsidRPr="001E78F0" w:rsidRDefault="00DD2274"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418C">
      <w:rPr>
        <w:rFonts w:ascii="Garamond" w:hAnsi="Garamond"/>
      </w:rPr>
      <w:t xml:space="preserve"> Issue 351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Pr="001E78F0" w:rsidRDefault="00DD2274"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95090">
      <w:rPr>
        <w:rStyle w:val="PageNumber"/>
        <w:rFonts w:ascii="Garamond" w:hAnsi="Garamond"/>
        <w:noProof/>
      </w:rPr>
      <w:t>13</w:t>
    </w:r>
    <w:r w:rsidRPr="001E78F0">
      <w:rPr>
        <w:rStyle w:val="PageNumber"/>
        <w:rFonts w:ascii="Garamond" w:hAnsi="Garamond"/>
      </w:rPr>
      <w:fldChar w:fldCharType="end"/>
    </w:r>
  </w:p>
  <w:p w:rsidR="00DD2274" w:rsidRPr="001E78F0" w:rsidRDefault="00DD2274"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EF418C">
      <w:rPr>
        <w:rFonts w:ascii="Garamond" w:hAnsi="Garamond"/>
      </w:rPr>
      <w:t xml:space="preserve"> Issue 351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8C" w:rsidRDefault="00EF4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74" w:rsidRDefault="00DD2274">
      <w:r>
        <w:separator/>
      </w:r>
    </w:p>
  </w:footnote>
  <w:footnote w:type="continuationSeparator" w:id="0">
    <w:p w:rsidR="00DD2274" w:rsidRDefault="00DD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8C" w:rsidRDefault="00EF41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8C" w:rsidRDefault="00EF41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8C" w:rsidRDefault="00EF4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2067CF"/>
    <w:multiLevelType w:val="hybridMultilevel"/>
    <w:tmpl w:val="770EF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712E34"/>
    <w:multiLevelType w:val="hybridMultilevel"/>
    <w:tmpl w:val="63A2C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0A53A8A"/>
    <w:multiLevelType w:val="hybridMultilevel"/>
    <w:tmpl w:val="FAD45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2560C7"/>
    <w:multiLevelType w:val="hybridMultilevel"/>
    <w:tmpl w:val="0A943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BF63F5"/>
    <w:multiLevelType w:val="hybridMultilevel"/>
    <w:tmpl w:val="1B0E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C424461"/>
    <w:multiLevelType w:val="hybridMultilevel"/>
    <w:tmpl w:val="2458D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D1B517E"/>
    <w:multiLevelType w:val="hybridMultilevel"/>
    <w:tmpl w:val="4E84B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DA588A"/>
    <w:multiLevelType w:val="hybridMultilevel"/>
    <w:tmpl w:val="F6E2D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4F6AE4"/>
    <w:multiLevelType w:val="hybridMultilevel"/>
    <w:tmpl w:val="1BDAE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30495C"/>
    <w:multiLevelType w:val="hybridMultilevel"/>
    <w:tmpl w:val="2A74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166CD6"/>
    <w:multiLevelType w:val="hybridMultilevel"/>
    <w:tmpl w:val="3324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6"/>
  </w:num>
  <w:num w:numId="15">
    <w:abstractNumId w:val="21"/>
  </w:num>
  <w:num w:numId="16">
    <w:abstractNumId w:val="19"/>
  </w:num>
  <w:num w:numId="17">
    <w:abstractNumId w:val="11"/>
  </w:num>
  <w:num w:numId="18">
    <w:abstractNumId w:val="10"/>
  </w:num>
  <w:num w:numId="19">
    <w:abstractNumId w:val="23"/>
  </w:num>
  <w:num w:numId="20">
    <w:abstractNumId w:val="12"/>
  </w:num>
  <w:num w:numId="21">
    <w:abstractNumId w:val="13"/>
  </w:num>
  <w:num w:numId="22">
    <w:abstractNumId w:val="18"/>
  </w:num>
  <w:num w:numId="23">
    <w:abstractNumId w:val="17"/>
  </w:num>
  <w:num w:numId="24">
    <w:abstractNumId w:val="24"/>
  </w:num>
  <w:num w:numId="2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D99"/>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B7D"/>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03"/>
    <w:rsid w:val="0019667A"/>
    <w:rsid w:val="001966E6"/>
    <w:rsid w:val="0019679A"/>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2D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7C8"/>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C79"/>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E99"/>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CD0"/>
    <w:rsid w:val="004F2D39"/>
    <w:rsid w:val="004F2EC0"/>
    <w:rsid w:val="004F3042"/>
    <w:rsid w:val="004F3550"/>
    <w:rsid w:val="004F35E5"/>
    <w:rsid w:val="004F3886"/>
    <w:rsid w:val="004F3C8A"/>
    <w:rsid w:val="004F3F9A"/>
    <w:rsid w:val="004F41F6"/>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EE3"/>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05C"/>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691"/>
    <w:rsid w:val="00677C8C"/>
    <w:rsid w:val="006801B8"/>
    <w:rsid w:val="006803BD"/>
    <w:rsid w:val="006803C0"/>
    <w:rsid w:val="00680546"/>
    <w:rsid w:val="00680666"/>
    <w:rsid w:val="0068083D"/>
    <w:rsid w:val="00680B04"/>
    <w:rsid w:val="00680B81"/>
    <w:rsid w:val="00680CD3"/>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385"/>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AE1"/>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0C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3D12"/>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4E0"/>
    <w:rsid w:val="00860577"/>
    <w:rsid w:val="00860D87"/>
    <w:rsid w:val="00860E65"/>
    <w:rsid w:val="00860EA2"/>
    <w:rsid w:val="008611C4"/>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412"/>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389"/>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458"/>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2FE4"/>
    <w:rsid w:val="009C34A4"/>
    <w:rsid w:val="009C3538"/>
    <w:rsid w:val="009C369A"/>
    <w:rsid w:val="009C36C9"/>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694"/>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D6"/>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041"/>
    <w:rsid w:val="00A9415C"/>
    <w:rsid w:val="00A94364"/>
    <w:rsid w:val="00A94407"/>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4D09"/>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3FF1"/>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225"/>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811"/>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6FC8"/>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61C"/>
    <w:rsid w:val="00D13DF6"/>
    <w:rsid w:val="00D13EA5"/>
    <w:rsid w:val="00D14197"/>
    <w:rsid w:val="00D14337"/>
    <w:rsid w:val="00D146B6"/>
    <w:rsid w:val="00D14B1A"/>
    <w:rsid w:val="00D14CAF"/>
    <w:rsid w:val="00D14CC8"/>
    <w:rsid w:val="00D14D22"/>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B19"/>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04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18C"/>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8"/>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A3D"/>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090"/>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https://ahha.asn.au/publication/evidence-briefs/evidence-brief-17-power-through-knowledge-patient-education-and-self" TargetMode="External"/><Relationship Id="rId26" Type="http://schemas.openxmlformats.org/officeDocument/2006/relationships/hyperlink" Target="https://doi.org/10.1136/bmj.j5534" TargetMode="External"/><Relationship Id="rId39" Type="http://schemas.openxmlformats.org/officeDocument/2006/relationships/hyperlink" Target="http://www.phrp.com.au/issues/december-2017-volume-27-issue-5/" TargetMode="External"/><Relationship Id="rId21" Type="http://schemas.openxmlformats.org/officeDocument/2006/relationships/hyperlink" Target="https://www.england.nhs.uk/medicines/items-which-should-not-be-routinely-prescribed/" TargetMode="External"/><Relationship Id="rId34" Type="http://schemas.openxmlformats.org/officeDocument/2006/relationships/hyperlink" Target="https://www.safetyandquality.gov.au/our-work/medication-safety/" TargetMode="External"/><Relationship Id="rId42" Type="http://schemas.openxmlformats.org/officeDocument/2006/relationships/hyperlink" Target="https://www.safetyandquality.gov.au/communicatingrisk" TargetMode="External"/><Relationship Id="rId47" Type="http://schemas.openxmlformats.org/officeDocument/2006/relationships/hyperlink" Target="https://www.safetyandquality.gov.au/our-work/shared-decision-making/" TargetMode="External"/><Relationship Id="rId50" Type="http://schemas.openxmlformats.org/officeDocument/2006/relationships/hyperlink" Target="https://www.nice.org.uk/guidance/qs124"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clinical-communications/" TargetMode="External"/><Relationship Id="rId25" Type="http://schemas.openxmlformats.org/officeDocument/2006/relationships/hyperlink" Target="http://www.dc.nihr.ac.uk/themed-reviews/comprehensive-care.htm" TargetMode="External"/><Relationship Id="rId33" Type="http://schemas.openxmlformats.org/officeDocument/2006/relationships/hyperlink" Target="http://dx.doi.org/10.1080/14740338.2018.1397625" TargetMode="External"/><Relationship Id="rId38" Type="http://schemas.openxmlformats.org/officeDocument/2006/relationships/hyperlink" Target="http://www.publish.csiro.au/py/issue/8588" TargetMode="External"/><Relationship Id="rId46" Type="http://schemas.openxmlformats.org/officeDocument/2006/relationships/hyperlink" Target="https://www.safetyandquality.gov.au/communicatingrisk" TargetMode="External"/><Relationship Id="rId2" Type="http://schemas.openxmlformats.org/officeDocument/2006/relationships/numbering" Target="numbering.xml"/><Relationship Id="rId16" Type="http://schemas.openxmlformats.org/officeDocument/2006/relationships/hyperlink" Target="https://theberylinstitute.site-ym.com/store/ViewProduct.aspx?id=10354794" TargetMode="External"/><Relationship Id="rId20" Type="http://schemas.openxmlformats.org/officeDocument/2006/relationships/hyperlink" Target="https://www.safetyandquality.gov.au/our-work/medication-safety/" TargetMode="External"/><Relationship Id="rId29" Type="http://schemas.openxmlformats.org/officeDocument/2006/relationships/hyperlink" Target="https://www.safetyandquality.gov.au/our-work/patient-and-consumer-centred-care/" TargetMode="External"/><Relationship Id="rId41" Type="http://schemas.openxmlformats.org/officeDocument/2006/relationships/hyperlink" Target="https://qualitysafety.bmj.com/content/early/recent"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www.cqc.org.uk/publications/themed-work/sharing-best-practice-clinical-leaders-emergency-departments" TargetMode="External"/><Relationship Id="rId32" Type="http://schemas.openxmlformats.org/officeDocument/2006/relationships/hyperlink" Target="http://dx.doi.org/10.1136/bmjqs-2017-006813" TargetMode="External"/><Relationship Id="rId37" Type="http://schemas.openxmlformats.org/officeDocument/2006/relationships/hyperlink" Target="http://dx.doi.org/10.1097/PTS.0000000000000334" TargetMode="External"/><Relationship Id="rId40" Type="http://schemas.openxmlformats.org/officeDocument/2006/relationships/hyperlink" Target="https://www.healthaffairs.org/toc/hlthaff/36/12" TargetMode="External"/><Relationship Id="rId45" Type="http://schemas.openxmlformats.org/officeDocument/2006/relationships/hyperlink" Target="https://www.safetyandquality.gov.au/communicatingrisk"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image" Target="media/image2.png"/><Relationship Id="rId28" Type="http://schemas.openxmlformats.org/officeDocument/2006/relationships/image" Target="media/image3.png"/><Relationship Id="rId36" Type="http://schemas.openxmlformats.org/officeDocument/2006/relationships/hyperlink" Target="https://doi.org/10.1016/j.jacr.2017.10.001" TargetMode="External"/><Relationship Id="rId49" Type="http://schemas.openxmlformats.org/officeDocument/2006/relationships/hyperlink" Target="https://www.nice.org.uk" TargetMode="External"/><Relationship Id="rId57" Type="http://schemas.openxmlformats.org/officeDocument/2006/relationships/fontTable" Target="fontTable.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www.ihi.org/resources/Pages/Publications/Evidence-Based-Medication-Deprescribing-Innovation-Case-Study.aspx" TargetMode="External"/><Relationship Id="rId31" Type="http://schemas.openxmlformats.org/officeDocument/2006/relationships/hyperlink" Target="https://doi.org/10.1177/1062860617743324" TargetMode="External"/><Relationship Id="rId44" Type="http://schemas.openxmlformats.org/officeDocument/2006/relationships/image" Target="media/image4.png"/><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www.ihi.org/resources/Pages/Publications/Closing-the-Loop-A-Guide-to-Safer-Ambulatory-Referrals.aspx" TargetMode="External"/><Relationship Id="rId27" Type="http://schemas.openxmlformats.org/officeDocument/2006/relationships/hyperlink" Target="https://doi.org/10.1071/PY16133" TargetMode="External"/><Relationship Id="rId30" Type="http://schemas.openxmlformats.org/officeDocument/2006/relationships/hyperlink" Target="https://www.safetyandquality.gov.au/our-work/primary-health-care/" TargetMode="External"/><Relationship Id="rId35" Type="http://schemas.openxmlformats.org/officeDocument/2006/relationships/hyperlink" Target="https://dx.doi.org/10.1503/cjs.000517" TargetMode="External"/><Relationship Id="rId43" Type="http://schemas.openxmlformats.org/officeDocument/2006/relationships/hyperlink" Target="https://www.safetyandquality.gov.au/communicatingrisk" TargetMode="External"/><Relationship Id="rId48" Type="http://schemas.openxmlformats.org/officeDocument/2006/relationships/hyperlink" Target="https://www.nice.org.uk/about/what-we-do/our-programmes/nice-guidance/antimicrobial-prescribing-guidelines" TargetMode="Externa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9D2B5-D076-4B88-A843-F296B657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4580</Words>
  <Characters>28720</Characters>
  <Application>Microsoft Office Word</Application>
  <DocSecurity>0</DocSecurity>
  <Lines>611</Lines>
  <Paragraphs>326</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32974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2017-05-19T05:23:00Z</cp:lastPrinted>
  <dcterms:created xsi:type="dcterms:W3CDTF">2017-12-08T02:38:00Z</dcterms:created>
  <dcterms:modified xsi:type="dcterms:W3CDTF">2017-12-08T03:31:00Z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