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486448">
        <w:rPr>
          <w:rFonts w:ascii="Garamond" w:hAnsi="Garamond"/>
          <w:color w:val="000000"/>
          <w:lang w:val="en-AU"/>
        </w:rPr>
        <w:t>58</w:t>
      </w:r>
    </w:p>
    <w:p w:rsidR="00755242" w:rsidRPr="000170DA" w:rsidRDefault="002B0994" w:rsidP="00B160EF">
      <w:pPr>
        <w:rPr>
          <w:rFonts w:ascii="Garamond" w:hAnsi="Garamond"/>
          <w:lang w:val="en-AU"/>
        </w:rPr>
      </w:pPr>
      <w:r>
        <w:rPr>
          <w:rFonts w:ascii="Garamond" w:hAnsi="Garamond"/>
          <w:lang w:val="en-AU"/>
        </w:rPr>
        <w:t>1</w:t>
      </w:r>
      <w:r w:rsidR="00486448">
        <w:rPr>
          <w:rFonts w:ascii="Garamond" w:hAnsi="Garamond"/>
          <w:lang w:val="en-AU"/>
        </w:rPr>
        <w:t>9</w:t>
      </w:r>
      <w:r w:rsidR="00993862">
        <w:rPr>
          <w:rFonts w:ascii="Garamond" w:hAnsi="Garamond"/>
          <w:lang w:val="en-AU"/>
        </w:rPr>
        <w:t xml:space="preserve"> Febr</w:t>
      </w:r>
      <w:r w:rsidR="002F7586">
        <w:rPr>
          <w:rFonts w:ascii="Garamond" w:hAnsi="Garamond"/>
          <w:lang w:val="en-AU"/>
        </w:rPr>
        <w:t>uary 2018</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0"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0"/>
      <w:r w:rsidR="006E4856">
        <w:rPr>
          <w:rFonts w:ascii="Garamond" w:hAnsi="Garamond"/>
          <w:bCs/>
          <w:lang w:val="en-AU"/>
        </w:rPr>
        <w:t>, Alice Bhasale</w:t>
      </w:r>
    </w:p>
    <w:p w:rsidR="00727B35" w:rsidRDefault="00727B35" w:rsidP="00691DE3">
      <w:pPr>
        <w:keepLines/>
        <w:autoSpaceDE w:val="0"/>
        <w:autoSpaceDN w:val="0"/>
        <w:adjustRightInd w:val="0"/>
        <w:rPr>
          <w:rFonts w:ascii="Garamond" w:hAnsi="Garamond"/>
          <w:lang w:val="en-AU"/>
        </w:rPr>
      </w:pPr>
    </w:p>
    <w:p w:rsidR="00A4218C" w:rsidRDefault="00A4218C" w:rsidP="00691DE3">
      <w:pPr>
        <w:keepLines/>
        <w:autoSpaceDE w:val="0"/>
        <w:autoSpaceDN w:val="0"/>
        <w:adjustRightInd w:val="0"/>
        <w:rPr>
          <w:rFonts w:ascii="Garamond" w:hAnsi="Garamond"/>
          <w:lang w:val="en-AU"/>
        </w:rPr>
      </w:pPr>
    </w:p>
    <w:p w:rsidR="00993862" w:rsidRDefault="00993862" w:rsidP="00644660">
      <w:pPr>
        <w:keepNext/>
        <w:keepLines/>
        <w:autoSpaceDE w:val="0"/>
        <w:autoSpaceDN w:val="0"/>
        <w:adjustRightInd w:val="0"/>
        <w:rPr>
          <w:rFonts w:ascii="Garamond" w:hAnsi="Garamond"/>
          <w:b/>
          <w:lang w:val="en-AU"/>
        </w:rPr>
      </w:pPr>
      <w:r>
        <w:rPr>
          <w:rFonts w:ascii="Garamond" w:hAnsi="Garamond"/>
          <w:b/>
          <w:lang w:val="en-AU"/>
        </w:rPr>
        <w:t>Reports</w:t>
      </w:r>
    </w:p>
    <w:p w:rsidR="00E521D0" w:rsidRDefault="00E521D0" w:rsidP="00E521D0">
      <w:pPr>
        <w:keepLines/>
        <w:autoSpaceDE w:val="0"/>
        <w:autoSpaceDN w:val="0"/>
        <w:adjustRightInd w:val="0"/>
        <w:rPr>
          <w:rFonts w:ascii="Garamond" w:hAnsi="Garamond"/>
          <w:lang w:val="en-AU"/>
        </w:rPr>
      </w:pPr>
    </w:p>
    <w:p w:rsidR="00680FD3" w:rsidRPr="001A7333" w:rsidRDefault="001A7333" w:rsidP="00993862">
      <w:pPr>
        <w:keepLines/>
        <w:autoSpaceDE w:val="0"/>
        <w:autoSpaceDN w:val="0"/>
        <w:adjustRightInd w:val="0"/>
        <w:rPr>
          <w:rFonts w:ascii="Garamond" w:hAnsi="Garamond"/>
          <w:i/>
          <w:lang w:val="en-AU"/>
        </w:rPr>
      </w:pPr>
      <w:r w:rsidRPr="001A7333">
        <w:rPr>
          <w:rFonts w:ascii="Garamond" w:hAnsi="Garamond"/>
          <w:i/>
          <w:lang w:val="en-AU"/>
        </w:rPr>
        <w:t>The Future of Precision Medicine in Australia</w:t>
      </w:r>
    </w:p>
    <w:p w:rsidR="00B95807" w:rsidRDefault="00B95807" w:rsidP="00993862">
      <w:pPr>
        <w:keepLines/>
        <w:autoSpaceDE w:val="0"/>
        <w:autoSpaceDN w:val="0"/>
        <w:adjustRightInd w:val="0"/>
        <w:rPr>
          <w:rFonts w:ascii="Garamond" w:hAnsi="Garamond"/>
          <w:lang w:val="en-AU"/>
        </w:rPr>
      </w:pPr>
      <w:r w:rsidRPr="00B95807">
        <w:rPr>
          <w:rFonts w:ascii="Garamond" w:hAnsi="Garamond"/>
          <w:lang w:val="en-AU"/>
        </w:rPr>
        <w:t>Williamson R, Anderson W, Duckett SJ, Frazer IH, Hillyard C, Kowal E, et al.</w:t>
      </w:r>
    </w:p>
    <w:p w:rsidR="001A7333" w:rsidRPr="00F91F19" w:rsidRDefault="00B95807" w:rsidP="00993862">
      <w:pPr>
        <w:keepLines/>
        <w:autoSpaceDE w:val="0"/>
        <w:autoSpaceDN w:val="0"/>
        <w:adjustRightInd w:val="0"/>
        <w:rPr>
          <w:rFonts w:ascii="Garamond" w:hAnsi="Garamond"/>
          <w:lang w:val="en-AU"/>
        </w:rPr>
      </w:pPr>
      <w:r w:rsidRPr="00B95807">
        <w:rPr>
          <w:rFonts w:ascii="Garamond" w:hAnsi="Garamond"/>
          <w:lang w:val="en-AU"/>
        </w:rPr>
        <w:t>Melbourne: Australian Council of Learned Academies; 2018.</w:t>
      </w:r>
    </w:p>
    <w:tbl>
      <w:tblPr>
        <w:tblStyle w:val="TableGrid"/>
        <w:tblW w:w="0" w:type="auto"/>
        <w:tblInd w:w="288" w:type="dxa"/>
        <w:tblLayout w:type="fixed"/>
        <w:tblLook w:val="01E0" w:firstRow="1" w:lastRow="1" w:firstColumn="1" w:lastColumn="1" w:noHBand="0" w:noVBand="0"/>
      </w:tblPr>
      <w:tblGrid>
        <w:gridCol w:w="1080"/>
        <w:gridCol w:w="8280"/>
      </w:tblGrid>
      <w:tr w:rsidR="00993862" w:rsidRPr="00C3014C"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C3014C" w:rsidRDefault="00993862" w:rsidP="00625C0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3862" w:rsidRPr="00C3014C" w:rsidRDefault="006C420A" w:rsidP="001A7333">
            <w:pPr>
              <w:rPr>
                <w:rStyle w:val="Hyperlink"/>
                <w:rFonts w:ascii="Garamond" w:hAnsi="Garamond"/>
                <w:color w:val="auto"/>
                <w:u w:val="none"/>
                <w:lang w:val="en-AU"/>
              </w:rPr>
            </w:pPr>
            <w:hyperlink r:id="rId16" w:history="1">
              <w:r w:rsidR="001A7333" w:rsidRPr="009A40E6">
                <w:rPr>
                  <w:rStyle w:val="Hyperlink"/>
                  <w:rFonts w:ascii="Garamond" w:hAnsi="Garamond"/>
                  <w:lang w:val="en-AU"/>
                </w:rPr>
                <w:t>https://acola.org.au/wp/pmed/</w:t>
              </w:r>
            </w:hyperlink>
          </w:p>
        </w:tc>
      </w:tr>
      <w:tr w:rsidR="00993862" w:rsidRPr="00C3014C"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C3014C" w:rsidRDefault="00993862" w:rsidP="00625C0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Default="00B95807" w:rsidP="00B95807">
            <w:pPr>
              <w:rPr>
                <w:rFonts w:ascii="Garamond" w:hAnsi="Garamond"/>
                <w:lang w:val="en-AU"/>
              </w:rPr>
            </w:pPr>
            <w:r>
              <w:rPr>
                <w:rFonts w:ascii="Garamond" w:hAnsi="Garamond"/>
                <w:lang w:val="en-AU"/>
              </w:rPr>
              <w:t xml:space="preserve">This report </w:t>
            </w:r>
            <w:r w:rsidRPr="00B95807">
              <w:rPr>
                <w:rFonts w:ascii="Garamond" w:hAnsi="Garamond"/>
                <w:lang w:val="en-AU"/>
              </w:rPr>
              <w:t xml:space="preserve">released by the Australian Council of Learned Academies </w:t>
            </w:r>
            <w:r>
              <w:rPr>
                <w:rFonts w:ascii="Garamond" w:hAnsi="Garamond"/>
                <w:lang w:val="en-AU"/>
              </w:rPr>
              <w:t xml:space="preserve">suggests </w:t>
            </w:r>
            <w:r w:rsidRPr="00B95807">
              <w:rPr>
                <w:rFonts w:ascii="Garamond" w:hAnsi="Garamond"/>
                <w:lang w:val="en-AU"/>
              </w:rPr>
              <w:t>that precision medicine has the potential to transform Australia’s health care system.</w:t>
            </w:r>
            <w:r>
              <w:rPr>
                <w:rFonts w:ascii="Garamond" w:hAnsi="Garamond"/>
                <w:lang w:val="en-AU"/>
              </w:rPr>
              <w:t xml:space="preserve"> </w:t>
            </w:r>
            <w:r w:rsidRPr="00B95807">
              <w:rPr>
                <w:rFonts w:ascii="Garamond" w:hAnsi="Garamond"/>
                <w:lang w:val="en-AU"/>
              </w:rPr>
              <w:t>Precision medicine combines knowledge of a person’s unique genetic makeup</w:t>
            </w:r>
            <w:r>
              <w:rPr>
                <w:rFonts w:ascii="Garamond" w:hAnsi="Garamond"/>
                <w:lang w:val="en-AU"/>
              </w:rPr>
              <w:t xml:space="preserve"> along with a range of other information, including the patient’s </w:t>
            </w:r>
            <w:r w:rsidRPr="00B95807">
              <w:rPr>
                <w:rFonts w:ascii="Garamond" w:hAnsi="Garamond"/>
                <w:lang w:val="en-AU"/>
              </w:rPr>
              <w:t>environment</w:t>
            </w:r>
            <w:r>
              <w:rPr>
                <w:rFonts w:ascii="Garamond" w:hAnsi="Garamond"/>
                <w:lang w:val="en-AU"/>
              </w:rPr>
              <w:t xml:space="preserve">, so as tailor care for the </w:t>
            </w:r>
            <w:r w:rsidRPr="00B95807">
              <w:rPr>
                <w:rFonts w:ascii="Garamond" w:hAnsi="Garamond"/>
                <w:lang w:val="en-AU"/>
              </w:rPr>
              <w:t>individual</w:t>
            </w:r>
            <w:r>
              <w:rPr>
                <w:rFonts w:ascii="Garamond" w:hAnsi="Garamond"/>
                <w:lang w:val="en-AU"/>
              </w:rPr>
              <w:t>’s specific</w:t>
            </w:r>
            <w:r w:rsidRPr="00B95807">
              <w:rPr>
                <w:rFonts w:ascii="Garamond" w:hAnsi="Garamond"/>
                <w:lang w:val="en-AU"/>
              </w:rPr>
              <w:t xml:space="preserve"> needs.</w:t>
            </w:r>
            <w:r>
              <w:rPr>
                <w:rFonts w:ascii="Garamond" w:hAnsi="Garamond"/>
                <w:lang w:val="en-AU"/>
              </w:rPr>
              <w:t xml:space="preserve"> This report argues that ‘precision medicine’ is positioned to move beyond current areas</w:t>
            </w:r>
            <w:r w:rsidRPr="00B95807">
              <w:rPr>
                <w:rFonts w:ascii="Garamond" w:hAnsi="Garamond"/>
                <w:lang w:val="en-AU"/>
              </w:rPr>
              <w:t>, such as cancer and single-gene disorders</w:t>
            </w:r>
            <w:r>
              <w:rPr>
                <w:rFonts w:ascii="Garamond" w:hAnsi="Garamond"/>
                <w:lang w:val="en-AU"/>
              </w:rPr>
              <w:t xml:space="preserve">, and could help </w:t>
            </w:r>
            <w:r w:rsidRPr="00B95807">
              <w:rPr>
                <w:rFonts w:ascii="Garamond" w:hAnsi="Garamond"/>
                <w:lang w:val="en-AU"/>
              </w:rPr>
              <w:t>improve health outcomes for complex disorders, such as diabetes and cardiovascular disease.</w:t>
            </w:r>
          </w:p>
          <w:p w:rsidR="009B1596" w:rsidRPr="00680FD3" w:rsidRDefault="00B95807" w:rsidP="00B95807">
            <w:pPr>
              <w:rPr>
                <w:rFonts w:ascii="Garamond" w:hAnsi="Garamond"/>
                <w:lang w:val="en-AU"/>
              </w:rPr>
            </w:pPr>
            <w:r>
              <w:rPr>
                <w:rFonts w:ascii="Garamond" w:hAnsi="Garamond"/>
                <w:lang w:val="en-AU"/>
              </w:rPr>
              <w:t xml:space="preserve">However, some voices temper the enthusiasm. </w:t>
            </w:r>
            <w:r w:rsidR="009B1596">
              <w:rPr>
                <w:rFonts w:ascii="Garamond" w:hAnsi="Garamond"/>
                <w:lang w:val="en-AU"/>
              </w:rPr>
              <w:t xml:space="preserve">As a piece in the </w:t>
            </w:r>
            <w:r w:rsidR="009B1596" w:rsidRPr="00FC0321">
              <w:rPr>
                <w:rFonts w:ascii="Garamond" w:hAnsi="Garamond"/>
                <w:i/>
                <w:lang w:val="en-AU"/>
              </w:rPr>
              <w:t>New England of Medicine</w:t>
            </w:r>
            <w:r w:rsidR="009B1596">
              <w:rPr>
                <w:rFonts w:ascii="Garamond" w:hAnsi="Garamond"/>
                <w:lang w:val="en-AU"/>
              </w:rPr>
              <w:t xml:space="preserve"> a while ago put it, ‘Precision Medicine – Personalized, Problematic and Promising’.</w:t>
            </w:r>
            <w:r>
              <w:rPr>
                <w:rFonts w:ascii="Garamond" w:hAnsi="Garamond"/>
                <w:lang w:val="en-AU"/>
              </w:rPr>
              <w:t xml:space="preserve"> Some of the concerns are not only about cost, access and equity but also around increased unwarranted diagnoses and/or overdiagnosis and unnecessary, possibly even harmful, treatment</w:t>
            </w:r>
          </w:p>
        </w:tc>
      </w:tr>
    </w:tbl>
    <w:p w:rsidR="00993862" w:rsidRDefault="00993862" w:rsidP="00993862">
      <w:pPr>
        <w:rPr>
          <w:rFonts w:ascii="Garamond" w:hAnsi="Garamond"/>
          <w:lang w:val="en-AU"/>
        </w:rPr>
      </w:pPr>
    </w:p>
    <w:p w:rsidR="00993862" w:rsidRDefault="00993862" w:rsidP="00993862">
      <w:pPr>
        <w:rPr>
          <w:rFonts w:ascii="Garamond" w:hAnsi="Garamond"/>
          <w:lang w:val="en-AU"/>
        </w:rPr>
      </w:pPr>
    </w:p>
    <w:p w:rsidR="000C6A11" w:rsidRPr="000170DA" w:rsidRDefault="000C6A11" w:rsidP="00644660">
      <w:pPr>
        <w:keepNext/>
        <w:keepLines/>
        <w:autoSpaceDE w:val="0"/>
        <w:autoSpaceDN w:val="0"/>
        <w:adjustRightInd w:val="0"/>
        <w:rPr>
          <w:rFonts w:ascii="Garamond" w:hAnsi="Garamond"/>
          <w:b/>
          <w:lang w:val="en-AU"/>
        </w:rPr>
      </w:pPr>
      <w:r w:rsidRPr="000170DA">
        <w:rPr>
          <w:rFonts w:ascii="Garamond" w:hAnsi="Garamond"/>
          <w:b/>
          <w:lang w:val="en-AU"/>
        </w:rPr>
        <w:lastRenderedPageBreak/>
        <w:t>Journal articles</w:t>
      </w:r>
    </w:p>
    <w:p w:rsidR="00FC4511" w:rsidRDefault="00FC4511" w:rsidP="00EA7E4B">
      <w:pPr>
        <w:keepLines/>
        <w:autoSpaceDE w:val="0"/>
        <w:autoSpaceDN w:val="0"/>
        <w:adjustRightInd w:val="0"/>
        <w:rPr>
          <w:rFonts w:ascii="Garamond" w:hAnsi="Garamond"/>
          <w:lang w:val="en-AU"/>
        </w:rPr>
      </w:pPr>
    </w:p>
    <w:p w:rsidR="006E4856" w:rsidRPr="006E4856" w:rsidRDefault="006E4856" w:rsidP="006E4856">
      <w:pPr>
        <w:keepLines/>
        <w:autoSpaceDE w:val="0"/>
        <w:autoSpaceDN w:val="0"/>
        <w:adjustRightInd w:val="0"/>
        <w:rPr>
          <w:rFonts w:ascii="Garamond" w:hAnsi="Garamond"/>
          <w:i/>
          <w:lang w:val="en-AU"/>
        </w:rPr>
      </w:pPr>
      <w:r w:rsidRPr="006E4856">
        <w:rPr>
          <w:rFonts w:ascii="Garamond" w:hAnsi="Garamond"/>
          <w:i/>
          <w:lang w:val="en-AU"/>
        </w:rPr>
        <w:t>Australia urgently needs a quality improvement approach to emergency laparotomy</w:t>
      </w:r>
    </w:p>
    <w:p w:rsidR="006E4856" w:rsidRDefault="007C520B" w:rsidP="007C520B">
      <w:pPr>
        <w:keepLines/>
        <w:autoSpaceDE w:val="0"/>
        <w:autoSpaceDN w:val="0"/>
        <w:adjustRightInd w:val="0"/>
        <w:rPr>
          <w:rFonts w:ascii="Garamond" w:hAnsi="Garamond"/>
          <w:lang w:val="en-AU"/>
        </w:rPr>
      </w:pPr>
      <w:r w:rsidRPr="007C520B">
        <w:rPr>
          <w:rFonts w:ascii="Garamond" w:hAnsi="Garamond"/>
          <w:lang w:val="en-AU"/>
        </w:rPr>
        <w:t>Broughton KJ, Aitken RJ</w:t>
      </w:r>
    </w:p>
    <w:p w:rsidR="00A4218C" w:rsidRPr="007C520B" w:rsidRDefault="007C520B" w:rsidP="007C520B">
      <w:pPr>
        <w:keepLines/>
        <w:autoSpaceDE w:val="0"/>
        <w:autoSpaceDN w:val="0"/>
        <w:adjustRightInd w:val="0"/>
        <w:rPr>
          <w:rFonts w:ascii="Garamond" w:hAnsi="Garamond"/>
          <w:lang w:val="en-AU"/>
        </w:rPr>
      </w:pPr>
      <w:r w:rsidRPr="007C520B">
        <w:rPr>
          <w:rFonts w:ascii="Garamond" w:hAnsi="Garamond"/>
          <w:lang w:val="en-AU"/>
        </w:rPr>
        <w:t>Med</w:t>
      </w:r>
      <w:r w:rsidR="006E4856">
        <w:rPr>
          <w:rFonts w:ascii="Garamond" w:hAnsi="Garamond"/>
          <w:lang w:val="en-AU"/>
        </w:rPr>
        <w:t>ical</w:t>
      </w:r>
      <w:r w:rsidRPr="007C520B">
        <w:rPr>
          <w:rFonts w:ascii="Garamond" w:hAnsi="Garamond"/>
          <w:lang w:val="en-AU"/>
        </w:rPr>
        <w:t xml:space="preserve"> J</w:t>
      </w:r>
      <w:r w:rsidR="006E4856">
        <w:rPr>
          <w:rFonts w:ascii="Garamond" w:hAnsi="Garamond"/>
          <w:lang w:val="en-AU"/>
        </w:rPr>
        <w:t>ournal of</w:t>
      </w:r>
      <w:r w:rsidRPr="007C520B">
        <w:rPr>
          <w:rFonts w:ascii="Garamond" w:hAnsi="Garamond"/>
          <w:lang w:val="en-AU"/>
        </w:rPr>
        <w:t xml:space="preserve"> Aust</w:t>
      </w:r>
      <w:r w:rsidR="006E4856">
        <w:rPr>
          <w:rFonts w:ascii="Garamond" w:hAnsi="Garamond"/>
          <w:lang w:val="en-AU"/>
        </w:rPr>
        <w:t>ralia</w:t>
      </w:r>
      <w:r w:rsidRPr="007C520B">
        <w:rPr>
          <w:rFonts w:ascii="Garamond" w:hAnsi="Garamond"/>
          <w:lang w:val="en-AU"/>
        </w:rPr>
        <w:t xml:space="preserve"> 2018</w:t>
      </w:r>
      <w:proofErr w:type="gramStart"/>
      <w:r w:rsidRPr="007C520B">
        <w:rPr>
          <w:rFonts w:ascii="Garamond" w:hAnsi="Garamond"/>
          <w:lang w:val="en-AU"/>
        </w:rPr>
        <w:t>;208:58</w:t>
      </w:r>
      <w:proofErr w:type="gramEnd"/>
      <w:r w:rsidRPr="007C520B">
        <w:rPr>
          <w:rFonts w:ascii="Garamond" w:hAnsi="Garamond"/>
          <w:lang w:val="en-AU"/>
        </w:rPr>
        <w:t>-9.</w:t>
      </w:r>
    </w:p>
    <w:tbl>
      <w:tblPr>
        <w:tblStyle w:val="TableGrid"/>
        <w:tblW w:w="0" w:type="auto"/>
        <w:tblInd w:w="288" w:type="dxa"/>
        <w:tblLayout w:type="fixed"/>
        <w:tblLook w:val="01E0" w:firstRow="1" w:lastRow="1" w:firstColumn="1" w:lastColumn="1" w:noHBand="0" w:noVBand="0"/>
      </w:tblPr>
      <w:tblGrid>
        <w:gridCol w:w="1080"/>
        <w:gridCol w:w="8280"/>
      </w:tblGrid>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Pr="000170DA" w:rsidRDefault="006C420A" w:rsidP="006E4856">
            <w:pPr>
              <w:rPr>
                <w:rStyle w:val="Hyperlink"/>
                <w:rFonts w:ascii="Garamond" w:hAnsi="Garamond"/>
                <w:color w:val="auto"/>
                <w:u w:val="none"/>
                <w:lang w:val="en-AU"/>
              </w:rPr>
            </w:pPr>
            <w:hyperlink r:id="rId17" w:history="1">
              <w:r w:rsidR="006E4856" w:rsidRPr="00F41A8C">
                <w:rPr>
                  <w:rStyle w:val="Hyperlink"/>
                  <w:rFonts w:ascii="Garamond" w:hAnsi="Garamond"/>
                  <w:lang w:val="en-AU"/>
                </w:rPr>
                <w:t>https://dx.doi.org/10.5694/mja17.00793</w:t>
              </w:r>
            </w:hyperlink>
          </w:p>
        </w:tc>
      </w:tr>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Pr="002B0994" w:rsidRDefault="00341BB9" w:rsidP="006E4856">
            <w:pPr>
              <w:rPr>
                <w:rFonts w:ascii="Garamond" w:hAnsi="Garamond"/>
                <w:lang w:val="en-AU"/>
              </w:rPr>
            </w:pPr>
            <w:r>
              <w:rPr>
                <w:rFonts w:ascii="Garamond" w:hAnsi="Garamond"/>
                <w:lang w:val="en-AU"/>
              </w:rPr>
              <w:t xml:space="preserve">The authors argue for a national quality improvement registry for </w:t>
            </w:r>
            <w:r w:rsidR="00AF63A5">
              <w:rPr>
                <w:rFonts w:ascii="Garamond" w:hAnsi="Garamond"/>
                <w:lang w:val="en-AU"/>
              </w:rPr>
              <w:t>acute abdomen due to its high predictive mortality (8</w:t>
            </w:r>
            <w:r w:rsidR="006E4856">
              <w:rPr>
                <w:rFonts w:ascii="Garamond" w:hAnsi="Garamond"/>
                <w:lang w:val="en-AU"/>
              </w:rPr>
              <w:t>–</w:t>
            </w:r>
            <w:r w:rsidR="00AF63A5">
              <w:rPr>
                <w:rFonts w:ascii="Garamond" w:hAnsi="Garamond"/>
                <w:lang w:val="en-AU"/>
              </w:rPr>
              <w:t xml:space="preserve">15%), the time-critical nature of early antibiotic intervention, and the risks associated with emergency laparotomy. They quote the success of </w:t>
            </w:r>
            <w:r w:rsidR="00C51184">
              <w:rPr>
                <w:rFonts w:ascii="Garamond" w:hAnsi="Garamond"/>
                <w:lang w:val="en-AU"/>
              </w:rPr>
              <w:t xml:space="preserve">international </w:t>
            </w:r>
            <w:r w:rsidR="00AF63A5">
              <w:rPr>
                <w:rFonts w:ascii="Garamond" w:hAnsi="Garamond"/>
                <w:lang w:val="en-AU"/>
              </w:rPr>
              <w:t>quality improvement initiatives which reduced 30 day mortality following emergency laparotomy from 15.6</w:t>
            </w:r>
            <w:r w:rsidR="00C51184">
              <w:rPr>
                <w:rFonts w:ascii="Garamond" w:hAnsi="Garamond"/>
                <w:lang w:val="en-AU"/>
              </w:rPr>
              <w:t>%</w:t>
            </w:r>
            <w:r w:rsidR="00AF63A5">
              <w:rPr>
                <w:rFonts w:ascii="Garamond" w:hAnsi="Garamond"/>
                <w:lang w:val="en-AU"/>
              </w:rPr>
              <w:t xml:space="preserve"> in the UK to </w:t>
            </w:r>
            <w:proofErr w:type="gramStart"/>
            <w:r w:rsidR="00AF63A5">
              <w:rPr>
                <w:rFonts w:ascii="Garamond" w:hAnsi="Garamond"/>
                <w:lang w:val="en-AU"/>
              </w:rPr>
              <w:t>9.6%</w:t>
            </w:r>
            <w:r w:rsidR="00C51184">
              <w:rPr>
                <w:rFonts w:ascii="Garamond" w:hAnsi="Garamond"/>
                <w:lang w:val="en-AU"/>
              </w:rPr>
              <w:t>,</w:t>
            </w:r>
            <w:proofErr w:type="gramEnd"/>
            <w:r w:rsidR="00C51184">
              <w:rPr>
                <w:rFonts w:ascii="Garamond" w:hAnsi="Garamond"/>
                <w:lang w:val="en-AU"/>
              </w:rPr>
              <w:t xml:space="preserve"> </w:t>
            </w:r>
            <w:r w:rsidR="00AF63A5">
              <w:rPr>
                <w:rFonts w:ascii="Garamond" w:hAnsi="Garamond"/>
                <w:lang w:val="en-AU"/>
              </w:rPr>
              <w:t xml:space="preserve">and from 21.8% to 15.5% </w:t>
            </w:r>
            <w:r w:rsidR="00C51184" w:rsidRPr="00C51184">
              <w:rPr>
                <w:rFonts w:ascii="Garamond" w:hAnsi="Garamond"/>
                <w:lang w:val="en-AU"/>
              </w:rPr>
              <w:t>in Denmark,</w:t>
            </w:r>
            <w:r w:rsidR="00C51184">
              <w:rPr>
                <w:rFonts w:ascii="Garamond" w:hAnsi="Garamond"/>
                <w:lang w:val="en-AU"/>
              </w:rPr>
              <w:t xml:space="preserve"> </w:t>
            </w:r>
            <w:r w:rsidR="00AF63A5">
              <w:rPr>
                <w:rFonts w:ascii="Garamond" w:hAnsi="Garamond"/>
                <w:lang w:val="en-AU"/>
              </w:rPr>
              <w:t xml:space="preserve">following the introduction of </w:t>
            </w:r>
            <w:r w:rsidR="00C51184">
              <w:rPr>
                <w:rFonts w:ascii="Garamond" w:hAnsi="Garamond"/>
                <w:lang w:val="en-AU"/>
              </w:rPr>
              <w:t xml:space="preserve">care </w:t>
            </w:r>
            <w:r w:rsidR="00AF63A5">
              <w:rPr>
                <w:rFonts w:ascii="Garamond" w:hAnsi="Garamond"/>
                <w:lang w:val="en-AU"/>
              </w:rPr>
              <w:t>bundle</w:t>
            </w:r>
            <w:r w:rsidR="00C51184">
              <w:rPr>
                <w:rFonts w:ascii="Garamond" w:hAnsi="Garamond"/>
                <w:lang w:val="en-AU"/>
              </w:rPr>
              <w:t xml:space="preserve">s, </w:t>
            </w:r>
            <w:r w:rsidR="00AF63A5">
              <w:rPr>
                <w:rFonts w:ascii="Garamond" w:hAnsi="Garamond"/>
                <w:lang w:val="en-AU"/>
              </w:rPr>
              <w:t>as well as reductions in ICU length</w:t>
            </w:r>
            <w:r w:rsidR="00C51184">
              <w:rPr>
                <w:rFonts w:ascii="Garamond" w:hAnsi="Garamond"/>
                <w:lang w:val="en-AU"/>
              </w:rPr>
              <w:t xml:space="preserve"> </w:t>
            </w:r>
            <w:r w:rsidR="00AF63A5">
              <w:rPr>
                <w:rFonts w:ascii="Garamond" w:hAnsi="Garamond"/>
                <w:lang w:val="en-AU"/>
              </w:rPr>
              <w:t>o</w:t>
            </w:r>
            <w:r w:rsidR="00C51184">
              <w:rPr>
                <w:rFonts w:ascii="Garamond" w:hAnsi="Garamond"/>
                <w:lang w:val="en-AU"/>
              </w:rPr>
              <w:t>f</w:t>
            </w:r>
            <w:r w:rsidR="00AF63A5">
              <w:rPr>
                <w:rFonts w:ascii="Garamond" w:hAnsi="Garamond"/>
                <w:lang w:val="en-AU"/>
              </w:rPr>
              <w:t xml:space="preserve"> stay</w:t>
            </w:r>
            <w:r w:rsidR="00C51184">
              <w:rPr>
                <w:rFonts w:ascii="Garamond" w:hAnsi="Garamond"/>
                <w:lang w:val="en-AU"/>
              </w:rPr>
              <w:t>. They report specialty support from t</w:t>
            </w:r>
            <w:r w:rsidR="00C51184" w:rsidRPr="00C51184">
              <w:rPr>
                <w:rFonts w:ascii="Garamond" w:hAnsi="Garamond"/>
                <w:lang w:val="en-AU"/>
              </w:rPr>
              <w:t>he councils of the Royal Australasian College of Surgeons and the Australian and New Zealand College of Anaesthetists</w:t>
            </w:r>
            <w:r w:rsidR="00C51184">
              <w:rPr>
                <w:rFonts w:ascii="Garamond" w:hAnsi="Garamond"/>
                <w:lang w:val="en-AU"/>
              </w:rPr>
              <w:t xml:space="preserve"> to take this work further.</w:t>
            </w:r>
          </w:p>
        </w:tc>
      </w:tr>
    </w:tbl>
    <w:p w:rsidR="00A4218C" w:rsidRDefault="00A4218C" w:rsidP="00A4218C">
      <w:pPr>
        <w:keepLines/>
        <w:autoSpaceDE w:val="0"/>
        <w:autoSpaceDN w:val="0"/>
        <w:adjustRightInd w:val="0"/>
        <w:rPr>
          <w:rFonts w:ascii="Garamond" w:hAnsi="Garamond"/>
          <w:lang w:val="en-AU"/>
        </w:rPr>
      </w:pPr>
    </w:p>
    <w:p w:rsidR="00ED7ABD" w:rsidRPr="00ED7ABD" w:rsidRDefault="00ED7ABD" w:rsidP="00ED7ABD">
      <w:pPr>
        <w:keepLines/>
        <w:autoSpaceDE w:val="0"/>
        <w:autoSpaceDN w:val="0"/>
        <w:adjustRightInd w:val="0"/>
        <w:rPr>
          <w:rFonts w:ascii="Garamond" w:hAnsi="Garamond"/>
          <w:i/>
          <w:lang w:val="en-AU"/>
        </w:rPr>
      </w:pPr>
      <w:r w:rsidRPr="00ED7ABD">
        <w:rPr>
          <w:rFonts w:ascii="Garamond" w:hAnsi="Garamond"/>
          <w:i/>
          <w:lang w:val="en-AU"/>
        </w:rPr>
        <w:t>Abnormal uterine bleeding: managing endometrial dysfunction and leiomyomas</w:t>
      </w:r>
    </w:p>
    <w:p w:rsidR="006E4856" w:rsidRDefault="007C520B" w:rsidP="007C520B">
      <w:pPr>
        <w:keepLines/>
        <w:autoSpaceDE w:val="0"/>
        <w:autoSpaceDN w:val="0"/>
        <w:adjustRightInd w:val="0"/>
        <w:rPr>
          <w:rFonts w:ascii="Garamond" w:hAnsi="Garamond"/>
          <w:lang w:val="en-AU"/>
        </w:rPr>
      </w:pPr>
      <w:r w:rsidRPr="007C520B">
        <w:rPr>
          <w:rFonts w:ascii="Garamond" w:hAnsi="Garamond"/>
          <w:lang w:val="en-AU"/>
        </w:rPr>
        <w:t>Brennan A, Hickey M</w:t>
      </w:r>
    </w:p>
    <w:p w:rsidR="00486448" w:rsidRPr="007C520B" w:rsidRDefault="006E4856" w:rsidP="007C520B">
      <w:pPr>
        <w:keepLines/>
        <w:autoSpaceDE w:val="0"/>
        <w:autoSpaceDN w:val="0"/>
        <w:adjustRightInd w:val="0"/>
        <w:rPr>
          <w:rFonts w:ascii="Garamond" w:hAnsi="Garamond"/>
          <w:lang w:val="en-AU"/>
        </w:rPr>
      </w:pPr>
      <w:r w:rsidRPr="007C520B">
        <w:rPr>
          <w:rFonts w:ascii="Garamond" w:hAnsi="Garamond"/>
          <w:lang w:val="en-AU"/>
        </w:rPr>
        <w:t>Med</w:t>
      </w:r>
      <w:r>
        <w:rPr>
          <w:rFonts w:ascii="Garamond" w:hAnsi="Garamond"/>
          <w:lang w:val="en-AU"/>
        </w:rPr>
        <w:t>ical</w:t>
      </w:r>
      <w:r w:rsidRPr="007C520B">
        <w:rPr>
          <w:rFonts w:ascii="Garamond" w:hAnsi="Garamond"/>
          <w:lang w:val="en-AU"/>
        </w:rPr>
        <w:t xml:space="preserve"> J</w:t>
      </w:r>
      <w:r>
        <w:rPr>
          <w:rFonts w:ascii="Garamond" w:hAnsi="Garamond"/>
          <w:lang w:val="en-AU"/>
        </w:rPr>
        <w:t>ournal of</w:t>
      </w:r>
      <w:r w:rsidRPr="007C520B">
        <w:rPr>
          <w:rFonts w:ascii="Garamond" w:hAnsi="Garamond"/>
          <w:lang w:val="en-AU"/>
        </w:rPr>
        <w:t xml:space="preserve"> Aust</w:t>
      </w:r>
      <w:r>
        <w:rPr>
          <w:rFonts w:ascii="Garamond" w:hAnsi="Garamond"/>
          <w:lang w:val="en-AU"/>
        </w:rPr>
        <w:t>ralia</w:t>
      </w:r>
      <w:r w:rsidRPr="007C520B">
        <w:rPr>
          <w:rFonts w:ascii="Garamond" w:hAnsi="Garamond"/>
          <w:lang w:val="en-AU"/>
        </w:rPr>
        <w:t xml:space="preserve"> </w:t>
      </w:r>
      <w:r w:rsidR="007C520B" w:rsidRPr="007C520B">
        <w:rPr>
          <w:rFonts w:ascii="Garamond" w:hAnsi="Garamond"/>
          <w:lang w:val="en-AU"/>
        </w:rPr>
        <w:t>2018</w:t>
      </w:r>
      <w:proofErr w:type="gramStart"/>
      <w:r w:rsidR="007C520B" w:rsidRPr="007C520B">
        <w:rPr>
          <w:rFonts w:ascii="Garamond" w:hAnsi="Garamond"/>
          <w:lang w:val="en-AU"/>
        </w:rPr>
        <w:t>;208:90</w:t>
      </w:r>
      <w:proofErr w:type="gramEnd"/>
      <w:r w:rsidR="007C520B" w:rsidRPr="007C520B">
        <w:rPr>
          <w:rFonts w:ascii="Garamond" w:hAnsi="Garamond"/>
          <w:lang w:val="en-AU"/>
        </w:rPr>
        <w:t>-5.</w:t>
      </w:r>
    </w:p>
    <w:tbl>
      <w:tblPr>
        <w:tblStyle w:val="TableGrid"/>
        <w:tblW w:w="0" w:type="auto"/>
        <w:tblInd w:w="288" w:type="dxa"/>
        <w:tblLayout w:type="fixed"/>
        <w:tblLook w:val="01E0" w:firstRow="1" w:lastRow="1" w:firstColumn="1" w:lastColumn="1" w:noHBand="0" w:noVBand="0"/>
      </w:tblPr>
      <w:tblGrid>
        <w:gridCol w:w="1080"/>
        <w:gridCol w:w="8280"/>
      </w:tblGrid>
      <w:tr w:rsidR="00486448" w:rsidRPr="000170DA" w:rsidTr="00AF592C">
        <w:tc>
          <w:tcPr>
            <w:tcW w:w="1080" w:type="dxa"/>
            <w:tcBorders>
              <w:top w:val="single" w:sz="4" w:space="0" w:color="auto"/>
              <w:left w:val="single" w:sz="4" w:space="0" w:color="auto"/>
              <w:bottom w:val="single" w:sz="4" w:space="0" w:color="auto"/>
              <w:right w:val="single" w:sz="4" w:space="0" w:color="auto"/>
            </w:tcBorders>
            <w:vAlign w:val="center"/>
          </w:tcPr>
          <w:p w:rsidR="00486448" w:rsidRPr="000170DA" w:rsidRDefault="00486448" w:rsidP="00AF592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6448" w:rsidRPr="000170DA" w:rsidRDefault="006C420A" w:rsidP="006E4856">
            <w:pPr>
              <w:rPr>
                <w:rStyle w:val="Hyperlink"/>
                <w:rFonts w:ascii="Garamond" w:hAnsi="Garamond"/>
                <w:color w:val="auto"/>
                <w:u w:val="none"/>
                <w:lang w:val="en-AU"/>
              </w:rPr>
            </w:pPr>
            <w:hyperlink r:id="rId18" w:history="1">
              <w:r w:rsidR="006E4856" w:rsidRPr="00F41A8C">
                <w:rPr>
                  <w:rStyle w:val="Hyperlink"/>
                  <w:rFonts w:ascii="Garamond" w:hAnsi="Garamond"/>
                  <w:lang w:val="en-AU"/>
                </w:rPr>
                <w:t>https://dx.doi.org/10.5694/mja17.00726</w:t>
              </w:r>
            </w:hyperlink>
          </w:p>
        </w:tc>
      </w:tr>
      <w:tr w:rsidR="00486448" w:rsidRPr="000170DA" w:rsidTr="00AF592C">
        <w:tc>
          <w:tcPr>
            <w:tcW w:w="1080" w:type="dxa"/>
            <w:tcBorders>
              <w:top w:val="single" w:sz="4" w:space="0" w:color="auto"/>
              <w:left w:val="single" w:sz="4" w:space="0" w:color="auto"/>
              <w:bottom w:val="single" w:sz="4" w:space="0" w:color="auto"/>
              <w:right w:val="single" w:sz="4" w:space="0" w:color="auto"/>
            </w:tcBorders>
            <w:vAlign w:val="center"/>
          </w:tcPr>
          <w:p w:rsidR="00486448" w:rsidRPr="000170DA" w:rsidRDefault="00486448" w:rsidP="00AF59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41BB9" w:rsidRPr="002B0994" w:rsidRDefault="00C632E4" w:rsidP="006E4856">
            <w:pPr>
              <w:rPr>
                <w:rFonts w:ascii="Garamond" w:hAnsi="Garamond"/>
                <w:lang w:val="en-AU"/>
              </w:rPr>
            </w:pPr>
            <w:r>
              <w:rPr>
                <w:rFonts w:ascii="Garamond" w:hAnsi="Garamond"/>
                <w:lang w:val="en-AU"/>
              </w:rPr>
              <w:t xml:space="preserve">A narrative </w:t>
            </w:r>
            <w:r w:rsidR="00AA1510">
              <w:rPr>
                <w:rFonts w:ascii="Garamond" w:hAnsi="Garamond"/>
                <w:lang w:val="en-AU"/>
              </w:rPr>
              <w:t>summary</w:t>
            </w:r>
            <w:r>
              <w:rPr>
                <w:rFonts w:ascii="Garamond" w:hAnsi="Garamond"/>
                <w:lang w:val="en-AU"/>
              </w:rPr>
              <w:t xml:space="preserve"> of current </w:t>
            </w:r>
            <w:r w:rsidR="000225C4">
              <w:rPr>
                <w:rFonts w:ascii="Garamond" w:hAnsi="Garamond"/>
                <w:lang w:val="en-AU"/>
              </w:rPr>
              <w:t xml:space="preserve">systematic reviews and </w:t>
            </w:r>
            <w:r w:rsidR="00AA1510">
              <w:rPr>
                <w:rFonts w:ascii="Garamond" w:hAnsi="Garamond"/>
                <w:lang w:val="en-AU"/>
              </w:rPr>
              <w:t xml:space="preserve">current </w:t>
            </w:r>
            <w:r>
              <w:rPr>
                <w:rFonts w:ascii="Garamond" w:hAnsi="Garamond"/>
                <w:lang w:val="en-AU"/>
              </w:rPr>
              <w:t>recommendations for the management of abnormal uterine bleeding, including heavy menstrual bleeding and leiomyomas (</w:t>
            </w:r>
            <w:r w:rsidR="00341BB9">
              <w:rPr>
                <w:rFonts w:ascii="Garamond" w:hAnsi="Garamond"/>
                <w:lang w:val="en-AU"/>
              </w:rPr>
              <w:t xml:space="preserve">uterine </w:t>
            </w:r>
            <w:r>
              <w:rPr>
                <w:rFonts w:ascii="Garamond" w:hAnsi="Garamond"/>
                <w:lang w:val="en-AU"/>
              </w:rPr>
              <w:t xml:space="preserve">fibroids). The review concludes that </w:t>
            </w:r>
            <w:r w:rsidR="00AA1510">
              <w:rPr>
                <w:rFonts w:ascii="Garamond" w:hAnsi="Garamond"/>
                <w:lang w:val="en-AU"/>
              </w:rPr>
              <w:t xml:space="preserve">further research is needed on the </w:t>
            </w:r>
            <w:r w:rsidR="00AA1510" w:rsidRPr="00AA1510">
              <w:rPr>
                <w:rFonts w:ascii="Garamond" w:hAnsi="Garamond"/>
                <w:lang w:val="en-AU"/>
              </w:rPr>
              <w:t>cost-effectiveness of treatments</w:t>
            </w:r>
            <w:r w:rsidR="00341BB9">
              <w:rPr>
                <w:rFonts w:ascii="Garamond" w:hAnsi="Garamond"/>
                <w:lang w:val="en-AU"/>
              </w:rPr>
              <w:t>, the effectiveness of minimally invasive treatments for uterine fibroids</w:t>
            </w:r>
            <w:r w:rsidR="00AA1510" w:rsidRPr="00AA1510">
              <w:rPr>
                <w:rFonts w:ascii="Garamond" w:hAnsi="Garamond"/>
                <w:lang w:val="en-AU"/>
              </w:rPr>
              <w:t xml:space="preserve"> and quality of life comparisons between management options using patient reported outcome measures</w:t>
            </w:r>
            <w:r w:rsidR="00AA1510">
              <w:rPr>
                <w:rFonts w:ascii="Garamond" w:hAnsi="Garamond"/>
                <w:lang w:val="en-AU"/>
              </w:rPr>
              <w:t>.</w:t>
            </w:r>
          </w:p>
        </w:tc>
      </w:tr>
    </w:tbl>
    <w:p w:rsidR="006E4856" w:rsidRDefault="006E4856" w:rsidP="00486448">
      <w:pPr>
        <w:keepLines/>
        <w:autoSpaceDE w:val="0"/>
        <w:autoSpaceDN w:val="0"/>
        <w:adjustRightInd w:val="0"/>
        <w:rPr>
          <w:rFonts w:ascii="Garamond" w:hAnsi="Garamond"/>
          <w:lang w:val="en-AU"/>
        </w:rPr>
      </w:pPr>
    </w:p>
    <w:p w:rsidR="00486448" w:rsidRDefault="00AA1510" w:rsidP="00486448">
      <w:pPr>
        <w:keepLines/>
        <w:autoSpaceDE w:val="0"/>
        <w:autoSpaceDN w:val="0"/>
        <w:adjustRightInd w:val="0"/>
        <w:rPr>
          <w:rFonts w:ascii="Garamond" w:hAnsi="Garamond"/>
          <w:lang w:val="en-AU"/>
        </w:rPr>
      </w:pPr>
      <w:r>
        <w:rPr>
          <w:rFonts w:ascii="Garamond" w:hAnsi="Garamond"/>
          <w:lang w:val="en-AU"/>
        </w:rPr>
        <w:t xml:space="preserve">The </w:t>
      </w:r>
      <w:r w:rsidR="00804970">
        <w:rPr>
          <w:rFonts w:ascii="Garamond" w:hAnsi="Garamond"/>
          <w:lang w:val="en-AU"/>
        </w:rPr>
        <w:t xml:space="preserve">Australian </w:t>
      </w:r>
      <w:r>
        <w:rPr>
          <w:rFonts w:ascii="Garamond" w:hAnsi="Garamond"/>
          <w:lang w:val="en-AU"/>
        </w:rPr>
        <w:t xml:space="preserve">Commission </w:t>
      </w:r>
      <w:r w:rsidR="00804970">
        <w:rPr>
          <w:rFonts w:ascii="Garamond" w:hAnsi="Garamond"/>
          <w:lang w:val="en-AU"/>
        </w:rPr>
        <w:t xml:space="preserve">on Safety and Quality in Health Care </w:t>
      </w:r>
      <w:r>
        <w:rPr>
          <w:rFonts w:ascii="Garamond" w:hAnsi="Garamond"/>
          <w:lang w:val="en-AU"/>
        </w:rPr>
        <w:t xml:space="preserve">recently released a </w:t>
      </w:r>
      <w:r w:rsidRPr="006E4856">
        <w:rPr>
          <w:rFonts w:ascii="Garamond" w:hAnsi="Garamond"/>
          <w:i/>
          <w:lang w:val="en-AU"/>
        </w:rPr>
        <w:t>Heavy Menstrual Bleeding Clinical Care Standard</w:t>
      </w:r>
      <w:r w:rsidR="00341BB9">
        <w:rPr>
          <w:rFonts w:ascii="Garamond" w:hAnsi="Garamond"/>
          <w:lang w:val="en-AU"/>
        </w:rPr>
        <w:t xml:space="preserve"> which supports the consideration of alternatives to hysterectomy whenever clinically appropriate. The standard was developed in response to data from </w:t>
      </w:r>
      <w:r>
        <w:rPr>
          <w:rFonts w:ascii="Garamond" w:hAnsi="Garamond"/>
          <w:lang w:val="en-AU"/>
        </w:rPr>
        <w:t xml:space="preserve">the </w:t>
      </w:r>
      <w:r w:rsidR="006E4856" w:rsidRPr="006E4856">
        <w:rPr>
          <w:rFonts w:ascii="Garamond" w:hAnsi="Garamond"/>
          <w:i/>
          <w:lang w:val="en-AU"/>
        </w:rPr>
        <w:t xml:space="preserve">Australia </w:t>
      </w:r>
      <w:r w:rsidRPr="006E4856">
        <w:rPr>
          <w:rFonts w:ascii="Garamond" w:hAnsi="Garamond"/>
          <w:i/>
          <w:lang w:val="en-AU"/>
        </w:rPr>
        <w:t>Atlas of Healthcare Variation</w:t>
      </w:r>
      <w:r w:rsidR="00341BB9">
        <w:rPr>
          <w:rFonts w:ascii="Garamond" w:hAnsi="Garamond"/>
          <w:lang w:val="en-AU"/>
        </w:rPr>
        <w:t>,</w:t>
      </w:r>
      <w:r>
        <w:rPr>
          <w:rFonts w:ascii="Garamond" w:hAnsi="Garamond"/>
          <w:lang w:val="en-AU"/>
        </w:rPr>
        <w:t xml:space="preserve"> which demonstrated widespread variation in rates of hysterectomy and endometrial ablation</w:t>
      </w:r>
      <w:r w:rsidR="00341BB9">
        <w:rPr>
          <w:rFonts w:ascii="Garamond" w:hAnsi="Garamond"/>
          <w:lang w:val="en-AU"/>
        </w:rPr>
        <w:t>.</w:t>
      </w:r>
    </w:p>
    <w:p w:rsidR="00C51184" w:rsidRDefault="00C51184" w:rsidP="00486448">
      <w:pPr>
        <w:keepLines/>
        <w:autoSpaceDE w:val="0"/>
        <w:autoSpaceDN w:val="0"/>
        <w:adjustRightInd w:val="0"/>
        <w:rPr>
          <w:rFonts w:ascii="Garamond" w:hAnsi="Garamond"/>
          <w:lang w:val="en-AU"/>
        </w:rPr>
      </w:pPr>
      <w:r>
        <w:rPr>
          <w:rFonts w:ascii="Garamond" w:hAnsi="Garamond"/>
          <w:lang w:val="en-AU"/>
        </w:rPr>
        <w:t>For more information</w:t>
      </w:r>
      <w:r w:rsidR="006E4856">
        <w:rPr>
          <w:rFonts w:ascii="Garamond" w:hAnsi="Garamond"/>
          <w:lang w:val="en-AU"/>
        </w:rPr>
        <w:t xml:space="preserve"> on the </w:t>
      </w:r>
      <w:r w:rsidR="006E4856" w:rsidRPr="006E4856">
        <w:rPr>
          <w:rFonts w:ascii="Garamond" w:hAnsi="Garamond"/>
          <w:i/>
          <w:lang w:val="en-AU"/>
        </w:rPr>
        <w:t>Heavy Menstrual Bleeding Clinical Care Standard</w:t>
      </w:r>
      <w:r w:rsidR="006E4856">
        <w:rPr>
          <w:rFonts w:ascii="Garamond" w:hAnsi="Garamond"/>
          <w:lang w:val="en-AU"/>
        </w:rPr>
        <w:t xml:space="preserve">, see </w:t>
      </w:r>
      <w:hyperlink r:id="rId19" w:history="1">
        <w:r w:rsidRPr="008438D9">
          <w:rPr>
            <w:rStyle w:val="Hyperlink"/>
            <w:rFonts w:ascii="Garamond" w:hAnsi="Garamond"/>
            <w:lang w:val="en-AU"/>
          </w:rPr>
          <w:t>https://www.safetyandquality.gov.au/our-work/clinical-care-standards/heavy-menstrual-bleeding/</w:t>
        </w:r>
      </w:hyperlink>
    </w:p>
    <w:p w:rsidR="00C51184" w:rsidRDefault="006E4856" w:rsidP="00486448">
      <w:pPr>
        <w:keepLines/>
        <w:autoSpaceDE w:val="0"/>
        <w:autoSpaceDN w:val="0"/>
        <w:adjustRightInd w:val="0"/>
        <w:rPr>
          <w:rFonts w:ascii="Garamond" w:hAnsi="Garamond"/>
          <w:lang w:val="en-AU"/>
        </w:rPr>
      </w:pPr>
      <w:r>
        <w:rPr>
          <w:rFonts w:ascii="Garamond" w:hAnsi="Garamond"/>
          <w:lang w:val="en-AU"/>
        </w:rPr>
        <w:t xml:space="preserve">For more information on the </w:t>
      </w:r>
      <w:r w:rsidRPr="006E4856">
        <w:rPr>
          <w:rFonts w:ascii="Garamond" w:hAnsi="Garamond"/>
          <w:i/>
          <w:lang w:val="en-AU"/>
        </w:rPr>
        <w:t>Australia Atlas of Healthcare Variation</w:t>
      </w:r>
      <w:r w:rsidRPr="006E4856">
        <w:rPr>
          <w:rFonts w:ascii="Garamond" w:hAnsi="Garamond"/>
          <w:lang w:val="en-AU"/>
        </w:rPr>
        <w:t>,</w:t>
      </w:r>
      <w:r w:rsidR="0096042F">
        <w:rPr>
          <w:rFonts w:ascii="Garamond" w:hAnsi="Garamond"/>
          <w:lang w:val="en-AU"/>
        </w:rPr>
        <w:t xml:space="preserve"> </w:t>
      </w:r>
      <w:r w:rsidRPr="006E4856">
        <w:rPr>
          <w:rFonts w:ascii="Garamond" w:hAnsi="Garamond"/>
          <w:lang w:val="en-AU"/>
        </w:rPr>
        <w:t>see</w:t>
      </w:r>
      <w:r w:rsidRPr="006E4856">
        <w:t xml:space="preserve"> </w:t>
      </w:r>
      <w:hyperlink r:id="rId20" w:history="1">
        <w:r w:rsidR="00C51184" w:rsidRPr="008438D9">
          <w:rPr>
            <w:rStyle w:val="Hyperlink"/>
            <w:rFonts w:ascii="Garamond" w:hAnsi="Garamond"/>
            <w:lang w:val="en-AU"/>
          </w:rPr>
          <w:t>https://www.safetyandquality.gov.au/atlas/</w:t>
        </w:r>
      </w:hyperlink>
    </w:p>
    <w:p w:rsidR="00C51184" w:rsidRDefault="00C51184" w:rsidP="00486448">
      <w:pPr>
        <w:keepLines/>
        <w:autoSpaceDE w:val="0"/>
        <w:autoSpaceDN w:val="0"/>
        <w:adjustRightInd w:val="0"/>
        <w:rPr>
          <w:rFonts w:ascii="Garamond" w:hAnsi="Garamond"/>
          <w:lang w:val="en-AU"/>
        </w:rPr>
      </w:pPr>
    </w:p>
    <w:p w:rsidR="002C381D" w:rsidRPr="001A7333" w:rsidRDefault="002C381D" w:rsidP="002C381D">
      <w:pPr>
        <w:keepLines/>
        <w:autoSpaceDE w:val="0"/>
        <w:autoSpaceDN w:val="0"/>
        <w:adjustRightInd w:val="0"/>
        <w:rPr>
          <w:rFonts w:ascii="Garamond" w:hAnsi="Garamond"/>
          <w:i/>
          <w:lang w:val="en-AU"/>
        </w:rPr>
      </w:pPr>
      <w:r w:rsidRPr="001A7333">
        <w:rPr>
          <w:rFonts w:ascii="Garamond" w:hAnsi="Garamond"/>
          <w:i/>
          <w:lang w:val="en-AU"/>
        </w:rPr>
        <w:t>The link between clinically validated patient safety indicators and clinical outcomes</w:t>
      </w:r>
    </w:p>
    <w:p w:rsidR="002C381D" w:rsidRDefault="002C381D" w:rsidP="002C381D">
      <w:pPr>
        <w:keepLines/>
        <w:autoSpaceDE w:val="0"/>
        <w:autoSpaceDN w:val="0"/>
        <w:adjustRightInd w:val="0"/>
        <w:rPr>
          <w:rFonts w:ascii="Garamond" w:hAnsi="Garamond"/>
          <w:lang w:val="en-AU"/>
        </w:rPr>
      </w:pPr>
      <w:r w:rsidRPr="002C381D">
        <w:rPr>
          <w:rFonts w:ascii="Garamond" w:hAnsi="Garamond"/>
          <w:lang w:val="en-AU"/>
        </w:rPr>
        <w:t>Gray DM, II, Hefner JL, Nguyen MC, Eiferman D, Moffatt-Bruce SD</w:t>
      </w:r>
    </w:p>
    <w:p w:rsidR="002C381D" w:rsidRPr="000170DA" w:rsidRDefault="002C381D" w:rsidP="002C381D">
      <w:pPr>
        <w:keepLines/>
        <w:autoSpaceDE w:val="0"/>
        <w:autoSpaceDN w:val="0"/>
        <w:adjustRightInd w:val="0"/>
        <w:rPr>
          <w:rFonts w:ascii="Garamond" w:hAnsi="Garamond"/>
          <w:lang w:val="en-AU"/>
        </w:rPr>
      </w:pPr>
      <w:proofErr w:type="gramStart"/>
      <w:r w:rsidRPr="002C381D">
        <w:rPr>
          <w:rFonts w:ascii="Garamond" w:hAnsi="Garamond"/>
          <w:lang w:val="en-AU"/>
        </w:rPr>
        <w:t>American Journal of Medical Quality.</w:t>
      </w:r>
      <w:proofErr w:type="gramEnd"/>
      <w:r w:rsidRPr="002C381D">
        <w:rPr>
          <w:rFonts w:ascii="Garamond" w:hAnsi="Garamond"/>
          <w:lang w:val="en-AU"/>
        </w:rPr>
        <w:t xml:space="preserve"> 2017</w:t>
      </w:r>
      <w:proofErr w:type="gramStart"/>
      <w:r w:rsidRPr="002C381D">
        <w:rPr>
          <w:rFonts w:ascii="Garamond" w:hAnsi="Garamond"/>
          <w:lang w:val="en-AU"/>
        </w:rPr>
        <w:t>;32</w:t>
      </w:r>
      <w:proofErr w:type="gramEnd"/>
      <w:r w:rsidRPr="002C381D">
        <w:rPr>
          <w:rFonts w:ascii="Garamond" w:hAnsi="Garamond"/>
          <w:lang w:val="en-AU"/>
        </w:rPr>
        <w:t>(6):583-90.</w:t>
      </w:r>
    </w:p>
    <w:tbl>
      <w:tblPr>
        <w:tblStyle w:val="TableGrid"/>
        <w:tblW w:w="0" w:type="auto"/>
        <w:tblInd w:w="288" w:type="dxa"/>
        <w:tblLayout w:type="fixed"/>
        <w:tblLook w:val="01E0" w:firstRow="1" w:lastRow="1" w:firstColumn="1" w:lastColumn="1" w:noHBand="0" w:noVBand="0"/>
      </w:tblPr>
      <w:tblGrid>
        <w:gridCol w:w="1080"/>
        <w:gridCol w:w="8280"/>
      </w:tblGrid>
      <w:tr w:rsidR="002C381D" w:rsidRPr="000170DA" w:rsidTr="00B06EFD">
        <w:tc>
          <w:tcPr>
            <w:tcW w:w="1080" w:type="dxa"/>
            <w:tcBorders>
              <w:top w:val="single" w:sz="4" w:space="0" w:color="auto"/>
              <w:left w:val="single" w:sz="4" w:space="0" w:color="auto"/>
              <w:bottom w:val="single" w:sz="4" w:space="0" w:color="auto"/>
              <w:right w:val="single" w:sz="4" w:space="0" w:color="auto"/>
            </w:tcBorders>
            <w:vAlign w:val="center"/>
          </w:tcPr>
          <w:p w:rsidR="002C381D" w:rsidRPr="000170DA" w:rsidRDefault="002C381D" w:rsidP="00B06EF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C381D" w:rsidRPr="000170DA" w:rsidRDefault="006C420A" w:rsidP="00B06EFD">
            <w:pPr>
              <w:rPr>
                <w:rStyle w:val="Hyperlink"/>
                <w:rFonts w:ascii="Garamond" w:hAnsi="Garamond"/>
                <w:color w:val="auto"/>
                <w:u w:val="none"/>
                <w:lang w:val="en-AU"/>
              </w:rPr>
            </w:pPr>
            <w:hyperlink r:id="rId21" w:history="1">
              <w:r w:rsidR="002C381D" w:rsidRPr="009A40E6">
                <w:rPr>
                  <w:rStyle w:val="Hyperlink"/>
                  <w:rFonts w:ascii="Garamond" w:hAnsi="Garamond"/>
                  <w:lang w:val="en-AU"/>
                </w:rPr>
                <w:t>https://doi.org/10.1177/1062860616683014</w:t>
              </w:r>
            </w:hyperlink>
          </w:p>
        </w:tc>
      </w:tr>
      <w:tr w:rsidR="002C381D" w:rsidRPr="000170DA" w:rsidTr="00B06EFD">
        <w:tc>
          <w:tcPr>
            <w:tcW w:w="1080" w:type="dxa"/>
            <w:tcBorders>
              <w:top w:val="single" w:sz="4" w:space="0" w:color="auto"/>
              <w:left w:val="single" w:sz="4" w:space="0" w:color="auto"/>
              <w:bottom w:val="single" w:sz="4" w:space="0" w:color="auto"/>
              <w:right w:val="single" w:sz="4" w:space="0" w:color="auto"/>
            </w:tcBorders>
            <w:vAlign w:val="center"/>
          </w:tcPr>
          <w:p w:rsidR="002C381D" w:rsidRPr="000170DA" w:rsidRDefault="002C381D" w:rsidP="00B06EF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C381D" w:rsidRPr="002B0994" w:rsidRDefault="002C381D" w:rsidP="00B06EFD">
            <w:pPr>
              <w:rPr>
                <w:rFonts w:ascii="Garamond" w:hAnsi="Garamond"/>
                <w:lang w:val="en-AU"/>
              </w:rPr>
            </w:pPr>
            <w:r>
              <w:rPr>
                <w:rFonts w:ascii="Garamond" w:hAnsi="Garamond"/>
                <w:lang w:val="en-AU"/>
              </w:rPr>
              <w:t xml:space="preserve">One of the criticisms of some data or indicator collection and use is the apparent lack of clinical validity and utility. This </w:t>
            </w:r>
            <w:r w:rsidRPr="003125D1">
              <w:rPr>
                <w:rFonts w:ascii="Garamond" w:hAnsi="Garamond"/>
                <w:lang w:val="en-AU"/>
              </w:rPr>
              <w:t>retrospective study of patient discharges from a</w:t>
            </w:r>
            <w:r>
              <w:rPr>
                <w:rFonts w:ascii="Garamond" w:hAnsi="Garamond"/>
                <w:lang w:val="en-AU"/>
              </w:rPr>
              <w:t xml:space="preserve"> US academic medical </w:t>
            </w:r>
            <w:r w:rsidR="00755376">
              <w:rPr>
                <w:rFonts w:ascii="Garamond" w:hAnsi="Garamond"/>
                <w:lang w:val="en-AU"/>
              </w:rPr>
              <w:t>centre</w:t>
            </w:r>
            <w:r>
              <w:rPr>
                <w:rFonts w:ascii="Garamond" w:hAnsi="Garamond"/>
                <w:lang w:val="en-AU"/>
              </w:rPr>
              <w:t xml:space="preserve"> (comprising 6 hospitals) sought to examine </w:t>
            </w:r>
            <w:r w:rsidRPr="002C381D">
              <w:rPr>
                <w:rFonts w:ascii="Garamond" w:hAnsi="Garamond"/>
                <w:lang w:val="en-AU"/>
              </w:rPr>
              <w:t>the association between clinically validated Patient Safety Indicators (PSIs) and inpatient length of stay, mortality, and 30-day unplanned readmission.</w:t>
            </w:r>
            <w:r>
              <w:rPr>
                <w:rFonts w:ascii="Garamond" w:hAnsi="Garamond"/>
                <w:lang w:val="en-AU"/>
              </w:rPr>
              <w:t xml:space="preserve"> From their analyses, the authors report that ‘</w:t>
            </w:r>
            <w:r w:rsidRPr="002C381D">
              <w:rPr>
                <w:rFonts w:ascii="Garamond" w:hAnsi="Garamond"/>
                <w:lang w:val="en-AU"/>
              </w:rPr>
              <w:t xml:space="preserve">Cases flagged with a </w:t>
            </w:r>
            <w:r w:rsidRPr="002C381D">
              <w:rPr>
                <w:rFonts w:ascii="Garamond" w:hAnsi="Garamond"/>
                <w:b/>
                <w:lang w:val="en-AU"/>
              </w:rPr>
              <w:t>clinically validated PSI</w:t>
            </w:r>
            <w:r w:rsidRPr="002C381D">
              <w:rPr>
                <w:rFonts w:ascii="Garamond" w:hAnsi="Garamond"/>
                <w:lang w:val="en-AU"/>
              </w:rPr>
              <w:t xml:space="preserve"> are </w:t>
            </w:r>
            <w:r w:rsidRPr="002C381D">
              <w:rPr>
                <w:rFonts w:ascii="Garamond" w:hAnsi="Garamond"/>
                <w:b/>
                <w:lang w:val="en-AU"/>
              </w:rPr>
              <w:t>associated</w:t>
            </w:r>
            <w:r w:rsidRPr="002C381D">
              <w:rPr>
                <w:rFonts w:ascii="Garamond" w:hAnsi="Garamond"/>
                <w:lang w:val="en-AU"/>
              </w:rPr>
              <w:t xml:space="preserve"> with a </w:t>
            </w:r>
            <w:r w:rsidRPr="002C381D">
              <w:rPr>
                <w:rFonts w:ascii="Garamond" w:hAnsi="Garamond"/>
                <w:b/>
                <w:lang w:val="en-AU"/>
              </w:rPr>
              <w:t>statistically greater length of stay</w:t>
            </w:r>
            <w:r w:rsidRPr="002C381D">
              <w:rPr>
                <w:rFonts w:ascii="Garamond" w:hAnsi="Garamond"/>
                <w:lang w:val="en-AU"/>
              </w:rPr>
              <w:t xml:space="preserve">, </w:t>
            </w:r>
            <w:r w:rsidRPr="002C381D">
              <w:rPr>
                <w:rFonts w:ascii="Garamond" w:hAnsi="Garamond"/>
                <w:b/>
                <w:lang w:val="en-AU"/>
              </w:rPr>
              <w:t>30-day unplanned readmission</w:t>
            </w:r>
            <w:r w:rsidRPr="002C381D">
              <w:rPr>
                <w:rFonts w:ascii="Garamond" w:hAnsi="Garamond"/>
                <w:lang w:val="en-AU"/>
              </w:rPr>
              <w:t xml:space="preserve">, and </w:t>
            </w:r>
            <w:r w:rsidRPr="002C381D">
              <w:rPr>
                <w:rFonts w:ascii="Garamond" w:hAnsi="Garamond"/>
                <w:b/>
                <w:lang w:val="en-AU"/>
              </w:rPr>
              <w:t>mortality</w:t>
            </w:r>
            <w:r w:rsidRPr="002C381D">
              <w:rPr>
                <w:rFonts w:ascii="Garamond" w:hAnsi="Garamond"/>
                <w:lang w:val="en-AU"/>
              </w:rPr>
              <w:t xml:space="preserve"> as compared to cases without a PSI. This study demonstrates a strong association between clinically validated PSIs and patient outcomes</w:t>
            </w:r>
            <w:r>
              <w:rPr>
                <w:rFonts w:ascii="Garamond" w:hAnsi="Garamond"/>
                <w:lang w:val="en-AU"/>
              </w:rPr>
              <w:t>’.</w:t>
            </w:r>
          </w:p>
        </w:tc>
      </w:tr>
    </w:tbl>
    <w:p w:rsidR="002C381D" w:rsidRDefault="002C381D" w:rsidP="002C381D">
      <w:pPr>
        <w:keepLines/>
        <w:autoSpaceDE w:val="0"/>
        <w:autoSpaceDN w:val="0"/>
        <w:adjustRightInd w:val="0"/>
        <w:rPr>
          <w:rFonts w:ascii="Garamond" w:hAnsi="Garamond"/>
          <w:lang w:val="en-AU"/>
        </w:rPr>
      </w:pPr>
    </w:p>
    <w:p w:rsidR="007E2DCA" w:rsidRDefault="007E2DCA" w:rsidP="002C381D">
      <w:pPr>
        <w:keepNext/>
        <w:keepLines/>
        <w:autoSpaceDE w:val="0"/>
        <w:autoSpaceDN w:val="0"/>
        <w:adjustRightInd w:val="0"/>
        <w:rPr>
          <w:rFonts w:ascii="Garamond" w:hAnsi="Garamond"/>
          <w:i/>
          <w:lang w:val="en-AU"/>
        </w:rPr>
      </w:pPr>
      <w:r w:rsidRPr="007E2DCA">
        <w:rPr>
          <w:rFonts w:ascii="Garamond" w:hAnsi="Garamond"/>
          <w:i/>
          <w:lang w:val="en-AU"/>
        </w:rPr>
        <w:lastRenderedPageBreak/>
        <w:t xml:space="preserve">Tracking progress in improving diagnosis: a framework for defining undesirable diagnostic events </w:t>
      </w:r>
    </w:p>
    <w:p w:rsidR="001373D5" w:rsidRDefault="001373D5" w:rsidP="007E2DCA">
      <w:pPr>
        <w:keepLines/>
        <w:autoSpaceDE w:val="0"/>
        <w:autoSpaceDN w:val="0"/>
        <w:adjustRightInd w:val="0"/>
        <w:rPr>
          <w:rFonts w:ascii="Garamond" w:hAnsi="Garamond"/>
          <w:lang w:val="en-AU"/>
        </w:rPr>
      </w:pPr>
      <w:r w:rsidRPr="001373D5">
        <w:rPr>
          <w:rFonts w:ascii="Garamond" w:hAnsi="Garamond"/>
          <w:lang w:val="en-AU"/>
        </w:rPr>
        <w:t>Olson APJ, Graber ML, Singh H</w:t>
      </w:r>
    </w:p>
    <w:p w:rsidR="007E2DCA" w:rsidRDefault="001373D5" w:rsidP="007E2DCA">
      <w:pPr>
        <w:keepLines/>
        <w:autoSpaceDE w:val="0"/>
        <w:autoSpaceDN w:val="0"/>
        <w:adjustRightInd w:val="0"/>
        <w:rPr>
          <w:rFonts w:ascii="Garamond" w:hAnsi="Garamond"/>
          <w:lang w:val="en-AU"/>
        </w:rPr>
      </w:pPr>
      <w:proofErr w:type="gramStart"/>
      <w:r w:rsidRPr="001373D5">
        <w:rPr>
          <w:rFonts w:ascii="Garamond" w:hAnsi="Garamond"/>
          <w:lang w:val="en-AU"/>
        </w:rPr>
        <w:t>Journal of General Internal Medicine.</w:t>
      </w:r>
      <w:proofErr w:type="gramEnd"/>
      <w:r w:rsidRPr="001373D5">
        <w:rPr>
          <w:rFonts w:ascii="Garamond" w:hAnsi="Garamond"/>
          <w:lang w:val="en-AU"/>
        </w:rPr>
        <w:t xml:space="preserve"> </w:t>
      </w:r>
      <w:proofErr w:type="gramStart"/>
      <w:r w:rsidRPr="001373D5">
        <w:rPr>
          <w:rFonts w:ascii="Garamond" w:hAnsi="Garamond"/>
          <w:lang w:val="en-AU"/>
        </w:rPr>
        <w:t>2018</w:t>
      </w:r>
      <w:r>
        <w:rPr>
          <w:rFonts w:ascii="Garamond" w:hAnsi="Garamond"/>
          <w:lang w:val="en-AU"/>
        </w:rPr>
        <w:t xml:space="preserve"> [epub]</w:t>
      </w:r>
      <w:r w:rsidRPr="001373D5">
        <w:rPr>
          <w:rFonts w:ascii="Garamond" w:hAnsi="Garamond"/>
          <w:lang w:val="en-AU"/>
        </w:rPr>
        <w:t>.</w:t>
      </w:r>
      <w:proofErr w:type="gramEnd"/>
    </w:p>
    <w:p w:rsidR="001373D5" w:rsidRPr="007E2DCA" w:rsidRDefault="001373D5" w:rsidP="007E2DCA">
      <w:pPr>
        <w:keepLines/>
        <w:autoSpaceDE w:val="0"/>
        <w:autoSpaceDN w:val="0"/>
        <w:adjustRightInd w:val="0"/>
        <w:rPr>
          <w:rFonts w:ascii="Garamond" w:hAnsi="Garamond"/>
          <w:lang w:val="en-AU"/>
        </w:rPr>
      </w:pPr>
    </w:p>
    <w:p w:rsidR="00486448" w:rsidRPr="007E2DCA" w:rsidRDefault="007E2DCA" w:rsidP="007E2DCA">
      <w:pPr>
        <w:keepLines/>
        <w:autoSpaceDE w:val="0"/>
        <w:autoSpaceDN w:val="0"/>
        <w:adjustRightInd w:val="0"/>
        <w:rPr>
          <w:rFonts w:ascii="Garamond" w:hAnsi="Garamond"/>
          <w:i/>
          <w:lang w:val="en-AU"/>
        </w:rPr>
      </w:pPr>
      <w:r w:rsidRPr="007E2DCA">
        <w:rPr>
          <w:rFonts w:ascii="Garamond" w:hAnsi="Garamond"/>
          <w:i/>
          <w:lang w:val="en-AU"/>
        </w:rPr>
        <w:t>Implementation of diagnostic pauses in the ambulatory setting</w:t>
      </w:r>
    </w:p>
    <w:p w:rsidR="00FC4628" w:rsidRDefault="00FC4628" w:rsidP="007E2DCA">
      <w:pPr>
        <w:keepLines/>
        <w:autoSpaceDE w:val="0"/>
        <w:autoSpaceDN w:val="0"/>
        <w:adjustRightInd w:val="0"/>
        <w:rPr>
          <w:rFonts w:ascii="Garamond" w:hAnsi="Garamond"/>
          <w:lang w:val="en-AU"/>
        </w:rPr>
      </w:pPr>
      <w:r w:rsidRPr="00FC4628">
        <w:rPr>
          <w:rFonts w:ascii="Garamond" w:hAnsi="Garamond"/>
          <w:lang w:val="en-AU"/>
        </w:rPr>
        <w:t>Huang GC, Kriegel G, Wheaton C, Sternberg S, Sands K, Richards J, et al</w:t>
      </w:r>
    </w:p>
    <w:p w:rsidR="007E2DCA" w:rsidRPr="000170DA" w:rsidRDefault="00FC4628" w:rsidP="007E2DCA">
      <w:pPr>
        <w:keepLines/>
        <w:autoSpaceDE w:val="0"/>
        <w:autoSpaceDN w:val="0"/>
        <w:adjustRightInd w:val="0"/>
        <w:rPr>
          <w:rFonts w:ascii="Garamond" w:hAnsi="Garamond"/>
          <w:lang w:val="en-AU"/>
        </w:rPr>
      </w:pPr>
      <w:proofErr w:type="gramStart"/>
      <w:r w:rsidRPr="00FC4628">
        <w:rPr>
          <w:rFonts w:ascii="Garamond" w:hAnsi="Garamond"/>
          <w:lang w:val="en-AU"/>
        </w:rPr>
        <w:t>BMJ Quality &amp; Safety.</w:t>
      </w:r>
      <w:proofErr w:type="gramEnd"/>
      <w:r w:rsidRPr="00FC4628">
        <w:rPr>
          <w:rFonts w:ascii="Garamond" w:hAnsi="Garamond"/>
          <w:lang w:val="en-AU"/>
        </w:rPr>
        <w:t xml:space="preserve"> </w:t>
      </w:r>
      <w:proofErr w:type="gramStart"/>
      <w:r w:rsidRPr="00FC4628">
        <w:rPr>
          <w:rFonts w:ascii="Garamond" w:hAnsi="Garamond"/>
          <w:lang w:val="en-AU"/>
        </w:rPr>
        <w:t>2018</w:t>
      </w:r>
      <w:r>
        <w:rPr>
          <w:rFonts w:ascii="Garamond" w:hAnsi="Garamond"/>
          <w:lang w:val="en-AU"/>
        </w:rPr>
        <w:t xml:space="preserve"> [epub]</w:t>
      </w:r>
      <w:r w:rsidRPr="00FC4628">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86448" w:rsidRPr="000170DA" w:rsidTr="00AF592C">
        <w:tc>
          <w:tcPr>
            <w:tcW w:w="1080" w:type="dxa"/>
            <w:tcBorders>
              <w:top w:val="single" w:sz="4" w:space="0" w:color="auto"/>
              <w:left w:val="single" w:sz="4" w:space="0" w:color="auto"/>
              <w:bottom w:val="single" w:sz="4" w:space="0" w:color="auto"/>
              <w:right w:val="single" w:sz="4" w:space="0" w:color="auto"/>
            </w:tcBorders>
            <w:vAlign w:val="center"/>
          </w:tcPr>
          <w:p w:rsidR="00486448" w:rsidRPr="000170DA" w:rsidRDefault="00486448" w:rsidP="00AF592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E2DCA" w:rsidRDefault="007E2DCA" w:rsidP="00AF592C">
            <w:pPr>
              <w:rPr>
                <w:rStyle w:val="Hyperlink"/>
                <w:rFonts w:ascii="Garamond" w:hAnsi="Garamond"/>
                <w:color w:val="auto"/>
                <w:u w:val="none"/>
                <w:lang w:val="en-AU"/>
              </w:rPr>
            </w:pPr>
            <w:r>
              <w:rPr>
                <w:rStyle w:val="Hyperlink"/>
                <w:rFonts w:ascii="Garamond" w:hAnsi="Garamond"/>
                <w:color w:val="auto"/>
                <w:u w:val="none"/>
                <w:lang w:val="en-AU"/>
              </w:rPr>
              <w:t xml:space="preserve">Olson et al </w:t>
            </w:r>
            <w:hyperlink r:id="rId22" w:history="1">
              <w:r w:rsidRPr="00F41A8C">
                <w:rPr>
                  <w:rStyle w:val="Hyperlink"/>
                  <w:rFonts w:ascii="Garamond" w:hAnsi="Garamond"/>
                  <w:lang w:val="en-AU"/>
                </w:rPr>
                <w:t>https://doi.org/10.1007/s11606-018-4304-2</w:t>
              </w:r>
            </w:hyperlink>
          </w:p>
          <w:p w:rsidR="00486448" w:rsidRPr="000170DA" w:rsidRDefault="007E2DCA" w:rsidP="00AF592C">
            <w:pPr>
              <w:rPr>
                <w:rStyle w:val="Hyperlink"/>
                <w:rFonts w:ascii="Garamond" w:hAnsi="Garamond"/>
                <w:color w:val="auto"/>
                <w:u w:val="none"/>
                <w:lang w:val="en-AU"/>
              </w:rPr>
            </w:pPr>
            <w:r>
              <w:rPr>
                <w:rStyle w:val="Hyperlink"/>
                <w:rFonts w:ascii="Garamond" w:hAnsi="Garamond"/>
                <w:color w:val="auto"/>
                <w:u w:val="none"/>
                <w:lang w:val="en-AU"/>
              </w:rPr>
              <w:t xml:space="preserve">Huang et al </w:t>
            </w:r>
            <w:hyperlink r:id="rId23" w:history="1">
              <w:r w:rsidRPr="00F41A8C">
                <w:rPr>
                  <w:rStyle w:val="Hyperlink"/>
                  <w:rFonts w:ascii="Garamond" w:hAnsi="Garamond"/>
                  <w:lang w:val="en-AU"/>
                </w:rPr>
                <w:t>http://dx.doi.org/10.1136/bmjqs-2017-007192</w:t>
              </w:r>
            </w:hyperlink>
          </w:p>
        </w:tc>
      </w:tr>
      <w:tr w:rsidR="00486448" w:rsidRPr="000170DA" w:rsidTr="00AF592C">
        <w:tc>
          <w:tcPr>
            <w:tcW w:w="1080" w:type="dxa"/>
            <w:tcBorders>
              <w:top w:val="single" w:sz="4" w:space="0" w:color="auto"/>
              <w:left w:val="single" w:sz="4" w:space="0" w:color="auto"/>
              <w:bottom w:val="single" w:sz="4" w:space="0" w:color="auto"/>
              <w:right w:val="single" w:sz="4" w:space="0" w:color="auto"/>
            </w:tcBorders>
            <w:vAlign w:val="center"/>
          </w:tcPr>
          <w:p w:rsidR="00486448" w:rsidRPr="000170DA" w:rsidRDefault="00486448" w:rsidP="00AF59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86448" w:rsidRDefault="007E2DCA" w:rsidP="007E2DCA">
            <w:pPr>
              <w:rPr>
                <w:rFonts w:ascii="Garamond" w:hAnsi="Garamond"/>
                <w:lang w:val="en-AU"/>
              </w:rPr>
            </w:pPr>
            <w:r>
              <w:rPr>
                <w:rFonts w:ascii="Garamond" w:hAnsi="Garamond"/>
                <w:lang w:val="en-AU"/>
              </w:rPr>
              <w:t>A pair of papers looking at the issue of diagnostic error.</w:t>
            </w:r>
          </w:p>
          <w:p w:rsidR="001373D5" w:rsidRDefault="007E2DCA" w:rsidP="001373D5">
            <w:pPr>
              <w:rPr>
                <w:rFonts w:ascii="Garamond" w:hAnsi="Garamond"/>
                <w:lang w:val="en-AU"/>
              </w:rPr>
            </w:pPr>
            <w:r>
              <w:rPr>
                <w:rFonts w:ascii="Garamond" w:hAnsi="Garamond"/>
                <w:lang w:val="en-AU"/>
              </w:rPr>
              <w:t xml:space="preserve">Olson et al </w:t>
            </w:r>
            <w:r w:rsidR="001373D5">
              <w:rPr>
                <w:rFonts w:ascii="Garamond" w:hAnsi="Garamond"/>
                <w:lang w:val="en-AU"/>
              </w:rPr>
              <w:t>comment on the some of the research and theoretical work being undertaken. The authors note ‘</w:t>
            </w:r>
            <w:r w:rsidR="001373D5" w:rsidRPr="001373D5">
              <w:rPr>
                <w:rFonts w:ascii="Garamond" w:hAnsi="Garamond"/>
                <w:lang w:val="en-AU"/>
              </w:rPr>
              <w:t>the lack of standardized, reliable methods for measuring diagnostic safety</w:t>
            </w:r>
            <w:r w:rsidR="001373D5">
              <w:rPr>
                <w:rFonts w:ascii="Garamond" w:hAnsi="Garamond"/>
                <w:lang w:val="en-AU"/>
              </w:rPr>
              <w:t xml:space="preserve">’ and suggest a framework for </w:t>
            </w:r>
            <w:r w:rsidR="001373D5" w:rsidRPr="001373D5">
              <w:rPr>
                <w:rFonts w:ascii="Garamond" w:hAnsi="Garamond"/>
                <w:lang w:val="en-AU"/>
              </w:rPr>
              <w:t>identifying “undesirable diagnostic events” (UDEs)</w:t>
            </w:r>
            <w:r w:rsidR="001373D5">
              <w:rPr>
                <w:rFonts w:ascii="Garamond" w:hAnsi="Garamond"/>
                <w:lang w:val="en-AU"/>
              </w:rPr>
              <w:t xml:space="preserve"> that could be developed to ‘</w:t>
            </w:r>
            <w:r w:rsidR="001373D5" w:rsidRPr="001373D5">
              <w:rPr>
                <w:rFonts w:ascii="Garamond" w:hAnsi="Garamond"/>
                <w:lang w:val="en-AU"/>
              </w:rPr>
              <w:t>enable standardized measurement and reporting related to diagnostic safety.</w:t>
            </w:r>
            <w:r w:rsidR="001373D5">
              <w:rPr>
                <w:rFonts w:ascii="Garamond" w:hAnsi="Garamond"/>
                <w:lang w:val="en-AU"/>
              </w:rPr>
              <w:t>’</w:t>
            </w:r>
            <w:r w:rsidR="001373D5" w:rsidRPr="001373D5">
              <w:rPr>
                <w:rFonts w:ascii="Garamond" w:hAnsi="Garamond"/>
                <w:lang w:val="en-AU"/>
              </w:rPr>
              <w:t xml:space="preserve"> </w:t>
            </w:r>
            <w:r w:rsidR="001373D5">
              <w:rPr>
                <w:rFonts w:ascii="Garamond" w:hAnsi="Garamond"/>
                <w:lang w:val="en-AU"/>
              </w:rPr>
              <w:t xml:space="preserve">They go on to </w:t>
            </w:r>
            <w:r w:rsidR="001373D5" w:rsidRPr="001373D5">
              <w:rPr>
                <w:rFonts w:ascii="Garamond" w:hAnsi="Garamond"/>
                <w:lang w:val="en-AU"/>
              </w:rPr>
              <w:t xml:space="preserve">propose an outline for UDEs that identifies both conditions prone to diagnostic error and the contexts of care in which these errors are likely to occur. </w:t>
            </w:r>
          </w:p>
          <w:p w:rsidR="00894316" w:rsidRPr="002B0994" w:rsidRDefault="001373D5" w:rsidP="00FC4628">
            <w:pPr>
              <w:rPr>
                <w:rFonts w:ascii="Garamond" w:hAnsi="Garamond"/>
                <w:lang w:val="en-AU"/>
              </w:rPr>
            </w:pPr>
            <w:r>
              <w:rPr>
                <w:rFonts w:ascii="Garamond" w:hAnsi="Garamond"/>
                <w:lang w:val="en-AU"/>
              </w:rPr>
              <w:t xml:space="preserve">As a more immediate level, </w:t>
            </w:r>
            <w:r w:rsidR="007E2DCA">
              <w:rPr>
                <w:rFonts w:ascii="Garamond" w:hAnsi="Garamond"/>
                <w:lang w:val="en-AU"/>
              </w:rPr>
              <w:t xml:space="preserve">Huang et al </w:t>
            </w:r>
            <w:r w:rsidR="00A15B58">
              <w:rPr>
                <w:rFonts w:ascii="Garamond" w:hAnsi="Garamond"/>
                <w:lang w:val="en-AU"/>
              </w:rPr>
              <w:t>focus on an intervention that sought to enhance diagnosis and thus reduce the likelihood of error.</w:t>
            </w:r>
            <w:r w:rsidR="00894316">
              <w:rPr>
                <w:rFonts w:ascii="Garamond" w:hAnsi="Garamond"/>
                <w:lang w:val="en-AU"/>
              </w:rPr>
              <w:t xml:space="preserve"> The paper reports on the insertion of a ‘diagnostic pause’ into the workflow of a small group of c</w:t>
            </w:r>
            <w:r w:rsidR="00894316" w:rsidRPr="00894316">
              <w:rPr>
                <w:rFonts w:ascii="Garamond" w:hAnsi="Garamond"/>
                <w:lang w:val="en-AU"/>
              </w:rPr>
              <w:t xml:space="preserve">linicians (physicians and nurse practitioners) in an academic primary care setting. </w:t>
            </w:r>
            <w:r w:rsidR="00FC4628">
              <w:rPr>
                <w:rFonts w:ascii="Garamond" w:hAnsi="Garamond"/>
                <w:lang w:val="en-AU"/>
              </w:rPr>
              <w:t xml:space="preserve">The </w:t>
            </w:r>
            <w:r w:rsidR="00FC4628" w:rsidRPr="00FC4628">
              <w:rPr>
                <w:rFonts w:ascii="Garamond" w:hAnsi="Garamond"/>
                <w:lang w:val="en-AU"/>
              </w:rPr>
              <w:t>diagnostic pause</w:t>
            </w:r>
            <w:r w:rsidR="00FC4628">
              <w:rPr>
                <w:rFonts w:ascii="Garamond" w:hAnsi="Garamond"/>
                <w:lang w:val="en-AU"/>
              </w:rPr>
              <w:t xml:space="preserve"> used was </w:t>
            </w:r>
            <w:r w:rsidR="00FC4628" w:rsidRPr="00FC4628">
              <w:rPr>
                <w:rFonts w:ascii="Garamond" w:hAnsi="Garamond"/>
                <w:lang w:val="en-AU"/>
              </w:rPr>
              <w:t>a type of checklist</w:t>
            </w:r>
            <w:r w:rsidR="00FC4628">
              <w:rPr>
                <w:rFonts w:ascii="Garamond" w:hAnsi="Garamond"/>
                <w:lang w:val="en-AU"/>
              </w:rPr>
              <w:t xml:space="preserve"> and the project </w:t>
            </w:r>
            <w:r w:rsidR="00FC4628" w:rsidRPr="00FC4628">
              <w:rPr>
                <w:rFonts w:ascii="Garamond" w:hAnsi="Garamond"/>
                <w:lang w:val="en-AU"/>
              </w:rPr>
              <w:t>used an electronic health record–based automated trigger to identify patients at risk for missed diagnosis</w:t>
            </w:r>
            <w:r w:rsidR="00FC4628">
              <w:rPr>
                <w:rFonts w:ascii="Garamond" w:hAnsi="Garamond"/>
                <w:lang w:val="en-AU"/>
              </w:rPr>
              <w:t xml:space="preserve">, in this cases </w:t>
            </w:r>
            <w:r w:rsidR="00FC4628" w:rsidRPr="00FC4628">
              <w:rPr>
                <w:rFonts w:ascii="Garamond" w:hAnsi="Garamond"/>
                <w:lang w:val="en-AU"/>
              </w:rPr>
              <w:t>patients presenting for an urgent care visit who had a previous urgent care visit within 2 weeks. At the second visit, the</w:t>
            </w:r>
            <w:r w:rsidR="00FC4628">
              <w:rPr>
                <w:rFonts w:ascii="Garamond" w:hAnsi="Garamond"/>
                <w:lang w:val="en-AU"/>
              </w:rPr>
              <w:t xml:space="preserve"> clinician received the diagnostic pause alert. </w:t>
            </w:r>
            <w:r w:rsidR="00894316">
              <w:rPr>
                <w:rFonts w:ascii="Garamond" w:hAnsi="Garamond"/>
                <w:lang w:val="en-AU"/>
              </w:rPr>
              <w:t xml:space="preserve">Analysis of </w:t>
            </w:r>
            <w:r w:rsidR="00894316" w:rsidRPr="00894316">
              <w:rPr>
                <w:rFonts w:ascii="Garamond" w:hAnsi="Garamond"/>
                <w:lang w:val="en-AU"/>
              </w:rPr>
              <w:t>pre–post-intervention surveys, focus groups and chart audits 6 months after the urgent care visit</w:t>
            </w:r>
            <w:r w:rsidR="00894316">
              <w:rPr>
                <w:rFonts w:ascii="Garamond" w:hAnsi="Garamond"/>
                <w:lang w:val="en-AU"/>
              </w:rPr>
              <w:t>s</w:t>
            </w:r>
            <w:r w:rsidR="00894316" w:rsidRPr="00894316">
              <w:rPr>
                <w:rFonts w:ascii="Garamond" w:hAnsi="Garamond"/>
                <w:lang w:val="en-AU"/>
              </w:rPr>
              <w:t xml:space="preserve"> </w:t>
            </w:r>
            <w:r w:rsidR="00894316">
              <w:rPr>
                <w:rFonts w:ascii="Garamond" w:hAnsi="Garamond"/>
                <w:lang w:val="en-AU"/>
              </w:rPr>
              <w:t>found that 61% of the 135 diagnostic pause alerts were heeded and 13% of these ‘</w:t>
            </w:r>
            <w:r w:rsidR="00894316" w:rsidRPr="00894316">
              <w:rPr>
                <w:rFonts w:ascii="Garamond" w:hAnsi="Garamond"/>
                <w:lang w:val="en-AU"/>
              </w:rPr>
              <w:t>resulted in clinicians reporting new actions as a result of the diagnostic pauses</w:t>
            </w:r>
            <w:r w:rsidR="00894316">
              <w:rPr>
                <w:rFonts w:ascii="Garamond" w:hAnsi="Garamond"/>
                <w:lang w:val="en-AU"/>
              </w:rPr>
              <w:t>’</w:t>
            </w:r>
            <w:r w:rsidR="00894316" w:rsidRPr="00894316">
              <w:rPr>
                <w:rFonts w:ascii="Garamond" w:hAnsi="Garamond"/>
                <w:lang w:val="en-AU"/>
              </w:rPr>
              <w:t>. Th</w:t>
            </w:r>
            <w:r w:rsidR="00894316">
              <w:rPr>
                <w:rFonts w:ascii="Garamond" w:hAnsi="Garamond"/>
                <w:lang w:val="en-AU"/>
              </w:rPr>
              <w:t>e clinicians ‘</w:t>
            </w:r>
            <w:r w:rsidR="00894316" w:rsidRPr="00894316">
              <w:rPr>
                <w:rFonts w:ascii="Garamond" w:hAnsi="Garamond"/>
                <w:lang w:val="en-AU"/>
              </w:rPr>
              <w:t>reported that the diagnostic pauses were brief and fairly well integrated into the overall workflow for evaluation but would have benefited as a real-time application for patients at higher risk for diagnostic error.</w:t>
            </w:r>
            <w:r w:rsidR="00894316">
              <w:rPr>
                <w:rFonts w:ascii="Garamond" w:hAnsi="Garamond"/>
                <w:lang w:val="en-AU"/>
              </w:rPr>
              <w:t>’</w:t>
            </w:r>
          </w:p>
        </w:tc>
      </w:tr>
    </w:tbl>
    <w:p w:rsidR="00486448" w:rsidRDefault="00486448" w:rsidP="00486448">
      <w:pPr>
        <w:keepLines/>
        <w:autoSpaceDE w:val="0"/>
        <w:autoSpaceDN w:val="0"/>
        <w:adjustRightInd w:val="0"/>
        <w:rPr>
          <w:rFonts w:ascii="Garamond" w:hAnsi="Garamond"/>
          <w:lang w:val="en-AU"/>
        </w:rPr>
      </w:pPr>
    </w:p>
    <w:p w:rsidR="00486448" w:rsidRPr="001A7333" w:rsidRDefault="001A7333" w:rsidP="00486448">
      <w:pPr>
        <w:keepLines/>
        <w:autoSpaceDE w:val="0"/>
        <w:autoSpaceDN w:val="0"/>
        <w:adjustRightInd w:val="0"/>
        <w:rPr>
          <w:rFonts w:ascii="Garamond" w:hAnsi="Garamond"/>
          <w:i/>
          <w:lang w:val="en-AU"/>
        </w:rPr>
      </w:pPr>
      <w:r w:rsidRPr="001A7333">
        <w:rPr>
          <w:rFonts w:ascii="Garamond" w:hAnsi="Garamond"/>
          <w:i/>
          <w:lang w:val="en-AU"/>
        </w:rPr>
        <w:t>Higher accuracy of complex medication reconciliation through improved design of electronic tools</w:t>
      </w:r>
    </w:p>
    <w:p w:rsidR="009C470E" w:rsidRDefault="009C470E" w:rsidP="00486448">
      <w:pPr>
        <w:keepLines/>
        <w:autoSpaceDE w:val="0"/>
        <w:autoSpaceDN w:val="0"/>
        <w:adjustRightInd w:val="0"/>
        <w:rPr>
          <w:rFonts w:ascii="Garamond" w:hAnsi="Garamond"/>
          <w:lang w:val="en-AU"/>
        </w:rPr>
      </w:pPr>
      <w:r w:rsidRPr="009C470E">
        <w:rPr>
          <w:rFonts w:ascii="Garamond" w:hAnsi="Garamond"/>
          <w:lang w:val="en-AU"/>
        </w:rPr>
        <w:t>Horsky J, Drucker EA, Ramelson HZ</w:t>
      </w:r>
    </w:p>
    <w:p w:rsidR="001A7333" w:rsidRPr="000170DA" w:rsidRDefault="009C470E" w:rsidP="00486448">
      <w:pPr>
        <w:keepLines/>
        <w:autoSpaceDE w:val="0"/>
        <w:autoSpaceDN w:val="0"/>
        <w:adjustRightInd w:val="0"/>
        <w:rPr>
          <w:rFonts w:ascii="Garamond" w:hAnsi="Garamond"/>
          <w:lang w:val="en-AU"/>
        </w:rPr>
      </w:pPr>
      <w:proofErr w:type="gramStart"/>
      <w:r w:rsidRPr="009C470E">
        <w:rPr>
          <w:rFonts w:ascii="Garamond" w:hAnsi="Garamond"/>
          <w:lang w:val="en-AU"/>
        </w:rPr>
        <w:t>Journal of the American Medical Informatics Association.</w:t>
      </w:r>
      <w:proofErr w:type="gramEnd"/>
      <w:r w:rsidRPr="009C470E">
        <w:rPr>
          <w:rFonts w:ascii="Garamond" w:hAnsi="Garamond"/>
          <w:lang w:val="en-AU"/>
        </w:rPr>
        <w:t xml:space="preserve"> </w:t>
      </w:r>
      <w:proofErr w:type="gramStart"/>
      <w:r w:rsidRPr="009C470E">
        <w:rPr>
          <w:rFonts w:ascii="Garamond" w:hAnsi="Garamond"/>
          <w:lang w:val="en-AU"/>
        </w:rPr>
        <w:t>2017</w:t>
      </w:r>
      <w:r>
        <w:rPr>
          <w:rFonts w:ascii="Garamond" w:hAnsi="Garamond"/>
          <w:lang w:val="en-AU"/>
        </w:rPr>
        <w:t xml:space="preserve"> [epub]</w:t>
      </w:r>
      <w:r w:rsidRPr="009C470E">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86448" w:rsidRPr="000170DA" w:rsidTr="00AF592C">
        <w:tc>
          <w:tcPr>
            <w:tcW w:w="1080" w:type="dxa"/>
            <w:tcBorders>
              <w:top w:val="single" w:sz="4" w:space="0" w:color="auto"/>
              <w:left w:val="single" w:sz="4" w:space="0" w:color="auto"/>
              <w:bottom w:val="single" w:sz="4" w:space="0" w:color="auto"/>
              <w:right w:val="single" w:sz="4" w:space="0" w:color="auto"/>
            </w:tcBorders>
            <w:vAlign w:val="center"/>
          </w:tcPr>
          <w:p w:rsidR="00486448" w:rsidRPr="000170DA" w:rsidRDefault="00486448" w:rsidP="00AF592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6448" w:rsidRPr="000170DA" w:rsidRDefault="006C420A" w:rsidP="00AF592C">
            <w:pPr>
              <w:rPr>
                <w:rStyle w:val="Hyperlink"/>
                <w:rFonts w:ascii="Garamond" w:hAnsi="Garamond"/>
                <w:color w:val="auto"/>
                <w:u w:val="none"/>
                <w:lang w:val="en-AU"/>
              </w:rPr>
            </w:pPr>
            <w:hyperlink r:id="rId24" w:history="1">
              <w:r w:rsidR="001A7333" w:rsidRPr="009A40E6">
                <w:rPr>
                  <w:rStyle w:val="Hyperlink"/>
                  <w:rFonts w:ascii="Garamond" w:hAnsi="Garamond"/>
                  <w:lang w:val="en-AU"/>
                </w:rPr>
                <w:t>https://doi.org/10.1093/jamia/ocx127</w:t>
              </w:r>
            </w:hyperlink>
          </w:p>
        </w:tc>
      </w:tr>
      <w:tr w:rsidR="00486448" w:rsidRPr="000170DA" w:rsidTr="00AF592C">
        <w:tc>
          <w:tcPr>
            <w:tcW w:w="1080" w:type="dxa"/>
            <w:tcBorders>
              <w:top w:val="single" w:sz="4" w:space="0" w:color="auto"/>
              <w:left w:val="single" w:sz="4" w:space="0" w:color="auto"/>
              <w:bottom w:val="single" w:sz="4" w:space="0" w:color="auto"/>
              <w:right w:val="single" w:sz="4" w:space="0" w:color="auto"/>
            </w:tcBorders>
            <w:vAlign w:val="center"/>
          </w:tcPr>
          <w:p w:rsidR="00486448" w:rsidRPr="000170DA" w:rsidRDefault="00486448" w:rsidP="00AF59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C381D" w:rsidRPr="002B0994" w:rsidRDefault="001A7333" w:rsidP="00FC0321">
            <w:pPr>
              <w:rPr>
                <w:rFonts w:ascii="Garamond" w:hAnsi="Garamond"/>
                <w:lang w:val="en-AU"/>
              </w:rPr>
            </w:pPr>
            <w:r>
              <w:rPr>
                <w:rFonts w:ascii="Garamond" w:hAnsi="Garamond"/>
                <w:lang w:val="en-AU"/>
              </w:rPr>
              <w:t>In recent issues we have had items on enhancing medication reconciliation. This paper adds to that literature with a focus on better tool design.</w:t>
            </w:r>
            <w:r w:rsidR="009C470E">
              <w:rPr>
                <w:rFonts w:ascii="Garamond" w:hAnsi="Garamond"/>
                <w:lang w:val="en-AU"/>
              </w:rPr>
              <w:t xml:space="preserve"> </w:t>
            </w:r>
            <w:r w:rsidR="002C381D">
              <w:rPr>
                <w:rFonts w:ascii="Garamond" w:hAnsi="Garamond"/>
                <w:lang w:val="en-AU"/>
              </w:rPr>
              <w:t xml:space="preserve">The paper reports on a direct </w:t>
            </w:r>
            <w:r w:rsidR="002C381D" w:rsidRPr="002C381D">
              <w:rPr>
                <w:rFonts w:ascii="Garamond" w:hAnsi="Garamond"/>
                <w:lang w:val="en-AU"/>
              </w:rPr>
              <w:t xml:space="preserve">comparison of two different medication reconciliation tools </w:t>
            </w:r>
            <w:r w:rsidR="002C381D">
              <w:rPr>
                <w:rFonts w:ascii="Garamond" w:hAnsi="Garamond"/>
                <w:lang w:val="en-AU"/>
              </w:rPr>
              <w:t xml:space="preserve">integrated </w:t>
            </w:r>
            <w:r w:rsidR="002C381D" w:rsidRPr="002C381D">
              <w:rPr>
                <w:rFonts w:ascii="Garamond" w:hAnsi="Garamond"/>
                <w:lang w:val="en-AU"/>
              </w:rPr>
              <w:t>in</w:t>
            </w:r>
            <w:r w:rsidR="002C381D">
              <w:rPr>
                <w:rFonts w:ascii="Garamond" w:hAnsi="Garamond"/>
                <w:lang w:val="en-AU"/>
              </w:rPr>
              <w:t>to</w:t>
            </w:r>
            <w:r w:rsidR="002C381D" w:rsidRPr="002C381D">
              <w:rPr>
                <w:rFonts w:ascii="Garamond" w:hAnsi="Garamond"/>
                <w:lang w:val="en-AU"/>
              </w:rPr>
              <w:t xml:space="preserve"> electronic health record</w:t>
            </w:r>
            <w:r w:rsidR="002C381D">
              <w:rPr>
                <w:rFonts w:ascii="Garamond" w:hAnsi="Garamond"/>
                <w:lang w:val="en-AU"/>
              </w:rPr>
              <w:t xml:space="preserve"> system</w:t>
            </w:r>
            <w:r w:rsidR="002C381D" w:rsidRPr="002C381D">
              <w:rPr>
                <w:rFonts w:ascii="Garamond" w:hAnsi="Garamond"/>
                <w:lang w:val="en-AU"/>
              </w:rPr>
              <w:t>s</w:t>
            </w:r>
            <w:r w:rsidR="002C381D">
              <w:rPr>
                <w:rFonts w:ascii="Garamond" w:hAnsi="Garamond"/>
                <w:lang w:val="en-AU"/>
              </w:rPr>
              <w:t xml:space="preserve"> that aimed at determining the a</w:t>
            </w:r>
            <w:r w:rsidR="002C381D" w:rsidRPr="002C381D">
              <w:rPr>
                <w:rFonts w:ascii="Garamond" w:hAnsi="Garamond"/>
                <w:lang w:val="en-AU"/>
              </w:rPr>
              <w:t xml:space="preserve">ccuracy of </w:t>
            </w:r>
            <w:r w:rsidR="002C381D">
              <w:rPr>
                <w:rFonts w:ascii="Garamond" w:hAnsi="Garamond"/>
                <w:lang w:val="en-AU"/>
              </w:rPr>
              <w:t xml:space="preserve">the two </w:t>
            </w:r>
            <w:r w:rsidR="002C381D" w:rsidRPr="002C381D">
              <w:rPr>
                <w:rFonts w:ascii="Garamond" w:hAnsi="Garamond"/>
                <w:lang w:val="en-AU"/>
              </w:rPr>
              <w:t>different tools</w:t>
            </w:r>
            <w:r w:rsidR="002C381D">
              <w:rPr>
                <w:rFonts w:ascii="Garamond" w:hAnsi="Garamond"/>
                <w:lang w:val="en-AU"/>
              </w:rPr>
              <w:t xml:space="preserve">. The authors found </w:t>
            </w:r>
            <w:r w:rsidR="002C381D" w:rsidRPr="002C381D">
              <w:rPr>
                <w:rFonts w:ascii="Garamond" w:hAnsi="Garamond"/>
                <w:lang w:val="en-AU"/>
              </w:rPr>
              <w:t>that clinicians using one platform made significantly fewer errors</w:t>
            </w:r>
            <w:r w:rsidR="009C470E">
              <w:rPr>
                <w:rFonts w:ascii="Garamond" w:hAnsi="Garamond"/>
                <w:lang w:val="en-AU"/>
              </w:rPr>
              <w:t xml:space="preserve">. The better performing tool </w:t>
            </w:r>
            <w:r w:rsidR="009C470E" w:rsidRPr="009C470E">
              <w:rPr>
                <w:rFonts w:ascii="Garamond" w:hAnsi="Garamond"/>
                <w:lang w:val="en-AU"/>
              </w:rPr>
              <w:t>presented lists in a side-by-side view, automatically grouped medications by therapeutic class and more effectively identified duplicates</w:t>
            </w:r>
            <w:r w:rsidR="009C470E">
              <w:rPr>
                <w:rFonts w:ascii="Garamond" w:hAnsi="Garamond"/>
                <w:lang w:val="en-AU"/>
              </w:rPr>
              <w:t>. The authors advocate rigorous user testing: ‘</w:t>
            </w:r>
            <w:r w:rsidR="009C470E" w:rsidRPr="009C470E">
              <w:rPr>
                <w:rFonts w:ascii="Garamond" w:hAnsi="Garamond"/>
                <w:lang w:val="en-AU"/>
              </w:rPr>
              <w:t>Accurate assessment of the safety and effectiveness of electronic reconciliation tools requires rigorous testing and should prioritize complex rather than simpler tasks that are currently used for EHR certification and product demonstration. Higher accuracy of reconciliation is likely when tools are designed to better support cognitively demanding tasks.</w:t>
            </w:r>
            <w:r w:rsidR="009C470E">
              <w:rPr>
                <w:rFonts w:ascii="Garamond" w:hAnsi="Garamond"/>
                <w:lang w:val="en-AU"/>
              </w:rPr>
              <w:t>’</w:t>
            </w:r>
          </w:p>
        </w:tc>
      </w:tr>
    </w:tbl>
    <w:p w:rsidR="00486448" w:rsidRDefault="00486448" w:rsidP="00486448">
      <w:pPr>
        <w:keepLines/>
        <w:autoSpaceDE w:val="0"/>
        <w:autoSpaceDN w:val="0"/>
        <w:adjustRightInd w:val="0"/>
        <w:rPr>
          <w:rFonts w:ascii="Garamond" w:hAnsi="Garamond"/>
          <w:lang w:val="en-AU"/>
        </w:rPr>
      </w:pPr>
    </w:p>
    <w:p w:rsidR="00FC4628" w:rsidRDefault="00FC4628" w:rsidP="00FC4628">
      <w:pPr>
        <w:keepLines/>
        <w:autoSpaceDE w:val="0"/>
        <w:autoSpaceDN w:val="0"/>
        <w:adjustRightInd w:val="0"/>
        <w:rPr>
          <w:rFonts w:ascii="Garamond" w:hAnsi="Garamond"/>
          <w:lang w:val="en-AU"/>
        </w:rPr>
      </w:pPr>
      <w:r w:rsidRPr="0068493F">
        <w:rPr>
          <w:rFonts w:ascii="Garamond" w:hAnsi="Garamond"/>
          <w:lang w:val="en-AU"/>
        </w:rPr>
        <w:t xml:space="preserve">For information </w:t>
      </w:r>
      <w:r>
        <w:rPr>
          <w:rFonts w:ascii="Garamond" w:hAnsi="Garamond"/>
          <w:lang w:val="en-AU"/>
        </w:rPr>
        <w:t xml:space="preserve">about the Commission’s work on medication safety, including medication reconciliation, see, </w:t>
      </w:r>
      <w:hyperlink r:id="rId25" w:history="1">
        <w:r w:rsidRPr="00FC1AC3">
          <w:rPr>
            <w:rStyle w:val="Hyperlink"/>
            <w:rFonts w:ascii="Garamond" w:hAnsi="Garamond"/>
            <w:lang w:val="en-AU"/>
          </w:rPr>
          <w:t>https://www.safetyandquality.gov.au/our-work/medication-safety/</w:t>
        </w:r>
      </w:hyperlink>
    </w:p>
    <w:p w:rsidR="00486448" w:rsidRPr="000170DA" w:rsidRDefault="00486448" w:rsidP="00486448">
      <w:pPr>
        <w:keepLines/>
        <w:autoSpaceDE w:val="0"/>
        <w:autoSpaceDN w:val="0"/>
        <w:adjustRightInd w:val="0"/>
        <w:rPr>
          <w:rFonts w:ascii="Garamond" w:hAnsi="Garamond"/>
          <w:lang w:val="en-AU"/>
        </w:rPr>
      </w:pPr>
    </w:p>
    <w:p w:rsidR="001C0CF1" w:rsidRPr="000170DA" w:rsidRDefault="001C0CF1" w:rsidP="001C0CF1">
      <w:pPr>
        <w:keepNext/>
        <w:rPr>
          <w:rFonts w:ascii="Garamond" w:hAnsi="Garamond"/>
          <w:lang w:val="en-AU"/>
        </w:rPr>
      </w:pPr>
      <w:r w:rsidRPr="000170DA">
        <w:rPr>
          <w:rFonts w:ascii="Garamond" w:hAnsi="Garamond"/>
          <w:i/>
          <w:lang w:val="en-AU"/>
        </w:rPr>
        <w:lastRenderedPageBreak/>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0170DA" w:rsidTr="00117330">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0170DA" w:rsidRDefault="001C0CF1" w:rsidP="00117330">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0170DA" w:rsidRDefault="006C420A" w:rsidP="00117330">
            <w:pPr>
              <w:keepNext/>
              <w:rPr>
                <w:rFonts w:ascii="Garamond" w:hAnsi="Garamond"/>
                <w:lang w:val="en-AU"/>
              </w:rPr>
            </w:pPr>
            <w:hyperlink r:id="rId26" w:history="1">
              <w:r w:rsidR="001C0CF1" w:rsidRPr="000170DA">
                <w:rPr>
                  <w:rStyle w:val="Hyperlink"/>
                  <w:rFonts w:ascii="Garamond" w:hAnsi="Garamond"/>
                  <w:lang w:val="en-AU"/>
                </w:rPr>
                <w:t>https://qualitysafety.bmj.com/content/early/recent</w:t>
              </w:r>
            </w:hyperlink>
          </w:p>
        </w:tc>
      </w:tr>
      <w:tr w:rsidR="001C0CF1" w:rsidRPr="000170DA" w:rsidTr="00117330">
        <w:tc>
          <w:tcPr>
            <w:tcW w:w="1080" w:type="dxa"/>
            <w:tcBorders>
              <w:top w:val="single" w:sz="4" w:space="0" w:color="auto"/>
              <w:left w:val="single" w:sz="4" w:space="0" w:color="auto"/>
              <w:bottom w:val="single" w:sz="4" w:space="0" w:color="auto"/>
              <w:right w:val="single" w:sz="4" w:space="0" w:color="auto"/>
            </w:tcBorders>
            <w:vAlign w:val="center"/>
          </w:tcPr>
          <w:p w:rsidR="001C0CF1" w:rsidRPr="000170DA" w:rsidRDefault="001C0CF1" w:rsidP="00117330">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0170DA" w:rsidRDefault="001C0CF1" w:rsidP="00117330">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ED7ABD" w:rsidRPr="00ED7ABD" w:rsidRDefault="00ED7ABD" w:rsidP="00ED7ABD">
            <w:pPr>
              <w:pStyle w:val="ListParagraph"/>
              <w:numPr>
                <w:ilvl w:val="0"/>
                <w:numId w:val="14"/>
              </w:numPr>
              <w:rPr>
                <w:rFonts w:ascii="Garamond" w:hAnsi="Garamond"/>
                <w:lang w:val="en-AU"/>
              </w:rPr>
            </w:pPr>
            <w:r w:rsidRPr="00ED7ABD">
              <w:rPr>
                <w:rFonts w:ascii="Garamond" w:hAnsi="Garamond"/>
                <w:b/>
                <w:lang w:val="en-AU"/>
              </w:rPr>
              <w:t>Interprofessional Teamwork Innovation Model</w:t>
            </w:r>
            <w:r w:rsidRPr="00ED7ABD">
              <w:rPr>
                <w:rFonts w:ascii="Garamond" w:hAnsi="Garamond"/>
                <w:lang w:val="en-AU"/>
              </w:rPr>
              <w:t xml:space="preserve"> (ITIM) to promote communication and patient-centred, coordinated care (Jing Li, Preetham Talari, Andrew Kelly, Barbara Latham, Sherri Dotson, Kim Manning, Lisa Thornsberry, Colleen Swartz, Mark V Williams</w:t>
            </w:r>
            <w:r>
              <w:rPr>
                <w:rFonts w:ascii="Garamond" w:hAnsi="Garamond"/>
                <w:lang w:val="en-AU"/>
              </w:rPr>
              <w:t>)</w:t>
            </w:r>
          </w:p>
          <w:p w:rsidR="00767A17" w:rsidRPr="00767A17" w:rsidRDefault="00767A17" w:rsidP="00767A17">
            <w:pPr>
              <w:pStyle w:val="ListParagraph"/>
              <w:numPr>
                <w:ilvl w:val="0"/>
                <w:numId w:val="14"/>
              </w:numPr>
              <w:rPr>
                <w:rFonts w:ascii="Garamond" w:hAnsi="Garamond"/>
                <w:lang w:val="en-AU"/>
              </w:rPr>
            </w:pPr>
            <w:r w:rsidRPr="00767A17">
              <w:rPr>
                <w:rFonts w:ascii="Garamond" w:hAnsi="Garamond"/>
                <w:lang w:val="en-AU"/>
              </w:rPr>
              <w:t xml:space="preserve">Editorial: Rigorous </w:t>
            </w:r>
            <w:r w:rsidRPr="00767A17">
              <w:rPr>
                <w:rFonts w:ascii="Garamond" w:hAnsi="Garamond"/>
                <w:b/>
                <w:lang w:val="en-AU"/>
              </w:rPr>
              <w:t>evaluations of evolving interventions</w:t>
            </w:r>
            <w:r w:rsidRPr="00767A17">
              <w:rPr>
                <w:rFonts w:ascii="Garamond" w:hAnsi="Garamond"/>
                <w:lang w:val="en-AU"/>
              </w:rPr>
              <w:t>: can we have our cake and eat it too? (Robert E Burke, Kaveh G Shojania</w:t>
            </w:r>
            <w:r>
              <w:rPr>
                <w:rFonts w:ascii="Garamond" w:hAnsi="Garamond"/>
                <w:lang w:val="en-AU"/>
              </w:rPr>
              <w:t>)</w:t>
            </w:r>
          </w:p>
          <w:p w:rsidR="00767A17" w:rsidRPr="00767A17" w:rsidRDefault="00767A17" w:rsidP="00767A17">
            <w:pPr>
              <w:pStyle w:val="ListParagraph"/>
              <w:numPr>
                <w:ilvl w:val="0"/>
                <w:numId w:val="14"/>
              </w:numPr>
              <w:rPr>
                <w:rFonts w:ascii="Garamond" w:hAnsi="Garamond"/>
                <w:lang w:val="en-AU"/>
              </w:rPr>
            </w:pPr>
            <w:r w:rsidRPr="00767A17">
              <w:rPr>
                <w:rFonts w:ascii="Garamond" w:hAnsi="Garamond"/>
                <w:lang w:val="en-AU"/>
              </w:rPr>
              <w:t xml:space="preserve">Successfully implementing </w:t>
            </w:r>
            <w:r w:rsidRPr="00767A17">
              <w:rPr>
                <w:rFonts w:ascii="Garamond" w:hAnsi="Garamond"/>
                <w:b/>
                <w:lang w:val="en-AU"/>
              </w:rPr>
              <w:t>Safety WalkRounds</w:t>
            </w:r>
            <w:r w:rsidRPr="00767A17">
              <w:rPr>
                <w:rFonts w:ascii="Garamond" w:hAnsi="Garamond"/>
                <w:lang w:val="en-AU"/>
              </w:rPr>
              <w:t>: secret sauce more than a magic bullet (Sara J Singer</w:t>
            </w:r>
            <w:r>
              <w:rPr>
                <w:rFonts w:ascii="Garamond" w:hAnsi="Garamond"/>
                <w:lang w:val="en-AU"/>
              </w:rPr>
              <w:t>)</w:t>
            </w:r>
          </w:p>
          <w:p w:rsidR="00772972" w:rsidRPr="00C57681" w:rsidRDefault="00767A17" w:rsidP="00767A17">
            <w:pPr>
              <w:pStyle w:val="ListParagraph"/>
              <w:numPr>
                <w:ilvl w:val="0"/>
                <w:numId w:val="14"/>
              </w:numPr>
              <w:rPr>
                <w:rFonts w:ascii="Garamond" w:hAnsi="Garamond"/>
                <w:lang w:val="en-AU"/>
              </w:rPr>
            </w:pPr>
            <w:r w:rsidRPr="00767A17">
              <w:rPr>
                <w:rFonts w:ascii="Garamond" w:hAnsi="Garamond"/>
                <w:lang w:val="en-AU"/>
              </w:rPr>
              <w:t xml:space="preserve">Prospective evaluation of </w:t>
            </w:r>
            <w:r w:rsidRPr="00767A17">
              <w:rPr>
                <w:rFonts w:ascii="Garamond" w:hAnsi="Garamond"/>
                <w:b/>
                <w:lang w:val="en-AU"/>
              </w:rPr>
              <w:t>medication-related clinical decision support over-rides</w:t>
            </w:r>
            <w:r w:rsidRPr="00767A17">
              <w:rPr>
                <w:rFonts w:ascii="Garamond" w:hAnsi="Garamond"/>
                <w:lang w:val="en-AU"/>
              </w:rPr>
              <w:t xml:space="preserve"> in the intensive care unit</w:t>
            </w:r>
            <w:r>
              <w:rPr>
                <w:rFonts w:ascii="Garamond" w:hAnsi="Garamond"/>
                <w:lang w:val="en-AU"/>
              </w:rPr>
              <w:t xml:space="preserve"> (</w:t>
            </w:r>
            <w:r w:rsidRPr="00767A17">
              <w:rPr>
                <w:rFonts w:ascii="Garamond" w:hAnsi="Garamond"/>
                <w:lang w:val="en-AU"/>
              </w:rPr>
              <w:t>Adrian Wong, Mary G Amato, Diane L Seger, Christine Rehr, Adam Wright, Sarah P Slight, Patrick E Beeler, E. John Orav, David W Bates</w:t>
            </w:r>
            <w:r>
              <w:rPr>
                <w:rFonts w:ascii="Garamond" w:hAnsi="Garamond"/>
                <w:lang w:val="en-AU"/>
              </w:rPr>
              <w:t>)</w:t>
            </w:r>
          </w:p>
        </w:tc>
      </w:tr>
    </w:tbl>
    <w:p w:rsidR="001C0CF1" w:rsidRPr="000170DA" w:rsidRDefault="001C0CF1" w:rsidP="001C0CF1">
      <w:pPr>
        <w:rPr>
          <w:rFonts w:ascii="Garamond" w:hAnsi="Garamond"/>
          <w:i/>
          <w:lang w:val="en-AU"/>
        </w:rPr>
      </w:pPr>
    </w:p>
    <w:p w:rsidR="00A660B0" w:rsidRPr="000170DA" w:rsidRDefault="00A660B0" w:rsidP="00A660B0">
      <w:pPr>
        <w:keepNext/>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keepNext/>
              <w:rPr>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0170DA" w:rsidRDefault="006C420A" w:rsidP="006416D1">
            <w:pPr>
              <w:keepNext/>
              <w:rPr>
                <w:rFonts w:ascii="Garamond" w:hAnsi="Garamond"/>
                <w:lang w:val="en-AU"/>
              </w:rPr>
            </w:pPr>
            <w:hyperlink r:id="rId27" w:history="1">
              <w:r w:rsidR="00A660B0" w:rsidRPr="000170DA">
                <w:rPr>
                  <w:rStyle w:val="Hyperlink"/>
                  <w:rFonts w:ascii="Garamond" w:hAnsi="Garamond"/>
                  <w:lang w:val="en-AU"/>
                </w:rPr>
                <w:t>https://academic.oup.com/intqhc/advance-access?papetoc</w:t>
              </w:r>
            </w:hyperlink>
          </w:p>
        </w:tc>
      </w:tr>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rPr>
                <w:rFonts w:ascii="Garamond" w:hAnsi="Garamond"/>
                <w:lang w:val="en-AU"/>
              </w:rPr>
            </w:pPr>
            <w:r w:rsidRPr="000170D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Default="00A660B0" w:rsidP="00627744">
            <w:pPr>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has published a number of ‘online first’ articles, including:</w:t>
            </w:r>
          </w:p>
          <w:p w:rsidR="00804970" w:rsidRPr="00804970" w:rsidRDefault="00ED7ABD" w:rsidP="00804970">
            <w:pPr>
              <w:pStyle w:val="ListParagraph"/>
              <w:numPr>
                <w:ilvl w:val="0"/>
                <w:numId w:val="14"/>
              </w:numPr>
              <w:rPr>
                <w:rFonts w:ascii="Garamond" w:hAnsi="Garamond"/>
                <w:lang w:val="en-AU"/>
              </w:rPr>
            </w:pPr>
            <w:r w:rsidRPr="00804970">
              <w:rPr>
                <w:rFonts w:ascii="Garamond" w:hAnsi="Garamond"/>
                <w:lang w:val="en-AU"/>
              </w:rPr>
              <w:t xml:space="preserve">Unpacking the </w:t>
            </w:r>
            <w:r w:rsidRPr="00804970">
              <w:rPr>
                <w:rFonts w:ascii="Garamond" w:hAnsi="Garamond"/>
                <w:b/>
                <w:lang w:val="en-AU"/>
              </w:rPr>
              <w:t>black box of improvement</w:t>
            </w:r>
            <w:r w:rsidRPr="00804970">
              <w:rPr>
                <w:rFonts w:ascii="Garamond" w:hAnsi="Garamond"/>
                <w:lang w:val="en-AU"/>
              </w:rPr>
              <w:t xml:space="preserve"> (</w:t>
            </w:r>
            <w:r w:rsidR="00804970" w:rsidRPr="00804970">
              <w:rPr>
                <w:rFonts w:ascii="Garamond" w:hAnsi="Garamond"/>
                <w:lang w:val="en-AU"/>
              </w:rPr>
              <w:t>Rohit Ramaswamy</w:t>
            </w:r>
            <w:r w:rsidR="00804970">
              <w:rPr>
                <w:rFonts w:ascii="Garamond" w:hAnsi="Garamond"/>
                <w:lang w:val="en-AU"/>
              </w:rPr>
              <w:t>;</w:t>
            </w:r>
            <w:r w:rsidR="00804970" w:rsidRPr="00804970">
              <w:rPr>
                <w:rFonts w:ascii="Garamond" w:hAnsi="Garamond"/>
                <w:lang w:val="en-AU"/>
              </w:rPr>
              <w:t xml:space="preserve"> Julie Reed</w:t>
            </w:r>
            <w:r w:rsidR="00804970">
              <w:rPr>
                <w:rFonts w:ascii="Garamond" w:hAnsi="Garamond"/>
                <w:lang w:val="en-AU"/>
              </w:rPr>
              <w:t>;</w:t>
            </w:r>
            <w:r w:rsidR="00804970" w:rsidRPr="00804970">
              <w:rPr>
                <w:rFonts w:ascii="Garamond" w:hAnsi="Garamond"/>
                <w:lang w:val="en-AU"/>
              </w:rPr>
              <w:t xml:space="preserve"> Nigel Livesley</w:t>
            </w:r>
            <w:r w:rsidR="00804970">
              <w:rPr>
                <w:rFonts w:ascii="Garamond" w:hAnsi="Garamond"/>
                <w:lang w:val="en-AU"/>
              </w:rPr>
              <w:t>;</w:t>
            </w:r>
            <w:r w:rsidR="00804970" w:rsidRPr="00804970">
              <w:rPr>
                <w:rFonts w:ascii="Garamond" w:hAnsi="Garamond"/>
                <w:lang w:val="en-AU"/>
              </w:rPr>
              <w:t xml:space="preserve"> Victor Boguslavsky</w:t>
            </w:r>
            <w:r w:rsidR="00804970">
              <w:rPr>
                <w:rFonts w:ascii="Garamond" w:hAnsi="Garamond"/>
                <w:lang w:val="en-AU"/>
              </w:rPr>
              <w:t>;</w:t>
            </w:r>
            <w:r w:rsidR="00804970" w:rsidRPr="00804970">
              <w:rPr>
                <w:rFonts w:ascii="Garamond" w:hAnsi="Garamond"/>
                <w:lang w:val="en-AU"/>
              </w:rPr>
              <w:t xml:space="preserve"> Ezequiel Garcia Ellorio</w:t>
            </w:r>
            <w:r w:rsidR="00804970">
              <w:rPr>
                <w:rFonts w:ascii="Garamond" w:hAnsi="Garamond"/>
                <w:lang w:val="en-AU"/>
              </w:rPr>
              <w:t>;</w:t>
            </w:r>
            <w:r w:rsidR="00804970" w:rsidRPr="00804970">
              <w:rPr>
                <w:rFonts w:ascii="Garamond" w:hAnsi="Garamond"/>
                <w:lang w:val="en-AU"/>
              </w:rPr>
              <w:t xml:space="preserve"> Sylvia Sax</w:t>
            </w:r>
            <w:r w:rsidR="00804970">
              <w:rPr>
                <w:rFonts w:ascii="Garamond" w:hAnsi="Garamond"/>
                <w:lang w:val="en-AU"/>
              </w:rPr>
              <w:t>;</w:t>
            </w:r>
            <w:r w:rsidR="00804970" w:rsidRPr="00804970">
              <w:rPr>
                <w:rFonts w:ascii="Garamond" w:hAnsi="Garamond"/>
                <w:lang w:val="en-AU"/>
              </w:rPr>
              <w:t xml:space="preserve"> Diarra Houleymata</w:t>
            </w:r>
            <w:r w:rsidR="00804970">
              <w:rPr>
                <w:rFonts w:ascii="Garamond" w:hAnsi="Garamond"/>
                <w:lang w:val="en-AU"/>
              </w:rPr>
              <w:t>;</w:t>
            </w:r>
            <w:r w:rsidR="00804970" w:rsidRPr="00804970">
              <w:rPr>
                <w:rFonts w:ascii="Garamond" w:hAnsi="Garamond"/>
                <w:lang w:val="en-AU"/>
              </w:rPr>
              <w:t xml:space="preserve"> Leighann Kimble</w:t>
            </w:r>
            <w:r w:rsidR="00804970">
              <w:rPr>
                <w:rFonts w:ascii="Garamond" w:hAnsi="Garamond"/>
                <w:lang w:val="en-AU"/>
              </w:rPr>
              <w:t>;</w:t>
            </w:r>
            <w:r w:rsidR="00804970" w:rsidRPr="00804970">
              <w:rPr>
                <w:rFonts w:ascii="Garamond" w:hAnsi="Garamond"/>
                <w:lang w:val="en-AU"/>
              </w:rPr>
              <w:t xml:space="preserve"> Gareth Parry</w:t>
            </w:r>
            <w:r w:rsidR="00804970">
              <w:rPr>
                <w:rFonts w:ascii="Garamond" w:hAnsi="Garamond"/>
                <w:lang w:val="en-AU"/>
              </w:rPr>
              <w:t>)</w:t>
            </w:r>
          </w:p>
          <w:p w:rsidR="00ED7ABD" w:rsidRPr="00ED7ABD" w:rsidRDefault="00ED7ABD" w:rsidP="00804970">
            <w:pPr>
              <w:pStyle w:val="ListParagraph"/>
              <w:numPr>
                <w:ilvl w:val="0"/>
                <w:numId w:val="14"/>
              </w:numPr>
              <w:rPr>
                <w:rFonts w:ascii="Garamond" w:hAnsi="Garamond"/>
                <w:lang w:val="en-AU"/>
              </w:rPr>
            </w:pPr>
            <w:r w:rsidRPr="00ED7ABD">
              <w:rPr>
                <w:rFonts w:ascii="Garamond" w:hAnsi="Garamond"/>
                <w:lang w:val="en-AU"/>
              </w:rPr>
              <w:t xml:space="preserve">Practical recommendations for the </w:t>
            </w:r>
            <w:r w:rsidRPr="00804970">
              <w:rPr>
                <w:rFonts w:ascii="Garamond" w:hAnsi="Garamond"/>
                <w:b/>
                <w:lang w:val="en-AU"/>
              </w:rPr>
              <w:t>evaluation of improvement initiatives</w:t>
            </w:r>
            <w:r w:rsidRPr="00ED7ABD">
              <w:rPr>
                <w:rFonts w:ascii="Garamond" w:hAnsi="Garamond"/>
                <w:lang w:val="en-AU"/>
              </w:rPr>
              <w:t xml:space="preserve"> (Gareth Parry; Astou Coly; Don Goldmann; Alex Rowe; Vijay Chattu</w:t>
            </w:r>
            <w:r w:rsidR="00804970">
              <w:rPr>
                <w:rFonts w:ascii="Garamond" w:hAnsi="Garamond"/>
                <w:lang w:val="en-AU"/>
              </w:rPr>
              <w:t xml:space="preserve">; </w:t>
            </w:r>
            <w:r w:rsidR="00804970" w:rsidRPr="00804970">
              <w:rPr>
                <w:rFonts w:ascii="Garamond" w:hAnsi="Garamond"/>
                <w:lang w:val="en-AU"/>
              </w:rPr>
              <w:t>Deneil Logiudice</w:t>
            </w:r>
            <w:r w:rsidR="00804970">
              <w:rPr>
                <w:rFonts w:ascii="Garamond" w:hAnsi="Garamond"/>
                <w:lang w:val="en-AU"/>
              </w:rPr>
              <w:t>;</w:t>
            </w:r>
            <w:r w:rsidR="00804970" w:rsidRPr="00804970">
              <w:rPr>
                <w:rFonts w:ascii="Garamond" w:hAnsi="Garamond"/>
                <w:lang w:val="en-AU"/>
              </w:rPr>
              <w:t xml:space="preserve"> Mihajlo Rabrenovic</w:t>
            </w:r>
            <w:r w:rsidR="00804970">
              <w:rPr>
                <w:rFonts w:ascii="Garamond" w:hAnsi="Garamond"/>
                <w:lang w:val="en-AU"/>
              </w:rPr>
              <w:t>;</w:t>
            </w:r>
            <w:r w:rsidR="00804970" w:rsidRPr="00804970">
              <w:rPr>
                <w:rFonts w:ascii="Garamond" w:hAnsi="Garamond"/>
                <w:lang w:val="en-AU"/>
              </w:rPr>
              <w:t xml:space="preserve"> Bejoy Nambiar</w:t>
            </w:r>
            <w:r w:rsidR="00804970">
              <w:rPr>
                <w:rFonts w:ascii="Garamond" w:hAnsi="Garamond"/>
                <w:lang w:val="en-AU"/>
              </w:rPr>
              <w:t>)</w:t>
            </w:r>
          </w:p>
          <w:p w:rsidR="00ED7ABD" w:rsidRPr="00ED7ABD" w:rsidRDefault="00ED7ABD" w:rsidP="00ED7ABD">
            <w:pPr>
              <w:pStyle w:val="ListParagraph"/>
              <w:numPr>
                <w:ilvl w:val="0"/>
                <w:numId w:val="14"/>
              </w:numPr>
              <w:rPr>
                <w:rFonts w:ascii="Garamond" w:hAnsi="Garamond"/>
                <w:lang w:val="en-AU"/>
              </w:rPr>
            </w:pPr>
            <w:r w:rsidRPr="00ED7ABD">
              <w:rPr>
                <w:rFonts w:ascii="Garamond" w:hAnsi="Garamond"/>
                <w:lang w:val="en-AU"/>
              </w:rPr>
              <w:t xml:space="preserve">Salzburg Global Seminar Session 565—‘Better Health Care: how do we </w:t>
            </w:r>
            <w:r w:rsidRPr="00804970">
              <w:rPr>
                <w:rFonts w:ascii="Garamond" w:hAnsi="Garamond"/>
                <w:b/>
                <w:lang w:val="en-AU"/>
              </w:rPr>
              <w:t>learn about improvement</w:t>
            </w:r>
            <w:r w:rsidRPr="00ED7ABD">
              <w:rPr>
                <w:rFonts w:ascii="Garamond" w:hAnsi="Garamond"/>
                <w:lang w:val="en-AU"/>
              </w:rPr>
              <w:t>?’ (M Rashad Massoud; Leighann E Kimble; Don Goldmann; John Ovretveit; Nancy Dixon</w:t>
            </w:r>
            <w:r>
              <w:rPr>
                <w:rFonts w:ascii="Garamond" w:hAnsi="Garamond"/>
                <w:lang w:val="en-AU"/>
              </w:rPr>
              <w:t>)</w:t>
            </w:r>
          </w:p>
          <w:p w:rsidR="00ED7ABD" w:rsidRPr="00ED7ABD" w:rsidRDefault="00ED7ABD" w:rsidP="00804970">
            <w:pPr>
              <w:pStyle w:val="ListParagraph"/>
              <w:numPr>
                <w:ilvl w:val="0"/>
                <w:numId w:val="14"/>
              </w:numPr>
              <w:rPr>
                <w:rFonts w:ascii="Garamond" w:hAnsi="Garamond"/>
                <w:lang w:val="en-AU"/>
              </w:rPr>
            </w:pPr>
            <w:r w:rsidRPr="00804970">
              <w:rPr>
                <w:rFonts w:ascii="Garamond" w:hAnsi="Garamond"/>
                <w:b/>
                <w:lang w:val="en-AU"/>
              </w:rPr>
              <w:t>Research versus practice in quality improvement</w:t>
            </w:r>
            <w:r w:rsidRPr="00ED7ABD">
              <w:rPr>
                <w:rFonts w:ascii="Garamond" w:hAnsi="Garamond"/>
                <w:lang w:val="en-AU"/>
              </w:rPr>
              <w:t>? Understanding how we can bridge the gap (Lisa R Hirschhorn; Rohit Ramaswamy; Mahesh Devnani; Abraha</w:t>
            </w:r>
            <w:r w:rsidR="00804970">
              <w:rPr>
                <w:rFonts w:ascii="Garamond" w:hAnsi="Garamond"/>
                <w:lang w:val="en-AU"/>
              </w:rPr>
              <w:t xml:space="preserve">m Wandersman; Lisa A Simpson; </w:t>
            </w:r>
            <w:r w:rsidR="00804970" w:rsidRPr="00804970">
              <w:rPr>
                <w:rFonts w:ascii="Garamond" w:hAnsi="Garamond"/>
                <w:lang w:val="en-AU"/>
              </w:rPr>
              <w:t>Ezequiel Garcia-Elorrio</w:t>
            </w:r>
            <w:r w:rsidR="00804970">
              <w:rPr>
                <w:rFonts w:ascii="Garamond" w:hAnsi="Garamond"/>
                <w:lang w:val="en-AU"/>
              </w:rPr>
              <w:t>)</w:t>
            </w:r>
          </w:p>
          <w:p w:rsidR="00804970" w:rsidRDefault="00ED7ABD" w:rsidP="00ED7ABD">
            <w:pPr>
              <w:pStyle w:val="ListParagraph"/>
              <w:numPr>
                <w:ilvl w:val="0"/>
                <w:numId w:val="14"/>
              </w:numPr>
              <w:rPr>
                <w:rFonts w:ascii="Garamond" w:hAnsi="Garamond"/>
                <w:lang w:val="en-AU"/>
              </w:rPr>
            </w:pPr>
            <w:r w:rsidRPr="00ED7ABD">
              <w:rPr>
                <w:rFonts w:ascii="Garamond" w:hAnsi="Garamond"/>
                <w:lang w:val="en-AU"/>
              </w:rPr>
              <w:t xml:space="preserve">Improvement of </w:t>
            </w:r>
            <w:r w:rsidRPr="00804970">
              <w:rPr>
                <w:rFonts w:ascii="Garamond" w:hAnsi="Garamond"/>
                <w:b/>
                <w:lang w:val="en-AU"/>
              </w:rPr>
              <w:t>emergency department patient flow</w:t>
            </w:r>
            <w:r w:rsidRPr="00ED7ABD">
              <w:rPr>
                <w:rFonts w:ascii="Garamond" w:hAnsi="Garamond"/>
                <w:lang w:val="en-AU"/>
              </w:rPr>
              <w:t xml:space="preserve"> using lean thinking (Miquel Sánchez; Montse </w:t>
            </w:r>
            <w:r w:rsidR="00804970">
              <w:rPr>
                <w:rFonts w:ascii="Garamond" w:hAnsi="Garamond"/>
                <w:lang w:val="en-AU"/>
              </w:rPr>
              <w:t>Suárez, María Asenjo; Ernest Bragulat)</w:t>
            </w:r>
          </w:p>
          <w:p w:rsidR="00ED7ABD" w:rsidRPr="00ED7ABD" w:rsidRDefault="00ED7ABD" w:rsidP="00ED7ABD">
            <w:pPr>
              <w:pStyle w:val="ListParagraph"/>
              <w:numPr>
                <w:ilvl w:val="0"/>
                <w:numId w:val="14"/>
              </w:numPr>
              <w:rPr>
                <w:rFonts w:ascii="Garamond" w:hAnsi="Garamond"/>
                <w:lang w:val="en-AU"/>
              </w:rPr>
            </w:pPr>
            <w:r w:rsidRPr="00ED7ABD">
              <w:rPr>
                <w:rFonts w:ascii="Garamond" w:hAnsi="Garamond"/>
                <w:lang w:val="en-AU"/>
              </w:rPr>
              <w:t xml:space="preserve">The representation of </w:t>
            </w:r>
            <w:r w:rsidRPr="00804970">
              <w:rPr>
                <w:rFonts w:ascii="Garamond" w:hAnsi="Garamond"/>
                <w:b/>
                <w:lang w:val="en-AU"/>
              </w:rPr>
              <w:t xml:space="preserve">vulnerable populations in quality improvement studies </w:t>
            </w:r>
            <w:r w:rsidRPr="00ED7ABD">
              <w:rPr>
                <w:rFonts w:ascii="Garamond" w:hAnsi="Garamond"/>
                <w:lang w:val="en-AU"/>
              </w:rPr>
              <w:t>(Asaph Rolnitsky; Maksim Kirtsman; Hanna R Goldberg; Michael Dunn; Chaim M Bell</w:t>
            </w:r>
            <w:r>
              <w:rPr>
                <w:rFonts w:ascii="Garamond" w:hAnsi="Garamond"/>
                <w:lang w:val="en-AU"/>
              </w:rPr>
              <w:t>)</w:t>
            </w:r>
          </w:p>
          <w:p w:rsidR="00ED7ABD" w:rsidRPr="00ED7ABD" w:rsidRDefault="00ED7ABD" w:rsidP="00ED7ABD">
            <w:pPr>
              <w:pStyle w:val="ListParagraph"/>
              <w:numPr>
                <w:ilvl w:val="0"/>
                <w:numId w:val="14"/>
              </w:numPr>
              <w:rPr>
                <w:rFonts w:ascii="Garamond" w:hAnsi="Garamond"/>
                <w:lang w:val="en-AU"/>
              </w:rPr>
            </w:pPr>
            <w:r w:rsidRPr="00ED7ABD">
              <w:rPr>
                <w:rFonts w:ascii="Garamond" w:hAnsi="Garamond"/>
                <w:lang w:val="en-AU"/>
              </w:rPr>
              <w:t xml:space="preserve">EQ-5D-Y for the assessment of </w:t>
            </w:r>
            <w:r w:rsidRPr="00804970">
              <w:rPr>
                <w:rFonts w:ascii="Garamond" w:hAnsi="Garamond"/>
                <w:b/>
                <w:lang w:val="en-AU"/>
              </w:rPr>
              <w:t>health-related quality of life</w:t>
            </w:r>
            <w:r w:rsidRPr="00ED7ABD">
              <w:rPr>
                <w:rFonts w:ascii="Garamond" w:hAnsi="Garamond"/>
                <w:lang w:val="en-AU"/>
              </w:rPr>
              <w:t xml:space="preserve"> among Taiwanese youth with mild-to-moderate </w:t>
            </w:r>
            <w:r w:rsidRPr="00804970">
              <w:rPr>
                <w:rFonts w:ascii="Garamond" w:hAnsi="Garamond"/>
                <w:b/>
                <w:lang w:val="en-AU"/>
              </w:rPr>
              <w:t>chronic kidney disease</w:t>
            </w:r>
            <w:r w:rsidRPr="00ED7ABD">
              <w:rPr>
                <w:rFonts w:ascii="Garamond" w:hAnsi="Garamond"/>
                <w:lang w:val="en-AU"/>
              </w:rPr>
              <w:t xml:space="preserve"> (Chien-Ning Hsu; Hsiang-Wen Lin; A Simon Pickard; You-Lin Tain</w:t>
            </w:r>
            <w:r>
              <w:rPr>
                <w:rFonts w:ascii="Garamond" w:hAnsi="Garamond"/>
                <w:lang w:val="en-AU"/>
              </w:rPr>
              <w:t>)</w:t>
            </w:r>
          </w:p>
          <w:p w:rsidR="00804970" w:rsidRDefault="00ED7ABD" w:rsidP="00ED7ABD">
            <w:pPr>
              <w:pStyle w:val="ListParagraph"/>
              <w:numPr>
                <w:ilvl w:val="0"/>
                <w:numId w:val="14"/>
              </w:numPr>
              <w:rPr>
                <w:rFonts w:ascii="Garamond" w:hAnsi="Garamond"/>
                <w:lang w:val="en-AU"/>
              </w:rPr>
            </w:pPr>
            <w:r w:rsidRPr="00ED7ABD">
              <w:rPr>
                <w:rFonts w:ascii="Garamond" w:hAnsi="Garamond"/>
                <w:lang w:val="en-AU"/>
              </w:rPr>
              <w:t xml:space="preserve">Association of strategic management with </w:t>
            </w:r>
            <w:r w:rsidRPr="00804970">
              <w:rPr>
                <w:rFonts w:ascii="Garamond" w:hAnsi="Garamond"/>
                <w:b/>
                <w:lang w:val="en-AU"/>
              </w:rPr>
              <w:t>vaccination</w:t>
            </w:r>
            <w:r w:rsidRPr="00ED7ABD">
              <w:rPr>
                <w:rFonts w:ascii="Garamond" w:hAnsi="Garamond"/>
                <w:lang w:val="en-AU"/>
              </w:rPr>
              <w:t xml:space="preserve"> in the terms of globalization (</w:t>
            </w:r>
            <w:r w:rsidR="00804970">
              <w:rPr>
                <w:rFonts w:ascii="Garamond" w:hAnsi="Garamond"/>
                <w:lang w:val="en-AU"/>
              </w:rPr>
              <w:t>Mihaljo Rabrenovic, Marija Cukanovic Karavidic, Ivana Stosic)</w:t>
            </w:r>
          </w:p>
          <w:p w:rsidR="00ED7ABD" w:rsidRPr="00ED7ABD" w:rsidRDefault="00ED7ABD" w:rsidP="00ED7ABD">
            <w:pPr>
              <w:pStyle w:val="ListParagraph"/>
              <w:numPr>
                <w:ilvl w:val="0"/>
                <w:numId w:val="14"/>
              </w:numPr>
              <w:rPr>
                <w:rFonts w:ascii="Garamond" w:hAnsi="Garamond"/>
                <w:lang w:val="en-AU"/>
              </w:rPr>
            </w:pPr>
            <w:r>
              <w:rPr>
                <w:rFonts w:ascii="Garamond" w:hAnsi="Garamond"/>
                <w:lang w:val="en-AU"/>
              </w:rPr>
              <w:t xml:space="preserve">Editorial: </w:t>
            </w:r>
            <w:r w:rsidRPr="00804970">
              <w:rPr>
                <w:rFonts w:ascii="Garamond" w:hAnsi="Garamond"/>
                <w:b/>
                <w:lang w:val="en-AU"/>
              </w:rPr>
              <w:t xml:space="preserve">Improvements scale-up </w:t>
            </w:r>
            <w:r w:rsidRPr="00804970">
              <w:rPr>
                <w:rFonts w:ascii="Garamond" w:hAnsi="Garamond"/>
                <w:lang w:val="en-AU"/>
              </w:rPr>
              <w:t>and</w:t>
            </w:r>
            <w:r w:rsidRPr="00804970">
              <w:rPr>
                <w:rFonts w:ascii="Garamond" w:hAnsi="Garamond"/>
                <w:b/>
                <w:lang w:val="en-AU"/>
              </w:rPr>
              <w:t xml:space="preserve"> rapid response systems</w:t>
            </w:r>
            <w:r w:rsidRPr="00ED7ABD">
              <w:rPr>
                <w:rFonts w:ascii="Garamond" w:hAnsi="Garamond"/>
                <w:lang w:val="en-AU"/>
              </w:rPr>
              <w:t xml:space="preserve"> in the hospitals (Usman Iqbal; Yu-Chuan (Jack) Li</w:t>
            </w:r>
            <w:r>
              <w:rPr>
                <w:rFonts w:ascii="Garamond" w:hAnsi="Garamond"/>
                <w:lang w:val="en-AU"/>
              </w:rPr>
              <w:t>)</w:t>
            </w:r>
          </w:p>
          <w:p w:rsidR="00772972" w:rsidRPr="000170DA" w:rsidRDefault="00767A17" w:rsidP="00767A17">
            <w:pPr>
              <w:pStyle w:val="ListParagraph"/>
              <w:numPr>
                <w:ilvl w:val="0"/>
                <w:numId w:val="14"/>
              </w:numPr>
              <w:rPr>
                <w:rFonts w:ascii="Garamond" w:hAnsi="Garamond"/>
                <w:lang w:val="en-AU"/>
              </w:rPr>
            </w:pPr>
            <w:r w:rsidRPr="00767A17">
              <w:rPr>
                <w:rFonts w:ascii="Garamond" w:hAnsi="Garamond"/>
                <w:lang w:val="en-AU"/>
              </w:rPr>
              <w:t xml:space="preserve">Potentially </w:t>
            </w:r>
            <w:r w:rsidRPr="00767A17">
              <w:rPr>
                <w:rFonts w:ascii="Garamond" w:hAnsi="Garamond"/>
                <w:b/>
                <w:lang w:val="en-AU"/>
              </w:rPr>
              <w:t>inappropriate medication and hospitalization/emergency department visits</w:t>
            </w:r>
            <w:r w:rsidRPr="00767A17">
              <w:rPr>
                <w:rFonts w:ascii="Garamond" w:hAnsi="Garamond"/>
                <w:lang w:val="en-AU"/>
              </w:rPr>
              <w:t xml:space="preserve"> among the elderly in Korea (Ha-Lim Jeon; Juhee Park; Euna Han; Dong-Sook Kim</w:t>
            </w:r>
            <w:r>
              <w:rPr>
                <w:rFonts w:ascii="Garamond" w:hAnsi="Garamond"/>
                <w:lang w:val="en-AU"/>
              </w:rPr>
              <w:t>)</w:t>
            </w:r>
          </w:p>
        </w:tc>
      </w:tr>
    </w:tbl>
    <w:p w:rsidR="001C0CF1" w:rsidRDefault="001C0CF1" w:rsidP="00915CB2">
      <w:pPr>
        <w:keepNext/>
        <w:rPr>
          <w:rFonts w:ascii="Garamond" w:hAnsi="Garamond"/>
          <w:i/>
          <w:lang w:val="en-AU"/>
        </w:rPr>
      </w:pPr>
    </w:p>
    <w:p w:rsidR="009C470E" w:rsidRDefault="009C470E">
      <w:pPr>
        <w:rPr>
          <w:rFonts w:ascii="Garamond" w:hAnsi="Garamond"/>
          <w:b/>
          <w:lang w:val="en-AU"/>
        </w:rPr>
      </w:pPr>
      <w:r>
        <w:rPr>
          <w:rFonts w:ascii="Garamond" w:hAnsi="Garamond"/>
          <w:b/>
          <w:lang w:val="en-AU"/>
        </w:rPr>
        <w:br w:type="page"/>
      </w: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6E425A" w:rsidRDefault="006E425A" w:rsidP="00070CFE">
      <w:pPr>
        <w:rPr>
          <w:rFonts w:ascii="Garamond" w:hAnsi="Garamond"/>
          <w:lang w:val="en-AU"/>
        </w:rPr>
      </w:pPr>
    </w:p>
    <w:p w:rsidR="000B70F0" w:rsidRDefault="000B70F0" w:rsidP="006E425A">
      <w:pPr>
        <w:keepNext/>
        <w:keepLines/>
        <w:rPr>
          <w:rFonts w:ascii="Garamond" w:hAnsi="Garamond"/>
          <w:i/>
          <w:lang w:val="en-AU"/>
        </w:rPr>
      </w:pPr>
      <w:r w:rsidRPr="000B70F0">
        <w:rPr>
          <w:rFonts w:ascii="Garamond" w:hAnsi="Garamond"/>
          <w:i/>
          <w:lang w:val="en-AU"/>
        </w:rPr>
        <w:t>Evidence-based Clinical Practice Guideline for Deprescribing Cholinesterase Inhibitors and Memantine</w:t>
      </w:r>
    </w:p>
    <w:p w:rsidR="000B70F0" w:rsidRDefault="006C420A" w:rsidP="006E425A">
      <w:pPr>
        <w:keepNext/>
        <w:keepLines/>
        <w:rPr>
          <w:rFonts w:ascii="Garamond" w:hAnsi="Garamond"/>
          <w:lang w:val="en-AU"/>
        </w:rPr>
      </w:pPr>
      <w:hyperlink r:id="rId28" w:history="1">
        <w:r w:rsidR="000B70F0" w:rsidRPr="009A40E6">
          <w:rPr>
            <w:rStyle w:val="Hyperlink"/>
            <w:rFonts w:ascii="Garamond" w:hAnsi="Garamond"/>
            <w:lang w:val="en-AU"/>
          </w:rPr>
          <w:t>https://www.clinicalguidelines.gov.au/portal/2588/evidence-based-clinical-practice-guideline-deprescribing-cholinesterase-inhibitors-and</w:t>
        </w:r>
      </w:hyperlink>
    </w:p>
    <w:p w:rsidR="000B70F0" w:rsidRDefault="006C420A" w:rsidP="006E425A">
      <w:pPr>
        <w:keepNext/>
        <w:keepLines/>
        <w:rPr>
          <w:rFonts w:ascii="Garamond" w:hAnsi="Garamond"/>
          <w:lang w:val="en-AU"/>
        </w:rPr>
      </w:pPr>
      <w:hyperlink r:id="rId29" w:history="1">
        <w:r w:rsidR="000B70F0" w:rsidRPr="009A40E6">
          <w:rPr>
            <w:rStyle w:val="Hyperlink"/>
            <w:rFonts w:ascii="Garamond" w:hAnsi="Garamond"/>
            <w:lang w:val="en-AU"/>
          </w:rPr>
          <w:t>http://sydney.edu.au/medicine/cdpc/resources/deprescribing-guidelines.php</w:t>
        </w:r>
      </w:hyperlink>
    </w:p>
    <w:p w:rsidR="000B70F0" w:rsidRPr="000B70F0" w:rsidRDefault="000B70F0" w:rsidP="000B70F0">
      <w:pPr>
        <w:keepNext/>
        <w:keepLines/>
        <w:rPr>
          <w:rFonts w:ascii="Garamond" w:hAnsi="Garamond"/>
          <w:lang w:val="en-AU"/>
        </w:rPr>
      </w:pPr>
      <w:r>
        <w:rPr>
          <w:rFonts w:ascii="Garamond" w:hAnsi="Garamond"/>
          <w:lang w:val="en-AU"/>
        </w:rPr>
        <w:t xml:space="preserve">The </w:t>
      </w:r>
      <w:r w:rsidRPr="000B70F0">
        <w:rPr>
          <w:rFonts w:ascii="Garamond" w:hAnsi="Garamond"/>
          <w:lang w:val="en-AU"/>
        </w:rPr>
        <w:t xml:space="preserve">National Health and Medical Research Council (NHMRC) has approved the recommendations made in the </w:t>
      </w:r>
      <w:r w:rsidRPr="000B70F0">
        <w:rPr>
          <w:rFonts w:ascii="Garamond" w:hAnsi="Garamond"/>
          <w:i/>
          <w:lang w:val="en-AU"/>
        </w:rPr>
        <w:t xml:space="preserve">Evidence-based clinical practice guideline for deprescribing cholinesterase inhibitors and memantine </w:t>
      </w:r>
      <w:r w:rsidRPr="000B70F0">
        <w:rPr>
          <w:rFonts w:ascii="Garamond" w:hAnsi="Garamond"/>
          <w:lang w:val="en-AU"/>
        </w:rPr>
        <w:t xml:space="preserve">developed by the University of Sydney in partnership with the NHMRC Cognitive Decline Partnership Centre and the Bruyère Research Institute in Canada. </w:t>
      </w:r>
    </w:p>
    <w:p w:rsidR="000B70F0" w:rsidRDefault="000B70F0" w:rsidP="000B70F0">
      <w:pPr>
        <w:keepNext/>
        <w:keepLines/>
        <w:rPr>
          <w:rFonts w:ascii="Garamond" w:hAnsi="Garamond"/>
          <w:lang w:val="en-AU"/>
        </w:rPr>
      </w:pPr>
      <w:r w:rsidRPr="000B70F0">
        <w:rPr>
          <w:rFonts w:ascii="Garamond" w:hAnsi="Garamond"/>
          <w:lang w:val="en-AU"/>
        </w:rPr>
        <w:t>Cholinesterase inhibitors and memantine are two classes of drugs prescribed to reduce the symptoms of dementia. This guideline provides advice on when and how to withdraw these medications when the potential harms outweigh the benefits.</w:t>
      </w:r>
    </w:p>
    <w:p w:rsidR="000B70F0" w:rsidRPr="000B70F0" w:rsidRDefault="000B70F0" w:rsidP="006E425A">
      <w:pPr>
        <w:keepNext/>
        <w:keepLines/>
        <w:rPr>
          <w:rFonts w:ascii="Garamond" w:hAnsi="Garamond"/>
          <w:lang w:val="en-AU"/>
        </w:rPr>
      </w:pPr>
    </w:p>
    <w:p w:rsidR="0096042F" w:rsidRDefault="0096042F" w:rsidP="006E425A">
      <w:pPr>
        <w:keepNext/>
        <w:keepLines/>
        <w:rPr>
          <w:rFonts w:ascii="Garamond" w:hAnsi="Garamond"/>
          <w:i/>
          <w:lang w:val="en-AU"/>
        </w:rPr>
      </w:pPr>
      <w:r w:rsidRPr="0096042F">
        <w:rPr>
          <w:rFonts w:ascii="Garamond" w:hAnsi="Garamond"/>
          <w:i/>
          <w:lang w:val="en-AU"/>
        </w:rPr>
        <w:t xml:space="preserve">Future Leaders Communiqué </w:t>
      </w:r>
    </w:p>
    <w:p w:rsidR="00C706D3" w:rsidRDefault="006C420A" w:rsidP="00C706D3">
      <w:pPr>
        <w:keepNext/>
        <w:rPr>
          <w:rFonts w:ascii="Garamond" w:hAnsi="Garamond"/>
          <w:lang w:val="en-AU"/>
        </w:rPr>
      </w:pPr>
      <w:hyperlink r:id="rId30" w:history="1">
        <w:r w:rsidR="00C706D3" w:rsidRPr="000F1F43">
          <w:rPr>
            <w:rStyle w:val="Hyperlink"/>
            <w:rFonts w:ascii="Garamond" w:hAnsi="Garamond"/>
            <w:lang w:val="en-AU"/>
          </w:rPr>
          <w:t>http://www.vifmcommuniques.org/?page_id=4296</w:t>
        </w:r>
      </w:hyperlink>
    </w:p>
    <w:p w:rsidR="00C706D3" w:rsidRDefault="00C706D3" w:rsidP="00C706D3">
      <w:pPr>
        <w:keepNext/>
        <w:rPr>
          <w:rFonts w:ascii="Garamond" w:hAnsi="Garamond"/>
          <w:lang w:val="en-AU"/>
        </w:rPr>
      </w:pPr>
      <w:r>
        <w:rPr>
          <w:rFonts w:ascii="Garamond" w:hAnsi="Garamond"/>
          <w:lang w:val="en-AU"/>
        </w:rPr>
        <w:t>Victorian Institute of Forensic Medicine</w:t>
      </w:r>
    </w:p>
    <w:p w:rsidR="00C706D3" w:rsidRDefault="00C706D3" w:rsidP="00C706D3">
      <w:pPr>
        <w:keepNext/>
        <w:rPr>
          <w:rFonts w:ascii="Garamond" w:hAnsi="Garamond"/>
          <w:lang w:val="en-AU"/>
        </w:rPr>
      </w:pPr>
      <w:r w:rsidRPr="00C706D3">
        <w:rPr>
          <w:rFonts w:ascii="Garamond" w:hAnsi="Garamond"/>
          <w:lang w:val="en-AU"/>
        </w:rPr>
        <w:t>Volume 3 Issue 1 January 2018</w:t>
      </w:r>
    </w:p>
    <w:p w:rsidR="00C706D3" w:rsidRDefault="00C706D3" w:rsidP="00C706D3">
      <w:pPr>
        <w:keepNext/>
        <w:rPr>
          <w:rFonts w:ascii="Garamond" w:hAnsi="Garamond"/>
          <w:lang w:val="en-AU"/>
        </w:rPr>
      </w:pPr>
      <w:r>
        <w:rPr>
          <w:rFonts w:ascii="Garamond" w:hAnsi="Garamond"/>
          <w:lang w:val="en-AU"/>
        </w:rPr>
        <w:t xml:space="preserve">This issue of the </w:t>
      </w:r>
      <w:r w:rsidRPr="00507C0D">
        <w:rPr>
          <w:rFonts w:ascii="Garamond" w:hAnsi="Garamond"/>
          <w:i/>
          <w:lang w:val="en-AU"/>
        </w:rPr>
        <w:t>Future Leaders Communiqué</w:t>
      </w:r>
      <w:r>
        <w:rPr>
          <w:rFonts w:ascii="Garamond" w:hAnsi="Garamond"/>
          <w:lang w:val="en-AU"/>
        </w:rPr>
        <w:t xml:space="preserve"> examines </w:t>
      </w:r>
      <w:r w:rsidR="002A19AD" w:rsidRPr="002A19AD">
        <w:rPr>
          <w:rFonts w:ascii="Garamond" w:hAnsi="Garamond"/>
          <w:lang w:val="en-AU"/>
        </w:rPr>
        <w:t xml:space="preserve">the multiple clinical challenges </w:t>
      </w:r>
      <w:r w:rsidR="002A19AD">
        <w:rPr>
          <w:rFonts w:ascii="Garamond" w:hAnsi="Garamond"/>
          <w:lang w:val="en-AU"/>
        </w:rPr>
        <w:t xml:space="preserve">that can arise </w:t>
      </w:r>
      <w:r w:rsidR="002A19AD" w:rsidRPr="002A19AD">
        <w:rPr>
          <w:rFonts w:ascii="Garamond" w:hAnsi="Garamond"/>
          <w:lang w:val="en-AU"/>
        </w:rPr>
        <w:t>in managing patients over a long period of time with multiple different individuals and teams</w:t>
      </w:r>
      <w:r w:rsidR="00ED7ABD">
        <w:rPr>
          <w:rFonts w:ascii="Garamond" w:hAnsi="Garamond"/>
          <w:lang w:val="en-AU"/>
        </w:rPr>
        <w:t xml:space="preserve">, including </w:t>
      </w:r>
      <w:r w:rsidR="00ED7ABD" w:rsidRPr="00ED7ABD">
        <w:rPr>
          <w:rFonts w:ascii="Garamond" w:hAnsi="Garamond"/>
          <w:lang w:val="en-AU"/>
        </w:rPr>
        <w:t xml:space="preserve">why and how teams </w:t>
      </w:r>
      <w:r w:rsidR="00ED7ABD">
        <w:rPr>
          <w:rFonts w:ascii="Garamond" w:hAnsi="Garamond"/>
          <w:lang w:val="en-AU"/>
        </w:rPr>
        <w:t xml:space="preserve">may </w:t>
      </w:r>
      <w:r w:rsidR="00ED7ABD" w:rsidRPr="00ED7ABD">
        <w:rPr>
          <w:rFonts w:ascii="Garamond" w:hAnsi="Garamond"/>
          <w:lang w:val="en-AU"/>
        </w:rPr>
        <w:t>make poor decisions and lessons</w:t>
      </w:r>
      <w:r w:rsidR="00ED7ABD">
        <w:rPr>
          <w:rFonts w:ascii="Garamond" w:hAnsi="Garamond"/>
          <w:lang w:val="en-AU"/>
        </w:rPr>
        <w:t xml:space="preserve"> on improving</w:t>
      </w:r>
      <w:r w:rsidR="00ED7ABD" w:rsidRPr="00ED7ABD">
        <w:rPr>
          <w:rFonts w:ascii="Garamond" w:hAnsi="Garamond"/>
          <w:lang w:val="en-AU"/>
        </w:rPr>
        <w:t xml:space="preserve"> teamwork and decision-making skills at the bedside.</w:t>
      </w:r>
      <w:r w:rsidR="00ED7ABD">
        <w:rPr>
          <w:rFonts w:ascii="Garamond" w:hAnsi="Garamond"/>
          <w:lang w:val="en-AU"/>
        </w:rPr>
        <w:t xml:space="preserve"> This issue includes a case study of an older patient who had </w:t>
      </w:r>
      <w:r w:rsidR="00ED7ABD" w:rsidRPr="00ED7ABD">
        <w:rPr>
          <w:rFonts w:ascii="Garamond" w:hAnsi="Garamond"/>
          <w:lang w:val="en-AU"/>
        </w:rPr>
        <w:t>past medical history of diabetes mellitus, coronary artery disease, hypertension, and visual impairment</w:t>
      </w:r>
      <w:r w:rsidR="00ED7ABD">
        <w:rPr>
          <w:rFonts w:ascii="Garamond" w:hAnsi="Garamond"/>
          <w:lang w:val="en-AU"/>
        </w:rPr>
        <w:t xml:space="preserve"> whose in-hospital care was not ideal.</w:t>
      </w:r>
    </w:p>
    <w:p w:rsidR="00C706D3" w:rsidRDefault="00C706D3" w:rsidP="002A19AD">
      <w:pPr>
        <w:keepNext/>
        <w:rPr>
          <w:rFonts w:ascii="Garamond" w:hAnsi="Garamond"/>
          <w:lang w:val="en-AU"/>
        </w:rPr>
      </w:pPr>
      <w:r>
        <w:rPr>
          <w:rFonts w:ascii="Garamond" w:hAnsi="Garamond"/>
          <w:lang w:val="en-AU"/>
        </w:rPr>
        <w:t xml:space="preserve">The issue includes </w:t>
      </w:r>
      <w:r w:rsidR="002A19AD">
        <w:rPr>
          <w:rFonts w:ascii="Garamond" w:hAnsi="Garamond"/>
          <w:lang w:val="en-AU"/>
        </w:rPr>
        <w:t xml:space="preserve">expert commentaries from </w:t>
      </w:r>
      <w:r w:rsidR="002A19AD" w:rsidRPr="002A19AD">
        <w:rPr>
          <w:rFonts w:ascii="Garamond" w:hAnsi="Garamond"/>
          <w:lang w:val="en-AU"/>
        </w:rPr>
        <w:t>an addiction specialist</w:t>
      </w:r>
      <w:r w:rsidR="002A19AD">
        <w:rPr>
          <w:rFonts w:ascii="Garamond" w:hAnsi="Garamond"/>
          <w:lang w:val="en-AU"/>
        </w:rPr>
        <w:t xml:space="preserve"> (</w:t>
      </w:r>
      <w:r w:rsidR="002A19AD" w:rsidRPr="002A19AD">
        <w:rPr>
          <w:rFonts w:ascii="Garamond" w:hAnsi="Garamond"/>
          <w:lang w:val="en-AU"/>
        </w:rPr>
        <w:t>who explores the princip</w:t>
      </w:r>
      <w:r w:rsidR="002A19AD">
        <w:rPr>
          <w:rFonts w:ascii="Garamond" w:hAnsi="Garamond"/>
          <w:lang w:val="en-AU"/>
        </w:rPr>
        <w:t>les of Quality Use of Medicines)</w:t>
      </w:r>
      <w:r w:rsidR="002A19AD" w:rsidRPr="002A19AD">
        <w:rPr>
          <w:rFonts w:ascii="Garamond" w:hAnsi="Garamond"/>
          <w:lang w:val="en-AU"/>
        </w:rPr>
        <w:t>, a psychologist and Human Factors expert</w:t>
      </w:r>
      <w:r w:rsidR="002A19AD">
        <w:rPr>
          <w:rFonts w:ascii="Garamond" w:hAnsi="Garamond"/>
          <w:lang w:val="en-AU"/>
        </w:rPr>
        <w:t xml:space="preserve"> (</w:t>
      </w:r>
      <w:r w:rsidR="002A19AD" w:rsidRPr="002A19AD">
        <w:rPr>
          <w:rFonts w:ascii="Garamond" w:hAnsi="Garamond"/>
          <w:lang w:val="en-AU"/>
        </w:rPr>
        <w:t>who writes about ‘groupthink’</w:t>
      </w:r>
      <w:r w:rsidR="002A19AD">
        <w:rPr>
          <w:rFonts w:ascii="Garamond" w:hAnsi="Garamond"/>
          <w:lang w:val="en-AU"/>
        </w:rPr>
        <w:t>)</w:t>
      </w:r>
      <w:r w:rsidR="002A19AD" w:rsidRPr="002A19AD">
        <w:rPr>
          <w:rFonts w:ascii="Garamond" w:hAnsi="Garamond"/>
          <w:lang w:val="en-AU"/>
        </w:rPr>
        <w:t>; and</w:t>
      </w:r>
      <w:r w:rsidR="002A19AD">
        <w:rPr>
          <w:rFonts w:ascii="Garamond" w:hAnsi="Garamond"/>
          <w:lang w:val="en-AU"/>
        </w:rPr>
        <w:t xml:space="preserve"> </w:t>
      </w:r>
      <w:r w:rsidR="002A19AD" w:rsidRPr="002A19AD">
        <w:rPr>
          <w:rFonts w:ascii="Garamond" w:hAnsi="Garamond"/>
          <w:lang w:val="en-AU"/>
        </w:rPr>
        <w:t>a clinical pharmacist</w:t>
      </w:r>
      <w:r w:rsidR="002A19AD">
        <w:rPr>
          <w:rFonts w:ascii="Garamond" w:hAnsi="Garamond"/>
          <w:lang w:val="en-AU"/>
        </w:rPr>
        <w:t xml:space="preserve"> (</w:t>
      </w:r>
      <w:r w:rsidR="002A19AD" w:rsidRPr="002A19AD">
        <w:rPr>
          <w:rFonts w:ascii="Garamond" w:hAnsi="Garamond"/>
          <w:lang w:val="en-AU"/>
        </w:rPr>
        <w:t>who looks at pain management in the older person</w:t>
      </w:r>
      <w:r w:rsidR="002A19AD">
        <w:rPr>
          <w:rFonts w:ascii="Garamond" w:hAnsi="Garamond"/>
          <w:lang w:val="en-AU"/>
        </w:rPr>
        <w:t>).</w:t>
      </w:r>
    </w:p>
    <w:p w:rsidR="0096042F" w:rsidRPr="0096042F" w:rsidRDefault="0096042F" w:rsidP="002A19AD">
      <w:pPr>
        <w:keepLines/>
        <w:rPr>
          <w:rFonts w:ascii="Garamond" w:hAnsi="Garamond"/>
          <w:lang w:val="en-AU"/>
        </w:rPr>
      </w:pPr>
    </w:p>
    <w:p w:rsidR="006E425A" w:rsidRPr="000170DA" w:rsidRDefault="006E425A" w:rsidP="006E425A">
      <w:pPr>
        <w:keepNext/>
        <w:keepLines/>
        <w:rPr>
          <w:rFonts w:ascii="Garamond" w:hAnsi="Garamond"/>
          <w:i/>
          <w:lang w:val="en-AU"/>
        </w:rPr>
      </w:pPr>
      <w:r w:rsidRPr="000170DA">
        <w:rPr>
          <w:rFonts w:ascii="Garamond" w:hAnsi="Garamond"/>
          <w:i/>
          <w:lang w:val="en-AU"/>
        </w:rPr>
        <w:t>[UK] NICE Guidelines and Quality Standards</w:t>
      </w:r>
    </w:p>
    <w:p w:rsidR="006E425A" w:rsidRPr="000170DA" w:rsidRDefault="006C420A" w:rsidP="006E425A">
      <w:pPr>
        <w:keepNext/>
        <w:keepLines/>
        <w:rPr>
          <w:rFonts w:ascii="Garamond" w:hAnsi="Garamond"/>
          <w:u w:val="single"/>
          <w:lang w:val="en-AU"/>
        </w:rPr>
      </w:pPr>
      <w:hyperlink r:id="rId31" w:history="1">
        <w:r w:rsidR="006E425A" w:rsidRPr="000170DA">
          <w:rPr>
            <w:rStyle w:val="Hyperlink"/>
            <w:rFonts w:ascii="Garamond" w:hAnsi="Garamond"/>
            <w:lang w:val="en-AU"/>
          </w:rPr>
          <w:t>https://www.nice.org.uk</w:t>
        </w:r>
      </w:hyperlink>
    </w:p>
    <w:p w:rsidR="006E425A" w:rsidRPr="000170DA" w:rsidRDefault="006E425A" w:rsidP="006E425A">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bookmarkStart w:id="1" w:name="_GoBack"/>
      <w:bookmarkEnd w:id="1"/>
    </w:p>
    <w:p w:rsidR="00486448" w:rsidRDefault="00767A17" w:rsidP="00767A17">
      <w:pPr>
        <w:pStyle w:val="ListParagraph"/>
        <w:keepNext/>
        <w:keepLines/>
        <w:numPr>
          <w:ilvl w:val="0"/>
          <w:numId w:val="14"/>
        </w:numPr>
        <w:rPr>
          <w:rFonts w:ascii="Garamond" w:hAnsi="Garamond"/>
          <w:lang w:val="en-AU"/>
        </w:rPr>
      </w:pPr>
      <w:r>
        <w:rPr>
          <w:rFonts w:ascii="Garamond" w:hAnsi="Garamond"/>
          <w:lang w:val="en-AU"/>
        </w:rPr>
        <w:t xml:space="preserve">Quality Standard QS163 </w:t>
      </w:r>
      <w:r w:rsidRPr="00767A17">
        <w:rPr>
          <w:rFonts w:ascii="Garamond" w:hAnsi="Garamond"/>
          <w:b/>
          <w:i/>
          <w:lang w:val="en-AU"/>
        </w:rPr>
        <w:t>Mental health</w:t>
      </w:r>
      <w:r w:rsidRPr="00767A17">
        <w:rPr>
          <w:rFonts w:ascii="Garamond" w:hAnsi="Garamond"/>
          <w:i/>
          <w:lang w:val="en-AU"/>
        </w:rPr>
        <w:t xml:space="preserve"> of adults in contact with the </w:t>
      </w:r>
      <w:r w:rsidRPr="00767A17">
        <w:rPr>
          <w:rFonts w:ascii="Garamond" w:hAnsi="Garamond"/>
          <w:b/>
          <w:i/>
          <w:lang w:val="en-AU"/>
        </w:rPr>
        <w:t>criminal justice system</w:t>
      </w:r>
      <w:r>
        <w:rPr>
          <w:rFonts w:ascii="Garamond" w:hAnsi="Garamond"/>
          <w:lang w:val="en-AU"/>
        </w:rPr>
        <w:t xml:space="preserve"> </w:t>
      </w:r>
      <w:hyperlink r:id="rId32" w:history="1">
        <w:r w:rsidRPr="00321AE6">
          <w:rPr>
            <w:rStyle w:val="Hyperlink"/>
            <w:rFonts w:ascii="Garamond" w:hAnsi="Garamond"/>
            <w:lang w:val="en-AU"/>
          </w:rPr>
          <w:t>https://www.nice.org.uk/guidance/qs163</w:t>
        </w:r>
      </w:hyperlink>
    </w:p>
    <w:p w:rsidR="00767A17" w:rsidRDefault="00767A17" w:rsidP="00767A17">
      <w:pPr>
        <w:pStyle w:val="ListParagraph"/>
        <w:keepNext/>
        <w:keepLines/>
        <w:numPr>
          <w:ilvl w:val="0"/>
          <w:numId w:val="14"/>
        </w:numPr>
        <w:rPr>
          <w:rFonts w:ascii="Garamond" w:hAnsi="Garamond"/>
          <w:lang w:val="en-AU"/>
        </w:rPr>
      </w:pPr>
      <w:r>
        <w:rPr>
          <w:rFonts w:ascii="Garamond" w:hAnsi="Garamond"/>
          <w:lang w:val="en-AU"/>
        </w:rPr>
        <w:t xml:space="preserve">Quality Standard QS164 </w:t>
      </w:r>
      <w:r w:rsidRPr="00767A17">
        <w:rPr>
          <w:rFonts w:ascii="Garamond" w:hAnsi="Garamond"/>
          <w:b/>
          <w:i/>
          <w:lang w:val="en-AU"/>
        </w:rPr>
        <w:t>Parkinson's disease</w:t>
      </w:r>
      <w:r>
        <w:rPr>
          <w:rFonts w:ascii="Garamond" w:hAnsi="Garamond"/>
          <w:lang w:val="en-AU"/>
        </w:rPr>
        <w:t xml:space="preserve"> </w:t>
      </w:r>
      <w:hyperlink r:id="rId33" w:history="1">
        <w:r w:rsidRPr="00321AE6">
          <w:rPr>
            <w:rStyle w:val="Hyperlink"/>
            <w:rFonts w:ascii="Garamond" w:hAnsi="Garamond"/>
            <w:lang w:val="en-AU"/>
          </w:rPr>
          <w:t>https://www.nice.org.uk/guidance/qs164</w:t>
        </w:r>
      </w:hyperlink>
    </w:p>
    <w:p w:rsidR="00AB2467" w:rsidRDefault="00AB2467" w:rsidP="00070CFE">
      <w:pPr>
        <w:rPr>
          <w:rFonts w:ascii="Garamond" w:hAnsi="Garamond"/>
          <w:lang w:val="en-AU"/>
        </w:rPr>
      </w:pPr>
    </w:p>
    <w:p w:rsidR="001D06CD" w:rsidRPr="000170DA" w:rsidRDefault="001D06CD" w:rsidP="001D06CD">
      <w:pPr>
        <w:keepNext/>
        <w:keepLines/>
        <w:rPr>
          <w:rFonts w:ascii="Garamond" w:hAnsi="Garamond"/>
          <w:i/>
          <w:lang w:val="en-AU"/>
        </w:rPr>
      </w:pPr>
      <w:r w:rsidRPr="000170DA">
        <w:rPr>
          <w:rFonts w:ascii="Garamond" w:hAnsi="Garamond"/>
          <w:i/>
          <w:lang w:val="en-AU"/>
        </w:rPr>
        <w:t>[USA] Effective Health Care Program reports</w:t>
      </w:r>
    </w:p>
    <w:p w:rsidR="001D06CD" w:rsidRPr="000170DA" w:rsidRDefault="006C420A" w:rsidP="001D06CD">
      <w:pPr>
        <w:keepNext/>
        <w:keepLines/>
        <w:rPr>
          <w:rFonts w:ascii="Garamond" w:hAnsi="Garamond"/>
          <w:u w:val="single"/>
          <w:lang w:val="en-AU"/>
        </w:rPr>
      </w:pPr>
      <w:hyperlink r:id="rId34" w:history="1">
        <w:r w:rsidR="001D06CD" w:rsidRPr="000170DA">
          <w:rPr>
            <w:rStyle w:val="Hyperlink"/>
            <w:rFonts w:ascii="Garamond" w:hAnsi="Garamond"/>
            <w:lang w:val="en-AU"/>
          </w:rPr>
          <w:t>https://effectivehealthcare.ahrq.gov/</w:t>
        </w:r>
      </w:hyperlink>
    </w:p>
    <w:p w:rsidR="001D06CD" w:rsidRPr="000170DA" w:rsidRDefault="001D06CD" w:rsidP="001D06C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2B0994" w:rsidRPr="001D06CD" w:rsidRDefault="001D06CD" w:rsidP="001D06CD">
      <w:pPr>
        <w:pStyle w:val="ListParagraph"/>
        <w:numPr>
          <w:ilvl w:val="0"/>
          <w:numId w:val="48"/>
        </w:numPr>
        <w:rPr>
          <w:rFonts w:ascii="Garamond" w:hAnsi="Garamond"/>
          <w:lang w:val="en-AU"/>
        </w:rPr>
      </w:pPr>
      <w:r w:rsidRPr="001D06CD">
        <w:rPr>
          <w:rFonts w:ascii="Garamond" w:hAnsi="Garamond"/>
          <w:i/>
          <w:lang w:val="en-AU"/>
        </w:rPr>
        <w:t xml:space="preserve">Effectiveness of Indoor Allergen Reduction in Management of </w:t>
      </w:r>
      <w:r w:rsidRPr="001D06CD">
        <w:rPr>
          <w:rFonts w:ascii="Garamond" w:hAnsi="Garamond"/>
          <w:b/>
          <w:i/>
          <w:lang w:val="en-AU"/>
        </w:rPr>
        <w:t>Asthma</w:t>
      </w:r>
      <w:r w:rsidRPr="001D06CD">
        <w:rPr>
          <w:rFonts w:ascii="Garamond" w:hAnsi="Garamond"/>
          <w:lang w:val="en-AU"/>
        </w:rPr>
        <w:t xml:space="preserve"> (System</w:t>
      </w:r>
      <w:r>
        <w:rPr>
          <w:rFonts w:ascii="Garamond" w:hAnsi="Garamond"/>
          <w:lang w:val="en-AU"/>
        </w:rPr>
        <w:t>atic Review</w:t>
      </w:r>
      <w:r w:rsidRPr="001D06CD">
        <w:rPr>
          <w:rFonts w:ascii="Garamond" w:hAnsi="Garamond"/>
          <w:lang w:val="en-AU"/>
        </w:rPr>
        <w:t>)</w:t>
      </w:r>
      <w:r>
        <w:rPr>
          <w:rFonts w:ascii="Garamond" w:hAnsi="Garamond"/>
          <w:lang w:val="en-AU"/>
        </w:rPr>
        <w:t xml:space="preserve"> </w:t>
      </w:r>
      <w:hyperlink r:id="rId35" w:history="1">
        <w:r w:rsidRPr="009A40E6">
          <w:rPr>
            <w:rStyle w:val="Hyperlink"/>
            <w:rFonts w:ascii="Garamond" w:hAnsi="Garamond"/>
            <w:lang w:val="en-AU"/>
          </w:rPr>
          <w:t>https://effectivehealthcare.ahrq.gov/topics/asthma-nonpharmacologic-treatment/final-report-indoor-allergen-reduction</w:t>
        </w:r>
      </w:hyperlink>
    </w:p>
    <w:p w:rsidR="001D06CD" w:rsidRPr="000170DA" w:rsidRDefault="001D06CD"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D2" w:rsidRDefault="00D04ED2">
      <w:r>
        <w:separator/>
      </w:r>
    </w:p>
  </w:endnote>
  <w:endnote w:type="continuationSeparator" w:id="0">
    <w:p w:rsidR="00D04ED2" w:rsidRDefault="00D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C420A">
      <w:rPr>
        <w:rStyle w:val="PageNumber"/>
        <w:noProof/>
      </w:rPr>
      <w:t>4</w:t>
    </w:r>
    <w:r>
      <w:rPr>
        <w:rStyle w:val="PageNumber"/>
      </w:rPr>
      <w:fldChar w:fldCharType="end"/>
    </w:r>
  </w:p>
  <w:p w:rsidR="00D04ED2" w:rsidRPr="001E78F0" w:rsidRDefault="00D04ED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35</w:t>
    </w:r>
    <w:r w:rsidR="00486448">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1E78F0" w:rsidRDefault="00D04ED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C420A">
      <w:rPr>
        <w:rStyle w:val="PageNumber"/>
        <w:rFonts w:ascii="Garamond" w:hAnsi="Garamond"/>
        <w:noProof/>
      </w:rPr>
      <w:t>5</w:t>
    </w:r>
    <w:r w:rsidRPr="001E78F0">
      <w:rPr>
        <w:rStyle w:val="PageNumber"/>
        <w:rFonts w:ascii="Garamond" w:hAnsi="Garamond"/>
      </w:rPr>
      <w:fldChar w:fldCharType="end"/>
    </w:r>
  </w:p>
  <w:p w:rsidR="00D04ED2" w:rsidRPr="001E78F0" w:rsidRDefault="00D04ED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993862">
      <w:rPr>
        <w:rFonts w:ascii="Garamond" w:hAnsi="Garamond"/>
      </w:rPr>
      <w:t xml:space="preserve"> Issue 35</w:t>
    </w:r>
    <w:r w:rsidR="00486448">
      <w:rPr>
        <w:rFonts w:ascii="Garamond" w:hAnsi="Garamon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D2" w:rsidRDefault="00D04ED2">
      <w:r>
        <w:separator/>
      </w:r>
    </w:p>
  </w:footnote>
  <w:footnote w:type="continuationSeparator" w:id="0">
    <w:p w:rsidR="00D04ED2" w:rsidRDefault="00D04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654F3"/>
    <w:multiLevelType w:val="hybridMultilevel"/>
    <w:tmpl w:val="7758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2067CF"/>
    <w:multiLevelType w:val="hybridMultilevel"/>
    <w:tmpl w:val="770E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712E34"/>
    <w:multiLevelType w:val="hybridMultilevel"/>
    <w:tmpl w:val="63A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A53A8A"/>
    <w:multiLevelType w:val="hybridMultilevel"/>
    <w:tmpl w:val="FAD4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FF5800"/>
    <w:multiLevelType w:val="hybridMultilevel"/>
    <w:tmpl w:val="6070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0C525C"/>
    <w:multiLevelType w:val="hybridMultilevel"/>
    <w:tmpl w:val="BD6C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8E6582"/>
    <w:multiLevelType w:val="hybridMultilevel"/>
    <w:tmpl w:val="8996A5A6"/>
    <w:lvl w:ilvl="0" w:tplc="AADAED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3CC06DC"/>
    <w:multiLevelType w:val="hybridMultilevel"/>
    <w:tmpl w:val="B8FE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4E272F"/>
    <w:multiLevelType w:val="hybridMultilevel"/>
    <w:tmpl w:val="F1D03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E331A0B"/>
    <w:multiLevelType w:val="hybridMultilevel"/>
    <w:tmpl w:val="84D0C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9B5715"/>
    <w:multiLevelType w:val="hybridMultilevel"/>
    <w:tmpl w:val="2C0A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9A28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C70903"/>
    <w:multiLevelType w:val="hybridMultilevel"/>
    <w:tmpl w:val="B53E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6214D8"/>
    <w:multiLevelType w:val="hybridMultilevel"/>
    <w:tmpl w:val="A2CE5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16A404E"/>
    <w:multiLevelType w:val="hybridMultilevel"/>
    <w:tmpl w:val="6E40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084AB3"/>
    <w:multiLevelType w:val="hybridMultilevel"/>
    <w:tmpl w:val="0F22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5B48B9"/>
    <w:multiLevelType w:val="hybridMultilevel"/>
    <w:tmpl w:val="31E0A76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1B517E"/>
    <w:multiLevelType w:val="hybridMultilevel"/>
    <w:tmpl w:val="4E84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F31B1A"/>
    <w:multiLevelType w:val="hybridMultilevel"/>
    <w:tmpl w:val="D466CE5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DA588A"/>
    <w:multiLevelType w:val="hybridMultilevel"/>
    <w:tmpl w:val="F6E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CE7BB4"/>
    <w:multiLevelType w:val="hybridMultilevel"/>
    <w:tmpl w:val="13E8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A748B7"/>
    <w:multiLevelType w:val="hybridMultilevel"/>
    <w:tmpl w:val="4A1C83F8"/>
    <w:lvl w:ilvl="0" w:tplc="3B14CF8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AE51A3"/>
    <w:multiLevelType w:val="hybridMultilevel"/>
    <w:tmpl w:val="2B5CF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643701"/>
    <w:multiLevelType w:val="hybridMultilevel"/>
    <w:tmpl w:val="B7F4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4F6AE4"/>
    <w:multiLevelType w:val="hybridMultilevel"/>
    <w:tmpl w:val="1BD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627525"/>
    <w:multiLevelType w:val="hybridMultilevel"/>
    <w:tmpl w:val="AC525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BD16EB"/>
    <w:multiLevelType w:val="hybridMultilevel"/>
    <w:tmpl w:val="E0549E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7F0EAC"/>
    <w:multiLevelType w:val="hybridMultilevel"/>
    <w:tmpl w:val="FEBAC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D71F9D"/>
    <w:multiLevelType w:val="hybridMultilevel"/>
    <w:tmpl w:val="3740FCFA"/>
    <w:lvl w:ilvl="0" w:tplc="444479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3"/>
  </w:num>
  <w:num w:numId="15">
    <w:abstractNumId w:val="38"/>
  </w:num>
  <w:num w:numId="16">
    <w:abstractNumId w:val="31"/>
  </w:num>
  <w:num w:numId="17">
    <w:abstractNumId w:val="12"/>
  </w:num>
  <w:num w:numId="18">
    <w:abstractNumId w:val="11"/>
  </w:num>
  <w:num w:numId="19">
    <w:abstractNumId w:val="43"/>
  </w:num>
  <w:num w:numId="20">
    <w:abstractNumId w:val="13"/>
  </w:num>
  <w:num w:numId="21">
    <w:abstractNumId w:val="14"/>
  </w:num>
  <w:num w:numId="22">
    <w:abstractNumId w:val="29"/>
  </w:num>
  <w:num w:numId="23">
    <w:abstractNumId w:val="46"/>
  </w:num>
  <w:num w:numId="24">
    <w:abstractNumId w:val="27"/>
  </w:num>
  <w:num w:numId="25">
    <w:abstractNumId w:val="25"/>
  </w:num>
  <w:num w:numId="26">
    <w:abstractNumId w:val="17"/>
  </w:num>
  <w:num w:numId="27">
    <w:abstractNumId w:val="34"/>
  </w:num>
  <w:num w:numId="28">
    <w:abstractNumId w:val="37"/>
  </w:num>
  <w:num w:numId="29">
    <w:abstractNumId w:val="15"/>
  </w:num>
  <w:num w:numId="30">
    <w:abstractNumId w:val="42"/>
  </w:num>
  <w:num w:numId="31">
    <w:abstractNumId w:val="26"/>
  </w:num>
  <w:num w:numId="32">
    <w:abstractNumId w:val="44"/>
  </w:num>
  <w:num w:numId="33">
    <w:abstractNumId w:val="24"/>
  </w:num>
  <w:num w:numId="34">
    <w:abstractNumId w:val="36"/>
  </w:num>
  <w:num w:numId="35">
    <w:abstractNumId w:val="21"/>
  </w:num>
  <w:num w:numId="36">
    <w:abstractNumId w:val="45"/>
  </w:num>
  <w:num w:numId="37">
    <w:abstractNumId w:val="10"/>
  </w:num>
  <w:num w:numId="38">
    <w:abstractNumId w:val="39"/>
  </w:num>
  <w:num w:numId="39">
    <w:abstractNumId w:val="28"/>
  </w:num>
  <w:num w:numId="40">
    <w:abstractNumId w:val="33"/>
  </w:num>
  <w:num w:numId="41">
    <w:abstractNumId w:val="18"/>
  </w:num>
  <w:num w:numId="42">
    <w:abstractNumId w:val="30"/>
  </w:num>
  <w:num w:numId="43">
    <w:abstractNumId w:val="19"/>
  </w:num>
  <w:num w:numId="44">
    <w:abstractNumId w:val="41"/>
  </w:num>
  <w:num w:numId="45">
    <w:abstractNumId w:val="47"/>
  </w:num>
  <w:num w:numId="46">
    <w:abstractNumId w:val="20"/>
  </w:num>
  <w:num w:numId="47">
    <w:abstractNumId w:val="35"/>
  </w:num>
  <w:num w:numId="4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510"/>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x.doi.org/10.5694/mja17.00726" TargetMode="External"/><Relationship Id="rId26" Type="http://schemas.openxmlformats.org/officeDocument/2006/relationships/hyperlink" Target="https://qualitysafety.bmj.com/content/early/rece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77/1062860616683014" TargetMode="External"/><Relationship Id="rId34" Type="http://schemas.openxmlformats.org/officeDocument/2006/relationships/hyperlink" Target="https://effectivehealthcare.ahrq.gov/"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x.doi.org/10.5694/mja17.00793" TargetMode="External"/><Relationship Id="rId25" Type="http://schemas.openxmlformats.org/officeDocument/2006/relationships/hyperlink" Target="https://www.safetyandquality.gov.au/our-work/medication-safety/" TargetMode="External"/><Relationship Id="rId33" Type="http://schemas.openxmlformats.org/officeDocument/2006/relationships/hyperlink" Target="https://www.nice.org.uk/guidance/qs16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ola.org.au/wp/pmed/" TargetMode="External"/><Relationship Id="rId20" Type="http://schemas.openxmlformats.org/officeDocument/2006/relationships/hyperlink" Target="https://www.safetyandquality.gov.au/atlas/" TargetMode="External"/><Relationship Id="rId29" Type="http://schemas.openxmlformats.org/officeDocument/2006/relationships/hyperlink" Target="http://sydney.edu.au/medicine/cdpc/resources/deprescribing-guideline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93/jamia/ocx127" TargetMode="External"/><Relationship Id="rId32" Type="http://schemas.openxmlformats.org/officeDocument/2006/relationships/hyperlink" Target="https://www.nice.org.uk/guidance/qs163"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qs-2017-007192" TargetMode="External"/><Relationship Id="rId28" Type="http://schemas.openxmlformats.org/officeDocument/2006/relationships/hyperlink" Target="https://www.clinicalguidelines.gov.au/portal/2588/evidence-based-clinical-practice-guideline-deprescribing-cholinesterase-inhibitors-and" TargetMode="External"/><Relationship Id="rId36" Type="http://schemas.openxmlformats.org/officeDocument/2006/relationships/footer" Target="footer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clinical-care-standards/heavy-menstrual-bleeding/" TargetMode="External"/><Relationship Id="rId31" Type="http://schemas.openxmlformats.org/officeDocument/2006/relationships/hyperlink" Target="https://www.nice.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07/s11606-018-4304-2" TargetMode="External"/><Relationship Id="rId27" Type="http://schemas.openxmlformats.org/officeDocument/2006/relationships/hyperlink" Target="https://academic.oup.com/intqhc/advance-access?papetoc" TargetMode="External"/><Relationship Id="rId30" Type="http://schemas.openxmlformats.org/officeDocument/2006/relationships/hyperlink" Target="http://www.vifmcommuniques.org/?page_id=4296" TargetMode="External"/><Relationship Id="rId35" Type="http://schemas.openxmlformats.org/officeDocument/2006/relationships/hyperlink" Target="https://effectivehealthcare.ahrq.gov/topics/asthma-nonpharmacologic-treatment/final-report-indoor-allergen-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5624-ACD2-4061-915B-277D4232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5</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17296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2017-05-19T05:23:00Z</cp:lastPrinted>
  <dcterms:created xsi:type="dcterms:W3CDTF">2018-02-11T20:27:00Z</dcterms:created>
  <dcterms:modified xsi:type="dcterms:W3CDTF">2018-02-16T02:30:00Z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