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614D94">
        <w:rPr>
          <w:rFonts w:ascii="Garamond" w:hAnsi="Garamond"/>
          <w:color w:val="000000"/>
          <w:lang w:val="en-AU"/>
        </w:rPr>
        <w:t>59</w:t>
      </w:r>
    </w:p>
    <w:p w:rsidR="00755242" w:rsidRPr="000170DA" w:rsidRDefault="00614D94" w:rsidP="00B160EF">
      <w:pPr>
        <w:rPr>
          <w:rFonts w:ascii="Garamond" w:hAnsi="Garamond"/>
          <w:lang w:val="en-AU"/>
        </w:rPr>
      </w:pPr>
      <w:r>
        <w:rPr>
          <w:rFonts w:ascii="Garamond" w:hAnsi="Garamond"/>
          <w:lang w:val="en-AU"/>
        </w:rPr>
        <w:t>26</w:t>
      </w:r>
      <w:r w:rsidR="00993862">
        <w:rPr>
          <w:rFonts w:ascii="Garamond" w:hAnsi="Garamond"/>
          <w:lang w:val="en-AU"/>
        </w:rPr>
        <w:t xml:space="preserve"> Febr</w:t>
      </w:r>
      <w:r w:rsidR="002F7586">
        <w:rPr>
          <w:rFonts w:ascii="Garamond" w:hAnsi="Garamond"/>
          <w:lang w:val="en-AU"/>
        </w:rPr>
        <w:t>uary 2018</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1"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1"/>
      <w:r w:rsidR="005031EB">
        <w:rPr>
          <w:rFonts w:ascii="Garamond" w:hAnsi="Garamond"/>
          <w:bCs/>
          <w:lang w:val="en-AU"/>
        </w:rPr>
        <w:t>, Alice Bhasale</w:t>
      </w:r>
    </w:p>
    <w:p w:rsidR="00727B35" w:rsidRDefault="00727B35" w:rsidP="00691DE3">
      <w:pPr>
        <w:keepLines/>
        <w:autoSpaceDE w:val="0"/>
        <w:autoSpaceDN w:val="0"/>
        <w:adjustRightInd w:val="0"/>
        <w:rPr>
          <w:rFonts w:ascii="Garamond" w:hAnsi="Garamond"/>
          <w:lang w:val="en-AU"/>
        </w:rPr>
      </w:pPr>
    </w:p>
    <w:p w:rsidR="00A4218C" w:rsidRDefault="00A4218C" w:rsidP="00691DE3">
      <w:pPr>
        <w:keepLines/>
        <w:autoSpaceDE w:val="0"/>
        <w:autoSpaceDN w:val="0"/>
        <w:adjustRightInd w:val="0"/>
        <w:rPr>
          <w:rFonts w:ascii="Garamond" w:hAnsi="Garamond"/>
          <w:lang w:val="en-AU"/>
        </w:rPr>
      </w:pPr>
    </w:p>
    <w:p w:rsidR="005031EB" w:rsidRDefault="005031EB" w:rsidP="00691DE3">
      <w:pPr>
        <w:keepLines/>
        <w:autoSpaceDE w:val="0"/>
        <w:autoSpaceDN w:val="0"/>
        <w:adjustRightInd w:val="0"/>
        <w:rPr>
          <w:rFonts w:ascii="Garamond" w:hAnsi="Garamond"/>
          <w:lang w:val="en-AU"/>
        </w:rPr>
      </w:pPr>
    </w:p>
    <w:p w:rsidR="00754C82" w:rsidRPr="002E1829" w:rsidRDefault="00754C82" w:rsidP="00754C82">
      <w:pPr>
        <w:keepLines/>
        <w:autoSpaceDE w:val="0"/>
        <w:autoSpaceDN w:val="0"/>
        <w:adjustRightInd w:val="0"/>
        <w:rPr>
          <w:rFonts w:ascii="Garamond" w:hAnsi="Garamond"/>
          <w:i/>
          <w:lang w:val="en-AU"/>
        </w:rPr>
      </w:pPr>
      <w:r w:rsidRPr="002E1829">
        <w:rPr>
          <w:rFonts w:ascii="Garamond" w:hAnsi="Garamond"/>
          <w:i/>
          <w:lang w:val="en-AU"/>
        </w:rPr>
        <w:t xml:space="preserve">Administrative encounters in general practice: low value or hidden value care? </w:t>
      </w:r>
    </w:p>
    <w:p w:rsidR="00754C82" w:rsidRDefault="00754C82" w:rsidP="00754C82">
      <w:pPr>
        <w:keepLines/>
        <w:autoSpaceDE w:val="0"/>
        <w:autoSpaceDN w:val="0"/>
        <w:adjustRightInd w:val="0"/>
        <w:rPr>
          <w:rFonts w:ascii="Garamond" w:hAnsi="Garamond"/>
          <w:lang w:val="en-AU"/>
        </w:rPr>
      </w:pPr>
      <w:r w:rsidRPr="002E1829">
        <w:rPr>
          <w:rFonts w:ascii="Garamond" w:hAnsi="Garamond"/>
          <w:lang w:val="en-AU"/>
        </w:rPr>
        <w:t xml:space="preserve">Trevena LJ, Harrison C, Britt HC. </w:t>
      </w:r>
    </w:p>
    <w:p w:rsidR="00754C82" w:rsidRPr="002E1829" w:rsidRDefault="00754C82" w:rsidP="00754C82">
      <w:pPr>
        <w:keepLines/>
        <w:autoSpaceDE w:val="0"/>
        <w:autoSpaceDN w:val="0"/>
        <w:adjustRightInd w:val="0"/>
        <w:rPr>
          <w:rFonts w:ascii="Garamond" w:hAnsi="Garamond"/>
          <w:lang w:val="en-AU"/>
        </w:rPr>
      </w:pPr>
      <w:r w:rsidRPr="002E1829">
        <w:rPr>
          <w:rFonts w:ascii="Garamond" w:hAnsi="Garamond"/>
          <w:lang w:val="en-AU"/>
        </w:rPr>
        <w:t>Med J Aust 2018;208:114-8.</w:t>
      </w:r>
    </w:p>
    <w:tbl>
      <w:tblPr>
        <w:tblStyle w:val="TableGrid"/>
        <w:tblW w:w="0" w:type="auto"/>
        <w:tblInd w:w="288" w:type="dxa"/>
        <w:tblLayout w:type="fixed"/>
        <w:tblLook w:val="01E0" w:firstRow="1" w:lastRow="1" w:firstColumn="1" w:lastColumn="1" w:noHBand="0" w:noVBand="0"/>
      </w:tblPr>
      <w:tblGrid>
        <w:gridCol w:w="1080"/>
        <w:gridCol w:w="8280"/>
      </w:tblGrid>
      <w:tr w:rsidR="00754C82" w:rsidRPr="000170DA" w:rsidTr="00096876">
        <w:tc>
          <w:tcPr>
            <w:tcW w:w="1080" w:type="dxa"/>
            <w:tcBorders>
              <w:top w:val="single" w:sz="4" w:space="0" w:color="auto"/>
              <w:left w:val="single" w:sz="4" w:space="0" w:color="auto"/>
              <w:bottom w:val="single" w:sz="4" w:space="0" w:color="auto"/>
              <w:right w:val="single" w:sz="4" w:space="0" w:color="auto"/>
            </w:tcBorders>
            <w:vAlign w:val="center"/>
          </w:tcPr>
          <w:p w:rsidR="00754C82" w:rsidRPr="000170DA" w:rsidRDefault="00754C82" w:rsidP="0009687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4C82" w:rsidRPr="000170DA" w:rsidRDefault="00C121B9" w:rsidP="00096876">
            <w:pPr>
              <w:rPr>
                <w:rStyle w:val="Hyperlink"/>
                <w:rFonts w:ascii="Garamond" w:hAnsi="Garamond"/>
                <w:color w:val="auto"/>
                <w:u w:val="none"/>
                <w:lang w:val="en-AU"/>
              </w:rPr>
            </w:pPr>
            <w:hyperlink r:id="rId16" w:history="1">
              <w:r w:rsidR="00754C82" w:rsidRPr="00632CE2">
                <w:rPr>
                  <w:rStyle w:val="Hyperlink"/>
                  <w:rFonts w:ascii="Garamond" w:hAnsi="Garamond"/>
                  <w:lang w:val="en-AU"/>
                </w:rPr>
                <w:t>https://dx.doi.org/10.5694/mja17.00225</w:t>
              </w:r>
            </w:hyperlink>
          </w:p>
        </w:tc>
      </w:tr>
      <w:tr w:rsidR="00754C82" w:rsidRPr="000170DA" w:rsidTr="00096876">
        <w:tc>
          <w:tcPr>
            <w:tcW w:w="1080" w:type="dxa"/>
            <w:tcBorders>
              <w:top w:val="single" w:sz="4" w:space="0" w:color="auto"/>
              <w:left w:val="single" w:sz="4" w:space="0" w:color="auto"/>
              <w:bottom w:val="single" w:sz="4" w:space="0" w:color="auto"/>
              <w:right w:val="single" w:sz="4" w:space="0" w:color="auto"/>
            </w:tcBorders>
            <w:vAlign w:val="center"/>
          </w:tcPr>
          <w:p w:rsidR="00754C82" w:rsidRPr="000170DA" w:rsidRDefault="00754C82" w:rsidP="000968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C82" w:rsidRPr="002B0994" w:rsidRDefault="00754C82" w:rsidP="00096876">
            <w:pPr>
              <w:rPr>
                <w:rFonts w:ascii="Garamond" w:hAnsi="Garamond"/>
                <w:lang w:val="en-AU"/>
              </w:rPr>
            </w:pPr>
            <w:r>
              <w:rPr>
                <w:rFonts w:ascii="Garamond" w:hAnsi="Garamond"/>
                <w:lang w:val="en-AU"/>
              </w:rPr>
              <w:t xml:space="preserve">The authors of this article call for a clear definition of low value care in primary care, following media suggestions that GP visits for ‘administrative’ needs were responsible for increased costs. Using data on GP consultations from the BEACH project, they demonstrate that even when patients present to the GP requesting a repeat prescription, referral or a form, GPs provide other </w:t>
            </w:r>
            <w:r w:rsidRPr="00635367">
              <w:rPr>
                <w:rFonts w:ascii="Garamond" w:hAnsi="Garamond"/>
                <w:lang w:val="en-AU"/>
              </w:rPr>
              <w:t xml:space="preserve">health care at 69.6% of </w:t>
            </w:r>
            <w:r>
              <w:rPr>
                <w:rFonts w:ascii="Garamond" w:hAnsi="Garamond"/>
                <w:lang w:val="en-AU"/>
              </w:rPr>
              <w:t xml:space="preserve">these administrative request visits. </w:t>
            </w:r>
            <w:r w:rsidRPr="00635367">
              <w:rPr>
                <w:rFonts w:ascii="Garamond" w:hAnsi="Garamond"/>
                <w:lang w:val="en-AU"/>
              </w:rPr>
              <w:t>During 2015–16, 35.4% of GP encounters for which an administrative request was among the reasons for the visit were for care planning and coordination, 33.5% were for certification, and 31.2% for other reasons (e</w:t>
            </w:r>
            <w:r>
              <w:rPr>
                <w:rFonts w:ascii="Garamond" w:hAnsi="Garamond"/>
                <w:lang w:val="en-AU"/>
              </w:rPr>
              <w:t>.</w:t>
            </w:r>
            <w:r w:rsidRPr="00635367">
              <w:rPr>
                <w:rFonts w:ascii="Garamond" w:hAnsi="Garamond"/>
                <w:lang w:val="en-AU"/>
              </w:rPr>
              <w:t>g</w:t>
            </w:r>
            <w:r>
              <w:rPr>
                <w:rFonts w:ascii="Garamond" w:hAnsi="Garamond"/>
                <w:lang w:val="en-AU"/>
              </w:rPr>
              <w:t>.</w:t>
            </w:r>
            <w:r w:rsidRPr="00635367">
              <w:rPr>
                <w:rFonts w:ascii="Garamond" w:hAnsi="Garamond"/>
                <w:lang w:val="en-AU"/>
              </w:rPr>
              <w:t xml:space="preserve">, legal, welfare and insurance reports). Of the administrative request only encounters, 29.3% </w:t>
            </w:r>
            <w:r>
              <w:rPr>
                <w:rFonts w:ascii="Garamond" w:hAnsi="Garamond"/>
                <w:lang w:val="en-AU"/>
              </w:rPr>
              <w:t xml:space="preserve">were </w:t>
            </w:r>
            <w:r w:rsidRPr="00635367">
              <w:rPr>
                <w:rFonts w:ascii="Garamond" w:hAnsi="Garamond"/>
                <w:lang w:val="en-AU"/>
              </w:rPr>
              <w:t>for</w:t>
            </w:r>
            <w:r>
              <w:rPr>
                <w:rFonts w:ascii="Garamond" w:hAnsi="Garamond"/>
                <w:lang w:val="en-AU"/>
              </w:rPr>
              <w:t xml:space="preserve"> care planning and coordination –an important part of the health care stewardship role that the authors argue should not be labelled as ‘low value’.</w:t>
            </w:r>
          </w:p>
        </w:tc>
      </w:tr>
    </w:tbl>
    <w:p w:rsidR="00754C82" w:rsidRDefault="00754C82" w:rsidP="00754C82">
      <w:pPr>
        <w:keepLines/>
        <w:autoSpaceDE w:val="0"/>
        <w:autoSpaceDN w:val="0"/>
        <w:adjustRightInd w:val="0"/>
        <w:rPr>
          <w:rFonts w:ascii="Garamond" w:hAnsi="Garamond"/>
          <w:lang w:val="en-AU"/>
        </w:rPr>
      </w:pPr>
    </w:p>
    <w:p w:rsidR="005031EB" w:rsidRDefault="005031EB">
      <w:pPr>
        <w:rPr>
          <w:rFonts w:ascii="Garamond" w:hAnsi="Garamond"/>
          <w:i/>
          <w:lang w:val="en-AU"/>
        </w:rPr>
      </w:pPr>
      <w:r>
        <w:rPr>
          <w:rFonts w:ascii="Garamond" w:hAnsi="Garamond"/>
          <w:i/>
          <w:lang w:val="en-AU"/>
        </w:rPr>
        <w:br w:type="page"/>
      </w:r>
    </w:p>
    <w:p w:rsidR="00754C82" w:rsidRPr="009138CB" w:rsidRDefault="00754C82" w:rsidP="00754C82">
      <w:pPr>
        <w:keepLines/>
        <w:autoSpaceDE w:val="0"/>
        <w:autoSpaceDN w:val="0"/>
        <w:adjustRightInd w:val="0"/>
        <w:rPr>
          <w:rFonts w:ascii="Garamond" w:hAnsi="Garamond"/>
          <w:i/>
          <w:lang w:val="en-AU"/>
        </w:rPr>
      </w:pPr>
      <w:r w:rsidRPr="009138CB">
        <w:rPr>
          <w:rFonts w:ascii="Garamond" w:hAnsi="Garamond"/>
          <w:i/>
          <w:lang w:val="en-AU"/>
        </w:rPr>
        <w:lastRenderedPageBreak/>
        <w:t>Exploring Attributes of High-Value Primary Care</w:t>
      </w:r>
    </w:p>
    <w:p w:rsidR="00754C82" w:rsidRDefault="00754C82" w:rsidP="00754C82">
      <w:pPr>
        <w:keepLines/>
        <w:autoSpaceDE w:val="0"/>
        <w:autoSpaceDN w:val="0"/>
        <w:adjustRightInd w:val="0"/>
        <w:rPr>
          <w:rFonts w:ascii="Garamond" w:hAnsi="Garamond"/>
          <w:lang w:val="en-AU"/>
        </w:rPr>
      </w:pPr>
      <w:r w:rsidRPr="009138CB">
        <w:rPr>
          <w:rFonts w:ascii="Garamond" w:hAnsi="Garamond"/>
          <w:lang w:val="en-AU"/>
        </w:rPr>
        <w:t>Simon M, Choudhry NK, Frankfort J, Margolius D, Murphy J, Paita L, et al</w:t>
      </w:r>
    </w:p>
    <w:p w:rsidR="00754C82" w:rsidRPr="007C520B" w:rsidRDefault="00754C82" w:rsidP="00754C82">
      <w:pPr>
        <w:keepLines/>
        <w:autoSpaceDE w:val="0"/>
        <w:autoSpaceDN w:val="0"/>
        <w:adjustRightInd w:val="0"/>
        <w:rPr>
          <w:rFonts w:ascii="Garamond" w:hAnsi="Garamond"/>
          <w:lang w:val="en-AU"/>
        </w:rPr>
      </w:pPr>
      <w:r w:rsidRPr="009138CB">
        <w:rPr>
          <w:rFonts w:ascii="Garamond" w:hAnsi="Garamond"/>
          <w:lang w:val="en-AU"/>
        </w:rPr>
        <w:t>The Annals of Family Medicine. 2017;15(6):529-34.</w:t>
      </w:r>
    </w:p>
    <w:tbl>
      <w:tblPr>
        <w:tblStyle w:val="TableGrid"/>
        <w:tblW w:w="0" w:type="auto"/>
        <w:tblInd w:w="288" w:type="dxa"/>
        <w:tblLayout w:type="fixed"/>
        <w:tblLook w:val="01E0" w:firstRow="1" w:lastRow="1" w:firstColumn="1" w:lastColumn="1" w:noHBand="0" w:noVBand="0"/>
      </w:tblPr>
      <w:tblGrid>
        <w:gridCol w:w="1080"/>
        <w:gridCol w:w="8280"/>
      </w:tblGrid>
      <w:tr w:rsidR="00754C82" w:rsidRPr="000170DA" w:rsidTr="00096876">
        <w:tc>
          <w:tcPr>
            <w:tcW w:w="1080" w:type="dxa"/>
            <w:tcBorders>
              <w:top w:val="single" w:sz="4" w:space="0" w:color="auto"/>
              <w:left w:val="single" w:sz="4" w:space="0" w:color="auto"/>
              <w:bottom w:val="single" w:sz="4" w:space="0" w:color="auto"/>
              <w:right w:val="single" w:sz="4" w:space="0" w:color="auto"/>
            </w:tcBorders>
            <w:vAlign w:val="center"/>
          </w:tcPr>
          <w:p w:rsidR="00754C82" w:rsidRPr="000170DA" w:rsidRDefault="00754C82" w:rsidP="0009687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4C82" w:rsidRPr="000170DA" w:rsidRDefault="00C121B9" w:rsidP="00096876">
            <w:pPr>
              <w:rPr>
                <w:rStyle w:val="Hyperlink"/>
                <w:rFonts w:ascii="Garamond" w:hAnsi="Garamond"/>
                <w:color w:val="auto"/>
                <w:u w:val="none"/>
                <w:lang w:val="en-AU"/>
              </w:rPr>
            </w:pPr>
            <w:hyperlink r:id="rId17" w:history="1">
              <w:r w:rsidR="00754C82" w:rsidRPr="00967045">
                <w:rPr>
                  <w:rStyle w:val="Hyperlink"/>
                  <w:rFonts w:ascii="Garamond" w:hAnsi="Garamond"/>
                  <w:lang w:val="en-AU"/>
                </w:rPr>
                <w:t>https://dx.doi.org/10.1370/afm.2153</w:t>
              </w:r>
            </w:hyperlink>
          </w:p>
        </w:tc>
      </w:tr>
      <w:tr w:rsidR="00754C82" w:rsidRPr="000170DA" w:rsidTr="00096876">
        <w:tc>
          <w:tcPr>
            <w:tcW w:w="1080" w:type="dxa"/>
            <w:tcBorders>
              <w:top w:val="single" w:sz="4" w:space="0" w:color="auto"/>
              <w:left w:val="single" w:sz="4" w:space="0" w:color="auto"/>
              <w:bottom w:val="single" w:sz="4" w:space="0" w:color="auto"/>
              <w:right w:val="single" w:sz="4" w:space="0" w:color="auto"/>
            </w:tcBorders>
            <w:vAlign w:val="center"/>
          </w:tcPr>
          <w:p w:rsidR="00754C82" w:rsidRPr="000170DA" w:rsidRDefault="00754C82" w:rsidP="000968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C82" w:rsidRPr="002B0994" w:rsidRDefault="00754C82" w:rsidP="00096876">
            <w:pPr>
              <w:rPr>
                <w:rFonts w:ascii="Garamond" w:hAnsi="Garamond"/>
                <w:lang w:val="en-AU"/>
              </w:rPr>
            </w:pPr>
            <w:r>
              <w:rPr>
                <w:rFonts w:ascii="Garamond" w:hAnsi="Garamond"/>
                <w:lang w:val="en-AU"/>
              </w:rPr>
              <w:t>US study using health insurance claim data to identify providers that rated favourable on quality and low total amount per capita spending. These providers were then examined to identify the characteristics of high-value primary care providers. Of 13 attributes identified, six showed</w:t>
            </w:r>
            <w:r w:rsidRPr="00754C82">
              <w:rPr>
                <w:rFonts w:ascii="Garamond" w:hAnsi="Garamond"/>
                <w:lang w:val="en-AU"/>
              </w:rPr>
              <w:t xml:space="preserve"> statistical significance</w:t>
            </w:r>
            <w:r>
              <w:rPr>
                <w:rFonts w:ascii="Garamond" w:hAnsi="Garamond"/>
                <w:lang w:val="en-AU"/>
              </w:rPr>
              <w:t>, including</w:t>
            </w:r>
            <w:r w:rsidRPr="00754C82">
              <w:rPr>
                <w:rFonts w:ascii="Garamond" w:hAnsi="Garamond"/>
                <w:lang w:val="en-AU"/>
              </w:rPr>
              <w:t xml:space="preserve">: </w:t>
            </w:r>
            <w:r>
              <w:rPr>
                <w:rFonts w:ascii="Garamond" w:hAnsi="Garamond"/>
                <w:lang w:val="en-AU"/>
              </w:rPr>
              <w:t>“</w:t>
            </w:r>
            <w:r w:rsidRPr="00754C82">
              <w:rPr>
                <w:rFonts w:ascii="Garamond" w:hAnsi="Garamond"/>
                <w:b/>
                <w:lang w:val="en-AU"/>
              </w:rPr>
              <w:t>decision support</w:t>
            </w:r>
            <w:r w:rsidRPr="00754C82">
              <w:rPr>
                <w:rFonts w:ascii="Garamond" w:hAnsi="Garamond"/>
                <w:lang w:val="en-AU"/>
              </w:rPr>
              <w:t xml:space="preserve"> for evidence-based medicine, </w:t>
            </w:r>
            <w:r w:rsidRPr="00754C82">
              <w:rPr>
                <w:rFonts w:ascii="Garamond" w:hAnsi="Garamond"/>
                <w:b/>
                <w:lang w:val="en-AU"/>
              </w:rPr>
              <w:t>risk-stratified care management</w:t>
            </w:r>
            <w:r w:rsidRPr="00754C82">
              <w:rPr>
                <w:rFonts w:ascii="Garamond" w:hAnsi="Garamond"/>
                <w:lang w:val="en-AU"/>
              </w:rPr>
              <w:t xml:space="preserve">, careful </w:t>
            </w:r>
            <w:r w:rsidRPr="00754C82">
              <w:rPr>
                <w:rFonts w:ascii="Garamond" w:hAnsi="Garamond"/>
                <w:b/>
                <w:lang w:val="en-AU"/>
              </w:rPr>
              <w:t>selection of specialists</w:t>
            </w:r>
            <w:r w:rsidRPr="00754C82">
              <w:rPr>
                <w:rFonts w:ascii="Garamond" w:hAnsi="Garamond"/>
                <w:lang w:val="en-AU"/>
              </w:rPr>
              <w:t xml:space="preserve">, </w:t>
            </w:r>
            <w:r w:rsidRPr="00754C82">
              <w:rPr>
                <w:rFonts w:ascii="Garamond" w:hAnsi="Garamond"/>
                <w:b/>
                <w:lang w:val="en-AU"/>
              </w:rPr>
              <w:t>coordination of care</w:t>
            </w:r>
            <w:r w:rsidRPr="00754C82">
              <w:rPr>
                <w:rFonts w:ascii="Garamond" w:hAnsi="Garamond"/>
                <w:lang w:val="en-AU"/>
              </w:rPr>
              <w:t xml:space="preserve">, </w:t>
            </w:r>
            <w:r w:rsidRPr="00754C82">
              <w:rPr>
                <w:rFonts w:ascii="Garamond" w:hAnsi="Garamond"/>
                <w:b/>
                <w:lang w:val="en-AU"/>
              </w:rPr>
              <w:t>standing orders and protocols</w:t>
            </w:r>
            <w:r w:rsidRPr="00754C82">
              <w:rPr>
                <w:rFonts w:ascii="Garamond" w:hAnsi="Garamond"/>
                <w:lang w:val="en-AU"/>
              </w:rPr>
              <w:t xml:space="preserve">, and </w:t>
            </w:r>
            <w:r w:rsidRPr="00754C82">
              <w:rPr>
                <w:rFonts w:ascii="Garamond" w:hAnsi="Garamond"/>
                <w:b/>
                <w:lang w:val="en-AU"/>
              </w:rPr>
              <w:t>balanced physician compensation</w:t>
            </w:r>
            <w:r w:rsidRPr="00754C82">
              <w:rPr>
                <w:rFonts w:ascii="Garamond" w:hAnsi="Garamond"/>
                <w:lang w:val="en-AU"/>
              </w:rPr>
              <w:t>.</w:t>
            </w:r>
            <w:r>
              <w:rPr>
                <w:rFonts w:ascii="Garamond" w:hAnsi="Garamond"/>
                <w:lang w:val="en-AU"/>
              </w:rPr>
              <w:t>”</w:t>
            </w:r>
          </w:p>
        </w:tc>
      </w:tr>
    </w:tbl>
    <w:p w:rsidR="00754C82" w:rsidRDefault="00754C82" w:rsidP="00754C82">
      <w:pPr>
        <w:keepLines/>
        <w:autoSpaceDE w:val="0"/>
        <w:autoSpaceDN w:val="0"/>
        <w:adjustRightInd w:val="0"/>
        <w:rPr>
          <w:rFonts w:ascii="Garamond" w:hAnsi="Garamond"/>
          <w:lang w:val="en-AU"/>
        </w:rPr>
      </w:pPr>
    </w:p>
    <w:p w:rsidR="00E17501" w:rsidRPr="00E17501" w:rsidRDefault="00E17501" w:rsidP="00E17501">
      <w:pPr>
        <w:keepLines/>
        <w:autoSpaceDE w:val="0"/>
        <w:autoSpaceDN w:val="0"/>
        <w:adjustRightInd w:val="0"/>
        <w:rPr>
          <w:rFonts w:ascii="Garamond" w:hAnsi="Garamond"/>
          <w:i/>
          <w:lang w:val="en-AU"/>
        </w:rPr>
      </w:pPr>
      <w:r w:rsidRPr="00E17501">
        <w:rPr>
          <w:rFonts w:ascii="Garamond" w:hAnsi="Garamond"/>
          <w:i/>
          <w:lang w:val="en-AU"/>
        </w:rPr>
        <w:t>Postmarket medical device safety: moving beyond voluntary reporting</w:t>
      </w:r>
    </w:p>
    <w:p w:rsidR="00E17501" w:rsidRDefault="00E17501" w:rsidP="00E17501">
      <w:pPr>
        <w:keepLines/>
        <w:autoSpaceDE w:val="0"/>
        <w:autoSpaceDN w:val="0"/>
        <w:adjustRightInd w:val="0"/>
        <w:rPr>
          <w:rFonts w:ascii="Garamond" w:hAnsi="Garamond"/>
          <w:lang w:val="en-AU"/>
        </w:rPr>
      </w:pPr>
      <w:r w:rsidRPr="00E17501">
        <w:rPr>
          <w:rFonts w:ascii="Garamond" w:hAnsi="Garamond"/>
          <w:lang w:val="en-AU"/>
        </w:rPr>
        <w:t>Resnic FS, Majithia A</w:t>
      </w:r>
    </w:p>
    <w:p w:rsidR="00E17501" w:rsidRPr="00E17501" w:rsidRDefault="00E17501" w:rsidP="00E17501">
      <w:pPr>
        <w:keepLines/>
        <w:autoSpaceDE w:val="0"/>
        <w:autoSpaceDN w:val="0"/>
        <w:adjustRightInd w:val="0"/>
        <w:rPr>
          <w:rFonts w:ascii="Garamond" w:hAnsi="Garamond"/>
          <w:lang w:val="en-AU"/>
        </w:rPr>
      </w:pPr>
      <w:r w:rsidRPr="00E17501">
        <w:rPr>
          <w:rFonts w:ascii="Garamond" w:hAnsi="Garamond"/>
          <w:lang w:val="en-AU"/>
        </w:rPr>
        <w:t>BMJ Quality &amp; Safety. 2018;27(3):174-5.</w:t>
      </w:r>
    </w:p>
    <w:p w:rsidR="00E17501" w:rsidRDefault="00E17501" w:rsidP="00E17501">
      <w:pPr>
        <w:keepLines/>
        <w:autoSpaceDE w:val="0"/>
        <w:autoSpaceDN w:val="0"/>
        <w:adjustRightInd w:val="0"/>
        <w:rPr>
          <w:rFonts w:ascii="Garamond" w:hAnsi="Garamond"/>
          <w:lang w:val="en-AU"/>
        </w:rPr>
      </w:pPr>
    </w:p>
    <w:p w:rsidR="00E17501" w:rsidRPr="00E17501" w:rsidRDefault="00E17501" w:rsidP="00E17501">
      <w:pPr>
        <w:keepLines/>
        <w:autoSpaceDE w:val="0"/>
        <w:autoSpaceDN w:val="0"/>
        <w:adjustRightInd w:val="0"/>
        <w:rPr>
          <w:rFonts w:ascii="Garamond" w:hAnsi="Garamond"/>
          <w:i/>
          <w:lang w:val="en-AU"/>
        </w:rPr>
      </w:pPr>
      <w:r w:rsidRPr="00E17501">
        <w:rPr>
          <w:rFonts w:ascii="Garamond" w:hAnsi="Garamond"/>
          <w:i/>
          <w:lang w:val="en-AU"/>
        </w:rPr>
        <w:t>Hospital culture and clinical performance: where next?</w:t>
      </w:r>
    </w:p>
    <w:p w:rsidR="00E17501" w:rsidRDefault="00E17501" w:rsidP="00E17501">
      <w:pPr>
        <w:keepLines/>
        <w:autoSpaceDE w:val="0"/>
        <w:autoSpaceDN w:val="0"/>
        <w:adjustRightInd w:val="0"/>
        <w:rPr>
          <w:rFonts w:ascii="Garamond" w:hAnsi="Garamond"/>
          <w:lang w:val="en-AU"/>
        </w:rPr>
      </w:pPr>
      <w:r w:rsidRPr="00E17501">
        <w:rPr>
          <w:rFonts w:ascii="Garamond" w:hAnsi="Garamond"/>
          <w:lang w:val="en-AU"/>
        </w:rPr>
        <w:t>Mannion R, Smith J</w:t>
      </w:r>
    </w:p>
    <w:p w:rsidR="00E17501" w:rsidRDefault="00E17501" w:rsidP="00E17501">
      <w:pPr>
        <w:keepLines/>
        <w:autoSpaceDE w:val="0"/>
        <w:autoSpaceDN w:val="0"/>
        <w:adjustRightInd w:val="0"/>
        <w:rPr>
          <w:rFonts w:ascii="Garamond" w:hAnsi="Garamond"/>
          <w:lang w:val="en-AU"/>
        </w:rPr>
      </w:pPr>
      <w:r w:rsidRPr="00E17501">
        <w:rPr>
          <w:rFonts w:ascii="Garamond" w:hAnsi="Garamond"/>
          <w:lang w:val="en-AU"/>
        </w:rPr>
        <w:t>BMJ Quality &amp; Safety. 2018;27(3):179-81.</w:t>
      </w:r>
    </w:p>
    <w:p w:rsidR="00754C82" w:rsidRDefault="00754C82" w:rsidP="00E17501">
      <w:pPr>
        <w:keepLines/>
        <w:autoSpaceDE w:val="0"/>
        <w:autoSpaceDN w:val="0"/>
        <w:adjustRightInd w:val="0"/>
        <w:rPr>
          <w:rFonts w:ascii="Garamond" w:hAnsi="Garamond"/>
          <w:lang w:val="en-AU"/>
        </w:rPr>
      </w:pPr>
    </w:p>
    <w:p w:rsidR="00E17501" w:rsidRPr="00E17501" w:rsidRDefault="00E17501" w:rsidP="00E17501">
      <w:pPr>
        <w:keepLines/>
        <w:autoSpaceDE w:val="0"/>
        <w:autoSpaceDN w:val="0"/>
        <w:adjustRightInd w:val="0"/>
        <w:rPr>
          <w:rFonts w:ascii="Garamond" w:hAnsi="Garamond"/>
          <w:i/>
          <w:lang w:val="en-AU"/>
        </w:rPr>
      </w:pPr>
      <w:r w:rsidRPr="00E17501">
        <w:rPr>
          <w:rFonts w:ascii="Garamond" w:hAnsi="Garamond"/>
          <w:i/>
          <w:lang w:val="en-AU"/>
        </w:rPr>
        <w:t>Interactions: understanding people and process in prescribing in primary care</w:t>
      </w:r>
    </w:p>
    <w:p w:rsidR="00E17501" w:rsidRDefault="00E17501" w:rsidP="00E17501">
      <w:pPr>
        <w:keepLines/>
        <w:autoSpaceDE w:val="0"/>
        <w:autoSpaceDN w:val="0"/>
        <w:adjustRightInd w:val="0"/>
        <w:rPr>
          <w:rFonts w:ascii="Garamond" w:hAnsi="Garamond"/>
          <w:lang w:val="en-AU"/>
        </w:rPr>
      </w:pPr>
      <w:r w:rsidRPr="00E17501">
        <w:rPr>
          <w:rFonts w:ascii="Garamond" w:hAnsi="Garamond"/>
          <w:lang w:val="en-AU"/>
        </w:rPr>
        <w:t>Sinnott C</w:t>
      </w:r>
    </w:p>
    <w:p w:rsidR="00E17501" w:rsidRPr="00E17501" w:rsidRDefault="00E17501" w:rsidP="00E17501">
      <w:pPr>
        <w:keepLines/>
        <w:autoSpaceDE w:val="0"/>
        <w:autoSpaceDN w:val="0"/>
        <w:adjustRightInd w:val="0"/>
        <w:rPr>
          <w:rFonts w:ascii="Garamond" w:hAnsi="Garamond"/>
          <w:lang w:val="en-AU"/>
        </w:rPr>
      </w:pPr>
      <w:r w:rsidRPr="00E17501">
        <w:rPr>
          <w:rFonts w:ascii="Garamond" w:hAnsi="Garamond"/>
          <w:lang w:val="en-AU"/>
        </w:rPr>
        <w:t>BMJ Quality &amp; Safety. 2018;27(3):176-8.</w:t>
      </w:r>
    </w:p>
    <w:p w:rsidR="00E17501" w:rsidRDefault="00E17501" w:rsidP="00E17501">
      <w:pPr>
        <w:keepLines/>
        <w:autoSpaceDE w:val="0"/>
        <w:autoSpaceDN w:val="0"/>
        <w:adjustRightInd w:val="0"/>
        <w:rPr>
          <w:rFonts w:ascii="Garamond" w:hAnsi="Garamond"/>
          <w:lang w:val="en-AU"/>
        </w:rPr>
      </w:pPr>
    </w:p>
    <w:p w:rsidR="00E17501" w:rsidRPr="00E17501" w:rsidRDefault="00E17501" w:rsidP="00E17501">
      <w:pPr>
        <w:keepLines/>
        <w:autoSpaceDE w:val="0"/>
        <w:autoSpaceDN w:val="0"/>
        <w:adjustRightInd w:val="0"/>
        <w:rPr>
          <w:rFonts w:ascii="Garamond" w:hAnsi="Garamond"/>
          <w:i/>
          <w:lang w:val="en-AU"/>
        </w:rPr>
      </w:pPr>
      <w:r w:rsidRPr="00E17501">
        <w:rPr>
          <w:rFonts w:ascii="Garamond" w:hAnsi="Garamond"/>
          <w:i/>
          <w:lang w:val="en-AU"/>
        </w:rPr>
        <w:t>Addressing the multisectoral impact of pressure injuries in the USA, UK and abroad</w:t>
      </w:r>
    </w:p>
    <w:p w:rsidR="00E17501" w:rsidRDefault="00E17501" w:rsidP="00E17501">
      <w:pPr>
        <w:keepLines/>
        <w:autoSpaceDE w:val="0"/>
        <w:autoSpaceDN w:val="0"/>
        <w:adjustRightInd w:val="0"/>
        <w:rPr>
          <w:rFonts w:ascii="Garamond" w:hAnsi="Garamond"/>
          <w:lang w:val="en-AU"/>
        </w:rPr>
      </w:pPr>
      <w:r w:rsidRPr="00E17501">
        <w:rPr>
          <w:rFonts w:ascii="Garamond" w:hAnsi="Garamond"/>
          <w:lang w:val="en-AU"/>
        </w:rPr>
        <w:t>Padula WV, Pronovost PJ</w:t>
      </w:r>
    </w:p>
    <w:p w:rsidR="00E17501" w:rsidRPr="00E17501" w:rsidRDefault="00E17501" w:rsidP="00E17501">
      <w:pPr>
        <w:keepLines/>
        <w:autoSpaceDE w:val="0"/>
        <w:autoSpaceDN w:val="0"/>
        <w:adjustRightInd w:val="0"/>
        <w:rPr>
          <w:rFonts w:ascii="Garamond" w:hAnsi="Garamond"/>
          <w:lang w:val="en-AU"/>
        </w:rPr>
      </w:pPr>
      <w:r w:rsidRPr="00E17501">
        <w:rPr>
          <w:rFonts w:ascii="Garamond" w:hAnsi="Garamond"/>
          <w:lang w:val="en-AU"/>
        </w:rPr>
        <w:t>BMJ Quality &amp; Safety. 2018;27(3):171-3.</w:t>
      </w:r>
    </w:p>
    <w:tbl>
      <w:tblPr>
        <w:tblStyle w:val="TableGrid"/>
        <w:tblW w:w="0" w:type="auto"/>
        <w:tblInd w:w="288" w:type="dxa"/>
        <w:tblLayout w:type="fixed"/>
        <w:tblLook w:val="01E0" w:firstRow="1" w:lastRow="1" w:firstColumn="1" w:lastColumn="1" w:noHBand="0" w:noVBand="0"/>
      </w:tblPr>
      <w:tblGrid>
        <w:gridCol w:w="1080"/>
        <w:gridCol w:w="8280"/>
      </w:tblGrid>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370E8" w:rsidRDefault="00B370E8" w:rsidP="00B370E8">
            <w:pPr>
              <w:rPr>
                <w:rFonts w:ascii="Garamond" w:hAnsi="Garamond"/>
                <w:lang w:val="en-AU"/>
              </w:rPr>
            </w:pPr>
            <w:r>
              <w:rPr>
                <w:rFonts w:ascii="Garamond" w:hAnsi="Garamond"/>
                <w:lang w:val="en-AU"/>
              </w:rPr>
              <w:t>Resnic and Majithia</w:t>
            </w:r>
            <w:r w:rsidR="00127FE5">
              <w:rPr>
                <w:rFonts w:ascii="Garamond" w:hAnsi="Garamond"/>
                <w:lang w:val="en-AU"/>
              </w:rPr>
              <w:t xml:space="preserve"> </w:t>
            </w:r>
            <w:hyperlink r:id="rId18" w:history="1">
              <w:r w:rsidR="002016D2" w:rsidRPr="00967045">
                <w:rPr>
                  <w:rStyle w:val="Hyperlink"/>
                  <w:rFonts w:ascii="Garamond" w:hAnsi="Garamond"/>
                  <w:lang w:val="en-AU"/>
                </w:rPr>
                <w:t>http://dx.doi.org/10.1136/bmjqs-2017-007426</w:t>
              </w:r>
            </w:hyperlink>
          </w:p>
          <w:p w:rsidR="00B370E8" w:rsidRDefault="00B370E8" w:rsidP="00B370E8">
            <w:pPr>
              <w:rPr>
                <w:rFonts w:ascii="Garamond" w:hAnsi="Garamond"/>
                <w:lang w:val="en-AU"/>
              </w:rPr>
            </w:pPr>
            <w:r>
              <w:rPr>
                <w:rFonts w:ascii="Garamond" w:hAnsi="Garamond"/>
                <w:lang w:val="en-AU"/>
              </w:rPr>
              <w:t>Mannion and Smith</w:t>
            </w:r>
            <w:r w:rsidR="00127FE5">
              <w:rPr>
                <w:rFonts w:ascii="Garamond" w:hAnsi="Garamond"/>
                <w:lang w:val="en-AU"/>
              </w:rPr>
              <w:t xml:space="preserve"> </w:t>
            </w:r>
            <w:hyperlink r:id="rId19" w:history="1">
              <w:r w:rsidR="002016D2" w:rsidRPr="00967045">
                <w:rPr>
                  <w:rStyle w:val="Hyperlink"/>
                  <w:rFonts w:ascii="Garamond" w:hAnsi="Garamond"/>
                  <w:lang w:val="en-AU"/>
                </w:rPr>
                <w:t>http://dx.doi.org/10.1136/bmjqs-2017-007668</w:t>
              </w:r>
            </w:hyperlink>
          </w:p>
          <w:p w:rsidR="00B370E8" w:rsidRDefault="00B370E8" w:rsidP="00B370E8">
            <w:pPr>
              <w:rPr>
                <w:rFonts w:ascii="Garamond" w:hAnsi="Garamond"/>
                <w:lang w:val="en-AU"/>
              </w:rPr>
            </w:pPr>
            <w:r>
              <w:rPr>
                <w:rFonts w:ascii="Garamond" w:hAnsi="Garamond"/>
                <w:lang w:val="en-AU"/>
              </w:rPr>
              <w:t>Sinnott</w:t>
            </w:r>
            <w:r w:rsidR="00127FE5">
              <w:rPr>
                <w:rFonts w:ascii="Garamond" w:hAnsi="Garamond"/>
                <w:lang w:val="en-AU"/>
              </w:rPr>
              <w:t xml:space="preserve"> </w:t>
            </w:r>
            <w:hyperlink r:id="rId20" w:history="1">
              <w:r w:rsidR="002016D2" w:rsidRPr="00967045">
                <w:rPr>
                  <w:rStyle w:val="Hyperlink"/>
                  <w:rFonts w:ascii="Garamond" w:hAnsi="Garamond"/>
                  <w:lang w:val="en-AU"/>
                </w:rPr>
                <w:t>http://dx.doi.org/10.1136/bmjqs-2017-007667</w:t>
              </w:r>
            </w:hyperlink>
          </w:p>
          <w:p w:rsidR="00A4218C" w:rsidRPr="000170DA" w:rsidRDefault="00B370E8" w:rsidP="000670CA">
            <w:pPr>
              <w:rPr>
                <w:rStyle w:val="Hyperlink"/>
                <w:rFonts w:ascii="Garamond" w:hAnsi="Garamond"/>
                <w:color w:val="auto"/>
                <w:u w:val="none"/>
                <w:lang w:val="en-AU"/>
              </w:rPr>
            </w:pPr>
            <w:r>
              <w:rPr>
                <w:rFonts w:ascii="Garamond" w:hAnsi="Garamond"/>
                <w:lang w:val="en-AU"/>
              </w:rPr>
              <w:t>Padula and Pronovost</w:t>
            </w:r>
            <w:r w:rsidR="00127FE5">
              <w:rPr>
                <w:rFonts w:ascii="Garamond" w:hAnsi="Garamond"/>
                <w:lang w:val="en-AU"/>
              </w:rPr>
              <w:t xml:space="preserve"> </w:t>
            </w:r>
            <w:hyperlink r:id="rId21" w:history="1">
              <w:r w:rsidR="000670CA" w:rsidRPr="00967045">
                <w:rPr>
                  <w:rStyle w:val="Hyperlink"/>
                  <w:rFonts w:ascii="Garamond" w:hAnsi="Garamond"/>
                  <w:lang w:val="en-AU"/>
                </w:rPr>
                <w:t>http://dx.doi.org/10.1136/bmjqs-2017-007021</w:t>
              </w:r>
            </w:hyperlink>
          </w:p>
        </w:tc>
      </w:tr>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31EB" w:rsidRDefault="00B370E8" w:rsidP="005031EB">
            <w:pPr>
              <w:rPr>
                <w:rFonts w:ascii="Garamond" w:hAnsi="Garamond"/>
                <w:lang w:val="en-AU"/>
              </w:rPr>
            </w:pPr>
            <w:r>
              <w:rPr>
                <w:rFonts w:ascii="Garamond" w:hAnsi="Garamond"/>
                <w:lang w:val="en-AU"/>
              </w:rPr>
              <w:t>Editorials can be rather variable. The best offer insight and reflections upon a topic or topics, often prompted by a study or article in the same journal</w:t>
            </w:r>
            <w:r w:rsidR="000670CA">
              <w:rPr>
                <w:rFonts w:ascii="Garamond" w:hAnsi="Garamond"/>
                <w:lang w:val="en-AU"/>
              </w:rPr>
              <w:t>, that take the discussion beyond the specifics and offer broader perspectives</w:t>
            </w:r>
            <w:r>
              <w:rPr>
                <w:rFonts w:ascii="Garamond" w:hAnsi="Garamond"/>
                <w:lang w:val="en-AU"/>
              </w:rPr>
              <w:t xml:space="preserve">. The latest issue of the </w:t>
            </w:r>
            <w:r w:rsidRPr="00DF48DC">
              <w:rPr>
                <w:rFonts w:ascii="Garamond" w:hAnsi="Garamond"/>
                <w:i/>
                <w:lang w:val="en-AU"/>
              </w:rPr>
              <w:t>BMJ Quality &amp; Safety</w:t>
            </w:r>
            <w:r>
              <w:rPr>
                <w:rFonts w:ascii="Garamond" w:hAnsi="Garamond"/>
                <w:i/>
                <w:lang w:val="en-AU"/>
              </w:rPr>
              <w:t xml:space="preserve"> </w:t>
            </w:r>
            <w:r>
              <w:rPr>
                <w:rFonts w:ascii="Garamond" w:hAnsi="Garamond"/>
                <w:lang w:val="en-AU"/>
              </w:rPr>
              <w:t>contains a number of editorials reflecting on studies reported in that issue.</w:t>
            </w:r>
          </w:p>
          <w:p w:rsidR="00B370E8" w:rsidRDefault="00B370E8" w:rsidP="005031EB">
            <w:pPr>
              <w:rPr>
                <w:rFonts w:ascii="Garamond" w:hAnsi="Garamond"/>
                <w:lang w:val="en-AU"/>
              </w:rPr>
            </w:pPr>
            <w:r>
              <w:rPr>
                <w:rFonts w:ascii="Garamond" w:hAnsi="Garamond"/>
                <w:lang w:val="en-AU"/>
              </w:rPr>
              <w:t>Resnic and Majithia</w:t>
            </w:r>
            <w:r w:rsidR="00A10638">
              <w:rPr>
                <w:rFonts w:ascii="Garamond" w:hAnsi="Garamond"/>
                <w:lang w:val="en-AU"/>
              </w:rPr>
              <w:t xml:space="preserve"> reflect on the topic of medical devices. This has become somewhat more apparent ‘from an increasing recognition that medical device failure, although infrequent, may lead to injury’ as well as concerns about the efficacy of some regulations and regulatory bodies in the light of some well-publicised device issues. While the focus of the editorial, and related article, is the USA and the US regulator, the FDA, </w:t>
            </w:r>
            <w:r w:rsidR="00E17501">
              <w:rPr>
                <w:rFonts w:ascii="Garamond" w:hAnsi="Garamond"/>
                <w:lang w:val="en-AU"/>
              </w:rPr>
              <w:t xml:space="preserve">the issue is global as the device industry spans the globe. The authors suggest that the FDA (and, by extension, other regulators) need to consider ‘other </w:t>
            </w:r>
            <w:r w:rsidR="00E17501" w:rsidRPr="00E17501">
              <w:rPr>
                <w:rFonts w:ascii="Garamond" w:hAnsi="Garamond"/>
                <w:lang w:val="en-AU"/>
              </w:rPr>
              <w:t xml:space="preserve">strategies for safety evaluation, including the development of national </w:t>
            </w:r>
            <w:r w:rsidR="00E17501" w:rsidRPr="00E17501">
              <w:rPr>
                <w:rFonts w:ascii="Garamond" w:hAnsi="Garamond"/>
                <w:b/>
                <w:lang w:val="en-AU"/>
              </w:rPr>
              <w:t>device registries</w:t>
            </w:r>
            <w:r w:rsidR="00E17501" w:rsidRPr="00E17501">
              <w:rPr>
                <w:rFonts w:ascii="Garamond" w:hAnsi="Garamond"/>
                <w:lang w:val="en-AU"/>
              </w:rPr>
              <w:t xml:space="preserve"> and the routine use of </w:t>
            </w:r>
            <w:r w:rsidR="00E17501" w:rsidRPr="00E17501">
              <w:rPr>
                <w:rFonts w:ascii="Garamond" w:hAnsi="Garamond"/>
                <w:b/>
                <w:lang w:val="en-AU"/>
              </w:rPr>
              <w:t>prospective, active surveillance</w:t>
            </w:r>
            <w:r w:rsidR="00E17501" w:rsidRPr="00E17501">
              <w:rPr>
                <w:rFonts w:ascii="Garamond" w:hAnsi="Garamond"/>
                <w:lang w:val="en-AU"/>
              </w:rPr>
              <w:t xml:space="preserve"> of these data sources. Such an approach should be designed to incorporate the best available statistical tools to study medical devices in as </w:t>
            </w:r>
            <w:r w:rsidR="00E17501" w:rsidRPr="00E17501">
              <w:rPr>
                <w:rFonts w:ascii="Garamond" w:hAnsi="Garamond"/>
                <w:b/>
                <w:lang w:val="en-AU"/>
              </w:rPr>
              <w:t>near real time</w:t>
            </w:r>
            <w:r w:rsidR="00E17501" w:rsidRPr="00E17501">
              <w:rPr>
                <w:rFonts w:ascii="Garamond" w:hAnsi="Garamond"/>
                <w:lang w:val="en-AU"/>
              </w:rPr>
              <w:t xml:space="preserve"> as feasible, in order to identify potential safety concerns early in their widespread use as well as potentially identify opportunities to use these innovative therapies in patients who may not have previously been studied. In fact, this approach of active safety surveillance has already been shown to be feasible, and has been used to prospectively identify relative safety differences of commonly used devices in a na</w:t>
            </w:r>
            <w:r w:rsidR="00E17501">
              <w:rPr>
                <w:rFonts w:ascii="Garamond" w:hAnsi="Garamond"/>
                <w:lang w:val="en-AU"/>
              </w:rPr>
              <w:t>tional cardiovascular registry.’</w:t>
            </w:r>
          </w:p>
          <w:p w:rsidR="00B370E8" w:rsidRDefault="00B370E8" w:rsidP="00B370E8">
            <w:pPr>
              <w:rPr>
                <w:rFonts w:ascii="Garamond" w:hAnsi="Garamond"/>
                <w:lang w:val="en-AU"/>
              </w:rPr>
            </w:pPr>
            <w:r>
              <w:rPr>
                <w:rFonts w:ascii="Garamond" w:hAnsi="Garamond"/>
                <w:lang w:val="en-AU"/>
              </w:rPr>
              <w:lastRenderedPageBreak/>
              <w:t>Mannion and Smith</w:t>
            </w:r>
            <w:r w:rsidR="00E17501">
              <w:rPr>
                <w:rFonts w:ascii="Garamond" w:hAnsi="Garamond"/>
                <w:lang w:val="en-AU"/>
              </w:rPr>
              <w:t xml:space="preserve"> continue the discussion about culture. Noting that </w:t>
            </w:r>
            <w:r w:rsidR="00D40729">
              <w:rPr>
                <w:rFonts w:ascii="Garamond" w:hAnsi="Garamond"/>
                <w:lang w:val="en-AU"/>
              </w:rPr>
              <w:t>a ‘</w:t>
            </w:r>
            <w:r w:rsidR="00D40729" w:rsidRPr="00D40729">
              <w:rPr>
                <w:rFonts w:ascii="Garamond" w:hAnsi="Garamond"/>
                <w:lang w:val="en-AU"/>
              </w:rPr>
              <w:t xml:space="preserve">recent systematic review </w:t>
            </w:r>
            <w:r w:rsidR="00D40729">
              <w:rPr>
                <w:rFonts w:ascii="Garamond" w:hAnsi="Garamond"/>
                <w:lang w:val="en-AU"/>
              </w:rPr>
              <w:t xml:space="preserve">[covered in </w:t>
            </w:r>
            <w:r w:rsidR="00D40729" w:rsidRPr="00D40729">
              <w:rPr>
                <w:rFonts w:ascii="Garamond" w:hAnsi="Garamond"/>
                <w:i/>
                <w:lang w:val="en-AU"/>
              </w:rPr>
              <w:t>On the Radar</w:t>
            </w:r>
            <w:r w:rsidR="00D40729">
              <w:rPr>
                <w:rFonts w:ascii="Garamond" w:hAnsi="Garamond"/>
                <w:lang w:val="en-AU"/>
              </w:rPr>
              <w:t xml:space="preserve"> #355] </w:t>
            </w:r>
            <w:r w:rsidR="00D40729" w:rsidRPr="00D40729">
              <w:rPr>
                <w:rFonts w:ascii="Garamond" w:hAnsi="Garamond"/>
                <w:lang w:val="en-AU"/>
              </w:rPr>
              <w:t>found a consistent association between positive organisational and workplace cultures and beneficial clinical outcomes</w:t>
            </w:r>
            <w:r w:rsidR="00D40729">
              <w:rPr>
                <w:rFonts w:ascii="Garamond" w:hAnsi="Garamond"/>
                <w:lang w:val="en-AU"/>
              </w:rPr>
              <w:t xml:space="preserve">’ and reflecting on two studies published in the journal, they note the results of these studies, the implications for research and what </w:t>
            </w:r>
            <w:r w:rsidR="00D40729" w:rsidRPr="00D40729">
              <w:rPr>
                <w:rFonts w:ascii="Garamond" w:hAnsi="Garamond"/>
                <w:lang w:val="en-AU"/>
              </w:rPr>
              <w:t xml:space="preserve">policy makers, boards and clinical leaders of hospitals </w:t>
            </w:r>
            <w:r w:rsidR="00D40729">
              <w:rPr>
                <w:rFonts w:ascii="Garamond" w:hAnsi="Garamond"/>
                <w:lang w:val="en-AU"/>
              </w:rPr>
              <w:t>can take from this work. These include understanding that “</w:t>
            </w:r>
            <w:r w:rsidR="00D40729" w:rsidRPr="00D40729">
              <w:rPr>
                <w:rFonts w:ascii="Garamond" w:hAnsi="Garamond"/>
                <w:lang w:val="en-AU"/>
              </w:rPr>
              <w:t xml:space="preserve">the </w:t>
            </w:r>
            <w:r w:rsidR="00D40729" w:rsidRPr="00D40729">
              <w:rPr>
                <w:rFonts w:ascii="Garamond" w:hAnsi="Garamond"/>
                <w:b/>
                <w:lang w:val="en-AU"/>
              </w:rPr>
              <w:t>approach taken by senior managers and leaders does appear to matter</w:t>
            </w:r>
            <w:r w:rsidR="00D40729" w:rsidRPr="00D40729">
              <w:rPr>
                <w:rFonts w:ascii="Garamond" w:hAnsi="Garamond"/>
                <w:lang w:val="en-AU"/>
              </w:rPr>
              <w:t>: if ‘wrongheaded’ or dysfunctional, it can potentially add to the risk of harm.</w:t>
            </w:r>
            <w:r w:rsidR="00D40729">
              <w:rPr>
                <w:rFonts w:ascii="Garamond" w:hAnsi="Garamond"/>
                <w:lang w:val="en-AU"/>
              </w:rPr>
              <w:t>…</w:t>
            </w:r>
            <w:r w:rsidR="00D40729" w:rsidRPr="00D40729">
              <w:rPr>
                <w:rFonts w:ascii="Garamond" w:hAnsi="Garamond"/>
                <w:lang w:val="en-AU"/>
              </w:rPr>
              <w:t xml:space="preserve">, these findings </w:t>
            </w:r>
            <w:r w:rsidR="00D40729">
              <w:rPr>
                <w:rFonts w:ascii="Garamond" w:hAnsi="Garamond"/>
                <w:lang w:val="en-AU"/>
              </w:rPr>
              <w:t>…</w:t>
            </w:r>
            <w:r w:rsidR="00D40729" w:rsidRPr="00D40729">
              <w:rPr>
                <w:rFonts w:ascii="Garamond" w:hAnsi="Garamond"/>
                <w:lang w:val="en-AU"/>
              </w:rPr>
              <w:t xml:space="preserve">give clues as to what elements of ‘culture’ need attention to by hospital leaders and boards. They include, but are not limited to, fostering a </w:t>
            </w:r>
            <w:r w:rsidR="00D40729" w:rsidRPr="00D40729">
              <w:rPr>
                <w:rFonts w:ascii="Garamond" w:hAnsi="Garamond"/>
                <w:b/>
                <w:lang w:val="en-AU"/>
              </w:rPr>
              <w:t>learning environment</w:t>
            </w:r>
            <w:r w:rsidR="00D40729" w:rsidRPr="00D40729">
              <w:rPr>
                <w:rFonts w:ascii="Garamond" w:hAnsi="Garamond"/>
                <w:lang w:val="en-AU"/>
              </w:rPr>
              <w:t xml:space="preserve">, offering sustained and visible </w:t>
            </w:r>
            <w:r w:rsidR="00D40729" w:rsidRPr="00D40729">
              <w:rPr>
                <w:rFonts w:ascii="Garamond" w:hAnsi="Garamond"/>
                <w:b/>
                <w:lang w:val="en-AU"/>
              </w:rPr>
              <w:t>senior management support</w:t>
            </w:r>
            <w:r w:rsidR="00D40729" w:rsidRPr="00D40729">
              <w:rPr>
                <w:rFonts w:ascii="Garamond" w:hAnsi="Garamond"/>
                <w:lang w:val="en-AU"/>
              </w:rPr>
              <w:t xml:space="preserve"> to clinical teams and services, and ensuring that staff across the organisation feel ‘</w:t>
            </w:r>
            <w:r w:rsidR="00D40729" w:rsidRPr="00D40729">
              <w:rPr>
                <w:rFonts w:ascii="Garamond" w:hAnsi="Garamond"/>
                <w:b/>
                <w:lang w:val="en-AU"/>
              </w:rPr>
              <w:t>psychologically safe</w:t>
            </w:r>
            <w:r w:rsidR="00D40729" w:rsidRPr="00D40729">
              <w:rPr>
                <w:rFonts w:ascii="Garamond" w:hAnsi="Garamond"/>
                <w:lang w:val="en-AU"/>
              </w:rPr>
              <w:t xml:space="preserve">’ and </w:t>
            </w:r>
            <w:r w:rsidR="00D40729" w:rsidRPr="00D40729">
              <w:rPr>
                <w:rFonts w:ascii="Garamond" w:hAnsi="Garamond"/>
                <w:b/>
                <w:lang w:val="en-AU"/>
              </w:rPr>
              <w:t>able to speak up</w:t>
            </w:r>
            <w:r w:rsidR="00D40729" w:rsidRPr="00D40729">
              <w:rPr>
                <w:rFonts w:ascii="Garamond" w:hAnsi="Garamond"/>
                <w:lang w:val="en-AU"/>
              </w:rPr>
              <w:t xml:space="preserve"> when things are felt to be going wrong.</w:t>
            </w:r>
            <w:r w:rsidR="00D40729">
              <w:rPr>
                <w:rFonts w:ascii="Garamond" w:hAnsi="Garamond"/>
                <w:lang w:val="en-AU"/>
              </w:rPr>
              <w:t>”</w:t>
            </w:r>
          </w:p>
          <w:p w:rsidR="00D40729" w:rsidRDefault="00D40729" w:rsidP="00B370E8">
            <w:pPr>
              <w:rPr>
                <w:rFonts w:ascii="Garamond" w:hAnsi="Garamond"/>
                <w:lang w:val="en-AU"/>
              </w:rPr>
            </w:pPr>
          </w:p>
          <w:p w:rsidR="00B370E8" w:rsidRDefault="00B370E8" w:rsidP="00B370E8">
            <w:pPr>
              <w:rPr>
                <w:rFonts w:ascii="Garamond" w:hAnsi="Garamond"/>
                <w:lang w:val="en-AU"/>
              </w:rPr>
            </w:pPr>
            <w:r>
              <w:rPr>
                <w:rFonts w:ascii="Garamond" w:hAnsi="Garamond"/>
                <w:lang w:val="en-AU"/>
              </w:rPr>
              <w:t>Sinnott</w:t>
            </w:r>
            <w:r w:rsidR="00D40729">
              <w:rPr>
                <w:rFonts w:ascii="Garamond" w:hAnsi="Garamond"/>
                <w:lang w:val="en-AU"/>
              </w:rPr>
              <w:t xml:space="preserve"> shifts the focus from large, acute care settings to the smaller scale of primary care in looking at prescribing in (British) primary care. Reflecting on a study that reveals the complexity (and implications) of prescribing – it is a high-volume activity</w:t>
            </w:r>
            <w:r w:rsidR="00DD1D1D">
              <w:rPr>
                <w:rFonts w:ascii="Garamond" w:hAnsi="Garamond"/>
                <w:lang w:val="en-AU"/>
              </w:rPr>
              <w:t xml:space="preserve"> in which it </w:t>
            </w:r>
            <w:r w:rsidR="00D40729">
              <w:rPr>
                <w:rFonts w:ascii="Garamond" w:hAnsi="Garamond"/>
                <w:lang w:val="en-AU"/>
              </w:rPr>
              <w:t xml:space="preserve">has been shown </w:t>
            </w:r>
            <w:r w:rsidR="00DD1D1D">
              <w:rPr>
                <w:rFonts w:ascii="Garamond" w:hAnsi="Garamond"/>
                <w:lang w:val="en-AU"/>
              </w:rPr>
              <w:t>“</w:t>
            </w:r>
            <w:r w:rsidR="00DD1D1D" w:rsidRPr="00DD1D1D">
              <w:rPr>
                <w:rFonts w:ascii="Garamond" w:hAnsi="Garamond"/>
                <w:lang w:val="en-AU"/>
              </w:rPr>
              <w:t>5% of prescription items were associated with a prescribing error, and around 1 in 550 prescription items contained a severe error</w:t>
            </w:r>
            <w:r w:rsidR="00DD1D1D">
              <w:rPr>
                <w:rFonts w:ascii="Garamond" w:hAnsi="Garamond"/>
                <w:lang w:val="en-AU"/>
              </w:rPr>
              <w:t>” – Sinnott discusses how the new work offers “</w:t>
            </w:r>
            <w:r w:rsidR="00DD1D1D" w:rsidRPr="00DD1D1D">
              <w:rPr>
                <w:rFonts w:ascii="Garamond" w:hAnsi="Garamond"/>
                <w:lang w:val="en-AU"/>
              </w:rPr>
              <w:t>one of the first detailed accounts of the role of non-clinical practice staff in the processing of prescriptions, and of how the ‘work’ of prescribing happens across a practice</w:t>
            </w:r>
            <w:r w:rsidR="00DD1D1D">
              <w:rPr>
                <w:rFonts w:ascii="Garamond" w:hAnsi="Garamond"/>
                <w:lang w:val="en-AU"/>
              </w:rPr>
              <w:t xml:space="preserve">” and “how </w:t>
            </w:r>
            <w:r w:rsidR="00DD1D1D" w:rsidRPr="00DD1D1D">
              <w:rPr>
                <w:rFonts w:ascii="Garamond" w:hAnsi="Garamond"/>
                <w:lang w:val="en-AU"/>
              </w:rPr>
              <w:t>prescribing processes in primary care rely on interdisciplinary work, interpersonal relationships and non-clinical expertise that may be gained over years</w:t>
            </w:r>
            <w:r w:rsidR="00DD1D1D">
              <w:rPr>
                <w:rFonts w:ascii="Garamond" w:hAnsi="Garamond"/>
                <w:lang w:val="en-AU"/>
              </w:rPr>
              <w:t>”. Thus, the “</w:t>
            </w:r>
            <w:r w:rsidR="00DD1D1D" w:rsidRPr="00DD1D1D">
              <w:rPr>
                <w:rFonts w:ascii="Garamond" w:hAnsi="Garamond"/>
                <w:lang w:val="en-AU"/>
              </w:rPr>
              <w:t xml:space="preserve">broader achievement of this study then is to encourage a move away from the traditional view of organisational culture in </w:t>
            </w:r>
            <w:r w:rsidR="00DD1D1D" w:rsidRPr="00DD1D1D">
              <w:rPr>
                <w:rFonts w:ascii="Garamond" w:hAnsi="Garamond"/>
                <w:b/>
                <w:lang w:val="en-AU"/>
              </w:rPr>
              <w:t>primary care</w:t>
            </w:r>
            <w:r w:rsidR="00DD1D1D" w:rsidRPr="00DD1D1D">
              <w:rPr>
                <w:rFonts w:ascii="Garamond" w:hAnsi="Garamond"/>
                <w:lang w:val="en-AU"/>
              </w:rPr>
              <w:t xml:space="preserve"> as hierarchical and physician-centred to one that is </w:t>
            </w:r>
            <w:r w:rsidR="00DD1D1D" w:rsidRPr="00DD1D1D">
              <w:rPr>
                <w:rFonts w:ascii="Garamond" w:hAnsi="Garamond"/>
                <w:b/>
                <w:lang w:val="en-AU"/>
              </w:rPr>
              <w:t>interdisciplinary</w:t>
            </w:r>
            <w:r w:rsidR="00DD1D1D" w:rsidRPr="00DD1D1D">
              <w:rPr>
                <w:rFonts w:ascii="Garamond" w:hAnsi="Garamond"/>
                <w:lang w:val="en-AU"/>
              </w:rPr>
              <w:t xml:space="preserve"> and reliant on </w:t>
            </w:r>
            <w:r w:rsidR="00DD1D1D" w:rsidRPr="00DD1D1D">
              <w:rPr>
                <w:rFonts w:ascii="Garamond" w:hAnsi="Garamond"/>
                <w:b/>
                <w:lang w:val="en-AU"/>
              </w:rPr>
              <w:t>team dynamics</w:t>
            </w:r>
            <w:r w:rsidR="00DD1D1D" w:rsidRPr="00DD1D1D">
              <w:rPr>
                <w:rFonts w:ascii="Garamond" w:hAnsi="Garamond"/>
                <w:lang w:val="en-AU"/>
              </w:rPr>
              <w:t>.</w:t>
            </w:r>
            <w:r w:rsidR="00DD1D1D">
              <w:rPr>
                <w:rFonts w:ascii="Garamond" w:hAnsi="Garamond"/>
                <w:lang w:val="en-AU"/>
              </w:rPr>
              <w:t>” Shifting the focus to teams “</w:t>
            </w:r>
            <w:r w:rsidR="00DD1D1D" w:rsidRPr="00DD1D1D">
              <w:rPr>
                <w:rFonts w:ascii="Garamond" w:hAnsi="Garamond"/>
                <w:lang w:val="en-AU"/>
              </w:rPr>
              <w:t>better identify how the team can work to maintain and promote safety, and identify points where improvement is possible.</w:t>
            </w:r>
            <w:r w:rsidR="00DD1D1D">
              <w:rPr>
                <w:rFonts w:ascii="Garamond" w:hAnsi="Garamond"/>
                <w:lang w:val="en-AU"/>
              </w:rPr>
              <w:t>”</w:t>
            </w:r>
          </w:p>
          <w:p w:rsidR="00DD1D1D" w:rsidRDefault="00DD1D1D" w:rsidP="00B370E8">
            <w:pPr>
              <w:rPr>
                <w:rFonts w:ascii="Garamond" w:hAnsi="Garamond"/>
                <w:lang w:val="en-AU"/>
              </w:rPr>
            </w:pPr>
          </w:p>
          <w:p w:rsidR="00DD1D1D" w:rsidRPr="00B370E8" w:rsidRDefault="00B370E8" w:rsidP="00754C82">
            <w:pPr>
              <w:rPr>
                <w:rFonts w:ascii="Garamond" w:hAnsi="Garamond"/>
                <w:lang w:val="en-AU"/>
              </w:rPr>
            </w:pPr>
            <w:r>
              <w:rPr>
                <w:rFonts w:ascii="Garamond" w:hAnsi="Garamond"/>
                <w:lang w:val="en-AU"/>
              </w:rPr>
              <w:t>Padula and Pronovost</w:t>
            </w:r>
            <w:r w:rsidR="00DD1D1D">
              <w:rPr>
                <w:rFonts w:ascii="Garamond" w:hAnsi="Garamond"/>
                <w:lang w:val="en-AU"/>
              </w:rPr>
              <w:t xml:space="preserve"> note that pressure injuries/ulcers are common and expensive, </w:t>
            </w:r>
            <w:r w:rsidR="00DD1D1D" w:rsidRPr="00DD1D1D">
              <w:rPr>
                <w:rFonts w:ascii="Garamond" w:hAnsi="Garamond"/>
                <w:lang w:val="en-AU"/>
              </w:rPr>
              <w:t>significantly harming over 7</w:t>
            </w:r>
            <w:r w:rsidR="00DD1D1D" w:rsidRPr="00DD1D1D">
              <w:rPr>
                <w:lang w:val="en-AU"/>
              </w:rPr>
              <w:t> </w:t>
            </w:r>
            <w:r w:rsidR="00DD1D1D" w:rsidRPr="00DD1D1D">
              <w:rPr>
                <w:rFonts w:ascii="Garamond" w:hAnsi="Garamond"/>
                <w:lang w:val="en-AU"/>
              </w:rPr>
              <w:t xml:space="preserve">million patients </w:t>
            </w:r>
            <w:r w:rsidR="00DD1D1D">
              <w:rPr>
                <w:rFonts w:ascii="Garamond" w:hAnsi="Garamond"/>
                <w:lang w:val="en-AU"/>
              </w:rPr>
              <w:t>per annum and noting that in the USA there are “</w:t>
            </w:r>
            <w:r w:rsidR="00DD1D1D" w:rsidRPr="00DD1D1D">
              <w:rPr>
                <w:rFonts w:ascii="Garamond" w:hAnsi="Garamond"/>
                <w:lang w:val="en-AU"/>
              </w:rPr>
              <w:t>more than 2.5</w:t>
            </w:r>
            <w:r w:rsidR="00DD1D1D" w:rsidRPr="00DD1D1D">
              <w:rPr>
                <w:lang w:val="en-AU"/>
              </w:rPr>
              <w:t> </w:t>
            </w:r>
            <w:r w:rsidR="00DD1D1D" w:rsidRPr="00DD1D1D">
              <w:rPr>
                <w:rFonts w:ascii="Garamond" w:hAnsi="Garamond"/>
                <w:lang w:val="en-AU"/>
              </w:rPr>
              <w:t>million pressure injury cases per year which cause over 60</w:t>
            </w:r>
            <w:r w:rsidR="00DD1D1D" w:rsidRPr="00DD1D1D">
              <w:rPr>
                <w:lang w:val="en-AU"/>
              </w:rPr>
              <w:t> </w:t>
            </w:r>
            <w:r w:rsidR="00DD1D1D" w:rsidRPr="00DD1D1D">
              <w:rPr>
                <w:rFonts w:ascii="Garamond" w:hAnsi="Garamond"/>
                <w:lang w:val="en-AU"/>
              </w:rPr>
              <w:t>000 deaths</w:t>
            </w:r>
            <w:r w:rsidR="00DD1D1D" w:rsidRPr="00DD1D1D">
              <w:rPr>
                <w:rFonts w:ascii="Garamond" w:hAnsi="Garamond" w:cs="Garamond"/>
                <w:lang w:val="en-AU"/>
              </w:rPr>
              <w:t>—</w:t>
            </w:r>
            <w:r w:rsidR="00DD1D1D" w:rsidRPr="00DD1D1D">
              <w:rPr>
                <w:rFonts w:ascii="Garamond" w:hAnsi="Garamond"/>
                <w:lang w:val="en-AU"/>
              </w:rPr>
              <w:t>that is more than car accident fatalities in the USA</w:t>
            </w:r>
            <w:r w:rsidR="00DD1D1D" w:rsidRPr="00DD1D1D">
              <w:rPr>
                <w:rFonts w:ascii="Garamond" w:hAnsi="Garamond" w:cs="Garamond"/>
                <w:lang w:val="en-AU"/>
              </w:rPr>
              <w:t>—</w:t>
            </w:r>
            <w:r w:rsidR="00DD1D1D" w:rsidRPr="00DD1D1D">
              <w:rPr>
                <w:rFonts w:ascii="Garamond" w:hAnsi="Garamond"/>
                <w:lang w:val="en-AU"/>
              </w:rPr>
              <w:t>and cost the health system at least $9</w:t>
            </w:r>
            <w:r w:rsidR="00DD1D1D" w:rsidRPr="00DD1D1D">
              <w:rPr>
                <w:rFonts w:ascii="Garamond" w:hAnsi="Garamond" w:cs="Garamond"/>
                <w:lang w:val="en-AU"/>
              </w:rPr>
              <w:t>–</w:t>
            </w:r>
            <w:r w:rsidR="00DD1D1D" w:rsidRPr="00DD1D1D">
              <w:rPr>
                <w:rFonts w:ascii="Garamond" w:hAnsi="Garamond"/>
                <w:lang w:val="en-AU"/>
              </w:rPr>
              <w:t>$11</w:t>
            </w:r>
            <w:r w:rsidR="00DD1D1D" w:rsidRPr="00DD1D1D">
              <w:rPr>
                <w:lang w:val="en-AU"/>
              </w:rPr>
              <w:t> </w:t>
            </w:r>
            <w:r w:rsidR="00DD1D1D" w:rsidRPr="00DD1D1D">
              <w:rPr>
                <w:rFonts w:ascii="Garamond" w:hAnsi="Garamond"/>
                <w:lang w:val="en-AU"/>
              </w:rPr>
              <w:t>billion.</w:t>
            </w:r>
            <w:r w:rsidR="00DD1D1D">
              <w:rPr>
                <w:rFonts w:ascii="Garamond" w:hAnsi="Garamond"/>
                <w:lang w:val="en-AU"/>
              </w:rPr>
              <w:t>”  They note that between and within countries there harms can be recorded and dealt with in varying ways, including noting that billing, payment and incentive mechanisms can have unintended consequences  They observe that “</w:t>
            </w:r>
            <w:r w:rsidR="00754C82" w:rsidRPr="00754C82">
              <w:rPr>
                <w:rFonts w:ascii="Garamond" w:hAnsi="Garamond"/>
                <w:lang w:val="en-AU"/>
              </w:rPr>
              <w:t>A health system that knows where pressure injuries are coming from is more prepared to create a targeted infrastructure for improvement</w:t>
            </w:r>
            <w:r w:rsidR="00754C82">
              <w:rPr>
                <w:rFonts w:ascii="Garamond" w:hAnsi="Garamond"/>
                <w:lang w:val="en-AU"/>
              </w:rPr>
              <w:t>” and that health systems  “</w:t>
            </w:r>
            <w:r w:rsidR="00754C82" w:rsidRPr="00754C82">
              <w:rPr>
                <w:rFonts w:ascii="Garamond" w:hAnsi="Garamond"/>
                <w:lang w:val="en-AU"/>
              </w:rPr>
              <w:t xml:space="preserve">need more robust systems to </w:t>
            </w:r>
            <w:r w:rsidR="00754C82" w:rsidRPr="00754C82">
              <w:rPr>
                <w:rFonts w:ascii="Garamond" w:hAnsi="Garamond"/>
                <w:b/>
                <w:lang w:val="en-AU"/>
              </w:rPr>
              <w:t>accurately measure</w:t>
            </w:r>
            <w:r w:rsidR="00754C82" w:rsidRPr="00754C82">
              <w:rPr>
                <w:rFonts w:ascii="Garamond" w:hAnsi="Garamond"/>
                <w:lang w:val="en-AU"/>
              </w:rPr>
              <w:t xml:space="preserve"> the incidence rates of pressure injuries across the continuum of care, </w:t>
            </w:r>
            <w:r w:rsidR="00754C82" w:rsidRPr="00754C82">
              <w:rPr>
                <w:rFonts w:ascii="Garamond" w:hAnsi="Garamond"/>
                <w:b/>
                <w:lang w:val="en-AU"/>
              </w:rPr>
              <w:t>transparently report</w:t>
            </w:r>
            <w:r w:rsidR="00754C82" w:rsidRPr="00754C82">
              <w:rPr>
                <w:rFonts w:ascii="Garamond" w:hAnsi="Garamond"/>
                <w:lang w:val="en-AU"/>
              </w:rPr>
              <w:t xml:space="preserve"> their rates to clinicians and managers, and create </w:t>
            </w:r>
            <w:r w:rsidR="00754C82" w:rsidRPr="00754C82">
              <w:rPr>
                <w:rFonts w:ascii="Garamond" w:hAnsi="Garamond"/>
                <w:b/>
                <w:lang w:val="en-AU"/>
              </w:rPr>
              <w:t>shared accountability</w:t>
            </w:r>
            <w:r w:rsidR="00754C82" w:rsidRPr="00754C82">
              <w:rPr>
                <w:rFonts w:ascii="Garamond" w:hAnsi="Garamond"/>
                <w:lang w:val="en-AU"/>
              </w:rPr>
              <w:t xml:space="preserve"> systems for improvement</w:t>
            </w:r>
            <w:r w:rsidR="00754C82">
              <w:rPr>
                <w:rFonts w:ascii="Garamond" w:hAnsi="Garamond"/>
                <w:lang w:val="en-AU"/>
              </w:rPr>
              <w:t>”.</w:t>
            </w:r>
          </w:p>
        </w:tc>
      </w:tr>
    </w:tbl>
    <w:p w:rsidR="00754C82" w:rsidRDefault="00754C82" w:rsidP="00AC6DC8">
      <w:pPr>
        <w:keepLines/>
        <w:autoSpaceDE w:val="0"/>
        <w:autoSpaceDN w:val="0"/>
        <w:adjustRightInd w:val="0"/>
        <w:rPr>
          <w:rFonts w:ascii="Garamond" w:hAnsi="Garamond"/>
          <w:i/>
          <w:lang w:val="en-AU"/>
        </w:rPr>
      </w:pPr>
    </w:p>
    <w:p w:rsidR="005031EB" w:rsidRDefault="005031EB">
      <w:pPr>
        <w:rPr>
          <w:rFonts w:ascii="Garamond" w:hAnsi="Garamond"/>
          <w:i/>
          <w:lang w:val="en-AU"/>
        </w:rPr>
      </w:pPr>
      <w:r>
        <w:rPr>
          <w:rFonts w:ascii="Garamond" w:hAnsi="Garamond"/>
          <w:i/>
          <w:lang w:val="en-AU"/>
        </w:rPr>
        <w:br w:type="page"/>
      </w:r>
    </w:p>
    <w:p w:rsidR="002E1829" w:rsidRPr="002E1829" w:rsidRDefault="002E1829" w:rsidP="00AC6DC8">
      <w:pPr>
        <w:keepLines/>
        <w:autoSpaceDE w:val="0"/>
        <w:autoSpaceDN w:val="0"/>
        <w:adjustRightInd w:val="0"/>
        <w:rPr>
          <w:rFonts w:ascii="Garamond" w:hAnsi="Garamond"/>
          <w:i/>
          <w:lang w:val="en-AU"/>
        </w:rPr>
      </w:pPr>
      <w:r w:rsidRPr="002E1829">
        <w:rPr>
          <w:rFonts w:ascii="Garamond" w:hAnsi="Garamond"/>
          <w:i/>
          <w:lang w:val="en-AU"/>
        </w:rPr>
        <w:lastRenderedPageBreak/>
        <w:t>Population attributable fractions of perinatal outcomes for nulliparous women associated with ove</w:t>
      </w:r>
      <w:r w:rsidR="00C121B9">
        <w:rPr>
          <w:rFonts w:ascii="Garamond" w:hAnsi="Garamond"/>
          <w:i/>
          <w:lang w:val="en-AU"/>
        </w:rPr>
        <w:t>rweight and obesity, 1990-2014</w:t>
      </w:r>
    </w:p>
    <w:p w:rsidR="002E1829" w:rsidRDefault="002E1829" w:rsidP="00AC6DC8">
      <w:pPr>
        <w:keepLines/>
        <w:autoSpaceDE w:val="0"/>
        <w:autoSpaceDN w:val="0"/>
        <w:adjustRightInd w:val="0"/>
        <w:rPr>
          <w:rFonts w:ascii="Garamond" w:hAnsi="Garamond"/>
          <w:lang w:val="en-AU"/>
        </w:rPr>
      </w:pPr>
      <w:r w:rsidRPr="002E1829">
        <w:rPr>
          <w:rFonts w:ascii="Garamond" w:hAnsi="Garamond"/>
          <w:lang w:val="en-AU"/>
        </w:rPr>
        <w:t xml:space="preserve">Cheney K, Farber R, Barratt AL, McGeechan K, de Vries B, Ogle R, et al. </w:t>
      </w:r>
    </w:p>
    <w:p w:rsidR="00614D94" w:rsidRPr="002E1829" w:rsidRDefault="002E1829" w:rsidP="00AC6DC8">
      <w:pPr>
        <w:keepLines/>
        <w:autoSpaceDE w:val="0"/>
        <w:autoSpaceDN w:val="0"/>
        <w:adjustRightInd w:val="0"/>
        <w:rPr>
          <w:rFonts w:ascii="Garamond" w:hAnsi="Garamond"/>
          <w:lang w:val="en-AU"/>
        </w:rPr>
      </w:pPr>
      <w:r w:rsidRPr="002E1829">
        <w:rPr>
          <w:rFonts w:ascii="Garamond" w:hAnsi="Garamond"/>
          <w:lang w:val="en-AU"/>
        </w:rPr>
        <w:t>Med J Aust 2018;208:119-25.</w:t>
      </w:r>
    </w:p>
    <w:tbl>
      <w:tblPr>
        <w:tblStyle w:val="TableGrid"/>
        <w:tblW w:w="0" w:type="auto"/>
        <w:tblInd w:w="288" w:type="dxa"/>
        <w:tblLayout w:type="fixed"/>
        <w:tblLook w:val="01E0" w:firstRow="1" w:lastRow="1" w:firstColumn="1" w:lastColumn="1" w:noHBand="0" w:noVBand="0"/>
      </w:tblPr>
      <w:tblGrid>
        <w:gridCol w:w="1080"/>
        <w:gridCol w:w="8280"/>
      </w:tblGrid>
      <w:tr w:rsidR="00614D94" w:rsidRPr="000170DA" w:rsidTr="00713BDD">
        <w:tc>
          <w:tcPr>
            <w:tcW w:w="1080" w:type="dxa"/>
            <w:tcBorders>
              <w:top w:val="single" w:sz="4" w:space="0" w:color="auto"/>
              <w:left w:val="single" w:sz="4" w:space="0" w:color="auto"/>
              <w:bottom w:val="single" w:sz="4" w:space="0" w:color="auto"/>
              <w:right w:val="single" w:sz="4" w:space="0" w:color="auto"/>
            </w:tcBorders>
            <w:vAlign w:val="center"/>
          </w:tcPr>
          <w:p w:rsidR="00614D94" w:rsidRPr="000170DA" w:rsidRDefault="00614D94" w:rsidP="00713BD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529B" w:rsidRPr="000170DA" w:rsidRDefault="00C121B9" w:rsidP="00F6529B">
            <w:pPr>
              <w:rPr>
                <w:rStyle w:val="Hyperlink"/>
                <w:rFonts w:ascii="Garamond" w:hAnsi="Garamond"/>
                <w:color w:val="auto"/>
                <w:u w:val="none"/>
                <w:lang w:val="en-AU"/>
              </w:rPr>
            </w:pPr>
            <w:hyperlink r:id="rId22" w:history="1">
              <w:r w:rsidR="00F6529B" w:rsidRPr="00632CE2">
                <w:rPr>
                  <w:rStyle w:val="Hyperlink"/>
                  <w:rFonts w:ascii="Garamond" w:hAnsi="Garamond"/>
                  <w:lang w:val="en-AU"/>
                </w:rPr>
                <w:t>https://dx.doi.org/10.5694/mja17.00344</w:t>
              </w:r>
            </w:hyperlink>
          </w:p>
        </w:tc>
      </w:tr>
      <w:tr w:rsidR="00614D94" w:rsidRPr="000170DA" w:rsidTr="00713BDD">
        <w:tc>
          <w:tcPr>
            <w:tcW w:w="1080" w:type="dxa"/>
            <w:tcBorders>
              <w:top w:val="single" w:sz="4" w:space="0" w:color="auto"/>
              <w:left w:val="single" w:sz="4" w:space="0" w:color="auto"/>
              <w:bottom w:val="single" w:sz="4" w:space="0" w:color="auto"/>
              <w:right w:val="single" w:sz="4" w:space="0" w:color="auto"/>
            </w:tcBorders>
            <w:vAlign w:val="center"/>
          </w:tcPr>
          <w:p w:rsidR="00614D94" w:rsidRPr="000170DA" w:rsidRDefault="00614D94" w:rsidP="00713B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D94" w:rsidRPr="002B0994" w:rsidRDefault="008E4BA1" w:rsidP="00733C95">
            <w:pPr>
              <w:rPr>
                <w:rFonts w:ascii="Garamond" w:hAnsi="Garamond"/>
                <w:lang w:val="en-AU"/>
              </w:rPr>
            </w:pPr>
            <w:r>
              <w:rPr>
                <w:rFonts w:ascii="Garamond" w:hAnsi="Garamond"/>
                <w:lang w:val="en-AU"/>
              </w:rPr>
              <w:t xml:space="preserve">Over 25 years, the prevalence of overweight pregnant women having their first child </w:t>
            </w:r>
            <w:r w:rsidR="00733C95">
              <w:rPr>
                <w:rFonts w:ascii="Garamond" w:hAnsi="Garamond"/>
                <w:lang w:val="en-AU"/>
              </w:rPr>
              <w:t xml:space="preserve">at the Royal Prince Alfred Hospital in Sydney </w:t>
            </w:r>
            <w:r>
              <w:rPr>
                <w:rFonts w:ascii="Garamond" w:hAnsi="Garamond"/>
                <w:lang w:val="en-AU"/>
              </w:rPr>
              <w:t xml:space="preserve">increased from 12.7% to 16.4%. The researchers estimated the impact of this increase on maternal and neonatal outcomes and </w:t>
            </w:r>
            <w:r w:rsidR="00733C95">
              <w:rPr>
                <w:rFonts w:ascii="Garamond" w:hAnsi="Garamond"/>
                <w:lang w:val="en-AU"/>
              </w:rPr>
              <w:t>calculated</w:t>
            </w:r>
            <w:r>
              <w:rPr>
                <w:rFonts w:ascii="Garamond" w:hAnsi="Garamond"/>
                <w:lang w:val="en-AU"/>
              </w:rPr>
              <w:t xml:space="preserve"> </w:t>
            </w:r>
            <w:r w:rsidR="00AA134D">
              <w:rPr>
                <w:rFonts w:ascii="Garamond" w:hAnsi="Garamond"/>
                <w:lang w:val="en-AU"/>
              </w:rPr>
              <w:t xml:space="preserve">that </w:t>
            </w:r>
            <w:r w:rsidR="00733C95">
              <w:rPr>
                <w:rFonts w:ascii="Garamond" w:hAnsi="Garamond"/>
                <w:lang w:val="en-AU"/>
              </w:rPr>
              <w:t xml:space="preserve">is likely to have contributed to increases in </w:t>
            </w:r>
            <w:r w:rsidR="00AA134D">
              <w:rPr>
                <w:rFonts w:ascii="Garamond" w:hAnsi="Garamond"/>
                <w:lang w:val="en-AU"/>
              </w:rPr>
              <w:t>pre-eclampsia, f</w:t>
            </w:r>
            <w:r w:rsidR="00AC6DC8">
              <w:rPr>
                <w:rFonts w:ascii="Garamond" w:hAnsi="Garamond"/>
                <w:lang w:val="en-AU"/>
              </w:rPr>
              <w:t>o</w:t>
            </w:r>
            <w:r w:rsidR="00AA134D">
              <w:rPr>
                <w:rFonts w:ascii="Garamond" w:hAnsi="Garamond"/>
                <w:lang w:val="en-AU"/>
              </w:rPr>
              <w:t xml:space="preserve">etal macrosomia and gestational diabetes </w:t>
            </w:r>
            <w:r w:rsidR="00733C95">
              <w:rPr>
                <w:rFonts w:ascii="Garamond" w:hAnsi="Garamond"/>
                <w:lang w:val="en-AU"/>
              </w:rPr>
              <w:t xml:space="preserve">of </w:t>
            </w:r>
            <w:r w:rsidR="00AA134D">
              <w:rPr>
                <w:rFonts w:ascii="Garamond" w:hAnsi="Garamond"/>
                <w:lang w:val="en-AU"/>
              </w:rPr>
              <w:t xml:space="preserve">up to 25%. By reducing obesity in first-time pregnant women even by one BMI category, they found that </w:t>
            </w:r>
            <w:r w:rsidR="00AA134D" w:rsidRPr="00AA134D">
              <w:rPr>
                <w:rFonts w:ascii="Garamond" w:hAnsi="Garamond"/>
                <w:lang w:val="en-AU"/>
              </w:rPr>
              <w:t xml:space="preserve">6.8% of </w:t>
            </w:r>
            <w:r w:rsidR="00F30FA3" w:rsidRPr="00AA134D">
              <w:rPr>
                <w:rFonts w:ascii="Garamond" w:hAnsi="Garamond"/>
                <w:lang w:val="en-AU"/>
              </w:rPr>
              <w:t>postpartum</w:t>
            </w:r>
            <w:r w:rsidR="00AA134D" w:rsidRPr="00AA134D">
              <w:rPr>
                <w:rFonts w:ascii="Garamond" w:hAnsi="Garamond"/>
                <w:lang w:val="en-AU"/>
              </w:rPr>
              <w:t xml:space="preserve"> haemorrhage, 6.5% of admissions to special care nursery, 5.8% of prematurity, and 3.8% of f</w:t>
            </w:r>
            <w:r w:rsidR="00AC6DC8">
              <w:rPr>
                <w:rFonts w:ascii="Garamond" w:hAnsi="Garamond"/>
                <w:lang w:val="en-AU"/>
              </w:rPr>
              <w:t>o</w:t>
            </w:r>
            <w:r w:rsidR="00AA134D" w:rsidRPr="00AA134D">
              <w:rPr>
                <w:rFonts w:ascii="Garamond" w:hAnsi="Garamond"/>
                <w:lang w:val="en-AU"/>
              </w:rPr>
              <w:t>etal abnormality could have been averted</w:t>
            </w:r>
            <w:r w:rsidR="00733C95">
              <w:rPr>
                <w:rFonts w:ascii="Garamond" w:hAnsi="Garamond"/>
                <w:lang w:val="en-AU"/>
              </w:rPr>
              <w:t>.</w:t>
            </w:r>
          </w:p>
        </w:tc>
      </w:tr>
    </w:tbl>
    <w:p w:rsidR="00614D94" w:rsidRDefault="00614D94" w:rsidP="00614D94">
      <w:pPr>
        <w:keepLines/>
        <w:autoSpaceDE w:val="0"/>
        <w:autoSpaceDN w:val="0"/>
        <w:adjustRightInd w:val="0"/>
        <w:rPr>
          <w:rFonts w:ascii="Garamond" w:hAnsi="Garamond"/>
          <w:lang w:val="en-AU"/>
        </w:rPr>
      </w:pPr>
    </w:p>
    <w:p w:rsidR="002E1829" w:rsidRPr="002E1829" w:rsidRDefault="002E1829" w:rsidP="00AC6DC8">
      <w:pPr>
        <w:keepLines/>
        <w:autoSpaceDE w:val="0"/>
        <w:autoSpaceDN w:val="0"/>
        <w:adjustRightInd w:val="0"/>
        <w:rPr>
          <w:rFonts w:ascii="Garamond" w:hAnsi="Garamond"/>
          <w:i/>
          <w:lang w:val="en-AU"/>
        </w:rPr>
      </w:pPr>
      <w:r w:rsidRPr="002E1829">
        <w:rPr>
          <w:rFonts w:ascii="Garamond" w:hAnsi="Garamond"/>
          <w:i/>
          <w:lang w:val="en-AU"/>
        </w:rPr>
        <w:t>Choosing Wisely Australia: changing behaviour in health care.</w:t>
      </w:r>
    </w:p>
    <w:p w:rsidR="002E1829" w:rsidRDefault="002E1829" w:rsidP="00AC6DC8">
      <w:pPr>
        <w:keepLines/>
        <w:autoSpaceDE w:val="0"/>
        <w:autoSpaceDN w:val="0"/>
        <w:adjustRightInd w:val="0"/>
        <w:rPr>
          <w:rFonts w:ascii="Garamond" w:hAnsi="Garamond"/>
          <w:lang w:val="en-AU"/>
        </w:rPr>
      </w:pPr>
      <w:r w:rsidRPr="002E1829">
        <w:rPr>
          <w:rFonts w:ascii="Garamond" w:hAnsi="Garamond"/>
          <w:lang w:val="en-AU"/>
        </w:rPr>
        <w:t xml:space="preserve">Lindner RA. </w:t>
      </w:r>
    </w:p>
    <w:p w:rsidR="00614D94" w:rsidRPr="002E1829" w:rsidRDefault="002E1829" w:rsidP="00AC6DC8">
      <w:pPr>
        <w:keepLines/>
        <w:autoSpaceDE w:val="0"/>
        <w:autoSpaceDN w:val="0"/>
        <w:adjustRightInd w:val="0"/>
        <w:rPr>
          <w:rFonts w:ascii="Garamond" w:hAnsi="Garamond"/>
          <w:lang w:val="en-AU"/>
        </w:rPr>
      </w:pPr>
      <w:r w:rsidRPr="002E1829">
        <w:rPr>
          <w:rFonts w:ascii="Garamond" w:hAnsi="Garamond"/>
          <w:lang w:val="en-AU"/>
        </w:rPr>
        <w:t>Med J Aust 2018;208:105-6.</w:t>
      </w:r>
    </w:p>
    <w:tbl>
      <w:tblPr>
        <w:tblStyle w:val="TableGrid"/>
        <w:tblW w:w="0" w:type="auto"/>
        <w:tblInd w:w="288" w:type="dxa"/>
        <w:tblLayout w:type="fixed"/>
        <w:tblLook w:val="01E0" w:firstRow="1" w:lastRow="1" w:firstColumn="1" w:lastColumn="1" w:noHBand="0" w:noVBand="0"/>
      </w:tblPr>
      <w:tblGrid>
        <w:gridCol w:w="1080"/>
        <w:gridCol w:w="8280"/>
      </w:tblGrid>
      <w:tr w:rsidR="00614D94" w:rsidRPr="000170DA" w:rsidTr="00713BDD">
        <w:tc>
          <w:tcPr>
            <w:tcW w:w="1080" w:type="dxa"/>
            <w:tcBorders>
              <w:top w:val="single" w:sz="4" w:space="0" w:color="auto"/>
              <w:left w:val="single" w:sz="4" w:space="0" w:color="auto"/>
              <w:bottom w:val="single" w:sz="4" w:space="0" w:color="auto"/>
              <w:right w:val="single" w:sz="4" w:space="0" w:color="auto"/>
            </w:tcBorders>
            <w:vAlign w:val="center"/>
          </w:tcPr>
          <w:p w:rsidR="00614D94" w:rsidRPr="000170DA" w:rsidRDefault="00614D94" w:rsidP="00713BD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529B" w:rsidRPr="000170DA" w:rsidRDefault="00C121B9" w:rsidP="00F6529B">
            <w:pPr>
              <w:rPr>
                <w:rStyle w:val="Hyperlink"/>
                <w:rFonts w:ascii="Garamond" w:hAnsi="Garamond"/>
                <w:color w:val="auto"/>
                <w:u w:val="none"/>
                <w:lang w:val="en-AU"/>
              </w:rPr>
            </w:pPr>
            <w:hyperlink r:id="rId23" w:history="1">
              <w:r w:rsidR="00F6529B" w:rsidRPr="00632CE2">
                <w:rPr>
                  <w:rStyle w:val="Hyperlink"/>
                  <w:rFonts w:ascii="Garamond" w:hAnsi="Garamond"/>
                  <w:lang w:val="en-AU"/>
                </w:rPr>
                <w:t>https://dx.doi.org/10.5694/mja17.00723</w:t>
              </w:r>
            </w:hyperlink>
          </w:p>
        </w:tc>
      </w:tr>
      <w:tr w:rsidR="00614D94" w:rsidRPr="000170DA" w:rsidTr="00713BDD">
        <w:tc>
          <w:tcPr>
            <w:tcW w:w="1080" w:type="dxa"/>
            <w:tcBorders>
              <w:top w:val="single" w:sz="4" w:space="0" w:color="auto"/>
              <w:left w:val="single" w:sz="4" w:space="0" w:color="auto"/>
              <w:bottom w:val="single" w:sz="4" w:space="0" w:color="auto"/>
              <w:right w:val="single" w:sz="4" w:space="0" w:color="auto"/>
            </w:tcBorders>
            <w:vAlign w:val="center"/>
          </w:tcPr>
          <w:p w:rsidR="00614D94" w:rsidRPr="000170DA" w:rsidRDefault="00614D94" w:rsidP="00713B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D94" w:rsidRPr="002B0994" w:rsidRDefault="00733C95" w:rsidP="00AC6DC8">
            <w:pPr>
              <w:rPr>
                <w:rFonts w:ascii="Garamond" w:hAnsi="Garamond"/>
                <w:lang w:val="en-AU"/>
              </w:rPr>
            </w:pPr>
            <w:r>
              <w:rPr>
                <w:rFonts w:ascii="Garamond" w:hAnsi="Garamond"/>
                <w:lang w:val="en-AU"/>
              </w:rPr>
              <w:t>The Choosing Wisely initiative is a clinician-led movement that identifies tests, treatments and procedures that are of little to no benef</w:t>
            </w:r>
            <w:r w:rsidR="00E621B7">
              <w:rPr>
                <w:rFonts w:ascii="Garamond" w:hAnsi="Garamond"/>
                <w:lang w:val="en-AU"/>
              </w:rPr>
              <w:t>i</w:t>
            </w:r>
            <w:r>
              <w:rPr>
                <w:rFonts w:ascii="Garamond" w:hAnsi="Garamond"/>
                <w:lang w:val="en-AU"/>
              </w:rPr>
              <w:t>t</w:t>
            </w:r>
            <w:r w:rsidR="00E621B7">
              <w:rPr>
                <w:rFonts w:ascii="Garamond" w:hAnsi="Garamond"/>
                <w:lang w:val="en-AU"/>
              </w:rPr>
              <w:t xml:space="preserve"> and may be harmful. Lindner reports on the first two years of the program</w:t>
            </w:r>
            <w:r w:rsidR="00AC6DC8">
              <w:rPr>
                <w:rFonts w:ascii="Garamond" w:hAnsi="Garamond"/>
                <w:lang w:val="en-AU"/>
              </w:rPr>
              <w:t xml:space="preserve"> in Australia</w:t>
            </w:r>
            <w:r w:rsidR="00E621B7">
              <w:rPr>
                <w:rFonts w:ascii="Garamond" w:hAnsi="Garamond"/>
                <w:lang w:val="en-AU"/>
              </w:rPr>
              <w:t xml:space="preserve"> and its impact. They describe some interesting work on the drivers of low value care, including</w:t>
            </w:r>
            <w:r w:rsidR="003F6BE6">
              <w:rPr>
                <w:rFonts w:ascii="Garamond" w:hAnsi="Garamond"/>
                <w:lang w:val="en-AU"/>
              </w:rPr>
              <w:t xml:space="preserve"> </w:t>
            </w:r>
            <w:r w:rsidR="00E621B7">
              <w:rPr>
                <w:rFonts w:ascii="Garamond" w:hAnsi="Garamond"/>
                <w:lang w:val="en-AU"/>
              </w:rPr>
              <w:t>a disconnect between clinicians’ views on what patient expect and what patients report. In regard to tests, the report states that “</w:t>
            </w:r>
            <w:r w:rsidR="00E621B7" w:rsidRPr="00E621B7">
              <w:rPr>
                <w:rFonts w:ascii="Garamond" w:hAnsi="Garamond"/>
                <w:lang w:val="en-AU"/>
              </w:rPr>
              <w:t>62% of general practitioners and 42% of specialists cite patient expectations as a driver of unnecessary tests, treatments and procedures, whereas 84% of consumers said they had tests at their health care provider’s recommendation</w:t>
            </w:r>
            <w:r w:rsidR="003F6BE6">
              <w:rPr>
                <w:rFonts w:ascii="Garamond" w:hAnsi="Garamond"/>
                <w:lang w:val="en-AU"/>
              </w:rPr>
              <w:t>.”</w:t>
            </w:r>
          </w:p>
        </w:tc>
      </w:tr>
    </w:tbl>
    <w:p w:rsidR="00614D94" w:rsidRDefault="00614D94" w:rsidP="00614D94">
      <w:pPr>
        <w:keepLines/>
        <w:autoSpaceDE w:val="0"/>
        <w:autoSpaceDN w:val="0"/>
        <w:adjustRightInd w:val="0"/>
        <w:rPr>
          <w:rFonts w:ascii="Garamond" w:hAnsi="Garamond"/>
          <w:lang w:val="en-AU"/>
        </w:rPr>
      </w:pPr>
    </w:p>
    <w:p w:rsidR="00614D94" w:rsidRPr="00961772" w:rsidRDefault="00180504" w:rsidP="00614D94">
      <w:pPr>
        <w:keepLines/>
        <w:autoSpaceDE w:val="0"/>
        <w:autoSpaceDN w:val="0"/>
        <w:adjustRightInd w:val="0"/>
        <w:rPr>
          <w:rFonts w:ascii="Garamond" w:hAnsi="Garamond"/>
          <w:i/>
          <w:lang w:val="en-AU"/>
        </w:rPr>
      </w:pPr>
      <w:r w:rsidRPr="00961772">
        <w:rPr>
          <w:rFonts w:ascii="Garamond" w:hAnsi="Garamond"/>
          <w:i/>
          <w:lang w:val="en-AU"/>
        </w:rPr>
        <w:t>Impact of frailty on outcomes after discharge in older surgical patients: a prospective cohort study</w:t>
      </w:r>
    </w:p>
    <w:p w:rsidR="005031EB" w:rsidRDefault="005031EB" w:rsidP="00614D94">
      <w:pPr>
        <w:keepLines/>
        <w:autoSpaceDE w:val="0"/>
        <w:autoSpaceDN w:val="0"/>
        <w:adjustRightInd w:val="0"/>
        <w:rPr>
          <w:rFonts w:ascii="Garamond" w:hAnsi="Garamond"/>
          <w:lang w:val="en-AU"/>
        </w:rPr>
      </w:pPr>
      <w:r w:rsidRPr="005031EB">
        <w:rPr>
          <w:rFonts w:ascii="Garamond" w:hAnsi="Garamond"/>
          <w:lang w:val="en-AU"/>
        </w:rPr>
        <w:t>Li Y, Pederson JL, Churchill TA, Wagg AS, Holroyd-Leduc JM, Alagiakrishnan K, et al</w:t>
      </w:r>
    </w:p>
    <w:p w:rsidR="00180504" w:rsidRPr="007C520B" w:rsidRDefault="005031EB" w:rsidP="00614D94">
      <w:pPr>
        <w:keepLines/>
        <w:autoSpaceDE w:val="0"/>
        <w:autoSpaceDN w:val="0"/>
        <w:adjustRightInd w:val="0"/>
        <w:rPr>
          <w:rFonts w:ascii="Garamond" w:hAnsi="Garamond"/>
          <w:lang w:val="en-AU"/>
        </w:rPr>
      </w:pPr>
      <w:r w:rsidRPr="005031EB">
        <w:rPr>
          <w:rFonts w:ascii="Garamond" w:hAnsi="Garamond"/>
          <w:lang w:val="en-AU"/>
        </w:rPr>
        <w:t>Canadian Medical Association Journal. 2018;190(7):E184-E90.</w:t>
      </w:r>
    </w:p>
    <w:tbl>
      <w:tblPr>
        <w:tblStyle w:val="TableGrid"/>
        <w:tblW w:w="0" w:type="auto"/>
        <w:tblInd w:w="288" w:type="dxa"/>
        <w:tblLayout w:type="fixed"/>
        <w:tblLook w:val="01E0" w:firstRow="1" w:lastRow="1" w:firstColumn="1" w:lastColumn="1" w:noHBand="0" w:noVBand="0"/>
      </w:tblPr>
      <w:tblGrid>
        <w:gridCol w:w="1080"/>
        <w:gridCol w:w="8280"/>
      </w:tblGrid>
      <w:tr w:rsidR="00614D94" w:rsidRPr="000170DA" w:rsidTr="00713BDD">
        <w:tc>
          <w:tcPr>
            <w:tcW w:w="1080" w:type="dxa"/>
            <w:tcBorders>
              <w:top w:val="single" w:sz="4" w:space="0" w:color="auto"/>
              <w:left w:val="single" w:sz="4" w:space="0" w:color="auto"/>
              <w:bottom w:val="single" w:sz="4" w:space="0" w:color="auto"/>
              <w:right w:val="single" w:sz="4" w:space="0" w:color="auto"/>
            </w:tcBorders>
            <w:vAlign w:val="center"/>
          </w:tcPr>
          <w:p w:rsidR="00614D94" w:rsidRPr="000170DA" w:rsidRDefault="00614D94" w:rsidP="00713BD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14D94" w:rsidRPr="000170DA" w:rsidRDefault="00C121B9" w:rsidP="00713BDD">
            <w:pPr>
              <w:rPr>
                <w:rStyle w:val="Hyperlink"/>
                <w:rFonts w:ascii="Garamond" w:hAnsi="Garamond"/>
                <w:color w:val="auto"/>
                <w:u w:val="none"/>
                <w:lang w:val="en-AU"/>
              </w:rPr>
            </w:pPr>
            <w:hyperlink r:id="rId24" w:history="1">
              <w:r w:rsidR="005031EB" w:rsidRPr="00136532">
                <w:rPr>
                  <w:rStyle w:val="Hyperlink"/>
                  <w:rFonts w:ascii="Garamond" w:hAnsi="Garamond"/>
                  <w:lang w:val="en-AU"/>
                </w:rPr>
                <w:t>https://doi.org/10.1503/cmaj.161403</w:t>
              </w:r>
            </w:hyperlink>
          </w:p>
        </w:tc>
      </w:tr>
      <w:tr w:rsidR="00614D94" w:rsidRPr="000170DA" w:rsidTr="00713BDD">
        <w:tc>
          <w:tcPr>
            <w:tcW w:w="1080" w:type="dxa"/>
            <w:tcBorders>
              <w:top w:val="single" w:sz="4" w:space="0" w:color="auto"/>
              <w:left w:val="single" w:sz="4" w:space="0" w:color="auto"/>
              <w:bottom w:val="single" w:sz="4" w:space="0" w:color="auto"/>
              <w:right w:val="single" w:sz="4" w:space="0" w:color="auto"/>
            </w:tcBorders>
            <w:vAlign w:val="center"/>
          </w:tcPr>
          <w:p w:rsidR="00614D94" w:rsidRPr="000170DA" w:rsidRDefault="00614D94" w:rsidP="00713B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D94" w:rsidRDefault="00961772" w:rsidP="00961772">
            <w:pPr>
              <w:rPr>
                <w:rFonts w:ascii="Garamond" w:hAnsi="Garamond"/>
                <w:lang w:val="en-AU"/>
              </w:rPr>
            </w:pPr>
            <w:r>
              <w:rPr>
                <w:rFonts w:ascii="Garamond" w:hAnsi="Garamond"/>
                <w:lang w:val="en-AU"/>
              </w:rPr>
              <w:t xml:space="preserve">Frailty may indicate a patient for whom surgery may not be appropriate. This Canadian study found that frailty can also be a flag for readmission risk. </w:t>
            </w:r>
          </w:p>
          <w:p w:rsidR="005031EB" w:rsidRDefault="00961772" w:rsidP="00961772">
            <w:pPr>
              <w:rPr>
                <w:rFonts w:ascii="Garamond" w:hAnsi="Garamond"/>
                <w:lang w:val="en-AU"/>
              </w:rPr>
            </w:pPr>
            <w:r>
              <w:rPr>
                <w:rFonts w:ascii="Garamond" w:hAnsi="Garamond"/>
                <w:lang w:val="en-AU"/>
              </w:rPr>
              <w:t xml:space="preserve">The study </w:t>
            </w:r>
            <w:r w:rsidRPr="00961772">
              <w:rPr>
                <w:rFonts w:ascii="Garamond" w:hAnsi="Garamond"/>
                <w:lang w:val="en-AU"/>
              </w:rPr>
              <w:t xml:space="preserve">prospectively followed </w:t>
            </w:r>
            <w:r>
              <w:rPr>
                <w:rFonts w:ascii="Garamond" w:hAnsi="Garamond"/>
                <w:lang w:val="en-AU"/>
              </w:rPr>
              <w:t xml:space="preserve">older </w:t>
            </w:r>
            <w:r w:rsidRPr="00961772">
              <w:rPr>
                <w:rFonts w:ascii="Garamond" w:hAnsi="Garamond"/>
                <w:lang w:val="en-AU"/>
              </w:rPr>
              <w:t xml:space="preserve">patients </w:t>
            </w:r>
            <w:r>
              <w:rPr>
                <w:rFonts w:ascii="Garamond" w:hAnsi="Garamond"/>
                <w:lang w:val="en-AU"/>
              </w:rPr>
              <w:t xml:space="preserve">who </w:t>
            </w:r>
            <w:r w:rsidRPr="00961772">
              <w:rPr>
                <w:rFonts w:ascii="Garamond" w:hAnsi="Garamond"/>
                <w:lang w:val="en-AU"/>
              </w:rPr>
              <w:t xml:space="preserve">underwent emergency abdominal surgery </w:t>
            </w:r>
            <w:r>
              <w:rPr>
                <w:rFonts w:ascii="Garamond" w:hAnsi="Garamond"/>
                <w:lang w:val="en-AU"/>
              </w:rPr>
              <w:t>and were assessed as frail</w:t>
            </w:r>
            <w:r w:rsidR="005031EB">
              <w:rPr>
                <w:rFonts w:ascii="Garamond" w:hAnsi="Garamond"/>
                <w:lang w:val="en-AU"/>
              </w:rPr>
              <w:t xml:space="preserve"> and then </w:t>
            </w:r>
            <w:r w:rsidRPr="00961772">
              <w:rPr>
                <w:rFonts w:ascii="Garamond" w:hAnsi="Garamond"/>
                <w:lang w:val="en-AU"/>
              </w:rPr>
              <w:t>assessed 30-day and 6-month all-cause readmission or death.</w:t>
            </w:r>
            <w:r w:rsidR="005031EB">
              <w:rPr>
                <w:rFonts w:ascii="Garamond" w:hAnsi="Garamond"/>
                <w:lang w:val="en-AU"/>
              </w:rPr>
              <w:t xml:space="preserve"> Of the 308 patients, </w:t>
            </w:r>
            <w:r w:rsidRPr="00961772">
              <w:rPr>
                <w:rFonts w:ascii="Garamond" w:hAnsi="Garamond"/>
                <w:lang w:val="en-AU"/>
              </w:rPr>
              <w:t>168 (54.5%) were classified as vulnerable and 68 (22.1%) as frail.</w:t>
            </w:r>
          </w:p>
          <w:p w:rsidR="005031EB" w:rsidRDefault="005031EB" w:rsidP="00961772">
            <w:pPr>
              <w:rPr>
                <w:rFonts w:ascii="Garamond" w:hAnsi="Garamond"/>
                <w:lang w:val="en-AU"/>
              </w:rPr>
            </w:pPr>
            <w:r>
              <w:rPr>
                <w:rFonts w:ascii="Garamond" w:hAnsi="Garamond"/>
                <w:lang w:val="en-AU"/>
              </w:rPr>
              <w:t>The authors report that:</w:t>
            </w:r>
          </w:p>
          <w:p w:rsidR="005031EB" w:rsidRDefault="00961772" w:rsidP="005031EB">
            <w:pPr>
              <w:pStyle w:val="ListParagraph"/>
              <w:numPr>
                <w:ilvl w:val="0"/>
                <w:numId w:val="20"/>
              </w:numPr>
              <w:rPr>
                <w:rFonts w:ascii="Garamond" w:hAnsi="Garamond"/>
                <w:lang w:val="en-AU"/>
              </w:rPr>
            </w:pPr>
            <w:r w:rsidRPr="005031EB">
              <w:rPr>
                <w:rFonts w:ascii="Garamond" w:hAnsi="Garamond"/>
                <w:lang w:val="en-AU"/>
              </w:rPr>
              <w:t>At 30 days after discharge, the proportions of patients who were readmitted or had died were greater among vulnerable patients (n = 27 [16.1%]; adjusted odds ratio [OR] 4.60, 95% confidence interval [CI] 1.29–16.45) and frail patients (n = 12 [17.6%]; adjusted OR 4.51, 95% CI 1.13–17.94) than among patients who were well (n = 3 [4.2%]).</w:t>
            </w:r>
          </w:p>
          <w:p w:rsidR="00961772" w:rsidRPr="005031EB" w:rsidRDefault="00961772" w:rsidP="005031EB">
            <w:pPr>
              <w:pStyle w:val="ListParagraph"/>
              <w:numPr>
                <w:ilvl w:val="0"/>
                <w:numId w:val="20"/>
              </w:numPr>
              <w:rPr>
                <w:rFonts w:ascii="Garamond" w:hAnsi="Garamond"/>
                <w:lang w:val="en-AU"/>
              </w:rPr>
            </w:pPr>
            <w:r w:rsidRPr="005031EB">
              <w:rPr>
                <w:rFonts w:ascii="Garamond" w:hAnsi="Garamond"/>
                <w:lang w:val="en-AU"/>
              </w:rPr>
              <w:t>By 6 months, the degree of frailty independently and dose-dependently predicted readmission or death: 56 (33.3%) of the vulnerable patients (adjusted OR 2.15, 95% CI 1.01–4.55) and 37 (54.4%) of the frail patients (adjusted OR 3.27, 95% CI 1.32–8.12) were readmitted or had died, compared with 11 (15.3%) of the patients who were well.</w:t>
            </w:r>
          </w:p>
          <w:p w:rsidR="00961772" w:rsidRPr="002B0994" w:rsidRDefault="005031EB" w:rsidP="005031EB">
            <w:pPr>
              <w:rPr>
                <w:rFonts w:ascii="Garamond" w:hAnsi="Garamond"/>
                <w:lang w:val="en-AU"/>
              </w:rPr>
            </w:pPr>
            <w:r>
              <w:rPr>
                <w:rFonts w:ascii="Garamond" w:hAnsi="Garamond"/>
                <w:lang w:val="en-AU"/>
              </w:rPr>
              <w:t>The authors thus conclude that</w:t>
            </w:r>
            <w:r w:rsidR="00961772" w:rsidRPr="00961772">
              <w:rPr>
                <w:rFonts w:ascii="Garamond" w:hAnsi="Garamond"/>
                <w:lang w:val="en-AU"/>
              </w:rPr>
              <w:t xml:space="preserve"> </w:t>
            </w:r>
            <w:r>
              <w:rPr>
                <w:rFonts w:ascii="Garamond" w:hAnsi="Garamond"/>
                <w:lang w:val="en-AU"/>
              </w:rPr>
              <w:t>“</w:t>
            </w:r>
            <w:r w:rsidR="00961772" w:rsidRPr="00961772">
              <w:rPr>
                <w:rFonts w:ascii="Garamond" w:hAnsi="Garamond"/>
                <w:lang w:val="en-AU"/>
              </w:rPr>
              <w:t xml:space="preserve">the </w:t>
            </w:r>
            <w:r w:rsidR="00961772" w:rsidRPr="005031EB">
              <w:rPr>
                <w:rFonts w:ascii="Garamond" w:hAnsi="Garamond"/>
                <w:b/>
                <w:lang w:val="en-AU"/>
              </w:rPr>
              <w:t>degree of frailty has important prognostic value for readmission</w:t>
            </w:r>
            <w:r>
              <w:rPr>
                <w:rFonts w:ascii="Garamond" w:hAnsi="Garamond"/>
                <w:lang w:val="en-AU"/>
              </w:rPr>
              <w:t>”</w:t>
            </w:r>
            <w:r w:rsidR="00961772" w:rsidRPr="00961772">
              <w:rPr>
                <w:rFonts w:ascii="Garamond" w:hAnsi="Garamond"/>
                <w:lang w:val="en-AU"/>
              </w:rPr>
              <w:t>.</w:t>
            </w:r>
          </w:p>
        </w:tc>
      </w:tr>
    </w:tbl>
    <w:p w:rsidR="005031EB" w:rsidRPr="00180504" w:rsidRDefault="005031EB" w:rsidP="005031EB">
      <w:pPr>
        <w:keepLines/>
        <w:autoSpaceDE w:val="0"/>
        <w:autoSpaceDN w:val="0"/>
        <w:adjustRightInd w:val="0"/>
        <w:rPr>
          <w:rFonts w:ascii="Garamond" w:hAnsi="Garamond"/>
          <w:i/>
          <w:lang w:val="en-AU"/>
        </w:rPr>
      </w:pPr>
      <w:r w:rsidRPr="00180504">
        <w:rPr>
          <w:rFonts w:ascii="Garamond" w:hAnsi="Garamond"/>
          <w:i/>
          <w:lang w:val="en-AU"/>
        </w:rPr>
        <w:lastRenderedPageBreak/>
        <w:t>Reducing Annual Hospital and Registered Nurse Staff Turnover—A 10-Element Onboarding Program Intervention</w:t>
      </w:r>
    </w:p>
    <w:p w:rsidR="005031EB" w:rsidRDefault="005031EB" w:rsidP="005031EB">
      <w:pPr>
        <w:keepLines/>
        <w:autoSpaceDE w:val="0"/>
        <w:autoSpaceDN w:val="0"/>
        <w:adjustRightInd w:val="0"/>
        <w:rPr>
          <w:rFonts w:ascii="Garamond" w:hAnsi="Garamond"/>
          <w:lang w:val="en-AU"/>
        </w:rPr>
      </w:pPr>
      <w:r w:rsidRPr="00180504">
        <w:rPr>
          <w:rFonts w:ascii="Garamond" w:hAnsi="Garamond"/>
          <w:lang w:val="en-AU"/>
        </w:rPr>
        <w:t xml:space="preserve">Kurnat-Thoma E, </w:t>
      </w:r>
      <w:r>
        <w:rPr>
          <w:rFonts w:ascii="Garamond" w:hAnsi="Garamond"/>
          <w:lang w:val="en-AU"/>
        </w:rPr>
        <w:t>Ganger M, Peterson K, Channell L</w:t>
      </w:r>
    </w:p>
    <w:p w:rsidR="005031EB" w:rsidRPr="007C520B" w:rsidRDefault="005031EB" w:rsidP="005031EB">
      <w:pPr>
        <w:keepLines/>
        <w:autoSpaceDE w:val="0"/>
        <w:autoSpaceDN w:val="0"/>
        <w:adjustRightInd w:val="0"/>
        <w:rPr>
          <w:rFonts w:ascii="Garamond" w:hAnsi="Garamond"/>
          <w:lang w:val="en-AU"/>
        </w:rPr>
      </w:pPr>
      <w:r w:rsidRPr="00180504">
        <w:rPr>
          <w:rFonts w:ascii="Garamond" w:hAnsi="Garamond"/>
          <w:lang w:val="en-AU"/>
        </w:rPr>
        <w:t>SAGE Open Nursing. 2017;3</w:t>
      </w:r>
      <w:r>
        <w:rPr>
          <w:rFonts w:ascii="Garamond" w:hAnsi="Garamond"/>
          <w:lang w:val="en-AU"/>
        </w:rPr>
        <w:t xml:space="preserve"> [epub]</w:t>
      </w:r>
      <w:r w:rsidRPr="0018050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031EB" w:rsidRPr="000170DA" w:rsidTr="00096876">
        <w:tc>
          <w:tcPr>
            <w:tcW w:w="1080" w:type="dxa"/>
            <w:tcBorders>
              <w:top w:val="single" w:sz="4" w:space="0" w:color="auto"/>
              <w:left w:val="single" w:sz="4" w:space="0" w:color="auto"/>
              <w:bottom w:val="single" w:sz="4" w:space="0" w:color="auto"/>
              <w:right w:val="single" w:sz="4" w:space="0" w:color="auto"/>
            </w:tcBorders>
            <w:vAlign w:val="center"/>
          </w:tcPr>
          <w:p w:rsidR="005031EB" w:rsidRPr="000170DA" w:rsidRDefault="005031EB" w:rsidP="0009687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031EB" w:rsidRPr="000170DA" w:rsidRDefault="00C121B9" w:rsidP="00096876">
            <w:pPr>
              <w:rPr>
                <w:rStyle w:val="Hyperlink"/>
                <w:rFonts w:ascii="Garamond" w:hAnsi="Garamond"/>
                <w:color w:val="auto"/>
                <w:u w:val="none"/>
                <w:lang w:val="en-AU"/>
              </w:rPr>
            </w:pPr>
            <w:hyperlink r:id="rId25" w:history="1">
              <w:r w:rsidR="005031EB" w:rsidRPr="00136532">
                <w:rPr>
                  <w:rStyle w:val="Hyperlink"/>
                  <w:rFonts w:ascii="Garamond" w:hAnsi="Garamond"/>
                  <w:lang w:val="en-AU"/>
                </w:rPr>
                <w:t>https://doi.org/10.1177/2377960817697712</w:t>
              </w:r>
            </w:hyperlink>
          </w:p>
        </w:tc>
      </w:tr>
      <w:tr w:rsidR="005031EB" w:rsidRPr="000170DA" w:rsidTr="00096876">
        <w:tc>
          <w:tcPr>
            <w:tcW w:w="1080" w:type="dxa"/>
            <w:tcBorders>
              <w:top w:val="single" w:sz="4" w:space="0" w:color="auto"/>
              <w:left w:val="single" w:sz="4" w:space="0" w:color="auto"/>
              <w:bottom w:val="single" w:sz="4" w:space="0" w:color="auto"/>
              <w:right w:val="single" w:sz="4" w:space="0" w:color="auto"/>
            </w:tcBorders>
            <w:vAlign w:val="center"/>
          </w:tcPr>
          <w:p w:rsidR="005031EB" w:rsidRPr="000170DA" w:rsidRDefault="005031EB" w:rsidP="000968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31EB" w:rsidRPr="002B0994" w:rsidRDefault="005031EB" w:rsidP="00096876">
            <w:pPr>
              <w:rPr>
                <w:rFonts w:ascii="Garamond" w:hAnsi="Garamond"/>
                <w:lang w:val="en-AU"/>
              </w:rPr>
            </w:pPr>
            <w:r>
              <w:rPr>
                <w:rFonts w:ascii="Garamond" w:hAnsi="Garamond"/>
                <w:lang w:val="en-AU"/>
              </w:rPr>
              <w:t>Paper drawing on the experiences of a US hospital that developed an intervention that reduced the hospital’s “severe turnover of hospital and nursing staff”. Turnover and lack of continuity can have safety and quality implications. From exit surveys it was found that the majority of departing staff the orientation/induction process was inadequate. In response, “</w:t>
            </w:r>
            <w:r w:rsidRPr="00180504">
              <w:rPr>
                <w:rFonts w:ascii="Garamond" w:hAnsi="Garamond"/>
                <w:lang w:val="en-AU"/>
              </w:rPr>
              <w:t>a 10-element program intervention was designed to strengthen and standardize the new employee onboarding process. Program elements focused heavily on retooled onboarding communications, including frequent new-hire interactions with managers and regular support from assigned high-performing colleagues.</w:t>
            </w:r>
            <w:r>
              <w:rPr>
                <w:rFonts w:ascii="Garamond" w:hAnsi="Garamond"/>
                <w:lang w:val="en-AU"/>
              </w:rPr>
              <w:t xml:space="preserve">” This program saw </w:t>
            </w:r>
            <w:r w:rsidRPr="00180504">
              <w:rPr>
                <w:rFonts w:ascii="Garamond" w:hAnsi="Garamond"/>
                <w:lang w:val="en-AU"/>
              </w:rPr>
              <w:t>overall annual hospital turnover decrease from 18.2% to 11.9% and new-hire turnover losses decreased from 39.1% to 18.4%</w:t>
            </w:r>
            <w:r>
              <w:rPr>
                <w:rFonts w:ascii="Garamond" w:hAnsi="Garamond"/>
                <w:lang w:val="en-AU"/>
              </w:rPr>
              <w:t>.</w:t>
            </w:r>
          </w:p>
        </w:tc>
      </w:tr>
    </w:tbl>
    <w:p w:rsidR="005031EB" w:rsidRDefault="005031EB" w:rsidP="005031EB">
      <w:pPr>
        <w:keepLines/>
        <w:autoSpaceDE w:val="0"/>
        <w:autoSpaceDN w:val="0"/>
        <w:adjustRightInd w:val="0"/>
        <w:rPr>
          <w:rFonts w:ascii="Garamond" w:hAnsi="Garamond"/>
          <w:lang w:val="en-AU"/>
        </w:rPr>
      </w:pPr>
    </w:p>
    <w:p w:rsidR="00433297" w:rsidRPr="00DF48DC" w:rsidRDefault="00433297" w:rsidP="00433297">
      <w:pPr>
        <w:keepNext/>
        <w:keepLines/>
        <w:autoSpaceDE w:val="0"/>
        <w:autoSpaceDN w:val="0"/>
        <w:adjustRightInd w:val="0"/>
        <w:rPr>
          <w:rFonts w:ascii="Garamond" w:hAnsi="Garamond"/>
          <w:i/>
          <w:lang w:val="en-AU"/>
        </w:rPr>
      </w:pPr>
      <w:r w:rsidRPr="00DF48DC">
        <w:rPr>
          <w:rFonts w:ascii="Garamond" w:hAnsi="Garamond"/>
          <w:i/>
          <w:lang w:val="en-AU"/>
        </w:rPr>
        <w:t>BMJ Quality &amp; Safety</w:t>
      </w:r>
    </w:p>
    <w:p w:rsidR="00433297" w:rsidRPr="00D9161E" w:rsidRDefault="00433297" w:rsidP="00433297">
      <w:pPr>
        <w:keepNext/>
        <w:keepLines/>
        <w:autoSpaceDE w:val="0"/>
        <w:autoSpaceDN w:val="0"/>
        <w:adjustRightInd w:val="0"/>
        <w:rPr>
          <w:rFonts w:ascii="Garamond" w:hAnsi="Garamond"/>
          <w:lang w:val="en-AU"/>
        </w:rPr>
      </w:pPr>
      <w:r>
        <w:rPr>
          <w:rFonts w:ascii="Garamond" w:hAnsi="Garamond"/>
          <w:lang w:val="en-AU"/>
        </w:rPr>
        <w:t>March 2018 – Volume 27 – 3</w:t>
      </w:r>
    </w:p>
    <w:tbl>
      <w:tblPr>
        <w:tblStyle w:val="TableGrid"/>
        <w:tblW w:w="0" w:type="auto"/>
        <w:tblInd w:w="288" w:type="dxa"/>
        <w:tblLayout w:type="fixed"/>
        <w:tblLook w:val="01E0" w:firstRow="1" w:lastRow="1" w:firstColumn="1" w:lastColumn="1" w:noHBand="0" w:noVBand="0"/>
      </w:tblPr>
      <w:tblGrid>
        <w:gridCol w:w="1080"/>
        <w:gridCol w:w="8280"/>
      </w:tblGrid>
      <w:tr w:rsidR="00433297" w:rsidRPr="00D9161E" w:rsidTr="002B3443">
        <w:tc>
          <w:tcPr>
            <w:tcW w:w="1080" w:type="dxa"/>
            <w:tcBorders>
              <w:top w:val="single" w:sz="4" w:space="0" w:color="auto"/>
              <w:left w:val="single" w:sz="4" w:space="0" w:color="auto"/>
              <w:bottom w:val="single" w:sz="4" w:space="0" w:color="auto"/>
              <w:right w:val="single" w:sz="4" w:space="0" w:color="auto"/>
            </w:tcBorders>
            <w:vAlign w:val="center"/>
          </w:tcPr>
          <w:p w:rsidR="00433297" w:rsidRPr="00D9161E" w:rsidRDefault="00433297" w:rsidP="002B3443">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5104D" w:rsidRPr="00D9161E" w:rsidRDefault="00C121B9" w:rsidP="0025104D">
            <w:pPr>
              <w:rPr>
                <w:rStyle w:val="Hyperlink"/>
                <w:rFonts w:ascii="Garamond" w:hAnsi="Garamond"/>
                <w:color w:val="auto"/>
                <w:u w:val="none"/>
                <w:lang w:val="en-AU"/>
              </w:rPr>
            </w:pPr>
            <w:hyperlink r:id="rId26" w:history="1">
              <w:r w:rsidR="00433297" w:rsidRPr="00967045">
                <w:rPr>
                  <w:rStyle w:val="Hyperlink"/>
                  <w:rFonts w:ascii="Garamond" w:hAnsi="Garamond"/>
                  <w:lang w:val="en-AU"/>
                </w:rPr>
                <w:t>https://qualitysafety.bmj.com/content/27/3</w:t>
              </w:r>
            </w:hyperlink>
          </w:p>
        </w:tc>
      </w:tr>
      <w:tr w:rsidR="00433297" w:rsidRPr="00D9161E" w:rsidTr="002B3443">
        <w:tc>
          <w:tcPr>
            <w:tcW w:w="1080" w:type="dxa"/>
            <w:tcBorders>
              <w:top w:val="single" w:sz="4" w:space="0" w:color="auto"/>
              <w:left w:val="single" w:sz="4" w:space="0" w:color="auto"/>
              <w:bottom w:val="single" w:sz="4" w:space="0" w:color="auto"/>
              <w:right w:val="single" w:sz="4" w:space="0" w:color="auto"/>
            </w:tcBorders>
            <w:vAlign w:val="center"/>
          </w:tcPr>
          <w:p w:rsidR="00433297" w:rsidRPr="00D9161E" w:rsidRDefault="00433297" w:rsidP="002B3443">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33297" w:rsidRPr="00160029" w:rsidRDefault="00433297" w:rsidP="002B3443">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25104D" w:rsidRPr="0025104D" w:rsidRDefault="00433297" w:rsidP="003F6BE6">
            <w:pPr>
              <w:numPr>
                <w:ilvl w:val="0"/>
                <w:numId w:val="15"/>
              </w:numPr>
              <w:rPr>
                <w:rFonts w:ascii="Garamond" w:hAnsi="Garamond"/>
                <w:lang w:val="en-AU"/>
              </w:rPr>
            </w:pPr>
            <w:r w:rsidRPr="0025104D">
              <w:rPr>
                <w:rFonts w:ascii="Garamond" w:hAnsi="Garamond"/>
                <w:lang w:val="en-AU"/>
              </w:rPr>
              <w:t xml:space="preserve">Editorial: </w:t>
            </w:r>
            <w:r w:rsidR="0025104D" w:rsidRPr="0025104D">
              <w:rPr>
                <w:rFonts w:ascii="Garamond" w:hAnsi="Garamond"/>
                <w:lang w:val="en-AU"/>
              </w:rPr>
              <w:t xml:space="preserve">Addressing the multisectoral impact of </w:t>
            </w:r>
            <w:r w:rsidR="0025104D" w:rsidRPr="0025104D">
              <w:rPr>
                <w:rFonts w:ascii="Garamond" w:hAnsi="Garamond"/>
                <w:b/>
                <w:lang w:val="en-AU"/>
              </w:rPr>
              <w:t>pressure injuries</w:t>
            </w:r>
            <w:r w:rsidR="0025104D" w:rsidRPr="0025104D">
              <w:rPr>
                <w:rFonts w:ascii="Garamond" w:hAnsi="Garamond"/>
                <w:lang w:val="en-AU"/>
              </w:rPr>
              <w:t xml:space="preserve"> in the USA, UK and abroad (William V Padula, Peter J Pronovost</w:t>
            </w:r>
            <w:r w:rsidR="0025104D">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Editorial: </w:t>
            </w:r>
            <w:r w:rsidRPr="0025104D">
              <w:rPr>
                <w:rFonts w:ascii="Garamond" w:hAnsi="Garamond"/>
                <w:b/>
                <w:lang w:val="en-AU"/>
              </w:rPr>
              <w:t>Postmarket medical device safety</w:t>
            </w:r>
            <w:r w:rsidRPr="0025104D">
              <w:rPr>
                <w:rFonts w:ascii="Garamond" w:hAnsi="Garamond"/>
                <w:lang w:val="en-AU"/>
              </w:rPr>
              <w:t>: moving beyond voluntary reporting (Frederic S Resnic, Arjun Majithia</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Editorial: Interactions: understanding people and process in </w:t>
            </w:r>
            <w:r w:rsidRPr="0025104D">
              <w:rPr>
                <w:rFonts w:ascii="Garamond" w:hAnsi="Garamond"/>
                <w:b/>
                <w:lang w:val="en-AU"/>
              </w:rPr>
              <w:t>prescribing in primary care</w:t>
            </w:r>
            <w:r w:rsidRPr="0025104D">
              <w:rPr>
                <w:rFonts w:ascii="Garamond" w:hAnsi="Garamond"/>
                <w:lang w:val="en-AU"/>
              </w:rPr>
              <w:t xml:space="preserve"> (Carol Sinnott</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Editorial: </w:t>
            </w:r>
            <w:r w:rsidRPr="0025104D">
              <w:rPr>
                <w:rFonts w:ascii="Garamond" w:hAnsi="Garamond"/>
                <w:b/>
                <w:lang w:val="en-AU"/>
              </w:rPr>
              <w:t>Hospital culture and clinical performance</w:t>
            </w:r>
            <w:r w:rsidRPr="0025104D">
              <w:rPr>
                <w:rFonts w:ascii="Garamond" w:hAnsi="Garamond"/>
                <w:lang w:val="en-AU"/>
              </w:rPr>
              <w:t>: where next? (Russell Mannion, Judith Smith</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Consistency of </w:t>
            </w:r>
            <w:r w:rsidRPr="0025104D">
              <w:rPr>
                <w:rFonts w:ascii="Garamond" w:hAnsi="Garamond"/>
                <w:b/>
                <w:lang w:val="en-AU"/>
              </w:rPr>
              <w:t>pressure injury documentation</w:t>
            </w:r>
            <w:r w:rsidRPr="0025104D">
              <w:rPr>
                <w:rFonts w:ascii="Garamond" w:hAnsi="Garamond"/>
                <w:lang w:val="en-AU"/>
              </w:rPr>
              <w:t xml:space="preserve"> across interfacility transfers (Lee Squitieri, David A Ganz, Carol M Mangione, Jack Needleman, Patrick S Romano, Debra Saliba, Clifford Y Ko, Daniel A Waxman</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Factors influencing the </w:t>
            </w:r>
            <w:r w:rsidRPr="0025104D">
              <w:rPr>
                <w:rFonts w:ascii="Garamond" w:hAnsi="Garamond"/>
                <w:b/>
                <w:lang w:val="en-AU"/>
              </w:rPr>
              <w:t>reporting of adverse medical device events</w:t>
            </w:r>
            <w:r w:rsidRPr="0025104D">
              <w:rPr>
                <w:rFonts w:ascii="Garamond" w:hAnsi="Garamond"/>
                <w:lang w:val="en-AU"/>
              </w:rPr>
              <w:t>: qualitative interviews with physicians about higher risk implantable devices (Anna R Gagliardi, Ariel Ducey, Pascale Lehoux, Thomas Turgeon, Sue Ross, Patricia Trbovich, Anthony Easty, Chaim Bell, David Urbach</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Efficiency and thoroughness trade-offs in high-volume organisational routines: an ethnographic study of </w:t>
            </w:r>
            <w:r w:rsidRPr="0025104D">
              <w:rPr>
                <w:rFonts w:ascii="Garamond" w:hAnsi="Garamond"/>
                <w:b/>
                <w:lang w:val="en-AU"/>
              </w:rPr>
              <w:t>prescribing safety in primary care</w:t>
            </w:r>
            <w:r w:rsidRPr="0025104D">
              <w:rPr>
                <w:rFonts w:ascii="Garamond" w:hAnsi="Garamond"/>
                <w:lang w:val="en-AU"/>
              </w:rPr>
              <w:t xml:space="preserve"> (Suzanne Grant, Bruce Guthrie</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Influencing organisational culture to improve </w:t>
            </w:r>
            <w:r w:rsidRPr="0025104D">
              <w:rPr>
                <w:rFonts w:ascii="Garamond" w:hAnsi="Garamond"/>
                <w:b/>
                <w:lang w:val="en-AU"/>
              </w:rPr>
              <w:t>hospital performance</w:t>
            </w:r>
            <w:r w:rsidRPr="0025104D">
              <w:rPr>
                <w:rFonts w:ascii="Garamond" w:hAnsi="Garamond"/>
                <w:lang w:val="en-AU"/>
              </w:rPr>
              <w:t xml:space="preserve"> in care of patients with </w:t>
            </w:r>
            <w:r w:rsidRPr="0025104D">
              <w:rPr>
                <w:rFonts w:ascii="Garamond" w:hAnsi="Garamond"/>
                <w:b/>
                <w:lang w:val="en-AU"/>
              </w:rPr>
              <w:t>acute myocardial infarction</w:t>
            </w:r>
            <w:r w:rsidRPr="0025104D">
              <w:rPr>
                <w:rFonts w:ascii="Garamond" w:hAnsi="Garamond"/>
                <w:lang w:val="en-AU"/>
              </w:rPr>
              <w:t>: a mixed-methods intervention study (Leslie A Curry, Marie A Brault, Erika L Linnander, Zahirah McNatt, Amanda L Brewster, Emily Cherlin, Signe Peterson Flieger, Henry H Ting, Elizabeth H Bradley</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How guiding coalitions promote </w:t>
            </w:r>
            <w:r w:rsidRPr="0025104D">
              <w:rPr>
                <w:rFonts w:ascii="Garamond" w:hAnsi="Garamond"/>
                <w:b/>
                <w:lang w:val="en-AU"/>
              </w:rPr>
              <w:t>positive culture change in hospitals</w:t>
            </w:r>
            <w:r w:rsidRPr="0025104D">
              <w:rPr>
                <w:rFonts w:ascii="Garamond" w:hAnsi="Garamond"/>
                <w:lang w:val="en-AU"/>
              </w:rPr>
              <w:t>: a longitudinal mixed methods interventional study (Elizabeth H Bradley, Amanda L Brewster, Zahirah McNatt, Erika L Linnander, Emily Cherlin, Heather Fosburgh, Henry H Ting, Leslie A Curry</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t xml:space="preserve">Are </w:t>
            </w:r>
            <w:r w:rsidRPr="0025104D">
              <w:rPr>
                <w:rFonts w:ascii="Garamond" w:hAnsi="Garamond"/>
                <w:b/>
                <w:lang w:val="en-AU"/>
              </w:rPr>
              <w:t>quality improvement collaboratives</w:t>
            </w:r>
            <w:r w:rsidRPr="0025104D">
              <w:rPr>
                <w:rFonts w:ascii="Garamond" w:hAnsi="Garamond"/>
                <w:lang w:val="en-AU"/>
              </w:rPr>
              <w:t xml:space="preserve"> effective? A systematic review (Susan Wells, Orly Tamir, Jonathon Gray, D Naidoo, M Bekhit, D Goldmann</w:t>
            </w:r>
            <w:r>
              <w:rPr>
                <w:rFonts w:ascii="Garamond" w:hAnsi="Garamond"/>
                <w:lang w:val="en-AU"/>
              </w:rPr>
              <w:t>)</w:t>
            </w:r>
          </w:p>
          <w:p w:rsidR="0025104D" w:rsidRPr="0025104D" w:rsidRDefault="0025104D" w:rsidP="003F6BE6">
            <w:pPr>
              <w:numPr>
                <w:ilvl w:val="0"/>
                <w:numId w:val="15"/>
              </w:numPr>
              <w:rPr>
                <w:rFonts w:ascii="Garamond" w:hAnsi="Garamond"/>
                <w:lang w:val="en-AU"/>
              </w:rPr>
            </w:pPr>
            <w:r w:rsidRPr="0025104D">
              <w:rPr>
                <w:rFonts w:ascii="Garamond" w:hAnsi="Garamond"/>
                <w:lang w:val="en-AU"/>
              </w:rPr>
              <w:lastRenderedPageBreak/>
              <w:t xml:space="preserve">An electronic trigger based on care escalation to </w:t>
            </w:r>
            <w:r w:rsidRPr="0025104D">
              <w:rPr>
                <w:rFonts w:ascii="Garamond" w:hAnsi="Garamond"/>
                <w:b/>
                <w:lang w:val="en-AU"/>
              </w:rPr>
              <w:t>identify preventable adverse events</w:t>
            </w:r>
            <w:r w:rsidRPr="0025104D">
              <w:rPr>
                <w:rFonts w:ascii="Garamond" w:hAnsi="Garamond"/>
                <w:lang w:val="en-AU"/>
              </w:rPr>
              <w:t xml:space="preserve"> in hospitalised patients (Viraj Bhise, Dean F Sittig, Viralkumar Vaghani, Li Wei, Jessica Baldwin, Hardeep Singh</w:t>
            </w:r>
            <w:r>
              <w:rPr>
                <w:rFonts w:ascii="Garamond" w:hAnsi="Garamond"/>
                <w:lang w:val="en-AU"/>
              </w:rPr>
              <w:t>)</w:t>
            </w:r>
          </w:p>
          <w:p w:rsidR="00433297" w:rsidRPr="00DF48DC" w:rsidRDefault="0025104D" w:rsidP="003F6BE6">
            <w:pPr>
              <w:numPr>
                <w:ilvl w:val="0"/>
                <w:numId w:val="15"/>
              </w:numPr>
              <w:rPr>
                <w:rFonts w:ascii="Garamond" w:hAnsi="Garamond"/>
                <w:lang w:val="en-AU"/>
              </w:rPr>
            </w:pPr>
            <w:r w:rsidRPr="0025104D">
              <w:rPr>
                <w:rFonts w:ascii="Garamond" w:hAnsi="Garamond"/>
                <w:lang w:val="en-AU"/>
              </w:rPr>
              <w:t xml:space="preserve">Quality of provider-offered </w:t>
            </w:r>
            <w:r w:rsidRPr="0025104D">
              <w:rPr>
                <w:rFonts w:ascii="Garamond" w:hAnsi="Garamond"/>
                <w:b/>
                <w:lang w:val="en-AU"/>
              </w:rPr>
              <w:t>Medicare Advantage plans</w:t>
            </w:r>
            <w:r w:rsidRPr="0025104D">
              <w:rPr>
                <w:rFonts w:ascii="Garamond" w:hAnsi="Garamond"/>
                <w:lang w:val="en-AU"/>
              </w:rPr>
              <w:t xml:space="preserve"> (Zoe M Lyon, Yevgeniy Feyman, Garret M Johnson, Austin B Frakt</w:t>
            </w:r>
            <w:r>
              <w:rPr>
                <w:rFonts w:ascii="Garamond" w:hAnsi="Garamond"/>
                <w:lang w:val="en-AU"/>
              </w:rPr>
              <w:t>)</w:t>
            </w:r>
          </w:p>
        </w:tc>
      </w:tr>
    </w:tbl>
    <w:p w:rsidR="00433297" w:rsidRDefault="00433297" w:rsidP="00486448">
      <w:pPr>
        <w:keepLines/>
        <w:autoSpaceDE w:val="0"/>
        <w:autoSpaceDN w:val="0"/>
        <w:adjustRightInd w:val="0"/>
        <w:rPr>
          <w:rFonts w:ascii="Garamond" w:hAnsi="Garamond"/>
          <w:lang w:val="en-AU"/>
        </w:rPr>
      </w:pPr>
    </w:p>
    <w:p w:rsidR="00586A48" w:rsidRDefault="00586A48" w:rsidP="00586A48">
      <w:pPr>
        <w:keepLines/>
        <w:autoSpaceDE w:val="0"/>
        <w:autoSpaceDN w:val="0"/>
        <w:adjustRightInd w:val="0"/>
        <w:rPr>
          <w:rFonts w:ascii="Garamond" w:hAnsi="Garamond"/>
          <w:i/>
          <w:lang w:val="en-AU"/>
        </w:rPr>
      </w:pPr>
      <w:r w:rsidRPr="000170DA">
        <w:rPr>
          <w:rFonts w:ascii="Garamond" w:hAnsi="Garamond"/>
          <w:i/>
          <w:lang w:val="en-AU"/>
        </w:rPr>
        <w:t>International Journal for Quality in Health Care</w:t>
      </w:r>
    </w:p>
    <w:p w:rsidR="00586A48" w:rsidRPr="00FA2ED3" w:rsidRDefault="00586A48" w:rsidP="00586A48">
      <w:pPr>
        <w:keepLines/>
        <w:autoSpaceDE w:val="0"/>
        <w:autoSpaceDN w:val="0"/>
        <w:adjustRightInd w:val="0"/>
        <w:rPr>
          <w:rFonts w:ascii="Garamond" w:hAnsi="Garamond"/>
          <w:lang w:val="en-AU"/>
        </w:rPr>
      </w:pPr>
      <w:r>
        <w:rPr>
          <w:rFonts w:ascii="Garamond" w:hAnsi="Garamond"/>
          <w:lang w:val="en-AU"/>
        </w:rPr>
        <w:t xml:space="preserve">Volume 30 Issue 1, </w:t>
      </w:r>
      <w:r w:rsidRPr="00586A48">
        <w:rPr>
          <w:rFonts w:ascii="Garamond" w:hAnsi="Garamond"/>
          <w:lang w:val="en-AU"/>
        </w:rPr>
        <w:t>February 2018</w:t>
      </w:r>
    </w:p>
    <w:tbl>
      <w:tblPr>
        <w:tblStyle w:val="TableGrid"/>
        <w:tblW w:w="0" w:type="auto"/>
        <w:tblInd w:w="288" w:type="dxa"/>
        <w:tblLayout w:type="fixed"/>
        <w:tblLook w:val="01E0" w:firstRow="1" w:lastRow="1" w:firstColumn="1" w:lastColumn="1" w:noHBand="0" w:noVBand="0"/>
      </w:tblPr>
      <w:tblGrid>
        <w:gridCol w:w="1080"/>
        <w:gridCol w:w="8280"/>
      </w:tblGrid>
      <w:tr w:rsidR="00586A48" w:rsidRPr="0063083A" w:rsidTr="00713BDD">
        <w:tc>
          <w:tcPr>
            <w:tcW w:w="1080" w:type="dxa"/>
            <w:tcBorders>
              <w:top w:val="single" w:sz="4" w:space="0" w:color="auto"/>
              <w:left w:val="single" w:sz="4" w:space="0" w:color="auto"/>
              <w:bottom w:val="single" w:sz="4" w:space="0" w:color="auto"/>
              <w:right w:val="single" w:sz="4" w:space="0" w:color="auto"/>
            </w:tcBorders>
            <w:vAlign w:val="center"/>
          </w:tcPr>
          <w:p w:rsidR="00586A48" w:rsidRPr="0063083A" w:rsidRDefault="00586A48" w:rsidP="00713BDD">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6A48" w:rsidRPr="0063083A" w:rsidRDefault="00C121B9" w:rsidP="00586A48">
            <w:pPr>
              <w:rPr>
                <w:rStyle w:val="Hyperlink"/>
                <w:rFonts w:ascii="Garamond" w:hAnsi="Garamond"/>
                <w:color w:val="auto"/>
                <w:u w:val="none"/>
                <w:lang w:val="en-AU"/>
              </w:rPr>
            </w:pPr>
            <w:hyperlink r:id="rId27" w:history="1">
              <w:r w:rsidR="00586A48" w:rsidRPr="0004520E">
                <w:rPr>
                  <w:rStyle w:val="Hyperlink"/>
                  <w:rFonts w:ascii="Garamond" w:hAnsi="Garamond"/>
                  <w:lang w:val="en-AU"/>
                </w:rPr>
                <w:t>https://academic.oup.com/intqhc/issue/30/1</w:t>
              </w:r>
            </w:hyperlink>
          </w:p>
        </w:tc>
      </w:tr>
      <w:tr w:rsidR="00586A48" w:rsidRPr="0063083A" w:rsidTr="00713BDD">
        <w:tc>
          <w:tcPr>
            <w:tcW w:w="1080" w:type="dxa"/>
            <w:tcBorders>
              <w:top w:val="single" w:sz="4" w:space="0" w:color="auto"/>
              <w:left w:val="single" w:sz="4" w:space="0" w:color="auto"/>
              <w:bottom w:val="single" w:sz="4" w:space="0" w:color="auto"/>
              <w:right w:val="single" w:sz="4" w:space="0" w:color="auto"/>
            </w:tcBorders>
            <w:vAlign w:val="center"/>
          </w:tcPr>
          <w:p w:rsidR="00586A48" w:rsidRPr="0063083A" w:rsidRDefault="00586A48" w:rsidP="00713BDD">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6A48" w:rsidRPr="009D2E31" w:rsidRDefault="00586A48" w:rsidP="00713BDD">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586A48" w:rsidRPr="00586A48" w:rsidRDefault="00586A48" w:rsidP="003F6BE6">
            <w:pPr>
              <w:pStyle w:val="ListParagraph"/>
              <w:numPr>
                <w:ilvl w:val="0"/>
                <w:numId w:val="16"/>
              </w:numPr>
              <w:rPr>
                <w:rFonts w:ascii="Garamond" w:hAnsi="Garamond"/>
                <w:lang w:val="en-AU"/>
              </w:rPr>
            </w:pPr>
            <w:r w:rsidRPr="00586A48">
              <w:rPr>
                <w:rFonts w:ascii="Garamond" w:hAnsi="Garamond"/>
                <w:lang w:val="en-AU"/>
              </w:rPr>
              <w:t xml:space="preserve">Editorial: Healthcare improvement measures in </w:t>
            </w:r>
            <w:r w:rsidRPr="00586A48">
              <w:rPr>
                <w:rFonts w:ascii="Garamond" w:hAnsi="Garamond"/>
                <w:b/>
                <w:lang w:val="en-AU"/>
              </w:rPr>
              <w:t xml:space="preserve">risk management </w:t>
            </w:r>
            <w:r w:rsidRPr="00586A48">
              <w:rPr>
                <w:rFonts w:ascii="Garamond" w:hAnsi="Garamond"/>
                <w:lang w:val="en-AU"/>
              </w:rPr>
              <w:t>and</w:t>
            </w:r>
            <w:r w:rsidRPr="00586A48">
              <w:rPr>
                <w:rFonts w:ascii="Garamond" w:hAnsi="Garamond"/>
                <w:b/>
                <w:lang w:val="en-AU"/>
              </w:rPr>
              <w:t xml:space="preserve"> patient satisfaction</w:t>
            </w:r>
            <w:r w:rsidRPr="00586A48">
              <w:rPr>
                <w:rFonts w:ascii="Garamond" w:hAnsi="Garamond"/>
                <w:lang w:val="en-AU"/>
              </w:rPr>
              <w:t xml:space="preserve"> (Chih-Wei Huang; Usman Iqbal; Yu-Chuan (Jack) Li</w:t>
            </w:r>
            <w:r>
              <w:rPr>
                <w:rFonts w:ascii="Garamond" w:hAnsi="Garamond"/>
                <w:lang w:val="en-AU"/>
              </w:rPr>
              <w:t>)</w:t>
            </w:r>
          </w:p>
          <w:p w:rsidR="00586A48" w:rsidRDefault="00586A48" w:rsidP="003F6BE6">
            <w:pPr>
              <w:pStyle w:val="ListParagraph"/>
              <w:numPr>
                <w:ilvl w:val="0"/>
                <w:numId w:val="16"/>
              </w:numPr>
              <w:rPr>
                <w:rFonts w:ascii="Garamond" w:hAnsi="Garamond"/>
                <w:lang w:val="en-AU"/>
              </w:rPr>
            </w:pPr>
            <w:r w:rsidRPr="00586A48">
              <w:rPr>
                <w:rFonts w:ascii="Garamond" w:hAnsi="Garamond"/>
                <w:lang w:val="en-AU"/>
              </w:rPr>
              <w:t xml:space="preserve">Patient perspectives on how physicians communicate </w:t>
            </w:r>
            <w:r w:rsidRPr="00586A48">
              <w:rPr>
                <w:rFonts w:ascii="Garamond" w:hAnsi="Garamond"/>
                <w:b/>
                <w:lang w:val="en-AU"/>
              </w:rPr>
              <w:t>diagnostic uncertainty</w:t>
            </w:r>
            <w:r w:rsidRPr="00586A48">
              <w:rPr>
                <w:rFonts w:ascii="Garamond" w:hAnsi="Garamond"/>
                <w:lang w:val="en-AU"/>
              </w:rPr>
              <w:t>: An experimental vignette study (Viraj Bhise; Ashley N D Meyer; Shailaja Menon ; Geeta Singhal; Richard L Street</w:t>
            </w:r>
            <w:r>
              <w:rPr>
                <w:rFonts w:ascii="Garamond" w:hAnsi="Garamond"/>
                <w:lang w:val="en-AU"/>
              </w:rPr>
              <w:t xml:space="preserve">; </w:t>
            </w:r>
            <w:r w:rsidRPr="00586A48">
              <w:rPr>
                <w:rFonts w:ascii="Garamond" w:hAnsi="Garamond"/>
                <w:lang w:val="en-AU"/>
              </w:rPr>
              <w:t>Traber D Giardina</w:t>
            </w:r>
            <w:r>
              <w:rPr>
                <w:rFonts w:ascii="Garamond" w:hAnsi="Garamond"/>
                <w:lang w:val="en-AU"/>
              </w:rPr>
              <w:t>;</w:t>
            </w:r>
            <w:r w:rsidRPr="00586A48">
              <w:rPr>
                <w:rFonts w:ascii="Garamond" w:hAnsi="Garamond"/>
                <w:lang w:val="en-AU"/>
              </w:rPr>
              <w:t xml:space="preserve"> Hardeep Singh</w:t>
            </w:r>
            <w:r>
              <w:rPr>
                <w:rFonts w:ascii="Garamond" w:hAnsi="Garamond"/>
                <w:lang w:val="en-AU"/>
              </w:rPr>
              <w:t>)</w:t>
            </w:r>
          </w:p>
          <w:p w:rsidR="00586A48" w:rsidRPr="00586A48" w:rsidRDefault="00586A48" w:rsidP="003F6BE6">
            <w:pPr>
              <w:pStyle w:val="ListParagraph"/>
              <w:numPr>
                <w:ilvl w:val="0"/>
                <w:numId w:val="16"/>
              </w:numPr>
              <w:rPr>
                <w:rFonts w:ascii="Garamond" w:hAnsi="Garamond"/>
                <w:lang w:val="en-AU"/>
              </w:rPr>
            </w:pPr>
            <w:r w:rsidRPr="00586A48">
              <w:rPr>
                <w:rFonts w:ascii="Garamond" w:hAnsi="Garamond"/>
                <w:lang w:val="en-AU"/>
              </w:rPr>
              <w:t xml:space="preserve">Can you recommend me a good GP? Describing social differences in </w:t>
            </w:r>
            <w:r w:rsidRPr="00586A48">
              <w:rPr>
                <w:rFonts w:ascii="Garamond" w:hAnsi="Garamond"/>
                <w:b/>
                <w:lang w:val="en-AU"/>
              </w:rPr>
              <w:t>patient satisfaction</w:t>
            </w:r>
            <w:r w:rsidRPr="00586A48">
              <w:rPr>
                <w:rFonts w:ascii="Garamond" w:hAnsi="Garamond"/>
                <w:lang w:val="en-AU"/>
              </w:rPr>
              <w:t xml:space="preserve"> within 31 countries (Jens Detollenaere; Lise Hanssens; Willemijn Schäfer; Sara Willems</w:t>
            </w:r>
            <w:r>
              <w:rPr>
                <w:rFonts w:ascii="Garamond" w:hAnsi="Garamond"/>
                <w:lang w:val="en-AU"/>
              </w:rPr>
              <w:t>)</w:t>
            </w:r>
          </w:p>
          <w:p w:rsidR="00647F40" w:rsidRDefault="00586A48" w:rsidP="003F6BE6">
            <w:pPr>
              <w:pStyle w:val="ListParagraph"/>
              <w:numPr>
                <w:ilvl w:val="0"/>
                <w:numId w:val="16"/>
              </w:numPr>
              <w:rPr>
                <w:rFonts w:ascii="Garamond" w:hAnsi="Garamond"/>
                <w:lang w:val="en-AU"/>
              </w:rPr>
            </w:pPr>
            <w:r w:rsidRPr="00586A48">
              <w:rPr>
                <w:rFonts w:ascii="Garamond" w:hAnsi="Garamond"/>
                <w:lang w:val="en-AU"/>
              </w:rPr>
              <w:t xml:space="preserve">Healthcare providers’ perceptions of a situational awareness display for </w:t>
            </w:r>
            <w:r w:rsidRPr="00586A48">
              <w:rPr>
                <w:rFonts w:ascii="Garamond" w:hAnsi="Garamond"/>
                <w:b/>
                <w:lang w:val="en-AU"/>
              </w:rPr>
              <w:t>emergency department resuscitation</w:t>
            </w:r>
            <w:r w:rsidRPr="00586A48">
              <w:rPr>
                <w:rFonts w:ascii="Garamond" w:hAnsi="Garamond"/>
                <w:lang w:val="en-AU"/>
              </w:rPr>
              <w:t>: a simulation qualitative study (Lisa A Calder ; Abhi Bhandari; George Mastoras; Kathleen Day; Kathryn Momtahan</w:t>
            </w:r>
            <w:r w:rsidR="00647F40">
              <w:rPr>
                <w:rFonts w:ascii="Garamond" w:hAnsi="Garamond"/>
                <w:lang w:val="en-AU"/>
              </w:rPr>
              <w:t xml:space="preserve">; </w:t>
            </w:r>
            <w:r w:rsidR="00647F40" w:rsidRPr="00647F40">
              <w:rPr>
                <w:rFonts w:ascii="Garamond" w:hAnsi="Garamond"/>
                <w:lang w:val="en-AU"/>
              </w:rPr>
              <w:t>Matthew Falconer</w:t>
            </w:r>
            <w:r w:rsidR="00647F40">
              <w:rPr>
                <w:rFonts w:ascii="Garamond" w:hAnsi="Garamond"/>
                <w:lang w:val="en-AU"/>
              </w:rPr>
              <w:t>;</w:t>
            </w:r>
            <w:r w:rsidR="00647F40" w:rsidRPr="00647F40">
              <w:rPr>
                <w:rFonts w:ascii="Garamond" w:hAnsi="Garamond"/>
                <w:lang w:val="en-AU"/>
              </w:rPr>
              <w:t xml:space="preserve"> Brian Weitzman</w:t>
            </w:r>
            <w:r w:rsidR="00647F40">
              <w:rPr>
                <w:rFonts w:ascii="Garamond" w:hAnsi="Garamond"/>
                <w:lang w:val="en-AU"/>
              </w:rPr>
              <w:t xml:space="preserve">; </w:t>
            </w:r>
            <w:r w:rsidR="00647F40" w:rsidRPr="00647F40">
              <w:rPr>
                <w:rFonts w:ascii="Garamond" w:hAnsi="Garamond"/>
                <w:lang w:val="en-AU"/>
              </w:rPr>
              <w:t>Benjamin Sohmer</w:t>
            </w:r>
            <w:r w:rsidR="00647F40">
              <w:rPr>
                <w:rFonts w:ascii="Garamond" w:hAnsi="Garamond"/>
                <w:lang w:val="en-AU"/>
              </w:rPr>
              <w:t>;</w:t>
            </w:r>
            <w:r w:rsidR="00647F40" w:rsidRPr="00647F40">
              <w:rPr>
                <w:rFonts w:ascii="Garamond" w:hAnsi="Garamond"/>
                <w:lang w:val="en-AU"/>
              </w:rPr>
              <w:t xml:space="preserve"> A Adam Cwinn</w:t>
            </w:r>
            <w:r w:rsidR="00647F40">
              <w:rPr>
                <w:rFonts w:ascii="Garamond" w:hAnsi="Garamond"/>
                <w:lang w:val="en-AU"/>
              </w:rPr>
              <w:t>;</w:t>
            </w:r>
            <w:r w:rsidR="00647F40" w:rsidRPr="00647F40">
              <w:rPr>
                <w:rFonts w:ascii="Garamond" w:hAnsi="Garamond"/>
                <w:lang w:val="en-AU"/>
              </w:rPr>
              <w:t xml:space="preserve"> Stanley J Hamstra</w:t>
            </w:r>
            <w:r w:rsidR="00647F40">
              <w:rPr>
                <w:rFonts w:ascii="Garamond" w:hAnsi="Garamond"/>
                <w:lang w:val="en-AU"/>
              </w:rPr>
              <w:t>;</w:t>
            </w:r>
            <w:r w:rsidR="00647F40" w:rsidRPr="00647F40">
              <w:rPr>
                <w:rFonts w:ascii="Garamond" w:hAnsi="Garamond"/>
                <w:lang w:val="en-AU"/>
              </w:rPr>
              <w:t xml:space="preserve"> Avi Parush</w:t>
            </w:r>
            <w:r w:rsidR="00647F40">
              <w:rPr>
                <w:rFonts w:ascii="Garamond" w:hAnsi="Garamond"/>
                <w:lang w:val="en-AU"/>
              </w:rPr>
              <w:t>)</w:t>
            </w:r>
          </w:p>
          <w:p w:rsidR="00586A48" w:rsidRDefault="00586A48" w:rsidP="003F6BE6">
            <w:pPr>
              <w:pStyle w:val="ListParagraph"/>
              <w:numPr>
                <w:ilvl w:val="0"/>
                <w:numId w:val="16"/>
              </w:numPr>
              <w:rPr>
                <w:rFonts w:ascii="Garamond" w:hAnsi="Garamond"/>
                <w:lang w:val="en-AU"/>
              </w:rPr>
            </w:pPr>
            <w:r w:rsidRPr="00586A48">
              <w:rPr>
                <w:rFonts w:ascii="Garamond" w:hAnsi="Garamond"/>
                <w:lang w:val="en-AU"/>
              </w:rPr>
              <w:t xml:space="preserve">Impact of </w:t>
            </w:r>
            <w:r w:rsidRPr="00586A48">
              <w:rPr>
                <w:rFonts w:ascii="Garamond" w:hAnsi="Garamond"/>
                <w:b/>
                <w:lang w:val="en-AU"/>
              </w:rPr>
              <w:t xml:space="preserve">bundled payments </w:t>
            </w:r>
            <w:r w:rsidRPr="00586A48">
              <w:rPr>
                <w:rFonts w:ascii="Garamond" w:hAnsi="Garamond"/>
                <w:lang w:val="en-AU"/>
              </w:rPr>
              <w:t>on</w:t>
            </w:r>
            <w:r w:rsidRPr="00586A48">
              <w:rPr>
                <w:rFonts w:ascii="Garamond" w:hAnsi="Garamond"/>
                <w:b/>
                <w:lang w:val="en-AU"/>
              </w:rPr>
              <w:t xml:space="preserve"> hip fracture outcomes</w:t>
            </w:r>
            <w:r w:rsidRPr="00586A48">
              <w:rPr>
                <w:rFonts w:ascii="Garamond" w:hAnsi="Garamond"/>
                <w:lang w:val="en-AU"/>
              </w:rPr>
              <w:t>: a nationwide population-based study (Yu-Chi Tung; Hsien-Yen Chang; Guann-Ming Chang</w:t>
            </w:r>
            <w:r>
              <w:rPr>
                <w:rFonts w:ascii="Garamond" w:hAnsi="Garamond"/>
                <w:lang w:val="en-AU"/>
              </w:rPr>
              <w:t>)</w:t>
            </w:r>
          </w:p>
          <w:p w:rsidR="00647F40" w:rsidRDefault="00586A48" w:rsidP="003F6BE6">
            <w:pPr>
              <w:pStyle w:val="ListParagraph"/>
              <w:numPr>
                <w:ilvl w:val="0"/>
                <w:numId w:val="16"/>
              </w:numPr>
              <w:rPr>
                <w:rFonts w:ascii="Garamond" w:hAnsi="Garamond"/>
                <w:lang w:val="en-AU"/>
              </w:rPr>
            </w:pPr>
            <w:r w:rsidRPr="00586A48">
              <w:rPr>
                <w:rFonts w:ascii="Garamond" w:hAnsi="Garamond"/>
                <w:b/>
                <w:lang w:val="en-AU"/>
              </w:rPr>
              <w:t>Electronic Medication Regimen Complexity Index</w:t>
            </w:r>
            <w:r w:rsidRPr="00586A48">
              <w:rPr>
                <w:rFonts w:ascii="Garamond" w:hAnsi="Garamond"/>
                <w:lang w:val="en-AU"/>
              </w:rPr>
              <w:t xml:space="preserve"> at admission and complications during hospitalization in medical wards: a tool to improve quality of care? (Marion Lepelley; Céline Genty; André Lecoanet ; Benoit Allenet; Pierrick Bedouch</w:t>
            </w:r>
            <w:r w:rsidR="00647F40">
              <w:rPr>
                <w:rFonts w:ascii="Garamond" w:hAnsi="Garamond"/>
                <w:lang w:val="en-AU"/>
              </w:rPr>
              <w:t xml:space="preserve">; </w:t>
            </w:r>
            <w:r w:rsidR="00647F40" w:rsidRPr="00647F40">
              <w:rPr>
                <w:rFonts w:ascii="Garamond" w:hAnsi="Garamond"/>
                <w:lang w:val="en-AU"/>
              </w:rPr>
              <w:t>Marie-Reine Mallaret</w:t>
            </w:r>
            <w:r w:rsidR="00647F40">
              <w:rPr>
                <w:rFonts w:ascii="Garamond" w:hAnsi="Garamond"/>
                <w:lang w:val="en-AU"/>
              </w:rPr>
              <w:t>;</w:t>
            </w:r>
            <w:r w:rsidR="00647F40" w:rsidRPr="00647F40">
              <w:rPr>
                <w:rFonts w:ascii="Garamond" w:hAnsi="Garamond"/>
                <w:lang w:val="en-AU"/>
              </w:rPr>
              <w:t xml:space="preserve"> Pierre Gillois</w:t>
            </w:r>
            <w:r w:rsidR="00647F40">
              <w:rPr>
                <w:rFonts w:ascii="Garamond" w:hAnsi="Garamond"/>
                <w:lang w:val="en-AU"/>
              </w:rPr>
              <w:t>;</w:t>
            </w:r>
            <w:r w:rsidR="00647F40" w:rsidRPr="00647F40">
              <w:rPr>
                <w:rFonts w:ascii="Garamond" w:hAnsi="Garamond"/>
                <w:lang w:val="en-AU"/>
              </w:rPr>
              <w:t xml:space="preserve"> Jean-Luc Bosson</w:t>
            </w:r>
            <w:r w:rsidR="00647F40">
              <w:rPr>
                <w:rFonts w:ascii="Garamond" w:hAnsi="Garamond"/>
                <w:lang w:val="en-AU"/>
              </w:rPr>
              <w:t>)</w:t>
            </w:r>
          </w:p>
          <w:p w:rsidR="00586A48" w:rsidRDefault="00586A48" w:rsidP="003F6BE6">
            <w:pPr>
              <w:pStyle w:val="ListParagraph"/>
              <w:numPr>
                <w:ilvl w:val="0"/>
                <w:numId w:val="16"/>
              </w:numPr>
              <w:rPr>
                <w:rFonts w:ascii="Garamond" w:hAnsi="Garamond"/>
                <w:lang w:val="en-AU"/>
              </w:rPr>
            </w:pPr>
            <w:r w:rsidRPr="00586A48">
              <w:rPr>
                <w:rFonts w:ascii="Garamond" w:hAnsi="Garamond"/>
                <w:lang w:val="en-AU"/>
              </w:rPr>
              <w:t xml:space="preserve">Learning from high risk industries may not be straightforward: a qualitative study of the </w:t>
            </w:r>
            <w:r w:rsidRPr="00586A48">
              <w:rPr>
                <w:rFonts w:ascii="Garamond" w:hAnsi="Garamond"/>
                <w:b/>
                <w:lang w:val="en-AU"/>
              </w:rPr>
              <w:t>hierarchy of risk controls approach in healthcare</w:t>
            </w:r>
            <w:r w:rsidRPr="00586A48">
              <w:rPr>
                <w:rFonts w:ascii="Garamond" w:hAnsi="Garamond"/>
                <w:lang w:val="en-AU"/>
              </w:rPr>
              <w:t xml:space="preserve"> (Elisa G Liberati; Mohammad Farhad Peerally; Mary Dixon-Woods</w:t>
            </w:r>
            <w:r>
              <w:rPr>
                <w:rFonts w:ascii="Garamond" w:hAnsi="Garamond"/>
                <w:lang w:val="en-AU"/>
              </w:rPr>
              <w:t>)</w:t>
            </w:r>
          </w:p>
          <w:p w:rsidR="00647F40" w:rsidRDefault="00586A48" w:rsidP="003F6BE6">
            <w:pPr>
              <w:pStyle w:val="ListParagraph"/>
              <w:numPr>
                <w:ilvl w:val="0"/>
                <w:numId w:val="16"/>
              </w:numPr>
              <w:rPr>
                <w:rFonts w:ascii="Garamond" w:hAnsi="Garamond"/>
                <w:lang w:val="en-AU"/>
              </w:rPr>
            </w:pPr>
            <w:r w:rsidRPr="00586A48">
              <w:rPr>
                <w:rFonts w:ascii="Garamond" w:hAnsi="Garamond"/>
                <w:lang w:val="en-AU"/>
              </w:rPr>
              <w:t xml:space="preserve">Factors to consider in the introduction of </w:t>
            </w:r>
            <w:r w:rsidRPr="00586A48">
              <w:rPr>
                <w:rFonts w:ascii="Garamond" w:hAnsi="Garamond"/>
                <w:b/>
                <w:lang w:val="en-AU"/>
              </w:rPr>
              <w:t>huddles on clinical wards</w:t>
            </w:r>
            <w:r w:rsidRPr="00586A48">
              <w:rPr>
                <w:rFonts w:ascii="Garamond" w:hAnsi="Garamond"/>
                <w:lang w:val="en-AU"/>
              </w:rPr>
              <w:t>: perceptions of staff on the SAFE programme (Emily Stapley; Evelyn Sharples; Peter Lachman; Monica Lakhanpaul; Miranda Wolpert</w:t>
            </w:r>
            <w:r w:rsidR="00647F40">
              <w:rPr>
                <w:rFonts w:ascii="Garamond" w:hAnsi="Garamond"/>
                <w:lang w:val="en-AU"/>
              </w:rPr>
              <w:t xml:space="preserve">; </w:t>
            </w:r>
            <w:r w:rsidR="00647F40" w:rsidRPr="00647F40">
              <w:rPr>
                <w:rFonts w:ascii="Garamond" w:hAnsi="Garamond"/>
                <w:lang w:val="en-AU"/>
              </w:rPr>
              <w:t>Jessica Deighton</w:t>
            </w:r>
            <w:r w:rsidR="00647F40">
              <w:rPr>
                <w:rFonts w:ascii="Garamond" w:hAnsi="Garamond"/>
                <w:lang w:val="en-AU"/>
              </w:rPr>
              <w:t>)</w:t>
            </w:r>
          </w:p>
          <w:p w:rsidR="00586A48" w:rsidRDefault="00586A48" w:rsidP="003F6BE6">
            <w:pPr>
              <w:pStyle w:val="ListParagraph"/>
              <w:numPr>
                <w:ilvl w:val="0"/>
                <w:numId w:val="16"/>
              </w:numPr>
              <w:rPr>
                <w:rFonts w:ascii="Garamond" w:hAnsi="Garamond"/>
                <w:lang w:val="en-AU"/>
              </w:rPr>
            </w:pPr>
            <w:r w:rsidRPr="00586A48">
              <w:rPr>
                <w:rFonts w:ascii="Garamond" w:hAnsi="Garamond"/>
                <w:b/>
                <w:lang w:val="en-AU"/>
              </w:rPr>
              <w:t>Potentially inappropriate medication and hospitalization/emergency department visits</w:t>
            </w:r>
            <w:r w:rsidRPr="00586A48">
              <w:rPr>
                <w:rFonts w:ascii="Garamond" w:hAnsi="Garamond"/>
                <w:lang w:val="en-AU"/>
              </w:rPr>
              <w:t xml:space="preserve"> among the elderly in Korea (Ha-Lim Jeon; Juhee Park ; Euna Han; Dong-Sook Kim</w:t>
            </w:r>
            <w:r>
              <w:rPr>
                <w:rFonts w:ascii="Garamond" w:hAnsi="Garamond"/>
                <w:lang w:val="en-AU"/>
              </w:rPr>
              <w:t>)</w:t>
            </w:r>
          </w:p>
          <w:p w:rsidR="00586A48" w:rsidRDefault="00586A48" w:rsidP="003F6BE6">
            <w:pPr>
              <w:pStyle w:val="ListParagraph"/>
              <w:numPr>
                <w:ilvl w:val="0"/>
                <w:numId w:val="16"/>
              </w:numPr>
              <w:rPr>
                <w:rFonts w:ascii="Garamond" w:hAnsi="Garamond"/>
                <w:lang w:val="en-AU"/>
              </w:rPr>
            </w:pPr>
            <w:r w:rsidRPr="00586A48">
              <w:rPr>
                <w:rFonts w:ascii="Garamond" w:hAnsi="Garamond"/>
                <w:lang w:val="en-AU"/>
              </w:rPr>
              <w:t xml:space="preserve">A national evaluation of </w:t>
            </w:r>
            <w:r w:rsidRPr="00586A48">
              <w:rPr>
                <w:rFonts w:ascii="Garamond" w:hAnsi="Garamond"/>
                <w:b/>
                <w:lang w:val="en-AU"/>
              </w:rPr>
              <w:t>community-based mental health strategies</w:t>
            </w:r>
            <w:r w:rsidRPr="00586A48">
              <w:rPr>
                <w:rFonts w:ascii="Garamond" w:hAnsi="Garamond"/>
                <w:lang w:val="en-AU"/>
              </w:rPr>
              <w:t xml:space="preserve"> in Finland (Anu Vähäniemi; Katja Warwick-Smith; Heli Hätönen; Maritta Välimäki</w:t>
            </w:r>
            <w:r>
              <w:rPr>
                <w:rFonts w:ascii="Garamond" w:hAnsi="Garamond"/>
                <w:lang w:val="en-AU"/>
              </w:rPr>
              <w:t>)</w:t>
            </w:r>
          </w:p>
          <w:p w:rsidR="00647F40" w:rsidRDefault="00586A48" w:rsidP="003F6BE6">
            <w:pPr>
              <w:pStyle w:val="ListParagraph"/>
              <w:numPr>
                <w:ilvl w:val="0"/>
                <w:numId w:val="16"/>
              </w:numPr>
              <w:rPr>
                <w:rFonts w:ascii="Garamond" w:hAnsi="Garamond"/>
                <w:lang w:val="en-AU"/>
              </w:rPr>
            </w:pPr>
            <w:r w:rsidRPr="00586A48">
              <w:rPr>
                <w:rFonts w:ascii="Garamond" w:hAnsi="Garamond"/>
                <w:lang w:val="en-AU"/>
              </w:rPr>
              <w:t xml:space="preserve">Developing a set of indicators to monitor </w:t>
            </w:r>
            <w:r w:rsidRPr="00586A48">
              <w:rPr>
                <w:rFonts w:ascii="Garamond" w:hAnsi="Garamond"/>
                <w:b/>
                <w:lang w:val="en-AU"/>
              </w:rPr>
              <w:t xml:space="preserve">quality in ambulatory diabetes care </w:t>
            </w:r>
            <w:r w:rsidRPr="00586A48">
              <w:rPr>
                <w:rFonts w:ascii="Garamond" w:hAnsi="Garamond"/>
                <w:lang w:val="en-AU"/>
              </w:rPr>
              <w:t>using a modified Delphi panel process (Geetha Mukerji; Ilana Halperin; Katie Hunter; Phillip Segal ; Maria Wolfs</w:t>
            </w:r>
            <w:r w:rsidR="00647F40">
              <w:rPr>
                <w:rFonts w:ascii="Garamond" w:hAnsi="Garamond"/>
                <w:lang w:val="en-AU"/>
              </w:rPr>
              <w:t xml:space="preserve">; </w:t>
            </w:r>
            <w:r w:rsidR="00647F40" w:rsidRPr="00647F40">
              <w:rPr>
                <w:rFonts w:ascii="Garamond" w:hAnsi="Garamond"/>
                <w:lang w:val="en-AU"/>
              </w:rPr>
              <w:t>Lindsay Bevan</w:t>
            </w:r>
            <w:r w:rsidR="00647F40">
              <w:rPr>
                <w:rFonts w:ascii="Garamond" w:hAnsi="Garamond"/>
                <w:lang w:val="en-AU"/>
              </w:rPr>
              <w:t>;</w:t>
            </w:r>
            <w:r w:rsidR="00647F40" w:rsidRPr="00647F40">
              <w:rPr>
                <w:rFonts w:ascii="Garamond" w:hAnsi="Garamond"/>
                <w:lang w:val="en-AU"/>
              </w:rPr>
              <w:t xml:space="preserve"> Lianne Jeffs</w:t>
            </w:r>
            <w:r w:rsidR="00647F40">
              <w:rPr>
                <w:rFonts w:ascii="Garamond" w:hAnsi="Garamond"/>
                <w:lang w:val="en-AU"/>
              </w:rPr>
              <w:t>;</w:t>
            </w:r>
            <w:r w:rsidR="00647F40" w:rsidRPr="00647F40">
              <w:rPr>
                <w:rFonts w:ascii="Garamond" w:hAnsi="Garamond"/>
                <w:lang w:val="en-AU"/>
              </w:rPr>
              <w:t xml:space="preserve"> Jeannette Goguen</w:t>
            </w:r>
            <w:r w:rsidR="00647F40">
              <w:rPr>
                <w:rFonts w:ascii="Garamond" w:hAnsi="Garamond"/>
                <w:lang w:val="en-AU"/>
              </w:rPr>
              <w:t>)</w:t>
            </w:r>
          </w:p>
          <w:p w:rsidR="00586A48" w:rsidRPr="00621912" w:rsidRDefault="00586A48" w:rsidP="003F6BE6">
            <w:pPr>
              <w:pStyle w:val="ListParagraph"/>
              <w:numPr>
                <w:ilvl w:val="0"/>
                <w:numId w:val="16"/>
              </w:numPr>
              <w:rPr>
                <w:rFonts w:ascii="Garamond" w:hAnsi="Garamond"/>
                <w:lang w:val="en-AU"/>
              </w:rPr>
            </w:pPr>
            <w:r w:rsidRPr="00586A48">
              <w:rPr>
                <w:rFonts w:ascii="Garamond" w:hAnsi="Garamond"/>
                <w:lang w:val="en-AU"/>
              </w:rPr>
              <w:lastRenderedPageBreak/>
              <w:t xml:space="preserve">The impact of </w:t>
            </w:r>
            <w:r w:rsidRPr="00586A48">
              <w:rPr>
                <w:rFonts w:ascii="Garamond" w:hAnsi="Garamond"/>
                <w:b/>
                <w:lang w:val="en-AU"/>
              </w:rPr>
              <w:t>health sector evolution plan</w:t>
            </w:r>
            <w:r w:rsidRPr="00586A48">
              <w:rPr>
                <w:rFonts w:ascii="Garamond" w:hAnsi="Garamond"/>
                <w:lang w:val="en-AU"/>
              </w:rPr>
              <w:t xml:space="preserve"> on hospitalization and cesarean section rates in Iran: an interrupted time series analysis (Behzad Karami Matin; Mohammad Hajizadeh; Farid Najafi; Enayatollah Homaie Rad; Bakhtiar Piroozi</w:t>
            </w:r>
            <w:r w:rsidR="00647F40">
              <w:rPr>
                <w:rFonts w:ascii="Garamond" w:hAnsi="Garamond"/>
                <w:lang w:val="en-AU"/>
              </w:rPr>
              <w:t xml:space="preserve">; </w:t>
            </w:r>
            <w:r w:rsidR="00647F40" w:rsidRPr="00647F40">
              <w:rPr>
                <w:rFonts w:ascii="Garamond" w:hAnsi="Garamond"/>
                <w:lang w:val="en-AU"/>
              </w:rPr>
              <w:t>Satar Rezaei</w:t>
            </w:r>
            <w:r w:rsidR="00647F40">
              <w:rPr>
                <w:rFonts w:ascii="Garamond" w:hAnsi="Garamond"/>
                <w:lang w:val="en-AU"/>
              </w:rPr>
              <w:t>)</w:t>
            </w:r>
          </w:p>
        </w:tc>
      </w:tr>
    </w:tbl>
    <w:p w:rsidR="00586A48" w:rsidRDefault="00586A48" w:rsidP="00486448">
      <w:pPr>
        <w:keepLines/>
        <w:autoSpaceDE w:val="0"/>
        <w:autoSpaceDN w:val="0"/>
        <w:adjustRightInd w:val="0"/>
        <w:rPr>
          <w:rFonts w:ascii="Garamond" w:hAnsi="Garamond"/>
          <w:lang w:val="en-AU"/>
        </w:rPr>
      </w:pPr>
    </w:p>
    <w:p w:rsidR="000670CA" w:rsidRPr="000670CA" w:rsidRDefault="000670CA" w:rsidP="000670CA">
      <w:pPr>
        <w:keepLines/>
        <w:autoSpaceDE w:val="0"/>
        <w:autoSpaceDN w:val="0"/>
        <w:adjustRightInd w:val="0"/>
        <w:rPr>
          <w:rFonts w:ascii="Garamond" w:hAnsi="Garamond"/>
          <w:i/>
          <w:lang w:val="en-AU"/>
        </w:rPr>
      </w:pPr>
      <w:r w:rsidRPr="000670CA">
        <w:rPr>
          <w:rFonts w:ascii="Garamond" w:hAnsi="Garamond"/>
          <w:i/>
          <w:lang w:val="en-AU"/>
        </w:rPr>
        <w:t>Pediatric Quality &amp; Safety</w:t>
      </w:r>
    </w:p>
    <w:p w:rsidR="000670CA" w:rsidRPr="007C520B" w:rsidRDefault="000670CA" w:rsidP="000670CA">
      <w:pPr>
        <w:keepLines/>
        <w:autoSpaceDE w:val="0"/>
        <w:autoSpaceDN w:val="0"/>
        <w:adjustRightInd w:val="0"/>
        <w:rPr>
          <w:rFonts w:ascii="Garamond" w:hAnsi="Garamond"/>
          <w:lang w:val="en-AU"/>
        </w:rPr>
      </w:pPr>
      <w:r w:rsidRPr="000670CA">
        <w:rPr>
          <w:rFonts w:ascii="Garamond" w:hAnsi="Garamond"/>
          <w:lang w:val="en-AU"/>
        </w:rPr>
        <w:t>Vol. 3, No. 1, January/February 2018</w:t>
      </w:r>
    </w:p>
    <w:tbl>
      <w:tblPr>
        <w:tblStyle w:val="TableGrid"/>
        <w:tblW w:w="0" w:type="auto"/>
        <w:tblInd w:w="288" w:type="dxa"/>
        <w:tblLayout w:type="fixed"/>
        <w:tblLook w:val="01E0" w:firstRow="1" w:lastRow="1" w:firstColumn="1" w:lastColumn="1" w:noHBand="0" w:noVBand="0"/>
      </w:tblPr>
      <w:tblGrid>
        <w:gridCol w:w="1080"/>
        <w:gridCol w:w="8280"/>
      </w:tblGrid>
      <w:tr w:rsidR="000670CA" w:rsidRPr="000170DA" w:rsidTr="002B3443">
        <w:tc>
          <w:tcPr>
            <w:tcW w:w="1080" w:type="dxa"/>
            <w:tcBorders>
              <w:top w:val="single" w:sz="4" w:space="0" w:color="auto"/>
              <w:left w:val="single" w:sz="4" w:space="0" w:color="auto"/>
              <w:bottom w:val="single" w:sz="4" w:space="0" w:color="auto"/>
              <w:right w:val="single" w:sz="4" w:space="0" w:color="auto"/>
            </w:tcBorders>
            <w:vAlign w:val="center"/>
          </w:tcPr>
          <w:p w:rsidR="000670CA" w:rsidRPr="000170DA" w:rsidRDefault="000670CA" w:rsidP="002B344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670CA" w:rsidRPr="000170DA" w:rsidRDefault="00C121B9" w:rsidP="002B3443">
            <w:pPr>
              <w:rPr>
                <w:rStyle w:val="Hyperlink"/>
                <w:rFonts w:ascii="Garamond" w:hAnsi="Garamond"/>
                <w:color w:val="auto"/>
                <w:u w:val="none"/>
                <w:lang w:val="en-AU"/>
              </w:rPr>
            </w:pPr>
            <w:hyperlink r:id="rId28" w:history="1">
              <w:r w:rsidR="000670CA" w:rsidRPr="00967045">
                <w:rPr>
                  <w:rStyle w:val="Hyperlink"/>
                  <w:rFonts w:ascii="Garamond" w:hAnsi="Garamond"/>
                  <w:lang w:val="en-AU"/>
                </w:rPr>
                <w:t>https://journals.lww.com/pqs/toc/2018/01000</w:t>
              </w:r>
            </w:hyperlink>
          </w:p>
        </w:tc>
      </w:tr>
      <w:tr w:rsidR="000670CA" w:rsidRPr="000170DA" w:rsidTr="002B3443">
        <w:tc>
          <w:tcPr>
            <w:tcW w:w="1080" w:type="dxa"/>
            <w:tcBorders>
              <w:top w:val="single" w:sz="4" w:space="0" w:color="auto"/>
              <w:left w:val="single" w:sz="4" w:space="0" w:color="auto"/>
              <w:bottom w:val="single" w:sz="4" w:space="0" w:color="auto"/>
              <w:right w:val="single" w:sz="4" w:space="0" w:color="auto"/>
            </w:tcBorders>
            <w:vAlign w:val="center"/>
          </w:tcPr>
          <w:p w:rsidR="000670CA" w:rsidRPr="000170DA" w:rsidRDefault="000670CA" w:rsidP="002B344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70CA" w:rsidRDefault="000670CA" w:rsidP="000670CA">
            <w:pPr>
              <w:rPr>
                <w:rFonts w:ascii="Garamond" w:hAnsi="Garamond"/>
                <w:lang w:val="en-AU"/>
              </w:rPr>
            </w:pPr>
            <w:r>
              <w:rPr>
                <w:rFonts w:ascii="Garamond" w:hAnsi="Garamond"/>
                <w:lang w:val="en-AU"/>
              </w:rPr>
              <w:t xml:space="preserve">A new issue of </w:t>
            </w:r>
            <w:r w:rsidRPr="000670CA">
              <w:rPr>
                <w:rFonts w:ascii="Garamond" w:hAnsi="Garamond"/>
                <w:i/>
                <w:lang w:val="en-AU"/>
              </w:rPr>
              <w:t>Pediatric Quality &amp; Safety</w:t>
            </w:r>
            <w:r>
              <w:rPr>
                <w:rFonts w:ascii="Garamond" w:hAnsi="Garamond"/>
                <w:lang w:val="en-AU"/>
              </w:rPr>
              <w:t xml:space="preserve"> has been published. Articles in this issue of </w:t>
            </w:r>
            <w:r w:rsidRPr="000670CA">
              <w:rPr>
                <w:rFonts w:ascii="Garamond" w:hAnsi="Garamond"/>
                <w:i/>
                <w:lang w:val="en-AU"/>
              </w:rPr>
              <w:t>Pediatric Quality &amp; Safety</w:t>
            </w:r>
            <w:r>
              <w:rPr>
                <w:rFonts w:ascii="Garamond" w:hAnsi="Garamond"/>
                <w:lang w:val="en-AU"/>
              </w:rPr>
              <w:t xml:space="preserve"> include:</w:t>
            </w:r>
          </w:p>
          <w:p w:rsidR="000670CA" w:rsidRDefault="000670CA" w:rsidP="003F6BE6">
            <w:pPr>
              <w:pStyle w:val="ListParagraph"/>
              <w:numPr>
                <w:ilvl w:val="0"/>
                <w:numId w:val="18"/>
              </w:numPr>
              <w:rPr>
                <w:rFonts w:ascii="Garamond" w:hAnsi="Garamond"/>
                <w:lang w:val="en-AU"/>
              </w:rPr>
            </w:pPr>
            <w:r w:rsidRPr="000670CA">
              <w:rPr>
                <w:rFonts w:ascii="Garamond" w:hAnsi="Garamond"/>
                <w:lang w:val="en-AU"/>
              </w:rPr>
              <w:t xml:space="preserve">Using Length of Stay to Understand </w:t>
            </w:r>
            <w:r w:rsidRPr="000670CA">
              <w:rPr>
                <w:rFonts w:ascii="Garamond" w:hAnsi="Garamond"/>
                <w:b/>
                <w:lang w:val="en-AU"/>
              </w:rPr>
              <w:t>Patient Flow for Pediatric Inpatients</w:t>
            </w:r>
            <w:r w:rsidRPr="000670CA">
              <w:rPr>
                <w:rFonts w:ascii="Garamond" w:hAnsi="Garamond"/>
                <w:lang w:val="en-AU"/>
              </w:rPr>
              <w:t xml:space="preserve"> (Stockwell, David C.; Thomas, Cherie; Fieldston, Evan S.; Hall, Matt; Czaja, Angela S.; Stalets, Erika L.; Biehler, Jefry; Sheehan, Maeve; Foglia, Dorothy; Byrd, Susan; McClead, Richard E.</w:t>
            </w:r>
            <w:r>
              <w:rPr>
                <w:rFonts w:ascii="Garamond" w:hAnsi="Garamond"/>
                <w:lang w:val="en-AU"/>
              </w:rPr>
              <w:t>)</w:t>
            </w:r>
          </w:p>
          <w:p w:rsidR="000670CA" w:rsidRDefault="000670CA" w:rsidP="003F6BE6">
            <w:pPr>
              <w:pStyle w:val="ListParagraph"/>
              <w:numPr>
                <w:ilvl w:val="0"/>
                <w:numId w:val="18"/>
              </w:numPr>
              <w:rPr>
                <w:rFonts w:ascii="Garamond" w:hAnsi="Garamond"/>
                <w:lang w:val="en-AU"/>
              </w:rPr>
            </w:pPr>
            <w:r w:rsidRPr="000670CA">
              <w:rPr>
                <w:rFonts w:ascii="Garamond" w:hAnsi="Garamond"/>
                <w:lang w:val="en-AU"/>
              </w:rPr>
              <w:t xml:space="preserve">A Quality Improvement Collaborative for </w:t>
            </w:r>
            <w:r w:rsidRPr="000670CA">
              <w:rPr>
                <w:rFonts w:ascii="Garamond" w:hAnsi="Garamond"/>
                <w:b/>
                <w:lang w:val="en-AU"/>
              </w:rPr>
              <w:t>Pediatric Sepsis</w:t>
            </w:r>
            <w:r w:rsidRPr="000670CA">
              <w:rPr>
                <w:rFonts w:ascii="Garamond" w:hAnsi="Garamond"/>
                <w:lang w:val="en-AU"/>
              </w:rPr>
              <w:t>: Lessons Learned (Paul, Raina; Melendez, Elliot; Wathen, Beth; Larsen, Gitte; Chapman, Laura; Wheeler, Derek S.; Wakefield, Toni; Macias, Charles G.</w:t>
            </w:r>
            <w:r>
              <w:rPr>
                <w:rFonts w:ascii="Garamond" w:hAnsi="Garamond"/>
                <w:lang w:val="en-AU"/>
              </w:rPr>
              <w:t>)</w:t>
            </w:r>
          </w:p>
          <w:p w:rsidR="000670CA" w:rsidRDefault="000670CA" w:rsidP="003F6BE6">
            <w:pPr>
              <w:pStyle w:val="ListParagraph"/>
              <w:numPr>
                <w:ilvl w:val="0"/>
                <w:numId w:val="18"/>
              </w:numPr>
              <w:rPr>
                <w:rFonts w:ascii="Garamond" w:hAnsi="Garamond"/>
                <w:lang w:val="en-AU"/>
              </w:rPr>
            </w:pPr>
            <w:r w:rsidRPr="000670CA">
              <w:rPr>
                <w:rFonts w:ascii="Garamond" w:hAnsi="Garamond"/>
                <w:lang w:val="en-AU"/>
              </w:rPr>
              <w:t xml:space="preserve">A Quality Improvement Initiative to Increase and Sustain </w:t>
            </w:r>
            <w:r w:rsidRPr="000670CA">
              <w:rPr>
                <w:rFonts w:ascii="Garamond" w:hAnsi="Garamond"/>
                <w:b/>
                <w:lang w:val="en-AU"/>
              </w:rPr>
              <w:t>Influenza Vaccination Rates</w:t>
            </w:r>
            <w:r w:rsidRPr="000670CA">
              <w:rPr>
                <w:rFonts w:ascii="Garamond" w:hAnsi="Garamond"/>
                <w:lang w:val="en-AU"/>
              </w:rPr>
              <w:t xml:space="preserve"> in Pediatric Oncology and Stem Cell Transplant Patients (Wong, Chris I.; Billett, Amy L.; Weng, Shicheng; Eng, Kelly; Thakrar, Usha; Davies, Kimberly J.</w:t>
            </w:r>
            <w:r>
              <w:rPr>
                <w:rFonts w:ascii="Garamond" w:hAnsi="Garamond"/>
                <w:lang w:val="en-AU"/>
              </w:rPr>
              <w:t>)</w:t>
            </w:r>
          </w:p>
          <w:p w:rsidR="000670CA" w:rsidRPr="000670CA" w:rsidRDefault="000670CA" w:rsidP="003F6BE6">
            <w:pPr>
              <w:pStyle w:val="ListParagraph"/>
              <w:numPr>
                <w:ilvl w:val="0"/>
                <w:numId w:val="18"/>
              </w:numPr>
              <w:rPr>
                <w:rFonts w:ascii="Garamond" w:hAnsi="Garamond"/>
                <w:lang w:val="en-AU"/>
              </w:rPr>
            </w:pPr>
            <w:r w:rsidRPr="000670CA">
              <w:rPr>
                <w:rFonts w:ascii="Garamond" w:hAnsi="Garamond"/>
                <w:lang w:val="en-AU"/>
              </w:rPr>
              <w:t xml:space="preserve">Reducing </w:t>
            </w:r>
            <w:r w:rsidRPr="000670CA">
              <w:rPr>
                <w:rFonts w:ascii="Garamond" w:hAnsi="Garamond"/>
                <w:b/>
                <w:lang w:val="en-AU"/>
              </w:rPr>
              <w:t>Interdisciplinary Communication Failures</w:t>
            </w:r>
            <w:r w:rsidRPr="000670CA">
              <w:rPr>
                <w:rFonts w:ascii="Garamond" w:hAnsi="Garamond"/>
                <w:lang w:val="en-AU"/>
              </w:rPr>
              <w:t xml:space="preserve"> Through Secure Text Messaging: A Quality Improvement Project</w:t>
            </w:r>
            <w:r>
              <w:rPr>
                <w:rFonts w:ascii="Garamond" w:hAnsi="Garamond"/>
                <w:lang w:val="en-AU"/>
              </w:rPr>
              <w:t xml:space="preserve"> (</w:t>
            </w:r>
            <w:r w:rsidRPr="000670CA">
              <w:rPr>
                <w:rFonts w:ascii="Garamond" w:hAnsi="Garamond"/>
                <w:lang w:val="en-AU"/>
              </w:rPr>
              <w:t>Hansen, Jesse E.; Lazow, Margot; Hagedorn, Philip A.</w:t>
            </w:r>
            <w:r>
              <w:rPr>
                <w:rFonts w:ascii="Garamond" w:hAnsi="Garamond"/>
                <w:lang w:val="en-AU"/>
              </w:rPr>
              <w:t>)</w:t>
            </w:r>
          </w:p>
        </w:tc>
      </w:tr>
    </w:tbl>
    <w:p w:rsidR="000670CA" w:rsidRDefault="000670CA" w:rsidP="000670CA">
      <w:pPr>
        <w:keepLines/>
        <w:autoSpaceDE w:val="0"/>
        <w:autoSpaceDN w:val="0"/>
        <w:adjustRightInd w:val="0"/>
        <w:rPr>
          <w:rFonts w:ascii="Garamond" w:hAnsi="Garamond"/>
          <w:lang w:val="en-AU"/>
        </w:rPr>
      </w:pPr>
    </w:p>
    <w:p w:rsidR="009D7F38" w:rsidRPr="009D7F38" w:rsidRDefault="009D7F38" w:rsidP="000670CA">
      <w:pPr>
        <w:keepLines/>
        <w:autoSpaceDE w:val="0"/>
        <w:autoSpaceDN w:val="0"/>
        <w:adjustRightInd w:val="0"/>
        <w:rPr>
          <w:rFonts w:ascii="Garamond" w:hAnsi="Garamond"/>
          <w:i/>
          <w:lang w:val="en-AU"/>
        </w:rPr>
      </w:pPr>
      <w:r w:rsidRPr="009D7F38">
        <w:rPr>
          <w:rFonts w:ascii="Garamond" w:hAnsi="Garamond"/>
          <w:i/>
          <w:lang w:val="en-AU"/>
        </w:rPr>
        <w:t>Australian Journal of Primary Health</w:t>
      </w:r>
    </w:p>
    <w:p w:rsidR="009D7F38" w:rsidRDefault="009D7F38" w:rsidP="000670CA">
      <w:pPr>
        <w:keepLines/>
        <w:autoSpaceDE w:val="0"/>
        <w:autoSpaceDN w:val="0"/>
        <w:adjustRightInd w:val="0"/>
        <w:rPr>
          <w:rFonts w:ascii="Garamond" w:hAnsi="Garamond"/>
          <w:lang w:val="en-AU"/>
        </w:rPr>
      </w:pPr>
      <w:r w:rsidRPr="009D7F38">
        <w:rPr>
          <w:rFonts w:ascii="Garamond" w:hAnsi="Garamond"/>
          <w:lang w:val="en-AU"/>
        </w:rPr>
        <w:t>Volume 24(1) 2018</w:t>
      </w:r>
    </w:p>
    <w:tbl>
      <w:tblPr>
        <w:tblStyle w:val="TableGrid"/>
        <w:tblW w:w="0" w:type="auto"/>
        <w:tblInd w:w="288" w:type="dxa"/>
        <w:tblLayout w:type="fixed"/>
        <w:tblLook w:val="01E0" w:firstRow="1" w:lastRow="1" w:firstColumn="1" w:lastColumn="1" w:noHBand="0" w:noVBand="0"/>
      </w:tblPr>
      <w:tblGrid>
        <w:gridCol w:w="1080"/>
        <w:gridCol w:w="8280"/>
      </w:tblGrid>
      <w:tr w:rsidR="009D7F38" w:rsidRPr="00C3014C" w:rsidTr="0058081D">
        <w:tc>
          <w:tcPr>
            <w:tcW w:w="1080" w:type="dxa"/>
            <w:tcBorders>
              <w:top w:val="single" w:sz="4" w:space="0" w:color="auto"/>
              <w:left w:val="single" w:sz="4" w:space="0" w:color="auto"/>
              <w:bottom w:val="single" w:sz="4" w:space="0" w:color="auto"/>
              <w:right w:val="single" w:sz="4" w:space="0" w:color="auto"/>
            </w:tcBorders>
            <w:vAlign w:val="center"/>
          </w:tcPr>
          <w:p w:rsidR="009D7F38" w:rsidRPr="00C3014C" w:rsidRDefault="009D7F38" w:rsidP="0058081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7F38" w:rsidRPr="00C3014C" w:rsidRDefault="00C121B9" w:rsidP="009D7F38">
            <w:pPr>
              <w:rPr>
                <w:rStyle w:val="Hyperlink"/>
                <w:rFonts w:ascii="Garamond" w:hAnsi="Garamond"/>
                <w:color w:val="auto"/>
                <w:u w:val="none"/>
                <w:lang w:val="en-AU"/>
              </w:rPr>
            </w:pPr>
            <w:hyperlink r:id="rId29" w:history="1">
              <w:r w:rsidR="009D7F38" w:rsidRPr="00ED6C25">
                <w:rPr>
                  <w:rStyle w:val="Hyperlink"/>
                  <w:rFonts w:ascii="Garamond" w:hAnsi="Garamond"/>
                  <w:lang w:val="en-AU"/>
                </w:rPr>
                <w:t>http://www.publish.csiro.au/py/issue/9191</w:t>
              </w:r>
            </w:hyperlink>
          </w:p>
        </w:tc>
      </w:tr>
      <w:tr w:rsidR="009D7F38" w:rsidRPr="00C3014C" w:rsidTr="0058081D">
        <w:tc>
          <w:tcPr>
            <w:tcW w:w="1080" w:type="dxa"/>
            <w:tcBorders>
              <w:top w:val="single" w:sz="4" w:space="0" w:color="auto"/>
              <w:left w:val="single" w:sz="4" w:space="0" w:color="auto"/>
              <w:bottom w:val="single" w:sz="4" w:space="0" w:color="auto"/>
              <w:right w:val="single" w:sz="4" w:space="0" w:color="auto"/>
            </w:tcBorders>
            <w:vAlign w:val="center"/>
          </w:tcPr>
          <w:p w:rsidR="009D7F38" w:rsidRPr="00C3014C" w:rsidRDefault="009D7F38" w:rsidP="0058081D">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7F38" w:rsidRDefault="009D7F38" w:rsidP="009D7F38">
            <w:pPr>
              <w:rPr>
                <w:rFonts w:ascii="Garamond" w:hAnsi="Garamond"/>
                <w:lang w:val="en-AU"/>
              </w:rPr>
            </w:pPr>
            <w:r>
              <w:rPr>
                <w:rFonts w:ascii="Garamond" w:hAnsi="Garamond"/>
                <w:lang w:val="en-AU"/>
              </w:rPr>
              <w:t xml:space="preserve">A new issue of the </w:t>
            </w:r>
            <w:r w:rsidRPr="009D7F38">
              <w:rPr>
                <w:rFonts w:ascii="Garamond" w:hAnsi="Garamond"/>
                <w:i/>
                <w:lang w:val="en-AU"/>
              </w:rPr>
              <w:t>Australian Journal of Primary Health</w:t>
            </w:r>
            <w:r w:rsidRPr="000670CA">
              <w:rPr>
                <w:rFonts w:ascii="Garamond" w:hAnsi="Garamond"/>
                <w:i/>
                <w:lang w:val="en-AU"/>
              </w:rPr>
              <w:t xml:space="preserve"> </w:t>
            </w:r>
            <w:r>
              <w:rPr>
                <w:rFonts w:ascii="Garamond" w:hAnsi="Garamond"/>
                <w:lang w:val="en-AU"/>
              </w:rPr>
              <w:t xml:space="preserve">has been published. Articles in this issue of </w:t>
            </w:r>
            <w:r w:rsidRPr="009D7F38">
              <w:rPr>
                <w:rFonts w:ascii="Garamond" w:hAnsi="Garamond"/>
                <w:i/>
                <w:lang w:val="en-AU"/>
              </w:rPr>
              <w:t>Australian Journal of Primary Health</w:t>
            </w:r>
            <w:r w:rsidRPr="000670CA">
              <w:rPr>
                <w:rFonts w:ascii="Garamond" w:hAnsi="Garamond"/>
                <w:i/>
                <w:lang w:val="en-AU"/>
              </w:rPr>
              <w:t xml:space="preserve"> </w:t>
            </w:r>
            <w:r>
              <w:rPr>
                <w:rFonts w:ascii="Garamond" w:hAnsi="Garamond"/>
                <w:lang w:val="en-AU"/>
              </w:rPr>
              <w:t>include:</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lang w:val="en-AU"/>
              </w:rPr>
              <w:t xml:space="preserve">Rigorous follow-up systems for abnormal results are essential to improve </w:t>
            </w:r>
            <w:r w:rsidRPr="009D7F38">
              <w:rPr>
                <w:rFonts w:ascii="Garamond" w:hAnsi="Garamond"/>
                <w:b/>
                <w:lang w:val="en-AU"/>
              </w:rPr>
              <w:t>health outcomes for Aboriginal and Torres Strait Islander people</w:t>
            </w:r>
            <w:r w:rsidRPr="009D7F38">
              <w:rPr>
                <w:rFonts w:ascii="Garamond" w:hAnsi="Garamond"/>
                <w:lang w:val="en-AU"/>
              </w:rPr>
              <w:t xml:space="preserve"> (Jodie Bailie, Veronica Matthews, Alison Laycock, Christin</w:t>
            </w:r>
            <w:r>
              <w:rPr>
                <w:rFonts w:ascii="Garamond" w:hAnsi="Garamond"/>
                <w:lang w:val="en-AU"/>
              </w:rPr>
              <w:t>e Connors and R Bailie)</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b/>
                <w:lang w:val="en-AU"/>
              </w:rPr>
              <w:t>Maternal gestational weight gain</w:t>
            </w:r>
            <w:r w:rsidRPr="009D7F38">
              <w:rPr>
                <w:rFonts w:ascii="Garamond" w:hAnsi="Garamond"/>
                <w:lang w:val="en-AU"/>
              </w:rPr>
              <w:t xml:space="preserve"> during pregnancy: prioritising the conversation (Ruth Walker, Danielle Mazza, Michelle Blumfield, Christie </w:t>
            </w:r>
            <w:r>
              <w:rPr>
                <w:rFonts w:ascii="Garamond" w:hAnsi="Garamond"/>
                <w:lang w:val="en-AU"/>
              </w:rPr>
              <w:t>Bennett and Helen Truby)</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lang w:val="en-AU"/>
              </w:rPr>
              <w:t xml:space="preserve">Transition to adult care for </w:t>
            </w:r>
            <w:r w:rsidRPr="009D7F38">
              <w:rPr>
                <w:rFonts w:ascii="Garamond" w:hAnsi="Garamond"/>
                <w:b/>
                <w:lang w:val="en-AU"/>
              </w:rPr>
              <w:t>Aboriginal children with rheumatic fever</w:t>
            </w:r>
            <w:r w:rsidRPr="009D7F38">
              <w:rPr>
                <w:rFonts w:ascii="Garamond" w:hAnsi="Garamond"/>
                <w:lang w:val="en-AU"/>
              </w:rPr>
              <w:t>: a review informed by a focussed ethnography in northern Australia (Alice G Mitchell, Suzanne Belton, Van</w:t>
            </w:r>
            <w:r>
              <w:rPr>
                <w:rFonts w:ascii="Garamond" w:hAnsi="Garamond"/>
                <w:lang w:val="en-AU"/>
              </w:rPr>
              <w:t>essa Johnston and Anna P Ralph)</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lang w:val="en-AU"/>
              </w:rPr>
              <w:t xml:space="preserve">Influence of the social determinants of health on </w:t>
            </w:r>
            <w:r w:rsidRPr="009D7F38">
              <w:rPr>
                <w:rFonts w:ascii="Garamond" w:hAnsi="Garamond"/>
                <w:b/>
                <w:lang w:val="en-AU"/>
              </w:rPr>
              <w:t>access to healthcare services among refugees</w:t>
            </w:r>
            <w:r w:rsidRPr="009D7F38">
              <w:rPr>
                <w:rFonts w:ascii="Garamond" w:hAnsi="Garamond"/>
                <w:lang w:val="en-AU"/>
              </w:rPr>
              <w:t xml:space="preserve"> in Australia (Jessica</w:t>
            </w:r>
            <w:r>
              <w:rPr>
                <w:rFonts w:ascii="Garamond" w:hAnsi="Garamond"/>
                <w:lang w:val="en-AU"/>
              </w:rPr>
              <w:t xml:space="preserve"> Taylor and G Lamaro Haintz)</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lang w:val="en-AU"/>
              </w:rPr>
              <w:t xml:space="preserve">Systems levers for </w:t>
            </w:r>
            <w:r w:rsidRPr="009D7F38">
              <w:rPr>
                <w:rFonts w:ascii="Garamond" w:hAnsi="Garamond"/>
                <w:b/>
                <w:lang w:val="en-AU"/>
              </w:rPr>
              <w:t>commissioning primary mental healthcare</w:t>
            </w:r>
            <w:r w:rsidRPr="009D7F38">
              <w:rPr>
                <w:rFonts w:ascii="Garamond" w:hAnsi="Garamond"/>
                <w:lang w:val="en-AU"/>
              </w:rPr>
              <w:t>: a rapid review (Carla Meurk, Meredith Harris, Eryn Wright, Nicola Reavley, Roman Scheurer, Bridget Bassilios,</w:t>
            </w:r>
            <w:r>
              <w:rPr>
                <w:rFonts w:ascii="Garamond" w:hAnsi="Garamond"/>
                <w:lang w:val="en-AU"/>
              </w:rPr>
              <w:t xml:space="preserve"> Caroline Salom and Jane Pirkis)</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b/>
                <w:lang w:val="en-AU"/>
              </w:rPr>
              <w:t>General practice</w:t>
            </w:r>
            <w:r w:rsidRPr="009D7F38">
              <w:rPr>
                <w:rFonts w:ascii="Garamond" w:hAnsi="Garamond"/>
                <w:lang w:val="en-AU"/>
              </w:rPr>
              <w:t xml:space="preserve"> utilisation of Medicare Benefits Schedule items to support the </w:t>
            </w:r>
            <w:r w:rsidRPr="009D7F38">
              <w:rPr>
                <w:rFonts w:ascii="Garamond" w:hAnsi="Garamond"/>
                <w:b/>
                <w:lang w:val="en-AU"/>
              </w:rPr>
              <w:t>care of older patients</w:t>
            </w:r>
            <w:r w:rsidRPr="009D7F38">
              <w:rPr>
                <w:rFonts w:ascii="Garamond" w:hAnsi="Garamond"/>
                <w:lang w:val="en-AU"/>
              </w:rPr>
              <w:t>: findings from the REDIRECT study (Lyle R Turner, Christopher Pearce, Bianca Brijnath, Colette Browning, Judy Lowthian, Mari</w:t>
            </w:r>
            <w:r>
              <w:rPr>
                <w:rFonts w:ascii="Garamond" w:hAnsi="Garamond"/>
                <w:lang w:val="en-AU"/>
              </w:rPr>
              <w:t>anne Shearer and Danielle Mazza)</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lang w:val="en-AU"/>
              </w:rPr>
              <w:t xml:space="preserve">From micro to macro: assessing </w:t>
            </w:r>
            <w:r w:rsidRPr="009D7F38">
              <w:rPr>
                <w:rFonts w:ascii="Garamond" w:hAnsi="Garamond"/>
                <w:b/>
                <w:lang w:val="en-AU"/>
              </w:rPr>
              <w:t>implementation of integrated care</w:t>
            </w:r>
            <w:r w:rsidRPr="009D7F38">
              <w:rPr>
                <w:rFonts w:ascii="Garamond" w:hAnsi="Garamond"/>
                <w:lang w:val="en-AU"/>
              </w:rPr>
              <w:t xml:space="preserve"> in Australia (</w:t>
            </w:r>
            <w:r>
              <w:rPr>
                <w:rFonts w:ascii="Garamond" w:hAnsi="Garamond"/>
                <w:lang w:val="en-AU"/>
              </w:rPr>
              <w:t>Lisa Angus and Pim P Valentijn)</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lang w:val="en-AU"/>
              </w:rPr>
              <w:lastRenderedPageBreak/>
              <w:t xml:space="preserve"> ‘Falls not a priority’: insights on </w:t>
            </w:r>
            <w:r w:rsidRPr="009D7F38">
              <w:rPr>
                <w:rFonts w:ascii="Garamond" w:hAnsi="Garamond"/>
                <w:b/>
                <w:lang w:val="en-AU"/>
              </w:rPr>
              <w:t>discharging older people, admitted to hospital for a fall</w:t>
            </w:r>
            <w:r w:rsidRPr="009D7F38">
              <w:rPr>
                <w:rFonts w:ascii="Garamond" w:hAnsi="Garamond"/>
                <w:lang w:val="en-AU"/>
              </w:rPr>
              <w:t xml:space="preserve">, back to the community (Claudia Meyer, Emma Renehan, Frances Batchelor, Catherine Said, Terry Haines, </w:t>
            </w:r>
            <w:r>
              <w:rPr>
                <w:rFonts w:ascii="Garamond" w:hAnsi="Garamond"/>
                <w:lang w:val="en-AU"/>
              </w:rPr>
              <w:t>R Elliott and D Goeman)</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b/>
                <w:lang w:val="en-AU"/>
              </w:rPr>
              <w:t>Hospital admissions and emergency department presentations for dental conditions</w:t>
            </w:r>
            <w:r w:rsidRPr="009D7F38">
              <w:rPr>
                <w:rFonts w:ascii="Garamond" w:hAnsi="Garamond"/>
                <w:lang w:val="en-AU"/>
              </w:rPr>
              <w:t xml:space="preserve"> indicate access to hospital, rather than poor access to dental health care in the community (Matthew Yap, Mei-Ruu Kok, Soniya Nanda, Al</w:t>
            </w:r>
            <w:r>
              <w:rPr>
                <w:rFonts w:ascii="Garamond" w:hAnsi="Garamond"/>
                <w:lang w:val="en-AU"/>
              </w:rPr>
              <w:t>istair Vickery and David Whyatt)</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b/>
                <w:lang w:val="en-AU"/>
              </w:rPr>
              <w:t>Multiple health conditions and barriers to healthcare among older Australians</w:t>
            </w:r>
            <w:r w:rsidRPr="009D7F38">
              <w:rPr>
                <w:rFonts w:ascii="Garamond" w:hAnsi="Garamond"/>
                <w:lang w:val="en-AU"/>
              </w:rPr>
              <w:t>: prevalence, reasons and types of barriers (Jero</w:t>
            </w:r>
            <w:r>
              <w:rPr>
                <w:rFonts w:ascii="Garamond" w:hAnsi="Garamond"/>
                <w:lang w:val="en-AU"/>
              </w:rPr>
              <w:t>mey B Temple and Ruth Williams)</w:t>
            </w:r>
          </w:p>
          <w:p w:rsidR="009D7F38" w:rsidRPr="009D7F38" w:rsidRDefault="009D7F38" w:rsidP="009D7F38">
            <w:pPr>
              <w:pStyle w:val="ListParagraph"/>
              <w:numPr>
                <w:ilvl w:val="0"/>
                <w:numId w:val="19"/>
              </w:numPr>
              <w:rPr>
                <w:rFonts w:ascii="Garamond" w:hAnsi="Garamond"/>
                <w:lang w:val="en-AU"/>
              </w:rPr>
            </w:pPr>
            <w:r w:rsidRPr="009D7F38">
              <w:rPr>
                <w:rFonts w:ascii="Garamond" w:hAnsi="Garamond"/>
                <w:b/>
                <w:lang w:val="en-AU"/>
              </w:rPr>
              <w:t>Health seeking</w:t>
            </w:r>
            <w:r w:rsidRPr="009D7F38">
              <w:rPr>
                <w:rFonts w:ascii="Garamond" w:hAnsi="Garamond"/>
                <w:lang w:val="en-AU"/>
              </w:rPr>
              <w:t xml:space="preserve"> narratives of unwell Sri Lankan Tamil </w:t>
            </w:r>
            <w:r w:rsidRPr="009D7F38">
              <w:rPr>
                <w:rFonts w:ascii="Garamond" w:hAnsi="Garamond"/>
                <w:b/>
                <w:lang w:val="en-AU"/>
              </w:rPr>
              <w:t>refugees</w:t>
            </w:r>
            <w:r w:rsidRPr="009D7F38">
              <w:rPr>
                <w:rFonts w:ascii="Garamond" w:hAnsi="Garamond"/>
                <w:lang w:val="en-AU"/>
              </w:rPr>
              <w:t xml:space="preserve"> in Melbourne Australia (Sophia Samuel, Jenny Advocat and </w:t>
            </w:r>
            <w:r>
              <w:rPr>
                <w:rFonts w:ascii="Garamond" w:hAnsi="Garamond"/>
                <w:lang w:val="en-AU"/>
              </w:rPr>
              <w:t>Grant Russell)</w:t>
            </w:r>
          </w:p>
        </w:tc>
      </w:tr>
    </w:tbl>
    <w:p w:rsidR="009D7F38" w:rsidRPr="000170DA" w:rsidRDefault="009D7F38" w:rsidP="000670CA">
      <w:pPr>
        <w:keepLines/>
        <w:autoSpaceDE w:val="0"/>
        <w:autoSpaceDN w:val="0"/>
        <w:adjustRightInd w:val="0"/>
        <w:rPr>
          <w:rFonts w:ascii="Garamond" w:hAnsi="Garamond"/>
          <w:lang w:val="en-AU"/>
        </w:rPr>
      </w:pPr>
    </w:p>
    <w:p w:rsidR="001C0CF1" w:rsidRPr="000170DA" w:rsidRDefault="001C0CF1" w:rsidP="001C0CF1">
      <w:pPr>
        <w:keepNext/>
        <w:rPr>
          <w:rFonts w:ascii="Garamond" w:hAnsi="Garamond"/>
          <w:lang w:val="en-AU"/>
        </w:rPr>
      </w:pPr>
      <w:r w:rsidRPr="000170DA">
        <w:rPr>
          <w:rFonts w:ascii="Garamond" w:hAnsi="Garamond"/>
          <w:i/>
          <w:lang w:val="en-AU"/>
        </w:rPr>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0170DA" w:rsidTr="00117330">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0170DA" w:rsidRDefault="00C121B9" w:rsidP="00117330">
            <w:pPr>
              <w:keepNext/>
              <w:rPr>
                <w:rFonts w:ascii="Garamond" w:hAnsi="Garamond"/>
                <w:lang w:val="en-AU"/>
              </w:rPr>
            </w:pPr>
            <w:hyperlink r:id="rId30" w:history="1">
              <w:r w:rsidR="001C0CF1" w:rsidRPr="000170DA">
                <w:rPr>
                  <w:rStyle w:val="Hyperlink"/>
                  <w:rFonts w:ascii="Garamond" w:hAnsi="Garamond"/>
                  <w:lang w:val="en-AU"/>
                </w:rPr>
                <w:t>https://qualitysafety.bmj.com/content/early/recent</w:t>
              </w:r>
            </w:hyperlink>
          </w:p>
        </w:tc>
      </w:tr>
      <w:tr w:rsidR="001C0CF1" w:rsidRPr="000170DA" w:rsidTr="00117330">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0170DA" w:rsidRDefault="001C0CF1" w:rsidP="00117330">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772972" w:rsidRDefault="00C703DB" w:rsidP="00C703DB">
            <w:pPr>
              <w:pStyle w:val="ListParagraph"/>
              <w:numPr>
                <w:ilvl w:val="0"/>
                <w:numId w:val="14"/>
              </w:numPr>
              <w:rPr>
                <w:rFonts w:ascii="Garamond" w:hAnsi="Garamond"/>
                <w:lang w:val="en-AU"/>
              </w:rPr>
            </w:pPr>
            <w:r w:rsidRPr="00C703DB">
              <w:rPr>
                <w:rFonts w:ascii="Garamond" w:hAnsi="Garamond"/>
                <w:b/>
                <w:lang w:val="en-AU"/>
              </w:rPr>
              <w:t>Paediatric hospital admission processes and outcomes</w:t>
            </w:r>
            <w:r w:rsidRPr="00C703DB">
              <w:rPr>
                <w:rFonts w:ascii="Garamond" w:hAnsi="Garamond"/>
                <w:lang w:val="en-AU"/>
              </w:rPr>
              <w:t>: a qualitative study of parents’ experiences and priorities</w:t>
            </w:r>
            <w:r>
              <w:rPr>
                <w:rFonts w:ascii="Garamond" w:hAnsi="Garamond"/>
                <w:lang w:val="en-AU"/>
              </w:rPr>
              <w:t xml:space="preserve"> (</w:t>
            </w:r>
            <w:r w:rsidRPr="00C703DB">
              <w:rPr>
                <w:rFonts w:ascii="Garamond" w:hAnsi="Garamond"/>
                <w:lang w:val="en-AU"/>
              </w:rPr>
              <w:t>JoAnna K Leyenaar, Paul A Rizzo, Emily R O’Brien, Peter K Lindenauer</w:t>
            </w:r>
            <w:r>
              <w:rPr>
                <w:rFonts w:ascii="Garamond" w:hAnsi="Garamond"/>
                <w:lang w:val="en-AU"/>
              </w:rPr>
              <w:t>)</w:t>
            </w:r>
          </w:p>
          <w:p w:rsidR="00C703DB" w:rsidRDefault="00EC68EF" w:rsidP="00EC68EF">
            <w:pPr>
              <w:pStyle w:val="ListParagraph"/>
              <w:numPr>
                <w:ilvl w:val="0"/>
                <w:numId w:val="14"/>
              </w:numPr>
              <w:rPr>
                <w:rFonts w:ascii="Garamond" w:hAnsi="Garamond"/>
                <w:lang w:val="en-AU"/>
              </w:rPr>
            </w:pPr>
            <w:r w:rsidRPr="00EC68EF">
              <w:rPr>
                <w:rFonts w:ascii="Garamond" w:hAnsi="Garamond"/>
                <w:lang w:val="en-AU"/>
              </w:rPr>
              <w:t xml:space="preserve">Making soft intelligence hard: a multi-site qualitative study of challenges relating to </w:t>
            </w:r>
            <w:r w:rsidRPr="00EC68EF">
              <w:rPr>
                <w:rFonts w:ascii="Garamond" w:hAnsi="Garamond"/>
                <w:b/>
                <w:lang w:val="en-AU"/>
              </w:rPr>
              <w:t>voice about safety concerns</w:t>
            </w:r>
            <w:r w:rsidRPr="00EC68EF">
              <w:rPr>
                <w:rFonts w:ascii="Garamond" w:hAnsi="Garamond"/>
                <w:lang w:val="en-AU"/>
              </w:rPr>
              <w:t xml:space="preserve"> </w:t>
            </w:r>
            <w:r>
              <w:rPr>
                <w:rFonts w:ascii="Garamond" w:hAnsi="Garamond"/>
                <w:lang w:val="en-AU"/>
              </w:rPr>
              <w:t>(</w:t>
            </w:r>
            <w:r w:rsidRPr="00EC68EF">
              <w:rPr>
                <w:rFonts w:ascii="Garamond" w:hAnsi="Garamond"/>
                <w:lang w:val="en-AU"/>
              </w:rPr>
              <w:t>Graham P Martin, Emma-Louise Aveling, Anne Campbell, Carolyn Tarrant, Peter J Pronovost, Imogen Mitchell, Christian Dankers, David Bates, Mary Dixon-Woods</w:t>
            </w:r>
            <w:r>
              <w:rPr>
                <w:rFonts w:ascii="Garamond" w:hAnsi="Garamond"/>
                <w:lang w:val="en-AU"/>
              </w:rPr>
              <w:t>)</w:t>
            </w:r>
          </w:p>
          <w:p w:rsidR="00433297" w:rsidRPr="00433297" w:rsidRDefault="00433297" w:rsidP="00433297">
            <w:pPr>
              <w:pStyle w:val="ListParagraph"/>
              <w:numPr>
                <w:ilvl w:val="0"/>
                <w:numId w:val="14"/>
              </w:numPr>
              <w:rPr>
                <w:rFonts w:ascii="Garamond" w:hAnsi="Garamond"/>
                <w:lang w:val="en-AU"/>
              </w:rPr>
            </w:pPr>
            <w:r w:rsidRPr="00433297">
              <w:rPr>
                <w:rFonts w:ascii="Garamond" w:hAnsi="Garamond"/>
                <w:lang w:val="en-AU"/>
              </w:rPr>
              <w:t xml:space="preserve">Pilot randomised controlled trial to </w:t>
            </w:r>
            <w:r w:rsidRPr="00433297">
              <w:rPr>
                <w:rFonts w:ascii="Garamond" w:hAnsi="Garamond"/>
                <w:b/>
                <w:lang w:val="en-AU"/>
              </w:rPr>
              <w:t>improve hand hygiene</w:t>
            </w:r>
            <w:r w:rsidRPr="00433297">
              <w:rPr>
                <w:rFonts w:ascii="Garamond" w:hAnsi="Garamond"/>
                <w:lang w:val="en-AU"/>
              </w:rPr>
              <w:t xml:space="preserve"> through mindful moments (Heather Gilmartin, Sanjay Saint, Mary Rogers, Suzanne Winter, Ashley Snyder, Martha Quinn, Vineet Chopra</w:t>
            </w:r>
            <w:r>
              <w:rPr>
                <w:rFonts w:ascii="Garamond" w:hAnsi="Garamond"/>
                <w:lang w:val="en-AU"/>
              </w:rPr>
              <w:t>)</w:t>
            </w:r>
          </w:p>
          <w:p w:rsidR="00433297" w:rsidRPr="00433297" w:rsidRDefault="00433297" w:rsidP="00433297">
            <w:pPr>
              <w:pStyle w:val="ListParagraph"/>
              <w:numPr>
                <w:ilvl w:val="0"/>
                <w:numId w:val="14"/>
              </w:numPr>
              <w:rPr>
                <w:rFonts w:ascii="Garamond" w:hAnsi="Garamond"/>
                <w:lang w:val="en-AU"/>
              </w:rPr>
            </w:pPr>
            <w:r w:rsidRPr="00433297">
              <w:rPr>
                <w:rFonts w:ascii="Garamond" w:hAnsi="Garamond"/>
                <w:lang w:val="en-AU"/>
              </w:rPr>
              <w:t xml:space="preserve">Ethical implications of </w:t>
            </w:r>
            <w:r w:rsidRPr="00433297">
              <w:rPr>
                <w:rFonts w:ascii="Garamond" w:hAnsi="Garamond"/>
                <w:b/>
                <w:lang w:val="en-AU"/>
              </w:rPr>
              <w:t>excessive cluster sizes in cluster randomised trials</w:t>
            </w:r>
            <w:r w:rsidRPr="00433297">
              <w:rPr>
                <w:rFonts w:ascii="Garamond" w:hAnsi="Garamond"/>
                <w:lang w:val="en-AU"/>
              </w:rPr>
              <w:t xml:space="preserve">  (Karla Hemming, Monica Taljaard, Gordon Forbes, Sandra M Eldridge, Charles Weijer</w:t>
            </w:r>
            <w:r>
              <w:rPr>
                <w:rFonts w:ascii="Garamond" w:hAnsi="Garamond"/>
                <w:lang w:val="en-AU"/>
              </w:rPr>
              <w:t>)</w:t>
            </w:r>
          </w:p>
          <w:p w:rsidR="00433297" w:rsidRDefault="00433297" w:rsidP="00433297">
            <w:pPr>
              <w:pStyle w:val="ListParagraph"/>
              <w:numPr>
                <w:ilvl w:val="0"/>
                <w:numId w:val="14"/>
              </w:numPr>
              <w:rPr>
                <w:rFonts w:ascii="Garamond" w:hAnsi="Garamond"/>
                <w:lang w:val="en-AU"/>
              </w:rPr>
            </w:pPr>
            <w:r w:rsidRPr="00433297">
              <w:rPr>
                <w:rFonts w:ascii="Garamond" w:hAnsi="Garamond"/>
                <w:lang w:val="en-AU"/>
              </w:rPr>
              <w:t xml:space="preserve">Using </w:t>
            </w:r>
            <w:r w:rsidRPr="00433297">
              <w:rPr>
                <w:rFonts w:ascii="Garamond" w:hAnsi="Garamond"/>
                <w:b/>
                <w:lang w:val="en-AU"/>
              </w:rPr>
              <w:t>ethnography to study improving healthcare</w:t>
            </w:r>
            <w:r w:rsidRPr="00433297">
              <w:rPr>
                <w:rFonts w:ascii="Garamond" w:hAnsi="Garamond"/>
                <w:lang w:val="en-AU"/>
              </w:rPr>
              <w:t xml:space="preserve">: reflections on the ‘ethnographic’ label </w:t>
            </w:r>
            <w:r>
              <w:rPr>
                <w:rFonts w:ascii="Garamond" w:hAnsi="Garamond"/>
                <w:lang w:val="en-AU"/>
              </w:rPr>
              <w:t>(</w:t>
            </w:r>
            <w:r w:rsidRPr="00433297">
              <w:rPr>
                <w:rFonts w:ascii="Garamond" w:hAnsi="Garamond"/>
                <w:lang w:val="en-AU"/>
              </w:rPr>
              <w:t>Caroline Cupit, Nicola Mackintosh, Natalie Armstrong</w:t>
            </w:r>
            <w:r>
              <w:rPr>
                <w:rFonts w:ascii="Garamond" w:hAnsi="Garamond"/>
                <w:lang w:val="en-AU"/>
              </w:rPr>
              <w:t>)</w:t>
            </w:r>
          </w:p>
          <w:p w:rsidR="0053617C" w:rsidRPr="00C57681" w:rsidRDefault="0053617C" w:rsidP="0053617C">
            <w:pPr>
              <w:pStyle w:val="ListParagraph"/>
              <w:numPr>
                <w:ilvl w:val="0"/>
                <w:numId w:val="14"/>
              </w:numPr>
              <w:rPr>
                <w:rFonts w:ascii="Garamond" w:hAnsi="Garamond"/>
                <w:lang w:val="en-AU"/>
              </w:rPr>
            </w:pPr>
            <w:r w:rsidRPr="0053617C">
              <w:rPr>
                <w:rFonts w:ascii="Garamond" w:hAnsi="Garamond"/>
                <w:lang w:val="en-AU"/>
              </w:rPr>
              <w:t xml:space="preserve">Explanation and elaboration of the </w:t>
            </w:r>
            <w:r w:rsidRPr="0053617C">
              <w:rPr>
                <w:rFonts w:ascii="Garamond" w:hAnsi="Garamond"/>
                <w:b/>
                <w:lang w:val="en-AU"/>
              </w:rPr>
              <w:t>Standards for UNiversal reporting of patient Decision Aid Evaluations</w:t>
            </w:r>
            <w:r w:rsidRPr="0053617C">
              <w:rPr>
                <w:rFonts w:ascii="Garamond" w:hAnsi="Garamond"/>
                <w:lang w:val="en-AU"/>
              </w:rPr>
              <w:t xml:space="preserve"> (SUNDAE) guidelines: examples of reporting SUNDAE items from patient decision aid evaluation literature </w:t>
            </w:r>
            <w:r>
              <w:rPr>
                <w:rFonts w:ascii="Garamond" w:hAnsi="Garamond"/>
                <w:lang w:val="en-AU"/>
              </w:rPr>
              <w:t xml:space="preserve"> (</w:t>
            </w:r>
            <w:r w:rsidRPr="0053617C">
              <w:rPr>
                <w:rFonts w:ascii="Garamond" w:hAnsi="Garamond"/>
                <w:lang w:val="en-AU"/>
              </w:rPr>
              <w:t>Aubri S Hoffman, Karen R Sepucha, Purva Abhyankar, Stacey Sheridan, Hilary Bekker, Annie LeBlanc, Carrie Levin, Mary Ropka, Victoria Shaffer, Dawn Stacey, Peep Stalmeier, Ha Vo, Celia Wills, Richard Thomson</w:t>
            </w:r>
            <w:r>
              <w:rPr>
                <w:rFonts w:ascii="Garamond" w:hAnsi="Garamond"/>
                <w:lang w:val="en-AU"/>
              </w:rPr>
              <w:t>)</w:t>
            </w:r>
          </w:p>
        </w:tc>
      </w:tr>
    </w:tbl>
    <w:p w:rsidR="001C0CF1" w:rsidRPr="000170DA" w:rsidRDefault="001C0CF1" w:rsidP="001C0CF1">
      <w:pPr>
        <w:rPr>
          <w:rFonts w:ascii="Garamond" w:hAnsi="Garamond"/>
          <w:i/>
          <w:lang w:val="en-AU"/>
        </w:rPr>
      </w:pPr>
    </w:p>
    <w:p w:rsidR="00A660B0" w:rsidRPr="000170DA" w:rsidRDefault="00A660B0" w:rsidP="00A660B0">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0170DA" w:rsidRDefault="00C121B9" w:rsidP="006416D1">
            <w:pPr>
              <w:keepNext/>
              <w:rPr>
                <w:rFonts w:ascii="Garamond" w:hAnsi="Garamond"/>
                <w:lang w:val="en-AU"/>
              </w:rPr>
            </w:pPr>
            <w:hyperlink r:id="rId31" w:history="1">
              <w:r w:rsidR="00A660B0" w:rsidRPr="000170DA">
                <w:rPr>
                  <w:rStyle w:val="Hyperlink"/>
                  <w:rFonts w:ascii="Garamond" w:hAnsi="Garamond"/>
                  <w:lang w:val="en-AU"/>
                </w:rPr>
                <w:t>https://academic.oup.com/intqhc/advance-access?papetoc</w:t>
              </w:r>
            </w:hyperlink>
          </w:p>
        </w:tc>
      </w:tr>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Default="00A660B0" w:rsidP="00627744">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E83F72" w:rsidRDefault="00E83F72" w:rsidP="00E83F72">
            <w:pPr>
              <w:pStyle w:val="ListParagraph"/>
              <w:numPr>
                <w:ilvl w:val="0"/>
                <w:numId w:val="14"/>
              </w:numPr>
              <w:rPr>
                <w:rFonts w:ascii="Garamond" w:hAnsi="Garamond"/>
                <w:lang w:val="en-AU"/>
              </w:rPr>
            </w:pPr>
            <w:r w:rsidRPr="00E83F72">
              <w:rPr>
                <w:rFonts w:ascii="Garamond" w:hAnsi="Garamond"/>
                <w:lang w:val="en-AU"/>
              </w:rPr>
              <w:t xml:space="preserve">Monitoring quality of care in </w:t>
            </w:r>
            <w:r w:rsidRPr="00E83F72">
              <w:rPr>
                <w:rFonts w:ascii="Garamond" w:hAnsi="Garamond"/>
                <w:b/>
                <w:lang w:val="en-AU"/>
              </w:rPr>
              <w:t>acute myocardial infarction</w:t>
            </w:r>
            <w:r w:rsidRPr="00E83F72">
              <w:rPr>
                <w:rFonts w:ascii="Garamond" w:hAnsi="Garamond"/>
                <w:lang w:val="en-AU"/>
              </w:rPr>
              <w:t xml:space="preserve"> patients using retrospective registry data (Giovanni Veronesi; Antonella Zambon; John F Beltrame; Francesco Gianfagna; Giovanni Corrao</w:t>
            </w:r>
            <w:r>
              <w:rPr>
                <w:rFonts w:ascii="Garamond" w:hAnsi="Garamond"/>
                <w:lang w:val="en-AU"/>
              </w:rPr>
              <w:t xml:space="preserve">; </w:t>
            </w:r>
            <w:r w:rsidRPr="00E83F72">
              <w:rPr>
                <w:rFonts w:ascii="Garamond" w:hAnsi="Garamond"/>
                <w:lang w:val="en-AU"/>
              </w:rPr>
              <w:t>Marco M Ferrario</w:t>
            </w:r>
            <w:r>
              <w:rPr>
                <w:rFonts w:ascii="Garamond" w:hAnsi="Garamond"/>
                <w:lang w:val="en-AU"/>
              </w:rPr>
              <w:t>)</w:t>
            </w:r>
          </w:p>
          <w:p w:rsidR="00772972" w:rsidRPr="000170DA" w:rsidRDefault="00E83F72" w:rsidP="00E83F72">
            <w:pPr>
              <w:pStyle w:val="ListParagraph"/>
              <w:numPr>
                <w:ilvl w:val="0"/>
                <w:numId w:val="14"/>
              </w:numPr>
              <w:rPr>
                <w:rFonts w:ascii="Garamond" w:hAnsi="Garamond"/>
                <w:lang w:val="en-AU"/>
              </w:rPr>
            </w:pPr>
            <w:r w:rsidRPr="00E83F72">
              <w:rPr>
                <w:rFonts w:ascii="Garamond" w:hAnsi="Garamond"/>
                <w:lang w:val="en-AU"/>
              </w:rPr>
              <w:t xml:space="preserve">A comprehensive framework identifying </w:t>
            </w:r>
            <w:r w:rsidRPr="00E83F72">
              <w:rPr>
                <w:rFonts w:ascii="Garamond" w:hAnsi="Garamond"/>
                <w:b/>
                <w:lang w:val="en-AU"/>
              </w:rPr>
              <w:t>readmission risk factors</w:t>
            </w:r>
            <w:r w:rsidRPr="00E83F72">
              <w:rPr>
                <w:rFonts w:ascii="Garamond" w:hAnsi="Garamond"/>
                <w:lang w:val="en-AU"/>
              </w:rPr>
              <w:t xml:space="preserve"> using the CHAID algorithm: a prospective cohort study</w:t>
            </w:r>
            <w:r>
              <w:rPr>
                <w:rFonts w:ascii="Garamond" w:hAnsi="Garamond"/>
                <w:lang w:val="en-AU"/>
              </w:rPr>
              <w:t xml:space="preserve"> (</w:t>
            </w:r>
            <w:r w:rsidRPr="00E83F72">
              <w:rPr>
                <w:rFonts w:ascii="Garamond" w:hAnsi="Garamond"/>
                <w:lang w:val="en-AU"/>
              </w:rPr>
              <w:t>Sidika Kaya; Gulay Sain Guven; Seda Aydan; Onur Toka</w:t>
            </w:r>
            <w:r>
              <w:rPr>
                <w:rFonts w:ascii="Garamond" w:hAnsi="Garamond"/>
                <w:lang w:val="en-AU"/>
              </w:rPr>
              <w:t>)</w:t>
            </w:r>
          </w:p>
        </w:tc>
      </w:tr>
    </w:tbl>
    <w:p w:rsidR="001C0CF1" w:rsidRDefault="001C0CF1" w:rsidP="00915CB2">
      <w:pPr>
        <w:keepNext/>
        <w:rPr>
          <w:rFonts w:ascii="Garamond" w:hAnsi="Garamond"/>
          <w:i/>
          <w:lang w:val="en-AU"/>
        </w:rPr>
      </w:pPr>
    </w:p>
    <w:p w:rsidR="009C470E" w:rsidRDefault="009C470E">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6E425A" w:rsidRPr="000170DA" w:rsidRDefault="006E425A" w:rsidP="006E425A">
      <w:pPr>
        <w:keepNext/>
        <w:keepLines/>
        <w:rPr>
          <w:rFonts w:ascii="Garamond" w:hAnsi="Garamond"/>
          <w:i/>
          <w:lang w:val="en-AU"/>
        </w:rPr>
      </w:pPr>
      <w:r w:rsidRPr="000170DA">
        <w:rPr>
          <w:rFonts w:ascii="Garamond" w:hAnsi="Garamond"/>
          <w:i/>
          <w:lang w:val="en-AU"/>
        </w:rPr>
        <w:t>[UK] NICE Guidelines and Quality Standards</w:t>
      </w:r>
    </w:p>
    <w:p w:rsidR="006E425A" w:rsidRPr="000170DA" w:rsidRDefault="00C121B9" w:rsidP="006E425A">
      <w:pPr>
        <w:keepNext/>
        <w:keepLines/>
        <w:rPr>
          <w:rFonts w:ascii="Garamond" w:hAnsi="Garamond"/>
          <w:u w:val="single"/>
          <w:lang w:val="en-AU"/>
        </w:rPr>
      </w:pPr>
      <w:hyperlink r:id="rId32" w:history="1">
        <w:r w:rsidR="006E425A" w:rsidRPr="000170DA">
          <w:rPr>
            <w:rStyle w:val="Hyperlink"/>
            <w:rFonts w:ascii="Garamond" w:hAnsi="Garamond"/>
            <w:lang w:val="en-AU"/>
          </w:rPr>
          <w:t>https://www.nice.org.uk</w:t>
        </w:r>
      </w:hyperlink>
    </w:p>
    <w:p w:rsidR="006E425A" w:rsidRPr="000170DA" w:rsidRDefault="006E425A" w:rsidP="006E425A">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614D94" w:rsidRDefault="0053617C" w:rsidP="0053617C">
      <w:pPr>
        <w:pStyle w:val="ListParagraph"/>
        <w:keepNext/>
        <w:keepLines/>
        <w:numPr>
          <w:ilvl w:val="0"/>
          <w:numId w:val="14"/>
        </w:numPr>
        <w:rPr>
          <w:rFonts w:ascii="Garamond" w:hAnsi="Garamond"/>
          <w:lang w:val="en-AU"/>
        </w:rPr>
      </w:pPr>
      <w:r>
        <w:rPr>
          <w:rFonts w:ascii="Garamond" w:hAnsi="Garamond"/>
          <w:lang w:val="en-AU"/>
        </w:rPr>
        <w:t xml:space="preserve">Clinical Guideline CG44 </w:t>
      </w:r>
      <w:r w:rsidRPr="0053617C">
        <w:rPr>
          <w:rFonts w:ascii="Garamond" w:hAnsi="Garamond"/>
          <w:b/>
          <w:i/>
          <w:lang w:val="en-AU"/>
        </w:rPr>
        <w:t>Heavy menstrual bleeding</w:t>
      </w:r>
      <w:r w:rsidRPr="0053617C">
        <w:rPr>
          <w:rFonts w:ascii="Garamond" w:hAnsi="Garamond"/>
          <w:i/>
          <w:lang w:val="en-AU"/>
        </w:rPr>
        <w:t>: assessment and management</w:t>
      </w:r>
      <w:r>
        <w:rPr>
          <w:rFonts w:ascii="Garamond" w:hAnsi="Garamond"/>
          <w:lang w:val="en-AU"/>
        </w:rPr>
        <w:t xml:space="preserve"> </w:t>
      </w:r>
      <w:hyperlink r:id="rId33" w:history="1">
        <w:r w:rsidRPr="00ED6C25">
          <w:rPr>
            <w:rStyle w:val="Hyperlink"/>
            <w:rFonts w:ascii="Garamond" w:hAnsi="Garamond"/>
            <w:lang w:val="en-AU"/>
          </w:rPr>
          <w:t>https://www.nice.org.uk/guidance/cg44</w:t>
        </w:r>
      </w:hyperlink>
    </w:p>
    <w:p w:rsidR="0053617C" w:rsidRDefault="0053617C" w:rsidP="0053617C">
      <w:pPr>
        <w:pStyle w:val="ListParagraph"/>
        <w:keepNext/>
        <w:keepLines/>
        <w:numPr>
          <w:ilvl w:val="0"/>
          <w:numId w:val="14"/>
        </w:numPr>
        <w:rPr>
          <w:rFonts w:ascii="Garamond" w:hAnsi="Garamond"/>
          <w:lang w:val="en-AU"/>
        </w:rPr>
      </w:pPr>
      <w:r w:rsidRPr="0053617C">
        <w:rPr>
          <w:rFonts w:ascii="Garamond" w:hAnsi="Garamond"/>
          <w:lang w:val="en-AU"/>
        </w:rPr>
        <w:t xml:space="preserve">Clinical Guideline CG147 </w:t>
      </w:r>
      <w:r w:rsidRPr="0053617C">
        <w:rPr>
          <w:rFonts w:ascii="Garamond" w:hAnsi="Garamond"/>
          <w:b/>
          <w:i/>
          <w:lang w:val="en-AU"/>
        </w:rPr>
        <w:t>Peripheral arterial disease</w:t>
      </w:r>
      <w:r w:rsidRPr="0053617C">
        <w:rPr>
          <w:rFonts w:ascii="Garamond" w:hAnsi="Garamond"/>
          <w:i/>
          <w:lang w:val="en-AU"/>
        </w:rPr>
        <w:t>: diagnosis and management</w:t>
      </w:r>
      <w:r w:rsidRPr="0053617C">
        <w:rPr>
          <w:rFonts w:ascii="Garamond" w:hAnsi="Garamond"/>
          <w:lang w:val="en-AU"/>
        </w:rPr>
        <w:t xml:space="preserve"> </w:t>
      </w:r>
      <w:hyperlink r:id="rId34" w:history="1">
        <w:r w:rsidRPr="0053617C">
          <w:rPr>
            <w:rStyle w:val="Hyperlink"/>
            <w:rFonts w:ascii="Garamond" w:hAnsi="Garamond"/>
            <w:lang w:val="en-AU"/>
          </w:rPr>
          <w:t>https://www.nice.org.uk/guidance/cg147</w:t>
        </w:r>
      </w:hyperlink>
    </w:p>
    <w:p w:rsidR="0053617C" w:rsidRPr="0053617C" w:rsidRDefault="0053617C" w:rsidP="0053617C">
      <w:pPr>
        <w:pStyle w:val="ListParagraph"/>
        <w:keepNext/>
        <w:keepLines/>
        <w:numPr>
          <w:ilvl w:val="0"/>
          <w:numId w:val="14"/>
        </w:numPr>
        <w:rPr>
          <w:rFonts w:ascii="Garamond" w:hAnsi="Garamond"/>
          <w:lang w:val="en-AU"/>
        </w:rPr>
      </w:pPr>
      <w:r w:rsidRPr="0053617C">
        <w:rPr>
          <w:rFonts w:ascii="Garamond" w:hAnsi="Garamond"/>
          <w:lang w:val="en-AU"/>
        </w:rPr>
        <w:t xml:space="preserve">NICE </w:t>
      </w:r>
      <w:r w:rsidR="00F30FA3" w:rsidRPr="0053617C">
        <w:rPr>
          <w:rFonts w:ascii="Garamond" w:hAnsi="Garamond"/>
          <w:lang w:val="en-AU"/>
        </w:rPr>
        <w:t>Guideline</w:t>
      </w:r>
      <w:r w:rsidRPr="0053617C">
        <w:rPr>
          <w:rFonts w:ascii="Garamond" w:hAnsi="Garamond"/>
          <w:lang w:val="en-AU"/>
        </w:rPr>
        <w:t xml:space="preserve"> NG86 </w:t>
      </w:r>
      <w:r w:rsidRPr="0053617C">
        <w:rPr>
          <w:rFonts w:ascii="Garamond" w:hAnsi="Garamond"/>
          <w:i/>
          <w:lang w:val="en-AU"/>
        </w:rPr>
        <w:t xml:space="preserve">People's experience in </w:t>
      </w:r>
      <w:r w:rsidRPr="0053617C">
        <w:rPr>
          <w:rFonts w:ascii="Garamond" w:hAnsi="Garamond"/>
          <w:b/>
          <w:i/>
          <w:lang w:val="en-AU"/>
        </w:rPr>
        <w:t>adult social care services</w:t>
      </w:r>
      <w:r w:rsidRPr="0053617C">
        <w:rPr>
          <w:rFonts w:ascii="Garamond" w:hAnsi="Garamond"/>
          <w:i/>
          <w:lang w:val="en-AU"/>
        </w:rPr>
        <w:t>: improving the experience of care and support for people using adult social care services</w:t>
      </w:r>
      <w:r w:rsidRPr="0053617C">
        <w:rPr>
          <w:rFonts w:ascii="Garamond" w:hAnsi="Garamond"/>
          <w:lang w:val="en-AU"/>
        </w:rPr>
        <w:t xml:space="preserve"> </w:t>
      </w:r>
      <w:hyperlink r:id="rId35" w:history="1">
        <w:r w:rsidRPr="0053617C">
          <w:rPr>
            <w:rStyle w:val="Hyperlink"/>
            <w:rFonts w:ascii="Garamond" w:hAnsi="Garamond"/>
            <w:lang w:val="en-AU"/>
          </w:rPr>
          <w:t>https://www.nice.org.uk/guidance/ng86</w:t>
        </w:r>
      </w:hyperlink>
    </w:p>
    <w:p w:rsidR="00AB2467" w:rsidRDefault="00AB2467" w:rsidP="00070CFE">
      <w:pPr>
        <w:rPr>
          <w:rFonts w:ascii="Garamond" w:hAnsi="Garamond"/>
          <w:lang w:val="en-AU"/>
        </w:rPr>
      </w:pPr>
    </w:p>
    <w:p w:rsidR="00614D94" w:rsidRPr="000170DA" w:rsidRDefault="00614D94"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r>
        <w:separator/>
      </w:r>
    </w:p>
  </w:endnote>
  <w:endnote w:type="continuationSeparator" w:id="0">
    <w:p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121B9">
      <w:rPr>
        <w:rStyle w:val="PageNumber"/>
        <w:noProof/>
      </w:rPr>
      <w:t>2</w:t>
    </w:r>
    <w:r>
      <w:rPr>
        <w:rStyle w:val="PageNumber"/>
      </w:rPr>
      <w:fldChar w:fldCharType="end"/>
    </w:r>
  </w:p>
  <w:p w:rsidR="00D04ED2" w:rsidRPr="001E78F0" w:rsidRDefault="00D04ED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35</w:t>
    </w:r>
    <w:r w:rsidR="00614D94">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1E78F0" w:rsidRDefault="00D04ED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121B9">
      <w:rPr>
        <w:rStyle w:val="PageNumber"/>
        <w:rFonts w:ascii="Garamond" w:hAnsi="Garamond"/>
        <w:noProof/>
      </w:rPr>
      <w:t>5</w:t>
    </w:r>
    <w:r w:rsidRPr="001E78F0">
      <w:rPr>
        <w:rStyle w:val="PageNumber"/>
        <w:rFonts w:ascii="Garamond" w:hAnsi="Garamond"/>
      </w:rPr>
      <w:fldChar w:fldCharType="end"/>
    </w:r>
  </w:p>
  <w:p w:rsidR="00D04ED2" w:rsidRPr="001E78F0" w:rsidRDefault="00D04ED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993862">
      <w:rPr>
        <w:rFonts w:ascii="Garamond" w:hAnsi="Garamond"/>
      </w:rPr>
      <w:t xml:space="preserve"> Issue 35</w:t>
    </w:r>
    <w:r w:rsidR="00614D94">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2410C7"/>
    <w:multiLevelType w:val="hybridMultilevel"/>
    <w:tmpl w:val="AE82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525C"/>
    <w:multiLevelType w:val="hybridMultilevel"/>
    <w:tmpl w:val="BD6C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C11D92"/>
    <w:multiLevelType w:val="hybridMultilevel"/>
    <w:tmpl w:val="529E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552A7B"/>
    <w:multiLevelType w:val="hybridMultilevel"/>
    <w:tmpl w:val="F17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6"/>
  </w:num>
  <w:num w:numId="16">
    <w:abstractNumId w:val="19"/>
  </w:num>
  <w:num w:numId="17">
    <w:abstractNumId w:val="11"/>
  </w:num>
  <w:num w:numId="18">
    <w:abstractNumId w:val="17"/>
  </w:num>
  <w:num w:numId="19">
    <w:abstractNumId w:val="12"/>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E87"/>
    <w:rsid w:val="0027520D"/>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1B9"/>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7-007426" TargetMode="External"/><Relationship Id="rId26" Type="http://schemas.openxmlformats.org/officeDocument/2006/relationships/hyperlink" Target="https://qualitysafety.bmj.com/content/27/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136/bmjqs-2017-007021" TargetMode="External"/><Relationship Id="rId34" Type="http://schemas.openxmlformats.org/officeDocument/2006/relationships/hyperlink" Target="https://www.nice.org.uk/guidance/cg147"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x.doi.org/10.1370/afm.2153" TargetMode="External"/><Relationship Id="rId25" Type="http://schemas.openxmlformats.org/officeDocument/2006/relationships/hyperlink" Target="https://doi.org/10.1177/2377960817697712" TargetMode="External"/><Relationship Id="rId33" Type="http://schemas.openxmlformats.org/officeDocument/2006/relationships/hyperlink" Target="https://www.nice.org.uk/guidance/cg4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x.doi.org/10.5694/mja17.00225" TargetMode="External"/><Relationship Id="rId20" Type="http://schemas.openxmlformats.org/officeDocument/2006/relationships/hyperlink" Target="http://dx.doi.org/10.1136/bmjqs-2017-007667" TargetMode="External"/><Relationship Id="rId29" Type="http://schemas.openxmlformats.org/officeDocument/2006/relationships/hyperlink" Target="http://www.publish.csiro.au/py/issue/91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503/cmaj.161403" TargetMode="External"/><Relationship Id="rId32" Type="http://schemas.openxmlformats.org/officeDocument/2006/relationships/hyperlink" Target="https://www.nice.org.uk"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x.doi.org/10.5694/mja17.00723" TargetMode="External"/><Relationship Id="rId28" Type="http://schemas.openxmlformats.org/officeDocument/2006/relationships/hyperlink" Target="https://journals.lww.com/pqs/toc/2018/01000" TargetMode="External"/><Relationship Id="rId36" Type="http://schemas.openxmlformats.org/officeDocument/2006/relationships/footer" Target="footer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dx.doi.org/10.1136/bmjqs-2017-007668" TargetMode="External"/><Relationship Id="rId31" Type="http://schemas.openxmlformats.org/officeDocument/2006/relationships/hyperlink" Target="https://academic.oup.com/intqhc/advance-access?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x.doi.org/10.5694/mja17.00344" TargetMode="External"/><Relationship Id="rId27" Type="http://schemas.openxmlformats.org/officeDocument/2006/relationships/hyperlink" Target="https://academic.oup.com/intqhc/issue/30/1"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nice.org.uk/guidance/ng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8D3B-3F37-4A91-AB4D-E2552847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3831</Words>
  <Characters>23144</Characters>
  <Application>Microsoft Office Word</Application>
  <DocSecurity>0</DocSecurity>
  <Lines>472</Lines>
  <Paragraphs>210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26765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2018-02-23T02:39:00Z</dcterms:created>
  <dcterms:modified xsi:type="dcterms:W3CDTF">2018-02-23T03:01:00Z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