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2927D6">
        <w:rPr>
          <w:rFonts w:ascii="Garamond" w:hAnsi="Garamond"/>
          <w:color w:val="000000"/>
          <w:lang w:val="en-AU"/>
        </w:rPr>
        <w:t>65</w:t>
      </w:r>
    </w:p>
    <w:p w:rsidR="00755242" w:rsidRPr="00467B47" w:rsidRDefault="002927D6" w:rsidP="00B160EF">
      <w:pPr>
        <w:rPr>
          <w:rFonts w:ascii="Garamond" w:hAnsi="Garamond"/>
          <w:lang w:val="en-AU"/>
        </w:rPr>
      </w:pPr>
      <w:r>
        <w:rPr>
          <w:rFonts w:ascii="Garamond" w:hAnsi="Garamond"/>
          <w:lang w:val="en-AU"/>
        </w:rPr>
        <w:t>16</w:t>
      </w:r>
      <w:r w:rsidR="00A3571C">
        <w:rPr>
          <w:rFonts w:ascii="Garamond" w:hAnsi="Garamond"/>
          <w:lang w:val="en-AU"/>
        </w:rPr>
        <w:t xml:space="preserve"> April</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FC4CC6" w:rsidRDefault="00FC4CC6" w:rsidP="005A7997">
      <w:pPr>
        <w:keepLines/>
        <w:autoSpaceDE w:val="0"/>
        <w:autoSpaceDN w:val="0"/>
        <w:adjustRightInd w:val="0"/>
        <w:rPr>
          <w:rFonts w:ascii="Garamond" w:hAnsi="Garamond"/>
          <w:lang w:val="en-AU"/>
        </w:rPr>
      </w:pPr>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t>Reports</w:t>
      </w:r>
    </w:p>
    <w:p w:rsidR="00054C00" w:rsidRDefault="00054C00" w:rsidP="00054C00">
      <w:pPr>
        <w:keepLines/>
        <w:autoSpaceDE w:val="0"/>
        <w:autoSpaceDN w:val="0"/>
        <w:adjustRightInd w:val="0"/>
        <w:rPr>
          <w:rFonts w:ascii="Garamond" w:hAnsi="Garamond"/>
          <w:lang w:val="en-AU"/>
        </w:rPr>
      </w:pPr>
    </w:p>
    <w:p w:rsidR="00AD0F99" w:rsidRPr="00EB0A79" w:rsidRDefault="00AD0F99" w:rsidP="00AD0F99">
      <w:pPr>
        <w:keepLines/>
        <w:autoSpaceDE w:val="0"/>
        <w:autoSpaceDN w:val="0"/>
        <w:adjustRightInd w:val="0"/>
        <w:rPr>
          <w:rFonts w:ascii="Garamond" w:hAnsi="Garamond"/>
          <w:i/>
          <w:lang w:val="en-AU"/>
        </w:rPr>
      </w:pPr>
      <w:r w:rsidRPr="00EB0A79">
        <w:rPr>
          <w:rFonts w:ascii="Garamond" w:hAnsi="Garamond"/>
          <w:i/>
          <w:lang w:val="en-AU"/>
        </w:rPr>
        <w:t>Transforming health care in nursing homes: An evaluation of a dedicated primary care service in outer east London</w:t>
      </w:r>
    </w:p>
    <w:p w:rsidR="00AD0F99" w:rsidRDefault="00AD0F99" w:rsidP="00AD0F99">
      <w:pPr>
        <w:keepLines/>
        <w:autoSpaceDE w:val="0"/>
        <w:autoSpaceDN w:val="0"/>
        <w:adjustRightInd w:val="0"/>
        <w:rPr>
          <w:rFonts w:ascii="Garamond" w:hAnsi="Garamond"/>
          <w:lang w:val="en-AU"/>
        </w:rPr>
      </w:pPr>
      <w:r w:rsidRPr="00EB0A79">
        <w:rPr>
          <w:rFonts w:ascii="Garamond" w:hAnsi="Garamond"/>
          <w:lang w:val="en-AU"/>
        </w:rPr>
        <w:t>Sherlaw-Johnson C, Crump H, Curry N, Paddison C, Meaker R</w:t>
      </w:r>
    </w:p>
    <w:p w:rsidR="00AD0F99" w:rsidRPr="00467B47" w:rsidRDefault="00AD0F99" w:rsidP="00AD0F99">
      <w:pPr>
        <w:keepLines/>
        <w:autoSpaceDE w:val="0"/>
        <w:autoSpaceDN w:val="0"/>
        <w:adjustRightInd w:val="0"/>
        <w:rPr>
          <w:rFonts w:ascii="Garamond" w:hAnsi="Garamond"/>
          <w:lang w:val="en-AU"/>
        </w:rPr>
      </w:pPr>
      <w:r w:rsidRPr="00EB0A79">
        <w:rPr>
          <w:rFonts w:ascii="Garamond" w:hAnsi="Garamond"/>
          <w:lang w:val="en-AU"/>
        </w:rPr>
        <w:t xml:space="preserve">London: Nuffield Trust; 2018. </w:t>
      </w:r>
      <w:proofErr w:type="gramStart"/>
      <w:r w:rsidRPr="00EB0A79">
        <w:rPr>
          <w:rFonts w:ascii="Garamond" w:hAnsi="Garamond"/>
          <w:lang w:val="en-AU"/>
        </w:rPr>
        <w:t>p. 53.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D0F99"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AD0F99" w:rsidRPr="00467B47" w:rsidRDefault="00AD0F99" w:rsidP="0026721F">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0F99" w:rsidRPr="00467B47" w:rsidRDefault="00116DC2" w:rsidP="0026721F">
            <w:pPr>
              <w:rPr>
                <w:rStyle w:val="Hyperlink"/>
                <w:rFonts w:ascii="Garamond" w:hAnsi="Garamond"/>
                <w:color w:val="auto"/>
                <w:u w:val="none"/>
                <w:lang w:val="en-AU"/>
              </w:rPr>
            </w:pPr>
            <w:hyperlink r:id="rId16" w:history="1">
              <w:r w:rsidR="00AD0F99" w:rsidRPr="00C042F0">
                <w:rPr>
                  <w:rStyle w:val="Hyperlink"/>
                  <w:rFonts w:ascii="Garamond" w:hAnsi="Garamond"/>
                  <w:lang w:val="en-AU"/>
                </w:rPr>
                <w:t>https://www.nuffieldtrust.org.uk/research/transforming-health-care-in-nursing-homes-an-evaluation-of-a-dedicated-primary-care-service-in-outer-east-london</w:t>
              </w:r>
            </w:hyperlink>
          </w:p>
        </w:tc>
      </w:tr>
      <w:tr w:rsidR="00AD0F99"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AD0F99" w:rsidRPr="00467B47" w:rsidRDefault="00AD0F99" w:rsidP="0026721F">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0F99" w:rsidRPr="00AA67FA" w:rsidRDefault="00AD0F99" w:rsidP="0026721F">
            <w:pPr>
              <w:rPr>
                <w:rFonts w:ascii="Garamond" w:hAnsi="Garamond"/>
                <w:lang w:val="en-AU"/>
              </w:rPr>
            </w:pPr>
            <w:r>
              <w:rPr>
                <w:rFonts w:ascii="Garamond" w:hAnsi="Garamond"/>
                <w:lang w:val="en-AU"/>
              </w:rPr>
              <w:t xml:space="preserve">The Nuffield Trust has published this research report evaluation of </w:t>
            </w:r>
            <w:r w:rsidRPr="00EB0A79">
              <w:rPr>
                <w:rFonts w:ascii="Garamond" w:hAnsi="Garamond"/>
                <w:lang w:val="en-AU"/>
              </w:rPr>
              <w:t>a new</w:t>
            </w:r>
            <w:r>
              <w:rPr>
                <w:rFonts w:ascii="Garamond" w:hAnsi="Garamond"/>
                <w:lang w:val="en-AU"/>
              </w:rPr>
              <w:t xml:space="preserve"> </w:t>
            </w:r>
            <w:r w:rsidRPr="00EB0A79">
              <w:rPr>
                <w:rFonts w:ascii="Garamond" w:hAnsi="Garamond"/>
                <w:lang w:val="en-AU"/>
              </w:rPr>
              <w:t>primary care service that was being piloted in four nursing homes in the</w:t>
            </w:r>
            <w:r>
              <w:rPr>
                <w:rFonts w:ascii="Garamond" w:hAnsi="Garamond"/>
                <w:lang w:val="en-AU"/>
              </w:rPr>
              <w:t xml:space="preserve"> </w:t>
            </w:r>
            <w:r w:rsidRPr="00EB0A79">
              <w:rPr>
                <w:rFonts w:ascii="Garamond" w:hAnsi="Garamond"/>
                <w:lang w:val="en-AU"/>
              </w:rPr>
              <w:t>London Borough of Havering that had previously had difficulty accessing</w:t>
            </w:r>
            <w:r>
              <w:rPr>
                <w:rFonts w:ascii="Garamond" w:hAnsi="Garamond"/>
                <w:lang w:val="en-AU"/>
              </w:rPr>
              <w:t xml:space="preserve"> </w:t>
            </w:r>
            <w:r w:rsidRPr="00EB0A79">
              <w:rPr>
                <w:rFonts w:ascii="Garamond" w:hAnsi="Garamond"/>
                <w:lang w:val="en-AU"/>
              </w:rPr>
              <w:t>GP services.</w:t>
            </w:r>
            <w:r>
              <w:rPr>
                <w:rFonts w:ascii="Garamond" w:hAnsi="Garamond"/>
                <w:lang w:val="en-AU"/>
              </w:rPr>
              <w:t xml:space="preserve"> The new service’s key </w:t>
            </w:r>
            <w:r w:rsidRPr="00EB0A79">
              <w:rPr>
                <w:rFonts w:ascii="Garamond" w:hAnsi="Garamond"/>
                <w:lang w:val="en-AU"/>
              </w:rPr>
              <w:t>features were the assignment of a single GP practice to all</w:t>
            </w:r>
            <w:r>
              <w:rPr>
                <w:rFonts w:ascii="Garamond" w:hAnsi="Garamond"/>
                <w:lang w:val="en-AU"/>
              </w:rPr>
              <w:t xml:space="preserve"> </w:t>
            </w:r>
            <w:r w:rsidRPr="00EB0A79">
              <w:rPr>
                <w:rFonts w:ascii="Garamond" w:hAnsi="Garamond"/>
                <w:lang w:val="en-AU"/>
              </w:rPr>
              <w:t>residents; access to health care professionals with expertise in caring for older</w:t>
            </w:r>
            <w:r>
              <w:rPr>
                <w:rFonts w:ascii="Garamond" w:hAnsi="Garamond"/>
                <w:lang w:val="en-AU"/>
              </w:rPr>
              <w:t xml:space="preserve"> </w:t>
            </w:r>
            <w:r w:rsidRPr="00EB0A79">
              <w:rPr>
                <w:rFonts w:ascii="Garamond" w:hAnsi="Garamond"/>
                <w:lang w:val="en-AU"/>
              </w:rPr>
              <w:t>people with complex needs; extended access beyond normal GP hours; care</w:t>
            </w:r>
            <w:r>
              <w:rPr>
                <w:rFonts w:ascii="Garamond" w:hAnsi="Garamond"/>
                <w:lang w:val="en-AU"/>
              </w:rPr>
              <w:t xml:space="preserve"> </w:t>
            </w:r>
            <w:r w:rsidRPr="00EB0A79">
              <w:rPr>
                <w:rFonts w:ascii="Garamond" w:hAnsi="Garamond"/>
                <w:lang w:val="en-AU"/>
              </w:rPr>
              <w:t>guidance to nursing home staff; improved medicines management; and new</w:t>
            </w:r>
            <w:r>
              <w:rPr>
                <w:rFonts w:ascii="Garamond" w:hAnsi="Garamond"/>
                <w:lang w:val="en-AU"/>
              </w:rPr>
              <w:t xml:space="preserve"> </w:t>
            </w:r>
            <w:r w:rsidRPr="00EB0A79">
              <w:rPr>
                <w:rFonts w:ascii="Garamond" w:hAnsi="Garamond"/>
                <w:lang w:val="en-AU"/>
              </w:rPr>
              <w:t>approaches for managing people who are at the end of life.</w:t>
            </w:r>
            <w:r>
              <w:rPr>
                <w:rFonts w:ascii="Garamond" w:hAnsi="Garamond"/>
                <w:lang w:val="en-AU"/>
              </w:rPr>
              <w:t xml:space="preserve"> The evaluation found that the service led to </w:t>
            </w:r>
            <w:r w:rsidRPr="0000233C">
              <w:rPr>
                <w:rFonts w:ascii="Garamond" w:hAnsi="Garamond"/>
                <w:lang w:val="en-AU"/>
              </w:rPr>
              <w:t xml:space="preserve">a </w:t>
            </w:r>
            <w:r w:rsidRPr="00EB0A79">
              <w:rPr>
                <w:rFonts w:ascii="Garamond" w:hAnsi="Garamond"/>
                <w:b/>
                <w:lang w:val="en-AU"/>
              </w:rPr>
              <w:t>36 per cent reduction in emergency admissions to hospital</w:t>
            </w:r>
            <w:r>
              <w:rPr>
                <w:rFonts w:ascii="Garamond" w:hAnsi="Garamond"/>
                <w:b/>
                <w:lang w:val="en-AU"/>
              </w:rPr>
              <w:t xml:space="preserve"> </w:t>
            </w:r>
            <w:r>
              <w:rPr>
                <w:rFonts w:ascii="Garamond" w:hAnsi="Garamond"/>
                <w:lang w:val="en-AU"/>
              </w:rPr>
              <w:t xml:space="preserve">and a </w:t>
            </w:r>
            <w:r w:rsidRPr="00EB0A79">
              <w:rPr>
                <w:rFonts w:ascii="Garamond" w:hAnsi="Garamond"/>
                <w:b/>
                <w:lang w:val="en-AU"/>
              </w:rPr>
              <w:t>53%</w:t>
            </w:r>
            <w:r>
              <w:rPr>
                <w:rFonts w:ascii="Garamond" w:hAnsi="Garamond"/>
                <w:lang w:val="en-AU"/>
              </w:rPr>
              <w:t xml:space="preserve"> </w:t>
            </w:r>
            <w:r w:rsidRPr="00EB0A79">
              <w:rPr>
                <w:rFonts w:ascii="Garamond" w:hAnsi="Garamond"/>
                <w:b/>
                <w:lang w:val="en-AU"/>
              </w:rPr>
              <w:t>reduction in emergency bed</w:t>
            </w:r>
            <w:r>
              <w:rPr>
                <w:rFonts w:ascii="Garamond" w:hAnsi="Garamond"/>
                <w:b/>
                <w:lang w:val="en-AU"/>
              </w:rPr>
              <w:t xml:space="preserve"> days</w:t>
            </w:r>
            <w:r w:rsidRPr="0000233C">
              <w:rPr>
                <w:rFonts w:ascii="Garamond" w:hAnsi="Garamond"/>
                <w:lang w:val="en-AU"/>
              </w:rPr>
              <w:t>, with the largest reductions happening during the last three months of a person’s life</w:t>
            </w:r>
            <w:r>
              <w:rPr>
                <w:rFonts w:ascii="Garamond" w:hAnsi="Garamond"/>
                <w:lang w:val="en-AU"/>
              </w:rPr>
              <w:t>.</w:t>
            </w:r>
          </w:p>
        </w:tc>
      </w:tr>
    </w:tbl>
    <w:p w:rsidR="00AD0F99" w:rsidRPr="00467B47" w:rsidRDefault="00AD0F99" w:rsidP="00AD0F99">
      <w:pPr>
        <w:keepLines/>
        <w:autoSpaceDE w:val="0"/>
        <w:autoSpaceDN w:val="0"/>
        <w:adjustRightInd w:val="0"/>
        <w:rPr>
          <w:rFonts w:ascii="Garamond" w:hAnsi="Garamond"/>
          <w:lang w:val="en-AU"/>
        </w:rPr>
      </w:pPr>
    </w:p>
    <w:p w:rsidR="00B33EE0" w:rsidRPr="00CB3211" w:rsidRDefault="00CB3211" w:rsidP="00AD0F99">
      <w:pPr>
        <w:keepNext/>
        <w:keepLines/>
        <w:autoSpaceDE w:val="0"/>
        <w:autoSpaceDN w:val="0"/>
        <w:adjustRightInd w:val="0"/>
        <w:rPr>
          <w:rFonts w:ascii="Garamond" w:hAnsi="Garamond"/>
          <w:i/>
          <w:lang w:val="en-AU"/>
        </w:rPr>
      </w:pPr>
      <w:r w:rsidRPr="00CB3211">
        <w:rPr>
          <w:rFonts w:ascii="Garamond" w:hAnsi="Garamond"/>
          <w:i/>
          <w:lang w:val="en-AU"/>
        </w:rPr>
        <w:lastRenderedPageBreak/>
        <w:t>High level guidance to support a shared view of quality in general practice</w:t>
      </w:r>
    </w:p>
    <w:p w:rsidR="007D6624" w:rsidRDefault="007D6624" w:rsidP="00AD0F99">
      <w:pPr>
        <w:keepNext/>
        <w:keepLines/>
        <w:autoSpaceDE w:val="0"/>
        <w:autoSpaceDN w:val="0"/>
        <w:adjustRightInd w:val="0"/>
        <w:rPr>
          <w:rFonts w:ascii="Garamond" w:hAnsi="Garamond"/>
          <w:lang w:val="en-AU"/>
        </w:rPr>
      </w:pPr>
      <w:r w:rsidRPr="007D6624">
        <w:rPr>
          <w:rFonts w:ascii="Garamond" w:hAnsi="Garamond"/>
          <w:lang w:val="en-AU"/>
        </w:rPr>
        <w:t>Care Quality Commission</w:t>
      </w:r>
    </w:p>
    <w:p w:rsidR="00CB3211" w:rsidRPr="00B33EE0" w:rsidRDefault="007D6624" w:rsidP="00AD0F99">
      <w:pPr>
        <w:keepNext/>
        <w:keepLines/>
        <w:autoSpaceDE w:val="0"/>
        <w:autoSpaceDN w:val="0"/>
        <w:adjustRightInd w:val="0"/>
        <w:rPr>
          <w:rFonts w:ascii="Garamond" w:hAnsi="Garamond"/>
          <w:lang w:val="en-AU"/>
        </w:rPr>
      </w:pPr>
      <w:r w:rsidRPr="007D6624">
        <w:rPr>
          <w:rFonts w:ascii="Garamond" w:hAnsi="Garamond"/>
          <w:lang w:val="en-AU"/>
        </w:rPr>
        <w:t xml:space="preserve">London: NHS England; 2018. </w:t>
      </w:r>
      <w:proofErr w:type="gramStart"/>
      <w:r w:rsidRPr="007D6624">
        <w:rPr>
          <w:rFonts w:ascii="Garamond" w:hAnsi="Garamond"/>
          <w:lang w:val="en-AU"/>
        </w:rPr>
        <w:t>p. 24.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33EE0"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B33EE0" w:rsidRPr="000170DA" w:rsidRDefault="00B33EE0" w:rsidP="0026721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33EE0" w:rsidRPr="000170DA" w:rsidRDefault="00116DC2" w:rsidP="00CB3211">
            <w:pPr>
              <w:rPr>
                <w:rStyle w:val="Hyperlink"/>
                <w:rFonts w:ascii="Garamond" w:hAnsi="Garamond"/>
                <w:color w:val="auto"/>
                <w:u w:val="none"/>
                <w:lang w:val="en-AU"/>
              </w:rPr>
            </w:pPr>
            <w:hyperlink r:id="rId17" w:history="1">
              <w:r w:rsidR="00CB3211" w:rsidRPr="003A1B35">
                <w:rPr>
                  <w:rStyle w:val="Hyperlink"/>
                  <w:rFonts w:ascii="Garamond" w:hAnsi="Garamond"/>
                  <w:lang w:val="en-AU"/>
                </w:rPr>
                <w:t>http://www.cqc.org.uk/guidance-providers/gp-services/regulation-general-practice-programme-board-rgppb</w:t>
              </w:r>
            </w:hyperlink>
          </w:p>
        </w:tc>
      </w:tr>
      <w:tr w:rsidR="00B33EE0"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B33EE0" w:rsidRPr="000170DA" w:rsidRDefault="00B33EE0" w:rsidP="00267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0233C" w:rsidRDefault="007D6624" w:rsidP="007D6624">
            <w:pPr>
              <w:rPr>
                <w:rFonts w:ascii="Garamond" w:hAnsi="Garamond"/>
                <w:lang w:val="en-AU"/>
              </w:rPr>
            </w:pPr>
            <w:r>
              <w:rPr>
                <w:rFonts w:ascii="Garamond" w:hAnsi="Garamond"/>
                <w:lang w:val="en-AU"/>
              </w:rPr>
              <w:t xml:space="preserve">The UK’s Care Quality Commission has published this guidance that has been developed by the eleven </w:t>
            </w:r>
            <w:r w:rsidR="0000233C" w:rsidRPr="0000233C">
              <w:rPr>
                <w:rFonts w:ascii="Garamond" w:hAnsi="Garamond"/>
                <w:lang w:val="en-AU"/>
              </w:rPr>
              <w:t xml:space="preserve">national organisations </w:t>
            </w:r>
            <w:r>
              <w:rPr>
                <w:rFonts w:ascii="Garamond" w:hAnsi="Garamond"/>
                <w:lang w:val="en-AU"/>
              </w:rPr>
              <w:t xml:space="preserve">that </w:t>
            </w:r>
            <w:r w:rsidR="0000233C" w:rsidRPr="0000233C">
              <w:rPr>
                <w:rFonts w:ascii="Garamond" w:hAnsi="Garamond"/>
                <w:lang w:val="en-AU"/>
              </w:rPr>
              <w:t>together are responsible for the regulation and oversight of general practice in England</w:t>
            </w:r>
            <w:r>
              <w:rPr>
                <w:rFonts w:ascii="Garamond" w:hAnsi="Garamond"/>
                <w:lang w:val="en-AU"/>
              </w:rPr>
              <w:t xml:space="preserve">. The guidance is their collective </w:t>
            </w:r>
            <w:r w:rsidR="0000233C" w:rsidRPr="0000233C">
              <w:rPr>
                <w:rFonts w:ascii="Garamond" w:hAnsi="Garamond"/>
                <w:lang w:val="en-AU"/>
              </w:rPr>
              <w:t>view of the principles that define quality in general practice. This national strategy will form the basis for defining quality measures and best practice.</w:t>
            </w:r>
          </w:p>
          <w:p w:rsidR="007D6624" w:rsidRPr="000365E9" w:rsidRDefault="007D6624" w:rsidP="007D6624">
            <w:pPr>
              <w:rPr>
                <w:rFonts w:ascii="Garamond" w:hAnsi="Garamond"/>
                <w:lang w:val="en-AU"/>
              </w:rPr>
            </w:pPr>
            <w:r>
              <w:rPr>
                <w:rFonts w:ascii="Garamond" w:hAnsi="Garamond"/>
                <w:noProof/>
                <w:lang w:val="en-AU" w:eastAsia="en-AU"/>
              </w:rPr>
              <w:drawing>
                <wp:inline distT="0" distB="0" distL="0" distR="0">
                  <wp:extent cx="4533900" cy="5457825"/>
                  <wp:effectExtent l="0" t="0" r="0" b="9525"/>
                  <wp:docPr id="2" name="Picture 2" descr="\\central.health\dfsuserenv\Users\User_07\JOHNNI\Desktop\2018-04-13_11-5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2018-04-13_11-51-4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3900" cy="5457825"/>
                          </a:xfrm>
                          <a:prstGeom prst="rect">
                            <a:avLst/>
                          </a:prstGeom>
                          <a:noFill/>
                          <a:ln>
                            <a:noFill/>
                          </a:ln>
                        </pic:spPr>
                      </pic:pic>
                    </a:graphicData>
                  </a:graphic>
                </wp:inline>
              </w:drawing>
            </w:r>
          </w:p>
        </w:tc>
      </w:tr>
    </w:tbl>
    <w:p w:rsidR="00B33EE0" w:rsidRDefault="00B33EE0" w:rsidP="00054C00">
      <w:pPr>
        <w:keepLines/>
        <w:autoSpaceDE w:val="0"/>
        <w:autoSpaceDN w:val="0"/>
        <w:adjustRightInd w:val="0"/>
        <w:rPr>
          <w:rFonts w:ascii="Garamond" w:hAnsi="Garamond"/>
          <w:lang w:val="en-AU"/>
        </w:rPr>
      </w:pPr>
    </w:p>
    <w:p w:rsidR="00D54F7E" w:rsidRPr="00D54F7E" w:rsidRDefault="00D54F7E" w:rsidP="00D54F7E">
      <w:pPr>
        <w:keepLines/>
        <w:autoSpaceDE w:val="0"/>
        <w:autoSpaceDN w:val="0"/>
        <w:adjustRightInd w:val="0"/>
        <w:rPr>
          <w:rFonts w:ascii="Garamond" w:hAnsi="Garamond"/>
          <w:i/>
          <w:lang w:val="en-AU"/>
        </w:rPr>
      </w:pPr>
      <w:r w:rsidRPr="00D54F7E">
        <w:rPr>
          <w:rFonts w:ascii="Garamond" w:hAnsi="Garamond"/>
          <w:i/>
          <w:lang w:val="en-AU"/>
        </w:rPr>
        <w:t>My Health Record Guidelines for Pharmacists</w:t>
      </w:r>
    </w:p>
    <w:p w:rsidR="006463E4" w:rsidRDefault="006463E4" w:rsidP="00D54F7E">
      <w:pPr>
        <w:keepLines/>
        <w:autoSpaceDE w:val="0"/>
        <w:autoSpaceDN w:val="0"/>
        <w:adjustRightInd w:val="0"/>
        <w:rPr>
          <w:rFonts w:ascii="Garamond" w:hAnsi="Garamond"/>
          <w:lang w:val="en-AU"/>
        </w:rPr>
      </w:pPr>
      <w:r w:rsidRPr="006463E4">
        <w:rPr>
          <w:rFonts w:ascii="Garamond" w:hAnsi="Garamond"/>
          <w:lang w:val="en-AU"/>
        </w:rPr>
        <w:t>Pharmaceutical Society of Australia</w:t>
      </w:r>
    </w:p>
    <w:p w:rsidR="00D54F7E" w:rsidRPr="00467B47" w:rsidRDefault="006463E4" w:rsidP="00D54F7E">
      <w:pPr>
        <w:keepLines/>
        <w:autoSpaceDE w:val="0"/>
        <w:autoSpaceDN w:val="0"/>
        <w:adjustRightInd w:val="0"/>
        <w:rPr>
          <w:rFonts w:ascii="Garamond" w:hAnsi="Garamond"/>
          <w:lang w:val="en-AU"/>
        </w:rPr>
      </w:pPr>
      <w:r w:rsidRPr="006463E4">
        <w:rPr>
          <w:rFonts w:ascii="Garamond" w:hAnsi="Garamond"/>
          <w:lang w:val="en-AU"/>
        </w:rPr>
        <w:t xml:space="preserve">Canberra: Pharmaceutical Society of Australia; 2018. </w:t>
      </w:r>
      <w:proofErr w:type="gramStart"/>
      <w:r w:rsidRPr="006463E4">
        <w:rPr>
          <w:rFonts w:ascii="Garamond" w:hAnsi="Garamond"/>
          <w:lang w:val="en-AU"/>
        </w:rPr>
        <w:t>p. 31.</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54F7E"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D54F7E" w:rsidRPr="00467B47" w:rsidRDefault="00D54F7E" w:rsidP="0026721F">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54F7E" w:rsidRPr="00467B47" w:rsidRDefault="00116DC2" w:rsidP="0026721F">
            <w:pPr>
              <w:rPr>
                <w:rStyle w:val="Hyperlink"/>
                <w:rFonts w:ascii="Garamond" w:hAnsi="Garamond"/>
                <w:color w:val="auto"/>
                <w:u w:val="none"/>
                <w:lang w:val="en-AU"/>
              </w:rPr>
            </w:pPr>
            <w:hyperlink r:id="rId19" w:history="1">
              <w:r w:rsidR="006463E4" w:rsidRPr="00C042F0">
                <w:rPr>
                  <w:rStyle w:val="Hyperlink"/>
                  <w:rFonts w:ascii="Garamond" w:hAnsi="Garamond"/>
                  <w:lang w:val="en-AU"/>
                </w:rPr>
                <w:t>http://www.psa.org.au/wp-content/uploads/My-Health-Record-Guidelines-for-Pharmacists.pdf</w:t>
              </w:r>
            </w:hyperlink>
          </w:p>
        </w:tc>
      </w:tr>
      <w:tr w:rsidR="00D54F7E"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D54F7E" w:rsidRPr="00467B47" w:rsidRDefault="00D54F7E" w:rsidP="0026721F">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4F7E" w:rsidRPr="00AA67FA" w:rsidRDefault="00D54F7E" w:rsidP="00D54F7E">
            <w:pPr>
              <w:rPr>
                <w:rFonts w:ascii="Garamond" w:hAnsi="Garamond"/>
                <w:lang w:val="en-AU"/>
              </w:rPr>
            </w:pPr>
            <w:r w:rsidRPr="00D54F7E">
              <w:rPr>
                <w:rFonts w:ascii="Garamond" w:hAnsi="Garamond"/>
                <w:lang w:val="en-AU"/>
              </w:rPr>
              <w:t xml:space="preserve">The Pharmaceutical Society of Australia (PSA) </w:t>
            </w:r>
            <w:r>
              <w:rPr>
                <w:rFonts w:ascii="Garamond" w:hAnsi="Garamond"/>
                <w:lang w:val="en-AU"/>
              </w:rPr>
              <w:t xml:space="preserve">has </w:t>
            </w:r>
            <w:r w:rsidRPr="00D54F7E">
              <w:rPr>
                <w:rFonts w:ascii="Garamond" w:hAnsi="Garamond"/>
                <w:lang w:val="en-AU"/>
              </w:rPr>
              <w:t xml:space="preserve">launched </w:t>
            </w:r>
            <w:r>
              <w:rPr>
                <w:rFonts w:ascii="Garamond" w:hAnsi="Garamond"/>
                <w:lang w:val="en-AU"/>
              </w:rPr>
              <w:t xml:space="preserve">these </w:t>
            </w:r>
            <w:r w:rsidRPr="00D54F7E">
              <w:rPr>
                <w:rFonts w:ascii="Garamond" w:hAnsi="Garamond"/>
                <w:lang w:val="en-AU"/>
              </w:rPr>
              <w:t xml:space="preserve">guidelines for pharmacists </w:t>
            </w:r>
            <w:r>
              <w:rPr>
                <w:rFonts w:ascii="Garamond" w:hAnsi="Garamond"/>
                <w:lang w:val="en-AU"/>
              </w:rPr>
              <w:t xml:space="preserve">in order </w:t>
            </w:r>
            <w:r w:rsidRPr="00D54F7E">
              <w:rPr>
                <w:rFonts w:ascii="Garamond" w:hAnsi="Garamond"/>
                <w:lang w:val="en-AU"/>
              </w:rPr>
              <w:t>to promote meaningful clinical use of the My Health Record system to enhance patient-centred care.</w:t>
            </w:r>
            <w:r>
              <w:rPr>
                <w:rFonts w:ascii="Garamond" w:hAnsi="Garamond"/>
                <w:lang w:val="en-AU"/>
              </w:rPr>
              <w:t xml:space="preserve"> </w:t>
            </w:r>
            <w:r w:rsidRPr="00D54F7E">
              <w:rPr>
                <w:rFonts w:ascii="Garamond" w:hAnsi="Garamond"/>
                <w:lang w:val="en-AU"/>
              </w:rPr>
              <w:t xml:space="preserve">The new guidelines </w:t>
            </w:r>
            <w:r>
              <w:rPr>
                <w:rFonts w:ascii="Garamond" w:hAnsi="Garamond"/>
                <w:lang w:val="en-AU"/>
              </w:rPr>
              <w:t xml:space="preserve">are intended to </w:t>
            </w:r>
            <w:r w:rsidRPr="00D54F7E">
              <w:rPr>
                <w:rFonts w:ascii="Garamond" w:hAnsi="Garamond"/>
                <w:lang w:val="en-AU"/>
              </w:rPr>
              <w:t>help increase the number of pharmacists using My Health Record</w:t>
            </w:r>
            <w:r>
              <w:rPr>
                <w:rFonts w:ascii="Garamond" w:hAnsi="Garamond"/>
                <w:lang w:val="en-AU"/>
              </w:rPr>
              <w:t>.</w:t>
            </w:r>
          </w:p>
        </w:tc>
      </w:tr>
    </w:tbl>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lastRenderedPageBreak/>
        <w:t>Journal articles</w:t>
      </w:r>
    </w:p>
    <w:p w:rsidR="00054C00" w:rsidRDefault="00054C00" w:rsidP="00691DE3">
      <w:pPr>
        <w:keepLines/>
        <w:autoSpaceDE w:val="0"/>
        <w:autoSpaceDN w:val="0"/>
        <w:adjustRightInd w:val="0"/>
        <w:rPr>
          <w:rFonts w:ascii="Garamond" w:hAnsi="Garamond"/>
          <w:lang w:val="en-AU"/>
        </w:rPr>
      </w:pPr>
    </w:p>
    <w:p w:rsidR="00AA6E44" w:rsidRPr="00922BF8" w:rsidRDefault="00AA6E44" w:rsidP="00AA6E44">
      <w:pPr>
        <w:keepLines/>
        <w:autoSpaceDE w:val="0"/>
        <w:autoSpaceDN w:val="0"/>
        <w:adjustRightInd w:val="0"/>
        <w:rPr>
          <w:rFonts w:ascii="Garamond" w:hAnsi="Garamond"/>
          <w:i/>
          <w:lang w:val="en-AU"/>
        </w:rPr>
      </w:pPr>
      <w:r w:rsidRPr="00922BF8">
        <w:rPr>
          <w:rFonts w:ascii="Garamond" w:hAnsi="Garamond"/>
          <w:i/>
          <w:lang w:val="en-AU"/>
        </w:rPr>
        <w:t>Frequent use of emergency departments by older people: a comparative cohort study of characteristics and outcomes</w:t>
      </w:r>
    </w:p>
    <w:p w:rsidR="00AA6E44" w:rsidRDefault="00AA6E44" w:rsidP="00AA6E44">
      <w:pPr>
        <w:keepLines/>
        <w:autoSpaceDE w:val="0"/>
        <w:autoSpaceDN w:val="0"/>
        <w:adjustRightInd w:val="0"/>
        <w:rPr>
          <w:rFonts w:ascii="Garamond" w:hAnsi="Garamond"/>
          <w:lang w:val="en-AU"/>
        </w:rPr>
      </w:pPr>
      <w:r w:rsidRPr="00922BF8">
        <w:rPr>
          <w:rFonts w:ascii="Garamond" w:hAnsi="Garamond"/>
          <w:lang w:val="en-AU"/>
        </w:rPr>
        <w:t>Street M, Berry D, Considine J</w:t>
      </w:r>
    </w:p>
    <w:p w:rsidR="00AA6E44" w:rsidRDefault="00AA6E44" w:rsidP="00AA6E44">
      <w:pPr>
        <w:keepLines/>
        <w:autoSpaceDE w:val="0"/>
        <w:autoSpaceDN w:val="0"/>
        <w:adjustRightInd w:val="0"/>
        <w:rPr>
          <w:rFonts w:ascii="Garamond" w:hAnsi="Garamond"/>
          <w:lang w:val="en-AU"/>
        </w:rPr>
      </w:pPr>
      <w:proofErr w:type="gramStart"/>
      <w:r w:rsidRPr="00922BF8">
        <w:rPr>
          <w:rFonts w:ascii="Garamond" w:hAnsi="Garamond"/>
          <w:lang w:val="en-AU"/>
        </w:rPr>
        <w:t>International Journal for Quality in Health Care.</w:t>
      </w:r>
      <w:proofErr w:type="gramEnd"/>
      <w:r w:rsidRPr="00922BF8">
        <w:rPr>
          <w:rFonts w:ascii="Garamond" w:hAnsi="Garamond"/>
          <w:lang w:val="en-AU"/>
        </w:rPr>
        <w:t xml:space="preserve"> 2018</w:t>
      </w:r>
      <w:r>
        <w:rPr>
          <w:rFonts w:ascii="Garamond" w:hAnsi="Garamond"/>
          <w:lang w:val="en-AU"/>
        </w:rPr>
        <w:t xml:space="preserve"> [epub]</w:t>
      </w:r>
    </w:p>
    <w:p w:rsidR="00AA6E44" w:rsidRDefault="00AA6E44" w:rsidP="00AA6E44">
      <w:pPr>
        <w:keepLines/>
        <w:autoSpaceDE w:val="0"/>
        <w:autoSpaceDN w:val="0"/>
        <w:adjustRightInd w:val="0"/>
        <w:rPr>
          <w:rFonts w:ascii="Garamond" w:hAnsi="Garamond"/>
          <w:lang w:val="en-AU"/>
        </w:rPr>
      </w:pPr>
    </w:p>
    <w:p w:rsidR="00AA6E44" w:rsidRPr="007D50AA" w:rsidRDefault="00AA6E44" w:rsidP="00AA6E44">
      <w:pPr>
        <w:keepLines/>
        <w:autoSpaceDE w:val="0"/>
        <w:autoSpaceDN w:val="0"/>
        <w:adjustRightInd w:val="0"/>
        <w:rPr>
          <w:rFonts w:ascii="Garamond" w:hAnsi="Garamond"/>
          <w:i/>
          <w:lang w:val="en-AU"/>
        </w:rPr>
      </w:pPr>
      <w:r w:rsidRPr="007D50AA">
        <w:rPr>
          <w:rFonts w:ascii="Garamond" w:hAnsi="Garamond"/>
          <w:i/>
          <w:lang w:val="en-AU"/>
        </w:rPr>
        <w:t>Emergency department utilisation by older people in metropolitan Melbourne, 2008–12: findings from the Reducing Older Patient’s Avoidable Presentations for Emergency Care Treatment (REDIRECT) study</w:t>
      </w:r>
    </w:p>
    <w:p w:rsidR="00AA6E44" w:rsidRDefault="00AA6E44" w:rsidP="00AA6E44">
      <w:pPr>
        <w:keepLines/>
        <w:autoSpaceDE w:val="0"/>
        <w:autoSpaceDN w:val="0"/>
        <w:adjustRightInd w:val="0"/>
        <w:rPr>
          <w:rFonts w:ascii="Garamond" w:hAnsi="Garamond"/>
          <w:lang w:val="en-AU"/>
        </w:rPr>
      </w:pPr>
      <w:r w:rsidRPr="007D50AA">
        <w:rPr>
          <w:rFonts w:ascii="Garamond" w:hAnsi="Garamond"/>
          <w:lang w:val="en-AU"/>
        </w:rPr>
        <w:t>Mazza D, Pearce C, Joe A, Turner LR, Brijnath B, Browning C, et al</w:t>
      </w:r>
    </w:p>
    <w:p w:rsidR="00AA6E44" w:rsidRDefault="00AA6E44" w:rsidP="00AA6E44">
      <w:pPr>
        <w:keepLines/>
        <w:autoSpaceDE w:val="0"/>
        <w:autoSpaceDN w:val="0"/>
        <w:adjustRightInd w:val="0"/>
        <w:rPr>
          <w:rFonts w:ascii="Garamond" w:hAnsi="Garamond"/>
          <w:lang w:val="en-AU"/>
        </w:rPr>
      </w:pPr>
      <w:proofErr w:type="gramStart"/>
      <w:r w:rsidRPr="007D50AA">
        <w:rPr>
          <w:rFonts w:ascii="Garamond" w:hAnsi="Garamond"/>
          <w:lang w:val="en-AU"/>
        </w:rPr>
        <w:t>Australian Health Review.</w:t>
      </w:r>
      <w:proofErr w:type="gramEnd"/>
      <w:r w:rsidRPr="007D50AA">
        <w:rPr>
          <w:rFonts w:ascii="Garamond" w:hAnsi="Garamond"/>
          <w:lang w:val="en-AU"/>
        </w:rPr>
        <w:t xml:space="preserve"> 2018</w:t>
      </w:r>
      <w:proofErr w:type="gramStart"/>
      <w:r w:rsidRPr="007D50AA">
        <w:rPr>
          <w:rFonts w:ascii="Garamond" w:hAnsi="Garamond"/>
          <w:lang w:val="en-AU"/>
        </w:rPr>
        <w:t>;42</w:t>
      </w:r>
      <w:proofErr w:type="gramEnd"/>
      <w:r w:rsidRPr="007D50AA">
        <w:rPr>
          <w:rFonts w:ascii="Garamond" w:hAnsi="Garamond"/>
          <w:lang w:val="en-AU"/>
        </w:rPr>
        <w:t>(2):181-8.</w:t>
      </w:r>
      <w:r w:rsidRPr="00922BF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A6E44"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AA6E44" w:rsidRPr="000170DA" w:rsidRDefault="00AA6E44" w:rsidP="0026721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A6E44" w:rsidRDefault="006018BC" w:rsidP="0026721F">
            <w:pPr>
              <w:rPr>
                <w:rStyle w:val="Hyperlink"/>
                <w:rFonts w:ascii="Garamond" w:hAnsi="Garamond"/>
                <w:lang w:val="en-AU"/>
              </w:rPr>
            </w:pPr>
            <w:r>
              <w:t xml:space="preserve">Street et al </w:t>
            </w:r>
            <w:hyperlink r:id="rId20" w:history="1">
              <w:r w:rsidR="00AA6E44" w:rsidRPr="00C042F0">
                <w:rPr>
                  <w:rStyle w:val="Hyperlink"/>
                  <w:rFonts w:ascii="Garamond" w:hAnsi="Garamond"/>
                  <w:lang w:val="en-AU"/>
                </w:rPr>
                <w:t>https://doi.org/10.1093/intqhc/mzy062</w:t>
              </w:r>
            </w:hyperlink>
          </w:p>
          <w:p w:rsidR="006018BC" w:rsidRPr="000170DA" w:rsidRDefault="006018BC" w:rsidP="006018BC">
            <w:pPr>
              <w:rPr>
                <w:rStyle w:val="Hyperlink"/>
                <w:rFonts w:ascii="Garamond" w:hAnsi="Garamond"/>
                <w:color w:val="auto"/>
                <w:u w:val="none"/>
                <w:lang w:val="en-AU"/>
              </w:rPr>
            </w:pPr>
            <w:r>
              <w:rPr>
                <w:rStyle w:val="Hyperlink"/>
                <w:rFonts w:ascii="Garamond" w:hAnsi="Garamond"/>
                <w:color w:val="auto"/>
                <w:u w:val="none"/>
                <w:lang w:val="en-AU"/>
              </w:rPr>
              <w:t xml:space="preserve">Mazza et al </w:t>
            </w:r>
            <w:hyperlink r:id="rId21" w:history="1">
              <w:r w:rsidRPr="00C042F0">
                <w:rPr>
                  <w:rStyle w:val="Hyperlink"/>
                  <w:rFonts w:ascii="Garamond" w:hAnsi="Garamond"/>
                  <w:lang w:val="en-AU"/>
                </w:rPr>
                <w:t>https://doi.org/10.1071/AH16191</w:t>
              </w:r>
            </w:hyperlink>
          </w:p>
        </w:tc>
      </w:tr>
      <w:tr w:rsidR="00AA6E44"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AA6E44" w:rsidRPr="000170DA" w:rsidRDefault="00AA6E44" w:rsidP="00267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6E44" w:rsidRDefault="00AA6E44" w:rsidP="0026721F">
            <w:pPr>
              <w:rPr>
                <w:rFonts w:ascii="Garamond" w:hAnsi="Garamond"/>
                <w:lang w:val="en-AU"/>
              </w:rPr>
            </w:pPr>
            <w:r>
              <w:rPr>
                <w:rFonts w:ascii="Garamond" w:hAnsi="Garamond"/>
                <w:lang w:val="en-AU"/>
              </w:rPr>
              <w:t>Two Australian studies that looked at the use of hospital emergency departments (ED) by older people.</w:t>
            </w:r>
          </w:p>
          <w:p w:rsidR="00AA6E44" w:rsidRDefault="00AA6E44" w:rsidP="0026721F">
            <w:pPr>
              <w:rPr>
                <w:rFonts w:ascii="Garamond" w:hAnsi="Garamond"/>
                <w:lang w:val="en-AU"/>
              </w:rPr>
            </w:pPr>
            <w:r>
              <w:rPr>
                <w:rFonts w:ascii="Garamond" w:hAnsi="Garamond"/>
                <w:lang w:val="en-AU"/>
              </w:rPr>
              <w:t>Mazza et al sought to examine t</w:t>
            </w:r>
            <w:r w:rsidRPr="007D50AA">
              <w:rPr>
                <w:rFonts w:ascii="Garamond" w:hAnsi="Garamond"/>
                <w:lang w:val="en-AU"/>
              </w:rPr>
              <w:t xml:space="preserve">he characteristics of ED presentations by older patients and to identify patient factors contributing to </w:t>
            </w:r>
            <w:r w:rsidRPr="00895605">
              <w:rPr>
                <w:rFonts w:ascii="Garamond" w:hAnsi="Garamond"/>
                <w:b/>
                <w:lang w:val="en-AU"/>
              </w:rPr>
              <w:t>potentially avoidable</w:t>
            </w:r>
            <w:r w:rsidRPr="007D50AA">
              <w:rPr>
                <w:rFonts w:ascii="Garamond" w:hAnsi="Garamond"/>
                <w:lang w:val="en-AU"/>
              </w:rPr>
              <w:t xml:space="preserve"> general practitioner (PAGP)-type presentations.</w:t>
            </w:r>
            <w:r>
              <w:rPr>
                <w:rFonts w:ascii="Garamond" w:hAnsi="Garamond"/>
                <w:lang w:val="en-AU"/>
              </w:rPr>
              <w:t xml:space="preserve"> Using r</w:t>
            </w:r>
            <w:r w:rsidRPr="007D50AA">
              <w:rPr>
                <w:rFonts w:ascii="Garamond" w:hAnsi="Garamond"/>
                <w:lang w:val="en-AU"/>
              </w:rPr>
              <w:t xml:space="preserve">outinely collected data </w:t>
            </w:r>
            <w:r>
              <w:rPr>
                <w:rFonts w:ascii="Garamond" w:hAnsi="Garamond"/>
                <w:lang w:val="en-AU"/>
              </w:rPr>
              <w:t xml:space="preserve">on </w:t>
            </w:r>
            <w:r w:rsidRPr="007D50AA">
              <w:rPr>
                <w:rFonts w:ascii="Garamond" w:hAnsi="Garamond"/>
                <w:lang w:val="en-AU"/>
              </w:rPr>
              <w:t>ED presentations by patients aged ≥70 years at public hospitals across metropolitan Melbourne from January 2008 to December 2012</w:t>
            </w:r>
            <w:r>
              <w:rPr>
                <w:rFonts w:ascii="Garamond" w:hAnsi="Garamond"/>
                <w:lang w:val="en-AU"/>
              </w:rPr>
              <w:t xml:space="preserve">, encompassing 744,519 presentations the study found that </w:t>
            </w:r>
            <w:r w:rsidRPr="00895605">
              <w:rPr>
                <w:rFonts w:ascii="Garamond" w:hAnsi="Garamond"/>
                <w:b/>
                <w:lang w:val="en-AU"/>
              </w:rPr>
              <w:t xml:space="preserve">13.9% </w:t>
            </w:r>
            <w:r>
              <w:rPr>
                <w:rFonts w:ascii="Garamond" w:hAnsi="Garamond"/>
                <w:lang w:val="en-AU"/>
              </w:rPr>
              <w:t>(</w:t>
            </w:r>
            <w:r w:rsidRPr="007D50AA">
              <w:rPr>
                <w:rFonts w:ascii="Garamond" w:hAnsi="Garamond"/>
                <w:lang w:val="en-AU"/>
              </w:rPr>
              <w:t>103</w:t>
            </w:r>
            <w:r>
              <w:rPr>
                <w:lang w:val="en-AU"/>
              </w:rPr>
              <w:t>,</w:t>
            </w:r>
            <w:r w:rsidRPr="007D50AA">
              <w:rPr>
                <w:rFonts w:ascii="Garamond" w:hAnsi="Garamond"/>
                <w:lang w:val="en-AU"/>
              </w:rPr>
              <w:t>471</w:t>
            </w:r>
            <w:r>
              <w:rPr>
                <w:rFonts w:ascii="Garamond" w:hAnsi="Garamond"/>
                <w:lang w:val="en-AU"/>
              </w:rPr>
              <w:t xml:space="preserve">) could be </w:t>
            </w:r>
            <w:r w:rsidRPr="007D50AA">
              <w:rPr>
                <w:rFonts w:ascii="Garamond" w:hAnsi="Garamond"/>
                <w:lang w:val="en-AU"/>
              </w:rPr>
              <w:t>classified as PAGP-type presentations.</w:t>
            </w:r>
            <w:r>
              <w:rPr>
                <w:rFonts w:ascii="Garamond" w:hAnsi="Garamond"/>
                <w:lang w:val="en-AU"/>
              </w:rPr>
              <w:t xml:space="preserve"> The authors observe that the “</w:t>
            </w:r>
            <w:r w:rsidRPr="00D8018C">
              <w:rPr>
                <w:rFonts w:ascii="Garamond" w:hAnsi="Garamond"/>
                <w:lang w:val="en-AU"/>
              </w:rPr>
              <w:t>low rate of referral back to the primary care setting implies a potential lost opportunity to redirect older patients from ED services back to their GPs for ongoing care.</w:t>
            </w:r>
            <w:r>
              <w:rPr>
                <w:rFonts w:ascii="Garamond" w:hAnsi="Garamond"/>
                <w:lang w:val="en-AU"/>
              </w:rPr>
              <w:t>” They also “</w:t>
            </w:r>
            <w:r w:rsidRPr="00D8018C">
              <w:rPr>
                <w:rFonts w:ascii="Garamond" w:hAnsi="Garamond"/>
                <w:lang w:val="en-AU"/>
              </w:rPr>
              <w:t>found that PAGP-type presentations, although declining, remain an important component of ED demand. Patients presented for a wide array of conditions and during periods that may indicate difficulty accessing a GP.</w:t>
            </w:r>
            <w:r>
              <w:rPr>
                <w:rFonts w:ascii="Garamond" w:hAnsi="Garamond"/>
                <w:lang w:val="en-AU"/>
              </w:rPr>
              <w:t>”</w:t>
            </w:r>
          </w:p>
          <w:p w:rsidR="00AA6E44" w:rsidRPr="000365E9" w:rsidRDefault="00AA6E44" w:rsidP="0026721F">
            <w:pPr>
              <w:rPr>
                <w:rFonts w:ascii="Garamond" w:hAnsi="Garamond"/>
                <w:lang w:val="en-AU"/>
              </w:rPr>
            </w:pPr>
            <w:r>
              <w:rPr>
                <w:rFonts w:ascii="Garamond" w:hAnsi="Garamond"/>
                <w:lang w:val="en-AU"/>
              </w:rPr>
              <w:t xml:space="preserve">Street et al sought to examine and compare the characteristics of </w:t>
            </w:r>
            <w:r w:rsidRPr="007D50AA">
              <w:rPr>
                <w:rFonts w:ascii="Garamond" w:hAnsi="Garamond"/>
                <w:lang w:val="en-AU"/>
              </w:rPr>
              <w:t>older people who frequently use EDs and compare patient outcomes with older non-frequent ED attenders.</w:t>
            </w:r>
            <w:r>
              <w:rPr>
                <w:rFonts w:ascii="Garamond" w:hAnsi="Garamond"/>
                <w:lang w:val="en-AU"/>
              </w:rPr>
              <w:t xml:space="preserve"> Using data from three Australian hospitals </w:t>
            </w:r>
            <w:r w:rsidRPr="007D50AA">
              <w:rPr>
                <w:rFonts w:ascii="Garamond" w:hAnsi="Garamond"/>
                <w:lang w:val="en-AU"/>
              </w:rPr>
              <w:t xml:space="preserve">with a total of 143 327 emergency attendances in </w:t>
            </w:r>
            <w:r>
              <w:rPr>
                <w:rFonts w:ascii="Garamond" w:hAnsi="Garamond"/>
                <w:lang w:val="en-AU"/>
              </w:rPr>
              <w:t xml:space="preserve">a 12 month period. In this study, </w:t>
            </w:r>
            <w:r w:rsidRPr="00095BE2">
              <w:rPr>
                <w:rFonts w:ascii="Garamond" w:hAnsi="Garamond"/>
                <w:b/>
                <w:lang w:val="en-AU"/>
              </w:rPr>
              <w:t>five percent of older people were frequent attenders</w:t>
            </w:r>
            <w:r w:rsidRPr="00095BE2">
              <w:rPr>
                <w:rFonts w:ascii="Garamond" w:hAnsi="Garamond"/>
                <w:lang w:val="en-AU"/>
              </w:rPr>
              <w:t xml:space="preserve">, accounting for 16.9% of all attendances by older people. </w:t>
            </w:r>
            <w:r>
              <w:rPr>
                <w:rFonts w:ascii="Garamond" w:hAnsi="Garamond"/>
                <w:lang w:val="en-AU"/>
              </w:rPr>
              <w:t>The f</w:t>
            </w:r>
            <w:r w:rsidRPr="00095BE2">
              <w:rPr>
                <w:rFonts w:ascii="Garamond" w:hAnsi="Garamond"/>
                <w:lang w:val="en-AU"/>
              </w:rPr>
              <w:t xml:space="preserve">requent ED attenders were </w:t>
            </w:r>
            <w:r w:rsidRPr="00095BE2">
              <w:rPr>
                <w:rFonts w:ascii="Garamond" w:hAnsi="Garamond"/>
                <w:b/>
                <w:lang w:val="en-AU"/>
              </w:rPr>
              <w:t>more likely</w:t>
            </w:r>
            <w:r w:rsidRPr="00095BE2">
              <w:rPr>
                <w:rFonts w:ascii="Garamond" w:hAnsi="Garamond"/>
                <w:lang w:val="en-AU"/>
              </w:rPr>
              <w:t xml:space="preserve"> to be </w:t>
            </w:r>
            <w:r w:rsidRPr="00095BE2">
              <w:rPr>
                <w:rFonts w:ascii="Garamond" w:hAnsi="Garamond"/>
                <w:b/>
                <w:lang w:val="en-AU"/>
              </w:rPr>
              <w:t>male</w:t>
            </w:r>
            <w:r w:rsidRPr="00095BE2">
              <w:rPr>
                <w:rFonts w:ascii="Garamond" w:hAnsi="Garamond"/>
                <w:lang w:val="en-AU"/>
              </w:rPr>
              <w:t xml:space="preserve">, aged </w:t>
            </w:r>
            <w:r w:rsidRPr="00095BE2">
              <w:rPr>
                <w:rFonts w:ascii="Garamond" w:hAnsi="Garamond"/>
                <w:b/>
                <w:lang w:val="en-AU"/>
              </w:rPr>
              <w:t>75–84 years</w:t>
            </w:r>
            <w:r w:rsidRPr="00095BE2">
              <w:rPr>
                <w:rFonts w:ascii="Garamond" w:hAnsi="Garamond"/>
                <w:lang w:val="en-AU"/>
              </w:rPr>
              <w:t xml:space="preserve">, arrive by </w:t>
            </w:r>
            <w:r w:rsidRPr="00095BE2">
              <w:rPr>
                <w:rFonts w:ascii="Garamond" w:hAnsi="Garamond"/>
                <w:b/>
                <w:lang w:val="en-AU"/>
              </w:rPr>
              <w:t>ambulance</w:t>
            </w:r>
            <w:r w:rsidRPr="00095BE2">
              <w:rPr>
                <w:rFonts w:ascii="Garamond" w:hAnsi="Garamond"/>
                <w:lang w:val="en-AU"/>
              </w:rPr>
              <w:t xml:space="preserve"> and have a diagnosis relating to </w:t>
            </w:r>
            <w:r w:rsidRPr="00095BE2">
              <w:rPr>
                <w:rFonts w:ascii="Garamond" w:hAnsi="Garamond"/>
                <w:b/>
                <w:lang w:val="en-AU"/>
              </w:rPr>
              <w:t>chronic illness</w:t>
            </w:r>
            <w:r w:rsidRPr="00095BE2">
              <w:rPr>
                <w:rFonts w:ascii="Garamond" w:hAnsi="Garamond"/>
                <w:lang w:val="en-AU"/>
              </w:rPr>
              <w:t xml:space="preserve">. </w:t>
            </w:r>
            <w:r>
              <w:rPr>
                <w:rFonts w:ascii="Garamond" w:hAnsi="Garamond"/>
                <w:lang w:val="en-AU"/>
              </w:rPr>
              <w:t xml:space="preserve">They were found to </w:t>
            </w:r>
            <w:r w:rsidRPr="00095BE2">
              <w:rPr>
                <w:rFonts w:ascii="Garamond" w:hAnsi="Garamond"/>
                <w:b/>
                <w:lang w:val="en-AU"/>
              </w:rPr>
              <w:t>stay 0.4 h longer</w:t>
            </w:r>
            <w:r w:rsidRPr="00095BE2">
              <w:rPr>
                <w:rFonts w:ascii="Garamond" w:hAnsi="Garamond"/>
                <w:lang w:val="en-AU"/>
              </w:rPr>
              <w:t xml:space="preserve"> in ED, were more likely to be </w:t>
            </w:r>
            <w:r w:rsidRPr="00095BE2">
              <w:rPr>
                <w:rFonts w:ascii="Garamond" w:hAnsi="Garamond"/>
                <w:b/>
                <w:lang w:val="en-AU"/>
              </w:rPr>
              <w:t>admitted</w:t>
            </w:r>
            <w:r w:rsidRPr="00095BE2">
              <w:rPr>
                <w:rFonts w:ascii="Garamond" w:hAnsi="Garamond"/>
                <w:lang w:val="en-AU"/>
              </w:rPr>
              <w:t xml:space="preserve"> to hospital (69.2% vs 67.2%), and had a 1 day longer hospital stay. </w:t>
            </w:r>
            <w:r w:rsidRPr="00095BE2">
              <w:rPr>
                <w:rFonts w:ascii="Garamond" w:hAnsi="Garamond"/>
                <w:b/>
                <w:lang w:val="en-AU"/>
              </w:rPr>
              <w:t>In-hospital mortality</w:t>
            </w:r>
            <w:r w:rsidRPr="00095BE2">
              <w:rPr>
                <w:rFonts w:ascii="Garamond" w:hAnsi="Garamond"/>
                <w:lang w:val="en-AU"/>
              </w:rPr>
              <w:t xml:space="preserve"> for older frequent ED attenders was </w:t>
            </w:r>
            <w:proofErr w:type="gramStart"/>
            <w:r w:rsidRPr="00095BE2">
              <w:rPr>
                <w:rFonts w:ascii="Garamond" w:hAnsi="Garamond"/>
                <w:lang w:val="en-AU"/>
              </w:rPr>
              <w:t>double</w:t>
            </w:r>
            <w:proofErr w:type="gramEnd"/>
            <w:r w:rsidRPr="00095BE2">
              <w:rPr>
                <w:rFonts w:ascii="Garamond" w:hAnsi="Garamond"/>
                <w:lang w:val="en-AU"/>
              </w:rPr>
              <w:t xml:space="preserve"> that of non-frequent attenders (7.0% vs 3.2%</w:t>
            </w:r>
            <w:r>
              <w:rPr>
                <w:rFonts w:ascii="Garamond" w:hAnsi="Garamond"/>
                <w:lang w:val="en-AU"/>
              </w:rPr>
              <w:t>)</w:t>
            </w:r>
            <w:r w:rsidRPr="00095BE2">
              <w:rPr>
                <w:rFonts w:ascii="Garamond" w:hAnsi="Garamond"/>
                <w:lang w:val="en-AU"/>
              </w:rPr>
              <w:t>.</w:t>
            </w:r>
            <w:r>
              <w:rPr>
                <w:rFonts w:ascii="Garamond" w:hAnsi="Garamond"/>
                <w:lang w:val="en-AU"/>
              </w:rPr>
              <w:t xml:space="preserve"> The authors suggest that “</w:t>
            </w:r>
            <w:r w:rsidRPr="00095BE2">
              <w:rPr>
                <w:rFonts w:ascii="Garamond" w:hAnsi="Garamond"/>
                <w:lang w:val="en-AU"/>
              </w:rPr>
              <w:t>A new approach to care planning and coordination is recommended, to optimise the patient journey and improve outcomes.</w:t>
            </w:r>
            <w:r>
              <w:rPr>
                <w:rFonts w:ascii="Garamond" w:hAnsi="Garamond"/>
                <w:lang w:val="en-AU"/>
              </w:rPr>
              <w:t>”</w:t>
            </w:r>
          </w:p>
        </w:tc>
      </w:tr>
    </w:tbl>
    <w:p w:rsidR="00AA6E44" w:rsidRDefault="00AA6E44" w:rsidP="00AA6E44">
      <w:pPr>
        <w:keepLines/>
        <w:autoSpaceDE w:val="0"/>
        <w:autoSpaceDN w:val="0"/>
        <w:adjustRightInd w:val="0"/>
        <w:rPr>
          <w:rFonts w:ascii="Garamond" w:hAnsi="Garamond"/>
          <w:lang w:val="en-AU"/>
        </w:rPr>
      </w:pPr>
    </w:p>
    <w:p w:rsidR="002927D6" w:rsidRPr="007C0E7D" w:rsidRDefault="007C0E7D" w:rsidP="007C0E7D">
      <w:pPr>
        <w:keepLines/>
        <w:autoSpaceDE w:val="0"/>
        <w:autoSpaceDN w:val="0"/>
        <w:adjustRightInd w:val="0"/>
        <w:rPr>
          <w:rFonts w:ascii="Garamond" w:hAnsi="Garamond"/>
          <w:i/>
          <w:lang w:val="en-AU"/>
        </w:rPr>
      </w:pPr>
      <w:r w:rsidRPr="007C0E7D">
        <w:rPr>
          <w:rFonts w:ascii="Garamond" w:hAnsi="Garamond"/>
          <w:i/>
          <w:lang w:val="en-AU"/>
        </w:rPr>
        <w:t>The Person-Centred Care Guideline: From Principle to Practice</w:t>
      </w:r>
    </w:p>
    <w:p w:rsidR="00D8018C" w:rsidRDefault="00D8018C" w:rsidP="007C0E7D">
      <w:pPr>
        <w:keepLines/>
        <w:autoSpaceDE w:val="0"/>
        <w:autoSpaceDN w:val="0"/>
        <w:adjustRightInd w:val="0"/>
        <w:rPr>
          <w:rFonts w:ascii="Garamond" w:hAnsi="Garamond"/>
          <w:lang w:val="en-AU"/>
        </w:rPr>
      </w:pPr>
      <w:r w:rsidRPr="00D8018C">
        <w:rPr>
          <w:rFonts w:ascii="Garamond" w:hAnsi="Garamond"/>
          <w:lang w:val="en-AU"/>
        </w:rPr>
        <w:t>Moody L, Nicholls B, Shamji H, Bridge E, Dhanju S, Singh S</w:t>
      </w:r>
    </w:p>
    <w:p w:rsidR="007C0E7D" w:rsidRDefault="00D8018C" w:rsidP="007C0E7D">
      <w:pPr>
        <w:keepLines/>
        <w:autoSpaceDE w:val="0"/>
        <w:autoSpaceDN w:val="0"/>
        <w:adjustRightInd w:val="0"/>
        <w:rPr>
          <w:rFonts w:ascii="Garamond" w:hAnsi="Garamond"/>
          <w:lang w:val="en-AU"/>
        </w:rPr>
      </w:pPr>
      <w:proofErr w:type="gramStart"/>
      <w:r w:rsidRPr="00D8018C">
        <w:rPr>
          <w:rFonts w:ascii="Garamond" w:hAnsi="Garamond"/>
          <w:lang w:val="en-AU"/>
        </w:rPr>
        <w:t>Journal of Patient Experience.</w:t>
      </w:r>
      <w:proofErr w:type="gramEnd"/>
      <w:r w:rsidRPr="00D8018C">
        <w:rPr>
          <w:rFonts w:ascii="Garamond" w:hAnsi="Garamond"/>
          <w:lang w:val="en-AU"/>
        </w:rPr>
        <w:t xml:space="preserve"> </w:t>
      </w:r>
      <w:proofErr w:type="gramStart"/>
      <w:r w:rsidRPr="00D8018C">
        <w:rPr>
          <w:rFonts w:ascii="Garamond" w:hAnsi="Garamond"/>
          <w:lang w:val="en-AU"/>
        </w:rPr>
        <w:t>2018</w:t>
      </w:r>
      <w:r>
        <w:rPr>
          <w:rFonts w:ascii="Garamond" w:hAnsi="Garamond"/>
          <w:lang w:val="en-AU"/>
        </w:rPr>
        <w:t xml:space="preserve"> [epub]</w:t>
      </w:r>
      <w:r w:rsidRPr="00D8018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927D6"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2927D6" w:rsidRPr="000170DA" w:rsidRDefault="002927D6" w:rsidP="0026721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27D6" w:rsidRPr="000170DA" w:rsidRDefault="00116DC2" w:rsidP="0026721F">
            <w:pPr>
              <w:rPr>
                <w:rStyle w:val="Hyperlink"/>
                <w:rFonts w:ascii="Garamond" w:hAnsi="Garamond"/>
                <w:color w:val="auto"/>
                <w:u w:val="none"/>
                <w:lang w:val="en-AU"/>
              </w:rPr>
            </w:pPr>
            <w:hyperlink r:id="rId22" w:history="1">
              <w:r w:rsidR="007C0E7D" w:rsidRPr="003A1B35">
                <w:rPr>
                  <w:rStyle w:val="Hyperlink"/>
                  <w:rFonts w:ascii="Garamond" w:hAnsi="Garamond"/>
                  <w:lang w:val="en-AU"/>
                </w:rPr>
                <w:t>https://doi.org/10.1177/2374373518765792</w:t>
              </w:r>
            </w:hyperlink>
          </w:p>
        </w:tc>
      </w:tr>
      <w:tr w:rsidR="002927D6"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2927D6" w:rsidRPr="000170DA" w:rsidRDefault="002927D6" w:rsidP="00267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018C" w:rsidRPr="000365E9" w:rsidRDefault="00D8018C" w:rsidP="00D8018C">
            <w:pPr>
              <w:rPr>
                <w:rFonts w:ascii="Garamond" w:hAnsi="Garamond"/>
                <w:lang w:val="en-AU"/>
              </w:rPr>
            </w:pPr>
            <w:r>
              <w:rPr>
                <w:rFonts w:ascii="Garamond" w:hAnsi="Garamond"/>
                <w:lang w:val="en-AU"/>
              </w:rPr>
              <w:t xml:space="preserve">Paper describing the development, content and dissemination of the 2015 Person-Centred Care Guideline. </w:t>
            </w:r>
            <w:r w:rsidRPr="00D8018C">
              <w:rPr>
                <w:rFonts w:ascii="Garamond" w:hAnsi="Garamond"/>
                <w:lang w:val="en-AU"/>
              </w:rPr>
              <w:t xml:space="preserve">The PCC Guideline </w:t>
            </w:r>
            <w:r>
              <w:rPr>
                <w:rFonts w:ascii="Garamond" w:hAnsi="Garamond"/>
                <w:lang w:val="en-AU"/>
              </w:rPr>
              <w:t xml:space="preserve">seeks to </w:t>
            </w:r>
            <w:r w:rsidRPr="00D8018C">
              <w:rPr>
                <w:rFonts w:ascii="Garamond" w:hAnsi="Garamond"/>
                <w:lang w:val="en-AU"/>
              </w:rPr>
              <w:t>define core PCC principles to outline a level of service that every person accessing cancer services in Ontario, Canada should expect to receive.</w:t>
            </w:r>
            <w:r>
              <w:rPr>
                <w:rFonts w:ascii="Garamond" w:hAnsi="Garamond"/>
                <w:lang w:val="en-AU"/>
              </w:rPr>
              <w:t xml:space="preserve"> The dissemination approaches included an </w:t>
            </w:r>
            <w:r w:rsidRPr="00D8018C">
              <w:rPr>
                <w:rFonts w:ascii="Garamond" w:hAnsi="Garamond"/>
                <w:lang w:val="en-AU"/>
              </w:rPr>
              <w:t>educational intervention via a PCC video, media engagement, and research/knowledge user networks.</w:t>
            </w:r>
          </w:p>
        </w:tc>
      </w:tr>
    </w:tbl>
    <w:p w:rsidR="002927D6" w:rsidRDefault="002927D6" w:rsidP="002927D6">
      <w:pPr>
        <w:keepLines/>
        <w:autoSpaceDE w:val="0"/>
        <w:autoSpaceDN w:val="0"/>
        <w:adjustRightInd w:val="0"/>
        <w:rPr>
          <w:rFonts w:ascii="Garamond" w:hAnsi="Garamond"/>
          <w:lang w:val="en-AU"/>
        </w:rPr>
      </w:pPr>
    </w:p>
    <w:p w:rsidR="00693710" w:rsidRDefault="00693710" w:rsidP="002927D6">
      <w:pPr>
        <w:keepLines/>
        <w:autoSpaceDE w:val="0"/>
        <w:autoSpaceDN w:val="0"/>
        <w:adjustRightInd w:val="0"/>
        <w:rPr>
          <w:rFonts w:ascii="Garamond" w:hAnsi="Garamond"/>
          <w:lang w:val="en-AU"/>
        </w:rPr>
      </w:pPr>
      <w:r w:rsidRPr="00467B47">
        <w:rPr>
          <w:rFonts w:ascii="Garamond" w:hAnsi="Garamond"/>
          <w:lang w:val="en-AU"/>
        </w:rPr>
        <w:t>For information about the Commission’s work on</w:t>
      </w:r>
      <w:r>
        <w:rPr>
          <w:rFonts w:ascii="Garamond" w:hAnsi="Garamond"/>
          <w:lang w:val="en-AU"/>
        </w:rPr>
        <w:t xml:space="preserve"> patient and consumer centred care, see </w:t>
      </w:r>
      <w:hyperlink r:id="rId23" w:history="1">
        <w:r w:rsidRPr="00C042F0">
          <w:rPr>
            <w:rStyle w:val="Hyperlink"/>
            <w:rFonts w:ascii="Garamond" w:hAnsi="Garamond"/>
            <w:lang w:val="en-AU"/>
          </w:rPr>
          <w:t>https://www.safetyandquality.gov.au/our-work/patient-and-consumer-centred-care/</w:t>
        </w:r>
      </w:hyperlink>
    </w:p>
    <w:p w:rsidR="00A80886" w:rsidRPr="00AD0F99" w:rsidRDefault="00A80886" w:rsidP="00A80886">
      <w:pPr>
        <w:keepLines/>
        <w:autoSpaceDE w:val="0"/>
        <w:autoSpaceDN w:val="0"/>
        <w:adjustRightInd w:val="0"/>
        <w:rPr>
          <w:rFonts w:ascii="Garamond" w:hAnsi="Garamond"/>
          <w:i/>
          <w:lang w:val="en-AU"/>
        </w:rPr>
      </w:pPr>
      <w:r w:rsidRPr="00AD0F99">
        <w:rPr>
          <w:rFonts w:ascii="Garamond" w:hAnsi="Garamond"/>
          <w:i/>
          <w:lang w:val="en-AU"/>
        </w:rPr>
        <w:lastRenderedPageBreak/>
        <w:t>Factors associated with multiple barriers to access to primary care: an international analysis</w:t>
      </w:r>
    </w:p>
    <w:p w:rsidR="00A80886" w:rsidRDefault="00A80886" w:rsidP="00A80886">
      <w:pPr>
        <w:keepLines/>
        <w:autoSpaceDE w:val="0"/>
        <w:autoSpaceDN w:val="0"/>
        <w:adjustRightInd w:val="0"/>
        <w:rPr>
          <w:rFonts w:ascii="Garamond" w:hAnsi="Garamond"/>
          <w:lang w:val="en-AU"/>
        </w:rPr>
      </w:pPr>
      <w:r w:rsidRPr="0026721F">
        <w:rPr>
          <w:rFonts w:ascii="Garamond" w:hAnsi="Garamond"/>
          <w:lang w:val="en-AU"/>
        </w:rPr>
        <w:t>Corscadden L, Levesque JF, Lewis V, Strumpf E, Breton M, Russell G</w:t>
      </w:r>
    </w:p>
    <w:p w:rsidR="00A80886" w:rsidRDefault="00A80886" w:rsidP="00A80886">
      <w:pPr>
        <w:keepLines/>
        <w:autoSpaceDE w:val="0"/>
        <w:autoSpaceDN w:val="0"/>
        <w:adjustRightInd w:val="0"/>
        <w:rPr>
          <w:rFonts w:ascii="Garamond" w:hAnsi="Garamond"/>
          <w:lang w:val="en-AU"/>
        </w:rPr>
      </w:pPr>
      <w:proofErr w:type="gramStart"/>
      <w:r w:rsidRPr="0026721F">
        <w:rPr>
          <w:rFonts w:ascii="Garamond" w:hAnsi="Garamond"/>
          <w:lang w:val="en-AU"/>
        </w:rPr>
        <w:t>International Journal for Equity in Health.</w:t>
      </w:r>
      <w:proofErr w:type="gramEnd"/>
      <w:r w:rsidRPr="0026721F">
        <w:rPr>
          <w:rFonts w:ascii="Garamond" w:hAnsi="Garamond"/>
          <w:lang w:val="en-AU"/>
        </w:rPr>
        <w:t xml:space="preserve"> 2018 February 20</w:t>
      </w:r>
      <w:proofErr w:type="gramStart"/>
      <w:r w:rsidRPr="0026721F">
        <w:rPr>
          <w:rFonts w:ascii="Garamond" w:hAnsi="Garamond"/>
          <w:lang w:val="en-AU"/>
        </w:rPr>
        <w:t>;17</w:t>
      </w:r>
      <w:proofErr w:type="gramEnd"/>
      <w:r w:rsidRPr="0026721F">
        <w:rPr>
          <w:rFonts w:ascii="Garamond" w:hAnsi="Garamond"/>
          <w:lang w:val="en-AU"/>
        </w:rPr>
        <w:t>(1):28.</w:t>
      </w:r>
    </w:p>
    <w:tbl>
      <w:tblPr>
        <w:tblStyle w:val="TableGrid"/>
        <w:tblW w:w="0" w:type="auto"/>
        <w:tblInd w:w="288" w:type="dxa"/>
        <w:tblLayout w:type="fixed"/>
        <w:tblLook w:val="01E0" w:firstRow="1" w:lastRow="1" w:firstColumn="1" w:lastColumn="1" w:noHBand="0" w:noVBand="0"/>
      </w:tblPr>
      <w:tblGrid>
        <w:gridCol w:w="1080"/>
        <w:gridCol w:w="8280"/>
      </w:tblGrid>
      <w:tr w:rsidR="00A80886" w:rsidRPr="000170DA" w:rsidTr="000C30FA">
        <w:tc>
          <w:tcPr>
            <w:tcW w:w="1080" w:type="dxa"/>
            <w:tcBorders>
              <w:top w:val="single" w:sz="4" w:space="0" w:color="auto"/>
              <w:left w:val="single" w:sz="4" w:space="0" w:color="auto"/>
              <w:bottom w:val="single" w:sz="4" w:space="0" w:color="auto"/>
              <w:right w:val="single" w:sz="4" w:space="0" w:color="auto"/>
            </w:tcBorders>
            <w:vAlign w:val="center"/>
          </w:tcPr>
          <w:p w:rsidR="00A80886" w:rsidRPr="000170DA" w:rsidRDefault="00A80886" w:rsidP="000C30F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0886" w:rsidRPr="000170DA" w:rsidRDefault="00116DC2" w:rsidP="000C30FA">
            <w:pPr>
              <w:rPr>
                <w:rStyle w:val="Hyperlink"/>
                <w:rFonts w:ascii="Garamond" w:hAnsi="Garamond"/>
                <w:color w:val="auto"/>
                <w:u w:val="none"/>
                <w:lang w:val="en-AU"/>
              </w:rPr>
            </w:pPr>
            <w:hyperlink r:id="rId24" w:history="1">
              <w:r w:rsidR="00A80886" w:rsidRPr="00C042F0">
                <w:rPr>
                  <w:rStyle w:val="Hyperlink"/>
                  <w:rFonts w:ascii="Garamond" w:hAnsi="Garamond"/>
                  <w:lang w:val="en-AU"/>
                </w:rPr>
                <w:t>https://dx.doi.org/10.1186%2Fs12939-018-0740-1</w:t>
              </w:r>
            </w:hyperlink>
          </w:p>
        </w:tc>
      </w:tr>
      <w:tr w:rsidR="00A80886" w:rsidRPr="000170DA" w:rsidTr="000C30FA">
        <w:tc>
          <w:tcPr>
            <w:tcW w:w="1080" w:type="dxa"/>
            <w:tcBorders>
              <w:top w:val="single" w:sz="4" w:space="0" w:color="auto"/>
              <w:left w:val="single" w:sz="4" w:space="0" w:color="auto"/>
              <w:bottom w:val="single" w:sz="4" w:space="0" w:color="auto"/>
              <w:right w:val="single" w:sz="4" w:space="0" w:color="auto"/>
            </w:tcBorders>
            <w:vAlign w:val="center"/>
          </w:tcPr>
          <w:p w:rsidR="00A80886" w:rsidRPr="000170DA" w:rsidRDefault="00A80886" w:rsidP="000C30F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0886" w:rsidRPr="000365E9" w:rsidRDefault="00A80886" w:rsidP="000C30FA">
            <w:pPr>
              <w:rPr>
                <w:rFonts w:ascii="Garamond" w:hAnsi="Garamond"/>
                <w:lang w:val="en-AU"/>
              </w:rPr>
            </w:pPr>
            <w:r>
              <w:rPr>
                <w:rFonts w:ascii="Garamond" w:hAnsi="Garamond"/>
                <w:lang w:val="en-AU"/>
              </w:rPr>
              <w:t xml:space="preserve">This Australian study used the data from the </w:t>
            </w:r>
            <w:r w:rsidRPr="0026721F">
              <w:rPr>
                <w:rFonts w:ascii="Garamond" w:hAnsi="Garamond"/>
                <w:lang w:val="en-AU"/>
              </w:rPr>
              <w:t>2016 Commonwealth Fund International Health Policy Survey of Adults</w:t>
            </w:r>
            <w:r>
              <w:rPr>
                <w:rFonts w:ascii="Garamond" w:hAnsi="Garamond"/>
                <w:lang w:val="en-AU"/>
              </w:rPr>
              <w:t xml:space="preserve"> to examine issues around access to primary care in </w:t>
            </w:r>
            <w:r w:rsidRPr="0026721F">
              <w:rPr>
                <w:rFonts w:ascii="Garamond" w:hAnsi="Garamond"/>
                <w:lang w:val="en-AU"/>
              </w:rPr>
              <w:t>11 countries (Australia, Canada, France, Germany, Norway, the Netherlands, New Zealand, Sweden, Switzerland, the United Kingdom, and United States).</w:t>
            </w:r>
            <w:r>
              <w:rPr>
                <w:rFonts w:ascii="Garamond" w:hAnsi="Garamond"/>
                <w:lang w:val="en-AU"/>
              </w:rPr>
              <w:t xml:space="preserve"> Just over 20% of the respondents reported </w:t>
            </w:r>
            <w:r w:rsidRPr="0026721F">
              <w:rPr>
                <w:rFonts w:ascii="Garamond" w:hAnsi="Garamond"/>
                <w:lang w:val="en-AU"/>
              </w:rPr>
              <w:t xml:space="preserve">multiple barriers before reaching </w:t>
            </w:r>
            <w:r>
              <w:rPr>
                <w:rFonts w:ascii="Garamond" w:hAnsi="Garamond"/>
                <w:lang w:val="en-AU"/>
              </w:rPr>
              <w:t xml:space="preserve">primary care and </w:t>
            </w:r>
            <w:r w:rsidRPr="0026721F">
              <w:rPr>
                <w:rFonts w:ascii="Garamond" w:hAnsi="Garamond"/>
                <w:lang w:val="en-AU"/>
              </w:rPr>
              <w:t>an average of 16% had two or more barriers</w:t>
            </w:r>
            <w:r>
              <w:rPr>
                <w:rFonts w:ascii="Garamond" w:hAnsi="Garamond"/>
                <w:lang w:val="en-AU"/>
              </w:rPr>
              <w:t xml:space="preserve"> upon reaching care</w:t>
            </w:r>
            <w:r w:rsidRPr="0026721F">
              <w:rPr>
                <w:rFonts w:ascii="Garamond" w:hAnsi="Garamond"/>
                <w:lang w:val="en-AU"/>
              </w:rPr>
              <w:t>. Vulnerable groups experiencing multiple barriers were relatively consistent across countries</w:t>
            </w:r>
            <w:r>
              <w:rPr>
                <w:rFonts w:ascii="Garamond" w:hAnsi="Garamond"/>
                <w:lang w:val="en-AU"/>
              </w:rPr>
              <w:t xml:space="preserve"> and p</w:t>
            </w:r>
            <w:r w:rsidRPr="0026721F">
              <w:rPr>
                <w:rFonts w:ascii="Garamond" w:hAnsi="Garamond"/>
                <w:lang w:val="en-AU"/>
              </w:rPr>
              <w:t>eople with lower income were more likely to experience multiple barriers, particularly before reaching primary care practices. Respondents with mental health problems and those born outside the country displayed substantial vulnerability in terms of barriers after reaching care.</w:t>
            </w:r>
            <w:r>
              <w:rPr>
                <w:rFonts w:ascii="Garamond" w:hAnsi="Garamond"/>
                <w:lang w:val="en-AU"/>
              </w:rPr>
              <w:t xml:space="preserve"> The authors hope that a better, more nuanced understanding of the access barriers would “</w:t>
            </w:r>
            <w:r w:rsidRPr="0026721F">
              <w:rPr>
                <w:rFonts w:ascii="Garamond" w:hAnsi="Garamond"/>
                <w:lang w:val="en-AU"/>
              </w:rPr>
              <w:t>inform planning and performance monitoring of disparities in access</w:t>
            </w:r>
            <w:r>
              <w:rPr>
                <w:rFonts w:ascii="Garamond" w:hAnsi="Garamond"/>
                <w:lang w:val="en-AU"/>
              </w:rPr>
              <w:t>”</w:t>
            </w:r>
            <w:r w:rsidRPr="0026721F">
              <w:rPr>
                <w:rFonts w:ascii="Garamond" w:hAnsi="Garamond"/>
                <w:lang w:val="en-AU"/>
              </w:rPr>
              <w:t>.</w:t>
            </w:r>
          </w:p>
        </w:tc>
      </w:tr>
    </w:tbl>
    <w:p w:rsidR="00A80886" w:rsidRDefault="00A80886" w:rsidP="00A80886">
      <w:pPr>
        <w:keepLines/>
        <w:autoSpaceDE w:val="0"/>
        <w:autoSpaceDN w:val="0"/>
        <w:adjustRightInd w:val="0"/>
        <w:rPr>
          <w:rFonts w:ascii="Garamond" w:hAnsi="Garamond"/>
          <w:lang w:val="en-AU"/>
        </w:rPr>
      </w:pPr>
    </w:p>
    <w:p w:rsidR="00AA6E44" w:rsidRDefault="00AA6E44" w:rsidP="00AA6E44">
      <w:pPr>
        <w:keepLines/>
        <w:autoSpaceDE w:val="0"/>
        <w:autoSpaceDN w:val="0"/>
        <w:adjustRightInd w:val="0"/>
        <w:rPr>
          <w:rFonts w:ascii="Garamond" w:hAnsi="Garamond"/>
          <w:lang w:val="en-AU"/>
        </w:rPr>
      </w:pPr>
      <w:r w:rsidRPr="00020C84">
        <w:rPr>
          <w:rFonts w:ascii="Garamond" w:hAnsi="Garamond"/>
          <w:i/>
          <w:lang w:val="en-AU"/>
        </w:rPr>
        <w:t>Developing core elements and checklist items for global hospital antimicrobial stewardship programmes: a consensus approach</w:t>
      </w:r>
      <w:r w:rsidRPr="00020C84">
        <w:rPr>
          <w:rFonts w:ascii="Garamond" w:hAnsi="Garamond"/>
          <w:i/>
          <w:lang w:val="en-AU"/>
        </w:rPr>
        <w:cr/>
      </w:r>
      <w:r w:rsidRPr="006463E4">
        <w:rPr>
          <w:rFonts w:ascii="Garamond" w:hAnsi="Garamond"/>
          <w:lang w:val="en-AU"/>
        </w:rPr>
        <w:t>Pulcini C, Binda F, Lamkang AS, Trett A, Charani E, Goff DA, et al</w:t>
      </w:r>
    </w:p>
    <w:p w:rsidR="00AA6E44" w:rsidRPr="006463E4" w:rsidRDefault="00AA6E44" w:rsidP="00AA6E44">
      <w:pPr>
        <w:keepLines/>
        <w:autoSpaceDE w:val="0"/>
        <w:autoSpaceDN w:val="0"/>
        <w:adjustRightInd w:val="0"/>
        <w:rPr>
          <w:rFonts w:ascii="Garamond" w:hAnsi="Garamond"/>
          <w:lang w:val="en-AU"/>
        </w:rPr>
      </w:pPr>
      <w:proofErr w:type="gramStart"/>
      <w:r w:rsidRPr="006463E4">
        <w:rPr>
          <w:rFonts w:ascii="Garamond" w:hAnsi="Garamond"/>
          <w:lang w:val="en-AU"/>
        </w:rPr>
        <w:t>Clinical Microbiology and Infection.</w:t>
      </w:r>
      <w:proofErr w:type="gramEnd"/>
      <w:r w:rsidRPr="006463E4">
        <w:rPr>
          <w:rFonts w:ascii="Garamond" w:hAnsi="Garamond"/>
          <w:lang w:val="en-AU"/>
        </w:rPr>
        <w:t xml:space="preserve"> </w:t>
      </w:r>
      <w:proofErr w:type="gramStart"/>
      <w:r w:rsidRPr="006463E4">
        <w:rPr>
          <w:rFonts w:ascii="Garamond" w:hAnsi="Garamond"/>
          <w:lang w:val="en-AU"/>
        </w:rPr>
        <w:t>2018</w:t>
      </w:r>
      <w:r>
        <w:rPr>
          <w:rFonts w:ascii="Garamond" w:hAnsi="Garamond"/>
          <w:lang w:val="en-AU"/>
        </w:rPr>
        <w:t xml:space="preserve"> [epub]</w:t>
      </w:r>
      <w:r w:rsidRPr="006463E4">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A6E44"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AA6E44" w:rsidRPr="000170DA" w:rsidRDefault="00AA6E44" w:rsidP="0026721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A6E44" w:rsidRPr="000170DA" w:rsidRDefault="00116DC2" w:rsidP="0026721F">
            <w:pPr>
              <w:rPr>
                <w:rStyle w:val="Hyperlink"/>
                <w:rFonts w:ascii="Garamond" w:hAnsi="Garamond"/>
                <w:color w:val="auto"/>
                <w:u w:val="none"/>
                <w:lang w:val="en-AU"/>
              </w:rPr>
            </w:pPr>
            <w:hyperlink r:id="rId25" w:history="1">
              <w:r w:rsidR="00AA6E44" w:rsidRPr="00C042F0">
                <w:rPr>
                  <w:rStyle w:val="Hyperlink"/>
                  <w:rFonts w:ascii="Garamond" w:hAnsi="Garamond"/>
                  <w:lang w:val="en-AU"/>
                </w:rPr>
                <w:t>https://doi.org/10.1016/j.cmi.2018.03.033</w:t>
              </w:r>
            </w:hyperlink>
          </w:p>
        </w:tc>
      </w:tr>
      <w:tr w:rsidR="00AA6E44"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AA6E44" w:rsidRPr="000170DA" w:rsidRDefault="00AA6E44" w:rsidP="00267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6E44" w:rsidRPr="006463E4" w:rsidRDefault="00AA6E44" w:rsidP="0026721F">
            <w:pPr>
              <w:rPr>
                <w:rFonts w:ascii="Garamond" w:hAnsi="Garamond"/>
                <w:lang w:val="en-AU"/>
              </w:rPr>
            </w:pPr>
            <w:r>
              <w:rPr>
                <w:rFonts w:ascii="Garamond" w:hAnsi="Garamond"/>
                <w:lang w:val="en-AU"/>
              </w:rPr>
              <w:t xml:space="preserve">Paper setting out </w:t>
            </w:r>
            <w:r w:rsidRPr="006463E4">
              <w:rPr>
                <w:rFonts w:ascii="Garamond" w:hAnsi="Garamond"/>
                <w:lang w:val="en-AU"/>
              </w:rPr>
              <w:t xml:space="preserve">a list of </w:t>
            </w:r>
            <w:r>
              <w:rPr>
                <w:rFonts w:ascii="Garamond" w:hAnsi="Garamond"/>
                <w:lang w:val="en-AU"/>
              </w:rPr>
              <w:t xml:space="preserve">7 </w:t>
            </w:r>
            <w:r w:rsidRPr="006463E4">
              <w:rPr>
                <w:rFonts w:ascii="Garamond" w:hAnsi="Garamond"/>
                <w:lang w:val="en-AU"/>
              </w:rPr>
              <w:t xml:space="preserve">core elements and </w:t>
            </w:r>
            <w:r>
              <w:rPr>
                <w:rFonts w:ascii="Garamond" w:hAnsi="Garamond"/>
                <w:lang w:val="en-AU"/>
              </w:rPr>
              <w:t xml:space="preserve">29 </w:t>
            </w:r>
            <w:r w:rsidRPr="006463E4">
              <w:rPr>
                <w:rFonts w:ascii="Garamond" w:hAnsi="Garamond"/>
                <w:lang w:val="en-AU"/>
              </w:rPr>
              <w:t xml:space="preserve">checklist items to help hospitals around the world use antimicrobial drugs more </w:t>
            </w:r>
            <w:r>
              <w:rPr>
                <w:rFonts w:ascii="Garamond" w:hAnsi="Garamond"/>
                <w:lang w:val="en-AU"/>
              </w:rPr>
              <w:t>appropriately</w:t>
            </w:r>
            <w:r w:rsidRPr="006463E4">
              <w:rPr>
                <w:rFonts w:ascii="Garamond" w:hAnsi="Garamond"/>
                <w:lang w:val="en-AU"/>
              </w:rPr>
              <w:t>.</w:t>
            </w:r>
            <w:r>
              <w:rPr>
                <w:rFonts w:ascii="Garamond" w:hAnsi="Garamond"/>
                <w:lang w:val="en-AU"/>
              </w:rPr>
              <w:t xml:space="preserve"> </w:t>
            </w:r>
            <w:r w:rsidRPr="006463E4">
              <w:rPr>
                <w:rFonts w:ascii="Garamond" w:hAnsi="Garamond"/>
                <w:lang w:val="en-AU"/>
              </w:rPr>
              <w:t>The core elements</w:t>
            </w:r>
            <w:r>
              <w:rPr>
                <w:rFonts w:ascii="Garamond" w:hAnsi="Garamond"/>
                <w:lang w:val="en-AU"/>
              </w:rPr>
              <w:t xml:space="preserve"> </w:t>
            </w:r>
            <w:r w:rsidRPr="006463E4">
              <w:rPr>
                <w:rFonts w:ascii="Garamond" w:hAnsi="Garamond"/>
                <w:lang w:val="en-AU"/>
              </w:rPr>
              <w:t>aim to define the essential and minimum standards for hospital antimicrobial stewardship programs (ASPs) in both high- and low-to-middle-income countries. The seven core elements include the following:</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Senior hospital management leadership toward antimicrobial stewardship</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Accountability and responsibilities</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Available expertise on infection management</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Education and practical training</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Other actions aimed at responsible antimicrobial use</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Monitoring and surveillance (on a continuous basis)</w:t>
            </w:r>
          </w:p>
          <w:p w:rsidR="00AA6E44" w:rsidRPr="006463E4" w:rsidRDefault="00AA6E44" w:rsidP="0026721F">
            <w:pPr>
              <w:pStyle w:val="ListParagraph"/>
              <w:numPr>
                <w:ilvl w:val="0"/>
                <w:numId w:val="48"/>
              </w:numPr>
              <w:rPr>
                <w:rFonts w:ascii="Garamond" w:hAnsi="Garamond"/>
                <w:lang w:val="en-AU"/>
              </w:rPr>
            </w:pPr>
            <w:r w:rsidRPr="006463E4">
              <w:rPr>
                <w:rFonts w:ascii="Garamond" w:hAnsi="Garamond"/>
                <w:lang w:val="en-AU"/>
              </w:rPr>
              <w:t>Reporting and feedback (on a continuous basis)</w:t>
            </w:r>
          </w:p>
        </w:tc>
      </w:tr>
    </w:tbl>
    <w:p w:rsidR="00AA6E44" w:rsidRDefault="00AA6E44" w:rsidP="00AA6E44">
      <w:pPr>
        <w:keepLines/>
        <w:autoSpaceDE w:val="0"/>
        <w:autoSpaceDN w:val="0"/>
        <w:adjustRightInd w:val="0"/>
        <w:rPr>
          <w:rFonts w:ascii="Garamond" w:hAnsi="Garamond"/>
          <w:lang w:val="en-AU"/>
        </w:rPr>
      </w:pPr>
    </w:p>
    <w:p w:rsidR="00AA6E44" w:rsidRDefault="00AA6E44" w:rsidP="00AA6E44">
      <w:pPr>
        <w:keepLines/>
        <w:autoSpaceDE w:val="0"/>
        <w:autoSpaceDN w:val="0"/>
        <w:adjustRightInd w:val="0"/>
        <w:rPr>
          <w:rFonts w:ascii="Garamond" w:hAnsi="Garamond"/>
          <w:lang w:val="en-AU"/>
        </w:rPr>
      </w:pPr>
      <w:r w:rsidRPr="00467B47">
        <w:rPr>
          <w:rFonts w:ascii="Garamond" w:hAnsi="Garamond"/>
          <w:lang w:val="en-AU"/>
        </w:rPr>
        <w:t>For information about the Commission’s work on</w:t>
      </w:r>
      <w:r>
        <w:rPr>
          <w:rFonts w:ascii="Garamond" w:hAnsi="Garamond"/>
          <w:lang w:val="en-AU"/>
        </w:rPr>
        <w:t xml:space="preserve"> </w:t>
      </w:r>
      <w:r w:rsidRPr="006463E4">
        <w:rPr>
          <w:rFonts w:ascii="Garamond" w:hAnsi="Garamond"/>
          <w:lang w:val="en-AU"/>
        </w:rPr>
        <w:t>antimicrobial stewardship</w:t>
      </w:r>
      <w:r>
        <w:rPr>
          <w:rFonts w:ascii="Garamond" w:hAnsi="Garamond"/>
          <w:lang w:val="en-AU"/>
        </w:rPr>
        <w:t>, see</w:t>
      </w:r>
    </w:p>
    <w:p w:rsidR="00AA6E44" w:rsidRDefault="00116DC2" w:rsidP="00AA6E44">
      <w:pPr>
        <w:keepLines/>
        <w:autoSpaceDE w:val="0"/>
        <w:autoSpaceDN w:val="0"/>
        <w:adjustRightInd w:val="0"/>
        <w:rPr>
          <w:rFonts w:ascii="Garamond" w:hAnsi="Garamond"/>
          <w:lang w:val="en-AU"/>
        </w:rPr>
      </w:pPr>
      <w:hyperlink r:id="rId26" w:history="1">
        <w:r w:rsidR="00AA6E44" w:rsidRPr="00C042F0">
          <w:rPr>
            <w:rStyle w:val="Hyperlink"/>
            <w:rFonts w:ascii="Garamond" w:hAnsi="Garamond"/>
            <w:lang w:val="en-AU"/>
          </w:rPr>
          <w:t>https://www.safetyandquality.gov.au/our-work/healthcare-associated-infection/antimicrobial-stewardship/</w:t>
        </w:r>
      </w:hyperlink>
    </w:p>
    <w:p w:rsidR="00AA6E44" w:rsidRDefault="00AA6E44" w:rsidP="00AA6E44">
      <w:pPr>
        <w:keepLines/>
        <w:autoSpaceDE w:val="0"/>
        <w:autoSpaceDN w:val="0"/>
        <w:adjustRightInd w:val="0"/>
        <w:rPr>
          <w:rFonts w:ascii="Garamond" w:hAnsi="Garamond"/>
          <w:lang w:val="en-AU"/>
        </w:rPr>
      </w:pPr>
    </w:p>
    <w:p w:rsidR="00AA6E44" w:rsidRDefault="00AA6E44" w:rsidP="00AA6E44">
      <w:pPr>
        <w:keepLines/>
        <w:autoSpaceDE w:val="0"/>
        <w:autoSpaceDN w:val="0"/>
        <w:adjustRightInd w:val="0"/>
        <w:rPr>
          <w:rFonts w:ascii="Garamond" w:hAnsi="Garamond"/>
          <w:lang w:val="en-AU"/>
        </w:rPr>
      </w:pPr>
      <w:r w:rsidRPr="00467B47">
        <w:rPr>
          <w:rFonts w:ascii="Garamond" w:hAnsi="Garamond"/>
          <w:lang w:val="en-AU"/>
        </w:rPr>
        <w:t>For information about the Commission’s work on</w:t>
      </w:r>
      <w:r>
        <w:rPr>
          <w:rFonts w:ascii="Garamond" w:hAnsi="Garamond"/>
          <w:lang w:val="en-AU"/>
        </w:rPr>
        <w:t xml:space="preserve"> antimicrobial use and resistance in Australia, see </w:t>
      </w:r>
      <w:hyperlink r:id="rId27" w:history="1">
        <w:r w:rsidRPr="00D155C1">
          <w:rPr>
            <w:rStyle w:val="Hyperlink"/>
            <w:rFonts w:ascii="Garamond" w:hAnsi="Garamond"/>
            <w:lang w:val="en-AU"/>
          </w:rPr>
          <w:t>https://www.safetyandquality.gov.au/antimicrobial-use-and-resistance-in-australia/</w:t>
        </w:r>
      </w:hyperlink>
    </w:p>
    <w:p w:rsidR="00AA6E44" w:rsidRDefault="00AA6E44" w:rsidP="00AA6E44">
      <w:pPr>
        <w:keepLines/>
        <w:autoSpaceDE w:val="0"/>
        <w:autoSpaceDN w:val="0"/>
        <w:adjustRightInd w:val="0"/>
        <w:rPr>
          <w:rFonts w:ascii="Garamond" w:hAnsi="Garamond"/>
          <w:lang w:val="en-AU"/>
        </w:rPr>
      </w:pPr>
    </w:p>
    <w:p w:rsidR="00A80886" w:rsidRDefault="00A80886">
      <w:pPr>
        <w:rPr>
          <w:rFonts w:ascii="Garamond" w:hAnsi="Garamond"/>
          <w:i/>
          <w:lang w:val="en-AU"/>
        </w:rPr>
      </w:pPr>
      <w:r>
        <w:rPr>
          <w:rFonts w:ascii="Garamond" w:hAnsi="Garamond"/>
          <w:i/>
          <w:lang w:val="en-AU"/>
        </w:rPr>
        <w:br w:type="page"/>
      </w:r>
    </w:p>
    <w:p w:rsidR="00424CCC" w:rsidRPr="00424CCC" w:rsidRDefault="00424CCC" w:rsidP="00424CCC">
      <w:pPr>
        <w:keepLines/>
        <w:autoSpaceDE w:val="0"/>
        <w:autoSpaceDN w:val="0"/>
        <w:adjustRightInd w:val="0"/>
        <w:rPr>
          <w:rFonts w:ascii="Garamond" w:hAnsi="Garamond"/>
          <w:i/>
          <w:lang w:val="en-AU"/>
        </w:rPr>
      </w:pPr>
      <w:r w:rsidRPr="00424CCC">
        <w:rPr>
          <w:rFonts w:ascii="Garamond" w:hAnsi="Garamond"/>
          <w:i/>
          <w:lang w:val="en-AU"/>
        </w:rPr>
        <w:lastRenderedPageBreak/>
        <w:t>Errors and discrepancies in the administration of intravenous infusions: a mixed methods multihospital observational study</w:t>
      </w:r>
    </w:p>
    <w:p w:rsidR="00424CCC" w:rsidRDefault="00424CCC" w:rsidP="002927D6">
      <w:pPr>
        <w:keepLines/>
        <w:autoSpaceDE w:val="0"/>
        <w:autoSpaceDN w:val="0"/>
        <w:adjustRightInd w:val="0"/>
        <w:rPr>
          <w:rFonts w:ascii="Garamond" w:hAnsi="Garamond"/>
          <w:lang w:val="en-AU"/>
        </w:rPr>
      </w:pPr>
      <w:r w:rsidRPr="00424CCC">
        <w:rPr>
          <w:rFonts w:ascii="Garamond" w:hAnsi="Garamond"/>
          <w:lang w:val="en-AU"/>
        </w:rPr>
        <w:t>Lyons I, Furniss D, Blandford A, Chumble</w:t>
      </w:r>
      <w:r>
        <w:rPr>
          <w:rFonts w:ascii="Garamond" w:hAnsi="Garamond"/>
          <w:lang w:val="en-AU"/>
        </w:rPr>
        <w:t>y G, Iacovides I, Wei L, et al</w:t>
      </w:r>
    </w:p>
    <w:p w:rsidR="002927D6" w:rsidRDefault="00424CCC" w:rsidP="002927D6">
      <w:pPr>
        <w:keepLines/>
        <w:autoSpaceDE w:val="0"/>
        <w:autoSpaceDN w:val="0"/>
        <w:adjustRightInd w:val="0"/>
        <w:rPr>
          <w:rFonts w:ascii="Garamond" w:hAnsi="Garamond"/>
          <w:lang w:val="en-AU"/>
        </w:rPr>
      </w:pPr>
      <w:proofErr w:type="gramStart"/>
      <w:r w:rsidRPr="00424CCC">
        <w:rPr>
          <w:rFonts w:ascii="Garamond" w:hAnsi="Garamond"/>
          <w:lang w:val="en-AU"/>
        </w:rPr>
        <w:t>BMJ Quality &amp; Safety.</w:t>
      </w:r>
      <w:proofErr w:type="gramEnd"/>
      <w:r w:rsidRPr="00424CCC">
        <w:rPr>
          <w:rFonts w:ascii="Garamond" w:hAnsi="Garamond"/>
          <w:lang w:val="en-AU"/>
        </w:rPr>
        <w:t xml:space="preserve"> </w:t>
      </w:r>
      <w:proofErr w:type="gramStart"/>
      <w:r w:rsidRPr="00424CCC">
        <w:rPr>
          <w:rFonts w:ascii="Garamond" w:hAnsi="Garamond"/>
          <w:lang w:val="en-AU"/>
        </w:rPr>
        <w:t>2018</w:t>
      </w:r>
      <w:r>
        <w:rPr>
          <w:rFonts w:ascii="Garamond" w:hAnsi="Garamond"/>
          <w:lang w:val="en-AU"/>
        </w:rPr>
        <w:t xml:space="preserve"> [epub]</w:t>
      </w:r>
      <w:r w:rsidRPr="00424CC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927D6"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2927D6" w:rsidRPr="000170DA" w:rsidRDefault="002927D6" w:rsidP="0026721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27D6" w:rsidRPr="000170DA" w:rsidRDefault="00116DC2" w:rsidP="0026721F">
            <w:pPr>
              <w:rPr>
                <w:rStyle w:val="Hyperlink"/>
                <w:rFonts w:ascii="Garamond" w:hAnsi="Garamond"/>
                <w:color w:val="auto"/>
                <w:u w:val="none"/>
                <w:lang w:val="en-AU"/>
              </w:rPr>
            </w:pPr>
            <w:hyperlink r:id="rId28" w:history="1">
              <w:r w:rsidR="00424CCC" w:rsidRPr="00C042F0">
                <w:rPr>
                  <w:rStyle w:val="Hyperlink"/>
                  <w:rFonts w:ascii="Garamond" w:hAnsi="Garamond"/>
                  <w:lang w:val="en-AU"/>
                </w:rPr>
                <w:t>https://doi.org/10.1136/bmjqs-2017-007476</w:t>
              </w:r>
            </w:hyperlink>
          </w:p>
        </w:tc>
      </w:tr>
      <w:tr w:rsidR="002927D6"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2927D6" w:rsidRPr="000170DA" w:rsidRDefault="002927D6" w:rsidP="00267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27D6" w:rsidRPr="000365E9" w:rsidRDefault="00424CCC" w:rsidP="00424CCC">
            <w:pPr>
              <w:rPr>
                <w:rFonts w:ascii="Garamond" w:hAnsi="Garamond"/>
                <w:lang w:val="en-AU"/>
              </w:rPr>
            </w:pPr>
            <w:r w:rsidRPr="00424CCC">
              <w:rPr>
                <w:rFonts w:ascii="Garamond" w:hAnsi="Garamond"/>
                <w:lang w:val="en-AU"/>
              </w:rPr>
              <w:t xml:space="preserve">Intravenous medication administration has been </w:t>
            </w:r>
            <w:r>
              <w:rPr>
                <w:rFonts w:ascii="Garamond" w:hAnsi="Garamond"/>
                <w:lang w:val="en-AU"/>
              </w:rPr>
              <w:t xml:space="preserve">considered </w:t>
            </w:r>
            <w:r w:rsidRPr="00424CCC">
              <w:rPr>
                <w:rFonts w:ascii="Garamond" w:hAnsi="Garamond"/>
                <w:lang w:val="en-AU"/>
              </w:rPr>
              <w:t xml:space="preserve">as </w:t>
            </w:r>
            <w:r>
              <w:rPr>
                <w:rFonts w:ascii="Garamond" w:hAnsi="Garamond"/>
                <w:lang w:val="en-AU"/>
              </w:rPr>
              <w:t xml:space="preserve">prone to errors and has </w:t>
            </w:r>
            <w:r w:rsidRPr="00424CCC">
              <w:rPr>
                <w:rFonts w:ascii="Garamond" w:hAnsi="Garamond"/>
                <w:lang w:val="en-AU"/>
              </w:rPr>
              <w:t>potential for harm</w:t>
            </w:r>
            <w:r>
              <w:rPr>
                <w:rFonts w:ascii="Garamond" w:hAnsi="Garamond"/>
                <w:lang w:val="en-AU"/>
              </w:rPr>
              <w:t xml:space="preserve">. This study sought to </w:t>
            </w:r>
            <w:r w:rsidRPr="00424CCC">
              <w:rPr>
                <w:rFonts w:ascii="Garamond" w:hAnsi="Garamond"/>
                <w:lang w:val="en-AU"/>
              </w:rPr>
              <w:t>determine the prevalence, types and severity of errors and discrepancies in infusion administration in English hospitals, and to explore sources of variation, including the contribution of smart pumps.</w:t>
            </w:r>
            <w:r>
              <w:rPr>
                <w:rFonts w:ascii="Garamond" w:hAnsi="Garamond"/>
                <w:lang w:val="en-AU"/>
              </w:rPr>
              <w:t xml:space="preserve"> The study was </w:t>
            </w:r>
            <w:r w:rsidRPr="00424CCC">
              <w:rPr>
                <w:rFonts w:ascii="Garamond" w:hAnsi="Garamond"/>
                <w:lang w:val="en-AU"/>
              </w:rPr>
              <w:t>observational point prevalence study of intravenous infusions in 16 National Health Service hospital trusts</w:t>
            </w:r>
            <w:r>
              <w:rPr>
                <w:rFonts w:ascii="Garamond" w:hAnsi="Garamond"/>
                <w:lang w:val="en-AU"/>
              </w:rPr>
              <w:t xml:space="preserve"> that included </w:t>
            </w:r>
            <w:r w:rsidRPr="00424CCC">
              <w:rPr>
                <w:rFonts w:ascii="Garamond" w:hAnsi="Garamond"/>
                <w:lang w:val="en-AU"/>
              </w:rPr>
              <w:t>1326 patients and 2008 infusions</w:t>
            </w:r>
            <w:r>
              <w:rPr>
                <w:rFonts w:ascii="Garamond" w:hAnsi="Garamond"/>
                <w:lang w:val="en-AU"/>
              </w:rPr>
              <w:t xml:space="preserve">. The authors report that </w:t>
            </w:r>
            <w:r w:rsidRPr="00424CCC">
              <w:rPr>
                <w:rFonts w:ascii="Garamond" w:hAnsi="Garamond"/>
                <w:b/>
                <w:lang w:val="en-AU"/>
              </w:rPr>
              <w:t>errors</w:t>
            </w:r>
            <w:r w:rsidRPr="00424CCC">
              <w:rPr>
                <w:rFonts w:ascii="Garamond" w:hAnsi="Garamond"/>
                <w:lang w:val="en-AU"/>
              </w:rPr>
              <w:t xml:space="preserve"> were observed in 231 infusions (</w:t>
            </w:r>
            <w:r w:rsidRPr="00424CCC">
              <w:rPr>
                <w:rFonts w:ascii="Garamond" w:hAnsi="Garamond"/>
                <w:b/>
                <w:lang w:val="en-AU"/>
              </w:rPr>
              <w:t>11.5%)</w:t>
            </w:r>
            <w:r>
              <w:rPr>
                <w:rFonts w:ascii="Garamond" w:hAnsi="Garamond"/>
                <w:lang w:val="en-AU"/>
              </w:rPr>
              <w:t xml:space="preserve">, while </w:t>
            </w:r>
            <w:r w:rsidRPr="00424CCC">
              <w:rPr>
                <w:rFonts w:ascii="Garamond" w:hAnsi="Garamond"/>
                <w:b/>
                <w:lang w:val="en-AU"/>
              </w:rPr>
              <w:t>discrepancies</w:t>
            </w:r>
            <w:r w:rsidRPr="00424CCC">
              <w:rPr>
                <w:rFonts w:ascii="Garamond" w:hAnsi="Garamond"/>
                <w:lang w:val="en-AU"/>
              </w:rPr>
              <w:t xml:space="preserve"> were observed in 1065 infusions (</w:t>
            </w:r>
            <w:r w:rsidRPr="00424CCC">
              <w:rPr>
                <w:rFonts w:ascii="Garamond" w:hAnsi="Garamond"/>
                <w:b/>
                <w:lang w:val="en-AU"/>
              </w:rPr>
              <w:t>53.0%</w:t>
            </w:r>
            <w:r w:rsidRPr="00424CCC">
              <w:rPr>
                <w:rFonts w:ascii="Garamond" w:hAnsi="Garamond"/>
                <w:lang w:val="en-AU"/>
              </w:rPr>
              <w:t>). Twenty-three errors (</w:t>
            </w:r>
            <w:r w:rsidRPr="00424CCC">
              <w:rPr>
                <w:rFonts w:ascii="Garamond" w:hAnsi="Garamond"/>
                <w:b/>
                <w:lang w:val="en-AU"/>
              </w:rPr>
              <w:t>1.1%</w:t>
            </w:r>
            <w:r w:rsidRPr="00424CCC">
              <w:rPr>
                <w:rFonts w:ascii="Garamond" w:hAnsi="Garamond"/>
                <w:lang w:val="en-AU"/>
              </w:rPr>
              <w:t xml:space="preserve"> of all infusions) were considered </w:t>
            </w:r>
            <w:r w:rsidRPr="00424CCC">
              <w:rPr>
                <w:rFonts w:ascii="Garamond" w:hAnsi="Garamond"/>
                <w:b/>
                <w:lang w:val="en-AU"/>
              </w:rPr>
              <w:t>potentially harmful</w:t>
            </w:r>
            <w:r w:rsidRPr="00424CCC">
              <w:rPr>
                <w:rFonts w:ascii="Garamond" w:hAnsi="Garamond"/>
                <w:lang w:val="en-AU"/>
              </w:rPr>
              <w:t xml:space="preserve">; </w:t>
            </w:r>
            <w:r>
              <w:rPr>
                <w:rFonts w:ascii="Garamond" w:hAnsi="Garamond"/>
                <w:lang w:val="en-AU"/>
              </w:rPr>
              <w:t xml:space="preserve">but </w:t>
            </w:r>
            <w:r w:rsidRPr="00424CCC">
              <w:rPr>
                <w:rFonts w:ascii="Garamond" w:hAnsi="Garamond"/>
                <w:lang w:val="en-AU"/>
              </w:rPr>
              <w:t xml:space="preserve">none were judged likely to prolong hospital stay or result in long-term harm. </w:t>
            </w:r>
            <w:r>
              <w:rPr>
                <w:rFonts w:ascii="Garamond" w:hAnsi="Garamond"/>
                <w:lang w:val="en-AU"/>
              </w:rPr>
              <w:t>They found that s</w:t>
            </w:r>
            <w:r w:rsidRPr="00424CCC">
              <w:rPr>
                <w:rFonts w:ascii="Garamond" w:hAnsi="Garamond"/>
                <w:lang w:val="en-AU"/>
              </w:rPr>
              <w:t>mart pumps, as currently implemented, had little effect, with similar error rates observed in infusions delivered with and without a smart pump (10.3% vs 10.8%, p=0.8).</w:t>
            </w:r>
            <w:r>
              <w:rPr>
                <w:rFonts w:ascii="Garamond" w:hAnsi="Garamond"/>
                <w:lang w:val="en-AU"/>
              </w:rPr>
              <w:t xml:space="preserve"> </w:t>
            </w:r>
          </w:p>
        </w:tc>
      </w:tr>
    </w:tbl>
    <w:p w:rsidR="002927D6" w:rsidRDefault="002927D6" w:rsidP="002927D6">
      <w:pPr>
        <w:keepLines/>
        <w:autoSpaceDE w:val="0"/>
        <w:autoSpaceDN w:val="0"/>
        <w:adjustRightInd w:val="0"/>
        <w:rPr>
          <w:rFonts w:ascii="Garamond" w:hAnsi="Garamond"/>
          <w:lang w:val="en-AU"/>
        </w:rPr>
      </w:pPr>
    </w:p>
    <w:p w:rsidR="00424CCC" w:rsidRDefault="00424CCC" w:rsidP="002927D6">
      <w:pPr>
        <w:keepLines/>
        <w:autoSpaceDE w:val="0"/>
        <w:autoSpaceDN w:val="0"/>
        <w:adjustRightInd w:val="0"/>
        <w:rPr>
          <w:rFonts w:ascii="Garamond" w:hAnsi="Garamond"/>
          <w:lang w:val="en-AU"/>
        </w:rPr>
      </w:pPr>
      <w:r w:rsidRPr="00467B47">
        <w:rPr>
          <w:rFonts w:ascii="Garamond" w:hAnsi="Garamond"/>
          <w:lang w:val="en-AU"/>
        </w:rPr>
        <w:t>For information about the Commission’s work on</w:t>
      </w:r>
      <w:r>
        <w:rPr>
          <w:rFonts w:ascii="Garamond" w:hAnsi="Garamond"/>
          <w:lang w:val="en-AU"/>
        </w:rPr>
        <w:t xml:space="preserve"> medication safety, see </w:t>
      </w:r>
      <w:hyperlink r:id="rId29" w:history="1">
        <w:r w:rsidRPr="00C042F0">
          <w:rPr>
            <w:rStyle w:val="Hyperlink"/>
            <w:rFonts w:ascii="Garamond" w:hAnsi="Garamond"/>
            <w:lang w:val="en-AU"/>
          </w:rPr>
          <w:t>https://www.safetyandquality.gov.au/our-work/medication-safety/</w:t>
        </w:r>
      </w:hyperlink>
    </w:p>
    <w:p w:rsidR="00424CCC" w:rsidRDefault="00424CCC" w:rsidP="002927D6">
      <w:pPr>
        <w:keepLines/>
        <w:autoSpaceDE w:val="0"/>
        <w:autoSpaceDN w:val="0"/>
        <w:adjustRightInd w:val="0"/>
        <w:rPr>
          <w:rFonts w:ascii="Garamond" w:hAnsi="Garamond"/>
          <w:lang w:val="en-AU"/>
        </w:rPr>
      </w:pPr>
    </w:p>
    <w:p w:rsidR="00A80886" w:rsidRDefault="00A80886" w:rsidP="002927D6">
      <w:pPr>
        <w:keepLines/>
        <w:autoSpaceDE w:val="0"/>
        <w:autoSpaceDN w:val="0"/>
        <w:adjustRightInd w:val="0"/>
        <w:rPr>
          <w:rFonts w:ascii="Garamond" w:hAnsi="Garamond"/>
          <w:i/>
          <w:lang w:val="en-AU"/>
        </w:rPr>
      </w:pPr>
    </w:p>
    <w:p w:rsidR="002927D6" w:rsidRPr="00AD0F99" w:rsidRDefault="00AD0F99" w:rsidP="002927D6">
      <w:pPr>
        <w:keepLines/>
        <w:autoSpaceDE w:val="0"/>
        <w:autoSpaceDN w:val="0"/>
        <w:adjustRightInd w:val="0"/>
        <w:rPr>
          <w:rFonts w:ascii="Garamond" w:hAnsi="Garamond"/>
          <w:i/>
          <w:lang w:val="en-AU"/>
        </w:rPr>
      </w:pPr>
      <w:r w:rsidRPr="00AD0F99">
        <w:rPr>
          <w:rFonts w:ascii="Garamond" w:hAnsi="Garamond"/>
          <w:i/>
          <w:lang w:val="en-AU"/>
        </w:rPr>
        <w:t>Predictive risk modelling under different data access scenarios: who is identified as high risk and for how long?</w:t>
      </w:r>
    </w:p>
    <w:p w:rsidR="00A80886" w:rsidRDefault="00A80886" w:rsidP="002927D6">
      <w:pPr>
        <w:keepLines/>
        <w:autoSpaceDE w:val="0"/>
        <w:autoSpaceDN w:val="0"/>
        <w:adjustRightInd w:val="0"/>
        <w:rPr>
          <w:rFonts w:ascii="Garamond" w:hAnsi="Garamond"/>
          <w:lang w:val="en-AU"/>
        </w:rPr>
      </w:pPr>
      <w:r w:rsidRPr="00A80886">
        <w:rPr>
          <w:rFonts w:ascii="Garamond" w:hAnsi="Garamond"/>
          <w:lang w:val="en-AU"/>
        </w:rPr>
        <w:t>Johnson TL, Kaldor J, Falster MO, Sutherland K, Humphries J, Jorm LR, et al</w:t>
      </w:r>
    </w:p>
    <w:p w:rsidR="00AD0F99" w:rsidRDefault="00A80886" w:rsidP="002927D6">
      <w:pPr>
        <w:keepLines/>
        <w:autoSpaceDE w:val="0"/>
        <w:autoSpaceDN w:val="0"/>
        <w:adjustRightInd w:val="0"/>
        <w:rPr>
          <w:rFonts w:ascii="Garamond" w:hAnsi="Garamond"/>
          <w:lang w:val="en-AU"/>
        </w:rPr>
      </w:pPr>
      <w:proofErr w:type="gramStart"/>
      <w:r w:rsidRPr="00A80886">
        <w:rPr>
          <w:rFonts w:ascii="Garamond" w:hAnsi="Garamond"/>
          <w:lang w:val="en-AU"/>
        </w:rPr>
        <w:t>BMJ Open.</w:t>
      </w:r>
      <w:proofErr w:type="gramEnd"/>
      <w:r w:rsidRPr="00A80886">
        <w:rPr>
          <w:rFonts w:ascii="Garamond" w:hAnsi="Garamond"/>
          <w:lang w:val="en-AU"/>
        </w:rPr>
        <w:t xml:space="preserve"> 2018</w:t>
      </w:r>
      <w:proofErr w:type="gramStart"/>
      <w:r w:rsidRPr="00A80886">
        <w:rPr>
          <w:rFonts w:ascii="Garamond" w:hAnsi="Garamond"/>
          <w:lang w:val="en-AU"/>
        </w:rPr>
        <w:t>;8</w:t>
      </w:r>
      <w:proofErr w:type="gramEnd"/>
      <w:r w:rsidRPr="00A80886">
        <w:rPr>
          <w:rFonts w:ascii="Garamond" w:hAnsi="Garamond"/>
          <w:lang w:val="en-AU"/>
        </w:rPr>
        <w:t>(2).</w:t>
      </w:r>
    </w:p>
    <w:tbl>
      <w:tblPr>
        <w:tblStyle w:val="TableGrid"/>
        <w:tblW w:w="0" w:type="auto"/>
        <w:tblInd w:w="288" w:type="dxa"/>
        <w:tblLayout w:type="fixed"/>
        <w:tblLook w:val="01E0" w:firstRow="1" w:lastRow="1" w:firstColumn="1" w:lastColumn="1" w:noHBand="0" w:noVBand="0"/>
      </w:tblPr>
      <w:tblGrid>
        <w:gridCol w:w="1080"/>
        <w:gridCol w:w="8280"/>
      </w:tblGrid>
      <w:tr w:rsidR="002927D6"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2927D6" w:rsidRPr="000170DA" w:rsidRDefault="002927D6" w:rsidP="0026721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927D6" w:rsidRPr="000170DA" w:rsidRDefault="00116DC2" w:rsidP="0026721F">
            <w:pPr>
              <w:rPr>
                <w:rStyle w:val="Hyperlink"/>
                <w:rFonts w:ascii="Garamond" w:hAnsi="Garamond"/>
                <w:color w:val="auto"/>
                <w:u w:val="none"/>
                <w:lang w:val="en-AU"/>
              </w:rPr>
            </w:pPr>
            <w:hyperlink r:id="rId30" w:history="1">
              <w:r w:rsidR="00AD0F99" w:rsidRPr="00C042F0">
                <w:rPr>
                  <w:rStyle w:val="Hyperlink"/>
                  <w:rFonts w:ascii="Garamond" w:hAnsi="Garamond"/>
                  <w:lang w:val="en-AU"/>
                </w:rPr>
                <w:t>http://dx.doi.org/10.1136/bmjopen-2017-018909</w:t>
              </w:r>
            </w:hyperlink>
          </w:p>
        </w:tc>
      </w:tr>
      <w:tr w:rsidR="002927D6" w:rsidRPr="000170DA" w:rsidTr="0026721F">
        <w:tc>
          <w:tcPr>
            <w:tcW w:w="1080" w:type="dxa"/>
            <w:tcBorders>
              <w:top w:val="single" w:sz="4" w:space="0" w:color="auto"/>
              <w:left w:val="single" w:sz="4" w:space="0" w:color="auto"/>
              <w:bottom w:val="single" w:sz="4" w:space="0" w:color="auto"/>
              <w:right w:val="single" w:sz="4" w:space="0" w:color="auto"/>
            </w:tcBorders>
            <w:vAlign w:val="center"/>
          </w:tcPr>
          <w:p w:rsidR="002927D6" w:rsidRPr="000170DA" w:rsidRDefault="002927D6" w:rsidP="0026721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27D6" w:rsidRPr="000365E9" w:rsidRDefault="00A80886" w:rsidP="00A80886">
            <w:pPr>
              <w:rPr>
                <w:rFonts w:ascii="Garamond" w:hAnsi="Garamond"/>
                <w:lang w:val="en-AU"/>
              </w:rPr>
            </w:pPr>
            <w:r>
              <w:rPr>
                <w:rFonts w:ascii="Garamond" w:hAnsi="Garamond"/>
                <w:lang w:val="en-AU"/>
              </w:rPr>
              <w:t xml:space="preserve">Australian study seeking to assess </w:t>
            </w:r>
            <w:r w:rsidRPr="00A80886">
              <w:rPr>
                <w:rFonts w:ascii="Garamond" w:hAnsi="Garamond"/>
                <w:lang w:val="en-AU"/>
              </w:rPr>
              <w:t>the performance of different predictive risk models simulating three data access scenarios, comparing: (1) sociodemographic and clinical profiles; (2) consistency in high-risk designation across models; and (3) persistence of high-risk status over time.</w:t>
            </w:r>
            <w:r>
              <w:rPr>
                <w:rFonts w:ascii="Garamond" w:hAnsi="Garamond"/>
                <w:lang w:val="en-AU"/>
              </w:rPr>
              <w:t xml:space="preserve"> Using </w:t>
            </w:r>
            <w:r w:rsidRPr="00A80886">
              <w:rPr>
                <w:rFonts w:ascii="Garamond" w:hAnsi="Garamond"/>
                <w:lang w:val="en-AU"/>
              </w:rPr>
              <w:t xml:space="preserve">health survey data </w:t>
            </w:r>
            <w:r>
              <w:rPr>
                <w:rFonts w:ascii="Garamond" w:hAnsi="Garamond"/>
                <w:lang w:val="en-AU"/>
              </w:rPr>
              <w:t xml:space="preserve">for the period </w:t>
            </w:r>
            <w:r w:rsidRPr="00A80886">
              <w:rPr>
                <w:rFonts w:ascii="Garamond" w:hAnsi="Garamond"/>
                <w:lang w:val="en-AU"/>
              </w:rPr>
              <w:t xml:space="preserve">(2006–2009) for more than 260 000 Australian adults </w:t>
            </w:r>
            <w:r>
              <w:rPr>
                <w:rFonts w:ascii="Garamond" w:hAnsi="Garamond"/>
                <w:lang w:val="en-AU"/>
              </w:rPr>
              <w:t xml:space="preserve">aged </w:t>
            </w:r>
            <w:r w:rsidRPr="00A80886">
              <w:rPr>
                <w:rFonts w:ascii="Garamond" w:hAnsi="Garamond"/>
                <w:lang w:val="en-AU"/>
              </w:rPr>
              <w:t>45+ years linked to longitudinal individual hospital, primary care, pharmacy and mortality data</w:t>
            </w:r>
            <w:r>
              <w:rPr>
                <w:rFonts w:ascii="Garamond" w:hAnsi="Garamond"/>
                <w:lang w:val="en-AU"/>
              </w:rPr>
              <w:t xml:space="preserve"> the project assessed </w:t>
            </w:r>
            <w:r w:rsidRPr="00A80886">
              <w:rPr>
                <w:rFonts w:ascii="Garamond" w:hAnsi="Garamond"/>
                <w:lang w:val="en-AU"/>
              </w:rPr>
              <w:t xml:space="preserve">risk models predicting acute emergency hospitalisations </w:t>
            </w:r>
            <w:r>
              <w:rPr>
                <w:rFonts w:ascii="Garamond" w:hAnsi="Garamond"/>
                <w:lang w:val="en-AU"/>
              </w:rPr>
              <w:t xml:space="preserve">with all </w:t>
            </w:r>
            <w:r w:rsidRPr="00A80886">
              <w:rPr>
                <w:rFonts w:ascii="Garamond" w:hAnsi="Garamond"/>
                <w:lang w:val="en-AU"/>
              </w:rPr>
              <w:t>three mod</w:t>
            </w:r>
            <w:r>
              <w:rPr>
                <w:rFonts w:ascii="Garamond" w:hAnsi="Garamond"/>
                <w:lang w:val="en-AU"/>
              </w:rPr>
              <w:t>els displaying</w:t>
            </w:r>
            <w:r w:rsidRPr="00A80886">
              <w:rPr>
                <w:rFonts w:ascii="Garamond" w:hAnsi="Garamond"/>
                <w:lang w:val="en-AU"/>
              </w:rPr>
              <w:t xml:space="preserve"> similar statistical performance</w:t>
            </w:r>
            <w:r>
              <w:rPr>
                <w:rFonts w:ascii="Garamond" w:hAnsi="Garamond"/>
                <w:lang w:val="en-AU"/>
              </w:rPr>
              <w:t>. However, the authors found that “</w:t>
            </w:r>
            <w:r w:rsidRPr="00A80886">
              <w:rPr>
                <w:rFonts w:ascii="Garamond" w:hAnsi="Garamond"/>
                <w:lang w:val="en-AU"/>
              </w:rPr>
              <w:t>Small differences in risk predictors or risk thresholds resulted in comparatively large differences in who was classified as high risk and for how long. Pragmatic predictive risk modelling design decisions based on data availability or projected high-risk patient numbers may therefore influence individuals identified as high-risk, overall case mix and risk persistence. Routine data linkage would enable greater flexibility in developing and optimising predictive risk models appropriate to both case-finding and performance measurement applications.</w:t>
            </w:r>
            <w:r>
              <w:rPr>
                <w:rFonts w:ascii="Garamond" w:hAnsi="Garamond"/>
                <w:lang w:val="en-AU"/>
              </w:rPr>
              <w:t>”</w:t>
            </w:r>
          </w:p>
        </w:tc>
      </w:tr>
    </w:tbl>
    <w:p w:rsidR="002927D6" w:rsidRDefault="002927D6" w:rsidP="002927D6">
      <w:pPr>
        <w:keepLines/>
        <w:autoSpaceDE w:val="0"/>
        <w:autoSpaceDN w:val="0"/>
        <w:adjustRightInd w:val="0"/>
        <w:rPr>
          <w:rFonts w:ascii="Garamond" w:hAnsi="Garamond"/>
          <w:lang w:val="en-AU"/>
        </w:rPr>
      </w:pPr>
    </w:p>
    <w:p w:rsidR="00D54F7E" w:rsidRDefault="00D54F7E" w:rsidP="00D54F7E">
      <w:pPr>
        <w:keepLines/>
        <w:autoSpaceDE w:val="0"/>
        <w:autoSpaceDN w:val="0"/>
        <w:adjustRightInd w:val="0"/>
        <w:rPr>
          <w:rFonts w:ascii="Garamond" w:hAnsi="Garamond"/>
          <w:i/>
          <w:lang w:val="en-AU"/>
        </w:rPr>
      </w:pPr>
      <w:r w:rsidRPr="000170DA">
        <w:rPr>
          <w:rFonts w:ascii="Garamond" w:hAnsi="Garamond"/>
          <w:i/>
          <w:lang w:val="en-AU"/>
        </w:rPr>
        <w:t>International Journal for Quality in Health Care</w:t>
      </w:r>
    </w:p>
    <w:p w:rsidR="00D54F7E" w:rsidRPr="00FA2ED3" w:rsidRDefault="00D54F7E" w:rsidP="00D54F7E">
      <w:pPr>
        <w:keepLines/>
        <w:autoSpaceDE w:val="0"/>
        <w:autoSpaceDN w:val="0"/>
        <w:adjustRightInd w:val="0"/>
        <w:rPr>
          <w:rFonts w:ascii="Garamond" w:hAnsi="Garamond"/>
          <w:lang w:val="en-AU"/>
        </w:rPr>
      </w:pPr>
      <w:r>
        <w:rPr>
          <w:rFonts w:ascii="Garamond" w:hAnsi="Garamond"/>
          <w:lang w:val="en-AU"/>
        </w:rPr>
        <w:t>Volume 30 Issue 3, April</w:t>
      </w:r>
      <w:r w:rsidRPr="00586A48">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D54F7E" w:rsidRPr="0063083A" w:rsidTr="0026721F">
        <w:tc>
          <w:tcPr>
            <w:tcW w:w="1080" w:type="dxa"/>
            <w:tcBorders>
              <w:top w:val="single" w:sz="4" w:space="0" w:color="auto"/>
              <w:left w:val="single" w:sz="4" w:space="0" w:color="auto"/>
              <w:bottom w:val="single" w:sz="4" w:space="0" w:color="auto"/>
              <w:right w:val="single" w:sz="4" w:space="0" w:color="auto"/>
            </w:tcBorders>
            <w:vAlign w:val="center"/>
          </w:tcPr>
          <w:p w:rsidR="00D54F7E" w:rsidRPr="0063083A" w:rsidRDefault="00D54F7E" w:rsidP="0026721F">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54F7E" w:rsidRPr="0063083A" w:rsidRDefault="00116DC2" w:rsidP="0016278B">
            <w:pPr>
              <w:rPr>
                <w:rStyle w:val="Hyperlink"/>
                <w:rFonts w:ascii="Garamond" w:hAnsi="Garamond"/>
                <w:color w:val="auto"/>
                <w:u w:val="none"/>
                <w:lang w:val="en-AU"/>
              </w:rPr>
            </w:pPr>
            <w:hyperlink r:id="rId31" w:history="1">
              <w:r w:rsidR="0016278B" w:rsidRPr="00C042F0">
                <w:rPr>
                  <w:rStyle w:val="Hyperlink"/>
                  <w:rFonts w:ascii="Garamond" w:hAnsi="Garamond"/>
                  <w:lang w:val="en-AU"/>
                </w:rPr>
                <w:t>https://academic.oup.com/intqhc/issue/30/3</w:t>
              </w:r>
            </w:hyperlink>
          </w:p>
        </w:tc>
      </w:tr>
      <w:tr w:rsidR="00D54F7E" w:rsidRPr="0063083A" w:rsidTr="0026721F">
        <w:tc>
          <w:tcPr>
            <w:tcW w:w="1080" w:type="dxa"/>
            <w:tcBorders>
              <w:top w:val="single" w:sz="4" w:space="0" w:color="auto"/>
              <w:left w:val="single" w:sz="4" w:space="0" w:color="auto"/>
              <w:bottom w:val="single" w:sz="4" w:space="0" w:color="auto"/>
              <w:right w:val="single" w:sz="4" w:space="0" w:color="auto"/>
            </w:tcBorders>
            <w:vAlign w:val="center"/>
          </w:tcPr>
          <w:p w:rsidR="00D54F7E" w:rsidRPr="0063083A" w:rsidRDefault="00D54F7E" w:rsidP="0026721F">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54F7E" w:rsidRPr="009D2E31" w:rsidRDefault="00D54F7E" w:rsidP="0026721F">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Editorial: Improving the capacity for </w:t>
            </w:r>
            <w:r w:rsidRPr="0016278B">
              <w:rPr>
                <w:rFonts w:ascii="Garamond" w:hAnsi="Garamond"/>
                <w:b/>
                <w:lang w:val="en-AU"/>
              </w:rPr>
              <w:t>learning and improvement in health care</w:t>
            </w:r>
            <w:r w:rsidRPr="0016278B">
              <w:rPr>
                <w:rFonts w:ascii="Garamond" w:hAnsi="Garamond"/>
                <w:lang w:val="en-AU"/>
              </w:rPr>
              <w:t xml:space="preserve"> (Oliver Groene</w:t>
            </w:r>
            <w:r>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lastRenderedPageBreak/>
              <w:t xml:space="preserve">The spectrum of </w:t>
            </w:r>
            <w:r w:rsidRPr="0016278B">
              <w:rPr>
                <w:rFonts w:ascii="Garamond" w:hAnsi="Garamond"/>
                <w:b/>
                <w:lang w:val="en-AU"/>
              </w:rPr>
              <w:t>ethical issues in a Learning Health Care System</w:t>
            </w:r>
            <w:r w:rsidRPr="0016278B">
              <w:rPr>
                <w:rFonts w:ascii="Garamond" w:hAnsi="Garamond"/>
                <w:lang w:val="en-AU"/>
              </w:rPr>
              <w:t>: a systematic qualitative review (Stuart McLennan; Hannes Kahrass; Susanne Wieschowski; Daniel Strech; Holger Langhof</w:t>
            </w:r>
            <w:r>
              <w:rPr>
                <w:rFonts w:ascii="Garamond" w:hAnsi="Garamond"/>
                <w:lang w:val="en-AU"/>
              </w:rPr>
              <w:t>)</w:t>
            </w:r>
          </w:p>
          <w:p w:rsidR="0016278B" w:rsidRPr="0016278B" w:rsidRDefault="0016278B" w:rsidP="00525B5B">
            <w:pPr>
              <w:pStyle w:val="ListParagraph"/>
              <w:numPr>
                <w:ilvl w:val="0"/>
                <w:numId w:val="16"/>
              </w:numPr>
              <w:rPr>
                <w:rFonts w:ascii="Garamond" w:hAnsi="Garamond"/>
                <w:lang w:val="en-AU"/>
              </w:rPr>
            </w:pPr>
            <w:r w:rsidRPr="0016278B">
              <w:rPr>
                <w:rFonts w:ascii="Garamond" w:hAnsi="Garamond"/>
                <w:lang w:val="en-AU"/>
              </w:rPr>
              <w:t xml:space="preserve">Standardized languages and notations for </w:t>
            </w:r>
            <w:r w:rsidRPr="0016278B">
              <w:rPr>
                <w:rFonts w:ascii="Garamond" w:hAnsi="Garamond"/>
                <w:b/>
                <w:lang w:val="en-AU"/>
              </w:rPr>
              <w:t>graphical modelling of patient care processes</w:t>
            </w:r>
            <w:r w:rsidRPr="0016278B">
              <w:rPr>
                <w:rFonts w:ascii="Garamond" w:hAnsi="Garamond"/>
                <w:lang w:val="en-AU"/>
              </w:rPr>
              <w:t>: a systematic review (Pierpaolo Mincarone; Carlo Giacomo Leo; Maria del Mar Trujillo-Martín; Jan Manson; Roberto Guarino</w:t>
            </w:r>
            <w:r w:rsidR="00525B5B">
              <w:rPr>
                <w:rFonts w:ascii="Garamond" w:hAnsi="Garamond"/>
                <w:lang w:val="en-AU"/>
              </w:rPr>
              <w:t xml:space="preserve">; </w:t>
            </w:r>
            <w:r w:rsidR="00525B5B" w:rsidRPr="00525B5B">
              <w:rPr>
                <w:rFonts w:ascii="Garamond" w:hAnsi="Garamond"/>
                <w:lang w:val="en-AU"/>
              </w:rPr>
              <w:t>Giuseppe Ponzini</w:t>
            </w:r>
            <w:r w:rsidR="00525B5B">
              <w:rPr>
                <w:rFonts w:ascii="Garamond" w:hAnsi="Garamond"/>
                <w:lang w:val="en-AU"/>
              </w:rPr>
              <w:t>;</w:t>
            </w:r>
            <w:r w:rsidR="00525B5B" w:rsidRPr="00525B5B">
              <w:rPr>
                <w:rFonts w:ascii="Garamond" w:hAnsi="Garamond"/>
                <w:lang w:val="en-AU"/>
              </w:rPr>
              <w:t xml:space="preserve"> Saverio Sabina</w:t>
            </w:r>
            <w:r w:rsidR="00525B5B">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Review of </w:t>
            </w:r>
            <w:r w:rsidRPr="00525B5B">
              <w:rPr>
                <w:rFonts w:ascii="Garamond" w:hAnsi="Garamond"/>
                <w:b/>
                <w:lang w:val="en-AU"/>
              </w:rPr>
              <w:t>chronic non-cancer pain research among Aboriginal people</w:t>
            </w:r>
            <w:r w:rsidRPr="0016278B">
              <w:rPr>
                <w:rFonts w:ascii="Garamond" w:hAnsi="Garamond"/>
                <w:lang w:val="en-AU"/>
              </w:rPr>
              <w:t xml:space="preserve"> in Canada (Nancy Julien; Anaïs Lacasse; Oscar Labra; Hugo Asselin</w:t>
            </w:r>
            <w:r>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Assessment of </w:t>
            </w:r>
            <w:r w:rsidRPr="00525B5B">
              <w:rPr>
                <w:rFonts w:ascii="Garamond" w:hAnsi="Garamond"/>
                <w:b/>
                <w:lang w:val="en-AU"/>
              </w:rPr>
              <w:t>patient safety culture</w:t>
            </w:r>
            <w:r w:rsidRPr="0016278B">
              <w:rPr>
                <w:rFonts w:ascii="Garamond" w:hAnsi="Garamond"/>
                <w:lang w:val="en-AU"/>
              </w:rPr>
              <w:t xml:space="preserve"> in private and public hospitals in Peru (Alejandro Arrieta; Gabriela Suárez; Galed Hakim</w:t>
            </w:r>
            <w:r>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Cross-sectional study of </w:t>
            </w:r>
            <w:r w:rsidRPr="00525B5B">
              <w:rPr>
                <w:rFonts w:ascii="Garamond" w:hAnsi="Garamond"/>
                <w:b/>
                <w:lang w:val="en-AU"/>
              </w:rPr>
              <w:t>characteristics of clinical registries in Australia</w:t>
            </w:r>
            <w:r w:rsidRPr="0016278B">
              <w:rPr>
                <w:rFonts w:ascii="Garamond" w:hAnsi="Garamond"/>
                <w:lang w:val="en-AU"/>
              </w:rPr>
              <w:t>: a resource for clinicians and policy makers (Dewan Md. Emdadul Hoque; Rasa Ruseckaite; Paula Lorgelly; John J McNeil; Sue M Evans</w:t>
            </w:r>
            <w:r>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Are people getting </w:t>
            </w:r>
            <w:r w:rsidRPr="00525B5B">
              <w:rPr>
                <w:rFonts w:ascii="Garamond" w:hAnsi="Garamond"/>
                <w:b/>
                <w:lang w:val="en-AU"/>
              </w:rPr>
              <w:t>quality thalassemia care</w:t>
            </w:r>
            <w:r w:rsidRPr="0016278B">
              <w:rPr>
                <w:rFonts w:ascii="Garamond" w:hAnsi="Garamond"/>
                <w:lang w:val="en-AU"/>
              </w:rPr>
              <w:t xml:space="preserve"> in twin cities of Pakistan? A comparison with international standards (Tehreem Tanveer; Haleema Masud; Zahid Ahmed Butt</w:t>
            </w:r>
            <w:r>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The development of </w:t>
            </w:r>
            <w:r w:rsidRPr="00525B5B">
              <w:rPr>
                <w:rFonts w:ascii="Garamond" w:hAnsi="Garamond"/>
                <w:b/>
                <w:lang w:val="en-AU"/>
              </w:rPr>
              <w:t>quality indicators for home care</w:t>
            </w:r>
            <w:r w:rsidRPr="0016278B">
              <w:rPr>
                <w:rFonts w:ascii="Garamond" w:hAnsi="Garamond"/>
                <w:lang w:val="en-AU"/>
              </w:rPr>
              <w:t xml:space="preserve"> in China (Xianping Tang; Xuemei Chen; Yajuan Pang; Lanshu Zhou</w:t>
            </w:r>
            <w:r>
              <w:rPr>
                <w:rFonts w:ascii="Garamond" w:hAnsi="Garamond"/>
                <w:lang w:val="en-AU"/>
              </w:rPr>
              <w:t>)</w:t>
            </w:r>
          </w:p>
          <w:p w:rsidR="00525B5B" w:rsidRDefault="0016278B" w:rsidP="00525B5B">
            <w:pPr>
              <w:pStyle w:val="ListParagraph"/>
              <w:numPr>
                <w:ilvl w:val="0"/>
                <w:numId w:val="16"/>
              </w:numPr>
              <w:rPr>
                <w:rFonts w:ascii="Garamond" w:hAnsi="Garamond"/>
                <w:lang w:val="en-AU"/>
              </w:rPr>
            </w:pPr>
            <w:r w:rsidRPr="0016278B">
              <w:rPr>
                <w:rFonts w:ascii="Garamond" w:hAnsi="Garamond"/>
                <w:lang w:val="en-AU"/>
              </w:rPr>
              <w:t xml:space="preserve">Contractual </w:t>
            </w:r>
            <w:r w:rsidRPr="00525B5B">
              <w:rPr>
                <w:rFonts w:ascii="Garamond" w:hAnsi="Garamond"/>
                <w:b/>
                <w:lang w:val="en-AU"/>
              </w:rPr>
              <w:t>health services performance agreements</w:t>
            </w:r>
            <w:r w:rsidRPr="0016278B">
              <w:rPr>
                <w:rFonts w:ascii="Garamond" w:hAnsi="Garamond"/>
                <w:lang w:val="en-AU"/>
              </w:rPr>
              <w:t xml:space="preserve"> for responsive health systems: from conception to implementation in the case of Qatar (Huda Al-Katheeri; Fadi El-Jardali; Nour Ataya; Noura Abdulla Salem; Nader Abbas Badr</w:t>
            </w:r>
            <w:r w:rsidR="00525B5B">
              <w:rPr>
                <w:rFonts w:ascii="Garamond" w:hAnsi="Garamond"/>
                <w:lang w:val="en-AU"/>
              </w:rPr>
              <w:t xml:space="preserve">; </w:t>
            </w:r>
            <w:r w:rsidR="00525B5B" w:rsidRPr="00525B5B">
              <w:rPr>
                <w:rFonts w:ascii="Garamond" w:hAnsi="Garamond"/>
                <w:lang w:val="en-AU"/>
              </w:rPr>
              <w:t>Diana Jamal</w:t>
            </w:r>
            <w:r w:rsidR="00525B5B">
              <w:rPr>
                <w:rFonts w:ascii="Garamond" w:hAnsi="Garamond"/>
                <w:lang w:val="en-AU"/>
              </w:rPr>
              <w:t>)</w:t>
            </w:r>
          </w:p>
          <w:p w:rsidR="0016278B" w:rsidRPr="0016278B" w:rsidRDefault="0016278B" w:rsidP="0016278B">
            <w:pPr>
              <w:pStyle w:val="ListParagraph"/>
              <w:numPr>
                <w:ilvl w:val="0"/>
                <w:numId w:val="16"/>
              </w:numPr>
              <w:rPr>
                <w:rFonts w:ascii="Garamond" w:hAnsi="Garamond"/>
                <w:lang w:val="en-AU"/>
              </w:rPr>
            </w:pPr>
            <w:r w:rsidRPr="0016278B">
              <w:rPr>
                <w:rFonts w:ascii="Garamond" w:hAnsi="Garamond"/>
                <w:lang w:val="en-AU"/>
              </w:rPr>
              <w:t xml:space="preserve">Evaluation of </w:t>
            </w:r>
            <w:r w:rsidRPr="00525B5B">
              <w:rPr>
                <w:rFonts w:ascii="Garamond" w:hAnsi="Garamond"/>
                <w:b/>
                <w:lang w:val="en-AU"/>
              </w:rPr>
              <w:t xml:space="preserve">system mapping approaches in identifying patient safety risks </w:t>
            </w:r>
            <w:r w:rsidRPr="0016278B">
              <w:rPr>
                <w:rFonts w:ascii="Garamond" w:hAnsi="Garamond"/>
                <w:lang w:val="en-AU"/>
              </w:rPr>
              <w:t>(</w:t>
            </w:r>
            <w:r>
              <w:rPr>
                <w:rFonts w:ascii="Garamond" w:hAnsi="Garamond"/>
                <w:lang w:val="en-AU"/>
              </w:rPr>
              <w:t>Mecit Can Emre</w:t>
            </w:r>
            <w:r w:rsidRPr="0016278B">
              <w:rPr>
                <w:rFonts w:ascii="Garamond" w:hAnsi="Garamond"/>
                <w:lang w:val="en-AU"/>
              </w:rPr>
              <w:t xml:space="preserve"> Simsekler; James R Ward; P John Clarkson</w:t>
            </w:r>
            <w:r>
              <w:rPr>
                <w:rFonts w:ascii="Garamond" w:hAnsi="Garamond"/>
                <w:lang w:val="en-AU"/>
              </w:rPr>
              <w:t>)</w:t>
            </w:r>
          </w:p>
          <w:p w:rsidR="00D54F7E" w:rsidRPr="00621912" w:rsidRDefault="0016278B" w:rsidP="0016278B">
            <w:pPr>
              <w:pStyle w:val="ListParagraph"/>
              <w:numPr>
                <w:ilvl w:val="0"/>
                <w:numId w:val="16"/>
              </w:numPr>
              <w:rPr>
                <w:rFonts w:ascii="Garamond" w:hAnsi="Garamond"/>
                <w:lang w:val="en-AU"/>
              </w:rPr>
            </w:pPr>
            <w:r w:rsidRPr="0016278B">
              <w:rPr>
                <w:rFonts w:ascii="Garamond" w:hAnsi="Garamond"/>
                <w:lang w:val="en-AU"/>
              </w:rPr>
              <w:t xml:space="preserve">Association of </w:t>
            </w:r>
            <w:r w:rsidRPr="00525B5B">
              <w:rPr>
                <w:rFonts w:ascii="Garamond" w:hAnsi="Garamond"/>
                <w:b/>
                <w:lang w:val="en-AU"/>
              </w:rPr>
              <w:t>strategic management with vaccination</w:t>
            </w:r>
            <w:r w:rsidRPr="0016278B">
              <w:rPr>
                <w:rFonts w:ascii="Garamond" w:hAnsi="Garamond"/>
                <w:lang w:val="en-AU"/>
              </w:rPr>
              <w:t xml:space="preserve"> in the terms of globalization </w:t>
            </w:r>
            <w:r>
              <w:rPr>
                <w:rFonts w:ascii="Garamond" w:hAnsi="Garamond"/>
                <w:lang w:val="en-AU"/>
              </w:rPr>
              <w:t>(Mihajlo Rabrenovic; Marija Cukanovic Karavidic; Ivana Stosic)</w:t>
            </w:r>
          </w:p>
        </w:tc>
      </w:tr>
    </w:tbl>
    <w:p w:rsidR="00D54F7E" w:rsidRDefault="00D54F7E" w:rsidP="00A3571C">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116DC2" w:rsidP="00900052">
            <w:pPr>
              <w:keepNext/>
              <w:rPr>
                <w:rFonts w:ascii="Garamond" w:hAnsi="Garamond"/>
                <w:lang w:val="en-AU"/>
              </w:rPr>
            </w:pPr>
            <w:hyperlink r:id="rId32"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F11CA" w:rsidRPr="00467B47" w:rsidRDefault="00922BF8" w:rsidP="00922BF8">
            <w:pPr>
              <w:pStyle w:val="ListParagraph"/>
              <w:numPr>
                <w:ilvl w:val="0"/>
                <w:numId w:val="14"/>
              </w:numPr>
              <w:rPr>
                <w:rFonts w:ascii="Garamond" w:hAnsi="Garamond"/>
                <w:lang w:val="en-AU"/>
              </w:rPr>
            </w:pPr>
            <w:r w:rsidRPr="00922BF8">
              <w:rPr>
                <w:rFonts w:ascii="Garamond" w:hAnsi="Garamond"/>
                <w:lang w:val="en-AU"/>
              </w:rPr>
              <w:t xml:space="preserve">Using Q-methodology to guide the </w:t>
            </w:r>
            <w:r w:rsidRPr="00922BF8">
              <w:rPr>
                <w:rFonts w:ascii="Garamond" w:hAnsi="Garamond"/>
                <w:b/>
                <w:lang w:val="en-AU"/>
              </w:rPr>
              <w:t>implementation of new healthcare policies</w:t>
            </w:r>
            <w:r>
              <w:rPr>
                <w:rFonts w:ascii="Garamond" w:hAnsi="Garamond"/>
                <w:lang w:val="en-AU"/>
              </w:rPr>
              <w:t xml:space="preserve"> (</w:t>
            </w:r>
            <w:r w:rsidRPr="00922BF8">
              <w:rPr>
                <w:rFonts w:ascii="Garamond" w:hAnsi="Garamond"/>
                <w:lang w:val="en-AU"/>
              </w:rPr>
              <w:t>Sarah Alderson, Robbie Foy, Louise Bryant, S Ahmed, A House</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A660B0">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116DC2" w:rsidP="00900052">
            <w:pPr>
              <w:keepNext/>
              <w:rPr>
                <w:rFonts w:ascii="Garamond" w:hAnsi="Garamond"/>
                <w:lang w:val="en-AU"/>
              </w:rPr>
            </w:pPr>
            <w:hyperlink r:id="rId33"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ED26B7" w:rsidRPr="00ED26B7" w:rsidRDefault="00ED26B7" w:rsidP="00ED26B7">
            <w:pPr>
              <w:pStyle w:val="ListParagraph"/>
              <w:numPr>
                <w:ilvl w:val="0"/>
                <w:numId w:val="14"/>
              </w:numPr>
              <w:rPr>
                <w:rFonts w:ascii="Garamond" w:hAnsi="Garamond"/>
                <w:lang w:val="en-AU"/>
              </w:rPr>
            </w:pPr>
            <w:r w:rsidRPr="00ED26B7">
              <w:rPr>
                <w:rFonts w:ascii="Garamond" w:hAnsi="Garamond"/>
                <w:lang w:val="en-AU"/>
              </w:rPr>
              <w:t xml:space="preserve">Incidence and mortality from </w:t>
            </w:r>
            <w:r w:rsidRPr="00922BF8">
              <w:rPr>
                <w:rFonts w:ascii="Garamond" w:hAnsi="Garamond"/>
                <w:b/>
                <w:lang w:val="en-AU"/>
              </w:rPr>
              <w:t>adverse effects of medical treatment</w:t>
            </w:r>
            <w:r w:rsidRPr="00ED26B7">
              <w:rPr>
                <w:rFonts w:ascii="Garamond" w:hAnsi="Garamond"/>
                <w:lang w:val="en-AU"/>
              </w:rPr>
              <w:t xml:space="preserve"> in the UK, 1990–2013: levels, trends, patterns and comparisons (Raimundas Lunevicius; Juanita A Haagsma</w:t>
            </w:r>
            <w:r>
              <w:rPr>
                <w:rFonts w:ascii="Garamond" w:hAnsi="Garamond"/>
                <w:lang w:val="en-AU"/>
              </w:rPr>
              <w:t>)</w:t>
            </w:r>
          </w:p>
          <w:p w:rsidR="00ED26B7" w:rsidRDefault="00ED26B7" w:rsidP="00ED26B7">
            <w:pPr>
              <w:pStyle w:val="ListParagraph"/>
              <w:numPr>
                <w:ilvl w:val="0"/>
                <w:numId w:val="14"/>
              </w:numPr>
              <w:rPr>
                <w:rFonts w:ascii="Garamond" w:hAnsi="Garamond"/>
                <w:lang w:val="en-AU"/>
              </w:rPr>
            </w:pPr>
            <w:r w:rsidRPr="00922BF8">
              <w:rPr>
                <w:rFonts w:ascii="Garamond" w:hAnsi="Garamond"/>
                <w:b/>
                <w:lang w:val="en-AU"/>
              </w:rPr>
              <w:t>Frequent use of emergency departments by older people</w:t>
            </w:r>
            <w:r w:rsidRPr="00ED26B7">
              <w:rPr>
                <w:rFonts w:ascii="Garamond" w:hAnsi="Garamond"/>
                <w:lang w:val="en-AU"/>
              </w:rPr>
              <w:t>: a comparative cohort study of characteristics and outcomes (Maryann Street; Debra B</w:t>
            </w:r>
            <w:r>
              <w:rPr>
                <w:rFonts w:ascii="Garamond" w:hAnsi="Garamond"/>
                <w:lang w:val="en-AU"/>
              </w:rPr>
              <w:t>erry</w:t>
            </w:r>
            <w:r w:rsidRPr="00ED26B7">
              <w:rPr>
                <w:rFonts w:ascii="Garamond" w:hAnsi="Garamond"/>
                <w:lang w:val="en-AU"/>
              </w:rPr>
              <w:t>; Julie C</w:t>
            </w:r>
            <w:r>
              <w:rPr>
                <w:rFonts w:ascii="Garamond" w:hAnsi="Garamond"/>
                <w:lang w:val="en-AU"/>
              </w:rPr>
              <w:t>onsidine)</w:t>
            </w:r>
          </w:p>
          <w:p w:rsidR="00ED26B7" w:rsidRPr="00ED26B7" w:rsidRDefault="00ED26B7" w:rsidP="00ED26B7">
            <w:pPr>
              <w:pStyle w:val="ListParagraph"/>
              <w:numPr>
                <w:ilvl w:val="0"/>
                <w:numId w:val="14"/>
              </w:numPr>
              <w:rPr>
                <w:rFonts w:ascii="Garamond" w:hAnsi="Garamond"/>
                <w:lang w:val="en-AU"/>
              </w:rPr>
            </w:pPr>
            <w:r w:rsidRPr="00ED26B7">
              <w:rPr>
                <w:rFonts w:ascii="Garamond" w:hAnsi="Garamond"/>
                <w:lang w:val="en-AU"/>
              </w:rPr>
              <w:t xml:space="preserve">Management of patients with </w:t>
            </w:r>
            <w:r w:rsidRPr="00922BF8">
              <w:rPr>
                <w:rFonts w:ascii="Garamond" w:hAnsi="Garamond"/>
                <w:b/>
                <w:lang w:val="en-AU"/>
              </w:rPr>
              <w:t>coronary heart disease in family medicine</w:t>
            </w:r>
            <w:r w:rsidRPr="00ED26B7">
              <w:rPr>
                <w:rFonts w:ascii="Garamond" w:hAnsi="Garamond"/>
                <w:lang w:val="en-AU"/>
              </w:rPr>
              <w:t>: correlates of quality of care (Ksenija Tušek-Bunc; Davorina Petek</w:t>
            </w:r>
            <w:r>
              <w:rPr>
                <w:rFonts w:ascii="Garamond" w:hAnsi="Garamond"/>
                <w:lang w:val="en-AU"/>
              </w:rPr>
              <w:t>)</w:t>
            </w:r>
          </w:p>
          <w:p w:rsidR="00ED26B7" w:rsidRPr="00ED26B7" w:rsidRDefault="00ED26B7" w:rsidP="00ED26B7">
            <w:pPr>
              <w:pStyle w:val="ListParagraph"/>
              <w:numPr>
                <w:ilvl w:val="0"/>
                <w:numId w:val="14"/>
              </w:numPr>
              <w:rPr>
                <w:rFonts w:ascii="Garamond" w:hAnsi="Garamond"/>
                <w:lang w:val="en-AU"/>
              </w:rPr>
            </w:pPr>
            <w:r w:rsidRPr="00ED26B7">
              <w:rPr>
                <w:rFonts w:ascii="Garamond" w:hAnsi="Garamond"/>
                <w:lang w:val="en-AU"/>
              </w:rPr>
              <w:t xml:space="preserve">Is </w:t>
            </w:r>
            <w:r w:rsidRPr="00922BF8">
              <w:rPr>
                <w:rFonts w:ascii="Garamond" w:hAnsi="Garamond"/>
                <w:b/>
                <w:lang w:val="en-AU"/>
              </w:rPr>
              <w:t>Lean sustainable</w:t>
            </w:r>
            <w:r w:rsidRPr="00ED26B7">
              <w:rPr>
                <w:rFonts w:ascii="Garamond" w:hAnsi="Garamond"/>
                <w:lang w:val="en-AU"/>
              </w:rPr>
              <w:t xml:space="preserve"> in today's NHS hospitals? A systematic literature review using the meta-narrative and integrative methods (Samuel Woodnutt</w:t>
            </w:r>
            <w:r>
              <w:rPr>
                <w:rFonts w:ascii="Garamond" w:hAnsi="Garamond"/>
                <w:lang w:val="en-AU"/>
              </w:rPr>
              <w:t>)</w:t>
            </w:r>
          </w:p>
          <w:p w:rsidR="00ED26B7" w:rsidRPr="00ED26B7" w:rsidRDefault="00ED26B7" w:rsidP="00922BF8">
            <w:pPr>
              <w:pStyle w:val="ListParagraph"/>
              <w:numPr>
                <w:ilvl w:val="0"/>
                <w:numId w:val="14"/>
              </w:numPr>
              <w:rPr>
                <w:rFonts w:ascii="Garamond" w:hAnsi="Garamond"/>
                <w:lang w:val="en-AU"/>
              </w:rPr>
            </w:pPr>
            <w:r w:rsidRPr="00ED26B7">
              <w:rPr>
                <w:rFonts w:ascii="Garamond" w:hAnsi="Garamond"/>
                <w:lang w:val="en-AU"/>
              </w:rPr>
              <w:t xml:space="preserve">Factors associated with ever use of </w:t>
            </w:r>
            <w:r w:rsidRPr="00922BF8">
              <w:rPr>
                <w:rFonts w:ascii="Garamond" w:hAnsi="Garamond"/>
                <w:b/>
                <w:lang w:val="en-AU"/>
              </w:rPr>
              <w:t>mammography</w:t>
            </w:r>
            <w:r w:rsidRPr="00ED26B7">
              <w:rPr>
                <w:rFonts w:ascii="Garamond" w:hAnsi="Garamond"/>
                <w:lang w:val="en-AU"/>
              </w:rPr>
              <w:t xml:space="preserve"> in a limited resource setting. A mixed methods study (L Cruz-Jiménez; G Torres-Mejía; A Mohar-</w:t>
            </w:r>
            <w:r w:rsidRPr="00ED26B7">
              <w:rPr>
                <w:rFonts w:ascii="Garamond" w:hAnsi="Garamond"/>
                <w:lang w:val="en-AU"/>
              </w:rPr>
              <w:lastRenderedPageBreak/>
              <w:t>Betancourt; L Campero; A Ángeles-Llerenas</w:t>
            </w:r>
            <w:r w:rsidR="00922BF8">
              <w:rPr>
                <w:rFonts w:ascii="Garamond" w:hAnsi="Garamond"/>
                <w:lang w:val="en-AU"/>
              </w:rPr>
              <w:t xml:space="preserve">; </w:t>
            </w:r>
            <w:r w:rsidR="00922BF8" w:rsidRPr="00922BF8">
              <w:rPr>
                <w:rFonts w:ascii="Garamond" w:hAnsi="Garamond"/>
                <w:lang w:val="en-AU"/>
              </w:rPr>
              <w:t>C Ortega-Olvera</w:t>
            </w:r>
            <w:r w:rsidR="00922BF8">
              <w:rPr>
                <w:rFonts w:ascii="Garamond" w:hAnsi="Garamond"/>
                <w:lang w:val="en-AU"/>
              </w:rPr>
              <w:t>;</w:t>
            </w:r>
            <w:r w:rsidR="00922BF8" w:rsidRPr="00922BF8">
              <w:rPr>
                <w:rFonts w:ascii="Garamond" w:hAnsi="Garamond"/>
                <w:lang w:val="en-AU"/>
              </w:rPr>
              <w:t xml:space="preserve"> L Martínez-Matsushita</w:t>
            </w:r>
            <w:r w:rsidR="00922BF8">
              <w:rPr>
                <w:rFonts w:ascii="Garamond" w:hAnsi="Garamond"/>
                <w:lang w:val="en-AU"/>
              </w:rPr>
              <w:t>;</w:t>
            </w:r>
            <w:r w:rsidR="00922BF8" w:rsidRPr="00922BF8">
              <w:rPr>
                <w:rFonts w:ascii="Garamond" w:hAnsi="Garamond"/>
                <w:lang w:val="en-AU"/>
              </w:rPr>
              <w:t xml:space="preserve"> N Reynoso-Noverón</w:t>
            </w:r>
            <w:r w:rsidR="00922BF8">
              <w:rPr>
                <w:rFonts w:ascii="Garamond" w:hAnsi="Garamond"/>
                <w:lang w:val="en-AU"/>
              </w:rPr>
              <w:t>;</w:t>
            </w:r>
            <w:r w:rsidR="00922BF8" w:rsidRPr="00922BF8">
              <w:rPr>
                <w:rFonts w:ascii="Garamond" w:hAnsi="Garamond"/>
                <w:lang w:val="en-AU"/>
              </w:rPr>
              <w:t xml:space="preserve"> C Duggan</w:t>
            </w:r>
            <w:r w:rsidR="00922BF8">
              <w:rPr>
                <w:rFonts w:ascii="Garamond" w:hAnsi="Garamond"/>
                <w:lang w:val="en-AU"/>
              </w:rPr>
              <w:t>;</w:t>
            </w:r>
            <w:r w:rsidR="00922BF8" w:rsidRPr="00922BF8">
              <w:rPr>
                <w:rFonts w:ascii="Garamond" w:hAnsi="Garamond"/>
                <w:lang w:val="en-AU"/>
              </w:rPr>
              <w:t xml:space="preserve"> B O Anderson</w:t>
            </w:r>
            <w:r w:rsidR="00922BF8">
              <w:rPr>
                <w:rFonts w:ascii="Garamond" w:hAnsi="Garamond"/>
                <w:lang w:val="en-AU"/>
              </w:rPr>
              <w:t>)</w:t>
            </w:r>
          </w:p>
          <w:p w:rsidR="00ED26B7" w:rsidRPr="00ED26B7" w:rsidRDefault="00ED26B7" w:rsidP="00ED26B7">
            <w:pPr>
              <w:pStyle w:val="ListParagraph"/>
              <w:numPr>
                <w:ilvl w:val="0"/>
                <w:numId w:val="14"/>
              </w:numPr>
              <w:rPr>
                <w:rFonts w:ascii="Garamond" w:hAnsi="Garamond"/>
                <w:lang w:val="en-AU"/>
              </w:rPr>
            </w:pPr>
            <w:r w:rsidRPr="00ED26B7">
              <w:rPr>
                <w:rFonts w:ascii="Garamond" w:hAnsi="Garamond"/>
                <w:lang w:val="en-AU"/>
              </w:rPr>
              <w:t xml:space="preserve">In </w:t>
            </w:r>
            <w:r w:rsidRPr="00922BF8">
              <w:rPr>
                <w:rFonts w:ascii="Garamond" w:hAnsi="Garamond"/>
                <w:b/>
                <w:lang w:val="en-AU"/>
              </w:rPr>
              <w:t>pursuit of quality and safety</w:t>
            </w:r>
            <w:r w:rsidRPr="00ED26B7">
              <w:rPr>
                <w:rFonts w:ascii="Garamond" w:hAnsi="Garamond"/>
                <w:lang w:val="en-AU"/>
              </w:rPr>
              <w:t>: an 8-year study of clinical peer review best practices in US hospitals (Marc T Edwards</w:t>
            </w:r>
            <w:r>
              <w:rPr>
                <w:rFonts w:ascii="Garamond" w:hAnsi="Garamond"/>
                <w:lang w:val="en-AU"/>
              </w:rPr>
              <w:t>)</w:t>
            </w:r>
          </w:p>
          <w:p w:rsidR="00922BF8" w:rsidRDefault="00ED26B7" w:rsidP="00922BF8">
            <w:pPr>
              <w:pStyle w:val="ListParagraph"/>
              <w:numPr>
                <w:ilvl w:val="0"/>
                <w:numId w:val="14"/>
              </w:numPr>
              <w:rPr>
                <w:rFonts w:ascii="Garamond" w:hAnsi="Garamond"/>
                <w:lang w:val="en-AU"/>
              </w:rPr>
            </w:pPr>
            <w:r w:rsidRPr="00ED26B7">
              <w:rPr>
                <w:rFonts w:ascii="Garamond" w:hAnsi="Garamond"/>
                <w:lang w:val="en-AU"/>
              </w:rPr>
              <w:t xml:space="preserve">Ultrasound guidance for </w:t>
            </w:r>
            <w:r w:rsidRPr="00922BF8">
              <w:rPr>
                <w:rFonts w:ascii="Garamond" w:hAnsi="Garamond"/>
                <w:b/>
                <w:lang w:val="en-AU"/>
              </w:rPr>
              <w:t>central venous catheterisation</w:t>
            </w:r>
            <w:r w:rsidRPr="00ED26B7">
              <w:rPr>
                <w:rFonts w:ascii="Garamond" w:hAnsi="Garamond"/>
                <w:lang w:val="en-AU"/>
              </w:rPr>
              <w:t>. A Colombian national survey (José Andrés Calvache; Camilo Daza-Perdomo; Julio Gómez-Tamayo; Edison Benavides-Hernández; Andrés Zorrilla-Vaca</w:t>
            </w:r>
            <w:r w:rsidR="00922BF8">
              <w:rPr>
                <w:rFonts w:ascii="Garamond" w:hAnsi="Garamond"/>
                <w:lang w:val="en-AU"/>
              </w:rPr>
              <w:t xml:space="preserve">; </w:t>
            </w:r>
            <w:r w:rsidR="00922BF8" w:rsidRPr="00922BF8">
              <w:rPr>
                <w:rFonts w:ascii="Garamond" w:hAnsi="Garamond"/>
                <w:lang w:val="en-AU"/>
              </w:rPr>
              <w:t>Markus Klimek</w:t>
            </w:r>
            <w:r w:rsidR="00922BF8">
              <w:rPr>
                <w:rFonts w:ascii="Garamond" w:hAnsi="Garamond"/>
                <w:lang w:val="en-AU"/>
              </w:rPr>
              <w:t>)</w:t>
            </w:r>
          </w:p>
          <w:p w:rsidR="00D673F1" w:rsidRPr="00DA6435" w:rsidRDefault="00ED26B7" w:rsidP="00ED26B7">
            <w:pPr>
              <w:pStyle w:val="ListParagraph"/>
              <w:numPr>
                <w:ilvl w:val="0"/>
                <w:numId w:val="14"/>
              </w:numPr>
              <w:rPr>
                <w:rFonts w:ascii="Garamond" w:hAnsi="Garamond"/>
                <w:lang w:val="en-AU"/>
              </w:rPr>
            </w:pPr>
            <w:r w:rsidRPr="00ED26B7">
              <w:rPr>
                <w:rFonts w:ascii="Garamond" w:hAnsi="Garamond"/>
                <w:lang w:val="en-AU"/>
              </w:rPr>
              <w:t xml:space="preserve">Criteria for </w:t>
            </w:r>
            <w:r w:rsidRPr="00922BF8">
              <w:rPr>
                <w:rFonts w:ascii="Garamond" w:hAnsi="Garamond"/>
                <w:lang w:val="en-AU"/>
              </w:rPr>
              <w:t>evaluating</w:t>
            </w:r>
            <w:r w:rsidRPr="00922BF8">
              <w:rPr>
                <w:rFonts w:ascii="Garamond" w:hAnsi="Garamond"/>
                <w:b/>
                <w:lang w:val="en-AU"/>
              </w:rPr>
              <w:t xml:space="preserve"> programme theory diagrams</w:t>
            </w:r>
            <w:r w:rsidRPr="00ED26B7">
              <w:rPr>
                <w:rFonts w:ascii="Garamond" w:hAnsi="Garamond"/>
                <w:lang w:val="en-AU"/>
              </w:rPr>
              <w:t xml:space="preserve"> </w:t>
            </w:r>
            <w:r w:rsidRPr="00922BF8">
              <w:rPr>
                <w:rFonts w:ascii="Garamond" w:hAnsi="Garamond"/>
                <w:b/>
                <w:lang w:val="en-AU"/>
              </w:rPr>
              <w:t>in quality improvement</w:t>
            </w:r>
            <w:r w:rsidRPr="00ED26B7">
              <w:rPr>
                <w:rFonts w:ascii="Garamond" w:hAnsi="Garamond"/>
                <w:lang w:val="en-AU"/>
              </w:rPr>
              <w:t xml:space="preserve"> initiatives: a structured method for appraisal </w:t>
            </w:r>
            <w:r>
              <w:rPr>
                <w:rFonts w:ascii="Garamond" w:hAnsi="Garamond"/>
                <w:lang w:val="en-AU"/>
              </w:rPr>
              <w:t>(</w:t>
            </w:r>
            <w:r w:rsidRPr="00ED26B7">
              <w:rPr>
                <w:rFonts w:ascii="Garamond" w:hAnsi="Garamond"/>
                <w:lang w:val="en-AU"/>
              </w:rPr>
              <w:t>Laurel Issen; Thomas Woodcock; Christopher McNicholas; Laura Lennox; Julie E Reed</w:t>
            </w:r>
            <w:r>
              <w:rPr>
                <w:rFonts w:ascii="Garamond" w:hAnsi="Garamond"/>
                <w:lang w:val="en-AU"/>
              </w:rPr>
              <w:t>)</w:t>
            </w:r>
          </w:p>
        </w:tc>
      </w:tr>
    </w:tbl>
    <w:p w:rsidR="00A3571C" w:rsidRPr="00A3571C" w:rsidRDefault="00A3571C" w:rsidP="00070CFE">
      <w:pPr>
        <w:rPr>
          <w:rFonts w:ascii="Garamond" w:hAnsi="Garamond"/>
          <w:lang w:val="en-AU"/>
        </w:rPr>
      </w:pPr>
    </w:p>
    <w:p w:rsidR="00A3571C" w:rsidRPr="00A3571C" w:rsidRDefault="00A3571C"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0A0F06" w:rsidRPr="00D54F7E" w:rsidRDefault="000A0F06" w:rsidP="00070CFE">
      <w:pPr>
        <w:rPr>
          <w:rFonts w:ascii="Garamond" w:hAnsi="Garamond"/>
          <w:i/>
          <w:lang w:val="en-AU"/>
        </w:rPr>
      </w:pPr>
      <w:r w:rsidRPr="00D54F7E">
        <w:rPr>
          <w:rFonts w:ascii="Garamond" w:hAnsi="Garamond"/>
          <w:i/>
          <w:lang w:val="en-AU"/>
        </w:rPr>
        <w:t>End of Life Directions for Aged Care (ELDAC)</w:t>
      </w:r>
    </w:p>
    <w:p w:rsidR="000A0F06" w:rsidRDefault="00116DC2" w:rsidP="00070CFE">
      <w:pPr>
        <w:rPr>
          <w:rFonts w:ascii="Garamond" w:hAnsi="Garamond"/>
          <w:lang w:val="en-AU"/>
        </w:rPr>
      </w:pPr>
      <w:hyperlink r:id="rId34" w:history="1">
        <w:r w:rsidR="000A0F06" w:rsidRPr="00C042F0">
          <w:rPr>
            <w:rStyle w:val="Hyperlink"/>
            <w:rFonts w:ascii="Garamond" w:hAnsi="Garamond"/>
            <w:lang w:val="en-AU"/>
          </w:rPr>
          <w:t>https://www.eldac.com.au</w:t>
        </w:r>
      </w:hyperlink>
    </w:p>
    <w:p w:rsidR="000A0F06" w:rsidRDefault="000A0F06" w:rsidP="000A0F06">
      <w:pPr>
        <w:rPr>
          <w:rFonts w:ascii="Garamond" w:hAnsi="Garamond"/>
          <w:lang w:val="en-AU"/>
        </w:rPr>
      </w:pPr>
      <w:r w:rsidRPr="000A0F06">
        <w:rPr>
          <w:rFonts w:ascii="Garamond" w:hAnsi="Garamond"/>
          <w:lang w:val="en-AU"/>
        </w:rPr>
        <w:t>The End of Life Directions for Aged Care (ELDAC) website aims to improve the care of older Australians through advance care planning activities and palliative care connections</w:t>
      </w:r>
      <w:r>
        <w:rPr>
          <w:rFonts w:ascii="Garamond" w:hAnsi="Garamond"/>
          <w:lang w:val="en-AU"/>
        </w:rPr>
        <w:t xml:space="preserve">. </w:t>
      </w:r>
      <w:r w:rsidRPr="000A0F06">
        <w:rPr>
          <w:rFonts w:ascii="Garamond" w:hAnsi="Garamond"/>
          <w:lang w:val="en-AU"/>
        </w:rPr>
        <w:t xml:space="preserve">Health professionals and aged care workers can access information, guidance, and resources to support palliative care and advance care planning for older people and their families. </w:t>
      </w:r>
      <w:r>
        <w:rPr>
          <w:rFonts w:ascii="Garamond" w:hAnsi="Garamond"/>
          <w:lang w:val="en-AU"/>
        </w:rPr>
        <w:t xml:space="preserve">The site includes a </w:t>
      </w:r>
      <w:r w:rsidRPr="000A0F06">
        <w:rPr>
          <w:rFonts w:ascii="Garamond" w:hAnsi="Garamond"/>
          <w:lang w:val="en-AU"/>
        </w:rPr>
        <w:t>set of five online toolkits developed by palliative care, aged care, primary care and legal experts covering</w:t>
      </w:r>
    </w:p>
    <w:p w:rsidR="000A0F06" w:rsidRPr="000A0F06" w:rsidRDefault="000A0F06" w:rsidP="000A0F06">
      <w:pPr>
        <w:pStyle w:val="ListParagraph"/>
        <w:numPr>
          <w:ilvl w:val="0"/>
          <w:numId w:val="46"/>
        </w:numPr>
        <w:rPr>
          <w:rFonts w:ascii="Garamond" w:hAnsi="Garamond"/>
          <w:lang w:val="en-AU"/>
        </w:rPr>
      </w:pPr>
      <w:r w:rsidRPr="000A0F06">
        <w:rPr>
          <w:rFonts w:ascii="Garamond" w:hAnsi="Garamond"/>
          <w:lang w:val="en-AU"/>
        </w:rPr>
        <w:t>Residential Aged Care</w:t>
      </w:r>
    </w:p>
    <w:p w:rsidR="000A0F06" w:rsidRDefault="000A0F06" w:rsidP="000A0F06">
      <w:pPr>
        <w:pStyle w:val="ListParagraph"/>
        <w:numPr>
          <w:ilvl w:val="0"/>
          <w:numId w:val="46"/>
        </w:numPr>
        <w:rPr>
          <w:rFonts w:ascii="Garamond" w:hAnsi="Garamond"/>
          <w:lang w:val="en-AU"/>
        </w:rPr>
      </w:pPr>
      <w:r w:rsidRPr="000A0F06">
        <w:rPr>
          <w:rFonts w:ascii="Garamond" w:hAnsi="Garamond"/>
          <w:lang w:val="en-AU"/>
        </w:rPr>
        <w:t>Home Care</w:t>
      </w:r>
    </w:p>
    <w:p w:rsidR="000A0F06" w:rsidRDefault="000A0F06" w:rsidP="000A0F06">
      <w:pPr>
        <w:pStyle w:val="ListParagraph"/>
        <w:numPr>
          <w:ilvl w:val="0"/>
          <w:numId w:val="46"/>
        </w:numPr>
        <w:rPr>
          <w:rFonts w:ascii="Garamond" w:hAnsi="Garamond"/>
          <w:lang w:val="en-AU"/>
        </w:rPr>
      </w:pPr>
      <w:r w:rsidRPr="000A0F06">
        <w:rPr>
          <w:rFonts w:ascii="Garamond" w:hAnsi="Garamond"/>
          <w:lang w:val="en-AU"/>
        </w:rPr>
        <w:t>Primary Care</w:t>
      </w:r>
    </w:p>
    <w:p w:rsidR="000A0F06" w:rsidRDefault="000A0F06" w:rsidP="000A0F06">
      <w:pPr>
        <w:pStyle w:val="ListParagraph"/>
        <w:numPr>
          <w:ilvl w:val="0"/>
          <w:numId w:val="46"/>
        </w:numPr>
        <w:rPr>
          <w:rFonts w:ascii="Garamond" w:hAnsi="Garamond"/>
          <w:lang w:val="en-AU"/>
        </w:rPr>
      </w:pPr>
      <w:r w:rsidRPr="000A0F06">
        <w:rPr>
          <w:rFonts w:ascii="Garamond" w:hAnsi="Garamond"/>
          <w:lang w:val="en-AU"/>
        </w:rPr>
        <w:t xml:space="preserve">Working Together, and </w:t>
      </w:r>
    </w:p>
    <w:p w:rsidR="000A0F06" w:rsidRPr="000A0F06" w:rsidRDefault="000A0F06" w:rsidP="000A0F06">
      <w:pPr>
        <w:pStyle w:val="ListParagraph"/>
        <w:numPr>
          <w:ilvl w:val="0"/>
          <w:numId w:val="46"/>
        </w:numPr>
        <w:rPr>
          <w:rFonts w:ascii="Garamond" w:hAnsi="Garamond"/>
          <w:lang w:val="en-AU"/>
        </w:rPr>
      </w:pPr>
      <w:r w:rsidRPr="000A0F06">
        <w:rPr>
          <w:rFonts w:ascii="Garamond" w:hAnsi="Garamond"/>
          <w:lang w:val="en-AU"/>
        </w:rPr>
        <w:t>Legal matters.</w:t>
      </w:r>
    </w:p>
    <w:p w:rsidR="000A0F06" w:rsidRDefault="000A0F06" w:rsidP="000A0F06">
      <w:pPr>
        <w:rPr>
          <w:rFonts w:ascii="Garamond" w:hAnsi="Garamond"/>
          <w:lang w:val="en-AU"/>
        </w:rPr>
      </w:pPr>
      <w:r w:rsidRPr="000A0F06">
        <w:rPr>
          <w:rFonts w:ascii="Garamond" w:hAnsi="Garamond"/>
          <w:lang w:val="en-AU"/>
        </w:rPr>
        <w:t xml:space="preserve"> </w:t>
      </w:r>
      <w:r>
        <w:rPr>
          <w:rFonts w:ascii="Garamond" w:hAnsi="Garamond"/>
          <w:lang w:val="en-AU"/>
        </w:rPr>
        <w:t>T</w:t>
      </w:r>
      <w:r w:rsidRPr="000A0F06">
        <w:rPr>
          <w:rFonts w:ascii="Garamond" w:hAnsi="Garamond"/>
          <w:lang w:val="en-AU"/>
        </w:rPr>
        <w:t>he Primary Care toolkit</w:t>
      </w:r>
      <w:r>
        <w:rPr>
          <w:rFonts w:ascii="Garamond" w:hAnsi="Garamond"/>
          <w:lang w:val="en-AU"/>
        </w:rPr>
        <w:t xml:space="preserve"> </w:t>
      </w:r>
      <w:r w:rsidRPr="000A0F06">
        <w:rPr>
          <w:rFonts w:ascii="Garamond" w:hAnsi="Garamond"/>
          <w:lang w:val="en-AU"/>
        </w:rPr>
        <w:t>leads healthcare workers and primary care teams through the various steps involved in supporting advance care planning with patients and their families, including considerations for people of various religious and cultural backgrounds. There are links to fact sheets, guides, discussion starters, patient resources and podcasts.</w:t>
      </w:r>
    </w:p>
    <w:p w:rsidR="008F4A60" w:rsidRDefault="008F4A60" w:rsidP="00070CFE">
      <w:pPr>
        <w:rPr>
          <w:rFonts w:ascii="Garamond" w:hAnsi="Garamond"/>
          <w:lang w:val="en-AU"/>
        </w:rPr>
      </w:pPr>
    </w:p>
    <w:p w:rsidR="00DE375B" w:rsidRPr="000170DA" w:rsidRDefault="00DE375B" w:rsidP="00DE375B">
      <w:pPr>
        <w:keepNext/>
        <w:keepLines/>
        <w:rPr>
          <w:rFonts w:ascii="Garamond" w:hAnsi="Garamond"/>
          <w:i/>
          <w:lang w:val="en-AU"/>
        </w:rPr>
      </w:pPr>
      <w:r w:rsidRPr="000170DA">
        <w:rPr>
          <w:rFonts w:ascii="Garamond" w:hAnsi="Garamond"/>
          <w:i/>
          <w:lang w:val="en-AU"/>
        </w:rPr>
        <w:t>[UK] NICE Guidelines and Quality Standards</w:t>
      </w:r>
    </w:p>
    <w:p w:rsidR="00DE375B" w:rsidRPr="000170DA" w:rsidRDefault="00116DC2" w:rsidP="00DE375B">
      <w:pPr>
        <w:keepNext/>
        <w:keepLines/>
        <w:rPr>
          <w:rFonts w:ascii="Garamond" w:hAnsi="Garamond"/>
          <w:u w:val="single"/>
          <w:lang w:val="en-AU"/>
        </w:rPr>
      </w:pPr>
      <w:hyperlink r:id="rId35" w:history="1">
        <w:r w:rsidR="00DE375B" w:rsidRPr="000170DA">
          <w:rPr>
            <w:rStyle w:val="Hyperlink"/>
            <w:rFonts w:ascii="Garamond" w:hAnsi="Garamond"/>
            <w:lang w:val="en-AU"/>
          </w:rPr>
          <w:t>https://www.nice.org.uk</w:t>
        </w:r>
      </w:hyperlink>
    </w:p>
    <w:p w:rsidR="00DE375B" w:rsidRPr="000170DA" w:rsidRDefault="00DE375B" w:rsidP="00DE375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2927D6" w:rsidRDefault="00424CCC" w:rsidP="00424CCC">
      <w:pPr>
        <w:pStyle w:val="ListParagraph"/>
        <w:keepNext/>
        <w:keepLines/>
        <w:numPr>
          <w:ilvl w:val="0"/>
          <w:numId w:val="14"/>
        </w:numPr>
        <w:rPr>
          <w:rFonts w:ascii="Garamond" w:hAnsi="Garamond"/>
          <w:lang w:val="en-AU"/>
        </w:rPr>
      </w:pPr>
      <w:r>
        <w:rPr>
          <w:rFonts w:ascii="Garamond" w:hAnsi="Garamond"/>
          <w:lang w:val="en-AU"/>
        </w:rPr>
        <w:t xml:space="preserve">NICE Guideline NG95 </w:t>
      </w:r>
      <w:r w:rsidRPr="00424CCC">
        <w:rPr>
          <w:rFonts w:ascii="Garamond" w:hAnsi="Garamond"/>
          <w:b/>
          <w:i/>
          <w:lang w:val="en-AU"/>
        </w:rPr>
        <w:t>Lyme disease</w:t>
      </w:r>
      <w:r>
        <w:rPr>
          <w:rFonts w:ascii="Garamond" w:hAnsi="Garamond"/>
          <w:lang w:val="en-AU"/>
        </w:rPr>
        <w:t xml:space="preserve"> </w:t>
      </w:r>
      <w:hyperlink r:id="rId36" w:history="1">
        <w:r w:rsidRPr="00C042F0">
          <w:rPr>
            <w:rStyle w:val="Hyperlink"/>
            <w:rFonts w:ascii="Garamond" w:hAnsi="Garamond"/>
            <w:lang w:val="en-AU"/>
          </w:rPr>
          <w:t>https://www.nice.org.uk/guidance/ng95</w:t>
        </w:r>
      </w:hyperlink>
    </w:p>
    <w:p w:rsidR="00424CCC" w:rsidRDefault="00424CCC" w:rsidP="00424CCC">
      <w:pPr>
        <w:pStyle w:val="ListParagraph"/>
        <w:keepNext/>
        <w:keepLines/>
        <w:numPr>
          <w:ilvl w:val="0"/>
          <w:numId w:val="14"/>
        </w:numPr>
        <w:rPr>
          <w:rFonts w:ascii="Garamond" w:hAnsi="Garamond"/>
          <w:lang w:val="en-AU"/>
        </w:rPr>
      </w:pPr>
      <w:r>
        <w:rPr>
          <w:rFonts w:ascii="Garamond" w:hAnsi="Garamond"/>
          <w:lang w:val="en-AU"/>
        </w:rPr>
        <w:t xml:space="preserve">NICE Guideline NG96 </w:t>
      </w:r>
      <w:r w:rsidRPr="00424CCC">
        <w:rPr>
          <w:rFonts w:ascii="Garamond" w:hAnsi="Garamond"/>
          <w:i/>
          <w:lang w:val="en-AU"/>
        </w:rPr>
        <w:t xml:space="preserve">Care and support of people growing older with </w:t>
      </w:r>
      <w:r w:rsidRPr="00424CCC">
        <w:rPr>
          <w:rFonts w:ascii="Garamond" w:hAnsi="Garamond"/>
          <w:b/>
          <w:i/>
          <w:lang w:val="en-AU"/>
        </w:rPr>
        <w:t>learning disabilities</w:t>
      </w:r>
      <w:r>
        <w:rPr>
          <w:rFonts w:ascii="Garamond" w:hAnsi="Garamond"/>
          <w:lang w:val="en-AU"/>
        </w:rPr>
        <w:t xml:space="preserve"> </w:t>
      </w:r>
      <w:hyperlink r:id="rId37" w:history="1">
        <w:r w:rsidRPr="00C042F0">
          <w:rPr>
            <w:rStyle w:val="Hyperlink"/>
            <w:rFonts w:ascii="Garamond" w:hAnsi="Garamond"/>
            <w:lang w:val="en-AU"/>
          </w:rPr>
          <w:t>https://www.nice.org.uk/guidance/ng96</w:t>
        </w:r>
      </w:hyperlink>
    </w:p>
    <w:p w:rsidR="008F4A60" w:rsidRPr="000170DA" w:rsidRDefault="008F4A60" w:rsidP="008F4A60">
      <w:pPr>
        <w:keepLines/>
        <w:rPr>
          <w:rFonts w:ascii="Garamond" w:hAnsi="Garamond"/>
          <w:i/>
          <w:lang w:val="en-AU"/>
        </w:rPr>
      </w:pPr>
    </w:p>
    <w:p w:rsidR="008A0D81" w:rsidRDefault="008A0D81" w:rsidP="008F4A60">
      <w:pPr>
        <w:keepNext/>
        <w:keepLines/>
        <w:rPr>
          <w:rFonts w:ascii="Garamond" w:hAnsi="Garamond"/>
          <w:i/>
          <w:lang w:val="en-AU"/>
        </w:rPr>
      </w:pPr>
      <w:r>
        <w:rPr>
          <w:rFonts w:ascii="Garamond" w:hAnsi="Garamond"/>
          <w:i/>
          <w:lang w:val="en-AU"/>
        </w:rPr>
        <w:lastRenderedPageBreak/>
        <w:t xml:space="preserve">[UK] </w:t>
      </w:r>
      <w:r w:rsidRPr="008A0D81">
        <w:rPr>
          <w:rFonts w:ascii="Garamond" w:hAnsi="Garamond"/>
          <w:i/>
          <w:lang w:val="en-AU"/>
        </w:rPr>
        <w:t>New shift worker guidance</w:t>
      </w:r>
    </w:p>
    <w:p w:rsidR="008A0D81" w:rsidRDefault="00116DC2" w:rsidP="008F4A60">
      <w:pPr>
        <w:keepNext/>
        <w:keepLines/>
        <w:rPr>
          <w:rFonts w:ascii="Garamond" w:hAnsi="Garamond"/>
          <w:lang w:val="en-AU"/>
        </w:rPr>
      </w:pPr>
      <w:hyperlink r:id="rId38" w:history="1">
        <w:r w:rsidR="008A0D81" w:rsidRPr="00C042F0">
          <w:rPr>
            <w:rStyle w:val="Hyperlink"/>
            <w:rFonts w:ascii="Garamond" w:hAnsi="Garamond"/>
            <w:lang w:val="en-AU"/>
          </w:rPr>
          <w:t>http://www.nhsemployers.org/news/2018/03/shift-worker-guidance-and-infographic</w:t>
        </w:r>
      </w:hyperlink>
    </w:p>
    <w:p w:rsidR="008A0D81" w:rsidRPr="008A0D81" w:rsidRDefault="008A0D81" w:rsidP="008A0D81">
      <w:pPr>
        <w:keepNext/>
        <w:keepLines/>
        <w:rPr>
          <w:rFonts w:ascii="Garamond" w:hAnsi="Garamond"/>
          <w:lang w:val="en-AU"/>
        </w:rPr>
      </w:pPr>
      <w:r>
        <w:rPr>
          <w:rFonts w:ascii="Garamond" w:hAnsi="Garamond"/>
          <w:lang w:val="en-AU"/>
        </w:rPr>
        <w:t xml:space="preserve">NHS Employers has produced this </w:t>
      </w:r>
      <w:r w:rsidRPr="008A0D81">
        <w:rPr>
          <w:rFonts w:ascii="Garamond" w:hAnsi="Garamond"/>
          <w:lang w:val="en-AU"/>
        </w:rPr>
        <w:t>guidance around shift work</w:t>
      </w:r>
      <w:r>
        <w:rPr>
          <w:rFonts w:ascii="Garamond" w:hAnsi="Garamond"/>
          <w:lang w:val="en-AU"/>
        </w:rPr>
        <w:t>, recognising the importance of sleep</w:t>
      </w:r>
      <w:r w:rsidRPr="008A0D81">
        <w:rPr>
          <w:rFonts w:ascii="Garamond" w:hAnsi="Garamond"/>
          <w:lang w:val="en-AU"/>
        </w:rPr>
        <w:t>.</w:t>
      </w:r>
      <w:r>
        <w:rPr>
          <w:rFonts w:ascii="Garamond" w:hAnsi="Garamond"/>
          <w:lang w:val="en-AU"/>
        </w:rPr>
        <w:t xml:space="preserve"> </w:t>
      </w:r>
    </w:p>
    <w:p w:rsidR="008A0D81" w:rsidRPr="008A0D81" w:rsidRDefault="008A0D81" w:rsidP="008A0D81">
      <w:pPr>
        <w:keepNext/>
        <w:keepLines/>
        <w:rPr>
          <w:rFonts w:ascii="Garamond" w:hAnsi="Garamond"/>
          <w:lang w:val="en-AU"/>
        </w:rPr>
      </w:pPr>
      <w:r w:rsidRPr="008A0D81">
        <w:rPr>
          <w:rFonts w:ascii="Garamond" w:hAnsi="Garamond"/>
          <w:lang w:val="en-AU"/>
        </w:rPr>
        <w:t>Quality sleep is crucial to ensure good physical and mental health. These resources have been developed to highlight the key health, safety and wellbeing issues associated with shift work.</w:t>
      </w:r>
      <w:r>
        <w:rPr>
          <w:rFonts w:ascii="Garamond" w:hAnsi="Garamond"/>
          <w:lang w:val="en-AU"/>
        </w:rPr>
        <w:t xml:space="preserve"> </w:t>
      </w:r>
      <w:r w:rsidRPr="008A0D81">
        <w:rPr>
          <w:rFonts w:ascii="Garamond" w:hAnsi="Garamond"/>
          <w:lang w:val="en-AU"/>
        </w:rPr>
        <w:t>The shift worker guidance and infographic includes information on:</w:t>
      </w:r>
    </w:p>
    <w:p w:rsidR="008A0D81" w:rsidRPr="008A0D81" w:rsidRDefault="008A0D81" w:rsidP="008A0D81">
      <w:pPr>
        <w:pStyle w:val="ListParagraph"/>
        <w:keepNext/>
        <w:keepLines/>
        <w:numPr>
          <w:ilvl w:val="0"/>
          <w:numId w:val="47"/>
        </w:numPr>
        <w:rPr>
          <w:rFonts w:ascii="Garamond" w:hAnsi="Garamond"/>
          <w:lang w:val="en-AU"/>
        </w:rPr>
      </w:pPr>
      <w:r w:rsidRPr="008A0D81">
        <w:rPr>
          <w:rFonts w:ascii="Garamond" w:hAnsi="Garamond"/>
          <w:lang w:val="en-AU"/>
        </w:rPr>
        <w:t>how shift work can impact on health, safety and wellbeing</w:t>
      </w:r>
    </w:p>
    <w:p w:rsidR="008A0D81" w:rsidRPr="008A0D81" w:rsidRDefault="008A0D81" w:rsidP="008A0D81">
      <w:pPr>
        <w:pStyle w:val="ListParagraph"/>
        <w:keepNext/>
        <w:keepLines/>
        <w:numPr>
          <w:ilvl w:val="0"/>
          <w:numId w:val="47"/>
        </w:numPr>
        <w:rPr>
          <w:rFonts w:ascii="Garamond" w:hAnsi="Garamond"/>
          <w:lang w:val="en-AU"/>
        </w:rPr>
      </w:pPr>
      <w:r w:rsidRPr="008A0D81">
        <w:rPr>
          <w:rFonts w:ascii="Garamond" w:hAnsi="Garamond"/>
          <w:lang w:val="en-AU"/>
        </w:rPr>
        <w:t>how to manage the risk as an organisation</w:t>
      </w:r>
    </w:p>
    <w:p w:rsidR="008A0D81" w:rsidRPr="008A0D81" w:rsidRDefault="008A0D81" w:rsidP="008A0D81">
      <w:pPr>
        <w:pStyle w:val="ListParagraph"/>
        <w:keepNext/>
        <w:keepLines/>
        <w:numPr>
          <w:ilvl w:val="0"/>
          <w:numId w:val="47"/>
        </w:numPr>
        <w:rPr>
          <w:rFonts w:ascii="Garamond" w:hAnsi="Garamond"/>
          <w:lang w:val="en-AU"/>
        </w:rPr>
      </w:pPr>
      <w:r w:rsidRPr="008A0D81">
        <w:rPr>
          <w:rFonts w:ascii="Garamond" w:hAnsi="Garamond"/>
          <w:lang w:val="en-AU"/>
        </w:rPr>
        <w:t>how to manage the risk as an individual</w:t>
      </w:r>
    </w:p>
    <w:p w:rsidR="008A0D81" w:rsidRPr="008A0D81" w:rsidRDefault="008A0D81" w:rsidP="008A0D81">
      <w:pPr>
        <w:pStyle w:val="ListParagraph"/>
        <w:keepNext/>
        <w:keepLines/>
        <w:numPr>
          <w:ilvl w:val="0"/>
          <w:numId w:val="47"/>
        </w:numPr>
        <w:rPr>
          <w:rFonts w:ascii="Garamond" w:hAnsi="Garamond"/>
          <w:lang w:val="en-AU"/>
        </w:rPr>
      </w:pPr>
      <w:r w:rsidRPr="008A0D81">
        <w:rPr>
          <w:rFonts w:ascii="Garamond" w:hAnsi="Garamond"/>
          <w:lang w:val="en-AU"/>
        </w:rPr>
        <w:t>the importance of partnership working</w:t>
      </w:r>
      <w:r w:rsidR="00C40E3C">
        <w:rPr>
          <w:rFonts w:ascii="Garamond" w:hAnsi="Garamond"/>
          <w:lang w:val="en-AU"/>
        </w:rPr>
        <w:t>.</w:t>
      </w:r>
      <w:bookmarkStart w:id="1" w:name="_GoBack"/>
      <w:bookmarkEnd w:id="1"/>
    </w:p>
    <w:p w:rsidR="008A0D81" w:rsidRDefault="0005171D" w:rsidP="008F4A60">
      <w:pPr>
        <w:keepNext/>
        <w:keepLines/>
        <w:rPr>
          <w:rFonts w:ascii="Garamond" w:hAnsi="Garamond"/>
          <w:lang w:val="en-AU"/>
        </w:rPr>
      </w:pPr>
      <w:r>
        <w:rPr>
          <w:rFonts w:ascii="Garamond" w:hAnsi="Garamond"/>
          <w:noProof/>
          <w:lang w:val="en-AU" w:eastAsia="en-AU"/>
        </w:rPr>
        <w:drawing>
          <wp:inline distT="0" distB="0" distL="0" distR="0">
            <wp:extent cx="4748637" cy="5695406"/>
            <wp:effectExtent l="0" t="0" r="0" b="635"/>
            <wp:docPr id="1" name="Picture 1" descr="\\central.health\dfsuserenv\Users\User_07\JOHNNI\Desktop\2018-04-13_11-4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2018-04-13_11-44-2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49868" cy="5696883"/>
                    </a:xfrm>
                    <a:prstGeom prst="rect">
                      <a:avLst/>
                    </a:prstGeom>
                    <a:noFill/>
                    <a:ln>
                      <a:noFill/>
                    </a:ln>
                  </pic:spPr>
                </pic:pic>
              </a:graphicData>
            </a:graphic>
          </wp:inline>
        </w:drawing>
      </w:r>
    </w:p>
    <w:p w:rsidR="00BC764C" w:rsidRDefault="00BC764C"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1F" w:rsidRDefault="0026721F">
      <w:r>
        <w:separator/>
      </w:r>
    </w:p>
  </w:endnote>
  <w:endnote w:type="continuationSeparator" w:id="0">
    <w:p w:rsidR="0026721F" w:rsidRDefault="0026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1F" w:rsidRDefault="0026721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40E3C">
      <w:rPr>
        <w:rStyle w:val="PageNumber"/>
        <w:noProof/>
      </w:rPr>
      <w:t>8</w:t>
    </w:r>
    <w:r>
      <w:rPr>
        <w:rStyle w:val="PageNumber"/>
      </w:rPr>
      <w:fldChar w:fldCharType="end"/>
    </w:r>
  </w:p>
  <w:p w:rsidR="0026721F" w:rsidRPr="001E78F0" w:rsidRDefault="0026721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1F" w:rsidRPr="001E78F0" w:rsidRDefault="0026721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40E3C">
      <w:rPr>
        <w:rStyle w:val="PageNumber"/>
        <w:rFonts w:ascii="Garamond" w:hAnsi="Garamond"/>
        <w:noProof/>
      </w:rPr>
      <w:t>7</w:t>
    </w:r>
    <w:r w:rsidRPr="001E78F0">
      <w:rPr>
        <w:rStyle w:val="PageNumber"/>
        <w:rFonts w:ascii="Garamond" w:hAnsi="Garamond"/>
      </w:rPr>
      <w:fldChar w:fldCharType="end"/>
    </w:r>
  </w:p>
  <w:p w:rsidR="0026721F" w:rsidRPr="001E78F0" w:rsidRDefault="0026721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1F" w:rsidRDefault="0026721F">
      <w:r>
        <w:separator/>
      </w:r>
    </w:p>
  </w:footnote>
  <w:footnote w:type="continuationSeparator" w:id="0">
    <w:p w:rsidR="0026721F" w:rsidRDefault="00267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80D67"/>
    <w:multiLevelType w:val="hybridMultilevel"/>
    <w:tmpl w:val="A97E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C23E1B"/>
    <w:multiLevelType w:val="hybridMultilevel"/>
    <w:tmpl w:val="A38CD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2410C7"/>
    <w:multiLevelType w:val="hybridMultilevel"/>
    <w:tmpl w:val="AE82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0C525C"/>
    <w:multiLevelType w:val="hybridMultilevel"/>
    <w:tmpl w:val="BD6C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7628DD"/>
    <w:multiLevelType w:val="hybridMultilevel"/>
    <w:tmpl w:val="BBBA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617A24"/>
    <w:multiLevelType w:val="hybridMultilevel"/>
    <w:tmpl w:val="0F28D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453FEF"/>
    <w:multiLevelType w:val="hybridMultilevel"/>
    <w:tmpl w:val="D530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2560C7"/>
    <w:multiLevelType w:val="hybridMultilevel"/>
    <w:tmpl w:val="0A94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4591A6F"/>
    <w:multiLevelType w:val="hybridMultilevel"/>
    <w:tmpl w:val="B4F0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347479"/>
    <w:multiLevelType w:val="hybridMultilevel"/>
    <w:tmpl w:val="450C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5C11D92"/>
    <w:multiLevelType w:val="hybridMultilevel"/>
    <w:tmpl w:val="529E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786347"/>
    <w:multiLevelType w:val="hybridMultilevel"/>
    <w:tmpl w:val="EAF2DE42"/>
    <w:lvl w:ilvl="0" w:tplc="8EE6A1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46E1349"/>
    <w:multiLevelType w:val="hybridMultilevel"/>
    <w:tmpl w:val="376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866E58"/>
    <w:multiLevelType w:val="hybridMultilevel"/>
    <w:tmpl w:val="08F2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102BDC"/>
    <w:multiLevelType w:val="hybridMultilevel"/>
    <w:tmpl w:val="A05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C9394E"/>
    <w:multiLevelType w:val="hybridMultilevel"/>
    <w:tmpl w:val="509C0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BF63F5"/>
    <w:multiLevelType w:val="hybridMultilevel"/>
    <w:tmpl w:val="53E0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960445"/>
    <w:multiLevelType w:val="hybridMultilevel"/>
    <w:tmpl w:val="F47E26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6D0531C"/>
    <w:multiLevelType w:val="hybridMultilevel"/>
    <w:tmpl w:val="3DF4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CF1C35"/>
    <w:multiLevelType w:val="hybridMultilevel"/>
    <w:tmpl w:val="92D0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F54158"/>
    <w:multiLevelType w:val="hybridMultilevel"/>
    <w:tmpl w:val="F82C3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871327"/>
    <w:multiLevelType w:val="hybridMultilevel"/>
    <w:tmpl w:val="C164A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7D55E9"/>
    <w:multiLevelType w:val="hybridMultilevel"/>
    <w:tmpl w:val="46BA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3F21C6"/>
    <w:multiLevelType w:val="hybridMultilevel"/>
    <w:tmpl w:val="AED6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552A7B"/>
    <w:multiLevelType w:val="hybridMultilevel"/>
    <w:tmpl w:val="F17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A9682D"/>
    <w:multiLevelType w:val="hybridMultilevel"/>
    <w:tmpl w:val="C924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1F476AD"/>
    <w:multiLevelType w:val="hybridMultilevel"/>
    <w:tmpl w:val="4894DB20"/>
    <w:lvl w:ilvl="0" w:tplc="706072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2B67B51"/>
    <w:multiLevelType w:val="hybridMultilevel"/>
    <w:tmpl w:val="69404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166CD6"/>
    <w:multiLevelType w:val="hybridMultilevel"/>
    <w:tmpl w:val="3324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9"/>
  </w:num>
  <w:num w:numId="15">
    <w:abstractNumId w:val="37"/>
  </w:num>
  <w:num w:numId="16">
    <w:abstractNumId w:val="45"/>
  </w:num>
  <w:num w:numId="17">
    <w:abstractNumId w:val="15"/>
  </w:num>
  <w:num w:numId="18">
    <w:abstractNumId w:val="40"/>
  </w:num>
  <w:num w:numId="19">
    <w:abstractNumId w:val="22"/>
  </w:num>
  <w:num w:numId="20">
    <w:abstractNumId w:val="12"/>
  </w:num>
  <w:num w:numId="21">
    <w:abstractNumId w:val="20"/>
  </w:num>
  <w:num w:numId="22">
    <w:abstractNumId w:val="33"/>
  </w:num>
  <w:num w:numId="23">
    <w:abstractNumId w:val="43"/>
  </w:num>
  <w:num w:numId="24">
    <w:abstractNumId w:val="39"/>
  </w:num>
  <w:num w:numId="25">
    <w:abstractNumId w:val="27"/>
  </w:num>
  <w:num w:numId="26">
    <w:abstractNumId w:val="26"/>
  </w:num>
  <w:num w:numId="27">
    <w:abstractNumId w:val="17"/>
  </w:num>
  <w:num w:numId="28">
    <w:abstractNumId w:val="46"/>
  </w:num>
  <w:num w:numId="29">
    <w:abstractNumId w:val="44"/>
  </w:num>
  <w:num w:numId="30">
    <w:abstractNumId w:val="34"/>
  </w:num>
  <w:num w:numId="31">
    <w:abstractNumId w:val="25"/>
  </w:num>
  <w:num w:numId="32">
    <w:abstractNumId w:val="24"/>
  </w:num>
  <w:num w:numId="33">
    <w:abstractNumId w:val="23"/>
  </w:num>
  <w:num w:numId="34">
    <w:abstractNumId w:val="30"/>
  </w:num>
  <w:num w:numId="35">
    <w:abstractNumId w:val="47"/>
  </w:num>
  <w:num w:numId="36">
    <w:abstractNumId w:val="19"/>
  </w:num>
  <w:num w:numId="37">
    <w:abstractNumId w:val="32"/>
  </w:num>
  <w:num w:numId="38">
    <w:abstractNumId w:val="16"/>
  </w:num>
  <w:num w:numId="39">
    <w:abstractNumId w:val="31"/>
  </w:num>
  <w:num w:numId="40">
    <w:abstractNumId w:val="38"/>
  </w:num>
  <w:num w:numId="41">
    <w:abstractNumId w:val="11"/>
  </w:num>
  <w:num w:numId="42">
    <w:abstractNumId w:val="10"/>
  </w:num>
  <w:num w:numId="43">
    <w:abstractNumId w:val="14"/>
  </w:num>
  <w:num w:numId="44">
    <w:abstractNumId w:val="13"/>
  </w:num>
  <w:num w:numId="45">
    <w:abstractNumId w:val="35"/>
  </w:num>
  <w:num w:numId="46">
    <w:abstractNumId w:val="18"/>
  </w:num>
  <w:num w:numId="47">
    <w:abstractNumId w:val="21"/>
  </w:num>
  <w:num w:numId="48">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D4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634"/>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634"/>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png"/><Relationship Id="rId26" Type="http://schemas.openxmlformats.org/officeDocument/2006/relationships/hyperlink" Target="https://www.safetyandquality.gov.au/our-work/healthcare-associated-infection/antimicrobial-stewardship/"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1071/AH16191" TargetMode="External"/><Relationship Id="rId34" Type="http://schemas.openxmlformats.org/officeDocument/2006/relationships/hyperlink" Target="https://www.eldac.com.a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cqc.org.uk/guidance-providers/gp-services/regulation-general-practice-programme-board-rgppb" TargetMode="External"/><Relationship Id="rId25" Type="http://schemas.openxmlformats.org/officeDocument/2006/relationships/hyperlink" Target="https://doi.org/10.1016/j.cmi.2018.03.033" TargetMode="External"/><Relationship Id="rId33" Type="http://schemas.openxmlformats.org/officeDocument/2006/relationships/hyperlink" Target="https://academic.oup.com/intqhc/advance-access?papetoc" TargetMode="External"/><Relationship Id="rId38" Type="http://schemas.openxmlformats.org/officeDocument/2006/relationships/hyperlink" Target="http://www.nhsemployers.org/news/2018/03/shift-worker-guidance-and-infographic" TargetMode="External"/><Relationship Id="rId2" Type="http://schemas.openxmlformats.org/officeDocument/2006/relationships/numbering" Target="numbering.xml"/><Relationship Id="rId16" Type="http://schemas.openxmlformats.org/officeDocument/2006/relationships/hyperlink" Target="https://www.nuffieldtrust.org.uk/research/transforming-health-care-in-nursing-homes-an-evaluation-of-a-dedicated-primary-care-service-in-outer-east-london" TargetMode="External"/><Relationship Id="rId20" Type="http://schemas.openxmlformats.org/officeDocument/2006/relationships/hyperlink" Target="https://doi.org/10.1093/intqhc/mzy062" TargetMode="External"/><Relationship Id="rId29" Type="http://schemas.openxmlformats.org/officeDocument/2006/relationships/hyperlink" Target="https://www.safetyandquality.gov.au/our-work/medication-safet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x.doi.org/10.1186%2Fs12939-018-0740-1"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nice.org.uk/guidance/ng96"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patient-and-consumer-centred-care/" TargetMode="External"/><Relationship Id="rId28" Type="http://schemas.openxmlformats.org/officeDocument/2006/relationships/hyperlink" Target="https://doi.org/10.1136/bmjqs-2017-007476" TargetMode="External"/><Relationship Id="rId36" Type="http://schemas.openxmlformats.org/officeDocument/2006/relationships/hyperlink" Target="https://www.nice.org.uk/guidance/ng95"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www.psa.org.au/wp-content/uploads/My-Health-Record-Guidelines-for-Pharmacists.pdf" TargetMode="External"/><Relationship Id="rId31" Type="http://schemas.openxmlformats.org/officeDocument/2006/relationships/hyperlink" Target="https://academic.oup.com/intqhc/issue/30/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77/2374373518765792" TargetMode="External"/><Relationship Id="rId27" Type="http://schemas.openxmlformats.org/officeDocument/2006/relationships/hyperlink" Target="https://www.safetyandquality.gov.au/antimicrobial-use-and-resistance-in-australia/" TargetMode="External"/><Relationship Id="rId30" Type="http://schemas.openxmlformats.org/officeDocument/2006/relationships/hyperlink" Target="http://dx.doi.org/10.1136/bmjopen-2017-018909" TargetMode="External"/><Relationship Id="rId35" Type="http://schemas.openxmlformats.org/officeDocument/2006/relationships/hyperlink" Target="https://www.nice.org.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18E5-C059-446C-95B1-82B02CA8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2958</Words>
  <Characters>18548</Characters>
  <Application>Microsoft Office Word</Application>
  <DocSecurity>4</DocSecurity>
  <Lines>386</Lines>
  <Paragraphs>195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21311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2018-03-02T02:34:00Z</cp:lastPrinted>
  <dcterms:created xsi:type="dcterms:W3CDTF">2018-04-13T04:14:00Z</dcterms:created>
  <dcterms:modified xsi:type="dcterms:W3CDTF">2018-04-13T04:14:00Z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