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E45AC0">
        <w:rPr>
          <w:rFonts w:ascii="Garamond" w:hAnsi="Garamond"/>
          <w:color w:val="000000"/>
          <w:lang w:val="en-AU"/>
        </w:rPr>
        <w:t>68</w:t>
      </w:r>
    </w:p>
    <w:p w:rsidR="00755242" w:rsidRPr="00467B47" w:rsidRDefault="00E45AC0" w:rsidP="00B160EF">
      <w:pPr>
        <w:rPr>
          <w:rFonts w:ascii="Garamond" w:hAnsi="Garamond"/>
          <w:lang w:val="en-AU"/>
        </w:rPr>
      </w:pPr>
      <w:r>
        <w:rPr>
          <w:rFonts w:ascii="Garamond" w:hAnsi="Garamond"/>
          <w:lang w:val="en-AU"/>
        </w:rPr>
        <w:t>7 May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326862">
        <w:rPr>
          <w:rFonts w:ascii="Garamond" w:hAnsi="Garamond"/>
          <w:bCs/>
          <w:lang w:val="en-AU"/>
        </w:rPr>
        <w:t>, Kozue Yamada</w:t>
      </w:r>
    </w:p>
    <w:p w:rsidR="00727B35" w:rsidRDefault="00727B35" w:rsidP="00691DE3">
      <w:pPr>
        <w:keepLines/>
        <w:autoSpaceDE w:val="0"/>
        <w:autoSpaceDN w:val="0"/>
        <w:adjustRightInd w:val="0"/>
        <w:rPr>
          <w:rFonts w:ascii="Garamond" w:hAnsi="Garamond"/>
          <w:lang w:val="en-AU"/>
        </w:rPr>
      </w:pPr>
    </w:p>
    <w:p w:rsidR="00326862" w:rsidRPr="00326862" w:rsidRDefault="00326862" w:rsidP="00326862">
      <w:pPr>
        <w:keepLines/>
        <w:autoSpaceDE w:val="0"/>
        <w:autoSpaceDN w:val="0"/>
        <w:adjustRightInd w:val="0"/>
        <w:rPr>
          <w:rFonts w:ascii="Garamond" w:hAnsi="Garamond"/>
          <w:b/>
          <w:lang w:val="en-AU"/>
        </w:rPr>
      </w:pPr>
      <w:r w:rsidRPr="00326862">
        <w:rPr>
          <w:rFonts w:ascii="Garamond" w:hAnsi="Garamond"/>
          <w:b/>
          <w:lang w:val="en-AU"/>
        </w:rPr>
        <w:t>National Safety and Quality Health Service (NSQHS) Standards (second edition)</w:t>
      </w:r>
      <w:r>
        <w:rPr>
          <w:rFonts w:ascii="Garamond" w:hAnsi="Garamond"/>
          <w:b/>
          <w:lang w:val="en-AU"/>
        </w:rPr>
        <w:t xml:space="preserve"> update</w:t>
      </w:r>
    </w:p>
    <w:p w:rsidR="00326862" w:rsidRPr="00326862" w:rsidRDefault="00326862" w:rsidP="00326862">
      <w:pPr>
        <w:keepLines/>
        <w:autoSpaceDE w:val="0"/>
        <w:autoSpaceDN w:val="0"/>
        <w:adjustRightInd w:val="0"/>
        <w:rPr>
          <w:rFonts w:ascii="Garamond" w:hAnsi="Garamond"/>
          <w:lang w:val="en-AU"/>
        </w:rPr>
      </w:pPr>
    </w:p>
    <w:p w:rsidR="00326862" w:rsidRPr="00326862" w:rsidRDefault="00326862" w:rsidP="00326862">
      <w:pPr>
        <w:keepLines/>
        <w:autoSpaceDE w:val="0"/>
        <w:autoSpaceDN w:val="0"/>
        <w:adjustRightInd w:val="0"/>
        <w:rPr>
          <w:rFonts w:ascii="Garamond" w:hAnsi="Garamond"/>
          <w:lang w:val="en-AU"/>
        </w:rPr>
      </w:pPr>
      <w:r w:rsidRPr="00326862">
        <w:rPr>
          <w:rFonts w:ascii="Garamond" w:hAnsi="Garamond"/>
          <w:lang w:val="en-AU"/>
        </w:rPr>
        <w:t xml:space="preserve">Further implementation resources to support the </w:t>
      </w:r>
      <w:r w:rsidRPr="00326862">
        <w:rPr>
          <w:rFonts w:ascii="Garamond" w:hAnsi="Garamond"/>
          <w:i/>
          <w:lang w:val="en-AU"/>
        </w:rPr>
        <w:t>National Safety and Quality Health Service (NSQHS) Standards</w:t>
      </w:r>
      <w:r w:rsidRPr="00326862">
        <w:rPr>
          <w:rFonts w:ascii="Garamond" w:hAnsi="Garamond"/>
          <w:b/>
          <w:lang w:val="en-AU"/>
        </w:rPr>
        <w:t xml:space="preserve"> </w:t>
      </w:r>
      <w:r w:rsidRPr="00326862">
        <w:rPr>
          <w:rFonts w:ascii="Garamond" w:hAnsi="Garamond"/>
          <w:lang w:val="en-AU"/>
        </w:rPr>
        <w:t>(2nd ed</w:t>
      </w:r>
      <w:r>
        <w:rPr>
          <w:rFonts w:ascii="Garamond" w:hAnsi="Garamond"/>
          <w:lang w:val="en-AU"/>
        </w:rPr>
        <w:t>ition</w:t>
      </w:r>
      <w:r w:rsidRPr="00326862">
        <w:rPr>
          <w:rFonts w:ascii="Garamond" w:hAnsi="Garamond"/>
          <w:lang w:val="en-AU"/>
        </w:rPr>
        <w:t>) are now availab</w:t>
      </w:r>
      <w:r>
        <w:rPr>
          <w:rFonts w:ascii="Garamond" w:hAnsi="Garamond"/>
          <w:lang w:val="en-AU"/>
        </w:rPr>
        <w:t xml:space="preserve">le on the Commission’s website. </w:t>
      </w:r>
    </w:p>
    <w:p w:rsidR="00326862" w:rsidRPr="00326862" w:rsidRDefault="00326862" w:rsidP="00326862">
      <w:pPr>
        <w:keepLines/>
        <w:autoSpaceDE w:val="0"/>
        <w:autoSpaceDN w:val="0"/>
        <w:adjustRightInd w:val="0"/>
        <w:rPr>
          <w:rFonts w:ascii="Garamond" w:hAnsi="Garamond"/>
          <w:lang w:val="en-AU"/>
        </w:rPr>
      </w:pPr>
    </w:p>
    <w:p w:rsidR="00326862" w:rsidRPr="00326862" w:rsidRDefault="00326862" w:rsidP="00326862">
      <w:pPr>
        <w:keepLines/>
        <w:autoSpaceDE w:val="0"/>
        <w:autoSpaceDN w:val="0"/>
        <w:adjustRightInd w:val="0"/>
        <w:rPr>
          <w:rFonts w:ascii="Garamond" w:hAnsi="Garamond"/>
          <w:lang w:val="en-AU"/>
        </w:rPr>
      </w:pPr>
      <w:r w:rsidRPr="00326862">
        <w:rPr>
          <w:rFonts w:ascii="Garamond" w:hAnsi="Garamond"/>
          <w:lang w:val="en-AU"/>
        </w:rPr>
        <w:t xml:space="preserve">The </w:t>
      </w:r>
      <w:r w:rsidRPr="00326862">
        <w:rPr>
          <w:rFonts w:ascii="Garamond" w:hAnsi="Garamond"/>
          <w:i/>
          <w:lang w:val="en-AU"/>
        </w:rPr>
        <w:t>NSQHS Standards user guide</w:t>
      </w:r>
      <w:r w:rsidRPr="00326862">
        <w:rPr>
          <w:rFonts w:ascii="Garamond" w:hAnsi="Garamond"/>
          <w:lang w:val="en-AU"/>
        </w:rPr>
        <w:t xml:space="preserve"> for measuring and evaluating partnering with consumers (</w:t>
      </w:r>
      <w:hyperlink r:id="rId16" w:history="1">
        <w:r w:rsidRPr="005B1077">
          <w:rPr>
            <w:rStyle w:val="Hyperlink"/>
            <w:rFonts w:ascii="Garamond" w:hAnsi="Garamond"/>
            <w:lang w:val="en-AU"/>
          </w:rPr>
          <w:t>https://www.safetyandquality.gov.au/wp-content/uploads/2018/04/User-Guide-for-Measuring-and-Evaluating-Partnering-with-Consumers.pdf</w:t>
        </w:r>
      </w:hyperlink>
      <w:r w:rsidRPr="00326862">
        <w:rPr>
          <w:rFonts w:ascii="Garamond" w:hAnsi="Garamond"/>
          <w:lang w:val="en-AU"/>
        </w:rPr>
        <w:t>) provides an overview of the key concepts and issues that should be addressed when measuring and evaluating consumer partnerships, and to inform the development of evaluation and monitoring plans for the Partnering with Consumers Standard.</w:t>
      </w:r>
    </w:p>
    <w:p w:rsidR="00326862" w:rsidRPr="00326862" w:rsidRDefault="00326862" w:rsidP="00326862">
      <w:pPr>
        <w:keepLines/>
        <w:autoSpaceDE w:val="0"/>
        <w:autoSpaceDN w:val="0"/>
        <w:adjustRightInd w:val="0"/>
        <w:rPr>
          <w:rFonts w:ascii="Garamond" w:hAnsi="Garamond"/>
          <w:lang w:val="en-AU"/>
        </w:rPr>
      </w:pPr>
    </w:p>
    <w:p w:rsidR="00326862" w:rsidRPr="00326862" w:rsidRDefault="00326862" w:rsidP="00326862">
      <w:pPr>
        <w:keepLines/>
        <w:autoSpaceDE w:val="0"/>
        <w:autoSpaceDN w:val="0"/>
        <w:adjustRightInd w:val="0"/>
        <w:rPr>
          <w:rFonts w:ascii="Garamond" w:hAnsi="Garamond"/>
          <w:lang w:val="en-AU"/>
        </w:rPr>
      </w:pPr>
      <w:r w:rsidRPr="00326862">
        <w:rPr>
          <w:rFonts w:ascii="Garamond" w:hAnsi="Garamond"/>
          <w:lang w:val="en-AU"/>
        </w:rPr>
        <w:t xml:space="preserve">Three </w:t>
      </w:r>
      <w:r w:rsidRPr="00326862">
        <w:rPr>
          <w:rFonts w:ascii="Garamond" w:hAnsi="Garamond"/>
          <w:b/>
          <w:lang w:val="en-AU"/>
        </w:rPr>
        <w:t>fact sheets</w:t>
      </w:r>
      <w:r w:rsidRPr="00326862">
        <w:rPr>
          <w:rFonts w:ascii="Garamond" w:hAnsi="Garamond"/>
          <w:lang w:val="en-AU"/>
        </w:rPr>
        <w:t xml:space="preserve"> have also been developed for consumers about the NSQHS Standards (</w:t>
      </w:r>
      <w:hyperlink r:id="rId17" w:anchor="Information-for-consumers" w:history="1">
        <w:r w:rsidRPr="005B1077">
          <w:rPr>
            <w:rStyle w:val="Hyperlink"/>
            <w:rFonts w:ascii="Garamond" w:hAnsi="Garamond"/>
            <w:lang w:val="en-AU"/>
          </w:rPr>
          <w:t>https://www.safetyandquality.gov.au/our-work/assessment-to-the-nsqhs-standards/nsqhs-standards-second-edition/#Information-for-consumers</w:t>
        </w:r>
      </w:hyperlink>
      <w:r w:rsidRPr="00326862">
        <w:rPr>
          <w:rFonts w:ascii="Garamond" w:hAnsi="Garamond"/>
          <w:lang w:val="en-AU"/>
        </w:rPr>
        <w:t>). These fact sheets have been developed in consultation with consumers and the state-based health consumer organisations, to share advice on what consumers can expect in the NSQHS Standards (2nd ed.), the accreditation process and the Partnering with Consumers Standard.</w:t>
      </w:r>
    </w:p>
    <w:p w:rsidR="00326862" w:rsidRPr="00326862" w:rsidRDefault="00326862" w:rsidP="00326862">
      <w:pPr>
        <w:keepLines/>
        <w:autoSpaceDE w:val="0"/>
        <w:autoSpaceDN w:val="0"/>
        <w:adjustRightInd w:val="0"/>
        <w:rPr>
          <w:rFonts w:ascii="Garamond" w:hAnsi="Garamond"/>
          <w:lang w:val="en-AU"/>
        </w:rPr>
      </w:pPr>
    </w:p>
    <w:p w:rsidR="00326862" w:rsidRPr="00326862" w:rsidRDefault="00326862" w:rsidP="00326862">
      <w:pPr>
        <w:keepLines/>
        <w:autoSpaceDE w:val="0"/>
        <w:autoSpaceDN w:val="0"/>
        <w:adjustRightInd w:val="0"/>
        <w:rPr>
          <w:rFonts w:ascii="Garamond" w:hAnsi="Garamond"/>
          <w:lang w:val="en-AU"/>
        </w:rPr>
      </w:pPr>
      <w:r w:rsidRPr="00326862">
        <w:rPr>
          <w:rFonts w:ascii="Garamond" w:hAnsi="Garamond"/>
          <w:lang w:val="en-AU"/>
        </w:rPr>
        <w:t xml:space="preserve">The </w:t>
      </w:r>
      <w:r w:rsidRPr="00326862">
        <w:rPr>
          <w:rFonts w:ascii="Garamond" w:hAnsi="Garamond"/>
          <w:b/>
          <w:lang w:val="en-AU"/>
        </w:rPr>
        <w:t>NSQHS Standards mapping</w:t>
      </w:r>
      <w:r w:rsidRPr="00326862">
        <w:rPr>
          <w:rFonts w:ascii="Garamond" w:hAnsi="Garamond"/>
          <w:lang w:val="en-AU"/>
        </w:rPr>
        <w:t xml:space="preserve"> of the second edition to the first edition (</w:t>
      </w:r>
      <w:hyperlink r:id="rId18" w:history="1">
        <w:r w:rsidRPr="005B1077">
          <w:rPr>
            <w:rStyle w:val="Hyperlink"/>
            <w:rFonts w:ascii="Garamond" w:hAnsi="Garamond"/>
            <w:lang w:val="en-AU"/>
          </w:rPr>
          <w:t>https://www.safetyandquality.gov.au/wp-content/uploads/2018/04/NSQHS-Standards-Mapping-of-the-first-and-second-editions.pdf</w:t>
        </w:r>
      </w:hyperlink>
      <w:r w:rsidRPr="00326862">
        <w:rPr>
          <w:rFonts w:ascii="Garamond" w:hAnsi="Garamond"/>
          <w:lang w:val="en-AU"/>
        </w:rPr>
        <w:t xml:space="preserve">) is now available on the Commission’s website. </w:t>
      </w:r>
    </w:p>
    <w:p w:rsidR="00326862" w:rsidRPr="00326862" w:rsidRDefault="00326862" w:rsidP="00326862">
      <w:pPr>
        <w:keepLines/>
        <w:autoSpaceDE w:val="0"/>
        <w:autoSpaceDN w:val="0"/>
        <w:adjustRightInd w:val="0"/>
        <w:rPr>
          <w:rFonts w:ascii="Garamond" w:hAnsi="Garamond"/>
          <w:lang w:val="en-AU"/>
        </w:rPr>
      </w:pPr>
    </w:p>
    <w:p w:rsidR="00326862" w:rsidRDefault="00326862" w:rsidP="00326862">
      <w:pPr>
        <w:keepLines/>
        <w:autoSpaceDE w:val="0"/>
        <w:autoSpaceDN w:val="0"/>
        <w:adjustRightInd w:val="0"/>
        <w:rPr>
          <w:rFonts w:ascii="Garamond" w:hAnsi="Garamond"/>
          <w:lang w:val="en-AU"/>
        </w:rPr>
      </w:pPr>
      <w:r w:rsidRPr="00326862">
        <w:rPr>
          <w:rFonts w:ascii="Garamond" w:hAnsi="Garamond"/>
          <w:lang w:val="en-AU"/>
        </w:rPr>
        <w:lastRenderedPageBreak/>
        <w:t xml:space="preserve">The </w:t>
      </w:r>
      <w:r w:rsidRPr="00326862">
        <w:rPr>
          <w:rFonts w:ascii="Garamond" w:hAnsi="Garamond"/>
          <w:b/>
          <w:lang w:val="en-AU"/>
        </w:rPr>
        <w:t>NSQHS Standards Assessor Orientation Course</w:t>
      </w:r>
      <w:r w:rsidRPr="00326862">
        <w:rPr>
          <w:rFonts w:ascii="Garamond" w:hAnsi="Garamond"/>
          <w:lang w:val="en-AU"/>
        </w:rPr>
        <w:t xml:space="preserve"> is now underway. To enrol in the course, please visit the link below: </w:t>
      </w:r>
      <w:hyperlink r:id="rId19" w:history="1">
        <w:r w:rsidRPr="005B1077">
          <w:rPr>
            <w:rStyle w:val="Hyperlink"/>
            <w:rFonts w:ascii="Garamond" w:hAnsi="Garamond"/>
            <w:lang w:val="en-AU"/>
          </w:rPr>
          <w:t>https://www.safetyandquality.gov.au/our-work/assessment-to-the-nsqhs-standards/nsqhs-standards-second-edition/assessor-orientation-course-enrolment-form/</w:t>
        </w:r>
      </w:hyperlink>
    </w:p>
    <w:p w:rsidR="00326862" w:rsidRPr="00326862" w:rsidRDefault="00326862" w:rsidP="00326862">
      <w:pPr>
        <w:keepLines/>
        <w:autoSpaceDE w:val="0"/>
        <w:autoSpaceDN w:val="0"/>
        <w:adjustRightInd w:val="0"/>
        <w:rPr>
          <w:rFonts w:ascii="Garamond" w:hAnsi="Garamond"/>
          <w:lang w:val="en-AU"/>
        </w:rPr>
      </w:pPr>
    </w:p>
    <w:p w:rsidR="00326862" w:rsidRPr="00326862" w:rsidRDefault="00326862" w:rsidP="00326862">
      <w:pPr>
        <w:keepLines/>
        <w:autoSpaceDE w:val="0"/>
        <w:autoSpaceDN w:val="0"/>
        <w:adjustRightInd w:val="0"/>
        <w:rPr>
          <w:rFonts w:ascii="Garamond" w:hAnsi="Garamond"/>
          <w:lang w:val="en-AU"/>
        </w:rPr>
      </w:pPr>
      <w:r w:rsidRPr="00326862">
        <w:rPr>
          <w:rFonts w:ascii="Garamond" w:hAnsi="Garamond"/>
          <w:lang w:val="en-AU"/>
        </w:rPr>
        <w:t xml:space="preserve">The NSQHS Standards (2nd ed.) and supporting resources are available on the Commission’s website at </w:t>
      </w:r>
      <w:hyperlink r:id="rId20" w:history="1">
        <w:r w:rsidRPr="00326862">
          <w:rPr>
            <w:rStyle w:val="Hyperlink"/>
            <w:rFonts w:ascii="Garamond" w:hAnsi="Garamond"/>
            <w:lang w:val="en-AU"/>
          </w:rPr>
          <w:t>www.safetyandquality.gov.au/second-edition</w:t>
        </w:r>
      </w:hyperlink>
      <w:r w:rsidRPr="00326862">
        <w:rPr>
          <w:rFonts w:ascii="Garamond" w:hAnsi="Garamond"/>
          <w:lang w:val="en-AU"/>
        </w:rPr>
        <w:t>.</w:t>
      </w:r>
    </w:p>
    <w:p w:rsidR="00326862" w:rsidRDefault="00326862" w:rsidP="00326862">
      <w:pPr>
        <w:keepLines/>
        <w:autoSpaceDE w:val="0"/>
        <w:autoSpaceDN w:val="0"/>
        <w:adjustRightInd w:val="0"/>
        <w:rPr>
          <w:rFonts w:ascii="Garamond" w:hAnsi="Garamond"/>
          <w:b/>
          <w:lang w:val="en-AU"/>
        </w:rPr>
      </w:pPr>
    </w:p>
    <w:p w:rsidR="00DD20E6" w:rsidRDefault="00DD20E6" w:rsidP="00326862">
      <w:pPr>
        <w:keepLines/>
        <w:autoSpaceDE w:val="0"/>
        <w:autoSpaceDN w:val="0"/>
        <w:adjustRightInd w:val="0"/>
        <w:rPr>
          <w:rFonts w:ascii="Garamond" w:hAnsi="Garamond"/>
          <w:b/>
          <w:lang w:val="en-AU"/>
        </w:rPr>
      </w:pPr>
      <w:r>
        <w:rPr>
          <w:rFonts w:ascii="Garamond" w:hAnsi="Garamond"/>
          <w:b/>
          <w:noProof/>
          <w:lang w:val="en-AU" w:eastAsia="en-AU"/>
        </w:rPr>
        <w:drawing>
          <wp:inline distT="0" distB="0" distL="0" distR="0">
            <wp:extent cx="6115050" cy="2581275"/>
            <wp:effectExtent l="0" t="0" r="0" b="9525"/>
            <wp:docPr id="1" name="Picture 1" descr="\\central.health\dfsuserenv\Users\User_07\JOHNNI\Downloads\SQ17-167-NSQHS-Carousel-DES03-27Nov17.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SQ17-167-NSQHS-Carousel-DES03-27Nov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581275"/>
                    </a:xfrm>
                    <a:prstGeom prst="rect">
                      <a:avLst/>
                    </a:prstGeom>
                    <a:noFill/>
                    <a:ln>
                      <a:noFill/>
                    </a:ln>
                  </pic:spPr>
                </pic:pic>
              </a:graphicData>
            </a:graphic>
          </wp:inline>
        </w:drawing>
      </w:r>
    </w:p>
    <w:p w:rsidR="00E45AC0" w:rsidRDefault="00E45AC0" w:rsidP="00326862">
      <w:pPr>
        <w:keepLines/>
        <w:autoSpaceDE w:val="0"/>
        <w:autoSpaceDN w:val="0"/>
        <w:adjustRightInd w:val="0"/>
        <w:rPr>
          <w:rFonts w:ascii="Garamond" w:hAnsi="Garamond"/>
          <w:b/>
          <w:lang w:val="en-AU"/>
        </w:rPr>
      </w:pPr>
      <w:r>
        <w:rPr>
          <w:rFonts w:ascii="Garamond" w:hAnsi="Garamond"/>
          <w:b/>
          <w:lang w:val="en-AU"/>
        </w:rPr>
        <w:t>Books</w:t>
      </w:r>
    </w:p>
    <w:p w:rsidR="00E45AC0" w:rsidRDefault="00E45AC0" w:rsidP="00E45AC0">
      <w:pPr>
        <w:keepLines/>
        <w:autoSpaceDE w:val="0"/>
        <w:autoSpaceDN w:val="0"/>
        <w:adjustRightInd w:val="0"/>
        <w:rPr>
          <w:rFonts w:ascii="Garamond" w:hAnsi="Garamond"/>
          <w:lang w:val="en-AU"/>
        </w:rPr>
      </w:pPr>
    </w:p>
    <w:p w:rsidR="00EB491F" w:rsidRPr="00EB491F" w:rsidRDefault="00EB491F" w:rsidP="00EB491F">
      <w:pPr>
        <w:keepNext/>
        <w:keepLines/>
        <w:autoSpaceDE w:val="0"/>
        <w:autoSpaceDN w:val="0"/>
        <w:adjustRightInd w:val="0"/>
        <w:rPr>
          <w:rFonts w:ascii="Garamond" w:hAnsi="Garamond"/>
          <w:i/>
          <w:lang w:val="en-AU"/>
        </w:rPr>
      </w:pPr>
      <w:r w:rsidRPr="00EB491F">
        <w:rPr>
          <w:rFonts w:ascii="Garamond" w:hAnsi="Garamond"/>
          <w:i/>
          <w:lang w:val="en-AU"/>
        </w:rPr>
        <w:t>National Quality Partners Playbook™: Shared Decision Making in Healthcare</w:t>
      </w:r>
    </w:p>
    <w:p w:rsidR="00F85616" w:rsidRDefault="00F85616" w:rsidP="00EB491F">
      <w:pPr>
        <w:keepNext/>
        <w:keepLines/>
        <w:autoSpaceDE w:val="0"/>
        <w:autoSpaceDN w:val="0"/>
        <w:adjustRightInd w:val="0"/>
        <w:rPr>
          <w:rFonts w:ascii="Garamond" w:hAnsi="Garamond"/>
          <w:lang w:val="en-AU"/>
        </w:rPr>
      </w:pPr>
      <w:r w:rsidRPr="00F85616">
        <w:rPr>
          <w:rFonts w:ascii="Garamond" w:hAnsi="Garamond"/>
          <w:lang w:val="en-AU"/>
        </w:rPr>
        <w:t>National Quality Forum</w:t>
      </w:r>
    </w:p>
    <w:p w:rsidR="00EB491F" w:rsidRDefault="00F85616" w:rsidP="00EB491F">
      <w:pPr>
        <w:keepNext/>
        <w:keepLines/>
        <w:autoSpaceDE w:val="0"/>
        <w:autoSpaceDN w:val="0"/>
        <w:adjustRightInd w:val="0"/>
        <w:rPr>
          <w:rFonts w:ascii="Garamond" w:hAnsi="Garamond"/>
          <w:lang w:val="en-AU"/>
        </w:rPr>
      </w:pPr>
      <w:r w:rsidRPr="00F85616">
        <w:rPr>
          <w:rFonts w:ascii="Garamond" w:hAnsi="Garamond"/>
          <w:lang w:val="en-AU"/>
        </w:rPr>
        <w:t>Washington D.C.: National Quality Forum; 2018.</w:t>
      </w:r>
    </w:p>
    <w:tbl>
      <w:tblPr>
        <w:tblStyle w:val="TableGrid"/>
        <w:tblW w:w="0" w:type="auto"/>
        <w:tblInd w:w="288" w:type="dxa"/>
        <w:tblLayout w:type="fixed"/>
        <w:tblLook w:val="01E0" w:firstRow="1" w:lastRow="1" w:firstColumn="1" w:lastColumn="1" w:noHBand="0" w:noVBand="0"/>
      </w:tblPr>
      <w:tblGrid>
        <w:gridCol w:w="1080"/>
        <w:gridCol w:w="8280"/>
      </w:tblGrid>
      <w:tr w:rsidR="00EB491F" w:rsidRPr="000170DA" w:rsidTr="00DC68F0">
        <w:tc>
          <w:tcPr>
            <w:tcW w:w="1080" w:type="dxa"/>
            <w:tcBorders>
              <w:top w:val="single" w:sz="4" w:space="0" w:color="auto"/>
              <w:left w:val="single" w:sz="4" w:space="0" w:color="auto"/>
              <w:bottom w:val="single" w:sz="4" w:space="0" w:color="auto"/>
              <w:right w:val="single" w:sz="4" w:space="0" w:color="auto"/>
            </w:tcBorders>
            <w:vAlign w:val="center"/>
          </w:tcPr>
          <w:p w:rsidR="00EB491F" w:rsidRPr="000170DA" w:rsidRDefault="00EB491F" w:rsidP="00DC68F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B491F" w:rsidRPr="000170DA" w:rsidRDefault="00B65DB1" w:rsidP="00DC68F0">
            <w:pPr>
              <w:rPr>
                <w:rStyle w:val="Hyperlink"/>
                <w:rFonts w:ascii="Garamond" w:hAnsi="Garamond"/>
                <w:color w:val="auto"/>
                <w:u w:val="none"/>
                <w:lang w:val="en-AU"/>
              </w:rPr>
            </w:pPr>
            <w:hyperlink r:id="rId22" w:history="1">
              <w:r w:rsidR="00EB491F" w:rsidRPr="005B1077">
                <w:rPr>
                  <w:rStyle w:val="Hyperlink"/>
                  <w:rFonts w:ascii="Garamond" w:hAnsi="Garamond"/>
                  <w:lang w:val="en-AU"/>
                </w:rPr>
                <w:t>http://www.qualityforum.org/Guidance_to_Improve_Shared_Decision_Making.aspx</w:t>
              </w:r>
            </w:hyperlink>
          </w:p>
        </w:tc>
      </w:tr>
      <w:tr w:rsidR="00EB491F" w:rsidRPr="000170DA" w:rsidTr="00DC68F0">
        <w:tc>
          <w:tcPr>
            <w:tcW w:w="1080" w:type="dxa"/>
            <w:tcBorders>
              <w:top w:val="single" w:sz="4" w:space="0" w:color="auto"/>
              <w:left w:val="single" w:sz="4" w:space="0" w:color="auto"/>
              <w:bottom w:val="single" w:sz="4" w:space="0" w:color="auto"/>
              <w:right w:val="single" w:sz="4" w:space="0" w:color="auto"/>
            </w:tcBorders>
            <w:vAlign w:val="center"/>
          </w:tcPr>
          <w:p w:rsidR="00EB491F" w:rsidRPr="000170DA" w:rsidRDefault="00EB491F" w:rsidP="00DC68F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B491F" w:rsidRPr="000365E9" w:rsidRDefault="00EB491F" w:rsidP="00DC68F0">
            <w:pPr>
              <w:rPr>
                <w:rFonts w:ascii="Garamond" w:hAnsi="Garamond"/>
                <w:lang w:val="en-AU"/>
              </w:rPr>
            </w:pPr>
            <w:r w:rsidRPr="00EB491F">
              <w:rPr>
                <w:rFonts w:ascii="Garamond" w:hAnsi="Garamond"/>
                <w:lang w:val="en-AU"/>
              </w:rPr>
              <w:t>The National Quality Forum (NQF</w:t>
            </w:r>
            <w:r>
              <w:rPr>
                <w:rFonts w:ascii="Garamond" w:hAnsi="Garamond"/>
                <w:lang w:val="en-AU"/>
              </w:rPr>
              <w:t>) in the USA</w:t>
            </w:r>
            <w:r w:rsidRPr="00EB491F">
              <w:rPr>
                <w:rFonts w:ascii="Garamond" w:hAnsi="Garamond"/>
                <w:lang w:val="en-AU"/>
              </w:rPr>
              <w:t xml:space="preserve"> has issued a call to action to make shared decision making a standard of care for all patients. </w:t>
            </w:r>
            <w:r>
              <w:rPr>
                <w:rFonts w:ascii="Garamond" w:hAnsi="Garamond"/>
                <w:lang w:val="en-AU"/>
              </w:rPr>
              <w:t xml:space="preserve">This </w:t>
            </w:r>
            <w:r w:rsidRPr="00EB491F">
              <w:rPr>
                <w:rFonts w:ascii="Garamond" w:hAnsi="Garamond"/>
                <w:lang w:val="en-AU"/>
              </w:rPr>
              <w:t>new guide</w:t>
            </w:r>
            <w:r>
              <w:rPr>
                <w:rFonts w:ascii="Garamond" w:hAnsi="Garamond"/>
                <w:lang w:val="en-AU"/>
              </w:rPr>
              <w:t xml:space="preserve"> gives</w:t>
            </w:r>
            <w:r w:rsidRPr="00EB491F">
              <w:rPr>
                <w:rFonts w:ascii="Garamond" w:hAnsi="Garamond"/>
                <w:lang w:val="en-AU"/>
              </w:rPr>
              <w:t xml:space="preserve"> healthcare providers guidance for this process of communication in which clinicians and patients work together to make healthcare decisions that align with what matters most to patients</w:t>
            </w:r>
            <w:r>
              <w:rPr>
                <w:rFonts w:ascii="Garamond" w:hAnsi="Garamond"/>
                <w:lang w:val="en-AU"/>
              </w:rPr>
              <w:t>.</w:t>
            </w:r>
          </w:p>
        </w:tc>
      </w:tr>
    </w:tbl>
    <w:p w:rsidR="00EB491F" w:rsidRDefault="00EB491F" w:rsidP="00EB491F">
      <w:pPr>
        <w:keepLines/>
        <w:autoSpaceDE w:val="0"/>
        <w:autoSpaceDN w:val="0"/>
        <w:adjustRightInd w:val="0"/>
        <w:rPr>
          <w:rFonts w:ascii="Garamond" w:hAnsi="Garamond"/>
          <w:lang w:val="en-AU"/>
        </w:rPr>
      </w:pPr>
    </w:p>
    <w:p w:rsidR="00EB491F" w:rsidRDefault="00EB491F" w:rsidP="00EB491F">
      <w:pPr>
        <w:keepLines/>
        <w:autoSpaceDE w:val="0"/>
        <w:autoSpaceDN w:val="0"/>
        <w:adjustRightInd w:val="0"/>
        <w:rPr>
          <w:rFonts w:ascii="Garamond" w:hAnsi="Garamond"/>
          <w:lang w:val="en-AU"/>
        </w:rPr>
      </w:pPr>
      <w:r>
        <w:rPr>
          <w:rFonts w:ascii="Garamond" w:hAnsi="Garamond"/>
          <w:lang w:val="en-AU"/>
        </w:rPr>
        <w:t xml:space="preserve">For further information on the Commission’s work on shared decision making see, </w:t>
      </w:r>
      <w:hyperlink r:id="rId23" w:history="1">
        <w:r w:rsidRPr="005B1077">
          <w:rPr>
            <w:rStyle w:val="Hyperlink"/>
            <w:rFonts w:ascii="Garamond" w:hAnsi="Garamond"/>
            <w:lang w:val="en-AU"/>
          </w:rPr>
          <w:t>https://www.safetyandquality.gov.au/our-work/shared-decision-making/</w:t>
        </w:r>
      </w:hyperlink>
    </w:p>
    <w:p w:rsidR="00EB491F" w:rsidRDefault="00EB491F" w:rsidP="00EB491F">
      <w:pPr>
        <w:keepLines/>
        <w:autoSpaceDE w:val="0"/>
        <w:autoSpaceDN w:val="0"/>
        <w:adjustRightInd w:val="0"/>
        <w:rPr>
          <w:rFonts w:ascii="Garamond" w:hAnsi="Garamond"/>
          <w:lang w:val="en-AU"/>
        </w:rPr>
      </w:pPr>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t>Reports</w:t>
      </w:r>
    </w:p>
    <w:p w:rsidR="00054C00" w:rsidRDefault="00054C00" w:rsidP="00054C00">
      <w:pPr>
        <w:keepLines/>
        <w:autoSpaceDE w:val="0"/>
        <w:autoSpaceDN w:val="0"/>
        <w:adjustRightInd w:val="0"/>
        <w:rPr>
          <w:rFonts w:ascii="Garamond" w:hAnsi="Garamond"/>
          <w:lang w:val="en-AU"/>
        </w:rPr>
      </w:pPr>
    </w:p>
    <w:p w:rsidR="00EB491F" w:rsidRPr="00DD33EE" w:rsidRDefault="00DD33EE" w:rsidP="00EB491F">
      <w:pPr>
        <w:keepNext/>
        <w:keepLines/>
        <w:autoSpaceDE w:val="0"/>
        <w:autoSpaceDN w:val="0"/>
        <w:adjustRightInd w:val="0"/>
        <w:rPr>
          <w:rFonts w:ascii="Garamond" w:hAnsi="Garamond"/>
          <w:i/>
          <w:lang w:val="en-AU"/>
        </w:rPr>
      </w:pPr>
      <w:r w:rsidRPr="00DD33EE">
        <w:rPr>
          <w:rFonts w:ascii="Garamond" w:hAnsi="Garamond"/>
          <w:i/>
          <w:lang w:val="en-AU"/>
        </w:rPr>
        <w:t>Connected Health Information in Canada: A Benefits Evaluation Study</w:t>
      </w:r>
    </w:p>
    <w:p w:rsidR="00115C15" w:rsidRDefault="00115C15" w:rsidP="00EB491F">
      <w:pPr>
        <w:keepNext/>
        <w:keepLines/>
        <w:autoSpaceDE w:val="0"/>
        <w:autoSpaceDN w:val="0"/>
        <w:adjustRightInd w:val="0"/>
        <w:rPr>
          <w:rFonts w:ascii="Garamond" w:hAnsi="Garamond"/>
          <w:lang w:val="en-AU"/>
        </w:rPr>
      </w:pPr>
      <w:r w:rsidRPr="00115C15">
        <w:rPr>
          <w:rFonts w:ascii="Garamond" w:hAnsi="Garamond"/>
          <w:lang w:val="en-AU"/>
        </w:rPr>
        <w:t xml:space="preserve">Gartner. </w:t>
      </w:r>
    </w:p>
    <w:p w:rsidR="00DD33EE" w:rsidRDefault="00115C15" w:rsidP="00EB491F">
      <w:pPr>
        <w:keepNext/>
        <w:keepLines/>
        <w:autoSpaceDE w:val="0"/>
        <w:autoSpaceDN w:val="0"/>
        <w:adjustRightInd w:val="0"/>
        <w:rPr>
          <w:rFonts w:ascii="Garamond" w:hAnsi="Garamond"/>
          <w:lang w:val="en-AU"/>
        </w:rPr>
      </w:pPr>
      <w:r w:rsidRPr="00115C15">
        <w:rPr>
          <w:rFonts w:ascii="Garamond" w:hAnsi="Garamond"/>
          <w:lang w:val="en-AU"/>
        </w:rPr>
        <w:t>Toronto: Canada Health Infoway; 2018. p. 27.</w:t>
      </w:r>
    </w:p>
    <w:tbl>
      <w:tblPr>
        <w:tblStyle w:val="TableGrid"/>
        <w:tblW w:w="0" w:type="auto"/>
        <w:tblInd w:w="288" w:type="dxa"/>
        <w:tblLayout w:type="fixed"/>
        <w:tblLook w:val="01E0" w:firstRow="1" w:lastRow="1" w:firstColumn="1" w:lastColumn="1" w:noHBand="0" w:noVBand="0"/>
      </w:tblPr>
      <w:tblGrid>
        <w:gridCol w:w="1080"/>
        <w:gridCol w:w="8280"/>
      </w:tblGrid>
      <w:tr w:rsidR="00EB491F" w:rsidRPr="000170DA" w:rsidTr="00DC68F0">
        <w:tc>
          <w:tcPr>
            <w:tcW w:w="1080" w:type="dxa"/>
            <w:tcBorders>
              <w:top w:val="single" w:sz="4" w:space="0" w:color="auto"/>
              <w:left w:val="single" w:sz="4" w:space="0" w:color="auto"/>
              <w:bottom w:val="single" w:sz="4" w:space="0" w:color="auto"/>
              <w:right w:val="single" w:sz="4" w:space="0" w:color="auto"/>
            </w:tcBorders>
            <w:vAlign w:val="center"/>
          </w:tcPr>
          <w:p w:rsidR="00EB491F" w:rsidRPr="000170DA" w:rsidRDefault="00EB491F" w:rsidP="00DC68F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B491F" w:rsidRPr="000170DA" w:rsidRDefault="00B65DB1" w:rsidP="00DC68F0">
            <w:pPr>
              <w:rPr>
                <w:rStyle w:val="Hyperlink"/>
                <w:rFonts w:ascii="Garamond" w:hAnsi="Garamond"/>
                <w:color w:val="auto"/>
                <w:u w:val="none"/>
                <w:lang w:val="en-AU"/>
              </w:rPr>
            </w:pPr>
            <w:hyperlink r:id="rId24" w:history="1">
              <w:r w:rsidR="00115C15" w:rsidRPr="0055528B">
                <w:rPr>
                  <w:rStyle w:val="Hyperlink"/>
                  <w:rFonts w:ascii="Garamond" w:hAnsi="Garamond"/>
                  <w:lang w:val="en-AU"/>
                </w:rPr>
                <w:t>https://www.infoway-inforoute.ca/en/resource-centre/search-by-topic/connectedhealth</w:t>
              </w:r>
            </w:hyperlink>
          </w:p>
        </w:tc>
      </w:tr>
      <w:tr w:rsidR="00EB491F" w:rsidRPr="000170DA" w:rsidTr="00DC68F0">
        <w:tc>
          <w:tcPr>
            <w:tcW w:w="1080" w:type="dxa"/>
            <w:tcBorders>
              <w:top w:val="single" w:sz="4" w:space="0" w:color="auto"/>
              <w:left w:val="single" w:sz="4" w:space="0" w:color="auto"/>
              <w:bottom w:val="single" w:sz="4" w:space="0" w:color="auto"/>
              <w:right w:val="single" w:sz="4" w:space="0" w:color="auto"/>
            </w:tcBorders>
            <w:vAlign w:val="center"/>
          </w:tcPr>
          <w:p w:rsidR="00EB491F" w:rsidRPr="000170DA" w:rsidRDefault="00EB491F" w:rsidP="00DC68F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5616" w:rsidRDefault="00DD33EE" w:rsidP="00F36834">
            <w:pPr>
              <w:rPr>
                <w:rFonts w:ascii="Garamond" w:hAnsi="Garamond"/>
                <w:lang w:val="en-AU"/>
              </w:rPr>
            </w:pPr>
            <w:r>
              <w:rPr>
                <w:rFonts w:ascii="Garamond" w:hAnsi="Garamond"/>
                <w:lang w:val="en-AU"/>
              </w:rPr>
              <w:t xml:space="preserve">It is probably fair to say that there has been a fair amount of scepticism about health IT, electronic health records and the like. Some of this stems from the apparent slow delivery of the great potentials that have been described. This Canadian study </w:t>
            </w:r>
            <w:r w:rsidR="00F36834">
              <w:rPr>
                <w:rFonts w:ascii="Garamond" w:hAnsi="Garamond"/>
                <w:lang w:val="en-AU"/>
              </w:rPr>
              <w:t xml:space="preserve">argues that </w:t>
            </w:r>
            <w:r w:rsidR="00F36834" w:rsidRPr="00F36834">
              <w:rPr>
                <w:rFonts w:ascii="Garamond" w:hAnsi="Garamond"/>
                <w:lang w:val="en-AU"/>
              </w:rPr>
              <w:t xml:space="preserve">the growing use of connected health information in Canada is </w:t>
            </w:r>
            <w:r w:rsidR="00F36834">
              <w:rPr>
                <w:rFonts w:ascii="Garamond" w:hAnsi="Garamond"/>
                <w:lang w:val="en-AU"/>
              </w:rPr>
              <w:t xml:space="preserve">already </w:t>
            </w:r>
            <w:r w:rsidR="00F36834" w:rsidRPr="00F36834">
              <w:rPr>
                <w:rFonts w:ascii="Garamond" w:hAnsi="Garamond"/>
                <w:lang w:val="en-AU"/>
              </w:rPr>
              <w:t xml:space="preserve">producing significant financial and time savings benefits for patients, </w:t>
            </w:r>
            <w:r w:rsidR="00F36834">
              <w:rPr>
                <w:rFonts w:ascii="Garamond" w:hAnsi="Garamond"/>
                <w:lang w:val="en-AU"/>
              </w:rPr>
              <w:t>the</w:t>
            </w:r>
            <w:r w:rsidR="00F36834" w:rsidRPr="00F36834">
              <w:rPr>
                <w:rFonts w:ascii="Garamond" w:hAnsi="Garamond"/>
                <w:lang w:val="en-AU"/>
              </w:rPr>
              <w:t xml:space="preserve"> health system and </w:t>
            </w:r>
            <w:r w:rsidR="00F36834">
              <w:rPr>
                <w:rFonts w:ascii="Garamond" w:hAnsi="Garamond"/>
                <w:lang w:val="en-AU"/>
              </w:rPr>
              <w:t>the</w:t>
            </w:r>
            <w:r w:rsidR="00F36834" w:rsidRPr="00F36834">
              <w:rPr>
                <w:rFonts w:ascii="Garamond" w:hAnsi="Garamond"/>
                <w:lang w:val="en-AU"/>
              </w:rPr>
              <w:t xml:space="preserve"> economy.</w:t>
            </w:r>
            <w:r w:rsidR="00F36834">
              <w:rPr>
                <w:rFonts w:ascii="Garamond" w:hAnsi="Garamond"/>
                <w:lang w:val="en-AU"/>
              </w:rPr>
              <w:t xml:space="preserve"> </w:t>
            </w:r>
            <w:r w:rsidR="00F36834" w:rsidRPr="00F36834">
              <w:rPr>
                <w:rFonts w:ascii="Garamond" w:hAnsi="Garamond"/>
                <w:lang w:val="en-AU"/>
              </w:rPr>
              <w:t xml:space="preserve">Connected Health Information is </w:t>
            </w:r>
            <w:r w:rsidR="00F36834">
              <w:rPr>
                <w:rFonts w:ascii="Garamond" w:hAnsi="Garamond"/>
                <w:lang w:val="en-AU"/>
              </w:rPr>
              <w:t xml:space="preserve">defined as </w:t>
            </w:r>
            <w:r w:rsidR="00F36834" w:rsidRPr="00F36834">
              <w:rPr>
                <w:rFonts w:ascii="Garamond" w:hAnsi="Garamond"/>
                <w:lang w:val="en-AU"/>
              </w:rPr>
              <w:t xml:space="preserve">information exchanged using interoperable electronic health records and complementary solutions for sharing information between </w:t>
            </w:r>
            <w:r w:rsidR="00F36834">
              <w:rPr>
                <w:rFonts w:ascii="Garamond" w:hAnsi="Garamond"/>
                <w:lang w:val="en-AU"/>
              </w:rPr>
              <w:t xml:space="preserve">health </w:t>
            </w:r>
            <w:r w:rsidR="00F36834" w:rsidRPr="00F36834">
              <w:rPr>
                <w:rFonts w:ascii="Garamond" w:hAnsi="Garamond"/>
                <w:lang w:val="en-AU"/>
              </w:rPr>
              <w:t>providers and organizations.</w:t>
            </w:r>
          </w:p>
          <w:p w:rsidR="00EB491F" w:rsidRPr="000365E9" w:rsidRDefault="00F36834" w:rsidP="00F36834">
            <w:pPr>
              <w:rPr>
                <w:rFonts w:ascii="Garamond" w:hAnsi="Garamond"/>
                <w:lang w:val="en-AU"/>
              </w:rPr>
            </w:pPr>
            <w:r w:rsidRPr="00F36834">
              <w:rPr>
                <w:rFonts w:ascii="Garamond" w:hAnsi="Garamond"/>
                <w:lang w:val="en-AU"/>
              </w:rPr>
              <w:lastRenderedPageBreak/>
              <w:t xml:space="preserve">It is </w:t>
            </w:r>
            <w:r>
              <w:rPr>
                <w:rFonts w:ascii="Garamond" w:hAnsi="Garamond"/>
                <w:lang w:val="en-AU"/>
              </w:rPr>
              <w:t xml:space="preserve">aimed at </w:t>
            </w:r>
            <w:r w:rsidRPr="00F36834">
              <w:rPr>
                <w:rFonts w:ascii="Garamond" w:hAnsi="Garamond"/>
                <w:lang w:val="en-AU"/>
              </w:rPr>
              <w:t>improving the experience for patients and providers by decreasing wait times and un</w:t>
            </w:r>
            <w:r>
              <w:rPr>
                <w:rFonts w:ascii="Garamond" w:hAnsi="Garamond"/>
                <w:lang w:val="en-AU"/>
              </w:rPr>
              <w:t xml:space="preserve">necessary medical appointments </w:t>
            </w:r>
            <w:r w:rsidRPr="00F36834">
              <w:rPr>
                <w:rFonts w:ascii="Garamond" w:hAnsi="Garamond"/>
                <w:lang w:val="en-AU"/>
              </w:rPr>
              <w:t xml:space="preserve">which </w:t>
            </w:r>
            <w:r>
              <w:rPr>
                <w:rFonts w:ascii="Garamond" w:hAnsi="Garamond"/>
                <w:lang w:val="en-AU"/>
              </w:rPr>
              <w:t xml:space="preserve">then </w:t>
            </w:r>
            <w:r w:rsidRPr="00F36834">
              <w:rPr>
                <w:rFonts w:ascii="Garamond" w:hAnsi="Garamond"/>
                <w:lang w:val="en-AU"/>
              </w:rPr>
              <w:t xml:space="preserve">increases capacity in the health system, </w:t>
            </w:r>
            <w:r>
              <w:rPr>
                <w:rFonts w:ascii="Garamond" w:hAnsi="Garamond"/>
                <w:lang w:val="en-AU"/>
              </w:rPr>
              <w:t xml:space="preserve">should allow </w:t>
            </w:r>
            <w:r w:rsidRPr="00F36834">
              <w:rPr>
                <w:rFonts w:ascii="Garamond" w:hAnsi="Garamond"/>
                <w:lang w:val="en-AU"/>
              </w:rPr>
              <w:t>providers</w:t>
            </w:r>
            <w:r>
              <w:rPr>
                <w:rFonts w:ascii="Garamond" w:hAnsi="Garamond"/>
                <w:lang w:val="en-AU"/>
              </w:rPr>
              <w:t xml:space="preserve"> to see more patients, and save</w:t>
            </w:r>
            <w:r w:rsidRPr="00F36834">
              <w:rPr>
                <w:rFonts w:ascii="Garamond" w:hAnsi="Garamond"/>
                <w:lang w:val="en-AU"/>
              </w:rPr>
              <w:t xml:space="preserve"> patients</w:t>
            </w:r>
            <w:r>
              <w:rPr>
                <w:rFonts w:ascii="Garamond" w:hAnsi="Garamond"/>
                <w:lang w:val="en-AU"/>
              </w:rPr>
              <w:t>’</w:t>
            </w:r>
            <w:r w:rsidRPr="00F36834">
              <w:rPr>
                <w:rFonts w:ascii="Garamond" w:hAnsi="Garamond"/>
                <w:lang w:val="en-AU"/>
              </w:rPr>
              <w:t xml:space="preserve"> time, </w:t>
            </w:r>
            <w:r>
              <w:rPr>
                <w:rFonts w:ascii="Garamond" w:hAnsi="Garamond"/>
                <w:lang w:val="en-AU"/>
              </w:rPr>
              <w:t xml:space="preserve">thereby contributing to </w:t>
            </w:r>
            <w:r w:rsidRPr="00F36834">
              <w:rPr>
                <w:rFonts w:ascii="Garamond" w:hAnsi="Garamond"/>
                <w:lang w:val="en-AU"/>
              </w:rPr>
              <w:t>an increase in productivity for the economy.</w:t>
            </w:r>
          </w:p>
        </w:tc>
      </w:tr>
    </w:tbl>
    <w:p w:rsidR="00EB491F" w:rsidRDefault="00EB491F" w:rsidP="00EB491F">
      <w:pPr>
        <w:keepLines/>
        <w:autoSpaceDE w:val="0"/>
        <w:autoSpaceDN w:val="0"/>
        <w:adjustRightInd w:val="0"/>
        <w:rPr>
          <w:rFonts w:ascii="Garamond" w:hAnsi="Garamond"/>
          <w:lang w:val="en-AU"/>
        </w:rPr>
      </w:pPr>
    </w:p>
    <w:p w:rsidR="00EB491F" w:rsidRDefault="00EB491F" w:rsidP="00AD0F99">
      <w:pPr>
        <w:keepLines/>
        <w:autoSpaceDE w:val="0"/>
        <w:autoSpaceDN w:val="0"/>
        <w:adjustRightInd w:val="0"/>
        <w:rPr>
          <w:rFonts w:ascii="Garamond" w:hAnsi="Garamond"/>
          <w:lang w:val="en-AU"/>
        </w:rPr>
      </w:pPr>
    </w:p>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t>Journal articles</w:t>
      </w:r>
    </w:p>
    <w:p w:rsidR="00054C00" w:rsidRDefault="00054C00" w:rsidP="00691DE3">
      <w:pPr>
        <w:keepLines/>
        <w:autoSpaceDE w:val="0"/>
        <w:autoSpaceDN w:val="0"/>
        <w:adjustRightInd w:val="0"/>
        <w:rPr>
          <w:rFonts w:ascii="Garamond" w:hAnsi="Garamond"/>
          <w:lang w:val="en-AU"/>
        </w:rPr>
      </w:pPr>
    </w:p>
    <w:p w:rsidR="00E566B0" w:rsidRPr="00E566B0" w:rsidRDefault="00E566B0" w:rsidP="00E566B0">
      <w:pPr>
        <w:keepNext/>
        <w:keepLines/>
        <w:autoSpaceDE w:val="0"/>
        <w:autoSpaceDN w:val="0"/>
        <w:adjustRightInd w:val="0"/>
        <w:rPr>
          <w:rFonts w:ascii="Garamond" w:hAnsi="Garamond"/>
          <w:i/>
          <w:lang w:val="en-AU"/>
        </w:rPr>
      </w:pPr>
      <w:r w:rsidRPr="00E566B0">
        <w:rPr>
          <w:rFonts w:ascii="Garamond" w:hAnsi="Garamond"/>
          <w:i/>
          <w:lang w:val="en-AU"/>
        </w:rPr>
        <w:t>Identifying quality markers of a safe surgical ward: An interview study of patients, clinical staff, and administrators</w:t>
      </w:r>
    </w:p>
    <w:p w:rsidR="00E566B0" w:rsidRDefault="00242B94" w:rsidP="00E566B0">
      <w:pPr>
        <w:keepNext/>
        <w:keepLines/>
        <w:autoSpaceDE w:val="0"/>
        <w:autoSpaceDN w:val="0"/>
        <w:adjustRightInd w:val="0"/>
        <w:rPr>
          <w:rFonts w:ascii="Garamond" w:hAnsi="Garamond"/>
          <w:lang w:val="en-AU"/>
        </w:rPr>
      </w:pPr>
      <w:r w:rsidRPr="00E566B0">
        <w:rPr>
          <w:rFonts w:ascii="Garamond" w:hAnsi="Garamond"/>
          <w:lang w:val="en-AU"/>
        </w:rPr>
        <w:t xml:space="preserve">Hassen Y, Singh P, </w:t>
      </w:r>
      <w:r w:rsidR="00E566B0">
        <w:rPr>
          <w:rFonts w:ascii="Garamond" w:hAnsi="Garamond"/>
          <w:lang w:val="en-AU"/>
        </w:rPr>
        <w:t>Pucher PH, Johnston MJ, Darzi A</w:t>
      </w:r>
    </w:p>
    <w:p w:rsidR="00E45AC0" w:rsidRPr="00E566B0" w:rsidRDefault="00242B94" w:rsidP="00E566B0">
      <w:pPr>
        <w:keepNext/>
        <w:keepLines/>
        <w:autoSpaceDE w:val="0"/>
        <w:autoSpaceDN w:val="0"/>
        <w:adjustRightInd w:val="0"/>
        <w:rPr>
          <w:rFonts w:ascii="Garamond" w:hAnsi="Garamond"/>
          <w:lang w:val="en-AU"/>
        </w:rPr>
      </w:pPr>
      <w:r w:rsidRPr="00E566B0">
        <w:rPr>
          <w:rFonts w:ascii="Garamond" w:hAnsi="Garamond"/>
          <w:lang w:val="en-AU"/>
        </w:rPr>
        <w:t>Surgery. 2018</w:t>
      </w:r>
      <w:r w:rsidR="00E566B0">
        <w:rPr>
          <w:rFonts w:ascii="Garamond" w:hAnsi="Garamond"/>
          <w:lang w:val="en-AU"/>
        </w:rPr>
        <w:t xml:space="preserve"> [epub]</w:t>
      </w:r>
      <w:r w:rsidRPr="00E566B0">
        <w:rPr>
          <w:rFonts w:ascii="Garamond" w:hAnsi="Garamond"/>
          <w:lang w:val="en-AU"/>
        </w:rPr>
        <w:t>.</w:t>
      </w:r>
    </w:p>
    <w:p w:rsidR="00242B94" w:rsidRDefault="00242B94" w:rsidP="00E566B0">
      <w:pPr>
        <w:keepNext/>
        <w:keepLines/>
        <w:autoSpaceDE w:val="0"/>
        <w:autoSpaceDN w:val="0"/>
        <w:adjustRightInd w:val="0"/>
        <w:rPr>
          <w:rFonts w:ascii="Garamond" w:hAnsi="Garamond"/>
          <w:lang w:val="en-AU"/>
        </w:rPr>
      </w:pPr>
    </w:p>
    <w:p w:rsidR="00E566B0" w:rsidRPr="00E566B0" w:rsidRDefault="00E566B0" w:rsidP="00E566B0">
      <w:pPr>
        <w:keepNext/>
        <w:keepLines/>
        <w:autoSpaceDE w:val="0"/>
        <w:autoSpaceDN w:val="0"/>
        <w:adjustRightInd w:val="0"/>
        <w:rPr>
          <w:rFonts w:ascii="Garamond" w:hAnsi="Garamond"/>
          <w:i/>
          <w:lang w:val="en-AU"/>
        </w:rPr>
      </w:pPr>
      <w:r w:rsidRPr="00E566B0">
        <w:rPr>
          <w:rFonts w:ascii="Garamond" w:hAnsi="Garamond"/>
          <w:i/>
          <w:lang w:val="en-AU"/>
        </w:rPr>
        <w:t>The impact of improving teamwork on patient outcomes in surgery: A systematic review</w:t>
      </w:r>
    </w:p>
    <w:p w:rsidR="00E566B0" w:rsidRDefault="00E566B0" w:rsidP="00E566B0">
      <w:pPr>
        <w:keepNext/>
        <w:keepLines/>
        <w:autoSpaceDE w:val="0"/>
        <w:autoSpaceDN w:val="0"/>
        <w:adjustRightInd w:val="0"/>
        <w:rPr>
          <w:rFonts w:ascii="Garamond" w:hAnsi="Garamond"/>
          <w:lang w:val="en-AU"/>
        </w:rPr>
      </w:pPr>
      <w:r w:rsidRPr="00E566B0">
        <w:rPr>
          <w:rFonts w:ascii="Garamond" w:hAnsi="Garamond"/>
          <w:lang w:val="en-AU"/>
        </w:rPr>
        <w:t>Sun R, Marshall DC, Sykes MC, Maruthappu M, Shalhoub J</w:t>
      </w:r>
    </w:p>
    <w:p w:rsidR="00E566B0" w:rsidRPr="00E566B0" w:rsidRDefault="00E566B0" w:rsidP="00E566B0">
      <w:pPr>
        <w:keepNext/>
        <w:keepLines/>
        <w:autoSpaceDE w:val="0"/>
        <w:autoSpaceDN w:val="0"/>
        <w:adjustRightInd w:val="0"/>
        <w:rPr>
          <w:rFonts w:ascii="Garamond" w:hAnsi="Garamond"/>
          <w:lang w:val="en-AU"/>
        </w:rPr>
      </w:pPr>
      <w:r w:rsidRPr="00E566B0">
        <w:rPr>
          <w:rFonts w:ascii="Garamond" w:hAnsi="Garamond"/>
          <w:lang w:val="en-AU"/>
        </w:rPr>
        <w:t>International Journal of Surgery. 2018;53:171-7.</w:t>
      </w:r>
    </w:p>
    <w:tbl>
      <w:tblPr>
        <w:tblStyle w:val="TableGrid"/>
        <w:tblW w:w="0" w:type="auto"/>
        <w:tblInd w:w="288" w:type="dxa"/>
        <w:tblLayout w:type="fixed"/>
        <w:tblLook w:val="01E0" w:firstRow="1" w:lastRow="1" w:firstColumn="1" w:lastColumn="1" w:noHBand="0" w:noVBand="0"/>
      </w:tblPr>
      <w:tblGrid>
        <w:gridCol w:w="1080"/>
        <w:gridCol w:w="8280"/>
      </w:tblGrid>
      <w:tr w:rsidR="00E45AC0" w:rsidRPr="000170DA" w:rsidTr="00670C80">
        <w:tc>
          <w:tcPr>
            <w:tcW w:w="1080" w:type="dxa"/>
            <w:tcBorders>
              <w:top w:val="single" w:sz="4" w:space="0" w:color="auto"/>
              <w:left w:val="single" w:sz="4" w:space="0" w:color="auto"/>
              <w:bottom w:val="single" w:sz="4" w:space="0" w:color="auto"/>
              <w:right w:val="single" w:sz="4" w:space="0" w:color="auto"/>
            </w:tcBorders>
            <w:vAlign w:val="center"/>
          </w:tcPr>
          <w:p w:rsidR="00E45AC0" w:rsidRPr="000170DA" w:rsidRDefault="00E45AC0" w:rsidP="00670C8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5AC0" w:rsidRDefault="00E566B0" w:rsidP="00E566B0">
            <w:pPr>
              <w:rPr>
                <w:rStyle w:val="Hyperlink"/>
                <w:rFonts w:ascii="Garamond" w:hAnsi="Garamond"/>
                <w:color w:val="auto"/>
                <w:u w:val="none"/>
                <w:lang w:val="en-AU"/>
              </w:rPr>
            </w:pPr>
            <w:r>
              <w:rPr>
                <w:rStyle w:val="Hyperlink"/>
                <w:rFonts w:ascii="Garamond" w:hAnsi="Garamond"/>
                <w:color w:val="auto"/>
                <w:u w:val="none"/>
                <w:lang w:val="en-AU"/>
              </w:rPr>
              <w:t xml:space="preserve">Hassen et al </w:t>
            </w:r>
            <w:hyperlink r:id="rId25" w:history="1">
              <w:r w:rsidRPr="0055528B">
                <w:rPr>
                  <w:rStyle w:val="Hyperlink"/>
                  <w:rFonts w:ascii="Garamond" w:hAnsi="Garamond"/>
                  <w:lang w:val="en-AU"/>
                </w:rPr>
                <w:t>https://doi.org/10.1016/j.surg.2017.12.003</w:t>
              </w:r>
            </w:hyperlink>
          </w:p>
          <w:p w:rsidR="00E566B0" w:rsidRPr="000170DA" w:rsidRDefault="00E566B0" w:rsidP="00670C80">
            <w:pPr>
              <w:rPr>
                <w:rStyle w:val="Hyperlink"/>
                <w:rFonts w:ascii="Garamond" w:hAnsi="Garamond"/>
                <w:color w:val="auto"/>
                <w:u w:val="none"/>
                <w:lang w:val="en-AU"/>
              </w:rPr>
            </w:pPr>
            <w:r>
              <w:rPr>
                <w:rStyle w:val="Hyperlink"/>
                <w:rFonts w:ascii="Garamond" w:hAnsi="Garamond"/>
                <w:color w:val="auto"/>
                <w:u w:val="none"/>
                <w:lang w:val="en-AU"/>
              </w:rPr>
              <w:t xml:space="preserve">Sun et al </w:t>
            </w:r>
            <w:hyperlink r:id="rId26" w:history="1">
              <w:r w:rsidRPr="0055528B">
                <w:rPr>
                  <w:rStyle w:val="Hyperlink"/>
                  <w:rFonts w:ascii="Garamond" w:hAnsi="Garamond"/>
                  <w:lang w:val="en-AU"/>
                </w:rPr>
                <w:t>https://doi.org/10.1016/j.ijsu.2018.03.044</w:t>
              </w:r>
            </w:hyperlink>
            <w:r>
              <w:rPr>
                <w:rStyle w:val="Hyperlink"/>
                <w:rFonts w:ascii="Garamond" w:hAnsi="Garamond"/>
                <w:color w:val="auto"/>
                <w:u w:val="none"/>
                <w:lang w:val="en-AU"/>
              </w:rPr>
              <w:t xml:space="preserve"> </w:t>
            </w:r>
          </w:p>
        </w:tc>
      </w:tr>
      <w:tr w:rsidR="00E45AC0" w:rsidRPr="000170DA" w:rsidTr="00670C80">
        <w:tc>
          <w:tcPr>
            <w:tcW w:w="1080" w:type="dxa"/>
            <w:tcBorders>
              <w:top w:val="single" w:sz="4" w:space="0" w:color="auto"/>
              <w:left w:val="single" w:sz="4" w:space="0" w:color="auto"/>
              <w:bottom w:val="single" w:sz="4" w:space="0" w:color="auto"/>
              <w:right w:val="single" w:sz="4" w:space="0" w:color="auto"/>
            </w:tcBorders>
            <w:vAlign w:val="center"/>
          </w:tcPr>
          <w:p w:rsidR="00E45AC0" w:rsidRPr="000170DA" w:rsidRDefault="00E45AC0" w:rsidP="00670C8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5AC0" w:rsidRDefault="00E566B0" w:rsidP="00670C80">
            <w:pPr>
              <w:rPr>
                <w:rFonts w:ascii="Garamond" w:hAnsi="Garamond"/>
                <w:lang w:val="en-AU"/>
              </w:rPr>
            </w:pPr>
            <w:r>
              <w:rPr>
                <w:rFonts w:ascii="Garamond" w:hAnsi="Garamond"/>
                <w:lang w:val="en-AU"/>
              </w:rPr>
              <w:t>A pair of articles looking at aspects of surgery and the surgical environment than can affect the safety and quality of surgery.</w:t>
            </w:r>
          </w:p>
          <w:p w:rsidR="00E566B0" w:rsidRDefault="00E566B0" w:rsidP="00670C80">
            <w:pPr>
              <w:rPr>
                <w:rStyle w:val="Hyperlink"/>
                <w:rFonts w:ascii="Garamond" w:hAnsi="Garamond"/>
                <w:color w:val="auto"/>
                <w:u w:val="none"/>
                <w:lang w:val="en-AU"/>
              </w:rPr>
            </w:pPr>
            <w:r>
              <w:rPr>
                <w:rStyle w:val="Hyperlink"/>
                <w:rFonts w:ascii="Garamond" w:hAnsi="Garamond"/>
                <w:color w:val="auto"/>
                <w:u w:val="none"/>
                <w:lang w:val="en-AU"/>
              </w:rPr>
              <w:t xml:space="preserve">Hassen et al interviewed patients, clinicians and hospital administrators in identifying the </w:t>
            </w:r>
            <w:r w:rsidRPr="00E566B0">
              <w:rPr>
                <w:rStyle w:val="Hyperlink"/>
                <w:rFonts w:ascii="Garamond" w:hAnsi="Garamond"/>
                <w:color w:val="auto"/>
                <w:u w:val="none"/>
                <w:lang w:val="en-AU"/>
              </w:rPr>
              <w:t>factors that may contribute to safety on the surgical ward spanning multiple processes, organizational, and environmental factors</w:t>
            </w:r>
            <w:r>
              <w:rPr>
                <w:rStyle w:val="Hyperlink"/>
                <w:rFonts w:ascii="Garamond" w:hAnsi="Garamond"/>
                <w:color w:val="auto"/>
                <w:u w:val="none"/>
                <w:lang w:val="en-AU"/>
              </w:rPr>
              <w:t>.</w:t>
            </w:r>
          </w:p>
          <w:p w:rsidR="00E566B0" w:rsidRDefault="00E566B0" w:rsidP="00670C80">
            <w:pPr>
              <w:rPr>
                <w:rStyle w:val="Hyperlink"/>
                <w:rFonts w:ascii="Garamond" w:hAnsi="Garamond"/>
                <w:color w:val="auto"/>
                <w:u w:val="none"/>
                <w:lang w:val="en-AU"/>
              </w:rPr>
            </w:pPr>
            <w:r w:rsidRPr="00E566B0">
              <w:rPr>
                <w:rStyle w:val="Hyperlink"/>
                <w:rFonts w:ascii="Garamond" w:hAnsi="Garamond"/>
                <w:color w:val="auto"/>
                <w:u w:val="none"/>
                <w:lang w:val="en-AU"/>
              </w:rPr>
              <w:t xml:space="preserve">Four main error-prone </w:t>
            </w:r>
            <w:r w:rsidRPr="00E566B0">
              <w:rPr>
                <w:rStyle w:val="Hyperlink"/>
                <w:rFonts w:ascii="Garamond" w:hAnsi="Garamond"/>
                <w:b/>
                <w:color w:val="auto"/>
                <w:u w:val="none"/>
                <w:lang w:val="en-AU"/>
              </w:rPr>
              <w:t>processes</w:t>
            </w:r>
            <w:r w:rsidRPr="00E566B0">
              <w:rPr>
                <w:rStyle w:val="Hyperlink"/>
                <w:rFonts w:ascii="Garamond" w:hAnsi="Garamond"/>
                <w:color w:val="auto"/>
                <w:u w:val="none"/>
                <w:lang w:val="en-AU"/>
              </w:rPr>
              <w:t xml:space="preserve"> were identified: </w:t>
            </w:r>
            <w:r w:rsidRPr="00E566B0">
              <w:rPr>
                <w:rStyle w:val="Hyperlink"/>
                <w:rFonts w:ascii="Garamond" w:hAnsi="Garamond"/>
                <w:b/>
                <w:color w:val="auto"/>
                <w:u w:val="none"/>
                <w:lang w:val="en-AU"/>
              </w:rPr>
              <w:t>ward rounds</w:t>
            </w:r>
            <w:r w:rsidRPr="00E566B0">
              <w:rPr>
                <w:rStyle w:val="Hyperlink"/>
                <w:rFonts w:ascii="Garamond" w:hAnsi="Garamond"/>
                <w:color w:val="auto"/>
                <w:u w:val="none"/>
                <w:lang w:val="en-AU"/>
              </w:rPr>
              <w:t xml:space="preserve"> (57%), </w:t>
            </w:r>
            <w:r w:rsidRPr="00E566B0">
              <w:rPr>
                <w:rStyle w:val="Hyperlink"/>
                <w:rFonts w:ascii="Garamond" w:hAnsi="Garamond"/>
                <w:b/>
                <w:color w:val="auto"/>
                <w:u w:val="none"/>
                <w:lang w:val="en-AU"/>
              </w:rPr>
              <w:t>medication</w:t>
            </w:r>
            <w:r w:rsidRPr="00E566B0">
              <w:rPr>
                <w:rStyle w:val="Hyperlink"/>
                <w:rFonts w:ascii="Garamond" w:hAnsi="Garamond"/>
                <w:color w:val="auto"/>
                <w:u w:val="none"/>
                <w:lang w:val="en-AU"/>
              </w:rPr>
              <w:t xml:space="preserve"> prescribing and administration (49%), the presence of </w:t>
            </w:r>
            <w:r w:rsidRPr="00E566B0">
              <w:rPr>
                <w:rStyle w:val="Hyperlink"/>
                <w:rFonts w:ascii="Garamond" w:hAnsi="Garamond"/>
                <w:b/>
                <w:color w:val="auto"/>
                <w:u w:val="none"/>
                <w:lang w:val="en-AU"/>
              </w:rPr>
              <w:t>outliers</w:t>
            </w:r>
            <w:r w:rsidRPr="00E566B0">
              <w:rPr>
                <w:rStyle w:val="Hyperlink"/>
                <w:rFonts w:ascii="Garamond" w:hAnsi="Garamond"/>
                <w:color w:val="auto"/>
                <w:u w:val="none"/>
                <w:lang w:val="en-AU"/>
              </w:rPr>
              <w:t xml:space="preserve"> (43%), and deficiencies in </w:t>
            </w:r>
            <w:r w:rsidRPr="00E566B0">
              <w:rPr>
                <w:rStyle w:val="Hyperlink"/>
                <w:rFonts w:ascii="Garamond" w:hAnsi="Garamond"/>
                <w:b/>
                <w:color w:val="auto"/>
                <w:u w:val="none"/>
                <w:lang w:val="en-AU"/>
              </w:rPr>
              <w:t>communication</w:t>
            </w:r>
            <w:r w:rsidRPr="00E566B0">
              <w:rPr>
                <w:rStyle w:val="Hyperlink"/>
                <w:rFonts w:ascii="Garamond" w:hAnsi="Garamond"/>
                <w:color w:val="auto"/>
                <w:u w:val="none"/>
                <w:lang w:val="en-AU"/>
              </w:rPr>
              <w:t xml:space="preserve"> between clinical staff (43%). </w:t>
            </w:r>
          </w:p>
          <w:p w:rsidR="00E566B0" w:rsidRDefault="00E566B0" w:rsidP="00670C80">
            <w:pPr>
              <w:rPr>
                <w:rStyle w:val="Hyperlink"/>
                <w:rFonts w:ascii="Garamond" w:hAnsi="Garamond"/>
                <w:color w:val="auto"/>
                <w:u w:val="none"/>
                <w:lang w:val="en-AU"/>
              </w:rPr>
            </w:pPr>
            <w:r w:rsidRPr="00E566B0">
              <w:rPr>
                <w:rStyle w:val="Hyperlink"/>
                <w:rFonts w:ascii="Garamond" w:hAnsi="Garamond"/>
                <w:color w:val="auto"/>
                <w:u w:val="none"/>
                <w:lang w:val="en-AU"/>
              </w:rPr>
              <w:t xml:space="preserve">Structural factors were categorized as organizational or environmental; </w:t>
            </w:r>
            <w:r w:rsidRPr="00E566B0">
              <w:rPr>
                <w:rStyle w:val="Hyperlink"/>
                <w:rFonts w:ascii="Garamond" w:hAnsi="Garamond"/>
                <w:b/>
                <w:color w:val="auto"/>
                <w:u w:val="none"/>
                <w:lang w:val="en-AU"/>
              </w:rPr>
              <w:t>organizational</w:t>
            </w:r>
            <w:r w:rsidRPr="00E566B0">
              <w:rPr>
                <w:rStyle w:val="Hyperlink"/>
                <w:rFonts w:ascii="Garamond" w:hAnsi="Garamond"/>
                <w:color w:val="auto"/>
                <w:u w:val="none"/>
                <w:lang w:val="en-AU"/>
              </w:rPr>
              <w:t xml:space="preserve"> included shortage in </w:t>
            </w:r>
            <w:r w:rsidRPr="00E566B0">
              <w:rPr>
                <w:rStyle w:val="Hyperlink"/>
                <w:rFonts w:ascii="Garamond" w:hAnsi="Garamond"/>
                <w:b/>
                <w:color w:val="auto"/>
                <w:u w:val="none"/>
                <w:lang w:val="en-AU"/>
              </w:rPr>
              <w:t>staffing</w:t>
            </w:r>
            <w:r w:rsidRPr="00E566B0">
              <w:rPr>
                <w:rStyle w:val="Hyperlink"/>
                <w:rFonts w:ascii="Garamond" w:hAnsi="Garamond"/>
                <w:color w:val="auto"/>
                <w:u w:val="none"/>
                <w:lang w:val="en-AU"/>
              </w:rPr>
              <w:t xml:space="preserve"> (39%) and use of </w:t>
            </w:r>
            <w:r w:rsidRPr="00E566B0">
              <w:rPr>
                <w:rStyle w:val="Hyperlink"/>
                <w:rFonts w:ascii="Garamond" w:hAnsi="Garamond"/>
                <w:b/>
                <w:color w:val="auto"/>
                <w:u w:val="none"/>
                <w:lang w:val="en-AU"/>
              </w:rPr>
              <w:t>temporary staff</w:t>
            </w:r>
            <w:r w:rsidRPr="00E566B0">
              <w:rPr>
                <w:rStyle w:val="Hyperlink"/>
                <w:rFonts w:ascii="Garamond" w:hAnsi="Garamond"/>
                <w:color w:val="auto"/>
                <w:u w:val="none"/>
                <w:lang w:val="en-AU"/>
              </w:rPr>
              <w:t xml:space="preserve"> (27%). </w:t>
            </w:r>
            <w:r w:rsidRPr="00E566B0">
              <w:rPr>
                <w:rStyle w:val="Hyperlink"/>
                <w:rFonts w:ascii="Garamond" w:hAnsi="Garamond"/>
                <w:b/>
                <w:color w:val="auto"/>
                <w:u w:val="none"/>
                <w:lang w:val="en-AU"/>
              </w:rPr>
              <w:t>Environmental</w:t>
            </w:r>
            <w:r w:rsidRPr="00E566B0">
              <w:rPr>
                <w:rStyle w:val="Hyperlink"/>
                <w:rFonts w:ascii="Garamond" w:hAnsi="Garamond"/>
                <w:color w:val="auto"/>
                <w:u w:val="none"/>
                <w:lang w:val="en-AU"/>
              </w:rPr>
              <w:t xml:space="preserve"> factors considered </w:t>
            </w:r>
            <w:r w:rsidRPr="00E566B0">
              <w:rPr>
                <w:rStyle w:val="Hyperlink"/>
                <w:rFonts w:ascii="Garamond" w:hAnsi="Garamond"/>
                <w:b/>
                <w:color w:val="auto"/>
                <w:u w:val="none"/>
                <w:lang w:val="en-AU"/>
              </w:rPr>
              <w:t>layout</w:t>
            </w:r>
            <w:r w:rsidRPr="00E566B0">
              <w:rPr>
                <w:rStyle w:val="Hyperlink"/>
                <w:rFonts w:ascii="Garamond" w:hAnsi="Garamond"/>
                <w:color w:val="auto"/>
                <w:u w:val="none"/>
                <w:lang w:val="en-AU"/>
              </w:rPr>
              <w:t xml:space="preserve"> and patient visibility to nurses (49%) as well as </w:t>
            </w:r>
            <w:r w:rsidRPr="00E566B0">
              <w:rPr>
                <w:rStyle w:val="Hyperlink"/>
                <w:rFonts w:ascii="Garamond" w:hAnsi="Garamond"/>
                <w:b/>
                <w:color w:val="auto"/>
                <w:u w:val="none"/>
                <w:lang w:val="en-AU"/>
              </w:rPr>
              <w:t>cleanliness</w:t>
            </w:r>
            <w:r w:rsidRPr="00E566B0">
              <w:rPr>
                <w:rStyle w:val="Hyperlink"/>
                <w:rFonts w:ascii="Garamond" w:hAnsi="Garamond"/>
                <w:color w:val="auto"/>
                <w:u w:val="none"/>
                <w:lang w:val="en-AU"/>
              </w:rPr>
              <w:t xml:space="preserve"> (29%). </w:t>
            </w:r>
          </w:p>
          <w:p w:rsidR="00E566B0" w:rsidRDefault="00E566B0" w:rsidP="00670C80">
            <w:pPr>
              <w:rPr>
                <w:rStyle w:val="Hyperlink"/>
                <w:rFonts w:ascii="Garamond" w:hAnsi="Garamond"/>
                <w:color w:val="auto"/>
                <w:u w:val="none"/>
                <w:lang w:val="en-AU"/>
              </w:rPr>
            </w:pPr>
            <w:r w:rsidRPr="00E566B0">
              <w:rPr>
                <w:rStyle w:val="Hyperlink"/>
                <w:rFonts w:ascii="Garamond" w:hAnsi="Garamond"/>
                <w:b/>
                <w:color w:val="auto"/>
                <w:u w:val="none"/>
                <w:lang w:val="en-AU"/>
              </w:rPr>
              <w:t>Safety indicators</w:t>
            </w:r>
            <w:r w:rsidRPr="00E566B0">
              <w:rPr>
                <w:rStyle w:val="Hyperlink"/>
                <w:rFonts w:ascii="Garamond" w:hAnsi="Garamond"/>
                <w:color w:val="auto"/>
                <w:u w:val="none"/>
                <w:lang w:val="en-AU"/>
              </w:rPr>
              <w:t xml:space="preserve"> identified included staff </w:t>
            </w:r>
            <w:r w:rsidRPr="00E566B0">
              <w:rPr>
                <w:rStyle w:val="Hyperlink"/>
                <w:rFonts w:ascii="Garamond" w:hAnsi="Garamond"/>
                <w:b/>
                <w:color w:val="auto"/>
                <w:u w:val="none"/>
                <w:lang w:val="en-AU"/>
              </w:rPr>
              <w:t>experience</w:t>
            </w:r>
            <w:r w:rsidRPr="00E566B0">
              <w:rPr>
                <w:rStyle w:val="Hyperlink"/>
                <w:rFonts w:ascii="Garamond" w:hAnsi="Garamond"/>
                <w:color w:val="auto"/>
                <w:u w:val="none"/>
                <w:lang w:val="en-AU"/>
              </w:rPr>
              <w:t xml:space="preserve"> level (31%), overall </w:t>
            </w:r>
            <w:r w:rsidRPr="00E566B0">
              <w:rPr>
                <w:rStyle w:val="Hyperlink"/>
                <w:rFonts w:ascii="Garamond" w:hAnsi="Garamond"/>
                <w:b/>
                <w:color w:val="auto"/>
                <w:u w:val="none"/>
                <w:lang w:val="en-AU"/>
              </w:rPr>
              <w:t>layout</w:t>
            </w:r>
            <w:r w:rsidRPr="00E566B0">
              <w:rPr>
                <w:rStyle w:val="Hyperlink"/>
                <w:rFonts w:ascii="Garamond" w:hAnsi="Garamond"/>
                <w:color w:val="auto"/>
                <w:u w:val="none"/>
                <w:lang w:val="en-AU"/>
              </w:rPr>
              <w:t xml:space="preserve"> of the ward, </w:t>
            </w:r>
            <w:r w:rsidRPr="00E566B0">
              <w:rPr>
                <w:rStyle w:val="Hyperlink"/>
                <w:rFonts w:ascii="Garamond" w:hAnsi="Garamond"/>
                <w:b/>
                <w:color w:val="auto"/>
                <w:u w:val="none"/>
                <w:lang w:val="en-AU"/>
              </w:rPr>
              <w:t>cleanliness</w:t>
            </w:r>
            <w:r w:rsidRPr="00E566B0">
              <w:rPr>
                <w:rStyle w:val="Hyperlink"/>
                <w:rFonts w:ascii="Garamond" w:hAnsi="Garamond"/>
                <w:color w:val="auto"/>
                <w:u w:val="none"/>
                <w:lang w:val="en-AU"/>
              </w:rPr>
              <w:t xml:space="preserve"> and </w:t>
            </w:r>
            <w:r w:rsidRPr="00E566B0">
              <w:rPr>
                <w:rStyle w:val="Hyperlink"/>
                <w:rFonts w:ascii="Garamond" w:hAnsi="Garamond"/>
                <w:b/>
                <w:color w:val="auto"/>
                <w:u w:val="none"/>
                <w:lang w:val="en-AU"/>
              </w:rPr>
              <w:t>leadership</w:t>
            </w:r>
            <w:r w:rsidRPr="00E566B0">
              <w:rPr>
                <w:rStyle w:val="Hyperlink"/>
                <w:rFonts w:ascii="Garamond" w:hAnsi="Garamond"/>
                <w:color w:val="auto"/>
                <w:u w:val="none"/>
                <w:lang w:val="en-AU"/>
              </w:rPr>
              <w:t xml:space="preserve"> (all 27% each). The majority of patients (87%) identified </w:t>
            </w:r>
            <w:r w:rsidRPr="00E566B0">
              <w:rPr>
                <w:rStyle w:val="Hyperlink"/>
                <w:rFonts w:ascii="Garamond" w:hAnsi="Garamond"/>
                <w:b/>
                <w:color w:val="auto"/>
                <w:u w:val="none"/>
                <w:lang w:val="en-AU"/>
              </w:rPr>
              <w:t>staff attentiveness</w:t>
            </w:r>
            <w:r w:rsidRPr="00E566B0">
              <w:rPr>
                <w:rStyle w:val="Hyperlink"/>
                <w:rFonts w:ascii="Garamond" w:hAnsi="Garamond"/>
                <w:color w:val="auto"/>
                <w:u w:val="none"/>
                <w:lang w:val="en-AU"/>
              </w:rPr>
              <w:t xml:space="preserve"> as a safety indicator.</w:t>
            </w:r>
          </w:p>
          <w:p w:rsidR="00E566B0" w:rsidRPr="000365E9" w:rsidRDefault="00E566B0" w:rsidP="0011794B">
            <w:pPr>
              <w:rPr>
                <w:rFonts w:ascii="Garamond" w:hAnsi="Garamond"/>
                <w:lang w:val="en-AU"/>
              </w:rPr>
            </w:pPr>
            <w:r>
              <w:rPr>
                <w:rStyle w:val="Hyperlink"/>
                <w:rFonts w:ascii="Garamond" w:hAnsi="Garamond"/>
                <w:color w:val="auto"/>
                <w:u w:val="none"/>
                <w:lang w:val="en-AU"/>
              </w:rPr>
              <w:t xml:space="preserve">Sun et al focused on the </w:t>
            </w:r>
            <w:r w:rsidR="0011794B">
              <w:rPr>
                <w:rStyle w:val="Hyperlink"/>
                <w:rFonts w:ascii="Garamond" w:hAnsi="Garamond"/>
                <w:color w:val="auto"/>
                <w:u w:val="none"/>
                <w:lang w:val="en-AU"/>
              </w:rPr>
              <w:t xml:space="preserve">value of </w:t>
            </w:r>
            <w:r w:rsidR="0011794B" w:rsidRPr="0011794B">
              <w:rPr>
                <w:rStyle w:val="Hyperlink"/>
                <w:rFonts w:ascii="Garamond" w:hAnsi="Garamond"/>
                <w:b/>
                <w:color w:val="auto"/>
                <w:u w:val="none"/>
                <w:lang w:val="en-AU"/>
              </w:rPr>
              <w:t>teamwork</w:t>
            </w:r>
            <w:r w:rsidR="0011794B" w:rsidRPr="0011794B">
              <w:rPr>
                <w:rStyle w:val="Hyperlink"/>
                <w:rFonts w:ascii="Garamond" w:hAnsi="Garamond"/>
                <w:color w:val="auto"/>
                <w:u w:val="none"/>
                <w:lang w:val="en-AU"/>
              </w:rPr>
              <w:t xml:space="preserve"> training </w:t>
            </w:r>
            <w:r w:rsidR="0011794B">
              <w:rPr>
                <w:rStyle w:val="Hyperlink"/>
                <w:rFonts w:ascii="Garamond" w:hAnsi="Garamond"/>
                <w:color w:val="auto"/>
                <w:u w:val="none"/>
                <w:lang w:val="en-AU"/>
              </w:rPr>
              <w:t xml:space="preserve">and the influence on </w:t>
            </w:r>
            <w:r w:rsidR="0011794B" w:rsidRPr="0011794B">
              <w:rPr>
                <w:rStyle w:val="Hyperlink"/>
                <w:rFonts w:ascii="Garamond" w:hAnsi="Garamond"/>
                <w:b/>
                <w:color w:val="auto"/>
                <w:u w:val="none"/>
                <w:lang w:val="en-AU"/>
              </w:rPr>
              <w:t>communication</w:t>
            </w:r>
            <w:r w:rsidR="0011794B" w:rsidRPr="0011794B">
              <w:rPr>
                <w:rStyle w:val="Hyperlink"/>
                <w:rFonts w:ascii="Garamond" w:hAnsi="Garamond"/>
                <w:color w:val="auto"/>
                <w:u w:val="none"/>
                <w:lang w:val="en-AU"/>
              </w:rPr>
              <w:t xml:space="preserve"> and </w:t>
            </w:r>
            <w:r w:rsidR="0011794B" w:rsidRPr="0011794B">
              <w:rPr>
                <w:rStyle w:val="Hyperlink"/>
                <w:rFonts w:ascii="Garamond" w:hAnsi="Garamond"/>
                <w:b/>
                <w:color w:val="auto"/>
                <w:u w:val="none"/>
                <w:lang w:val="en-AU"/>
              </w:rPr>
              <w:t>safety culture</w:t>
            </w:r>
            <w:r w:rsidR="0011794B" w:rsidRPr="0011794B">
              <w:rPr>
                <w:rStyle w:val="Hyperlink"/>
                <w:rFonts w:ascii="Garamond" w:hAnsi="Garamond"/>
                <w:color w:val="auto"/>
                <w:u w:val="none"/>
                <w:lang w:val="en-AU"/>
              </w:rPr>
              <w:t>.</w:t>
            </w:r>
            <w:r w:rsidR="0011794B">
              <w:rPr>
                <w:rStyle w:val="Hyperlink"/>
                <w:rFonts w:ascii="Garamond" w:hAnsi="Garamond"/>
                <w:color w:val="auto"/>
                <w:u w:val="none"/>
                <w:lang w:val="en-AU"/>
              </w:rPr>
              <w:t xml:space="preserve"> While they found </w:t>
            </w:r>
            <w:r w:rsidR="0011794B" w:rsidRPr="0011794B">
              <w:rPr>
                <w:rStyle w:val="Hyperlink"/>
                <w:rFonts w:ascii="Garamond" w:hAnsi="Garamond"/>
                <w:color w:val="auto"/>
                <w:u w:val="none"/>
                <w:lang w:val="en-AU"/>
              </w:rPr>
              <w:t>good evidence to suggest a positive correlation between teamwork training and patient outcomes</w:t>
            </w:r>
            <w:r w:rsidR="0011794B">
              <w:rPr>
                <w:rStyle w:val="Hyperlink"/>
                <w:rFonts w:ascii="Garamond" w:hAnsi="Garamond"/>
                <w:color w:val="auto"/>
                <w:u w:val="none"/>
                <w:lang w:val="en-AU"/>
              </w:rPr>
              <w:t xml:space="preserve"> they recommended further research.</w:t>
            </w:r>
          </w:p>
        </w:tc>
      </w:tr>
    </w:tbl>
    <w:p w:rsidR="00E45AC0" w:rsidRDefault="00E45AC0" w:rsidP="00E45AC0">
      <w:pPr>
        <w:keepLines/>
        <w:autoSpaceDE w:val="0"/>
        <w:autoSpaceDN w:val="0"/>
        <w:adjustRightInd w:val="0"/>
        <w:rPr>
          <w:rFonts w:ascii="Garamond" w:hAnsi="Garamond"/>
          <w:lang w:val="en-AU"/>
        </w:rPr>
      </w:pPr>
    </w:p>
    <w:p w:rsidR="00C46EB8" w:rsidRPr="00C46EB8" w:rsidRDefault="00C46EB8" w:rsidP="00C46EB8">
      <w:pPr>
        <w:keepNext/>
        <w:keepLines/>
        <w:autoSpaceDE w:val="0"/>
        <w:autoSpaceDN w:val="0"/>
        <w:adjustRightInd w:val="0"/>
        <w:rPr>
          <w:rFonts w:ascii="Garamond" w:hAnsi="Garamond"/>
          <w:i/>
          <w:lang w:val="en-AU"/>
        </w:rPr>
      </w:pPr>
      <w:r w:rsidRPr="00C46EB8">
        <w:rPr>
          <w:rFonts w:ascii="Garamond" w:hAnsi="Garamond"/>
          <w:i/>
          <w:lang w:val="en-AU"/>
        </w:rPr>
        <w:t>Effect of systematic physician cross-checking on reducing adverse events in the emergency department: The CHARMED cluster randomized trial</w:t>
      </w:r>
    </w:p>
    <w:p w:rsidR="00C46EB8" w:rsidRDefault="00C46EB8" w:rsidP="00E45AC0">
      <w:pPr>
        <w:keepNext/>
        <w:keepLines/>
        <w:autoSpaceDE w:val="0"/>
        <w:autoSpaceDN w:val="0"/>
        <w:adjustRightInd w:val="0"/>
        <w:rPr>
          <w:rFonts w:ascii="Garamond" w:hAnsi="Garamond"/>
          <w:lang w:val="en-AU"/>
        </w:rPr>
      </w:pPr>
      <w:r w:rsidRPr="00C46EB8">
        <w:rPr>
          <w:rFonts w:ascii="Garamond" w:hAnsi="Garamond"/>
          <w:lang w:val="en-AU"/>
        </w:rPr>
        <w:t>Freund Y, Goulet H, Leblanc J, Bokobza J, Ray P, Maignan M, et al</w:t>
      </w:r>
    </w:p>
    <w:p w:rsidR="00E45AC0" w:rsidRDefault="00C46EB8" w:rsidP="00E45AC0">
      <w:pPr>
        <w:keepNext/>
        <w:keepLines/>
        <w:autoSpaceDE w:val="0"/>
        <w:autoSpaceDN w:val="0"/>
        <w:adjustRightInd w:val="0"/>
        <w:rPr>
          <w:rFonts w:ascii="Garamond" w:hAnsi="Garamond"/>
          <w:lang w:val="en-AU"/>
        </w:rPr>
      </w:pPr>
      <w:r w:rsidRPr="00C46EB8">
        <w:rPr>
          <w:rFonts w:ascii="Garamond" w:hAnsi="Garamond"/>
          <w:lang w:val="en-AU"/>
        </w:rPr>
        <w:t>JAMA Internal Medicine. 2018</w:t>
      </w:r>
      <w:r>
        <w:rPr>
          <w:rFonts w:ascii="Garamond" w:hAnsi="Garamond"/>
          <w:lang w:val="en-AU"/>
        </w:rPr>
        <w:t xml:space="preserve"> [epub]</w:t>
      </w:r>
      <w:r w:rsidRPr="00C46EB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45AC0" w:rsidRPr="000170DA" w:rsidTr="00670C80">
        <w:tc>
          <w:tcPr>
            <w:tcW w:w="1080" w:type="dxa"/>
            <w:tcBorders>
              <w:top w:val="single" w:sz="4" w:space="0" w:color="auto"/>
              <w:left w:val="single" w:sz="4" w:space="0" w:color="auto"/>
              <w:bottom w:val="single" w:sz="4" w:space="0" w:color="auto"/>
              <w:right w:val="single" w:sz="4" w:space="0" w:color="auto"/>
            </w:tcBorders>
            <w:vAlign w:val="center"/>
          </w:tcPr>
          <w:p w:rsidR="00E45AC0" w:rsidRPr="000170DA" w:rsidRDefault="00E45AC0" w:rsidP="00670C8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5AC0" w:rsidRPr="000170DA" w:rsidRDefault="00B65DB1" w:rsidP="00670C80">
            <w:pPr>
              <w:rPr>
                <w:rStyle w:val="Hyperlink"/>
                <w:rFonts w:ascii="Garamond" w:hAnsi="Garamond"/>
                <w:color w:val="auto"/>
                <w:u w:val="none"/>
                <w:lang w:val="en-AU"/>
              </w:rPr>
            </w:pPr>
            <w:hyperlink r:id="rId27" w:history="1">
              <w:r w:rsidR="00103CF0" w:rsidRPr="0055528B">
                <w:rPr>
                  <w:rStyle w:val="Hyperlink"/>
                  <w:rFonts w:ascii="Garamond" w:hAnsi="Garamond"/>
                  <w:lang w:val="en-AU"/>
                </w:rPr>
                <w:t>https://doi.org/10.1001/jamainternmed.2018.0607</w:t>
              </w:r>
            </w:hyperlink>
          </w:p>
        </w:tc>
      </w:tr>
      <w:tr w:rsidR="00E45AC0" w:rsidRPr="000170DA" w:rsidTr="00670C80">
        <w:tc>
          <w:tcPr>
            <w:tcW w:w="1080" w:type="dxa"/>
            <w:tcBorders>
              <w:top w:val="single" w:sz="4" w:space="0" w:color="auto"/>
              <w:left w:val="single" w:sz="4" w:space="0" w:color="auto"/>
              <w:bottom w:val="single" w:sz="4" w:space="0" w:color="auto"/>
              <w:right w:val="single" w:sz="4" w:space="0" w:color="auto"/>
            </w:tcBorders>
            <w:vAlign w:val="center"/>
          </w:tcPr>
          <w:p w:rsidR="00E45AC0" w:rsidRPr="000170DA" w:rsidRDefault="00E45AC0" w:rsidP="00670C8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5AC0" w:rsidRPr="000365E9" w:rsidRDefault="00103CF0" w:rsidP="00103CF0">
            <w:pPr>
              <w:rPr>
                <w:rFonts w:ascii="Garamond" w:hAnsi="Garamond"/>
                <w:lang w:val="en-AU"/>
              </w:rPr>
            </w:pPr>
            <w:r>
              <w:rPr>
                <w:rFonts w:ascii="Garamond" w:hAnsi="Garamond"/>
                <w:lang w:val="en-AU"/>
              </w:rPr>
              <w:t xml:space="preserve">Some environments may be inherently more exposed to risk. One of these may be the emergency department. This paper reports on a study that examined whether the </w:t>
            </w:r>
            <w:r w:rsidRPr="00103CF0">
              <w:rPr>
                <w:rFonts w:ascii="Garamond" w:hAnsi="Garamond"/>
                <w:lang w:val="en-AU"/>
              </w:rPr>
              <w:t xml:space="preserve">implementation of systematic physician cross-checking </w:t>
            </w:r>
            <w:r>
              <w:rPr>
                <w:rFonts w:ascii="Garamond" w:hAnsi="Garamond"/>
                <w:lang w:val="en-AU"/>
              </w:rPr>
              <w:t xml:space="preserve">can </w:t>
            </w:r>
            <w:r w:rsidRPr="00103CF0">
              <w:rPr>
                <w:rFonts w:ascii="Garamond" w:hAnsi="Garamond"/>
                <w:lang w:val="en-AU"/>
              </w:rPr>
              <w:t>reduce the rate of adverse events</w:t>
            </w:r>
            <w:r>
              <w:rPr>
                <w:rFonts w:ascii="Garamond" w:hAnsi="Garamond"/>
                <w:lang w:val="en-AU"/>
              </w:rPr>
              <w:t xml:space="preserve"> in this setting. This French study was a </w:t>
            </w:r>
            <w:r w:rsidRPr="00103CF0">
              <w:rPr>
                <w:rFonts w:ascii="Garamond" w:hAnsi="Garamond"/>
                <w:lang w:val="en-AU"/>
              </w:rPr>
              <w:t xml:space="preserve">cluster randomized trial </w:t>
            </w:r>
            <w:r>
              <w:rPr>
                <w:rFonts w:ascii="Garamond" w:hAnsi="Garamond"/>
                <w:lang w:val="en-AU"/>
              </w:rPr>
              <w:t>involving</w:t>
            </w:r>
            <w:r w:rsidRPr="00103CF0">
              <w:rPr>
                <w:rFonts w:ascii="Garamond" w:hAnsi="Garamond"/>
                <w:lang w:val="en-AU"/>
              </w:rPr>
              <w:t xml:space="preserve"> 1680 patients</w:t>
            </w:r>
            <w:r>
              <w:rPr>
                <w:rFonts w:ascii="Garamond" w:hAnsi="Garamond"/>
                <w:lang w:val="en-AU"/>
              </w:rPr>
              <w:t xml:space="preserve"> in which “</w:t>
            </w:r>
            <w:r w:rsidRPr="00103CF0">
              <w:rPr>
                <w:rFonts w:ascii="Garamond" w:hAnsi="Garamond"/>
                <w:lang w:val="en-AU"/>
              </w:rPr>
              <w:t>the implementation of systematic cross-checking between physicians resulted in a significant relative risk reduction for adverse events. The rate of adverse events was 10.7% in the control group vs 6.4% in the cross-checking group</w:t>
            </w:r>
            <w:r>
              <w:rPr>
                <w:rFonts w:ascii="Garamond" w:hAnsi="Garamond"/>
                <w:lang w:val="en-AU"/>
              </w:rPr>
              <w:t>.”</w:t>
            </w:r>
          </w:p>
        </w:tc>
      </w:tr>
    </w:tbl>
    <w:p w:rsidR="00E45AC0" w:rsidRDefault="00E45AC0" w:rsidP="00E45AC0">
      <w:pPr>
        <w:keepLines/>
        <w:autoSpaceDE w:val="0"/>
        <w:autoSpaceDN w:val="0"/>
        <w:adjustRightInd w:val="0"/>
        <w:rPr>
          <w:rFonts w:ascii="Garamond" w:hAnsi="Garamond"/>
          <w:lang w:val="en-AU"/>
        </w:rPr>
      </w:pPr>
    </w:p>
    <w:p w:rsidR="00C46EB8" w:rsidRPr="00115C15" w:rsidRDefault="00C46EB8" w:rsidP="00C46EB8">
      <w:pPr>
        <w:keepNext/>
        <w:keepLines/>
        <w:autoSpaceDE w:val="0"/>
        <w:autoSpaceDN w:val="0"/>
        <w:adjustRightInd w:val="0"/>
        <w:rPr>
          <w:rFonts w:ascii="Garamond" w:hAnsi="Garamond"/>
          <w:i/>
          <w:lang w:val="en-AU"/>
        </w:rPr>
      </w:pPr>
      <w:r w:rsidRPr="00115C15">
        <w:rPr>
          <w:rFonts w:ascii="Garamond" w:hAnsi="Garamond"/>
          <w:i/>
          <w:lang w:val="en-AU"/>
        </w:rPr>
        <w:lastRenderedPageBreak/>
        <w:t>A Patient Safety Toolkit for Family Practices</w:t>
      </w:r>
    </w:p>
    <w:p w:rsidR="00C46EB8" w:rsidRDefault="00C46EB8" w:rsidP="00C46EB8">
      <w:pPr>
        <w:keepNext/>
        <w:keepLines/>
        <w:autoSpaceDE w:val="0"/>
        <w:autoSpaceDN w:val="0"/>
        <w:adjustRightInd w:val="0"/>
        <w:rPr>
          <w:rFonts w:ascii="Garamond" w:hAnsi="Garamond"/>
          <w:lang w:val="en-AU"/>
        </w:rPr>
      </w:pPr>
      <w:r w:rsidRPr="001547D7">
        <w:rPr>
          <w:rFonts w:ascii="Garamond" w:hAnsi="Garamond"/>
          <w:lang w:val="en-AU"/>
        </w:rPr>
        <w:t>Campbell SM, Bell BG, Marsden K, Spencer R, Kadam U, Perryman K, et al</w:t>
      </w:r>
    </w:p>
    <w:p w:rsidR="00C46EB8" w:rsidRDefault="00C46EB8" w:rsidP="00C46EB8">
      <w:pPr>
        <w:keepNext/>
        <w:keepLines/>
        <w:autoSpaceDE w:val="0"/>
        <w:autoSpaceDN w:val="0"/>
        <w:adjustRightInd w:val="0"/>
        <w:rPr>
          <w:rFonts w:ascii="Garamond" w:hAnsi="Garamond"/>
          <w:lang w:val="en-AU"/>
        </w:rPr>
      </w:pPr>
      <w:r w:rsidRPr="001547D7">
        <w:rPr>
          <w:rFonts w:ascii="Garamond" w:hAnsi="Garamond"/>
          <w:lang w:val="en-AU"/>
        </w:rPr>
        <w:t>Journal of Patient Safety. 2018</w:t>
      </w:r>
      <w:r>
        <w:rPr>
          <w:rFonts w:ascii="Garamond" w:hAnsi="Garamond"/>
          <w:lang w:val="en-AU"/>
        </w:rPr>
        <w:t xml:space="preserve"> [epub]</w:t>
      </w:r>
      <w:r w:rsidRPr="001547D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46EB8" w:rsidRPr="000170DA" w:rsidTr="00B35C9B">
        <w:tc>
          <w:tcPr>
            <w:tcW w:w="1080" w:type="dxa"/>
            <w:tcBorders>
              <w:top w:val="single" w:sz="4" w:space="0" w:color="auto"/>
              <w:left w:val="single" w:sz="4" w:space="0" w:color="auto"/>
              <w:bottom w:val="single" w:sz="4" w:space="0" w:color="auto"/>
              <w:right w:val="single" w:sz="4" w:space="0" w:color="auto"/>
            </w:tcBorders>
            <w:vAlign w:val="center"/>
          </w:tcPr>
          <w:p w:rsidR="00C46EB8" w:rsidRPr="000170DA" w:rsidRDefault="00C46EB8" w:rsidP="00B35C9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46EB8" w:rsidRPr="000170DA" w:rsidRDefault="00B65DB1" w:rsidP="00B35C9B">
            <w:pPr>
              <w:rPr>
                <w:rStyle w:val="Hyperlink"/>
                <w:rFonts w:ascii="Garamond" w:hAnsi="Garamond"/>
                <w:color w:val="auto"/>
                <w:u w:val="none"/>
                <w:lang w:val="en-AU"/>
              </w:rPr>
            </w:pPr>
            <w:hyperlink r:id="rId28" w:history="1">
              <w:r w:rsidR="00C46EB8" w:rsidRPr="0055528B">
                <w:rPr>
                  <w:rStyle w:val="Hyperlink"/>
                  <w:rFonts w:ascii="Garamond" w:hAnsi="Garamond"/>
                  <w:lang w:val="en-AU"/>
                </w:rPr>
                <w:t>https://doi.org/10.1097/PTS.0000000000000471</w:t>
              </w:r>
            </w:hyperlink>
          </w:p>
        </w:tc>
      </w:tr>
      <w:tr w:rsidR="00C46EB8" w:rsidRPr="000170DA" w:rsidTr="00B35C9B">
        <w:tc>
          <w:tcPr>
            <w:tcW w:w="1080" w:type="dxa"/>
            <w:tcBorders>
              <w:top w:val="single" w:sz="4" w:space="0" w:color="auto"/>
              <w:left w:val="single" w:sz="4" w:space="0" w:color="auto"/>
              <w:bottom w:val="single" w:sz="4" w:space="0" w:color="auto"/>
              <w:right w:val="single" w:sz="4" w:space="0" w:color="auto"/>
            </w:tcBorders>
            <w:vAlign w:val="center"/>
          </w:tcPr>
          <w:p w:rsidR="00C46EB8" w:rsidRPr="000170DA" w:rsidRDefault="00C46EB8" w:rsidP="00B35C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6EB8" w:rsidRDefault="00C46EB8" w:rsidP="00B35C9B">
            <w:pPr>
              <w:rPr>
                <w:rFonts w:ascii="Garamond" w:hAnsi="Garamond"/>
                <w:lang w:val="en-AU"/>
              </w:rPr>
            </w:pPr>
            <w:r>
              <w:rPr>
                <w:rFonts w:ascii="Garamond" w:hAnsi="Garamond"/>
                <w:lang w:val="en-AU"/>
              </w:rPr>
              <w:t xml:space="preserve">Paper describing a toolkit that has been assembled (of existing tools) for measuring patient safety in family or general practice. </w:t>
            </w:r>
            <w:r w:rsidRPr="00F85616">
              <w:rPr>
                <w:rFonts w:ascii="Garamond" w:hAnsi="Garamond"/>
                <w:lang w:val="en-AU"/>
              </w:rPr>
              <w:t xml:space="preserve">The Patient Safety Toolkit is </w:t>
            </w:r>
            <w:r>
              <w:rPr>
                <w:rFonts w:ascii="Garamond" w:hAnsi="Garamond"/>
                <w:lang w:val="en-AU"/>
              </w:rPr>
              <w:t xml:space="preserve">apparently </w:t>
            </w:r>
            <w:r w:rsidRPr="00F85616">
              <w:rPr>
                <w:rFonts w:ascii="Garamond" w:hAnsi="Garamond"/>
                <w:lang w:val="en-AU"/>
              </w:rPr>
              <w:t xml:space="preserve">easy to use and </w:t>
            </w:r>
            <w:r>
              <w:rPr>
                <w:rFonts w:ascii="Garamond" w:hAnsi="Garamond"/>
                <w:lang w:val="en-AU"/>
              </w:rPr>
              <w:t xml:space="preserve">is </w:t>
            </w:r>
            <w:r w:rsidRPr="00F85616">
              <w:rPr>
                <w:rFonts w:ascii="Garamond" w:hAnsi="Garamond"/>
                <w:lang w:val="en-AU"/>
              </w:rPr>
              <w:t>hosted on a single platform with a collection of tools generating practical and actionable information</w:t>
            </w:r>
            <w:r>
              <w:rPr>
                <w:rFonts w:ascii="Garamond" w:hAnsi="Garamond"/>
                <w:lang w:val="en-AU"/>
              </w:rPr>
              <w:t xml:space="preserve"> The toolkit </w:t>
            </w:r>
            <w:r w:rsidRPr="00F85616">
              <w:rPr>
                <w:rFonts w:ascii="Garamond" w:hAnsi="Garamond"/>
                <w:lang w:val="en-AU"/>
              </w:rPr>
              <w:t>enables family practices to identify safety deficits that they can review and change procedures to improve their patient safety across a key sets of patient safety issues.</w:t>
            </w:r>
            <w:r>
              <w:rPr>
                <w:rFonts w:ascii="Garamond" w:hAnsi="Garamond"/>
                <w:lang w:val="en-AU"/>
              </w:rPr>
              <w:t xml:space="preserve"> The tools included are:</w:t>
            </w:r>
          </w:p>
          <w:p w:rsidR="00C46EB8" w:rsidRDefault="00C46EB8" w:rsidP="00B35C9B">
            <w:pPr>
              <w:pStyle w:val="ListParagraph"/>
              <w:numPr>
                <w:ilvl w:val="0"/>
                <w:numId w:val="32"/>
              </w:numPr>
              <w:rPr>
                <w:rFonts w:ascii="Garamond" w:hAnsi="Garamond"/>
                <w:lang w:val="en-AU"/>
              </w:rPr>
            </w:pPr>
            <w:r w:rsidRPr="00F85616">
              <w:rPr>
                <w:rFonts w:ascii="Garamond" w:hAnsi="Garamond"/>
                <w:lang w:val="en-AU"/>
              </w:rPr>
              <w:t>National Health Service Education for Scotland Trigger Tool</w:t>
            </w:r>
          </w:p>
          <w:p w:rsidR="00C46EB8" w:rsidRDefault="00C46EB8" w:rsidP="00B35C9B">
            <w:pPr>
              <w:pStyle w:val="ListParagraph"/>
              <w:numPr>
                <w:ilvl w:val="0"/>
                <w:numId w:val="32"/>
              </w:numPr>
              <w:rPr>
                <w:rFonts w:ascii="Garamond" w:hAnsi="Garamond"/>
                <w:lang w:val="en-AU"/>
              </w:rPr>
            </w:pPr>
            <w:r w:rsidRPr="00F85616">
              <w:rPr>
                <w:rFonts w:ascii="Garamond" w:hAnsi="Garamond"/>
                <w:lang w:val="en-AU"/>
              </w:rPr>
              <w:t>National Health Service Education for Scotland Medicines Reconciliation Tool</w:t>
            </w:r>
          </w:p>
          <w:p w:rsidR="00C46EB8" w:rsidRDefault="00C46EB8" w:rsidP="00B35C9B">
            <w:pPr>
              <w:pStyle w:val="ListParagraph"/>
              <w:numPr>
                <w:ilvl w:val="0"/>
                <w:numId w:val="32"/>
              </w:numPr>
              <w:rPr>
                <w:rFonts w:ascii="Garamond" w:hAnsi="Garamond"/>
                <w:lang w:val="en-AU"/>
              </w:rPr>
            </w:pPr>
            <w:r w:rsidRPr="00F85616">
              <w:rPr>
                <w:rFonts w:ascii="Garamond" w:hAnsi="Garamond"/>
                <w:lang w:val="en-AU"/>
              </w:rPr>
              <w:t>Primary Care Safequest</w:t>
            </w:r>
          </w:p>
          <w:p w:rsidR="00C46EB8" w:rsidRDefault="00C46EB8" w:rsidP="00B35C9B">
            <w:pPr>
              <w:pStyle w:val="ListParagraph"/>
              <w:numPr>
                <w:ilvl w:val="0"/>
                <w:numId w:val="32"/>
              </w:numPr>
              <w:rPr>
                <w:rFonts w:ascii="Garamond" w:hAnsi="Garamond"/>
                <w:lang w:val="en-AU"/>
              </w:rPr>
            </w:pPr>
            <w:r w:rsidRPr="00F85616">
              <w:rPr>
                <w:rFonts w:ascii="Garamond" w:hAnsi="Garamond"/>
                <w:lang w:val="en-AU"/>
              </w:rPr>
              <w:t>Prescribing Safety Indicators</w:t>
            </w:r>
          </w:p>
          <w:p w:rsidR="00C46EB8" w:rsidRDefault="00C46EB8" w:rsidP="00B35C9B">
            <w:pPr>
              <w:pStyle w:val="ListParagraph"/>
              <w:numPr>
                <w:ilvl w:val="0"/>
                <w:numId w:val="32"/>
              </w:numPr>
              <w:rPr>
                <w:rFonts w:ascii="Garamond" w:hAnsi="Garamond"/>
                <w:lang w:val="en-AU"/>
              </w:rPr>
            </w:pPr>
            <w:r w:rsidRPr="00F85616">
              <w:rPr>
                <w:rFonts w:ascii="Garamond" w:hAnsi="Garamond"/>
                <w:lang w:val="en-AU"/>
              </w:rPr>
              <w:t>Patient Reported Experiences and Outcomes of Safety in Primary Care, and</w:t>
            </w:r>
          </w:p>
          <w:p w:rsidR="00C46EB8" w:rsidRPr="00F85616" w:rsidRDefault="00C46EB8" w:rsidP="00B35C9B">
            <w:pPr>
              <w:pStyle w:val="ListParagraph"/>
              <w:numPr>
                <w:ilvl w:val="0"/>
                <w:numId w:val="32"/>
              </w:numPr>
              <w:rPr>
                <w:rFonts w:ascii="Garamond" w:hAnsi="Garamond"/>
                <w:lang w:val="en-AU"/>
              </w:rPr>
            </w:pPr>
            <w:r w:rsidRPr="00F85616">
              <w:rPr>
                <w:rFonts w:ascii="Garamond" w:hAnsi="Garamond"/>
                <w:lang w:val="en-AU"/>
              </w:rPr>
              <w:t>Concise Safe Systems Checklist.</w:t>
            </w:r>
          </w:p>
        </w:tc>
      </w:tr>
    </w:tbl>
    <w:p w:rsidR="00C46EB8" w:rsidRDefault="00C46EB8" w:rsidP="00C46EB8">
      <w:pPr>
        <w:keepLines/>
        <w:autoSpaceDE w:val="0"/>
        <w:autoSpaceDN w:val="0"/>
        <w:adjustRightInd w:val="0"/>
        <w:rPr>
          <w:rFonts w:ascii="Garamond" w:hAnsi="Garamond"/>
          <w:lang w:val="en-AU"/>
        </w:rPr>
      </w:pPr>
    </w:p>
    <w:p w:rsidR="00C46EB8" w:rsidRPr="00115C15" w:rsidRDefault="00C46EB8" w:rsidP="00C46EB8">
      <w:pPr>
        <w:keepNext/>
        <w:keepLines/>
        <w:autoSpaceDE w:val="0"/>
        <w:autoSpaceDN w:val="0"/>
        <w:adjustRightInd w:val="0"/>
        <w:rPr>
          <w:rFonts w:ascii="Garamond" w:hAnsi="Garamond"/>
          <w:i/>
          <w:lang w:val="en-AU"/>
        </w:rPr>
      </w:pPr>
      <w:r w:rsidRPr="00115C15">
        <w:rPr>
          <w:rFonts w:ascii="Garamond" w:hAnsi="Garamond"/>
          <w:i/>
          <w:lang w:val="en-AU"/>
        </w:rPr>
        <w:t>A target to achieve zero preventable trauma deaths through quality improvement</w:t>
      </w:r>
    </w:p>
    <w:p w:rsidR="00C46EB8" w:rsidRDefault="00C46EB8" w:rsidP="00C46EB8">
      <w:pPr>
        <w:keepNext/>
        <w:keepLines/>
        <w:autoSpaceDE w:val="0"/>
        <w:autoSpaceDN w:val="0"/>
        <w:adjustRightInd w:val="0"/>
        <w:rPr>
          <w:rFonts w:ascii="Garamond" w:hAnsi="Garamond"/>
          <w:lang w:val="en-AU"/>
        </w:rPr>
      </w:pPr>
      <w:r w:rsidRPr="00224D78">
        <w:rPr>
          <w:rFonts w:ascii="Garamond" w:hAnsi="Garamond"/>
          <w:lang w:val="en-AU"/>
        </w:rPr>
        <w:t>Hashmi ZG, Haut ER, Efron DT, Salim A, Cornwell EE, Iii, et al.</w:t>
      </w:r>
    </w:p>
    <w:p w:rsidR="00C46EB8" w:rsidRDefault="00C46EB8" w:rsidP="00C46EB8">
      <w:pPr>
        <w:keepNext/>
        <w:keepLines/>
        <w:autoSpaceDE w:val="0"/>
        <w:autoSpaceDN w:val="0"/>
        <w:adjustRightInd w:val="0"/>
        <w:rPr>
          <w:rFonts w:ascii="Garamond" w:hAnsi="Garamond"/>
          <w:lang w:val="en-AU"/>
        </w:rPr>
      </w:pPr>
      <w:r w:rsidRPr="00224D78">
        <w:rPr>
          <w:rFonts w:ascii="Garamond" w:hAnsi="Garamond"/>
          <w:lang w:val="en-AU"/>
        </w:rPr>
        <w:t>JAMA Surgery. 2018</w:t>
      </w:r>
      <w:r>
        <w:rPr>
          <w:rFonts w:ascii="Garamond" w:hAnsi="Garamond"/>
          <w:lang w:val="en-AU"/>
        </w:rPr>
        <w:t xml:space="preserve"> [epub]</w:t>
      </w:r>
      <w:r w:rsidRPr="00224D7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46EB8" w:rsidRPr="000170DA" w:rsidTr="00B35C9B">
        <w:tc>
          <w:tcPr>
            <w:tcW w:w="1080" w:type="dxa"/>
            <w:tcBorders>
              <w:top w:val="single" w:sz="4" w:space="0" w:color="auto"/>
              <w:left w:val="single" w:sz="4" w:space="0" w:color="auto"/>
              <w:bottom w:val="single" w:sz="4" w:space="0" w:color="auto"/>
              <w:right w:val="single" w:sz="4" w:space="0" w:color="auto"/>
            </w:tcBorders>
            <w:vAlign w:val="center"/>
          </w:tcPr>
          <w:p w:rsidR="00C46EB8" w:rsidRPr="000170DA" w:rsidRDefault="00C46EB8" w:rsidP="00B35C9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46EB8" w:rsidRPr="000170DA" w:rsidRDefault="00B65DB1" w:rsidP="00B35C9B">
            <w:pPr>
              <w:rPr>
                <w:rStyle w:val="Hyperlink"/>
                <w:rFonts w:ascii="Garamond" w:hAnsi="Garamond"/>
                <w:color w:val="auto"/>
                <w:u w:val="none"/>
                <w:lang w:val="en-AU"/>
              </w:rPr>
            </w:pPr>
            <w:hyperlink r:id="rId29" w:history="1">
              <w:r w:rsidR="00C46EB8" w:rsidRPr="0055528B">
                <w:rPr>
                  <w:rStyle w:val="Hyperlink"/>
                  <w:rFonts w:ascii="Garamond" w:hAnsi="Garamond"/>
                  <w:lang w:val="en-AU"/>
                </w:rPr>
                <w:t>http://doi.org/10.1001/jamasurg.2018.0159</w:t>
              </w:r>
            </w:hyperlink>
          </w:p>
        </w:tc>
      </w:tr>
      <w:tr w:rsidR="00C46EB8" w:rsidRPr="000170DA" w:rsidTr="00B35C9B">
        <w:tc>
          <w:tcPr>
            <w:tcW w:w="1080" w:type="dxa"/>
            <w:tcBorders>
              <w:top w:val="single" w:sz="4" w:space="0" w:color="auto"/>
              <w:left w:val="single" w:sz="4" w:space="0" w:color="auto"/>
              <w:bottom w:val="single" w:sz="4" w:space="0" w:color="auto"/>
              <w:right w:val="single" w:sz="4" w:space="0" w:color="auto"/>
            </w:tcBorders>
            <w:vAlign w:val="center"/>
          </w:tcPr>
          <w:p w:rsidR="00C46EB8" w:rsidRPr="000170DA" w:rsidRDefault="00C46EB8" w:rsidP="00B35C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6EB8" w:rsidRPr="000365E9" w:rsidRDefault="00C46EB8" w:rsidP="00B35C9B">
            <w:pPr>
              <w:rPr>
                <w:rFonts w:ascii="Garamond" w:hAnsi="Garamond"/>
                <w:lang w:val="en-AU"/>
              </w:rPr>
            </w:pPr>
            <w:r>
              <w:rPr>
                <w:rFonts w:ascii="Garamond" w:hAnsi="Garamond"/>
                <w:lang w:val="en-AU"/>
              </w:rPr>
              <w:t xml:space="preserve">Article reporting on an effort to quantify the </w:t>
            </w:r>
            <w:r w:rsidRPr="00224D78">
              <w:rPr>
                <w:rFonts w:ascii="Garamond" w:hAnsi="Garamond"/>
                <w:lang w:val="en-AU"/>
              </w:rPr>
              <w:t>number of preventable trauma deaths in the United States</w:t>
            </w:r>
            <w:r>
              <w:rPr>
                <w:rFonts w:ascii="Garamond" w:hAnsi="Garamond"/>
                <w:lang w:val="en-AU"/>
              </w:rPr>
              <w:t xml:space="preserve">. Using </w:t>
            </w:r>
            <w:r w:rsidRPr="00224D78">
              <w:rPr>
                <w:rFonts w:ascii="Garamond" w:hAnsi="Garamond"/>
                <w:lang w:val="en-AU"/>
              </w:rPr>
              <w:t xml:space="preserve">administrative data </w:t>
            </w:r>
            <w:r>
              <w:rPr>
                <w:rFonts w:ascii="Garamond" w:hAnsi="Garamond"/>
                <w:lang w:val="en-AU"/>
              </w:rPr>
              <w:t xml:space="preserve">covering </w:t>
            </w:r>
            <w:r w:rsidRPr="00224D78">
              <w:rPr>
                <w:rFonts w:ascii="Garamond" w:hAnsi="Garamond"/>
                <w:lang w:val="en-AU"/>
              </w:rPr>
              <w:t xml:space="preserve">more than 18 million patients across 2198 </w:t>
            </w:r>
            <w:r>
              <w:rPr>
                <w:rFonts w:ascii="Garamond" w:hAnsi="Garamond"/>
                <w:lang w:val="en-AU"/>
              </w:rPr>
              <w:t xml:space="preserve">US </w:t>
            </w:r>
            <w:r w:rsidRPr="00224D78">
              <w:rPr>
                <w:rFonts w:ascii="Garamond" w:hAnsi="Garamond"/>
                <w:lang w:val="en-AU"/>
              </w:rPr>
              <w:t>hospitals</w:t>
            </w:r>
            <w:r>
              <w:rPr>
                <w:rFonts w:ascii="Garamond" w:hAnsi="Garamond"/>
                <w:lang w:val="en-AU"/>
              </w:rPr>
              <w:t xml:space="preserve"> over the period 2006–2014</w:t>
            </w:r>
            <w:r w:rsidRPr="00224D78">
              <w:rPr>
                <w:rFonts w:ascii="Garamond" w:hAnsi="Garamond"/>
                <w:lang w:val="en-AU"/>
              </w:rPr>
              <w:t xml:space="preserve">, </w:t>
            </w:r>
            <w:r>
              <w:rPr>
                <w:rFonts w:ascii="Garamond" w:hAnsi="Garamond"/>
                <w:lang w:val="en-AU"/>
              </w:rPr>
              <w:t xml:space="preserve">the study suggests that </w:t>
            </w:r>
            <w:r w:rsidRPr="00224D78">
              <w:rPr>
                <w:rFonts w:ascii="Garamond" w:hAnsi="Garamond"/>
                <w:lang w:val="en-AU"/>
              </w:rPr>
              <w:t xml:space="preserve">if low-performing hospitals could provide the same quality of trauma care as high-performing </w:t>
            </w:r>
            <w:r>
              <w:rPr>
                <w:rFonts w:ascii="Garamond" w:hAnsi="Garamond"/>
                <w:lang w:val="en-AU"/>
              </w:rPr>
              <w:t>peers</w:t>
            </w:r>
            <w:r w:rsidRPr="00224D78">
              <w:rPr>
                <w:rFonts w:ascii="Garamond" w:hAnsi="Garamond"/>
                <w:lang w:val="en-AU"/>
              </w:rPr>
              <w:t>, 100,000 lives could be saved over a 5-year period.</w:t>
            </w:r>
          </w:p>
        </w:tc>
      </w:tr>
    </w:tbl>
    <w:p w:rsidR="00C46EB8" w:rsidRDefault="00C46EB8" w:rsidP="00C46EB8">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B65DB1" w:rsidP="00900052">
            <w:pPr>
              <w:keepNext/>
              <w:rPr>
                <w:rFonts w:ascii="Garamond" w:hAnsi="Garamond"/>
                <w:lang w:val="en-AU"/>
              </w:rPr>
            </w:pPr>
            <w:hyperlink r:id="rId30"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C87114" w:rsidRDefault="00785FD9" w:rsidP="00785FD9">
            <w:pPr>
              <w:pStyle w:val="ListParagraph"/>
              <w:numPr>
                <w:ilvl w:val="0"/>
                <w:numId w:val="14"/>
              </w:numPr>
              <w:rPr>
                <w:rFonts w:ascii="Garamond" w:hAnsi="Garamond"/>
                <w:lang w:val="en-AU"/>
              </w:rPr>
            </w:pPr>
            <w:r w:rsidRPr="00785FD9">
              <w:rPr>
                <w:rFonts w:ascii="Garamond" w:hAnsi="Garamond"/>
                <w:lang w:val="en-AU"/>
              </w:rPr>
              <w:t xml:space="preserve">Comparing standard office-based follow-up with text-based remote monitoring in the management of </w:t>
            </w:r>
            <w:r w:rsidRPr="00785FD9">
              <w:rPr>
                <w:rFonts w:ascii="Garamond" w:hAnsi="Garamond"/>
                <w:b/>
                <w:lang w:val="en-AU"/>
              </w:rPr>
              <w:t>postpartum hypertension</w:t>
            </w:r>
            <w:r w:rsidRPr="00785FD9">
              <w:rPr>
                <w:rFonts w:ascii="Garamond" w:hAnsi="Garamond"/>
                <w:lang w:val="en-AU"/>
              </w:rPr>
              <w:t>: a randomised clinical trial</w:t>
            </w:r>
            <w:r>
              <w:rPr>
                <w:rFonts w:ascii="Garamond" w:hAnsi="Garamond"/>
                <w:lang w:val="en-AU"/>
              </w:rPr>
              <w:t xml:space="preserve"> (</w:t>
            </w:r>
            <w:r w:rsidRPr="00785FD9">
              <w:rPr>
                <w:rFonts w:ascii="Garamond" w:hAnsi="Garamond"/>
                <w:lang w:val="en-AU"/>
              </w:rPr>
              <w:t>Adi Hirshberg, Katheryne Downes, Sindhu Srinivas</w:t>
            </w:r>
            <w:r>
              <w:rPr>
                <w:rFonts w:ascii="Garamond" w:hAnsi="Garamond"/>
                <w:lang w:val="en-AU"/>
              </w:rPr>
              <w:t>)</w:t>
            </w:r>
          </w:p>
          <w:p w:rsidR="00481C15" w:rsidRPr="00467B47" w:rsidRDefault="00481C15" w:rsidP="00481C15">
            <w:pPr>
              <w:pStyle w:val="ListParagraph"/>
              <w:numPr>
                <w:ilvl w:val="0"/>
                <w:numId w:val="14"/>
              </w:numPr>
              <w:rPr>
                <w:rFonts w:ascii="Garamond" w:hAnsi="Garamond"/>
                <w:lang w:val="en-AU"/>
              </w:rPr>
            </w:pPr>
            <w:r w:rsidRPr="00481C15">
              <w:rPr>
                <w:rFonts w:ascii="Garamond" w:hAnsi="Garamond"/>
                <w:lang w:val="en-AU"/>
              </w:rPr>
              <w:t xml:space="preserve">Patients’ perspectives on how to decrease the burden of treatment: a qualitative study of </w:t>
            </w:r>
            <w:r w:rsidRPr="00481C15">
              <w:rPr>
                <w:rFonts w:ascii="Garamond" w:hAnsi="Garamond"/>
                <w:b/>
                <w:lang w:val="en-AU"/>
              </w:rPr>
              <w:t>HIV care in sub-Saharan Africa</w:t>
            </w:r>
            <w:r>
              <w:rPr>
                <w:rFonts w:ascii="Garamond" w:hAnsi="Garamond"/>
                <w:lang w:val="en-AU"/>
              </w:rPr>
              <w:t xml:space="preserve"> (</w:t>
            </w:r>
            <w:r w:rsidRPr="00481C15">
              <w:rPr>
                <w:rFonts w:ascii="Garamond" w:hAnsi="Garamond"/>
                <w:lang w:val="en-AU"/>
              </w:rPr>
              <w:t>Viet-Thi Tran, Eugene Messou, Mariam Mama Djima, Philippe Ravaud, Didier K Ekouevi</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772B33">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B65DB1" w:rsidP="00900052">
            <w:pPr>
              <w:keepNext/>
              <w:rPr>
                <w:rFonts w:ascii="Garamond" w:hAnsi="Garamond"/>
                <w:lang w:val="en-AU"/>
              </w:rPr>
            </w:pPr>
            <w:hyperlink r:id="rId31"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240C9" w:rsidRPr="005240C9" w:rsidRDefault="005240C9" w:rsidP="005240C9">
            <w:pPr>
              <w:pStyle w:val="ListParagraph"/>
              <w:numPr>
                <w:ilvl w:val="0"/>
                <w:numId w:val="14"/>
              </w:numPr>
              <w:rPr>
                <w:rFonts w:ascii="Garamond" w:hAnsi="Garamond"/>
                <w:lang w:val="en-AU"/>
              </w:rPr>
            </w:pPr>
            <w:r w:rsidRPr="005240C9">
              <w:rPr>
                <w:rFonts w:ascii="Garamond" w:hAnsi="Garamond"/>
                <w:b/>
                <w:lang w:val="en-AU"/>
              </w:rPr>
              <w:t>Medical practice variation</w:t>
            </w:r>
            <w:r w:rsidRPr="005240C9">
              <w:rPr>
                <w:rFonts w:ascii="Garamond" w:hAnsi="Garamond"/>
                <w:lang w:val="en-AU"/>
              </w:rPr>
              <w:t>: public reporting a first necessary step to spark change (Gert P Westert; Stef Groenewoud; John E Wennberg; Catherine Gerard; Phil DaSilva</w:t>
            </w:r>
            <w:r>
              <w:rPr>
                <w:rFonts w:ascii="Garamond" w:hAnsi="Garamond"/>
                <w:lang w:val="en-AU"/>
              </w:rPr>
              <w:t xml:space="preserve">; </w:t>
            </w:r>
            <w:r w:rsidRPr="005240C9">
              <w:rPr>
                <w:rFonts w:ascii="Garamond" w:hAnsi="Garamond"/>
                <w:lang w:val="en-AU"/>
              </w:rPr>
              <w:t>Femke Atsma  David C Goodman</w:t>
            </w:r>
            <w:r>
              <w:rPr>
                <w:rFonts w:ascii="Garamond" w:hAnsi="Garamond"/>
                <w:lang w:val="en-AU"/>
              </w:rPr>
              <w:t>)</w:t>
            </w:r>
          </w:p>
          <w:p w:rsidR="005240C9" w:rsidRPr="005240C9" w:rsidRDefault="005240C9" w:rsidP="005240C9">
            <w:pPr>
              <w:pStyle w:val="ListParagraph"/>
              <w:numPr>
                <w:ilvl w:val="0"/>
                <w:numId w:val="14"/>
              </w:numPr>
              <w:rPr>
                <w:rFonts w:ascii="Garamond" w:hAnsi="Garamond"/>
                <w:lang w:val="en-AU"/>
              </w:rPr>
            </w:pPr>
            <w:r w:rsidRPr="005240C9">
              <w:rPr>
                <w:rFonts w:ascii="Garamond" w:hAnsi="Garamond"/>
                <w:lang w:val="en-AU"/>
              </w:rPr>
              <w:t xml:space="preserve">Effectiveness of a </w:t>
            </w:r>
            <w:r w:rsidRPr="005240C9">
              <w:rPr>
                <w:rFonts w:ascii="Garamond" w:hAnsi="Garamond"/>
                <w:b/>
                <w:lang w:val="en-AU"/>
              </w:rPr>
              <w:t>WHO Safe Childbirth Checklist</w:t>
            </w:r>
            <w:r w:rsidRPr="005240C9">
              <w:rPr>
                <w:rFonts w:ascii="Garamond" w:hAnsi="Garamond"/>
                <w:lang w:val="en-AU"/>
              </w:rPr>
              <w:t xml:space="preserve"> Coaching-based intervention on the availability of Essential Birth Supplies in Uttar Pradesh, India (Jenny J Maisonneuve; Katherine E A Semrau; Pinki Maji; Vinay Pratap Singh; Kate A Miller</w:t>
            </w:r>
            <w:r>
              <w:rPr>
                <w:rFonts w:ascii="Garamond" w:hAnsi="Garamond"/>
                <w:lang w:val="en-AU"/>
              </w:rPr>
              <w:t xml:space="preserve">; </w:t>
            </w:r>
            <w:r w:rsidRPr="005240C9">
              <w:rPr>
                <w:rFonts w:ascii="Garamond" w:hAnsi="Garamond"/>
                <w:lang w:val="en-AU"/>
              </w:rPr>
              <w:t>Ian Solsky</w:t>
            </w:r>
            <w:r>
              <w:rPr>
                <w:rFonts w:ascii="Garamond" w:hAnsi="Garamond"/>
                <w:lang w:val="en-AU"/>
              </w:rPr>
              <w:t>;</w:t>
            </w:r>
            <w:r w:rsidRPr="005240C9">
              <w:rPr>
                <w:rFonts w:ascii="Garamond" w:hAnsi="Garamond"/>
                <w:lang w:val="en-AU"/>
              </w:rPr>
              <w:t xml:space="preserve"> Neeraj Dixit</w:t>
            </w:r>
            <w:r>
              <w:rPr>
                <w:rFonts w:ascii="Garamond" w:hAnsi="Garamond"/>
                <w:lang w:val="en-AU"/>
              </w:rPr>
              <w:t>;</w:t>
            </w:r>
            <w:r w:rsidRPr="005240C9">
              <w:rPr>
                <w:rFonts w:ascii="Garamond" w:hAnsi="Garamond"/>
                <w:lang w:val="en-AU"/>
              </w:rPr>
              <w:t xml:space="preserve"> Jigyasa Sharma</w:t>
            </w:r>
            <w:r>
              <w:rPr>
                <w:rFonts w:ascii="Garamond" w:hAnsi="Garamond"/>
                <w:lang w:val="en-AU"/>
              </w:rPr>
              <w:t>;</w:t>
            </w:r>
            <w:r w:rsidRPr="005240C9">
              <w:rPr>
                <w:rFonts w:ascii="Garamond" w:hAnsi="Garamond"/>
                <w:lang w:val="en-AU"/>
              </w:rPr>
              <w:t xml:space="preserve"> Janaka Lagoo</w:t>
            </w:r>
            <w:r>
              <w:rPr>
                <w:rFonts w:ascii="Garamond" w:hAnsi="Garamond"/>
                <w:lang w:val="en-AU"/>
              </w:rPr>
              <w:t xml:space="preserve">; </w:t>
            </w:r>
            <w:r w:rsidRPr="005240C9">
              <w:rPr>
                <w:rFonts w:ascii="Garamond" w:hAnsi="Garamond"/>
                <w:lang w:val="en-AU"/>
              </w:rPr>
              <w:t>Natalie Panariello</w:t>
            </w:r>
            <w:r>
              <w:rPr>
                <w:rFonts w:ascii="Garamond" w:hAnsi="Garamond"/>
                <w:lang w:val="en-AU"/>
              </w:rPr>
              <w:t>;</w:t>
            </w:r>
            <w:r w:rsidRPr="005240C9">
              <w:rPr>
                <w:rFonts w:ascii="Garamond" w:hAnsi="Garamond"/>
                <w:lang w:val="en-AU"/>
              </w:rPr>
              <w:t xml:space="preserve"> Brandon Neal</w:t>
            </w:r>
            <w:r>
              <w:rPr>
                <w:rFonts w:ascii="Garamond" w:hAnsi="Garamond"/>
                <w:lang w:val="en-AU"/>
              </w:rPr>
              <w:t>;</w:t>
            </w:r>
            <w:r w:rsidRPr="005240C9">
              <w:rPr>
                <w:rFonts w:ascii="Garamond" w:hAnsi="Garamond"/>
                <w:lang w:val="en-AU"/>
              </w:rPr>
              <w:t xml:space="preserve"> Tapan Kalita</w:t>
            </w:r>
            <w:r>
              <w:rPr>
                <w:rFonts w:ascii="Garamond" w:hAnsi="Garamond"/>
                <w:lang w:val="en-AU"/>
              </w:rPr>
              <w:t>;</w:t>
            </w:r>
            <w:r w:rsidRPr="005240C9">
              <w:rPr>
                <w:rFonts w:ascii="Garamond" w:hAnsi="Garamond"/>
                <w:lang w:val="en-AU"/>
              </w:rPr>
              <w:t xml:space="preserve"> Nabihah Kara</w:t>
            </w:r>
            <w:r>
              <w:rPr>
                <w:rFonts w:ascii="Garamond" w:hAnsi="Garamond"/>
                <w:lang w:val="en-AU"/>
              </w:rPr>
              <w:t>;</w:t>
            </w:r>
            <w:r w:rsidRPr="005240C9">
              <w:rPr>
                <w:rFonts w:ascii="Garamond" w:hAnsi="Garamond"/>
                <w:lang w:val="en-AU"/>
              </w:rPr>
              <w:t xml:space="preserve"> Vishwajeet Kumar</w:t>
            </w:r>
            <w:r>
              <w:rPr>
                <w:rFonts w:ascii="Garamond" w:hAnsi="Garamond"/>
                <w:lang w:val="en-AU"/>
              </w:rPr>
              <w:t>;</w:t>
            </w:r>
            <w:r w:rsidRPr="005240C9">
              <w:rPr>
                <w:rFonts w:ascii="Garamond" w:hAnsi="Garamond"/>
                <w:lang w:val="en-AU"/>
              </w:rPr>
              <w:t xml:space="preserve"> Lisa R Hirschhorn</w:t>
            </w:r>
            <w:r>
              <w:rPr>
                <w:rFonts w:ascii="Garamond" w:hAnsi="Garamond"/>
                <w:lang w:val="en-AU"/>
              </w:rPr>
              <w:t>)</w:t>
            </w:r>
          </w:p>
          <w:p w:rsidR="00785FD9" w:rsidRDefault="00785FD9" w:rsidP="00785FD9">
            <w:pPr>
              <w:pStyle w:val="ListParagraph"/>
              <w:numPr>
                <w:ilvl w:val="0"/>
                <w:numId w:val="14"/>
              </w:numPr>
              <w:rPr>
                <w:rFonts w:ascii="Garamond" w:hAnsi="Garamond"/>
                <w:lang w:val="en-AU"/>
              </w:rPr>
            </w:pPr>
            <w:r w:rsidRPr="00785FD9">
              <w:rPr>
                <w:rFonts w:ascii="Garamond" w:hAnsi="Garamond"/>
                <w:lang w:val="en-AU"/>
              </w:rPr>
              <w:lastRenderedPageBreak/>
              <w:t xml:space="preserve">Feasibility and efficacy of </w:t>
            </w:r>
            <w:r w:rsidRPr="00785FD9">
              <w:rPr>
                <w:rFonts w:ascii="Garamond" w:hAnsi="Garamond"/>
                <w:b/>
                <w:lang w:val="en-AU"/>
              </w:rPr>
              <w:t>sepsis management guidelines</w:t>
            </w:r>
            <w:r w:rsidRPr="00785FD9">
              <w:rPr>
                <w:rFonts w:ascii="Garamond" w:hAnsi="Garamond"/>
                <w:lang w:val="en-AU"/>
              </w:rPr>
              <w:t xml:space="preserve"> in a </w:t>
            </w:r>
            <w:r w:rsidRPr="00785FD9">
              <w:rPr>
                <w:rFonts w:ascii="Garamond" w:hAnsi="Garamond"/>
                <w:b/>
                <w:lang w:val="en-AU"/>
              </w:rPr>
              <w:t>pediatric intensive care unit</w:t>
            </w:r>
            <w:r w:rsidRPr="00785FD9">
              <w:rPr>
                <w:rFonts w:ascii="Garamond" w:hAnsi="Garamond"/>
                <w:lang w:val="en-AU"/>
              </w:rPr>
              <w:t xml:space="preserve"> in Saudi Arabia: a quality improvement initiative (Gamal M Hasan; Ayman A Al-Eyadhy; Mohamed-Hani A Temsah; Ali A Al-Haboob; Mohammad A Alkhateeb</w:t>
            </w:r>
            <w:r>
              <w:rPr>
                <w:rFonts w:ascii="Garamond" w:hAnsi="Garamond"/>
                <w:lang w:val="en-AU"/>
              </w:rPr>
              <w:t xml:space="preserve">; </w:t>
            </w:r>
            <w:r w:rsidRPr="00785FD9">
              <w:rPr>
                <w:rFonts w:ascii="Garamond" w:hAnsi="Garamond"/>
                <w:lang w:val="en-AU"/>
              </w:rPr>
              <w:t>Fahad Al-Sohime</w:t>
            </w:r>
            <w:r>
              <w:rPr>
                <w:rFonts w:ascii="Garamond" w:hAnsi="Garamond"/>
                <w:lang w:val="en-AU"/>
              </w:rPr>
              <w:t>)</w:t>
            </w:r>
          </w:p>
          <w:p w:rsidR="00E2133B" w:rsidRPr="00DA6435" w:rsidRDefault="00785FD9" w:rsidP="00785FD9">
            <w:pPr>
              <w:pStyle w:val="ListParagraph"/>
              <w:numPr>
                <w:ilvl w:val="0"/>
                <w:numId w:val="14"/>
              </w:numPr>
              <w:rPr>
                <w:rFonts w:ascii="Garamond" w:hAnsi="Garamond"/>
                <w:lang w:val="en-AU"/>
              </w:rPr>
            </w:pPr>
            <w:r w:rsidRPr="00785FD9">
              <w:rPr>
                <w:rFonts w:ascii="Garamond" w:hAnsi="Garamond"/>
                <w:b/>
                <w:lang w:val="en-AU"/>
              </w:rPr>
              <w:t>Decreasing triage time</w:t>
            </w:r>
            <w:r w:rsidRPr="00785FD9">
              <w:rPr>
                <w:rFonts w:ascii="Garamond" w:hAnsi="Garamond"/>
                <w:lang w:val="en-AU"/>
              </w:rPr>
              <w:t xml:space="preserve">: effects of implementing a step-wise ESI algorithm in an EHR </w:t>
            </w:r>
            <w:r>
              <w:rPr>
                <w:rFonts w:ascii="Garamond" w:hAnsi="Garamond"/>
                <w:lang w:val="en-AU"/>
              </w:rPr>
              <w:t>(</w:t>
            </w:r>
            <w:r w:rsidRPr="00785FD9">
              <w:rPr>
                <w:rFonts w:ascii="Garamond" w:hAnsi="Garamond"/>
                <w:lang w:val="en-AU"/>
              </w:rPr>
              <w:t>Stephen Villa; Ellen J Weber; Steven Polevoi; Christopher Fee; Andrew Maruoka</w:t>
            </w:r>
            <w:r>
              <w:rPr>
                <w:rFonts w:ascii="Garamond" w:hAnsi="Garamond"/>
                <w:lang w:val="en-AU"/>
              </w:rPr>
              <w:t xml:space="preserve">; </w:t>
            </w:r>
            <w:r w:rsidRPr="00785FD9">
              <w:rPr>
                <w:rFonts w:ascii="Garamond" w:hAnsi="Garamond"/>
                <w:lang w:val="en-AU"/>
              </w:rPr>
              <w:t>Tina Quon</w:t>
            </w:r>
            <w:r>
              <w:rPr>
                <w:rFonts w:ascii="Garamond" w:hAnsi="Garamond"/>
                <w:lang w:val="en-AU"/>
              </w:rPr>
              <w:t>)</w:t>
            </w:r>
          </w:p>
        </w:tc>
      </w:tr>
    </w:tbl>
    <w:p w:rsidR="00A3571C" w:rsidRPr="00A3571C" w:rsidRDefault="00A3571C" w:rsidP="00070CFE">
      <w:pPr>
        <w:rPr>
          <w:rFonts w:ascii="Garamond" w:hAnsi="Garamond"/>
          <w:lang w:val="en-AU"/>
        </w:rPr>
      </w:pPr>
    </w:p>
    <w:p w:rsidR="00A3571C" w:rsidRPr="00A3571C" w:rsidRDefault="00A3571C"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A9583A" w:rsidRDefault="00A9583A" w:rsidP="00070CFE">
      <w:pPr>
        <w:rPr>
          <w:rFonts w:ascii="Garamond" w:hAnsi="Garamond"/>
          <w:i/>
          <w:lang w:val="en-AU"/>
        </w:rPr>
      </w:pPr>
      <w:r w:rsidRPr="00A9583A">
        <w:rPr>
          <w:rFonts w:ascii="Garamond" w:hAnsi="Garamond"/>
          <w:i/>
          <w:lang w:val="en-AU"/>
        </w:rPr>
        <w:t>National Healthy Skin Guideline: For the Prevention, Treatment and Public Health Control of Impetigo, Scabies, Crusted Scabies and Tinea for Indigenous Populations and Communities in Australia</w:t>
      </w:r>
    </w:p>
    <w:p w:rsidR="00A9583A" w:rsidRDefault="00B65DB1" w:rsidP="00070CFE">
      <w:pPr>
        <w:rPr>
          <w:rFonts w:ascii="Garamond" w:hAnsi="Garamond"/>
          <w:lang w:val="en-AU"/>
        </w:rPr>
      </w:pPr>
      <w:hyperlink r:id="rId32" w:history="1">
        <w:r w:rsidR="00A9583A" w:rsidRPr="0055528B">
          <w:rPr>
            <w:rStyle w:val="Hyperlink"/>
            <w:rFonts w:ascii="Garamond" w:hAnsi="Garamond"/>
            <w:lang w:val="en-AU"/>
          </w:rPr>
          <w:t>https://infectiousdiseases.telethonkids.org.au/our-research/skin-guidelines</w:t>
        </w:r>
      </w:hyperlink>
    </w:p>
    <w:p w:rsidR="00A9583A" w:rsidRPr="00A9583A" w:rsidRDefault="00A9583A" w:rsidP="00070CFE">
      <w:pPr>
        <w:rPr>
          <w:rFonts w:ascii="Garamond" w:hAnsi="Garamond"/>
          <w:lang w:val="en-AU"/>
        </w:rPr>
      </w:pPr>
      <w:r w:rsidRPr="00A9583A">
        <w:rPr>
          <w:rFonts w:ascii="Garamond" w:hAnsi="Garamond"/>
          <w:lang w:val="en-AU"/>
        </w:rPr>
        <w:t>The first-ever National Healthy Skin Guideline is designed to help health care providers easily recognise, diagnose, and treat skin infections using online resources such as photographs, learning tools and an interactive questionnaire. The Guideline also provides plenty of information on how to stop the spread of germs and keep skin strong and healthy.</w:t>
      </w:r>
    </w:p>
    <w:p w:rsidR="00A9583A" w:rsidRDefault="00A9583A" w:rsidP="00070CFE">
      <w:pPr>
        <w:rPr>
          <w:rFonts w:ascii="Garamond" w:hAnsi="Garamond"/>
          <w:lang w:val="en-AU"/>
        </w:rPr>
      </w:pPr>
    </w:p>
    <w:p w:rsidR="00785FD9" w:rsidRPr="00785FD9" w:rsidRDefault="00785FD9" w:rsidP="00785FD9">
      <w:pPr>
        <w:keepNext/>
        <w:keepLines/>
        <w:rPr>
          <w:rFonts w:ascii="Garamond" w:hAnsi="Garamond"/>
          <w:i/>
          <w:lang w:val="en-AU"/>
        </w:rPr>
      </w:pPr>
      <w:r w:rsidRPr="00785FD9">
        <w:rPr>
          <w:rFonts w:ascii="Garamond" w:hAnsi="Garamond"/>
          <w:i/>
          <w:lang w:val="en-AU"/>
        </w:rPr>
        <w:t>[USA] Guide to Improving Patient Safety in Primary Care Settings by Engaging Patients and Families</w:t>
      </w:r>
    </w:p>
    <w:p w:rsidR="00785FD9" w:rsidRDefault="00B65DB1" w:rsidP="00785FD9">
      <w:pPr>
        <w:keepNext/>
        <w:keepLines/>
        <w:rPr>
          <w:rFonts w:ascii="Garamond" w:hAnsi="Garamond"/>
          <w:lang w:val="en-AU"/>
        </w:rPr>
      </w:pPr>
      <w:hyperlink r:id="rId33" w:history="1">
        <w:r w:rsidR="00785FD9" w:rsidRPr="007100B7">
          <w:rPr>
            <w:rStyle w:val="Hyperlink"/>
            <w:rFonts w:ascii="Garamond" w:hAnsi="Garamond"/>
            <w:lang w:val="en-AU"/>
          </w:rPr>
          <w:t>https://www.ahrq.gov/professionals/quality-patient-safety/patient-family-engagement/pfeprimarycare/index.html</w:t>
        </w:r>
      </w:hyperlink>
    </w:p>
    <w:p w:rsidR="00785FD9" w:rsidRDefault="00785FD9" w:rsidP="00070CFE">
      <w:pPr>
        <w:rPr>
          <w:rFonts w:ascii="Garamond" w:hAnsi="Garamond"/>
          <w:lang w:val="en-AU"/>
        </w:rPr>
      </w:pPr>
      <w:r>
        <w:rPr>
          <w:rFonts w:ascii="Garamond" w:hAnsi="Garamond"/>
          <w:lang w:val="en-AU"/>
        </w:rPr>
        <w:t xml:space="preserve">The US Agency for Healthcare Research and Quality (AHRQ) has updated this resource. The guide </w:t>
      </w:r>
      <w:r w:rsidRPr="00785FD9">
        <w:rPr>
          <w:rFonts w:ascii="Garamond" w:hAnsi="Garamond"/>
          <w:lang w:val="en-AU"/>
        </w:rPr>
        <w:t>features strategies for patients and families, clinicians and primary care clinical staff to improve communication</w:t>
      </w:r>
      <w:r>
        <w:rPr>
          <w:rFonts w:ascii="Garamond" w:hAnsi="Garamond"/>
          <w:lang w:val="en-AU"/>
        </w:rPr>
        <w:t>.</w:t>
      </w:r>
    </w:p>
    <w:p w:rsidR="00785FD9" w:rsidRDefault="00785FD9" w:rsidP="00070CFE">
      <w:pPr>
        <w:rPr>
          <w:rFonts w:ascii="Garamond" w:hAnsi="Garamond"/>
          <w:lang w:val="en-AU"/>
        </w:rPr>
      </w:pPr>
    </w:p>
    <w:p w:rsidR="00877C2F" w:rsidRPr="007A47A8" w:rsidRDefault="00877C2F" w:rsidP="00877C2F">
      <w:pPr>
        <w:keepNext/>
        <w:keepLines/>
        <w:rPr>
          <w:rFonts w:ascii="Garamond" w:hAnsi="Garamond"/>
          <w:i/>
          <w:lang w:val="en-AU"/>
        </w:rPr>
      </w:pPr>
      <w:r w:rsidRPr="007A47A8">
        <w:rPr>
          <w:rFonts w:ascii="Garamond" w:hAnsi="Garamond"/>
          <w:i/>
          <w:lang w:val="en-AU"/>
        </w:rPr>
        <w:t>[UK] National Institute for Health Research</w:t>
      </w:r>
    </w:p>
    <w:p w:rsidR="00877C2F" w:rsidRPr="007A47A8" w:rsidRDefault="00877C2F" w:rsidP="00877C2F">
      <w:pPr>
        <w:keepNext/>
        <w:keepLines/>
        <w:rPr>
          <w:rStyle w:val="Hyperlink"/>
          <w:rFonts w:ascii="Garamond" w:hAnsi="Garamond"/>
          <w:lang w:val="en-AU"/>
        </w:rPr>
      </w:pPr>
      <w:bookmarkStart w:id="1" w:name="_GoBack"/>
      <w:r w:rsidRPr="0054200E">
        <w:rPr>
          <w:rStyle w:val="Hyperlink"/>
          <w:rFonts w:ascii="Garamond" w:hAnsi="Garamond"/>
          <w:lang w:val="en-AU"/>
        </w:rPr>
        <w:t>https://discover.dc.nihr.ac.uk/portal/search/signals</w:t>
      </w:r>
    </w:p>
    <w:p w:rsidR="00877C2F" w:rsidRDefault="00877C2F" w:rsidP="00877C2F">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 xml:space="preserve">Case managers improve outcomes for people with </w:t>
      </w:r>
      <w:r w:rsidRPr="00877C2F">
        <w:rPr>
          <w:rFonts w:ascii="Garamond" w:hAnsi="Garamond"/>
          <w:b/>
          <w:lang w:val="en-AU"/>
        </w:rPr>
        <w:t>dementia</w:t>
      </w:r>
      <w:r w:rsidRPr="00877C2F">
        <w:rPr>
          <w:rFonts w:ascii="Garamond" w:hAnsi="Garamond"/>
          <w:lang w:val="en-AU"/>
        </w:rPr>
        <w:t xml:space="preserve"> and their carers </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Sending patient reminde</w:t>
      </w:r>
      <w:r>
        <w:rPr>
          <w:rFonts w:ascii="Garamond" w:hAnsi="Garamond"/>
          <w:lang w:val="en-AU"/>
        </w:rPr>
        <w:t xml:space="preserve">rs improves </w:t>
      </w:r>
      <w:r w:rsidRPr="00877C2F">
        <w:rPr>
          <w:rFonts w:ascii="Garamond" w:hAnsi="Garamond"/>
          <w:b/>
          <w:lang w:val="en-AU"/>
        </w:rPr>
        <w:t>immunisation uptake</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b/>
          <w:lang w:val="en-AU"/>
        </w:rPr>
        <w:t>Swimming in seawater</w:t>
      </w:r>
      <w:r w:rsidRPr="00877C2F">
        <w:rPr>
          <w:rFonts w:ascii="Garamond" w:hAnsi="Garamond"/>
          <w:lang w:val="en-AU"/>
        </w:rPr>
        <w:t xml:space="preserve"> is linked with an inc</w:t>
      </w:r>
      <w:r>
        <w:rPr>
          <w:rFonts w:ascii="Garamond" w:hAnsi="Garamond"/>
          <w:lang w:val="en-AU"/>
        </w:rPr>
        <w:t>reased chance of some illnesses</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Atraumatic needles reduce head</w:t>
      </w:r>
      <w:r>
        <w:rPr>
          <w:rFonts w:ascii="Garamond" w:hAnsi="Garamond"/>
          <w:lang w:val="en-AU"/>
        </w:rPr>
        <w:t xml:space="preserve">aches following </w:t>
      </w:r>
      <w:r w:rsidRPr="00877C2F">
        <w:rPr>
          <w:rFonts w:ascii="Garamond" w:hAnsi="Garamond"/>
          <w:b/>
          <w:lang w:val="en-AU"/>
        </w:rPr>
        <w:t>lumbar puncture</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 xml:space="preserve">Adding the extra antibiotic rifampicin did not </w:t>
      </w:r>
      <w:r>
        <w:rPr>
          <w:rFonts w:ascii="Garamond" w:hAnsi="Garamond"/>
          <w:lang w:val="en-AU"/>
        </w:rPr>
        <w:t xml:space="preserve">improve cure rates after </w:t>
      </w:r>
      <w:r w:rsidRPr="00877C2F">
        <w:rPr>
          <w:rFonts w:ascii="Garamond" w:hAnsi="Garamond"/>
          <w:b/>
          <w:lang w:val="en-AU"/>
        </w:rPr>
        <w:t>sepsis</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Lorazepam confirmed as first-line treatment for stopping</w:t>
      </w:r>
      <w:r>
        <w:rPr>
          <w:rFonts w:ascii="Garamond" w:hAnsi="Garamond"/>
          <w:lang w:val="en-AU"/>
        </w:rPr>
        <w:t xml:space="preserve"> </w:t>
      </w:r>
      <w:r w:rsidRPr="00877C2F">
        <w:rPr>
          <w:rFonts w:ascii="Garamond" w:hAnsi="Garamond"/>
          <w:b/>
          <w:lang w:val="en-AU"/>
        </w:rPr>
        <w:t>prolonged seizures in children</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Exercise improves intermittent c</w:t>
      </w:r>
      <w:r>
        <w:rPr>
          <w:rFonts w:ascii="Garamond" w:hAnsi="Garamond"/>
          <w:lang w:val="en-AU"/>
        </w:rPr>
        <w:t xml:space="preserve">laudication </w:t>
      </w:r>
      <w:r w:rsidRPr="00877C2F">
        <w:rPr>
          <w:rFonts w:ascii="Garamond" w:hAnsi="Garamond"/>
          <w:b/>
          <w:lang w:val="en-AU"/>
        </w:rPr>
        <w:t>leg pain on walking</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 xml:space="preserve">A school-based </w:t>
      </w:r>
      <w:r w:rsidRPr="00877C2F">
        <w:rPr>
          <w:rFonts w:ascii="Garamond" w:hAnsi="Garamond"/>
          <w:b/>
          <w:lang w:val="en-AU"/>
        </w:rPr>
        <w:t>obesity prevention</w:t>
      </w:r>
      <w:r w:rsidRPr="00877C2F">
        <w:rPr>
          <w:rFonts w:ascii="Garamond" w:hAnsi="Garamond"/>
          <w:lang w:val="en-AU"/>
        </w:rPr>
        <w:t xml:space="preserve"> programm</w:t>
      </w:r>
      <w:r>
        <w:rPr>
          <w:rFonts w:ascii="Garamond" w:hAnsi="Garamond"/>
          <w:lang w:val="en-AU"/>
        </w:rPr>
        <w:t>e was ineffective</w:t>
      </w:r>
    </w:p>
    <w:p w:rsidR="00877C2F" w:rsidRP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 xml:space="preserve">Physiotherapy education before </w:t>
      </w:r>
      <w:r w:rsidRPr="00877C2F">
        <w:rPr>
          <w:rFonts w:ascii="Garamond" w:hAnsi="Garamond"/>
          <w:b/>
          <w:lang w:val="en-AU"/>
        </w:rPr>
        <w:t>major abdominal surgery</w:t>
      </w:r>
      <w:r>
        <w:rPr>
          <w:rFonts w:ascii="Garamond" w:hAnsi="Garamond"/>
          <w:lang w:val="en-AU"/>
        </w:rPr>
        <w:t xml:space="preserve"> reduces lung complications</w:t>
      </w:r>
    </w:p>
    <w:p w:rsidR="00877C2F" w:rsidRDefault="00877C2F" w:rsidP="00877C2F">
      <w:pPr>
        <w:pStyle w:val="ListParagraph"/>
        <w:keepNext/>
        <w:keepLines/>
        <w:numPr>
          <w:ilvl w:val="0"/>
          <w:numId w:val="14"/>
        </w:numPr>
        <w:rPr>
          <w:rFonts w:ascii="Garamond" w:hAnsi="Garamond"/>
          <w:lang w:val="en-AU"/>
        </w:rPr>
      </w:pPr>
      <w:r w:rsidRPr="00877C2F">
        <w:rPr>
          <w:rFonts w:ascii="Garamond" w:hAnsi="Garamond"/>
          <w:lang w:val="en-AU"/>
        </w:rPr>
        <w:t xml:space="preserve">The most </w:t>
      </w:r>
      <w:r w:rsidRPr="00877C2F">
        <w:rPr>
          <w:rFonts w:ascii="Garamond" w:hAnsi="Garamond"/>
          <w:b/>
          <w:lang w:val="en-AU"/>
        </w:rPr>
        <w:t>effective antidepressants</w:t>
      </w:r>
      <w:r w:rsidRPr="00877C2F">
        <w:rPr>
          <w:rFonts w:ascii="Garamond" w:hAnsi="Garamond"/>
          <w:lang w:val="en-AU"/>
        </w:rPr>
        <w:t xml:space="preserve"> for adults revealed in major review</w:t>
      </w:r>
      <w:r>
        <w:rPr>
          <w:rFonts w:ascii="Garamond" w:hAnsi="Garamond"/>
          <w:lang w:val="en-AU"/>
        </w:rPr>
        <w:t>.</w:t>
      </w:r>
    </w:p>
    <w:bookmarkEnd w:id="1"/>
    <w:p w:rsidR="00877C2F" w:rsidRDefault="00877C2F" w:rsidP="00852350">
      <w:pPr>
        <w:keepLines/>
        <w:rPr>
          <w:rFonts w:ascii="Garamond" w:hAnsi="Garamond"/>
          <w:i/>
          <w:lang w:val="en-AU"/>
        </w:rPr>
      </w:pPr>
    </w:p>
    <w:p w:rsidR="00642B8F" w:rsidRDefault="00642B8F"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62" w:rsidRDefault="00BA4662">
      <w:r>
        <w:separator/>
      </w:r>
    </w:p>
  </w:endnote>
  <w:endnote w:type="continuationSeparator" w:id="0">
    <w:p w:rsidR="00BA4662" w:rsidRDefault="00B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62" w:rsidRDefault="00BA466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65DB1">
      <w:rPr>
        <w:rStyle w:val="PageNumber"/>
        <w:noProof/>
      </w:rPr>
      <w:t>4</w:t>
    </w:r>
    <w:r>
      <w:rPr>
        <w:rStyle w:val="PageNumber"/>
      </w:rPr>
      <w:fldChar w:fldCharType="end"/>
    </w:r>
  </w:p>
  <w:p w:rsidR="00BA4662" w:rsidRPr="001E78F0" w:rsidRDefault="00BA466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72B33">
      <w:rPr>
        <w:rFonts w:ascii="Garamond" w:hAnsi="Garamond"/>
      </w:rPr>
      <w:t xml:space="preserve"> Issue 36</w:t>
    </w:r>
    <w:r w:rsidR="00E45AC0">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62" w:rsidRPr="001E78F0" w:rsidRDefault="00BA466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65DB1">
      <w:rPr>
        <w:rStyle w:val="PageNumber"/>
        <w:rFonts w:ascii="Garamond" w:hAnsi="Garamond"/>
        <w:noProof/>
      </w:rPr>
      <w:t>5</w:t>
    </w:r>
    <w:r w:rsidRPr="001E78F0">
      <w:rPr>
        <w:rStyle w:val="PageNumber"/>
        <w:rFonts w:ascii="Garamond" w:hAnsi="Garamond"/>
      </w:rPr>
      <w:fldChar w:fldCharType="end"/>
    </w:r>
  </w:p>
  <w:p w:rsidR="00BA4662" w:rsidRPr="001E78F0" w:rsidRDefault="00BA466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w:t>
    </w:r>
    <w:r w:rsidR="00E45AC0">
      <w:rPr>
        <w:rFonts w:ascii="Garamond" w:hAnsi="Garamon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62" w:rsidRDefault="00BA4662">
      <w:r>
        <w:separator/>
      </w:r>
    </w:p>
  </w:footnote>
  <w:footnote w:type="continuationSeparator" w:id="0">
    <w:p w:rsidR="00BA4662" w:rsidRDefault="00BA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547B8F"/>
    <w:multiLevelType w:val="hybridMultilevel"/>
    <w:tmpl w:val="DC1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53E0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F4029F"/>
    <w:multiLevelType w:val="hybridMultilevel"/>
    <w:tmpl w:val="D428B77E"/>
    <w:lvl w:ilvl="0" w:tplc="54FA74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CB7D62"/>
    <w:multiLevelType w:val="hybridMultilevel"/>
    <w:tmpl w:val="D94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5441AF"/>
    <w:multiLevelType w:val="hybridMultilevel"/>
    <w:tmpl w:val="27F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7"/>
  </w:num>
  <w:num w:numId="15">
    <w:abstractNumId w:val="11"/>
  </w:num>
  <w:num w:numId="16">
    <w:abstractNumId w:val="15"/>
  </w:num>
  <w:num w:numId="17">
    <w:abstractNumId w:val="20"/>
  </w:num>
  <w:num w:numId="18">
    <w:abstractNumId w:val="32"/>
  </w:num>
  <w:num w:numId="19">
    <w:abstractNumId w:val="13"/>
  </w:num>
  <w:num w:numId="20">
    <w:abstractNumId w:val="21"/>
  </w:num>
  <w:num w:numId="21">
    <w:abstractNumId w:val="10"/>
  </w:num>
  <w:num w:numId="22">
    <w:abstractNumId w:val="25"/>
  </w:num>
  <w:num w:numId="23">
    <w:abstractNumId w:val="28"/>
  </w:num>
  <w:num w:numId="24">
    <w:abstractNumId w:val="14"/>
  </w:num>
  <w:num w:numId="25">
    <w:abstractNumId w:val="31"/>
  </w:num>
  <w:num w:numId="26">
    <w:abstractNumId w:val="26"/>
  </w:num>
  <w:num w:numId="27">
    <w:abstractNumId w:val="27"/>
  </w:num>
  <w:num w:numId="28">
    <w:abstractNumId w:val="18"/>
  </w:num>
  <w:num w:numId="29">
    <w:abstractNumId w:val="12"/>
  </w:num>
  <w:num w:numId="30">
    <w:abstractNumId w:val="30"/>
  </w:num>
  <w:num w:numId="31">
    <w:abstractNumId w:val="22"/>
  </w:num>
  <w:num w:numId="32">
    <w:abstractNumId w:val="24"/>
  </w:num>
  <w:num w:numId="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1FCA"/>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5DB1"/>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wp-content/uploads/2018/04/NSQHS-Standards-Mapping-of-the-first-and-second-editions.pdf" TargetMode="External"/><Relationship Id="rId26" Type="http://schemas.openxmlformats.org/officeDocument/2006/relationships/hyperlink" Target="https://doi.org/10.1016/j.ijsu.2018.03.044"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assessment-to-the-nsqhs-standards/nsqhs-standards-second-edition/" TargetMode="External"/><Relationship Id="rId25" Type="http://schemas.openxmlformats.org/officeDocument/2006/relationships/hyperlink" Target="https://doi.org/10.1016/j.surg.2017.12.003" TargetMode="External"/><Relationship Id="rId33" Type="http://schemas.openxmlformats.org/officeDocument/2006/relationships/hyperlink" Target="https://www.ahrq.gov/professionals/quality-patient-safety/patient-family-engagement/pfeprimarycare/index.html" TargetMode="External"/><Relationship Id="rId2" Type="http://schemas.openxmlformats.org/officeDocument/2006/relationships/numbering" Target="numbering.xml"/><Relationship Id="rId16" Type="http://schemas.openxmlformats.org/officeDocument/2006/relationships/hyperlink" Target="https://www.safetyandquality.gov.au/wp-content/uploads/2018/04/User-Guide-for-Measuring-and-Evaluating-Partnering-with-Consumers.pdf" TargetMode="External"/><Relationship Id="rId20" Type="http://schemas.openxmlformats.org/officeDocument/2006/relationships/hyperlink" Target="http://www.safetyandquality.gov.au/second-edition" TargetMode="External"/><Relationship Id="rId29" Type="http://schemas.openxmlformats.org/officeDocument/2006/relationships/hyperlink" Target="http://doi.org/10.1001/jamasurg.2018.0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infoway-inforoute.ca/en/resource-centre/search-by-topic/connectedhealth" TargetMode="External"/><Relationship Id="rId32" Type="http://schemas.openxmlformats.org/officeDocument/2006/relationships/hyperlink" Target="https://infectiousdiseases.telethonkids.org.au/our-research/skin-guideline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shared-decision-making/" TargetMode="External"/><Relationship Id="rId28" Type="http://schemas.openxmlformats.org/officeDocument/2006/relationships/hyperlink" Target="https://doi.org/10.1097/PTS.0000000000000471" TargetMode="External"/><Relationship Id="rId36"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assessment-to-the-nsqhs-standards/nsqhs-standards-second-edition/assessor-orientation-course-enrolment-form/" TargetMode="External"/><Relationship Id="rId31" Type="http://schemas.openxmlformats.org/officeDocument/2006/relationships/hyperlink" Target="https://academic.oup.com/intqhc/advance-access?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www.qualityforum.org/Guidance_to_Improve_Shared_Decision_Making.aspx" TargetMode="External"/><Relationship Id="rId27" Type="http://schemas.openxmlformats.org/officeDocument/2006/relationships/hyperlink" Target="https://doi.org/10.1001/jamainternmed.2018.0607" TargetMode="External"/><Relationship Id="rId30" Type="http://schemas.openxmlformats.org/officeDocument/2006/relationships/hyperlink" Target="https://qualitysafety.bmj.com/content/early/recen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A690-A9C7-404C-AFA3-6E80C295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5</Pages>
  <Words>2101</Words>
  <Characters>13742</Characters>
  <Application>Microsoft Office Word</Application>
  <DocSecurity>0</DocSecurity>
  <Lines>292</Lines>
  <Paragraphs>155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15688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2018-03-02T02:34:00Z</cp:lastPrinted>
  <dcterms:created xsi:type="dcterms:W3CDTF">2018-04-29T00:09:00Z</dcterms:created>
  <dcterms:modified xsi:type="dcterms:W3CDTF">2018-05-04T02:37:00Z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