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583B63">
      <w:pPr>
        <w:pStyle w:val="Heading1"/>
        <w:jc w:val="both"/>
        <w:rPr>
          <w:rFonts w:ascii="Bookman Old Style" w:hAnsi="Bookman Old Style"/>
          <w:sz w:val="48"/>
          <w:szCs w:val="48"/>
          <w:lang w:val="en-AU"/>
        </w:rPr>
      </w:pPr>
      <w:bookmarkStart w:id="0" w:name="_GoBack"/>
      <w:bookmarkEnd w:id="0"/>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B160EF" w:rsidRPr="00467B47" w:rsidRDefault="00715F47" w:rsidP="00B160EF">
      <w:pPr>
        <w:rPr>
          <w:rFonts w:ascii="Garamond" w:hAnsi="Garamond"/>
          <w:color w:val="000000"/>
          <w:lang w:val="en-AU"/>
        </w:rPr>
      </w:pPr>
      <w:r w:rsidRPr="00467B47">
        <w:rPr>
          <w:rFonts w:ascii="Garamond" w:hAnsi="Garamond"/>
          <w:color w:val="000000"/>
          <w:lang w:val="en-AU"/>
        </w:rPr>
        <w:t xml:space="preserve">Issue </w:t>
      </w:r>
      <w:r w:rsidR="00252A38" w:rsidRPr="00467B47">
        <w:rPr>
          <w:rFonts w:ascii="Garamond" w:hAnsi="Garamond"/>
          <w:color w:val="000000"/>
          <w:lang w:val="en-AU"/>
        </w:rPr>
        <w:t>3</w:t>
      </w:r>
      <w:r w:rsidR="00EE2A35">
        <w:rPr>
          <w:rFonts w:ascii="Garamond" w:hAnsi="Garamond"/>
          <w:color w:val="000000"/>
          <w:lang w:val="en-AU"/>
        </w:rPr>
        <w:t>71</w:t>
      </w:r>
    </w:p>
    <w:p w:rsidR="00755242" w:rsidRPr="00467B47" w:rsidRDefault="00282D29" w:rsidP="00B160EF">
      <w:pPr>
        <w:rPr>
          <w:rFonts w:ascii="Garamond" w:hAnsi="Garamond"/>
          <w:lang w:val="en-AU"/>
        </w:rPr>
      </w:pPr>
      <w:r>
        <w:rPr>
          <w:rFonts w:ascii="Garamond" w:hAnsi="Garamond"/>
          <w:lang w:val="en-AU"/>
        </w:rPr>
        <w:t>2</w:t>
      </w:r>
      <w:r w:rsidR="00EE2A35">
        <w:rPr>
          <w:rFonts w:ascii="Garamond" w:hAnsi="Garamond"/>
          <w:lang w:val="en-AU"/>
        </w:rPr>
        <w:t>8</w:t>
      </w:r>
      <w:r w:rsidR="00E45AC0">
        <w:rPr>
          <w:rFonts w:ascii="Garamond" w:hAnsi="Garamond"/>
          <w:lang w:val="en-AU"/>
        </w:rPr>
        <w:t xml:space="preserve"> May</w:t>
      </w:r>
      <w:r w:rsidR="00054C00" w:rsidRPr="00467B47">
        <w:rPr>
          <w:rFonts w:ascii="Garamond" w:hAnsi="Garamond"/>
          <w:lang w:val="en-AU"/>
        </w:rPr>
        <w:t xml:space="preserve"> </w:t>
      </w:r>
      <w:r w:rsidR="002F7586" w:rsidRPr="00467B47">
        <w:rPr>
          <w:rFonts w:ascii="Garamond" w:hAnsi="Garamond"/>
          <w:lang w:val="en-AU"/>
        </w:rPr>
        <w:t>2018</w:t>
      </w:r>
    </w:p>
    <w:p w:rsidR="00566895" w:rsidRPr="00467B47" w:rsidRDefault="00566895" w:rsidP="00B160EF">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230D83" w:rsidRPr="00467B47"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1"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1"/>
      <w:r w:rsidR="00DD646E">
        <w:rPr>
          <w:rFonts w:ascii="Garamond" w:hAnsi="Garamond"/>
          <w:bCs/>
          <w:lang w:val="en-AU"/>
        </w:rPr>
        <w:t>, Kozue Yamada</w:t>
      </w:r>
      <w:r w:rsidR="00ED56A3">
        <w:rPr>
          <w:rFonts w:ascii="Garamond" w:hAnsi="Garamond"/>
          <w:bCs/>
          <w:lang w:val="en-AU"/>
        </w:rPr>
        <w:t>, Alice Bhasale</w:t>
      </w:r>
    </w:p>
    <w:p w:rsidR="00727B35" w:rsidRDefault="00727B35" w:rsidP="00691DE3">
      <w:pPr>
        <w:keepLines/>
        <w:autoSpaceDE w:val="0"/>
        <w:autoSpaceDN w:val="0"/>
        <w:adjustRightInd w:val="0"/>
        <w:rPr>
          <w:rFonts w:ascii="Garamond" w:hAnsi="Garamond"/>
          <w:lang w:val="en-AU"/>
        </w:rPr>
      </w:pPr>
    </w:p>
    <w:p w:rsidR="00DD646E" w:rsidRPr="00DD646E" w:rsidRDefault="00DD646E">
      <w:pPr>
        <w:rPr>
          <w:rFonts w:ascii="Garamond" w:hAnsi="Garamond"/>
          <w:b/>
          <w:lang w:val="en-AU"/>
        </w:rPr>
      </w:pPr>
      <w:r w:rsidRPr="00DD646E">
        <w:rPr>
          <w:rFonts w:ascii="Garamond" w:hAnsi="Garamond"/>
          <w:b/>
          <w:lang w:val="en-AU"/>
        </w:rPr>
        <w:t>Consultation on the NSQHS Standards guide for governing bodies</w:t>
      </w:r>
    </w:p>
    <w:p w:rsidR="00DD646E" w:rsidRDefault="00B0188A">
      <w:pPr>
        <w:rPr>
          <w:rFonts w:ascii="Garamond" w:hAnsi="Garamond"/>
          <w:lang w:val="en-AU"/>
        </w:rPr>
      </w:pPr>
      <w:hyperlink r:id="rId16" w:history="1">
        <w:r w:rsidR="00DD646E" w:rsidRPr="005A481F">
          <w:rPr>
            <w:rStyle w:val="Hyperlink"/>
            <w:rFonts w:ascii="Garamond" w:hAnsi="Garamond"/>
            <w:lang w:val="en-AU"/>
          </w:rPr>
          <w:t>www.safetyandquality.gov.au/consultations</w:t>
        </w:r>
      </w:hyperlink>
    </w:p>
    <w:p w:rsidR="00DD646E" w:rsidRDefault="00DD646E">
      <w:pPr>
        <w:rPr>
          <w:rFonts w:ascii="Garamond" w:hAnsi="Garamond"/>
          <w:b/>
          <w:lang w:val="en-AU"/>
        </w:rPr>
      </w:pPr>
    </w:p>
    <w:p w:rsidR="00DD646E" w:rsidRPr="00DD646E" w:rsidRDefault="00DD646E" w:rsidP="00DD646E">
      <w:pPr>
        <w:rPr>
          <w:rFonts w:ascii="Garamond" w:hAnsi="Garamond"/>
          <w:lang w:val="en-AU"/>
        </w:rPr>
      </w:pPr>
      <w:r w:rsidRPr="00DD646E">
        <w:rPr>
          <w:rFonts w:ascii="Garamond" w:hAnsi="Garamond"/>
          <w:lang w:val="en-AU"/>
        </w:rPr>
        <w:t xml:space="preserve">Consultation is now open for the </w:t>
      </w:r>
      <w:r w:rsidRPr="00DD646E">
        <w:rPr>
          <w:rFonts w:ascii="Garamond" w:hAnsi="Garamond"/>
          <w:i/>
          <w:lang w:val="en-AU"/>
        </w:rPr>
        <w:t>NSQHS Standards guide for governing bodies</w:t>
      </w:r>
      <w:r w:rsidRPr="00DD646E">
        <w:rPr>
          <w:rFonts w:ascii="Garamond" w:hAnsi="Garamond"/>
          <w:lang w:val="en-AU"/>
        </w:rPr>
        <w:t>. The deadline for feedback is 22 June 2018.</w:t>
      </w:r>
    </w:p>
    <w:p w:rsidR="00DD646E" w:rsidRPr="00DD646E" w:rsidRDefault="00DD646E" w:rsidP="00DD646E">
      <w:pPr>
        <w:rPr>
          <w:rFonts w:ascii="Garamond" w:hAnsi="Garamond"/>
          <w:lang w:val="en-AU"/>
        </w:rPr>
      </w:pPr>
      <w:r w:rsidRPr="00DD646E">
        <w:rPr>
          <w:rFonts w:ascii="Garamond" w:hAnsi="Garamond"/>
          <w:lang w:val="en-AU"/>
        </w:rPr>
        <w:t xml:space="preserve"> </w:t>
      </w:r>
    </w:p>
    <w:p w:rsidR="00DD646E" w:rsidRPr="00DD646E" w:rsidRDefault="00DD646E" w:rsidP="00DD646E">
      <w:pPr>
        <w:rPr>
          <w:rFonts w:ascii="Garamond" w:hAnsi="Garamond"/>
          <w:lang w:val="en-AU"/>
        </w:rPr>
      </w:pPr>
      <w:r w:rsidRPr="00DD646E">
        <w:rPr>
          <w:rFonts w:ascii="Garamond" w:hAnsi="Garamond"/>
          <w:lang w:val="en-AU"/>
        </w:rPr>
        <w:t xml:space="preserve">The Australian Commission on Safety and Quality in Health Care is seeking feedback on the draft resources to support the National Safety and Quality Health Service (NSQHS) Standards (second edition). The resources aim to assist health service organisations to implement and prepare for assessment to the NSQHS Standards (2nd </w:t>
      </w:r>
      <w:proofErr w:type="gramStart"/>
      <w:r w:rsidRPr="00DD646E">
        <w:rPr>
          <w:rFonts w:ascii="Garamond" w:hAnsi="Garamond"/>
          <w:lang w:val="en-AU"/>
        </w:rPr>
        <w:t>ed</w:t>
      </w:r>
      <w:proofErr w:type="gramEnd"/>
      <w:r w:rsidRPr="00DD646E">
        <w:rPr>
          <w:rFonts w:ascii="Garamond" w:hAnsi="Garamond"/>
          <w:lang w:val="en-AU"/>
        </w:rPr>
        <w:t>.).</w:t>
      </w:r>
      <w:r w:rsidR="00383CA1">
        <w:rPr>
          <w:rFonts w:ascii="Garamond" w:hAnsi="Garamond"/>
          <w:lang w:val="en-AU"/>
        </w:rPr>
        <w:t xml:space="preserve"> </w:t>
      </w:r>
      <w:r w:rsidRPr="00DD646E">
        <w:rPr>
          <w:rFonts w:ascii="Garamond" w:hAnsi="Garamond"/>
          <w:lang w:val="en-AU"/>
        </w:rPr>
        <w:t>Your feedback will help ensure that this resource is useful, easy to understand, and applicable to you and your organisation.</w:t>
      </w:r>
    </w:p>
    <w:p w:rsidR="00DD646E" w:rsidRPr="00DD646E" w:rsidRDefault="00DD646E" w:rsidP="00DD646E">
      <w:pPr>
        <w:rPr>
          <w:rFonts w:ascii="Garamond" w:hAnsi="Garamond"/>
          <w:lang w:val="en-AU"/>
        </w:rPr>
      </w:pPr>
      <w:r w:rsidRPr="00DD646E">
        <w:rPr>
          <w:rFonts w:ascii="Garamond" w:hAnsi="Garamond"/>
          <w:lang w:val="en-AU"/>
        </w:rPr>
        <w:t xml:space="preserve"> </w:t>
      </w:r>
    </w:p>
    <w:p w:rsidR="00DD646E" w:rsidRDefault="00DD646E" w:rsidP="00DD646E">
      <w:pPr>
        <w:rPr>
          <w:rFonts w:ascii="Garamond" w:hAnsi="Garamond"/>
          <w:lang w:val="en-AU"/>
        </w:rPr>
      </w:pPr>
      <w:r>
        <w:rPr>
          <w:rFonts w:ascii="Garamond" w:hAnsi="Garamond"/>
          <w:lang w:val="en-AU"/>
        </w:rPr>
        <w:t>T</w:t>
      </w:r>
      <w:r w:rsidR="00383CA1">
        <w:rPr>
          <w:rFonts w:ascii="Garamond" w:hAnsi="Garamond"/>
          <w:lang w:val="en-AU"/>
        </w:rPr>
        <w:t>o</w:t>
      </w:r>
      <w:r w:rsidRPr="00DD646E">
        <w:rPr>
          <w:rFonts w:ascii="Garamond" w:hAnsi="Garamond"/>
          <w:lang w:val="en-AU"/>
        </w:rPr>
        <w:t xml:space="preserve"> view or download the user guide, consultation questions and instructions for submitting a response online or by email, mail or fax</w:t>
      </w:r>
      <w:r>
        <w:rPr>
          <w:rFonts w:ascii="Garamond" w:hAnsi="Garamond"/>
          <w:lang w:val="en-AU"/>
        </w:rPr>
        <w:t>, see</w:t>
      </w:r>
      <w:r w:rsidRPr="00DD646E">
        <w:rPr>
          <w:rFonts w:ascii="Garamond" w:hAnsi="Garamond"/>
          <w:lang w:val="en-AU"/>
        </w:rPr>
        <w:t xml:space="preserve"> </w:t>
      </w:r>
      <w:hyperlink r:id="rId17" w:history="1">
        <w:r w:rsidRPr="005A481F">
          <w:rPr>
            <w:rStyle w:val="Hyperlink"/>
            <w:rFonts w:ascii="Garamond" w:hAnsi="Garamond"/>
            <w:lang w:val="en-AU"/>
          </w:rPr>
          <w:t>www.safetyandquality.gov.au/consultations</w:t>
        </w:r>
      </w:hyperlink>
    </w:p>
    <w:p w:rsidR="00DD646E" w:rsidRPr="00DD646E" w:rsidRDefault="00DD646E" w:rsidP="00DD646E">
      <w:pPr>
        <w:rPr>
          <w:rFonts w:ascii="Garamond" w:hAnsi="Garamond"/>
          <w:lang w:val="en-AU"/>
        </w:rPr>
      </w:pPr>
      <w:r w:rsidRPr="00DD646E">
        <w:rPr>
          <w:rFonts w:ascii="Garamond" w:hAnsi="Garamond"/>
          <w:lang w:val="en-AU"/>
        </w:rPr>
        <w:t xml:space="preserve"> </w:t>
      </w:r>
    </w:p>
    <w:p w:rsidR="00DD646E" w:rsidRPr="00DD646E" w:rsidRDefault="00DD646E" w:rsidP="00DD646E">
      <w:pPr>
        <w:rPr>
          <w:rFonts w:ascii="Garamond" w:hAnsi="Garamond"/>
          <w:lang w:val="en-AU"/>
        </w:rPr>
      </w:pPr>
      <w:r w:rsidRPr="00DD646E">
        <w:rPr>
          <w:rFonts w:ascii="Garamond" w:hAnsi="Garamond"/>
          <w:lang w:val="en-AU"/>
        </w:rPr>
        <w:t>You are invited to circulate this email to your contacts who may be interested in reviewing this resource and providing feedback.</w:t>
      </w:r>
    </w:p>
    <w:p w:rsidR="00DD646E" w:rsidRPr="00DD646E" w:rsidRDefault="00DD646E" w:rsidP="00DD646E">
      <w:pPr>
        <w:rPr>
          <w:rFonts w:ascii="Garamond" w:hAnsi="Garamond"/>
          <w:lang w:val="en-AU"/>
        </w:rPr>
      </w:pPr>
      <w:r w:rsidRPr="00DD646E">
        <w:rPr>
          <w:rFonts w:ascii="Garamond" w:hAnsi="Garamond"/>
          <w:lang w:val="en-AU"/>
        </w:rPr>
        <w:t xml:space="preserve"> </w:t>
      </w:r>
    </w:p>
    <w:p w:rsidR="00DD646E" w:rsidRDefault="00DD646E" w:rsidP="00DD646E">
      <w:pPr>
        <w:rPr>
          <w:rFonts w:ascii="Garamond" w:hAnsi="Garamond"/>
          <w:lang w:val="en-AU"/>
        </w:rPr>
      </w:pPr>
      <w:r w:rsidRPr="00DD646E">
        <w:rPr>
          <w:rFonts w:ascii="Garamond" w:hAnsi="Garamond"/>
          <w:lang w:val="en-AU"/>
        </w:rPr>
        <w:t>The NSQHS Standards (2nd ed.) and implementation resources are available on the Commission’s website</w:t>
      </w:r>
      <w:r>
        <w:rPr>
          <w:rFonts w:ascii="Garamond" w:hAnsi="Garamond"/>
          <w:lang w:val="en-AU"/>
        </w:rPr>
        <w:t xml:space="preserve"> at</w:t>
      </w:r>
      <w:r w:rsidRPr="00DD646E">
        <w:rPr>
          <w:rFonts w:ascii="Garamond" w:hAnsi="Garamond"/>
          <w:lang w:val="en-AU"/>
        </w:rPr>
        <w:t xml:space="preserve"> </w:t>
      </w:r>
      <w:hyperlink r:id="rId18" w:history="1">
        <w:r w:rsidRPr="005A481F">
          <w:rPr>
            <w:rStyle w:val="Hyperlink"/>
            <w:rFonts w:ascii="Garamond" w:hAnsi="Garamond"/>
            <w:lang w:val="en-AU"/>
          </w:rPr>
          <w:t>www.safetyandquality.gov.au/second-edition</w:t>
        </w:r>
      </w:hyperlink>
    </w:p>
    <w:p w:rsidR="00DD646E" w:rsidRPr="00DD646E" w:rsidRDefault="00DD646E" w:rsidP="00DD646E">
      <w:pPr>
        <w:rPr>
          <w:rFonts w:ascii="Garamond" w:hAnsi="Garamond"/>
          <w:lang w:val="en-AU"/>
        </w:rPr>
      </w:pPr>
    </w:p>
    <w:p w:rsidR="00DD646E" w:rsidRPr="00DD646E" w:rsidRDefault="00DD646E" w:rsidP="00DD646E">
      <w:pPr>
        <w:rPr>
          <w:rFonts w:ascii="Garamond" w:hAnsi="Garamond"/>
          <w:lang w:val="en-AU"/>
        </w:rPr>
      </w:pPr>
      <w:r>
        <w:rPr>
          <w:rFonts w:ascii="Garamond" w:hAnsi="Garamond"/>
          <w:lang w:val="en-AU"/>
        </w:rPr>
        <w:t>Q</w:t>
      </w:r>
      <w:r w:rsidRPr="00DD646E">
        <w:rPr>
          <w:rFonts w:ascii="Garamond" w:hAnsi="Garamond"/>
          <w:lang w:val="en-AU"/>
        </w:rPr>
        <w:t>uestions regarding the public consultation on these resources can be addressed to the Commission on 1800 304 056 or at NSQHSstandards@safetyandquality.gov.au.</w:t>
      </w:r>
    </w:p>
    <w:p w:rsidR="00282D29" w:rsidRDefault="00282D29">
      <w:pPr>
        <w:rPr>
          <w:rFonts w:ascii="Garamond" w:hAnsi="Garamond"/>
          <w:b/>
          <w:lang w:val="en-AU"/>
        </w:rPr>
      </w:pPr>
      <w:r>
        <w:rPr>
          <w:rFonts w:ascii="Garamond" w:hAnsi="Garamond"/>
          <w:b/>
          <w:lang w:val="en-AU"/>
        </w:rPr>
        <w:lastRenderedPageBreak/>
        <w:t>Reports</w:t>
      </w:r>
    </w:p>
    <w:p w:rsidR="00282D29" w:rsidRDefault="00282D29" w:rsidP="00282D29">
      <w:pPr>
        <w:rPr>
          <w:rFonts w:ascii="Garamond" w:hAnsi="Garamond"/>
          <w:b/>
          <w:lang w:val="en-AU"/>
        </w:rPr>
      </w:pPr>
    </w:p>
    <w:p w:rsidR="00210A87" w:rsidRPr="00210A87" w:rsidRDefault="00210A87" w:rsidP="00210A87">
      <w:pPr>
        <w:keepNext/>
        <w:keepLines/>
        <w:autoSpaceDE w:val="0"/>
        <w:autoSpaceDN w:val="0"/>
        <w:adjustRightInd w:val="0"/>
        <w:rPr>
          <w:rFonts w:ascii="Garamond" w:hAnsi="Garamond"/>
          <w:i/>
          <w:lang w:val="en-AU"/>
        </w:rPr>
      </w:pPr>
      <w:r w:rsidRPr="00210A87">
        <w:rPr>
          <w:rFonts w:ascii="Garamond" w:hAnsi="Garamond"/>
          <w:i/>
          <w:lang w:val="en-AU"/>
        </w:rPr>
        <w:t>Creating Safer, Better Health Care – The impact of the National Safety and Quality Health Service Standards</w:t>
      </w:r>
    </w:p>
    <w:p w:rsidR="00210A87" w:rsidRDefault="00210A87" w:rsidP="00210A87">
      <w:pPr>
        <w:keepNext/>
        <w:keepLines/>
        <w:autoSpaceDE w:val="0"/>
        <w:autoSpaceDN w:val="0"/>
        <w:adjustRightInd w:val="0"/>
        <w:rPr>
          <w:rFonts w:ascii="Garamond" w:hAnsi="Garamond"/>
          <w:lang w:val="en-AU"/>
        </w:rPr>
      </w:pPr>
      <w:r w:rsidRPr="00210A87">
        <w:rPr>
          <w:rFonts w:ascii="Garamond" w:hAnsi="Garamond"/>
          <w:lang w:val="en-AU"/>
        </w:rPr>
        <w:t>Australian Commission on Safety and Quality in Health Care</w:t>
      </w:r>
    </w:p>
    <w:p w:rsidR="00210A87" w:rsidRPr="00E566B0" w:rsidRDefault="00210A87" w:rsidP="00210A87">
      <w:pPr>
        <w:keepNext/>
        <w:keepLines/>
        <w:autoSpaceDE w:val="0"/>
        <w:autoSpaceDN w:val="0"/>
        <w:adjustRightInd w:val="0"/>
        <w:rPr>
          <w:rFonts w:ascii="Garamond" w:hAnsi="Garamond"/>
          <w:lang w:val="en-AU"/>
        </w:rPr>
      </w:pPr>
      <w:r w:rsidRPr="00210A87">
        <w:rPr>
          <w:rFonts w:ascii="Garamond" w:hAnsi="Garamond"/>
          <w:lang w:val="en-AU"/>
        </w:rPr>
        <w:t xml:space="preserve">Sydney: ACSQHC; 2018. </w:t>
      </w:r>
      <w:proofErr w:type="gramStart"/>
      <w:r w:rsidRPr="00210A87">
        <w:rPr>
          <w:rFonts w:ascii="Garamond" w:hAnsi="Garamond"/>
          <w:lang w:val="en-AU"/>
        </w:rPr>
        <w:t>80 p.</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D92A9D" w:rsidRPr="000170DA" w:rsidTr="00901903">
        <w:tc>
          <w:tcPr>
            <w:tcW w:w="1080" w:type="dxa"/>
            <w:tcBorders>
              <w:top w:val="single" w:sz="4" w:space="0" w:color="auto"/>
              <w:left w:val="single" w:sz="4" w:space="0" w:color="auto"/>
              <w:bottom w:val="single" w:sz="4" w:space="0" w:color="auto"/>
              <w:right w:val="single" w:sz="4" w:space="0" w:color="auto"/>
            </w:tcBorders>
            <w:vAlign w:val="center"/>
          </w:tcPr>
          <w:p w:rsidR="00D92A9D" w:rsidRPr="000170DA" w:rsidRDefault="00D92A9D" w:rsidP="00901903">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10A87" w:rsidRPr="000170DA" w:rsidRDefault="00B0188A" w:rsidP="00210A87">
            <w:pPr>
              <w:rPr>
                <w:rStyle w:val="Hyperlink"/>
                <w:rFonts w:ascii="Garamond" w:hAnsi="Garamond"/>
                <w:color w:val="auto"/>
                <w:u w:val="none"/>
                <w:lang w:val="en-AU"/>
              </w:rPr>
            </w:pPr>
            <w:hyperlink r:id="rId19" w:history="1">
              <w:r w:rsidR="00210A87" w:rsidRPr="005A481F">
                <w:rPr>
                  <w:rStyle w:val="Hyperlink"/>
                  <w:rFonts w:ascii="Garamond" w:hAnsi="Garamond"/>
                  <w:lang w:val="en-AU"/>
                </w:rPr>
                <w:t>https://www.safetyandquality.gov.au/our-work/assessment-to-the-nsqhs-standards/the-impact-of-the-nsqhs-standards/</w:t>
              </w:r>
            </w:hyperlink>
          </w:p>
        </w:tc>
      </w:tr>
      <w:tr w:rsidR="00D92A9D" w:rsidRPr="000170DA" w:rsidTr="00901903">
        <w:tc>
          <w:tcPr>
            <w:tcW w:w="1080" w:type="dxa"/>
            <w:tcBorders>
              <w:top w:val="single" w:sz="4" w:space="0" w:color="auto"/>
              <w:left w:val="single" w:sz="4" w:space="0" w:color="auto"/>
              <w:bottom w:val="single" w:sz="4" w:space="0" w:color="auto"/>
              <w:right w:val="single" w:sz="4" w:space="0" w:color="auto"/>
            </w:tcBorders>
            <w:vAlign w:val="center"/>
          </w:tcPr>
          <w:p w:rsidR="00D92A9D" w:rsidRPr="000170DA" w:rsidRDefault="00D92A9D" w:rsidP="0090190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41BA3" w:rsidRPr="000365E9" w:rsidRDefault="004A15AB" w:rsidP="00BB66DB">
            <w:pPr>
              <w:keepNext/>
              <w:keepLines/>
              <w:autoSpaceDE w:val="0"/>
              <w:autoSpaceDN w:val="0"/>
              <w:adjustRightInd w:val="0"/>
              <w:rPr>
                <w:rFonts w:ascii="Garamond" w:hAnsi="Garamond"/>
                <w:lang w:val="en-AU"/>
              </w:rPr>
            </w:pPr>
            <w:r>
              <w:rPr>
                <w:rFonts w:ascii="Garamond" w:hAnsi="Garamond"/>
                <w:noProof/>
                <w:lang w:val="en-AU" w:eastAsia="en-AU"/>
              </w:rPr>
              <w:drawing>
                <wp:anchor distT="0" distB="0" distL="114300" distR="114300" simplePos="0" relativeHeight="251660288" behindDoc="1" locked="0" layoutInCell="1" allowOverlap="1" wp14:anchorId="2BFB775D" wp14:editId="691F01A0">
                  <wp:simplePos x="0" y="0"/>
                  <wp:positionH relativeFrom="column">
                    <wp:posOffset>2532380</wp:posOffset>
                  </wp:positionH>
                  <wp:positionV relativeFrom="paragraph">
                    <wp:posOffset>24130</wp:posOffset>
                  </wp:positionV>
                  <wp:extent cx="2637790" cy="3712845"/>
                  <wp:effectExtent l="0" t="0" r="0" b="1905"/>
                  <wp:wrapSquare wrapText="bothSides"/>
                  <wp:docPr id="1" name="Picture 1" descr="\\central.health\dfsuserenv\Users\User_07\JOHNNI\Downloads\NSQHS-Impact-Report-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NSQHS-Impact-Report-Cover.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37790" cy="3712845"/>
                          </a:xfrm>
                          <a:prstGeom prst="rect">
                            <a:avLst/>
                          </a:prstGeom>
                          <a:noFill/>
                          <a:ln>
                            <a:noFill/>
                          </a:ln>
                        </pic:spPr>
                      </pic:pic>
                    </a:graphicData>
                  </a:graphic>
                  <wp14:sizeRelH relativeFrom="page">
                    <wp14:pctWidth>0</wp14:pctWidth>
                  </wp14:sizeRelH>
                  <wp14:sizeRelV relativeFrom="page">
                    <wp14:pctHeight>0</wp14:pctHeight>
                  </wp14:sizeRelV>
                </wp:anchor>
              </w:drawing>
            </w:r>
            <w:r w:rsidR="00210A87" w:rsidRPr="00210A87">
              <w:rPr>
                <w:rFonts w:ascii="Garamond" w:hAnsi="Garamond"/>
                <w:lang w:val="en-AU"/>
              </w:rPr>
              <w:t xml:space="preserve">The Australian Commission on Safety and Quality in Health Care </w:t>
            </w:r>
            <w:r w:rsidR="00210A87">
              <w:rPr>
                <w:rFonts w:ascii="Garamond" w:hAnsi="Garamond"/>
                <w:lang w:val="en-AU"/>
              </w:rPr>
              <w:t xml:space="preserve">has </w:t>
            </w:r>
            <w:r w:rsidR="00210A87" w:rsidRPr="00210A87">
              <w:rPr>
                <w:rFonts w:ascii="Garamond" w:hAnsi="Garamond"/>
                <w:lang w:val="en-AU"/>
              </w:rPr>
              <w:t xml:space="preserve">produced the </w:t>
            </w:r>
            <w:r w:rsidR="00210A87" w:rsidRPr="00210A87">
              <w:rPr>
                <w:rFonts w:ascii="Garamond" w:hAnsi="Garamond"/>
                <w:i/>
                <w:lang w:val="en-AU"/>
              </w:rPr>
              <w:t>Creating Safer, Better Health Care – The impact of the National Safety and Quality Health Service Standards</w:t>
            </w:r>
            <w:r w:rsidR="00210A87">
              <w:rPr>
                <w:rFonts w:ascii="Garamond" w:hAnsi="Garamond"/>
                <w:i/>
                <w:lang w:val="en-AU"/>
              </w:rPr>
              <w:t xml:space="preserve"> </w:t>
            </w:r>
            <w:r w:rsidR="00210A87">
              <w:rPr>
                <w:rFonts w:ascii="Garamond" w:hAnsi="Garamond"/>
                <w:lang w:val="en-AU"/>
              </w:rPr>
              <w:t>r</w:t>
            </w:r>
            <w:r w:rsidR="00210A87" w:rsidRPr="00210A87">
              <w:rPr>
                <w:rFonts w:ascii="Garamond" w:hAnsi="Garamond"/>
                <w:lang w:val="en-AU"/>
              </w:rPr>
              <w:t>eport to provide an overview of the changes associated with implementation of the first edition of the NSQHS Standards</w:t>
            </w:r>
            <w:r w:rsidR="00210A87">
              <w:rPr>
                <w:rFonts w:ascii="Garamond" w:hAnsi="Garamond"/>
                <w:lang w:val="en-AU"/>
              </w:rPr>
              <w:t xml:space="preserve">. The report </w:t>
            </w:r>
            <w:r w:rsidR="00210A87" w:rsidRPr="00210A87">
              <w:rPr>
                <w:rFonts w:ascii="Garamond" w:hAnsi="Garamond"/>
                <w:lang w:val="en-AU"/>
              </w:rPr>
              <w:t>identifies areas where improvements have been made, as well as where further work is needed. It also documents associations between the implementation of the NSQHS Standards and improvements in healthcare processes and outcomes, and demonstrates that the scale and range of the associated improvements are significant.</w:t>
            </w:r>
          </w:p>
        </w:tc>
      </w:tr>
    </w:tbl>
    <w:p w:rsidR="00D92A9D" w:rsidRDefault="00D92A9D" w:rsidP="00D92A9D">
      <w:pPr>
        <w:keepLines/>
        <w:autoSpaceDE w:val="0"/>
        <w:autoSpaceDN w:val="0"/>
        <w:adjustRightInd w:val="0"/>
        <w:rPr>
          <w:rFonts w:ascii="Garamond" w:hAnsi="Garamond"/>
          <w:lang w:val="en-AU"/>
        </w:rPr>
      </w:pPr>
    </w:p>
    <w:p w:rsidR="009066FA" w:rsidRPr="002F13DF" w:rsidRDefault="002F13DF" w:rsidP="002F13DF">
      <w:pPr>
        <w:keepNext/>
        <w:keepLines/>
        <w:autoSpaceDE w:val="0"/>
        <w:autoSpaceDN w:val="0"/>
        <w:adjustRightInd w:val="0"/>
        <w:rPr>
          <w:rFonts w:ascii="Garamond" w:hAnsi="Garamond"/>
          <w:i/>
          <w:lang w:val="en-AU"/>
        </w:rPr>
      </w:pPr>
      <w:r w:rsidRPr="002F13DF">
        <w:rPr>
          <w:rFonts w:ascii="Garamond" w:hAnsi="Garamond"/>
          <w:i/>
          <w:lang w:val="en-AU"/>
        </w:rPr>
        <w:t>Briefing: Emergency hospital admissions in England: which may be avoidable and how?</w:t>
      </w:r>
    </w:p>
    <w:p w:rsidR="002F13DF" w:rsidRDefault="002F13DF" w:rsidP="002F13DF">
      <w:pPr>
        <w:keepNext/>
        <w:keepLines/>
        <w:autoSpaceDE w:val="0"/>
        <w:autoSpaceDN w:val="0"/>
        <w:adjustRightInd w:val="0"/>
        <w:rPr>
          <w:rFonts w:ascii="Garamond" w:hAnsi="Garamond"/>
          <w:lang w:val="en-AU"/>
        </w:rPr>
      </w:pPr>
      <w:r w:rsidRPr="002F13DF">
        <w:rPr>
          <w:rFonts w:ascii="Garamond" w:hAnsi="Garamond"/>
          <w:lang w:val="en-AU"/>
        </w:rPr>
        <w:t>Steventon A, Deeny S, Friebel R, Gardner T, Thorlby R</w:t>
      </w:r>
    </w:p>
    <w:p w:rsidR="002F13DF" w:rsidRPr="00E566B0" w:rsidRDefault="002F13DF" w:rsidP="002F13DF">
      <w:pPr>
        <w:keepNext/>
        <w:keepLines/>
        <w:autoSpaceDE w:val="0"/>
        <w:autoSpaceDN w:val="0"/>
        <w:adjustRightInd w:val="0"/>
        <w:rPr>
          <w:rFonts w:ascii="Garamond" w:hAnsi="Garamond"/>
          <w:lang w:val="en-AU"/>
        </w:rPr>
      </w:pPr>
      <w:r w:rsidRPr="002F13DF">
        <w:rPr>
          <w:rFonts w:ascii="Garamond" w:hAnsi="Garamond"/>
          <w:lang w:val="en-AU"/>
        </w:rPr>
        <w:t xml:space="preserve">London: The Health Foundation; 2018. </w:t>
      </w:r>
      <w:proofErr w:type="gramStart"/>
      <w:r w:rsidRPr="002F13DF">
        <w:rPr>
          <w:rFonts w:ascii="Garamond" w:hAnsi="Garamond"/>
          <w:lang w:val="en-AU"/>
        </w:rPr>
        <w:t>p. 21.</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9066FA" w:rsidRPr="000170DA" w:rsidTr="00142C12">
        <w:tc>
          <w:tcPr>
            <w:tcW w:w="1080" w:type="dxa"/>
            <w:tcBorders>
              <w:top w:val="single" w:sz="4" w:space="0" w:color="auto"/>
              <w:left w:val="single" w:sz="4" w:space="0" w:color="auto"/>
              <w:bottom w:val="single" w:sz="4" w:space="0" w:color="auto"/>
              <w:right w:val="single" w:sz="4" w:space="0" w:color="auto"/>
            </w:tcBorders>
            <w:vAlign w:val="center"/>
          </w:tcPr>
          <w:p w:rsidR="009066FA" w:rsidRPr="000170DA" w:rsidRDefault="009066FA" w:rsidP="00142C12">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066FA" w:rsidRPr="000170DA" w:rsidRDefault="00B0188A" w:rsidP="00142C12">
            <w:pPr>
              <w:rPr>
                <w:rStyle w:val="Hyperlink"/>
                <w:rFonts w:ascii="Garamond" w:hAnsi="Garamond"/>
                <w:color w:val="auto"/>
                <w:u w:val="none"/>
                <w:lang w:val="en-AU"/>
              </w:rPr>
            </w:pPr>
            <w:hyperlink r:id="rId21" w:history="1">
              <w:r w:rsidR="002F13DF" w:rsidRPr="0039044B">
                <w:rPr>
                  <w:rStyle w:val="Hyperlink"/>
                  <w:rFonts w:ascii="Garamond" w:hAnsi="Garamond"/>
                  <w:lang w:val="en-AU"/>
                </w:rPr>
                <w:t>https://www.health.org.uk/publication/emergency-hospital-admissions-england-which-may-be-avoidable-and-how</w:t>
              </w:r>
            </w:hyperlink>
          </w:p>
        </w:tc>
      </w:tr>
      <w:tr w:rsidR="009066FA" w:rsidRPr="000170DA" w:rsidTr="00142C12">
        <w:tc>
          <w:tcPr>
            <w:tcW w:w="1080" w:type="dxa"/>
            <w:tcBorders>
              <w:top w:val="single" w:sz="4" w:space="0" w:color="auto"/>
              <w:left w:val="single" w:sz="4" w:space="0" w:color="auto"/>
              <w:bottom w:val="single" w:sz="4" w:space="0" w:color="auto"/>
              <w:right w:val="single" w:sz="4" w:space="0" w:color="auto"/>
            </w:tcBorders>
            <w:vAlign w:val="center"/>
          </w:tcPr>
          <w:p w:rsidR="009066FA" w:rsidRPr="000170DA" w:rsidRDefault="009066FA" w:rsidP="00142C1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066FA" w:rsidRDefault="002F13DF" w:rsidP="00142C12">
            <w:pPr>
              <w:rPr>
                <w:rFonts w:ascii="Garamond" w:hAnsi="Garamond"/>
                <w:lang w:val="en-AU"/>
              </w:rPr>
            </w:pPr>
            <w:r>
              <w:rPr>
                <w:rFonts w:ascii="Garamond" w:hAnsi="Garamond"/>
                <w:lang w:val="en-AU"/>
              </w:rPr>
              <w:t xml:space="preserve">The Health Foundation in the UK has published the briefing that describes some of the </w:t>
            </w:r>
            <w:r w:rsidRPr="002F13DF">
              <w:rPr>
                <w:rFonts w:ascii="Garamond" w:hAnsi="Garamond"/>
                <w:lang w:val="en-AU"/>
              </w:rPr>
              <w:t>trends in emergency admissions over the past decade and reviews some of the interventions aimed at reducing them.</w:t>
            </w:r>
            <w:r>
              <w:rPr>
                <w:rFonts w:ascii="Garamond" w:hAnsi="Garamond"/>
                <w:lang w:val="en-AU"/>
              </w:rPr>
              <w:t xml:space="preserve"> Among the key findings are:</w:t>
            </w:r>
          </w:p>
          <w:p w:rsidR="002F13DF" w:rsidRPr="002F13DF" w:rsidRDefault="002F13DF" w:rsidP="002F13DF">
            <w:pPr>
              <w:pStyle w:val="ListParagraph"/>
              <w:numPr>
                <w:ilvl w:val="0"/>
                <w:numId w:val="44"/>
              </w:numPr>
              <w:rPr>
                <w:rFonts w:ascii="Garamond" w:hAnsi="Garamond"/>
                <w:lang w:val="en-AU"/>
              </w:rPr>
            </w:pPr>
            <w:r w:rsidRPr="002F13DF">
              <w:rPr>
                <w:rFonts w:ascii="Garamond" w:hAnsi="Garamond"/>
                <w:lang w:val="en-AU"/>
              </w:rPr>
              <w:t>One in three patients admitted to hospital in England as an emergency in 2015/16 had five or more health conditions, such as heart disease, stroke, type 2 diabetes, dehydration, hip fracture or dementia.</w:t>
            </w:r>
          </w:p>
          <w:p w:rsidR="002F13DF" w:rsidRDefault="002F13DF" w:rsidP="002F13DF">
            <w:pPr>
              <w:pStyle w:val="ListParagraph"/>
              <w:numPr>
                <w:ilvl w:val="0"/>
                <w:numId w:val="44"/>
              </w:numPr>
              <w:rPr>
                <w:rFonts w:ascii="Garamond" w:hAnsi="Garamond"/>
                <w:lang w:val="en-AU"/>
              </w:rPr>
            </w:pPr>
            <w:r w:rsidRPr="002F13DF">
              <w:rPr>
                <w:rFonts w:ascii="Garamond" w:hAnsi="Garamond"/>
                <w:lang w:val="en-AU"/>
              </w:rPr>
              <w:t xml:space="preserve">The number of patients admitted urgently to hospital has increased by 42% over the past decade. </w:t>
            </w:r>
            <w:r>
              <w:rPr>
                <w:rFonts w:ascii="Garamond" w:hAnsi="Garamond"/>
                <w:lang w:val="en-AU"/>
              </w:rPr>
              <w:t>Total A&amp;E department attendances are up 13%.</w:t>
            </w:r>
          </w:p>
          <w:p w:rsidR="002F13DF" w:rsidRDefault="002F13DF" w:rsidP="002F13DF">
            <w:pPr>
              <w:pStyle w:val="ListParagraph"/>
              <w:numPr>
                <w:ilvl w:val="0"/>
                <w:numId w:val="44"/>
              </w:numPr>
              <w:rPr>
                <w:rFonts w:ascii="Garamond" w:hAnsi="Garamond"/>
                <w:lang w:val="en-AU"/>
              </w:rPr>
            </w:pPr>
            <w:r w:rsidRPr="002F13DF">
              <w:rPr>
                <w:rFonts w:ascii="Garamond" w:hAnsi="Garamond"/>
                <w:lang w:val="en-AU"/>
              </w:rPr>
              <w:lastRenderedPageBreak/>
              <w:t>Patients arriving at A&amp;E are sicker than ever before, and more likely to need admission. This has grown for patients with multiple health conditions, as well as for older patients aged 85 or over, up by 58.9%.</w:t>
            </w:r>
          </w:p>
          <w:p w:rsidR="002F13DF" w:rsidRDefault="002F13DF" w:rsidP="002F13DF">
            <w:pPr>
              <w:pStyle w:val="ListParagraph"/>
              <w:numPr>
                <w:ilvl w:val="0"/>
                <w:numId w:val="44"/>
              </w:numPr>
              <w:rPr>
                <w:rFonts w:ascii="Garamond" w:hAnsi="Garamond"/>
                <w:lang w:val="en-AU"/>
              </w:rPr>
            </w:pPr>
            <w:r w:rsidRPr="002F13DF">
              <w:rPr>
                <w:rFonts w:ascii="Garamond" w:hAnsi="Garamond"/>
                <w:lang w:val="en-AU"/>
              </w:rPr>
              <w:t>Hospitals are treating patients more quickly, with overnight stays for those with five or more conditions lasting 10.8 nights in 2015/16 compared with 15.8 days a decade previously.</w:t>
            </w:r>
          </w:p>
          <w:p w:rsidR="002F13DF" w:rsidRPr="002F13DF" w:rsidRDefault="002F13DF" w:rsidP="002F13DF">
            <w:pPr>
              <w:pStyle w:val="ListParagraph"/>
              <w:numPr>
                <w:ilvl w:val="0"/>
                <w:numId w:val="44"/>
              </w:numPr>
              <w:rPr>
                <w:rFonts w:ascii="Garamond" w:hAnsi="Garamond"/>
                <w:lang w:val="en-AU"/>
              </w:rPr>
            </w:pPr>
            <w:r w:rsidRPr="002F13DF">
              <w:rPr>
                <w:rFonts w:ascii="Garamond" w:hAnsi="Garamond"/>
                <w:lang w:val="en-AU"/>
              </w:rPr>
              <w:t xml:space="preserve">The </w:t>
            </w:r>
            <w:proofErr w:type="gramStart"/>
            <w:r w:rsidRPr="002F13DF">
              <w:rPr>
                <w:rFonts w:ascii="Garamond" w:hAnsi="Garamond"/>
                <w:lang w:val="en-AU"/>
              </w:rPr>
              <w:t>number of these patients admitted to hospital but discharged on the same day have</w:t>
            </w:r>
            <w:proofErr w:type="gramEnd"/>
            <w:r w:rsidRPr="002F13DF">
              <w:rPr>
                <w:rFonts w:ascii="Garamond" w:hAnsi="Garamond"/>
                <w:lang w:val="en-AU"/>
              </w:rPr>
              <w:t xml:space="preserve"> increased by 373% over the same period.</w:t>
            </w:r>
          </w:p>
          <w:p w:rsidR="002F13DF" w:rsidRPr="002F13DF" w:rsidRDefault="002F13DF" w:rsidP="002F13DF">
            <w:pPr>
              <w:rPr>
                <w:rFonts w:ascii="Garamond" w:hAnsi="Garamond"/>
                <w:lang w:val="en-AU"/>
              </w:rPr>
            </w:pPr>
            <w:r w:rsidRPr="002F13DF">
              <w:rPr>
                <w:rFonts w:ascii="Garamond" w:hAnsi="Garamond"/>
                <w:lang w:val="en-AU"/>
              </w:rPr>
              <w:t>The briefing also identifies opportunities to reduce emergency admissions including:</w:t>
            </w:r>
          </w:p>
          <w:p w:rsidR="002F13DF" w:rsidRPr="002F13DF" w:rsidRDefault="002F13DF" w:rsidP="002F13DF">
            <w:pPr>
              <w:pStyle w:val="ListParagraph"/>
              <w:numPr>
                <w:ilvl w:val="0"/>
                <w:numId w:val="45"/>
              </w:numPr>
              <w:rPr>
                <w:rFonts w:ascii="Garamond" w:hAnsi="Garamond"/>
                <w:lang w:val="en-AU"/>
              </w:rPr>
            </w:pPr>
            <w:r w:rsidRPr="002F13DF">
              <w:rPr>
                <w:rFonts w:ascii="Garamond" w:hAnsi="Garamond"/>
                <w:lang w:val="en-AU"/>
              </w:rPr>
              <w:t>14% of all emergency admissions are for ‘ambulatory sensitive’ conditions – conditions where timely and effective primary care could reduce the likelihood of admission.</w:t>
            </w:r>
          </w:p>
          <w:p w:rsidR="002F13DF" w:rsidRPr="002F13DF" w:rsidRDefault="002F13DF" w:rsidP="002F13DF">
            <w:pPr>
              <w:pStyle w:val="ListParagraph"/>
              <w:numPr>
                <w:ilvl w:val="0"/>
                <w:numId w:val="45"/>
              </w:numPr>
              <w:rPr>
                <w:rFonts w:ascii="Garamond" w:hAnsi="Garamond"/>
                <w:lang w:val="en-AU"/>
              </w:rPr>
            </w:pPr>
            <w:r w:rsidRPr="002F13DF">
              <w:rPr>
                <w:rFonts w:ascii="Garamond" w:hAnsi="Garamond"/>
                <w:lang w:val="en-AU"/>
              </w:rPr>
              <w:t>If older patients saw their regular GP two more times out of every ten consultations, this would be associated with a 6% decrease in admissions for ambulatory sensitive conditions.</w:t>
            </w:r>
          </w:p>
          <w:p w:rsidR="002F13DF" w:rsidRPr="002F13DF" w:rsidRDefault="002F13DF" w:rsidP="002F13DF">
            <w:pPr>
              <w:pStyle w:val="ListParagraph"/>
              <w:numPr>
                <w:ilvl w:val="0"/>
                <w:numId w:val="45"/>
              </w:numPr>
              <w:rPr>
                <w:rFonts w:ascii="Garamond" w:hAnsi="Garamond"/>
                <w:lang w:val="en-AU"/>
              </w:rPr>
            </w:pPr>
            <w:r w:rsidRPr="002F13DF">
              <w:rPr>
                <w:rFonts w:ascii="Garamond" w:hAnsi="Garamond"/>
                <w:lang w:val="en-AU"/>
              </w:rPr>
              <w:t xml:space="preserve">Around 26.5% of all unplanned A&amp;E attendances in England were preceded by the patient being unable to obtain a GP appointment that was convenient to </w:t>
            </w:r>
            <w:proofErr w:type="gramStart"/>
            <w:r w:rsidRPr="002F13DF">
              <w:rPr>
                <w:rFonts w:ascii="Garamond" w:hAnsi="Garamond"/>
                <w:lang w:val="en-AU"/>
              </w:rPr>
              <w:t>them,</w:t>
            </w:r>
            <w:proofErr w:type="gramEnd"/>
            <w:r w:rsidRPr="002F13DF">
              <w:rPr>
                <w:rFonts w:ascii="Garamond" w:hAnsi="Garamond"/>
                <w:lang w:val="en-AU"/>
              </w:rPr>
              <w:t xml:space="preserve"> however few of these A&amp;E attendances will have resulted in an admission.</w:t>
            </w:r>
          </w:p>
        </w:tc>
      </w:tr>
    </w:tbl>
    <w:p w:rsidR="009066FA" w:rsidRDefault="009066FA">
      <w:pPr>
        <w:rPr>
          <w:rFonts w:ascii="Garamond" w:hAnsi="Garamond"/>
          <w:b/>
          <w:lang w:val="en-AU"/>
        </w:rPr>
      </w:pPr>
    </w:p>
    <w:p w:rsidR="00282D29" w:rsidRDefault="00282D29">
      <w:pPr>
        <w:rPr>
          <w:rFonts w:ascii="Garamond" w:hAnsi="Garamond"/>
          <w:b/>
          <w:lang w:val="en-AU"/>
        </w:rPr>
      </w:pPr>
      <w:r>
        <w:rPr>
          <w:rFonts w:ascii="Garamond" w:hAnsi="Garamond"/>
          <w:b/>
          <w:lang w:val="en-AU"/>
        </w:rPr>
        <w:t>Journal articles</w:t>
      </w:r>
    </w:p>
    <w:p w:rsidR="00282D29" w:rsidRDefault="00282D29">
      <w:pPr>
        <w:rPr>
          <w:rFonts w:ascii="Garamond" w:hAnsi="Garamond"/>
          <w:b/>
          <w:lang w:val="en-AU"/>
        </w:rPr>
      </w:pPr>
    </w:p>
    <w:p w:rsidR="006829C8" w:rsidRPr="009066FA" w:rsidRDefault="006829C8" w:rsidP="006829C8">
      <w:pPr>
        <w:keepNext/>
        <w:keepLines/>
        <w:autoSpaceDE w:val="0"/>
        <w:autoSpaceDN w:val="0"/>
        <w:adjustRightInd w:val="0"/>
        <w:rPr>
          <w:rFonts w:ascii="Garamond" w:hAnsi="Garamond"/>
          <w:i/>
          <w:lang w:val="en-AU"/>
        </w:rPr>
      </w:pPr>
      <w:r w:rsidRPr="009066FA">
        <w:rPr>
          <w:rFonts w:ascii="Garamond" w:hAnsi="Garamond"/>
          <w:i/>
          <w:lang w:val="en-AU"/>
        </w:rPr>
        <w:t>Creating space for quality improvement</w:t>
      </w:r>
    </w:p>
    <w:p w:rsidR="00936B1B" w:rsidRDefault="00936B1B" w:rsidP="00936B1B">
      <w:pPr>
        <w:keepNext/>
        <w:keepLines/>
        <w:autoSpaceDE w:val="0"/>
        <w:autoSpaceDN w:val="0"/>
        <w:adjustRightInd w:val="0"/>
        <w:rPr>
          <w:rFonts w:ascii="Garamond" w:hAnsi="Garamond"/>
          <w:lang w:val="en-AU"/>
        </w:rPr>
      </w:pPr>
      <w:r w:rsidRPr="00936B1B">
        <w:rPr>
          <w:rFonts w:ascii="Garamond" w:hAnsi="Garamond"/>
          <w:lang w:val="en-AU"/>
        </w:rPr>
        <w:t>Allwood D, Fisher R, Warburton W, Dixon J</w:t>
      </w:r>
    </w:p>
    <w:p w:rsidR="006829C8" w:rsidRPr="00936B1B" w:rsidRDefault="00936B1B" w:rsidP="00936B1B">
      <w:pPr>
        <w:keepNext/>
        <w:keepLines/>
        <w:autoSpaceDE w:val="0"/>
        <w:autoSpaceDN w:val="0"/>
        <w:adjustRightInd w:val="0"/>
        <w:rPr>
          <w:rFonts w:ascii="Garamond" w:hAnsi="Garamond"/>
          <w:lang w:val="en-AU"/>
        </w:rPr>
      </w:pPr>
      <w:proofErr w:type="gramStart"/>
      <w:r w:rsidRPr="00936B1B">
        <w:rPr>
          <w:rFonts w:ascii="Garamond" w:hAnsi="Garamond"/>
          <w:lang w:val="en-AU"/>
        </w:rPr>
        <w:t>BMJ.</w:t>
      </w:r>
      <w:proofErr w:type="gramEnd"/>
      <w:r w:rsidRPr="00936B1B">
        <w:rPr>
          <w:rFonts w:ascii="Garamond" w:hAnsi="Garamond"/>
          <w:lang w:val="en-AU"/>
        </w:rPr>
        <w:t xml:space="preserve"> 2018</w:t>
      </w:r>
      <w:proofErr w:type="gramStart"/>
      <w:r w:rsidRPr="00936B1B">
        <w:rPr>
          <w:rFonts w:ascii="Garamond" w:hAnsi="Garamond"/>
          <w:lang w:val="en-AU"/>
        </w:rPr>
        <w:t>;361:k1924</w:t>
      </w:r>
      <w:proofErr w:type="gramEnd"/>
      <w:r w:rsidRPr="00936B1B">
        <w:rPr>
          <w:rFonts w:ascii="Garamond" w:hAnsi="Garamond"/>
          <w:lang w:val="en-AU"/>
        </w:rPr>
        <w:t>.</w:t>
      </w:r>
    </w:p>
    <w:p w:rsidR="00936B1B" w:rsidRPr="00936B1B" w:rsidRDefault="00936B1B" w:rsidP="00936B1B">
      <w:pPr>
        <w:keepNext/>
        <w:keepLines/>
        <w:autoSpaceDE w:val="0"/>
        <w:autoSpaceDN w:val="0"/>
        <w:adjustRightInd w:val="0"/>
        <w:rPr>
          <w:rFonts w:ascii="Garamond" w:hAnsi="Garamond"/>
          <w:lang w:val="en-AU"/>
        </w:rPr>
      </w:pPr>
    </w:p>
    <w:p w:rsidR="006829C8" w:rsidRPr="009066FA" w:rsidRDefault="006829C8" w:rsidP="006829C8">
      <w:pPr>
        <w:keepNext/>
        <w:keepLines/>
        <w:autoSpaceDE w:val="0"/>
        <w:autoSpaceDN w:val="0"/>
        <w:adjustRightInd w:val="0"/>
        <w:rPr>
          <w:rFonts w:ascii="Garamond" w:hAnsi="Garamond"/>
          <w:i/>
          <w:lang w:val="en-AU"/>
        </w:rPr>
      </w:pPr>
      <w:r w:rsidRPr="009066FA">
        <w:rPr>
          <w:rFonts w:ascii="Garamond" w:hAnsi="Garamond"/>
          <w:i/>
          <w:lang w:val="en-AU"/>
        </w:rPr>
        <w:t>Better healthcare must mean better for patients</w:t>
      </w:r>
    </w:p>
    <w:p w:rsidR="005F19E5" w:rsidRDefault="005F19E5" w:rsidP="006829C8">
      <w:pPr>
        <w:keepNext/>
        <w:keepLines/>
        <w:autoSpaceDE w:val="0"/>
        <w:autoSpaceDN w:val="0"/>
        <w:adjustRightInd w:val="0"/>
        <w:rPr>
          <w:rFonts w:ascii="Garamond" w:hAnsi="Garamond"/>
          <w:lang w:val="en-AU"/>
        </w:rPr>
      </w:pPr>
      <w:proofErr w:type="gramStart"/>
      <w:r w:rsidRPr="005F19E5">
        <w:rPr>
          <w:rFonts w:ascii="Garamond" w:hAnsi="Garamond"/>
          <w:lang w:val="en-AU"/>
        </w:rPr>
        <w:t>de</w:t>
      </w:r>
      <w:proofErr w:type="gramEnd"/>
      <w:r w:rsidRPr="005F19E5">
        <w:rPr>
          <w:rFonts w:ascii="Garamond" w:hAnsi="Garamond"/>
          <w:lang w:val="en-AU"/>
        </w:rPr>
        <w:t xml:space="preserve"> Iongh A, Erdmann S</w:t>
      </w:r>
    </w:p>
    <w:p w:rsidR="006829C8" w:rsidRDefault="005F19E5" w:rsidP="006829C8">
      <w:pPr>
        <w:keepNext/>
        <w:keepLines/>
        <w:autoSpaceDE w:val="0"/>
        <w:autoSpaceDN w:val="0"/>
        <w:adjustRightInd w:val="0"/>
        <w:rPr>
          <w:rFonts w:ascii="Garamond" w:hAnsi="Garamond"/>
          <w:lang w:val="en-AU"/>
        </w:rPr>
      </w:pPr>
      <w:proofErr w:type="gramStart"/>
      <w:r w:rsidRPr="005F19E5">
        <w:rPr>
          <w:rFonts w:ascii="Garamond" w:hAnsi="Garamond"/>
          <w:lang w:val="en-AU"/>
        </w:rPr>
        <w:t>BMJ.</w:t>
      </w:r>
      <w:proofErr w:type="gramEnd"/>
      <w:r w:rsidRPr="005F19E5">
        <w:rPr>
          <w:rFonts w:ascii="Garamond" w:hAnsi="Garamond"/>
          <w:lang w:val="en-AU"/>
        </w:rPr>
        <w:t xml:space="preserve"> 2018</w:t>
      </w:r>
      <w:proofErr w:type="gramStart"/>
      <w:r w:rsidRPr="005F19E5">
        <w:rPr>
          <w:rFonts w:ascii="Garamond" w:hAnsi="Garamond"/>
          <w:lang w:val="en-AU"/>
        </w:rPr>
        <w:t>;361</w:t>
      </w:r>
      <w:r>
        <w:rPr>
          <w:rFonts w:ascii="Garamond" w:hAnsi="Garamond"/>
          <w:lang w:val="en-AU"/>
        </w:rPr>
        <w:t>:k1877</w:t>
      </w:r>
      <w:proofErr w:type="gramEnd"/>
      <w:r w:rsidRPr="005F19E5">
        <w:rPr>
          <w:rFonts w:ascii="Garamond" w:hAnsi="Garamond"/>
          <w:lang w:val="en-AU"/>
        </w:rPr>
        <w:t>.</w:t>
      </w:r>
    </w:p>
    <w:p w:rsidR="00936B1B" w:rsidRPr="006829C8" w:rsidRDefault="00936B1B" w:rsidP="006829C8">
      <w:pPr>
        <w:keepNext/>
        <w:keepLines/>
        <w:autoSpaceDE w:val="0"/>
        <w:autoSpaceDN w:val="0"/>
        <w:adjustRightInd w:val="0"/>
        <w:rPr>
          <w:rFonts w:ascii="Garamond" w:hAnsi="Garamond"/>
          <w:lang w:val="en-AU"/>
        </w:rPr>
      </w:pPr>
    </w:p>
    <w:p w:rsidR="00CA23D4" w:rsidRPr="009066FA" w:rsidRDefault="006829C8" w:rsidP="006829C8">
      <w:pPr>
        <w:keepNext/>
        <w:keepLines/>
        <w:autoSpaceDE w:val="0"/>
        <w:autoSpaceDN w:val="0"/>
        <w:adjustRightInd w:val="0"/>
        <w:rPr>
          <w:rFonts w:ascii="Garamond" w:hAnsi="Garamond"/>
          <w:i/>
          <w:lang w:val="en-AU"/>
        </w:rPr>
      </w:pPr>
      <w:r w:rsidRPr="009066FA">
        <w:rPr>
          <w:rFonts w:ascii="Garamond" w:hAnsi="Garamond"/>
          <w:i/>
          <w:lang w:val="en-AU"/>
        </w:rPr>
        <w:t>Changing how we think about healthcare improvement</w:t>
      </w:r>
    </w:p>
    <w:p w:rsidR="005F19E5" w:rsidRDefault="005F19E5" w:rsidP="006829C8">
      <w:pPr>
        <w:keepNext/>
        <w:keepLines/>
        <w:autoSpaceDE w:val="0"/>
        <w:autoSpaceDN w:val="0"/>
        <w:adjustRightInd w:val="0"/>
        <w:rPr>
          <w:rFonts w:ascii="Garamond" w:hAnsi="Garamond"/>
          <w:lang w:val="en-AU"/>
        </w:rPr>
      </w:pPr>
      <w:r w:rsidRPr="005F19E5">
        <w:rPr>
          <w:rFonts w:ascii="Garamond" w:hAnsi="Garamond"/>
          <w:lang w:val="en-AU"/>
        </w:rPr>
        <w:t>Braithwaite J</w:t>
      </w:r>
    </w:p>
    <w:p w:rsidR="009066FA" w:rsidRPr="00E566B0" w:rsidRDefault="005F19E5" w:rsidP="006829C8">
      <w:pPr>
        <w:keepNext/>
        <w:keepLines/>
        <w:autoSpaceDE w:val="0"/>
        <w:autoSpaceDN w:val="0"/>
        <w:adjustRightInd w:val="0"/>
        <w:rPr>
          <w:rFonts w:ascii="Garamond" w:hAnsi="Garamond"/>
          <w:lang w:val="en-AU"/>
        </w:rPr>
      </w:pPr>
      <w:proofErr w:type="gramStart"/>
      <w:r w:rsidRPr="005F19E5">
        <w:rPr>
          <w:rFonts w:ascii="Garamond" w:hAnsi="Garamond"/>
          <w:lang w:val="en-AU"/>
        </w:rPr>
        <w:t>BMJ.</w:t>
      </w:r>
      <w:proofErr w:type="gramEnd"/>
      <w:r w:rsidRPr="005F19E5">
        <w:rPr>
          <w:rFonts w:ascii="Garamond" w:hAnsi="Garamond"/>
          <w:lang w:val="en-AU"/>
        </w:rPr>
        <w:t xml:space="preserve"> 2018</w:t>
      </w:r>
      <w:proofErr w:type="gramStart"/>
      <w:r w:rsidRPr="005F19E5">
        <w:rPr>
          <w:rFonts w:ascii="Garamond" w:hAnsi="Garamond"/>
          <w:lang w:val="en-AU"/>
        </w:rPr>
        <w:t>;361:k2014</w:t>
      </w:r>
      <w:proofErr w:type="gramEnd"/>
      <w:r w:rsidRPr="005F19E5">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CA23D4" w:rsidRPr="000170DA" w:rsidTr="00901903">
        <w:tc>
          <w:tcPr>
            <w:tcW w:w="1080" w:type="dxa"/>
            <w:tcBorders>
              <w:top w:val="single" w:sz="4" w:space="0" w:color="auto"/>
              <w:left w:val="single" w:sz="4" w:space="0" w:color="auto"/>
              <w:bottom w:val="single" w:sz="4" w:space="0" w:color="auto"/>
              <w:right w:val="single" w:sz="4" w:space="0" w:color="auto"/>
            </w:tcBorders>
            <w:vAlign w:val="center"/>
          </w:tcPr>
          <w:p w:rsidR="00CA23D4" w:rsidRPr="000170DA" w:rsidRDefault="00CA23D4" w:rsidP="00901903">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A23D4" w:rsidRDefault="006829C8" w:rsidP="00901903">
            <w:pPr>
              <w:rPr>
                <w:rStyle w:val="Hyperlink"/>
                <w:rFonts w:ascii="Garamond" w:hAnsi="Garamond"/>
                <w:color w:val="auto"/>
                <w:u w:val="none"/>
                <w:lang w:val="en-AU"/>
              </w:rPr>
            </w:pPr>
            <w:r>
              <w:rPr>
                <w:rStyle w:val="Hyperlink"/>
                <w:rFonts w:ascii="Garamond" w:hAnsi="Garamond"/>
                <w:color w:val="auto"/>
                <w:u w:val="none"/>
                <w:lang w:val="en-AU"/>
              </w:rPr>
              <w:t xml:space="preserve">Allwood et al </w:t>
            </w:r>
            <w:hyperlink r:id="rId22" w:history="1">
              <w:r w:rsidRPr="0018734D">
                <w:rPr>
                  <w:rStyle w:val="Hyperlink"/>
                  <w:rFonts w:ascii="Garamond" w:hAnsi="Garamond"/>
                  <w:lang w:val="en-AU"/>
                </w:rPr>
                <w:t>https://doi.org/10.1136/bmj.k1924</w:t>
              </w:r>
            </w:hyperlink>
          </w:p>
          <w:p w:rsidR="006829C8" w:rsidRDefault="006829C8" w:rsidP="00901903">
            <w:pPr>
              <w:rPr>
                <w:rStyle w:val="Hyperlink"/>
                <w:rFonts w:ascii="Garamond" w:hAnsi="Garamond"/>
                <w:color w:val="auto"/>
                <w:u w:val="none"/>
                <w:lang w:val="en-AU"/>
              </w:rPr>
            </w:pPr>
            <w:r>
              <w:rPr>
                <w:rStyle w:val="Hyperlink"/>
                <w:rFonts w:ascii="Garamond" w:hAnsi="Garamond"/>
                <w:color w:val="auto"/>
                <w:u w:val="none"/>
                <w:lang w:val="en-AU"/>
              </w:rPr>
              <w:t xml:space="preserve">de </w:t>
            </w:r>
            <w:r w:rsidR="005F19E5">
              <w:rPr>
                <w:rStyle w:val="Hyperlink"/>
                <w:rFonts w:ascii="Garamond" w:hAnsi="Garamond"/>
                <w:color w:val="auto"/>
                <w:u w:val="none"/>
                <w:lang w:val="en-AU"/>
              </w:rPr>
              <w:t>I</w:t>
            </w:r>
            <w:r>
              <w:rPr>
                <w:rStyle w:val="Hyperlink"/>
                <w:rFonts w:ascii="Garamond" w:hAnsi="Garamond"/>
                <w:color w:val="auto"/>
                <w:u w:val="none"/>
                <w:lang w:val="en-AU"/>
              </w:rPr>
              <w:t xml:space="preserve">ongh and Erdmann </w:t>
            </w:r>
            <w:hyperlink r:id="rId23" w:history="1">
              <w:r w:rsidRPr="0018734D">
                <w:rPr>
                  <w:rStyle w:val="Hyperlink"/>
                  <w:rFonts w:ascii="Garamond" w:hAnsi="Garamond"/>
                  <w:lang w:val="en-AU"/>
                </w:rPr>
                <w:t>https://doi.org/10.1136/bmj.k1877</w:t>
              </w:r>
            </w:hyperlink>
          </w:p>
          <w:p w:rsidR="006829C8" w:rsidRPr="000170DA" w:rsidRDefault="006829C8" w:rsidP="00901903">
            <w:pPr>
              <w:rPr>
                <w:rStyle w:val="Hyperlink"/>
                <w:rFonts w:ascii="Garamond" w:hAnsi="Garamond"/>
                <w:color w:val="auto"/>
                <w:u w:val="none"/>
                <w:lang w:val="en-AU"/>
              </w:rPr>
            </w:pPr>
            <w:r>
              <w:rPr>
                <w:rStyle w:val="Hyperlink"/>
                <w:rFonts w:ascii="Garamond" w:hAnsi="Garamond"/>
                <w:color w:val="auto"/>
                <w:u w:val="none"/>
                <w:lang w:val="en-AU"/>
              </w:rPr>
              <w:t xml:space="preserve">Braithwaite </w:t>
            </w:r>
            <w:hyperlink r:id="rId24" w:history="1">
              <w:r w:rsidRPr="0018734D">
                <w:rPr>
                  <w:rStyle w:val="Hyperlink"/>
                  <w:rFonts w:ascii="Garamond" w:hAnsi="Garamond"/>
                  <w:lang w:val="en-AU"/>
                </w:rPr>
                <w:t>https://doi.org/10.1136/bmj.k2014</w:t>
              </w:r>
            </w:hyperlink>
          </w:p>
        </w:tc>
      </w:tr>
      <w:tr w:rsidR="00CA23D4" w:rsidRPr="000170DA" w:rsidTr="00901903">
        <w:tc>
          <w:tcPr>
            <w:tcW w:w="1080" w:type="dxa"/>
            <w:tcBorders>
              <w:top w:val="single" w:sz="4" w:space="0" w:color="auto"/>
              <w:left w:val="single" w:sz="4" w:space="0" w:color="auto"/>
              <w:bottom w:val="single" w:sz="4" w:space="0" w:color="auto"/>
              <w:right w:val="single" w:sz="4" w:space="0" w:color="auto"/>
            </w:tcBorders>
            <w:vAlign w:val="center"/>
          </w:tcPr>
          <w:p w:rsidR="00CA23D4" w:rsidRPr="000170DA" w:rsidRDefault="00CA23D4" w:rsidP="0090190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A23D4" w:rsidRDefault="006829C8" w:rsidP="006829C8">
            <w:pPr>
              <w:rPr>
                <w:rFonts w:ascii="Garamond" w:hAnsi="Garamond"/>
                <w:lang w:val="en-AU"/>
              </w:rPr>
            </w:pPr>
            <w:r>
              <w:rPr>
                <w:rFonts w:ascii="Garamond" w:hAnsi="Garamond"/>
                <w:lang w:val="en-AU"/>
              </w:rPr>
              <w:t xml:space="preserve">The </w:t>
            </w:r>
            <w:r w:rsidRPr="006829C8">
              <w:rPr>
                <w:rFonts w:ascii="Garamond" w:hAnsi="Garamond"/>
                <w:i/>
                <w:lang w:val="en-AU"/>
              </w:rPr>
              <w:t>BMJ</w:t>
            </w:r>
            <w:r>
              <w:rPr>
                <w:rFonts w:ascii="Garamond" w:hAnsi="Garamond"/>
                <w:lang w:val="en-AU"/>
              </w:rPr>
              <w:t xml:space="preserve"> has, in conjunction with The Health Foundation, launched a joint series of paper on how to improve the quality of healthcare delivery. These are the first papers in the series. The series is available at </w:t>
            </w:r>
            <w:hyperlink r:id="rId25" w:history="1">
              <w:r w:rsidRPr="0018734D">
                <w:rPr>
                  <w:rStyle w:val="Hyperlink"/>
                  <w:rFonts w:ascii="Garamond" w:hAnsi="Garamond"/>
                  <w:lang w:val="en-AU"/>
                </w:rPr>
                <w:t>https://www.bmj.com/quality-improvement</w:t>
              </w:r>
            </w:hyperlink>
          </w:p>
          <w:p w:rsidR="006829C8" w:rsidRDefault="00DF249D" w:rsidP="00DF249D">
            <w:pPr>
              <w:rPr>
                <w:rFonts w:ascii="Garamond" w:hAnsi="Garamond"/>
                <w:lang w:val="en-AU"/>
              </w:rPr>
            </w:pPr>
            <w:r>
              <w:rPr>
                <w:rFonts w:ascii="Garamond" w:hAnsi="Garamond"/>
                <w:lang w:val="en-AU"/>
              </w:rPr>
              <w:t xml:space="preserve">Allwood and colleagues introduce the series and its aim to ‘discuss </w:t>
            </w:r>
            <w:r w:rsidRPr="00DF249D">
              <w:rPr>
                <w:rFonts w:ascii="Garamond" w:hAnsi="Garamond"/>
                <w:lang w:val="en-AU"/>
              </w:rPr>
              <w:t xml:space="preserve">the </w:t>
            </w:r>
            <w:r w:rsidRPr="00DF249D">
              <w:rPr>
                <w:rFonts w:ascii="Garamond" w:hAnsi="Garamond"/>
                <w:b/>
                <w:lang w:val="en-AU"/>
              </w:rPr>
              <w:t>evidence for systematic quality improvement</w:t>
            </w:r>
            <w:r w:rsidRPr="00DF249D">
              <w:rPr>
                <w:rFonts w:ascii="Garamond" w:hAnsi="Garamond"/>
                <w:lang w:val="en-AU"/>
              </w:rPr>
              <w:t xml:space="preserve">, </w:t>
            </w:r>
            <w:r w:rsidRPr="00DF249D">
              <w:rPr>
                <w:rFonts w:ascii="Garamond" w:hAnsi="Garamond"/>
                <w:b/>
                <w:lang w:val="en-AU"/>
              </w:rPr>
              <w:t>provide knowledge and support to clinicians</w:t>
            </w:r>
            <w:r w:rsidRPr="00DF249D">
              <w:rPr>
                <w:rFonts w:ascii="Garamond" w:hAnsi="Garamond"/>
                <w:lang w:val="en-AU"/>
              </w:rPr>
              <w:t xml:space="preserve">, and ultimately to help </w:t>
            </w:r>
            <w:r w:rsidRPr="00DF249D">
              <w:rPr>
                <w:rFonts w:ascii="Garamond" w:hAnsi="Garamond"/>
                <w:b/>
                <w:lang w:val="en-AU"/>
              </w:rPr>
              <w:t>improve care for patients</w:t>
            </w:r>
            <w:r w:rsidRPr="00DF249D">
              <w:rPr>
                <w:rFonts w:ascii="Garamond" w:hAnsi="Garamond"/>
                <w:lang w:val="en-AU"/>
              </w:rPr>
              <w:t>.</w:t>
            </w:r>
            <w:r>
              <w:rPr>
                <w:rFonts w:ascii="Garamond" w:hAnsi="Garamond"/>
                <w:lang w:val="en-AU"/>
              </w:rPr>
              <w:t>’ Noting that poor care has both a human and financial cost and that some clinical teams do already manage to ‘</w:t>
            </w:r>
            <w:r w:rsidRPr="00DF249D">
              <w:rPr>
                <w:rFonts w:ascii="Garamond" w:hAnsi="Garamond"/>
                <w:lang w:val="en-AU"/>
              </w:rPr>
              <w:t>carve out the space to discover what needs to change, then design and make improvements to the se</w:t>
            </w:r>
            <w:r>
              <w:rPr>
                <w:rFonts w:ascii="Garamond" w:hAnsi="Garamond"/>
                <w:lang w:val="en-AU"/>
              </w:rPr>
              <w:t>rvices they are responsible for’ they argue that this has be expanded. They call for all clinicians to be equipped ‘</w:t>
            </w:r>
            <w:r w:rsidRPr="00DF249D">
              <w:rPr>
                <w:rFonts w:ascii="Garamond" w:hAnsi="Garamond"/>
                <w:lang w:val="en-AU"/>
              </w:rPr>
              <w:t>with formal skills to make continuous improvements to the quality of the services they provide. This means new technical and relational skills and behaviours.</w:t>
            </w:r>
            <w:r>
              <w:rPr>
                <w:rFonts w:ascii="Garamond" w:hAnsi="Garamond"/>
                <w:lang w:val="en-AU"/>
              </w:rPr>
              <w:t>’</w:t>
            </w:r>
          </w:p>
          <w:p w:rsidR="00DF249D" w:rsidRDefault="00DF249D" w:rsidP="00DF249D">
            <w:pPr>
              <w:rPr>
                <w:rStyle w:val="Hyperlink"/>
                <w:rFonts w:ascii="Garamond" w:hAnsi="Garamond"/>
                <w:color w:val="auto"/>
                <w:u w:val="none"/>
                <w:lang w:val="en-AU"/>
              </w:rPr>
            </w:pPr>
            <w:r>
              <w:rPr>
                <w:rFonts w:ascii="Garamond" w:hAnsi="Garamond"/>
                <w:lang w:val="en-AU"/>
              </w:rPr>
              <w:t xml:space="preserve">The second editorial, from </w:t>
            </w:r>
            <w:r>
              <w:rPr>
                <w:rStyle w:val="Hyperlink"/>
                <w:rFonts w:ascii="Garamond" w:hAnsi="Garamond"/>
                <w:color w:val="auto"/>
                <w:u w:val="none"/>
                <w:lang w:val="en-AU"/>
              </w:rPr>
              <w:t xml:space="preserve">de Iongh and Erdmann, focuses on the need for this effort to be patient-centred, to involve them and to ensure that they are the focus. They note </w:t>
            </w:r>
            <w:r>
              <w:rPr>
                <w:rStyle w:val="Hyperlink"/>
                <w:rFonts w:ascii="Garamond" w:hAnsi="Garamond"/>
                <w:color w:val="auto"/>
                <w:u w:val="none"/>
                <w:lang w:val="en-AU"/>
              </w:rPr>
              <w:lastRenderedPageBreak/>
              <w:t>the truism that ‘</w:t>
            </w:r>
            <w:r w:rsidRPr="00A74990">
              <w:rPr>
                <w:rStyle w:val="Hyperlink"/>
                <w:rFonts w:ascii="Garamond" w:hAnsi="Garamond"/>
                <w:b/>
                <w:color w:val="auto"/>
                <w:u w:val="none"/>
                <w:lang w:val="en-AU"/>
              </w:rPr>
              <w:t>Quality improvement</w:t>
            </w:r>
            <w:r w:rsidRPr="00DF249D">
              <w:rPr>
                <w:rStyle w:val="Hyperlink"/>
                <w:rFonts w:ascii="Garamond" w:hAnsi="Garamond"/>
                <w:color w:val="auto"/>
                <w:u w:val="none"/>
                <w:lang w:val="en-AU"/>
              </w:rPr>
              <w:t xml:space="preserve"> in healthcare is a team effort</w:t>
            </w:r>
            <w:r>
              <w:rPr>
                <w:rStyle w:val="Hyperlink"/>
                <w:rFonts w:ascii="Garamond" w:hAnsi="Garamond"/>
                <w:color w:val="auto"/>
                <w:u w:val="none"/>
                <w:lang w:val="en-AU"/>
              </w:rPr>
              <w:t>’ and stress that it is ‘</w:t>
            </w:r>
            <w:r w:rsidRPr="00DF249D">
              <w:rPr>
                <w:rStyle w:val="Hyperlink"/>
                <w:rFonts w:ascii="Garamond" w:hAnsi="Garamond"/>
                <w:color w:val="auto"/>
                <w:u w:val="none"/>
                <w:lang w:val="en-AU"/>
              </w:rPr>
              <w:t xml:space="preserve">and </w:t>
            </w:r>
            <w:r w:rsidRPr="00A74990">
              <w:rPr>
                <w:rStyle w:val="Hyperlink"/>
                <w:rFonts w:ascii="Garamond" w:hAnsi="Garamond"/>
                <w:b/>
                <w:color w:val="auto"/>
                <w:u w:val="none"/>
                <w:lang w:val="en-AU"/>
              </w:rPr>
              <w:t>most effective when it includes people using services and their carers, families, and advocates</w:t>
            </w:r>
            <w:r w:rsidRPr="00DF249D">
              <w:rPr>
                <w:rStyle w:val="Hyperlink"/>
                <w:rFonts w:ascii="Garamond" w:hAnsi="Garamond"/>
                <w:color w:val="auto"/>
                <w:u w:val="none"/>
                <w:lang w:val="en-AU"/>
              </w:rPr>
              <w:t>.</w:t>
            </w:r>
            <w:r>
              <w:rPr>
                <w:rStyle w:val="Hyperlink"/>
                <w:rFonts w:ascii="Garamond" w:hAnsi="Garamond"/>
                <w:color w:val="auto"/>
                <w:u w:val="none"/>
                <w:lang w:val="en-AU"/>
              </w:rPr>
              <w:t>’ And that this involvement cannot be token; rather it has to be’</w:t>
            </w:r>
            <w:r w:rsidRPr="00DF249D">
              <w:rPr>
                <w:rStyle w:val="Hyperlink"/>
                <w:rFonts w:ascii="Garamond" w:hAnsi="Garamond"/>
                <w:color w:val="auto"/>
                <w:u w:val="none"/>
                <w:lang w:val="en-AU"/>
              </w:rPr>
              <w:t xml:space="preserve"> both timely and respectful</w:t>
            </w:r>
            <w:r>
              <w:rPr>
                <w:rStyle w:val="Hyperlink"/>
                <w:rFonts w:ascii="Garamond" w:hAnsi="Garamond"/>
                <w:color w:val="auto"/>
                <w:u w:val="none"/>
                <w:lang w:val="en-AU"/>
              </w:rPr>
              <w:t>’, that roles should be clear and the level of involvement may vary. This variation can be over time within a project, based on project requirements, preferences and abilities of individuals and so on. They also observe that ‘</w:t>
            </w:r>
            <w:r w:rsidRPr="00DF249D">
              <w:rPr>
                <w:rStyle w:val="Hyperlink"/>
                <w:rFonts w:ascii="Garamond" w:hAnsi="Garamond"/>
                <w:color w:val="auto"/>
                <w:u w:val="none"/>
                <w:lang w:val="en-AU"/>
              </w:rPr>
              <w:t>Collaboration works both ways. With a deeper connection and appreciation of the rationale for decisions and the constraints that we all operate under (organisational, clinical, personal) we can learn together—and that is always better.</w:t>
            </w:r>
            <w:r>
              <w:rPr>
                <w:rStyle w:val="Hyperlink"/>
                <w:rFonts w:ascii="Garamond" w:hAnsi="Garamond"/>
                <w:color w:val="auto"/>
                <w:u w:val="none"/>
                <w:lang w:val="en-AU"/>
              </w:rPr>
              <w:t>’</w:t>
            </w:r>
          </w:p>
          <w:p w:rsidR="00DF249D" w:rsidRPr="000365E9" w:rsidRDefault="00DF249D" w:rsidP="00B03FCF">
            <w:pPr>
              <w:rPr>
                <w:rFonts w:ascii="Garamond" w:hAnsi="Garamond"/>
                <w:lang w:val="en-AU"/>
              </w:rPr>
            </w:pPr>
            <w:r>
              <w:rPr>
                <w:rStyle w:val="Hyperlink"/>
                <w:rFonts w:ascii="Garamond" w:hAnsi="Garamond"/>
                <w:color w:val="auto"/>
                <w:u w:val="none"/>
                <w:lang w:val="en-AU"/>
              </w:rPr>
              <w:t>Braithwaite’s paper is less introductory and looks more at change may require a change in mindset, a change in how we think about healthcare delivery, organisation and how to influence (if not implement) change. Some readers may think the language of this piece a tad jargonistic or even managerialist</w:t>
            </w:r>
            <w:r w:rsidR="00B03FCF">
              <w:rPr>
                <w:rStyle w:val="Hyperlink"/>
                <w:rFonts w:ascii="Garamond" w:hAnsi="Garamond"/>
                <w:color w:val="auto"/>
                <w:u w:val="none"/>
                <w:lang w:val="en-AU"/>
              </w:rPr>
              <w:t xml:space="preserve">, but the call is for a focus on behaviour, feedback, iterative change through the use of information (not just data) and reflection </w:t>
            </w:r>
          </w:p>
        </w:tc>
      </w:tr>
    </w:tbl>
    <w:p w:rsidR="00CA23D4" w:rsidRDefault="00CA23D4" w:rsidP="00CA23D4">
      <w:pPr>
        <w:keepLines/>
        <w:autoSpaceDE w:val="0"/>
        <w:autoSpaceDN w:val="0"/>
        <w:adjustRightInd w:val="0"/>
        <w:rPr>
          <w:rFonts w:ascii="Garamond" w:hAnsi="Garamond"/>
          <w:lang w:val="en-AU"/>
        </w:rPr>
      </w:pPr>
    </w:p>
    <w:p w:rsidR="003C25F7" w:rsidRPr="007F6979" w:rsidRDefault="003C25F7" w:rsidP="003C25F7">
      <w:pPr>
        <w:keepNext/>
        <w:keepLines/>
        <w:tabs>
          <w:tab w:val="left" w:pos="2044"/>
        </w:tabs>
        <w:autoSpaceDE w:val="0"/>
        <w:autoSpaceDN w:val="0"/>
        <w:adjustRightInd w:val="0"/>
        <w:rPr>
          <w:rFonts w:ascii="Garamond" w:hAnsi="Garamond"/>
          <w:i/>
          <w:lang w:val="en-AU"/>
        </w:rPr>
      </w:pPr>
      <w:r w:rsidRPr="007F6979">
        <w:rPr>
          <w:rFonts w:ascii="Garamond" w:hAnsi="Garamond"/>
          <w:i/>
          <w:lang w:val="en-AU"/>
        </w:rPr>
        <w:t>RedUSe: reducing antipsychotic and benzodiazepine prescribing in residential aged care facilities</w:t>
      </w:r>
    </w:p>
    <w:p w:rsidR="003C25F7" w:rsidRDefault="003C25F7" w:rsidP="003C25F7">
      <w:pPr>
        <w:keepNext/>
        <w:keepLines/>
        <w:tabs>
          <w:tab w:val="left" w:pos="2044"/>
        </w:tabs>
        <w:autoSpaceDE w:val="0"/>
        <w:autoSpaceDN w:val="0"/>
        <w:adjustRightInd w:val="0"/>
        <w:rPr>
          <w:rFonts w:ascii="Garamond" w:hAnsi="Garamond"/>
          <w:lang w:val="en-AU"/>
        </w:rPr>
      </w:pPr>
      <w:r w:rsidRPr="007F6979">
        <w:rPr>
          <w:rFonts w:ascii="Garamond" w:hAnsi="Garamond"/>
          <w:lang w:val="en-AU"/>
        </w:rPr>
        <w:t>Westbury JL, Gee P, Ling T, Brown D</w:t>
      </w:r>
      <w:r>
        <w:rPr>
          <w:rFonts w:ascii="Garamond" w:hAnsi="Garamond"/>
          <w:lang w:val="en-AU"/>
        </w:rPr>
        <w:t>T, Franks KH, Bindoff I, et al.</w:t>
      </w:r>
    </w:p>
    <w:p w:rsidR="003C25F7" w:rsidRPr="007F6979" w:rsidRDefault="003C25F7" w:rsidP="003C25F7">
      <w:pPr>
        <w:keepNext/>
        <w:keepLines/>
        <w:tabs>
          <w:tab w:val="left" w:pos="2044"/>
        </w:tabs>
        <w:autoSpaceDE w:val="0"/>
        <w:autoSpaceDN w:val="0"/>
        <w:adjustRightInd w:val="0"/>
        <w:rPr>
          <w:rFonts w:ascii="Garamond" w:hAnsi="Garamond"/>
          <w:lang w:val="en-AU"/>
        </w:rPr>
      </w:pPr>
      <w:proofErr w:type="gramStart"/>
      <w:r w:rsidRPr="007F6979">
        <w:rPr>
          <w:rFonts w:ascii="Garamond" w:hAnsi="Garamond"/>
          <w:lang w:val="en-AU"/>
        </w:rPr>
        <w:t>Medical Journal of Australia.</w:t>
      </w:r>
      <w:proofErr w:type="gramEnd"/>
      <w:r w:rsidRPr="007F6979">
        <w:rPr>
          <w:rFonts w:ascii="Garamond" w:hAnsi="Garamond"/>
          <w:lang w:val="en-AU"/>
        </w:rPr>
        <w:t xml:space="preserve"> 2018</w:t>
      </w:r>
      <w:proofErr w:type="gramStart"/>
      <w:r w:rsidRPr="003C25F7">
        <w:rPr>
          <w:rFonts w:ascii="Garamond" w:hAnsi="Garamond"/>
          <w:lang w:val="en-AU"/>
        </w:rPr>
        <w:t>;208</w:t>
      </w:r>
      <w:proofErr w:type="gramEnd"/>
      <w:r w:rsidRPr="003C25F7">
        <w:rPr>
          <w:rFonts w:ascii="Garamond" w:hAnsi="Garamond"/>
          <w:lang w:val="en-AU"/>
        </w:rPr>
        <w:t>(9):398-403.</w:t>
      </w:r>
    </w:p>
    <w:tbl>
      <w:tblPr>
        <w:tblStyle w:val="TableGrid"/>
        <w:tblW w:w="0" w:type="auto"/>
        <w:tblInd w:w="288" w:type="dxa"/>
        <w:tblLayout w:type="fixed"/>
        <w:tblLook w:val="01E0" w:firstRow="1" w:lastRow="1" w:firstColumn="1" w:lastColumn="1" w:noHBand="0" w:noVBand="0"/>
      </w:tblPr>
      <w:tblGrid>
        <w:gridCol w:w="1080"/>
        <w:gridCol w:w="8280"/>
      </w:tblGrid>
      <w:tr w:rsidR="003C25F7" w:rsidRPr="000170DA" w:rsidTr="00142C12">
        <w:tc>
          <w:tcPr>
            <w:tcW w:w="1080" w:type="dxa"/>
            <w:tcBorders>
              <w:top w:val="single" w:sz="4" w:space="0" w:color="auto"/>
              <w:left w:val="single" w:sz="4" w:space="0" w:color="auto"/>
              <w:bottom w:val="single" w:sz="4" w:space="0" w:color="auto"/>
              <w:right w:val="single" w:sz="4" w:space="0" w:color="auto"/>
            </w:tcBorders>
            <w:vAlign w:val="center"/>
          </w:tcPr>
          <w:p w:rsidR="003C25F7" w:rsidRPr="000170DA" w:rsidRDefault="003C25F7" w:rsidP="00142C12">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C25F7" w:rsidRPr="000170DA" w:rsidRDefault="00B0188A" w:rsidP="00142C12">
            <w:pPr>
              <w:rPr>
                <w:rStyle w:val="Hyperlink"/>
                <w:rFonts w:ascii="Garamond" w:hAnsi="Garamond"/>
                <w:color w:val="auto"/>
                <w:u w:val="none"/>
                <w:lang w:val="en-AU"/>
              </w:rPr>
            </w:pPr>
            <w:hyperlink r:id="rId26" w:history="1">
              <w:r w:rsidR="003C25F7" w:rsidRPr="006C5F06">
                <w:rPr>
                  <w:rStyle w:val="Hyperlink"/>
                  <w:rFonts w:ascii="Garamond" w:hAnsi="Garamond"/>
                  <w:lang w:val="en-AU"/>
                </w:rPr>
                <w:t>https://doi.org/10.5694/mja17.00857</w:t>
              </w:r>
            </w:hyperlink>
          </w:p>
        </w:tc>
      </w:tr>
      <w:tr w:rsidR="003C25F7" w:rsidRPr="000170DA" w:rsidTr="00142C12">
        <w:tc>
          <w:tcPr>
            <w:tcW w:w="1080" w:type="dxa"/>
            <w:tcBorders>
              <w:top w:val="single" w:sz="4" w:space="0" w:color="auto"/>
              <w:left w:val="single" w:sz="4" w:space="0" w:color="auto"/>
              <w:bottom w:val="single" w:sz="4" w:space="0" w:color="auto"/>
              <w:right w:val="single" w:sz="4" w:space="0" w:color="auto"/>
            </w:tcBorders>
            <w:vAlign w:val="center"/>
          </w:tcPr>
          <w:p w:rsidR="003C25F7" w:rsidRPr="000170DA" w:rsidRDefault="003C25F7" w:rsidP="00142C1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D703B" w:rsidRPr="000365E9" w:rsidRDefault="00CE5DD9" w:rsidP="00873BED">
            <w:pPr>
              <w:rPr>
                <w:rFonts w:ascii="Garamond" w:hAnsi="Garamond"/>
                <w:lang w:val="en-AU"/>
              </w:rPr>
            </w:pPr>
            <w:r>
              <w:rPr>
                <w:rFonts w:ascii="Garamond" w:hAnsi="Garamond"/>
                <w:lang w:val="en-AU"/>
              </w:rPr>
              <w:t xml:space="preserve">Rates of antipsychotic and benzodiazepine prescribing in residential aged care facilities are </w:t>
            </w:r>
            <w:r w:rsidR="00873BED">
              <w:rPr>
                <w:rFonts w:ascii="Garamond" w:hAnsi="Garamond"/>
                <w:lang w:val="en-AU"/>
              </w:rPr>
              <w:t xml:space="preserve">considered to be </w:t>
            </w:r>
            <w:r>
              <w:rPr>
                <w:rFonts w:ascii="Garamond" w:hAnsi="Garamond"/>
                <w:lang w:val="en-AU"/>
              </w:rPr>
              <w:t xml:space="preserve">unacceptably high. The authors describe a multi-pronged approach to reduce prescribing which resulted in modest, but </w:t>
            </w:r>
            <w:r w:rsidRPr="007948FA">
              <w:rPr>
                <w:rFonts w:ascii="Garamond" w:hAnsi="Garamond"/>
                <w:b/>
                <w:lang w:val="en-AU"/>
              </w:rPr>
              <w:t>statistically significant decreases</w:t>
            </w:r>
            <w:r w:rsidR="00873BED" w:rsidRPr="007948FA">
              <w:rPr>
                <w:rFonts w:ascii="Garamond" w:hAnsi="Garamond"/>
                <w:b/>
                <w:lang w:val="en-AU"/>
              </w:rPr>
              <w:t>,</w:t>
            </w:r>
            <w:r w:rsidRPr="007948FA">
              <w:rPr>
                <w:rFonts w:ascii="Garamond" w:hAnsi="Garamond"/>
                <w:b/>
                <w:lang w:val="en-AU"/>
              </w:rPr>
              <w:t xml:space="preserve"> in prescribing</w:t>
            </w:r>
            <w:r>
              <w:rPr>
                <w:rFonts w:ascii="Garamond" w:hAnsi="Garamond"/>
                <w:lang w:val="en-AU"/>
              </w:rPr>
              <w:t xml:space="preserve">. In designing the intervention, the researchers took note of the practical problems that lead to inappropriate psychotropic prescribing. These included </w:t>
            </w:r>
            <w:r w:rsidR="00FD703B">
              <w:rPr>
                <w:rFonts w:ascii="Garamond" w:hAnsi="Garamond"/>
                <w:lang w:val="en-AU"/>
              </w:rPr>
              <w:t>staff beliefs about effectiveness, poor understanding of adverse effects, lack of medication review processes and limitations on providing non-drug treatment.</w:t>
            </w:r>
            <w:r w:rsidR="00873BED">
              <w:rPr>
                <w:rFonts w:ascii="Garamond" w:hAnsi="Garamond"/>
                <w:lang w:val="en-AU"/>
              </w:rPr>
              <w:t xml:space="preserve"> </w:t>
            </w:r>
            <w:r w:rsidR="00FD703B">
              <w:rPr>
                <w:rFonts w:ascii="Garamond" w:hAnsi="Garamond"/>
                <w:lang w:val="en-AU"/>
              </w:rPr>
              <w:t xml:space="preserve">The intervention included </w:t>
            </w:r>
            <w:r w:rsidR="00FD703B" w:rsidRPr="007948FA">
              <w:rPr>
                <w:rFonts w:ascii="Garamond" w:hAnsi="Garamond"/>
                <w:b/>
                <w:lang w:val="en-AU"/>
              </w:rPr>
              <w:t>staff education</w:t>
            </w:r>
            <w:r w:rsidR="00FD703B">
              <w:rPr>
                <w:rFonts w:ascii="Garamond" w:hAnsi="Garamond"/>
                <w:lang w:val="en-AU"/>
              </w:rPr>
              <w:t xml:space="preserve">, </w:t>
            </w:r>
            <w:r w:rsidR="00FD703B" w:rsidRPr="007948FA">
              <w:rPr>
                <w:rFonts w:ascii="Garamond" w:hAnsi="Garamond"/>
                <w:b/>
                <w:lang w:val="en-AU"/>
              </w:rPr>
              <w:t>multidisciplinary review</w:t>
            </w:r>
            <w:r w:rsidR="00FD703B">
              <w:rPr>
                <w:rFonts w:ascii="Garamond" w:hAnsi="Garamond"/>
                <w:lang w:val="en-AU"/>
              </w:rPr>
              <w:t xml:space="preserve">, </w:t>
            </w:r>
            <w:r w:rsidR="00FD703B" w:rsidRPr="007948FA">
              <w:rPr>
                <w:rFonts w:ascii="Garamond" w:hAnsi="Garamond"/>
                <w:b/>
                <w:lang w:val="en-AU"/>
              </w:rPr>
              <w:t>prescribing audits</w:t>
            </w:r>
            <w:r w:rsidR="00FD703B">
              <w:rPr>
                <w:rFonts w:ascii="Garamond" w:hAnsi="Garamond"/>
                <w:lang w:val="en-AU"/>
              </w:rPr>
              <w:t xml:space="preserve">, a </w:t>
            </w:r>
            <w:r w:rsidR="00FD703B" w:rsidRPr="007948FA">
              <w:rPr>
                <w:rFonts w:ascii="Garamond" w:hAnsi="Garamond"/>
                <w:b/>
                <w:lang w:val="en-AU"/>
              </w:rPr>
              <w:t>nurse champion</w:t>
            </w:r>
            <w:r w:rsidR="00FD703B">
              <w:rPr>
                <w:rFonts w:ascii="Garamond" w:hAnsi="Garamond"/>
                <w:lang w:val="en-AU"/>
              </w:rPr>
              <w:t xml:space="preserve"> and the offer of academic detailing to GPs and nurse practitioners. While the reductions in prescribing are laudable, and the intervention is feasible there are clearly broader issues. An accompanying editorial notes that </w:t>
            </w:r>
            <w:r w:rsidR="00873BED">
              <w:rPr>
                <w:rFonts w:ascii="Garamond" w:hAnsi="Garamond"/>
                <w:lang w:val="en-AU"/>
              </w:rPr>
              <w:t>‘</w:t>
            </w:r>
            <w:r w:rsidR="00FD703B" w:rsidRPr="00FD703B">
              <w:rPr>
                <w:rFonts w:ascii="Garamond" w:hAnsi="Garamond"/>
                <w:lang w:val="en-AU"/>
              </w:rPr>
              <w:t>a major challenge in Australia is providing access to individually tailored, non-pharmacological interventions for RACF residents with problematic behaviour. Resources need to be redirected and the greater cost of high quality individualised care acknowledged.</w:t>
            </w:r>
            <w:r w:rsidR="00873BED">
              <w:rPr>
                <w:rFonts w:ascii="Garamond" w:hAnsi="Garamond"/>
                <w:lang w:val="en-AU"/>
              </w:rPr>
              <w:t>’</w:t>
            </w:r>
          </w:p>
        </w:tc>
      </w:tr>
    </w:tbl>
    <w:p w:rsidR="00EE2A35" w:rsidRDefault="00EE2A35" w:rsidP="00EE2A35">
      <w:pPr>
        <w:keepNext/>
        <w:keepLines/>
        <w:autoSpaceDE w:val="0"/>
        <w:autoSpaceDN w:val="0"/>
        <w:adjustRightInd w:val="0"/>
        <w:rPr>
          <w:rFonts w:ascii="Garamond" w:hAnsi="Garamond"/>
          <w:lang w:val="en-AU"/>
        </w:rPr>
      </w:pPr>
    </w:p>
    <w:p w:rsidR="00F746D2" w:rsidRPr="00AD0C6C" w:rsidRDefault="00F746D2" w:rsidP="00F746D2">
      <w:pPr>
        <w:keepNext/>
        <w:keepLines/>
        <w:autoSpaceDE w:val="0"/>
        <w:autoSpaceDN w:val="0"/>
        <w:adjustRightInd w:val="0"/>
        <w:rPr>
          <w:rFonts w:ascii="Garamond" w:hAnsi="Garamond"/>
          <w:i/>
          <w:lang w:val="en-AU"/>
        </w:rPr>
      </w:pPr>
      <w:r w:rsidRPr="00AD0C6C">
        <w:rPr>
          <w:rFonts w:ascii="Garamond" w:hAnsi="Garamond"/>
          <w:i/>
          <w:lang w:val="en-AU"/>
        </w:rPr>
        <w:t>1,300 Days and Counting: A Risk Model Approach to Preventing Retained Foreign Objects (RFOs)</w:t>
      </w:r>
    </w:p>
    <w:p w:rsidR="00F746D2" w:rsidRDefault="00F746D2" w:rsidP="00F746D2">
      <w:pPr>
        <w:keepNext/>
        <w:keepLines/>
        <w:autoSpaceDE w:val="0"/>
        <w:autoSpaceDN w:val="0"/>
        <w:adjustRightInd w:val="0"/>
        <w:rPr>
          <w:rFonts w:ascii="Garamond" w:hAnsi="Garamond"/>
          <w:lang w:val="en-AU"/>
        </w:rPr>
      </w:pPr>
      <w:r w:rsidRPr="004A15AB">
        <w:rPr>
          <w:rFonts w:ascii="Garamond" w:hAnsi="Garamond"/>
          <w:lang w:val="en-AU"/>
        </w:rPr>
        <w:t>Duggan EG, Fernandez J, Saulan MM, Mayers DL, Nikolaj M, Strah TM, et al</w:t>
      </w:r>
    </w:p>
    <w:p w:rsidR="00F746D2" w:rsidRPr="00E566B0" w:rsidRDefault="00F746D2" w:rsidP="00F746D2">
      <w:pPr>
        <w:keepNext/>
        <w:keepLines/>
        <w:autoSpaceDE w:val="0"/>
        <w:autoSpaceDN w:val="0"/>
        <w:adjustRightInd w:val="0"/>
        <w:rPr>
          <w:rFonts w:ascii="Garamond" w:hAnsi="Garamond"/>
          <w:lang w:val="en-AU"/>
        </w:rPr>
      </w:pPr>
      <w:proofErr w:type="gramStart"/>
      <w:r w:rsidRPr="004A15AB">
        <w:rPr>
          <w:rFonts w:ascii="Garamond" w:hAnsi="Garamond"/>
          <w:lang w:val="en-AU"/>
        </w:rPr>
        <w:t>The Joint Commission Journal on Quality and Patient Safety.</w:t>
      </w:r>
      <w:proofErr w:type="gramEnd"/>
      <w:r w:rsidRPr="004A15AB">
        <w:rPr>
          <w:rFonts w:ascii="Garamond" w:hAnsi="Garamond"/>
          <w:lang w:val="en-AU"/>
        </w:rPr>
        <w:t xml:space="preserve"> 2018</w:t>
      </w:r>
      <w:proofErr w:type="gramStart"/>
      <w:r w:rsidRPr="004A15AB">
        <w:rPr>
          <w:rFonts w:ascii="Garamond" w:hAnsi="Garamond"/>
          <w:lang w:val="en-AU"/>
        </w:rPr>
        <w:t>;44</w:t>
      </w:r>
      <w:proofErr w:type="gramEnd"/>
      <w:r w:rsidRPr="004A15AB">
        <w:rPr>
          <w:rFonts w:ascii="Garamond" w:hAnsi="Garamond"/>
          <w:lang w:val="en-AU"/>
        </w:rPr>
        <w:t>(5):260-9.</w:t>
      </w:r>
    </w:p>
    <w:tbl>
      <w:tblPr>
        <w:tblStyle w:val="TableGrid"/>
        <w:tblW w:w="0" w:type="auto"/>
        <w:tblInd w:w="288" w:type="dxa"/>
        <w:tblLayout w:type="fixed"/>
        <w:tblLook w:val="01E0" w:firstRow="1" w:lastRow="1" w:firstColumn="1" w:lastColumn="1" w:noHBand="0" w:noVBand="0"/>
      </w:tblPr>
      <w:tblGrid>
        <w:gridCol w:w="1080"/>
        <w:gridCol w:w="8280"/>
      </w:tblGrid>
      <w:tr w:rsidR="00F746D2" w:rsidRPr="000170DA" w:rsidTr="00DD5A07">
        <w:tc>
          <w:tcPr>
            <w:tcW w:w="1080" w:type="dxa"/>
            <w:tcBorders>
              <w:top w:val="single" w:sz="4" w:space="0" w:color="auto"/>
              <w:left w:val="single" w:sz="4" w:space="0" w:color="auto"/>
              <w:bottom w:val="single" w:sz="4" w:space="0" w:color="auto"/>
              <w:right w:val="single" w:sz="4" w:space="0" w:color="auto"/>
            </w:tcBorders>
            <w:vAlign w:val="center"/>
          </w:tcPr>
          <w:p w:rsidR="00F746D2" w:rsidRPr="000170DA" w:rsidRDefault="00F746D2" w:rsidP="00DD5A07">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746D2" w:rsidRPr="000170DA" w:rsidRDefault="00F746D2" w:rsidP="00DD5A07">
            <w:pPr>
              <w:rPr>
                <w:rStyle w:val="Hyperlink"/>
                <w:rFonts w:ascii="Garamond" w:hAnsi="Garamond"/>
                <w:color w:val="auto"/>
                <w:u w:val="none"/>
                <w:lang w:val="en-AU"/>
              </w:rPr>
            </w:pPr>
            <w:hyperlink r:id="rId27" w:history="1">
              <w:r w:rsidRPr="002D7B2F">
                <w:rPr>
                  <w:rStyle w:val="Hyperlink"/>
                  <w:rFonts w:ascii="Garamond" w:hAnsi="Garamond"/>
                  <w:lang w:val="en-AU"/>
                </w:rPr>
                <w:t>https://doi.org/10.1016/j.jcjq.2017.11.006</w:t>
              </w:r>
            </w:hyperlink>
          </w:p>
        </w:tc>
      </w:tr>
      <w:tr w:rsidR="00F746D2" w:rsidRPr="000170DA" w:rsidTr="00DD5A07">
        <w:tc>
          <w:tcPr>
            <w:tcW w:w="1080" w:type="dxa"/>
            <w:tcBorders>
              <w:top w:val="single" w:sz="4" w:space="0" w:color="auto"/>
              <w:left w:val="single" w:sz="4" w:space="0" w:color="auto"/>
              <w:bottom w:val="single" w:sz="4" w:space="0" w:color="auto"/>
              <w:right w:val="single" w:sz="4" w:space="0" w:color="auto"/>
            </w:tcBorders>
            <w:vAlign w:val="center"/>
          </w:tcPr>
          <w:p w:rsidR="00F746D2" w:rsidRPr="000170DA" w:rsidRDefault="00F746D2" w:rsidP="00DD5A0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746D2" w:rsidRPr="000365E9" w:rsidRDefault="00F746D2" w:rsidP="00DD5A07">
            <w:pPr>
              <w:rPr>
                <w:rFonts w:ascii="Garamond" w:hAnsi="Garamond"/>
                <w:lang w:val="en-AU"/>
              </w:rPr>
            </w:pPr>
            <w:r>
              <w:rPr>
                <w:rStyle w:val="Hyperlink"/>
                <w:rFonts w:ascii="Garamond" w:hAnsi="Garamond"/>
                <w:color w:val="auto"/>
                <w:u w:val="none"/>
                <w:lang w:val="en-AU"/>
              </w:rPr>
              <w:t>Paper des</w:t>
            </w:r>
            <w:r w:rsidRPr="00AD0C6C">
              <w:rPr>
                <w:rStyle w:val="Hyperlink"/>
                <w:rFonts w:ascii="Garamond" w:hAnsi="Garamond"/>
                <w:color w:val="auto"/>
                <w:u w:val="none"/>
                <w:lang w:val="en-AU"/>
              </w:rPr>
              <w:t>crib</w:t>
            </w:r>
            <w:r>
              <w:rPr>
                <w:rStyle w:val="Hyperlink"/>
                <w:rFonts w:ascii="Garamond" w:hAnsi="Garamond"/>
                <w:color w:val="auto"/>
                <w:u w:val="none"/>
                <w:lang w:val="en-AU"/>
              </w:rPr>
              <w:t>ing</w:t>
            </w:r>
            <w:r w:rsidRPr="00AD0C6C">
              <w:rPr>
                <w:rStyle w:val="Hyperlink"/>
                <w:rFonts w:ascii="Garamond" w:hAnsi="Garamond"/>
                <w:color w:val="auto"/>
                <w:u w:val="none"/>
                <w:lang w:val="en-AU"/>
              </w:rPr>
              <w:t xml:space="preserve"> how one </w:t>
            </w:r>
            <w:r>
              <w:rPr>
                <w:rStyle w:val="Hyperlink"/>
                <w:rFonts w:ascii="Garamond" w:hAnsi="Garamond"/>
                <w:color w:val="auto"/>
                <w:u w:val="none"/>
                <w:lang w:val="en-AU"/>
              </w:rPr>
              <w:t xml:space="preserve">US health </w:t>
            </w:r>
            <w:r w:rsidRPr="00AD0C6C">
              <w:rPr>
                <w:rStyle w:val="Hyperlink"/>
                <w:rFonts w:ascii="Garamond" w:hAnsi="Garamond"/>
                <w:color w:val="auto"/>
                <w:u w:val="none"/>
                <w:lang w:val="en-AU"/>
              </w:rPr>
              <w:t>organi</w:t>
            </w:r>
            <w:r>
              <w:rPr>
                <w:rStyle w:val="Hyperlink"/>
                <w:rFonts w:ascii="Garamond" w:hAnsi="Garamond"/>
                <w:color w:val="auto"/>
                <w:u w:val="none"/>
                <w:lang w:val="en-AU"/>
              </w:rPr>
              <w:t>s</w:t>
            </w:r>
            <w:r w:rsidRPr="00AD0C6C">
              <w:rPr>
                <w:rStyle w:val="Hyperlink"/>
                <w:rFonts w:ascii="Garamond" w:hAnsi="Garamond"/>
                <w:color w:val="auto"/>
                <w:u w:val="none"/>
                <w:lang w:val="en-AU"/>
              </w:rPr>
              <w:t xml:space="preserve">ation </w:t>
            </w:r>
            <w:r>
              <w:rPr>
                <w:rStyle w:val="Hyperlink"/>
                <w:rFonts w:ascii="Garamond" w:hAnsi="Garamond"/>
                <w:color w:val="auto"/>
                <w:u w:val="none"/>
                <w:lang w:val="en-AU"/>
              </w:rPr>
              <w:t>(</w:t>
            </w:r>
            <w:r w:rsidRPr="004A15AB">
              <w:rPr>
                <w:rStyle w:val="Hyperlink"/>
                <w:rFonts w:ascii="Garamond" w:hAnsi="Garamond"/>
                <w:color w:val="auto"/>
                <w:u w:val="none"/>
                <w:lang w:val="en-AU"/>
              </w:rPr>
              <w:t>Memoria</w:t>
            </w:r>
            <w:r>
              <w:rPr>
                <w:rStyle w:val="Hyperlink"/>
                <w:rFonts w:ascii="Garamond" w:hAnsi="Garamond"/>
                <w:color w:val="auto"/>
                <w:u w:val="none"/>
                <w:lang w:val="en-AU"/>
              </w:rPr>
              <w:t xml:space="preserve">l Sloan Kettering Cancer Center) </w:t>
            </w:r>
            <w:r w:rsidRPr="00AD0C6C">
              <w:rPr>
                <w:rStyle w:val="Hyperlink"/>
                <w:rFonts w:ascii="Garamond" w:hAnsi="Garamond"/>
                <w:color w:val="auto"/>
                <w:u w:val="none"/>
                <w:lang w:val="en-AU"/>
              </w:rPr>
              <w:t xml:space="preserve">reduced the occurrence of </w:t>
            </w:r>
            <w:r>
              <w:rPr>
                <w:rStyle w:val="Hyperlink"/>
                <w:rFonts w:ascii="Garamond" w:hAnsi="Garamond"/>
                <w:color w:val="auto"/>
                <w:u w:val="none"/>
                <w:lang w:val="en-AU"/>
              </w:rPr>
              <w:t>retained foreign objects in their operating theatres</w:t>
            </w:r>
            <w:r w:rsidRPr="00AD0C6C">
              <w:rPr>
                <w:rStyle w:val="Hyperlink"/>
                <w:rFonts w:ascii="Garamond" w:hAnsi="Garamond"/>
                <w:color w:val="auto"/>
                <w:u w:val="none"/>
                <w:lang w:val="en-AU"/>
              </w:rPr>
              <w:t xml:space="preserve">. </w:t>
            </w:r>
            <w:r>
              <w:rPr>
                <w:rStyle w:val="Hyperlink"/>
                <w:rFonts w:ascii="Garamond" w:hAnsi="Garamond"/>
                <w:color w:val="auto"/>
                <w:u w:val="none"/>
                <w:lang w:val="en-AU"/>
              </w:rPr>
              <w:t>The project used d</w:t>
            </w:r>
            <w:r w:rsidRPr="00AD0C6C">
              <w:rPr>
                <w:rStyle w:val="Hyperlink"/>
                <w:rFonts w:ascii="Garamond" w:hAnsi="Garamond"/>
                <w:color w:val="auto"/>
                <w:u w:val="none"/>
                <w:lang w:val="en-AU"/>
              </w:rPr>
              <w:t>eeds assessments, multidisciplinary engagement, risk classification, and mode</w:t>
            </w:r>
            <w:r>
              <w:rPr>
                <w:rStyle w:val="Hyperlink"/>
                <w:rFonts w:ascii="Garamond" w:hAnsi="Garamond"/>
                <w:color w:val="auto"/>
                <w:u w:val="none"/>
                <w:lang w:val="en-AU"/>
              </w:rPr>
              <w:t>l</w:t>
            </w:r>
            <w:r w:rsidRPr="00AD0C6C">
              <w:rPr>
                <w:rStyle w:val="Hyperlink"/>
                <w:rFonts w:ascii="Garamond" w:hAnsi="Garamond"/>
                <w:color w:val="auto"/>
                <w:u w:val="none"/>
                <w:lang w:val="en-AU"/>
              </w:rPr>
              <w:t xml:space="preserve">ling approaches </w:t>
            </w:r>
            <w:r>
              <w:rPr>
                <w:rStyle w:val="Hyperlink"/>
                <w:rFonts w:ascii="Garamond" w:hAnsi="Garamond"/>
                <w:color w:val="auto"/>
                <w:u w:val="none"/>
                <w:lang w:val="en-AU"/>
              </w:rPr>
              <w:t xml:space="preserve">to understand the issues and influence the design of </w:t>
            </w:r>
            <w:r w:rsidRPr="00AD0C6C">
              <w:rPr>
                <w:rStyle w:val="Hyperlink"/>
                <w:rFonts w:ascii="Garamond" w:hAnsi="Garamond"/>
                <w:color w:val="auto"/>
                <w:u w:val="none"/>
                <w:lang w:val="en-AU"/>
              </w:rPr>
              <w:t xml:space="preserve">training </w:t>
            </w:r>
            <w:r>
              <w:rPr>
                <w:rStyle w:val="Hyperlink"/>
                <w:rFonts w:ascii="Garamond" w:hAnsi="Garamond"/>
                <w:color w:val="auto"/>
                <w:u w:val="none"/>
                <w:lang w:val="en-AU"/>
              </w:rPr>
              <w:t xml:space="preserve">to improve </w:t>
            </w:r>
            <w:r w:rsidRPr="00AD0C6C">
              <w:rPr>
                <w:rStyle w:val="Hyperlink"/>
                <w:rFonts w:ascii="Garamond" w:hAnsi="Garamond"/>
                <w:color w:val="auto"/>
                <w:u w:val="none"/>
                <w:lang w:val="en-AU"/>
              </w:rPr>
              <w:t>awareness of the problem.</w:t>
            </w:r>
            <w:r>
              <w:rPr>
                <w:rStyle w:val="Hyperlink"/>
                <w:rFonts w:ascii="Garamond" w:hAnsi="Garamond"/>
                <w:color w:val="auto"/>
                <w:u w:val="none"/>
                <w:lang w:val="en-AU"/>
              </w:rPr>
              <w:t xml:space="preserve"> While retained foreign objects are not common, they are widely a considered a “never event”, i.e. something that should never happen. This articles notes that after the intervention the Center had gone 1,300 days without such an event and had dropped the </w:t>
            </w:r>
            <w:r w:rsidRPr="007948FA">
              <w:rPr>
                <w:rStyle w:val="Hyperlink"/>
                <w:rFonts w:ascii="Garamond" w:hAnsi="Garamond"/>
                <w:b/>
                <w:color w:val="auto"/>
                <w:u w:val="none"/>
                <w:lang w:val="en-AU"/>
              </w:rPr>
              <w:t>occurrence of retained objects from 1.69 per year to a risk model estimate of 1 in 22 years.</w:t>
            </w:r>
          </w:p>
        </w:tc>
      </w:tr>
    </w:tbl>
    <w:p w:rsidR="00F746D2" w:rsidRDefault="00F746D2" w:rsidP="00F746D2">
      <w:pPr>
        <w:keepLines/>
        <w:autoSpaceDE w:val="0"/>
        <w:autoSpaceDN w:val="0"/>
        <w:adjustRightInd w:val="0"/>
        <w:rPr>
          <w:rFonts w:ascii="Garamond" w:hAnsi="Garamond"/>
          <w:lang w:val="en-AU"/>
        </w:rPr>
      </w:pPr>
    </w:p>
    <w:p w:rsidR="00F746D2" w:rsidRPr="00AD0C6C" w:rsidRDefault="00F746D2" w:rsidP="00F746D2">
      <w:pPr>
        <w:keepNext/>
        <w:keepLines/>
        <w:autoSpaceDE w:val="0"/>
        <w:autoSpaceDN w:val="0"/>
        <w:adjustRightInd w:val="0"/>
        <w:rPr>
          <w:rFonts w:ascii="Garamond" w:hAnsi="Garamond"/>
          <w:i/>
          <w:lang w:val="en-AU"/>
        </w:rPr>
      </w:pPr>
      <w:r w:rsidRPr="00AD0C6C">
        <w:rPr>
          <w:rFonts w:ascii="Garamond" w:hAnsi="Garamond"/>
          <w:i/>
          <w:lang w:val="en-AU"/>
        </w:rPr>
        <w:t>Risk factors for adverse events in patients with breast, colorectal, and lung cancer</w:t>
      </w:r>
    </w:p>
    <w:p w:rsidR="00F746D2" w:rsidRDefault="00F746D2" w:rsidP="00F746D2">
      <w:pPr>
        <w:keepNext/>
        <w:keepLines/>
        <w:autoSpaceDE w:val="0"/>
        <w:autoSpaceDN w:val="0"/>
        <w:adjustRightInd w:val="0"/>
        <w:rPr>
          <w:rFonts w:ascii="Garamond" w:hAnsi="Garamond"/>
          <w:lang w:val="en-AU"/>
        </w:rPr>
      </w:pPr>
      <w:r w:rsidRPr="00BA7533">
        <w:rPr>
          <w:rFonts w:ascii="Garamond" w:hAnsi="Garamond"/>
          <w:lang w:val="en-AU"/>
        </w:rPr>
        <w:t>Weingart SN, Atoria CL, Pfister D, Classen D, Killen A, Fortier E, et al</w:t>
      </w:r>
    </w:p>
    <w:p w:rsidR="00F746D2" w:rsidRPr="00E566B0" w:rsidRDefault="00F746D2" w:rsidP="00F746D2">
      <w:pPr>
        <w:keepNext/>
        <w:keepLines/>
        <w:autoSpaceDE w:val="0"/>
        <w:autoSpaceDN w:val="0"/>
        <w:adjustRightInd w:val="0"/>
        <w:rPr>
          <w:rFonts w:ascii="Garamond" w:hAnsi="Garamond"/>
          <w:lang w:val="en-AU"/>
        </w:rPr>
      </w:pPr>
      <w:proofErr w:type="gramStart"/>
      <w:r w:rsidRPr="00BA7533">
        <w:rPr>
          <w:rFonts w:ascii="Garamond" w:hAnsi="Garamond"/>
          <w:lang w:val="en-AU"/>
        </w:rPr>
        <w:t>Journal of Patient Safety.</w:t>
      </w:r>
      <w:proofErr w:type="gramEnd"/>
      <w:r w:rsidRPr="00BA7533">
        <w:rPr>
          <w:rFonts w:ascii="Garamond" w:hAnsi="Garamond"/>
          <w:lang w:val="en-AU"/>
        </w:rPr>
        <w:t xml:space="preserve"> </w:t>
      </w:r>
      <w:proofErr w:type="gramStart"/>
      <w:r w:rsidRPr="00BA7533">
        <w:rPr>
          <w:rFonts w:ascii="Garamond" w:hAnsi="Garamond"/>
          <w:lang w:val="en-AU"/>
        </w:rPr>
        <w:t>2018</w:t>
      </w:r>
      <w:r>
        <w:rPr>
          <w:rFonts w:ascii="Garamond" w:hAnsi="Garamond"/>
          <w:lang w:val="en-AU"/>
        </w:rPr>
        <w:t xml:space="preserve"> [epub]</w:t>
      </w:r>
      <w:r w:rsidRPr="00BA7533">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F746D2" w:rsidRPr="000170DA" w:rsidTr="00DD5A07">
        <w:tc>
          <w:tcPr>
            <w:tcW w:w="1080" w:type="dxa"/>
            <w:tcBorders>
              <w:top w:val="single" w:sz="4" w:space="0" w:color="auto"/>
              <w:left w:val="single" w:sz="4" w:space="0" w:color="auto"/>
              <w:bottom w:val="single" w:sz="4" w:space="0" w:color="auto"/>
              <w:right w:val="single" w:sz="4" w:space="0" w:color="auto"/>
            </w:tcBorders>
            <w:vAlign w:val="center"/>
          </w:tcPr>
          <w:p w:rsidR="00F746D2" w:rsidRPr="000170DA" w:rsidRDefault="00F746D2" w:rsidP="00DD5A07">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746D2" w:rsidRPr="000170DA" w:rsidRDefault="00F746D2" w:rsidP="00DD5A07">
            <w:pPr>
              <w:rPr>
                <w:rStyle w:val="Hyperlink"/>
                <w:rFonts w:ascii="Garamond" w:hAnsi="Garamond"/>
                <w:color w:val="auto"/>
                <w:u w:val="none"/>
                <w:lang w:val="en-AU"/>
              </w:rPr>
            </w:pPr>
            <w:hyperlink r:id="rId28" w:history="1">
              <w:r w:rsidRPr="002D7B2F">
                <w:rPr>
                  <w:rStyle w:val="Hyperlink"/>
                  <w:rFonts w:ascii="Garamond" w:hAnsi="Garamond"/>
                  <w:lang w:val="en-AU"/>
                </w:rPr>
                <w:t>https://doi.org/10.1097/PTS.0000000000000474</w:t>
              </w:r>
            </w:hyperlink>
          </w:p>
        </w:tc>
      </w:tr>
      <w:tr w:rsidR="00F746D2" w:rsidRPr="000170DA" w:rsidTr="00DD5A07">
        <w:tc>
          <w:tcPr>
            <w:tcW w:w="1080" w:type="dxa"/>
            <w:tcBorders>
              <w:top w:val="single" w:sz="4" w:space="0" w:color="auto"/>
              <w:left w:val="single" w:sz="4" w:space="0" w:color="auto"/>
              <w:bottom w:val="single" w:sz="4" w:space="0" w:color="auto"/>
              <w:right w:val="single" w:sz="4" w:space="0" w:color="auto"/>
            </w:tcBorders>
            <w:vAlign w:val="center"/>
          </w:tcPr>
          <w:p w:rsidR="00F746D2" w:rsidRPr="000170DA" w:rsidRDefault="00F746D2" w:rsidP="00DD5A0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746D2" w:rsidRPr="000365E9" w:rsidRDefault="00F746D2" w:rsidP="00DD5A07">
            <w:pPr>
              <w:rPr>
                <w:rFonts w:ascii="Garamond" w:hAnsi="Garamond"/>
                <w:lang w:val="en-AU"/>
              </w:rPr>
            </w:pPr>
            <w:r>
              <w:rPr>
                <w:rFonts w:ascii="Garamond" w:hAnsi="Garamond"/>
                <w:lang w:val="en-AU"/>
              </w:rPr>
              <w:t xml:space="preserve">Not all patients are at the same risk of errors or adverse events (AEs). This paper reports on a </w:t>
            </w:r>
            <w:r w:rsidRPr="00AD0C6C">
              <w:rPr>
                <w:rFonts w:ascii="Garamond" w:hAnsi="Garamond"/>
                <w:lang w:val="en-AU"/>
              </w:rPr>
              <w:t xml:space="preserve">retrospective cohort study </w:t>
            </w:r>
            <w:r>
              <w:rPr>
                <w:rFonts w:ascii="Garamond" w:hAnsi="Garamond"/>
                <w:lang w:val="en-AU"/>
              </w:rPr>
              <w:t xml:space="preserve">involving 400 adult patients among whom there were </w:t>
            </w:r>
            <w:r w:rsidRPr="00BA7533">
              <w:rPr>
                <w:rFonts w:ascii="Garamond" w:hAnsi="Garamond"/>
                <w:lang w:val="en-AU"/>
              </w:rPr>
              <w:t>304 AEs affecting 136 patients (34%) and 97 preventable AEs affecting 53 patients (13%).</w:t>
            </w:r>
            <w:r>
              <w:rPr>
                <w:rFonts w:ascii="Garamond" w:hAnsi="Garamond"/>
                <w:lang w:val="en-AU"/>
              </w:rPr>
              <w:t xml:space="preserve"> The study found </w:t>
            </w:r>
            <w:r w:rsidRPr="00AD0C6C">
              <w:rPr>
                <w:rFonts w:ascii="Garamond" w:hAnsi="Garamond"/>
                <w:lang w:val="en-AU"/>
              </w:rPr>
              <w:t>treatment-related adverse events for patients with breast, colorectal, or lung cancer</w:t>
            </w:r>
            <w:r>
              <w:rPr>
                <w:rFonts w:ascii="Garamond" w:hAnsi="Garamond"/>
                <w:lang w:val="en-AU"/>
              </w:rPr>
              <w:t xml:space="preserve"> are rather (too) common</w:t>
            </w:r>
            <w:r w:rsidRPr="00AD0C6C">
              <w:rPr>
                <w:rFonts w:ascii="Garamond" w:hAnsi="Garamond"/>
                <w:lang w:val="en-AU"/>
              </w:rPr>
              <w:t xml:space="preserve">, with 34% of patients experiencing an adverse event during their treatment course. </w:t>
            </w:r>
            <w:r w:rsidRPr="007948FA">
              <w:rPr>
                <w:rFonts w:ascii="Garamond" w:hAnsi="Garamond"/>
                <w:b/>
                <w:lang w:val="en-AU"/>
              </w:rPr>
              <w:t>Higher risk</w:t>
            </w:r>
            <w:r>
              <w:rPr>
                <w:rFonts w:ascii="Garamond" w:hAnsi="Garamond"/>
                <w:lang w:val="en-AU"/>
              </w:rPr>
              <w:t xml:space="preserve"> appeared to be associated with </w:t>
            </w:r>
            <w:r w:rsidRPr="007948FA">
              <w:rPr>
                <w:rFonts w:ascii="Garamond" w:hAnsi="Garamond"/>
                <w:b/>
                <w:lang w:val="en-AU"/>
              </w:rPr>
              <w:t>advanced disease</w:t>
            </w:r>
            <w:r>
              <w:rPr>
                <w:rFonts w:ascii="Garamond" w:hAnsi="Garamond"/>
                <w:lang w:val="en-AU"/>
              </w:rPr>
              <w:t xml:space="preserve">, </w:t>
            </w:r>
            <w:r w:rsidRPr="007948FA">
              <w:rPr>
                <w:rFonts w:ascii="Garamond" w:hAnsi="Garamond"/>
                <w:b/>
                <w:lang w:val="en-AU"/>
              </w:rPr>
              <w:t>chemotherapy</w:t>
            </w:r>
            <w:r w:rsidRPr="00AD0C6C">
              <w:rPr>
                <w:rFonts w:ascii="Garamond" w:hAnsi="Garamond"/>
                <w:lang w:val="en-AU"/>
              </w:rPr>
              <w:t xml:space="preserve"> </w:t>
            </w:r>
            <w:r>
              <w:rPr>
                <w:rFonts w:ascii="Garamond" w:hAnsi="Garamond"/>
                <w:lang w:val="en-AU"/>
              </w:rPr>
              <w:t xml:space="preserve">and </w:t>
            </w:r>
            <w:r w:rsidRPr="00AD0C6C">
              <w:rPr>
                <w:rFonts w:ascii="Garamond" w:hAnsi="Garamond"/>
                <w:lang w:val="en-AU"/>
              </w:rPr>
              <w:t xml:space="preserve">non-White race and Hispanic </w:t>
            </w:r>
            <w:r w:rsidRPr="007948FA">
              <w:rPr>
                <w:rFonts w:ascii="Garamond" w:hAnsi="Garamond"/>
                <w:b/>
                <w:lang w:val="en-AU"/>
              </w:rPr>
              <w:t>ethnicity</w:t>
            </w:r>
            <w:r w:rsidRPr="00AD0C6C">
              <w:rPr>
                <w:rFonts w:ascii="Garamond" w:hAnsi="Garamond"/>
                <w:lang w:val="en-AU"/>
              </w:rPr>
              <w:t>.</w:t>
            </w:r>
          </w:p>
        </w:tc>
      </w:tr>
    </w:tbl>
    <w:p w:rsidR="006173A8" w:rsidRPr="006173A8" w:rsidRDefault="006173A8" w:rsidP="00EE2A35">
      <w:pPr>
        <w:keepNext/>
        <w:keepLines/>
        <w:autoSpaceDE w:val="0"/>
        <w:autoSpaceDN w:val="0"/>
        <w:adjustRightInd w:val="0"/>
        <w:rPr>
          <w:rFonts w:ascii="Garamond" w:hAnsi="Garamond"/>
          <w:i/>
          <w:lang w:val="en-AU"/>
        </w:rPr>
      </w:pPr>
      <w:r w:rsidRPr="006173A8">
        <w:rPr>
          <w:rFonts w:ascii="Garamond" w:hAnsi="Garamond"/>
          <w:i/>
          <w:lang w:val="en-AU"/>
        </w:rPr>
        <w:t>Adding Cost-effectiveness to Define Low-Value Care</w:t>
      </w:r>
    </w:p>
    <w:p w:rsidR="006173A8" w:rsidRDefault="006173A8" w:rsidP="00EE2A35">
      <w:pPr>
        <w:keepNext/>
        <w:keepLines/>
        <w:autoSpaceDE w:val="0"/>
        <w:autoSpaceDN w:val="0"/>
        <w:adjustRightInd w:val="0"/>
        <w:rPr>
          <w:rFonts w:ascii="Garamond" w:hAnsi="Garamond"/>
          <w:lang w:val="en-AU"/>
        </w:rPr>
      </w:pPr>
      <w:r w:rsidRPr="006173A8">
        <w:rPr>
          <w:rFonts w:ascii="Garamond" w:hAnsi="Garamond"/>
          <w:lang w:val="en-AU"/>
        </w:rPr>
        <w:t>Pandya A</w:t>
      </w:r>
    </w:p>
    <w:p w:rsidR="006173A8" w:rsidRPr="00E566B0" w:rsidRDefault="006173A8" w:rsidP="00EE2A35">
      <w:pPr>
        <w:keepNext/>
        <w:keepLines/>
        <w:autoSpaceDE w:val="0"/>
        <w:autoSpaceDN w:val="0"/>
        <w:adjustRightInd w:val="0"/>
        <w:rPr>
          <w:rFonts w:ascii="Garamond" w:hAnsi="Garamond"/>
          <w:lang w:val="en-AU"/>
        </w:rPr>
      </w:pPr>
      <w:proofErr w:type="gramStart"/>
      <w:r w:rsidRPr="006173A8">
        <w:rPr>
          <w:rFonts w:ascii="Garamond" w:hAnsi="Garamond"/>
          <w:lang w:val="en-AU"/>
        </w:rPr>
        <w:t>Journal of the American Medical Association.</w:t>
      </w:r>
      <w:proofErr w:type="gramEnd"/>
      <w:r w:rsidRPr="006173A8">
        <w:rPr>
          <w:rFonts w:ascii="Garamond" w:hAnsi="Garamond"/>
          <w:lang w:val="en-AU"/>
        </w:rPr>
        <w:t xml:space="preserve"> 2018</w:t>
      </w:r>
      <w:proofErr w:type="gramStart"/>
      <w:r w:rsidRPr="006173A8">
        <w:rPr>
          <w:rFonts w:ascii="Garamond" w:hAnsi="Garamond"/>
          <w:lang w:val="en-AU"/>
        </w:rPr>
        <w:t>;319</w:t>
      </w:r>
      <w:proofErr w:type="gramEnd"/>
      <w:r w:rsidRPr="006173A8">
        <w:rPr>
          <w:rFonts w:ascii="Garamond" w:hAnsi="Garamond"/>
          <w:lang w:val="en-AU"/>
        </w:rPr>
        <w:t>(19):1977-8.</w:t>
      </w:r>
    </w:p>
    <w:tbl>
      <w:tblPr>
        <w:tblStyle w:val="TableGrid"/>
        <w:tblW w:w="0" w:type="auto"/>
        <w:tblInd w:w="288" w:type="dxa"/>
        <w:tblLayout w:type="fixed"/>
        <w:tblLook w:val="01E0" w:firstRow="1" w:lastRow="1" w:firstColumn="1" w:lastColumn="1" w:noHBand="0" w:noVBand="0"/>
      </w:tblPr>
      <w:tblGrid>
        <w:gridCol w:w="1080"/>
        <w:gridCol w:w="8280"/>
      </w:tblGrid>
      <w:tr w:rsidR="00EE2A35" w:rsidRPr="000170DA" w:rsidTr="00142C12">
        <w:tc>
          <w:tcPr>
            <w:tcW w:w="1080" w:type="dxa"/>
            <w:tcBorders>
              <w:top w:val="single" w:sz="4" w:space="0" w:color="auto"/>
              <w:left w:val="single" w:sz="4" w:space="0" w:color="auto"/>
              <w:bottom w:val="single" w:sz="4" w:space="0" w:color="auto"/>
              <w:right w:val="single" w:sz="4" w:space="0" w:color="auto"/>
            </w:tcBorders>
            <w:vAlign w:val="center"/>
          </w:tcPr>
          <w:p w:rsidR="00EE2A35" w:rsidRPr="000170DA" w:rsidRDefault="00EE2A35" w:rsidP="00142C12">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E2A35" w:rsidRPr="000170DA" w:rsidRDefault="00B0188A" w:rsidP="00142C12">
            <w:pPr>
              <w:rPr>
                <w:rStyle w:val="Hyperlink"/>
                <w:rFonts w:ascii="Garamond" w:hAnsi="Garamond"/>
                <w:color w:val="auto"/>
                <w:u w:val="none"/>
                <w:lang w:val="en-AU"/>
              </w:rPr>
            </w:pPr>
            <w:hyperlink r:id="rId29" w:history="1">
              <w:r w:rsidR="00936B1B" w:rsidRPr="0018734D">
                <w:rPr>
                  <w:rStyle w:val="Hyperlink"/>
                  <w:rFonts w:ascii="Garamond" w:hAnsi="Garamond"/>
                  <w:lang w:val="en-AU"/>
                </w:rPr>
                <w:t>https://doi.org/10.1001/jama.2018.2856</w:t>
              </w:r>
            </w:hyperlink>
          </w:p>
        </w:tc>
      </w:tr>
      <w:tr w:rsidR="00EE2A35" w:rsidRPr="000170DA" w:rsidTr="00142C12">
        <w:tc>
          <w:tcPr>
            <w:tcW w:w="1080" w:type="dxa"/>
            <w:tcBorders>
              <w:top w:val="single" w:sz="4" w:space="0" w:color="auto"/>
              <w:left w:val="single" w:sz="4" w:space="0" w:color="auto"/>
              <w:bottom w:val="single" w:sz="4" w:space="0" w:color="auto"/>
              <w:right w:val="single" w:sz="4" w:space="0" w:color="auto"/>
            </w:tcBorders>
            <w:vAlign w:val="center"/>
          </w:tcPr>
          <w:p w:rsidR="00EE2A35" w:rsidRPr="000170DA" w:rsidRDefault="00EE2A35" w:rsidP="00142C1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36B1B" w:rsidRPr="000365E9" w:rsidRDefault="007948FA" w:rsidP="00F746D2">
            <w:pPr>
              <w:rPr>
                <w:rFonts w:ascii="Garamond" w:hAnsi="Garamond"/>
                <w:lang w:val="en-AU"/>
              </w:rPr>
            </w:pPr>
            <w:r>
              <w:rPr>
                <w:rFonts w:ascii="Garamond" w:hAnsi="Garamond"/>
                <w:lang w:val="en-AU"/>
              </w:rPr>
              <w:t>This Viewpoint piece argues for greater consideration of cost-effectiveness in assessing “low-value care”. The author also suggests that some of what is termed “l</w:t>
            </w:r>
            <w:r w:rsidR="00936B1B">
              <w:rPr>
                <w:rFonts w:ascii="Garamond" w:hAnsi="Garamond"/>
                <w:lang w:val="en-AU"/>
              </w:rPr>
              <w:t>ow</w:t>
            </w:r>
            <w:r>
              <w:rPr>
                <w:rFonts w:ascii="Garamond" w:hAnsi="Garamond"/>
                <w:lang w:val="en-AU"/>
              </w:rPr>
              <w:t>-</w:t>
            </w:r>
            <w:r w:rsidR="00936B1B">
              <w:rPr>
                <w:rFonts w:ascii="Garamond" w:hAnsi="Garamond"/>
                <w:lang w:val="en-AU"/>
              </w:rPr>
              <w:t>value</w:t>
            </w:r>
            <w:r>
              <w:rPr>
                <w:rFonts w:ascii="Garamond" w:hAnsi="Garamond"/>
                <w:lang w:val="en-AU"/>
              </w:rPr>
              <w:t xml:space="preserve"> care” is actually more accurately deemed ‘n</w:t>
            </w:r>
            <w:r w:rsidR="00936B1B">
              <w:rPr>
                <w:rFonts w:ascii="Garamond" w:hAnsi="Garamond"/>
                <w:lang w:val="en-AU"/>
              </w:rPr>
              <w:t>o</w:t>
            </w:r>
            <w:r>
              <w:rPr>
                <w:rFonts w:ascii="Garamond" w:hAnsi="Garamond"/>
                <w:lang w:val="en-AU"/>
              </w:rPr>
              <w:t>-</w:t>
            </w:r>
            <w:r w:rsidR="00936B1B">
              <w:rPr>
                <w:rFonts w:ascii="Garamond" w:hAnsi="Garamond"/>
                <w:lang w:val="en-AU"/>
              </w:rPr>
              <w:t>value</w:t>
            </w:r>
            <w:r>
              <w:rPr>
                <w:rFonts w:ascii="Garamond" w:hAnsi="Garamond"/>
                <w:lang w:val="en-AU"/>
              </w:rPr>
              <w:t xml:space="preserve"> care’. </w:t>
            </w:r>
            <w:r w:rsidR="00F746D2">
              <w:rPr>
                <w:rFonts w:ascii="Garamond" w:hAnsi="Garamond"/>
                <w:lang w:val="en-AU"/>
              </w:rPr>
              <w:t xml:space="preserve">Doing </w:t>
            </w:r>
            <w:r w:rsidR="00F746D2" w:rsidRPr="00F746D2">
              <w:rPr>
                <w:rFonts w:ascii="Garamond" w:hAnsi="Garamond"/>
                <w:b/>
                <w:lang w:val="en-AU"/>
              </w:rPr>
              <w:t>cost-effectiveness analysis</w:t>
            </w:r>
            <w:r w:rsidR="00F746D2" w:rsidRPr="00F746D2">
              <w:rPr>
                <w:rFonts w:ascii="Garamond" w:hAnsi="Garamond"/>
                <w:lang w:val="en-AU"/>
              </w:rPr>
              <w:t xml:space="preserve"> </w:t>
            </w:r>
            <w:r w:rsidR="00F746D2">
              <w:rPr>
                <w:rFonts w:ascii="Garamond" w:hAnsi="Garamond"/>
                <w:lang w:val="en-AU"/>
              </w:rPr>
              <w:t xml:space="preserve">would </w:t>
            </w:r>
            <w:r w:rsidR="00F746D2" w:rsidRPr="00F746D2">
              <w:rPr>
                <w:rFonts w:ascii="Garamond" w:hAnsi="Garamond"/>
                <w:lang w:val="en-AU"/>
              </w:rPr>
              <w:t>provide</w:t>
            </w:r>
            <w:r w:rsidR="00F746D2">
              <w:rPr>
                <w:rFonts w:ascii="Garamond" w:hAnsi="Garamond"/>
                <w:lang w:val="en-AU"/>
              </w:rPr>
              <w:t xml:space="preserve"> ‘</w:t>
            </w:r>
            <w:r w:rsidR="00F746D2" w:rsidRPr="00F746D2">
              <w:rPr>
                <w:rFonts w:ascii="Garamond" w:hAnsi="Garamond"/>
                <w:lang w:val="en-AU"/>
              </w:rPr>
              <w:t xml:space="preserve">a systematic and quantitative </w:t>
            </w:r>
            <w:r w:rsidR="00F746D2" w:rsidRPr="00F746D2">
              <w:rPr>
                <w:rFonts w:ascii="Garamond" w:hAnsi="Garamond"/>
                <w:b/>
                <w:lang w:val="en-AU"/>
              </w:rPr>
              <w:t>basis to distinguish high- from low-value health care</w:t>
            </w:r>
            <w:r w:rsidR="00F746D2" w:rsidRPr="00F746D2">
              <w:rPr>
                <w:rFonts w:ascii="Garamond" w:hAnsi="Garamond"/>
                <w:lang w:val="en-AU"/>
              </w:rPr>
              <w:t xml:space="preserve"> for services that improve the health of patients and it could be a useful tool in the current efforts to identify and reduce low-value health care</w:t>
            </w:r>
            <w:r w:rsidR="00F746D2">
              <w:rPr>
                <w:rFonts w:ascii="Garamond" w:hAnsi="Garamond"/>
                <w:lang w:val="en-AU"/>
              </w:rPr>
              <w:t>’</w:t>
            </w:r>
            <w:r w:rsidR="00F746D2" w:rsidRPr="00F746D2">
              <w:rPr>
                <w:rFonts w:ascii="Garamond" w:hAnsi="Garamond"/>
                <w:lang w:val="en-AU"/>
              </w:rPr>
              <w:t>.</w:t>
            </w:r>
            <w:r w:rsidR="00F746D2">
              <w:rPr>
                <w:rFonts w:ascii="Garamond" w:hAnsi="Garamond"/>
                <w:lang w:val="en-AU"/>
              </w:rPr>
              <w:t xml:space="preserve"> </w:t>
            </w:r>
            <w:r>
              <w:rPr>
                <w:rFonts w:ascii="Garamond" w:hAnsi="Garamond"/>
                <w:lang w:val="en-AU"/>
              </w:rPr>
              <w:t>Arguing for the cost-effectiveness evaluation, it is also suggested that funders/payers could use such knowledge to ‘</w:t>
            </w:r>
            <w:r w:rsidRPr="007948FA">
              <w:rPr>
                <w:rFonts w:ascii="Garamond" w:hAnsi="Garamond"/>
                <w:lang w:val="en-AU"/>
              </w:rPr>
              <w:t>negotiate lower prices or determine the levels of incentives used in value-based cost-sharing schemes</w:t>
            </w:r>
            <w:r>
              <w:rPr>
                <w:rFonts w:ascii="Garamond" w:hAnsi="Garamond"/>
                <w:lang w:val="en-AU"/>
              </w:rPr>
              <w:t>’. Indeed, if prices change this can help ‘</w:t>
            </w:r>
            <w:r w:rsidRPr="007948FA">
              <w:rPr>
                <w:rFonts w:ascii="Garamond" w:hAnsi="Garamond"/>
                <w:lang w:val="en-AU"/>
              </w:rPr>
              <w:t>convert a low-value health care service (cost-ineffective) to a high-value health care service (cost-effective)</w:t>
            </w:r>
            <w:r>
              <w:rPr>
                <w:rFonts w:ascii="Garamond" w:hAnsi="Garamond"/>
                <w:lang w:val="en-AU"/>
              </w:rPr>
              <w:t>’</w:t>
            </w:r>
            <w:r w:rsidRPr="007948FA">
              <w:rPr>
                <w:rFonts w:ascii="Garamond" w:hAnsi="Garamond"/>
                <w:lang w:val="en-AU"/>
              </w:rPr>
              <w:t>.</w:t>
            </w:r>
          </w:p>
        </w:tc>
      </w:tr>
    </w:tbl>
    <w:p w:rsidR="00EE2A35" w:rsidRDefault="00EE2A35" w:rsidP="00EE2A35">
      <w:pPr>
        <w:keepLines/>
        <w:autoSpaceDE w:val="0"/>
        <w:autoSpaceDN w:val="0"/>
        <w:adjustRightInd w:val="0"/>
        <w:rPr>
          <w:rFonts w:ascii="Garamond" w:hAnsi="Garamond"/>
          <w:lang w:val="en-AU"/>
        </w:rPr>
      </w:pPr>
    </w:p>
    <w:p w:rsidR="00EE2A35" w:rsidRPr="00AD0C6C" w:rsidRDefault="00AD0C6C" w:rsidP="00EE2A35">
      <w:pPr>
        <w:keepNext/>
        <w:keepLines/>
        <w:autoSpaceDE w:val="0"/>
        <w:autoSpaceDN w:val="0"/>
        <w:adjustRightInd w:val="0"/>
        <w:rPr>
          <w:rFonts w:ascii="Garamond" w:hAnsi="Garamond"/>
          <w:i/>
          <w:lang w:val="en-AU"/>
        </w:rPr>
      </w:pPr>
      <w:r w:rsidRPr="00AD0C6C">
        <w:rPr>
          <w:rFonts w:ascii="Garamond" w:hAnsi="Garamond"/>
          <w:i/>
          <w:lang w:val="en-AU"/>
        </w:rPr>
        <w:t>Improving Maternal Safety at Scale with the Mentor Model of Collaborative Improvement</w:t>
      </w:r>
    </w:p>
    <w:p w:rsidR="00946C7C" w:rsidRDefault="00946C7C" w:rsidP="00EE2A35">
      <w:pPr>
        <w:keepNext/>
        <w:keepLines/>
        <w:autoSpaceDE w:val="0"/>
        <w:autoSpaceDN w:val="0"/>
        <w:adjustRightInd w:val="0"/>
        <w:rPr>
          <w:rFonts w:ascii="Garamond" w:hAnsi="Garamond"/>
          <w:lang w:val="en-AU"/>
        </w:rPr>
      </w:pPr>
      <w:r w:rsidRPr="00946C7C">
        <w:rPr>
          <w:rFonts w:ascii="Garamond" w:hAnsi="Garamond"/>
          <w:lang w:val="en-AU"/>
        </w:rPr>
        <w:t>Main EK, Dhurjati R, Cape V, Vasher J, Abreo A, Chang S-C, et al.</w:t>
      </w:r>
    </w:p>
    <w:p w:rsidR="00AD0C6C" w:rsidRPr="00E566B0" w:rsidRDefault="00946C7C" w:rsidP="00EE2A35">
      <w:pPr>
        <w:keepNext/>
        <w:keepLines/>
        <w:autoSpaceDE w:val="0"/>
        <w:autoSpaceDN w:val="0"/>
        <w:adjustRightInd w:val="0"/>
        <w:rPr>
          <w:rFonts w:ascii="Garamond" w:hAnsi="Garamond"/>
          <w:lang w:val="en-AU"/>
        </w:rPr>
      </w:pPr>
      <w:proofErr w:type="gramStart"/>
      <w:r w:rsidRPr="00946C7C">
        <w:rPr>
          <w:rFonts w:ascii="Garamond" w:hAnsi="Garamond"/>
          <w:lang w:val="en-AU"/>
        </w:rPr>
        <w:t>Joint Commission Journal on Quality and Patient Safety.</w:t>
      </w:r>
      <w:proofErr w:type="gramEnd"/>
      <w:r w:rsidRPr="00946C7C">
        <w:rPr>
          <w:rFonts w:ascii="Garamond" w:hAnsi="Garamond"/>
          <w:lang w:val="en-AU"/>
        </w:rPr>
        <w:t xml:space="preserve"> 2018</w:t>
      </w:r>
      <w:proofErr w:type="gramStart"/>
      <w:r w:rsidRPr="00946C7C">
        <w:rPr>
          <w:rFonts w:ascii="Garamond" w:hAnsi="Garamond"/>
          <w:lang w:val="en-AU"/>
        </w:rPr>
        <w:t>;44</w:t>
      </w:r>
      <w:proofErr w:type="gramEnd"/>
      <w:r w:rsidRPr="00946C7C">
        <w:rPr>
          <w:rFonts w:ascii="Garamond" w:hAnsi="Garamond"/>
          <w:lang w:val="en-AU"/>
        </w:rPr>
        <w:t>(5):250-9.</w:t>
      </w:r>
    </w:p>
    <w:tbl>
      <w:tblPr>
        <w:tblStyle w:val="TableGrid"/>
        <w:tblW w:w="0" w:type="auto"/>
        <w:tblInd w:w="288" w:type="dxa"/>
        <w:tblLayout w:type="fixed"/>
        <w:tblLook w:val="01E0" w:firstRow="1" w:lastRow="1" w:firstColumn="1" w:lastColumn="1" w:noHBand="0" w:noVBand="0"/>
      </w:tblPr>
      <w:tblGrid>
        <w:gridCol w:w="1080"/>
        <w:gridCol w:w="8280"/>
      </w:tblGrid>
      <w:tr w:rsidR="00EE2A35" w:rsidRPr="000170DA" w:rsidTr="00142C12">
        <w:tc>
          <w:tcPr>
            <w:tcW w:w="1080" w:type="dxa"/>
            <w:tcBorders>
              <w:top w:val="single" w:sz="4" w:space="0" w:color="auto"/>
              <w:left w:val="single" w:sz="4" w:space="0" w:color="auto"/>
              <w:bottom w:val="single" w:sz="4" w:space="0" w:color="auto"/>
              <w:right w:val="single" w:sz="4" w:space="0" w:color="auto"/>
            </w:tcBorders>
            <w:vAlign w:val="center"/>
          </w:tcPr>
          <w:p w:rsidR="00EE2A35" w:rsidRPr="000170DA" w:rsidRDefault="00EE2A35" w:rsidP="00142C12">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E2A35" w:rsidRPr="000170DA" w:rsidRDefault="001E207D" w:rsidP="001E207D">
            <w:pPr>
              <w:rPr>
                <w:rStyle w:val="Hyperlink"/>
                <w:rFonts w:ascii="Garamond" w:hAnsi="Garamond"/>
                <w:color w:val="auto"/>
                <w:u w:val="none"/>
                <w:lang w:val="en-AU"/>
              </w:rPr>
            </w:pPr>
            <w:hyperlink r:id="rId30" w:history="1">
              <w:r w:rsidRPr="002D7B2F">
                <w:rPr>
                  <w:rStyle w:val="Hyperlink"/>
                  <w:rFonts w:ascii="Garamond" w:hAnsi="Garamond"/>
                  <w:lang w:val="en-AU"/>
                </w:rPr>
                <w:t>https://doi.org/10.1016/j.jcjq.2017.11.005</w:t>
              </w:r>
            </w:hyperlink>
          </w:p>
        </w:tc>
      </w:tr>
      <w:tr w:rsidR="00EE2A35" w:rsidRPr="000170DA" w:rsidTr="00142C12">
        <w:tc>
          <w:tcPr>
            <w:tcW w:w="1080" w:type="dxa"/>
            <w:tcBorders>
              <w:top w:val="single" w:sz="4" w:space="0" w:color="auto"/>
              <w:left w:val="single" w:sz="4" w:space="0" w:color="auto"/>
              <w:bottom w:val="single" w:sz="4" w:space="0" w:color="auto"/>
              <w:right w:val="single" w:sz="4" w:space="0" w:color="auto"/>
            </w:tcBorders>
            <w:vAlign w:val="center"/>
          </w:tcPr>
          <w:p w:rsidR="00EE2A35" w:rsidRPr="000170DA" w:rsidRDefault="00EE2A35" w:rsidP="00142C1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D0C6C" w:rsidRPr="000365E9" w:rsidRDefault="00AD0C6C" w:rsidP="00946C7C">
            <w:pPr>
              <w:rPr>
                <w:rFonts w:ascii="Garamond" w:hAnsi="Garamond"/>
                <w:lang w:val="en-AU"/>
              </w:rPr>
            </w:pPr>
            <w:r>
              <w:rPr>
                <w:rFonts w:ascii="Garamond" w:hAnsi="Garamond"/>
                <w:lang w:val="en-AU"/>
              </w:rPr>
              <w:t xml:space="preserve">Paper describing the </w:t>
            </w:r>
            <w:r w:rsidRPr="00AD0C6C">
              <w:rPr>
                <w:rFonts w:ascii="Garamond" w:hAnsi="Garamond"/>
                <w:lang w:val="en-AU"/>
              </w:rPr>
              <w:t xml:space="preserve">implementation of a quality improvement initiative for obstetric safety </w:t>
            </w:r>
            <w:r>
              <w:rPr>
                <w:rFonts w:ascii="Garamond" w:hAnsi="Garamond"/>
                <w:lang w:val="en-AU"/>
              </w:rPr>
              <w:t xml:space="preserve">in </w:t>
            </w:r>
            <w:r w:rsidRPr="00AD0C6C">
              <w:rPr>
                <w:rFonts w:ascii="Garamond" w:hAnsi="Garamond"/>
                <w:lang w:val="en-AU"/>
              </w:rPr>
              <w:t xml:space="preserve">California. </w:t>
            </w:r>
            <w:r>
              <w:rPr>
                <w:rFonts w:ascii="Garamond" w:hAnsi="Garamond"/>
                <w:lang w:val="en-AU"/>
              </w:rPr>
              <w:t>This program</w:t>
            </w:r>
            <w:r w:rsidR="00BB66DB">
              <w:rPr>
                <w:rFonts w:ascii="Garamond" w:hAnsi="Garamond"/>
                <w:lang w:val="en-AU"/>
              </w:rPr>
              <w:t>, the</w:t>
            </w:r>
            <w:r w:rsidR="00BB66DB" w:rsidRPr="00BB66DB">
              <w:rPr>
                <w:rFonts w:ascii="Garamond" w:hAnsi="Garamond"/>
                <w:lang w:val="en-AU"/>
              </w:rPr>
              <w:t xml:space="preserve"> California Maternal Quality Care Collaborative </w:t>
            </w:r>
            <w:r w:rsidR="00BB66DB">
              <w:rPr>
                <w:rFonts w:ascii="Garamond" w:hAnsi="Garamond"/>
                <w:lang w:val="en-AU"/>
              </w:rPr>
              <w:t xml:space="preserve">grouped </w:t>
            </w:r>
            <w:r w:rsidR="00BB66DB">
              <w:rPr>
                <w:rFonts w:ascii="Garamond" w:hAnsi="Garamond"/>
                <w:lang w:val="en-AU"/>
              </w:rPr>
              <w:t xml:space="preserve">the 126 </w:t>
            </w:r>
            <w:r w:rsidR="00BB66DB" w:rsidRPr="00AD0C6C">
              <w:rPr>
                <w:rFonts w:ascii="Garamond" w:hAnsi="Garamond"/>
                <w:lang w:val="en-AU"/>
              </w:rPr>
              <w:t xml:space="preserve">participating health systems into </w:t>
            </w:r>
            <w:r w:rsidR="00BB66DB">
              <w:rPr>
                <w:rFonts w:ascii="Garamond" w:hAnsi="Garamond"/>
                <w:lang w:val="en-AU"/>
              </w:rPr>
              <w:t>small clusters</w:t>
            </w:r>
            <w:r w:rsidR="00BB66DB">
              <w:rPr>
                <w:rFonts w:ascii="Garamond" w:hAnsi="Garamond"/>
                <w:lang w:val="en-AU"/>
              </w:rPr>
              <w:t xml:space="preserve"> of six to eight </w:t>
            </w:r>
            <w:r w:rsidR="00BB66DB" w:rsidRPr="00BB66DB">
              <w:rPr>
                <w:rFonts w:ascii="Garamond" w:hAnsi="Garamond"/>
                <w:lang w:val="en-AU"/>
              </w:rPr>
              <w:t>hospitals, led by a paired dyad of physician and nurse leaders</w:t>
            </w:r>
            <w:r w:rsidR="00BB66DB">
              <w:rPr>
                <w:rFonts w:ascii="Garamond" w:hAnsi="Garamond"/>
                <w:lang w:val="en-AU"/>
              </w:rPr>
              <w:t xml:space="preserve"> </w:t>
            </w:r>
            <w:r w:rsidRPr="00AD0C6C">
              <w:rPr>
                <w:rFonts w:ascii="Garamond" w:hAnsi="Garamond"/>
                <w:lang w:val="en-AU"/>
              </w:rPr>
              <w:t xml:space="preserve">as mentors. </w:t>
            </w:r>
            <w:r w:rsidR="00946C7C">
              <w:rPr>
                <w:rFonts w:ascii="Garamond" w:hAnsi="Garamond"/>
                <w:lang w:val="en-AU"/>
              </w:rPr>
              <w:t xml:space="preserve">This approach </w:t>
            </w:r>
            <w:r w:rsidR="00946C7C" w:rsidRPr="00946C7C">
              <w:rPr>
                <w:rFonts w:ascii="Garamond" w:hAnsi="Garamond"/>
                <w:lang w:val="en-AU"/>
              </w:rPr>
              <w:t>was tested by implementing the obstetric h</w:t>
            </w:r>
            <w:r w:rsidR="00946C7C">
              <w:rPr>
                <w:rFonts w:ascii="Garamond" w:hAnsi="Garamond"/>
                <w:lang w:val="en-AU"/>
              </w:rPr>
              <w:t>a</w:t>
            </w:r>
            <w:r w:rsidR="00946C7C" w:rsidRPr="00946C7C">
              <w:rPr>
                <w:rFonts w:ascii="Garamond" w:hAnsi="Garamond"/>
                <w:lang w:val="en-AU"/>
              </w:rPr>
              <w:t>emorrhage safety bundle (which consists of 17 key practices in four domains)</w:t>
            </w:r>
            <w:r w:rsidR="00946C7C">
              <w:rPr>
                <w:rFonts w:ascii="Garamond" w:hAnsi="Garamond"/>
                <w:lang w:val="en-AU"/>
              </w:rPr>
              <w:t xml:space="preserve">. </w:t>
            </w:r>
            <w:r>
              <w:rPr>
                <w:rFonts w:ascii="Garamond" w:hAnsi="Garamond"/>
                <w:lang w:val="en-AU"/>
              </w:rPr>
              <w:t>Program p</w:t>
            </w:r>
            <w:r w:rsidRPr="00AD0C6C">
              <w:rPr>
                <w:rFonts w:ascii="Garamond" w:hAnsi="Garamond"/>
                <w:lang w:val="en-AU"/>
              </w:rPr>
              <w:t xml:space="preserve">articipants reported that this mentored approach functioned better than the </w:t>
            </w:r>
            <w:r>
              <w:rPr>
                <w:rFonts w:ascii="Garamond" w:hAnsi="Garamond"/>
                <w:lang w:val="en-AU"/>
              </w:rPr>
              <w:t xml:space="preserve">typical </w:t>
            </w:r>
            <w:r w:rsidRPr="00AD0C6C">
              <w:rPr>
                <w:rFonts w:ascii="Garamond" w:hAnsi="Garamond"/>
                <w:lang w:val="en-AU"/>
              </w:rPr>
              <w:t>larger quality improvement collaborative model.</w:t>
            </w:r>
            <w:r w:rsidR="00946C7C">
              <w:rPr>
                <w:rFonts w:ascii="Garamond" w:hAnsi="Garamond"/>
                <w:lang w:val="en-AU"/>
              </w:rPr>
              <w:t xml:space="preserve"> </w:t>
            </w:r>
            <w:r w:rsidR="00946C7C" w:rsidRPr="00946C7C">
              <w:rPr>
                <w:rFonts w:ascii="Garamond" w:hAnsi="Garamond"/>
                <w:lang w:val="en-AU"/>
              </w:rPr>
              <w:t>The adoption rates for the recommended practices in the four action domains were (1) Readiness, 78.9%; (2) Recognition and Prevention, 76.5%; (3) Response, 63.1%; and (4) Reporting and Systems Learning, 58.7%.</w:t>
            </w:r>
          </w:p>
        </w:tc>
      </w:tr>
    </w:tbl>
    <w:p w:rsidR="00EE2A35" w:rsidRDefault="00EE2A35" w:rsidP="00EE2A35">
      <w:pPr>
        <w:keepLines/>
        <w:autoSpaceDE w:val="0"/>
        <w:autoSpaceDN w:val="0"/>
        <w:adjustRightInd w:val="0"/>
        <w:rPr>
          <w:rFonts w:ascii="Garamond" w:hAnsi="Garamond"/>
          <w:lang w:val="en-AU"/>
        </w:rPr>
      </w:pPr>
    </w:p>
    <w:p w:rsidR="001F6026" w:rsidRPr="001F6026" w:rsidRDefault="001F6026" w:rsidP="001F6026">
      <w:pPr>
        <w:keepNext/>
        <w:keepLines/>
        <w:autoSpaceDE w:val="0"/>
        <w:autoSpaceDN w:val="0"/>
        <w:adjustRightInd w:val="0"/>
        <w:rPr>
          <w:rFonts w:ascii="Garamond" w:hAnsi="Garamond"/>
          <w:i/>
          <w:lang w:val="en-AU"/>
        </w:rPr>
      </w:pPr>
      <w:r w:rsidRPr="001F6026">
        <w:rPr>
          <w:rFonts w:ascii="Garamond" w:hAnsi="Garamond"/>
          <w:i/>
          <w:lang w:val="en-AU"/>
        </w:rPr>
        <w:lastRenderedPageBreak/>
        <w:t>American Journal of Medical Quality</w:t>
      </w:r>
    </w:p>
    <w:p w:rsidR="001F6026" w:rsidRPr="001F6026" w:rsidRDefault="001F6026" w:rsidP="001F6026">
      <w:pPr>
        <w:keepNext/>
        <w:keepLines/>
        <w:autoSpaceDE w:val="0"/>
        <w:autoSpaceDN w:val="0"/>
        <w:adjustRightInd w:val="0"/>
        <w:rPr>
          <w:rFonts w:ascii="Garamond" w:hAnsi="Garamond"/>
          <w:lang w:val="en-AU"/>
        </w:rPr>
      </w:pPr>
      <w:r w:rsidRPr="001F6026">
        <w:rPr>
          <w:rFonts w:ascii="Garamond" w:hAnsi="Garamond"/>
          <w:lang w:val="en-AU"/>
        </w:rPr>
        <w:t xml:space="preserve">Volume: 33, Number: 3 (May/June 2018) </w:t>
      </w:r>
    </w:p>
    <w:tbl>
      <w:tblPr>
        <w:tblStyle w:val="TableGrid"/>
        <w:tblW w:w="0" w:type="auto"/>
        <w:tblInd w:w="288" w:type="dxa"/>
        <w:tblLayout w:type="fixed"/>
        <w:tblLook w:val="01E0" w:firstRow="1" w:lastRow="1" w:firstColumn="1" w:lastColumn="1" w:noHBand="0" w:noVBand="0"/>
      </w:tblPr>
      <w:tblGrid>
        <w:gridCol w:w="1080"/>
        <w:gridCol w:w="8280"/>
      </w:tblGrid>
      <w:tr w:rsidR="00EE2A35" w:rsidRPr="000170DA" w:rsidTr="00142C12">
        <w:tc>
          <w:tcPr>
            <w:tcW w:w="1080" w:type="dxa"/>
            <w:tcBorders>
              <w:top w:val="single" w:sz="4" w:space="0" w:color="auto"/>
              <w:left w:val="single" w:sz="4" w:space="0" w:color="auto"/>
              <w:bottom w:val="single" w:sz="4" w:space="0" w:color="auto"/>
              <w:right w:val="single" w:sz="4" w:space="0" w:color="auto"/>
            </w:tcBorders>
            <w:vAlign w:val="center"/>
          </w:tcPr>
          <w:p w:rsidR="00EE2A35" w:rsidRPr="000170DA" w:rsidRDefault="00EE2A35" w:rsidP="00142C12">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E2A35" w:rsidRPr="000170DA" w:rsidRDefault="00B0188A" w:rsidP="00142C12">
            <w:pPr>
              <w:rPr>
                <w:rStyle w:val="Hyperlink"/>
                <w:rFonts w:ascii="Garamond" w:hAnsi="Garamond"/>
                <w:color w:val="auto"/>
                <w:u w:val="none"/>
                <w:lang w:val="en-AU"/>
              </w:rPr>
            </w:pPr>
            <w:hyperlink r:id="rId31" w:history="1">
              <w:r w:rsidR="001F6026" w:rsidRPr="0018734D">
                <w:rPr>
                  <w:rStyle w:val="Hyperlink"/>
                  <w:rFonts w:ascii="Garamond" w:hAnsi="Garamond"/>
                  <w:lang w:val="en-AU"/>
                </w:rPr>
                <w:t>http://journals.sagepub.com/toc/ajmb/33/3</w:t>
              </w:r>
            </w:hyperlink>
          </w:p>
        </w:tc>
      </w:tr>
      <w:tr w:rsidR="00EE2A35" w:rsidRPr="000170DA" w:rsidTr="00142C12">
        <w:tc>
          <w:tcPr>
            <w:tcW w:w="1080" w:type="dxa"/>
            <w:tcBorders>
              <w:top w:val="single" w:sz="4" w:space="0" w:color="auto"/>
              <w:left w:val="single" w:sz="4" w:space="0" w:color="auto"/>
              <w:bottom w:val="single" w:sz="4" w:space="0" w:color="auto"/>
              <w:right w:val="single" w:sz="4" w:space="0" w:color="auto"/>
            </w:tcBorders>
            <w:vAlign w:val="center"/>
          </w:tcPr>
          <w:p w:rsidR="00EE2A35" w:rsidRPr="000170DA" w:rsidRDefault="00EE2A35" w:rsidP="00142C1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E2A35" w:rsidRDefault="00397BD6" w:rsidP="00142C12">
            <w:pPr>
              <w:rPr>
                <w:rFonts w:ascii="Garamond" w:hAnsi="Garamond"/>
                <w:lang w:val="en-AU"/>
              </w:rPr>
            </w:pPr>
            <w:r w:rsidRPr="00397BD6">
              <w:rPr>
                <w:rFonts w:ascii="Garamond" w:hAnsi="Garamond"/>
                <w:lang w:val="en-AU"/>
              </w:rPr>
              <w:t xml:space="preserve">A new issue of the </w:t>
            </w:r>
            <w:r w:rsidRPr="001F6026">
              <w:rPr>
                <w:rFonts w:ascii="Garamond" w:hAnsi="Garamond"/>
                <w:i/>
                <w:lang w:val="en-AU"/>
              </w:rPr>
              <w:t>American Journal of Medical Quality</w:t>
            </w:r>
            <w:r w:rsidRPr="00397BD6">
              <w:rPr>
                <w:rFonts w:ascii="Garamond" w:hAnsi="Garamond"/>
                <w:lang w:val="en-AU"/>
              </w:rPr>
              <w:t xml:space="preserve"> has been published. Articles in this issue of </w:t>
            </w:r>
            <w:r w:rsidRPr="001F6026">
              <w:rPr>
                <w:rFonts w:ascii="Garamond" w:hAnsi="Garamond"/>
                <w:i/>
                <w:lang w:val="en-AU"/>
              </w:rPr>
              <w:t>American Journal of Medical Quality</w:t>
            </w:r>
            <w:r w:rsidRPr="00397BD6">
              <w:rPr>
                <w:rFonts w:ascii="Garamond" w:hAnsi="Garamond"/>
                <w:lang w:val="en-AU"/>
              </w:rPr>
              <w:t xml:space="preserve"> include:</w:t>
            </w:r>
          </w:p>
          <w:p w:rsidR="00397BD6" w:rsidRPr="00397BD6" w:rsidRDefault="00397BD6" w:rsidP="00397BD6">
            <w:pPr>
              <w:pStyle w:val="ListParagraph"/>
              <w:numPr>
                <w:ilvl w:val="0"/>
                <w:numId w:val="42"/>
              </w:numPr>
              <w:rPr>
                <w:rFonts w:ascii="Garamond" w:hAnsi="Garamond"/>
                <w:lang w:val="en-AU"/>
              </w:rPr>
            </w:pPr>
            <w:r w:rsidRPr="00397BD6">
              <w:rPr>
                <w:rFonts w:ascii="Garamond" w:hAnsi="Garamond"/>
                <w:lang w:val="en-AU"/>
              </w:rPr>
              <w:t xml:space="preserve">United States </w:t>
            </w:r>
            <w:r w:rsidRPr="00397BD6">
              <w:rPr>
                <w:rFonts w:ascii="Garamond" w:hAnsi="Garamond"/>
                <w:b/>
                <w:lang w:val="en-AU"/>
              </w:rPr>
              <w:t>Registered Nurse Workforce</w:t>
            </w:r>
            <w:r w:rsidRPr="00397BD6">
              <w:rPr>
                <w:rFonts w:ascii="Garamond" w:hAnsi="Garamond"/>
                <w:lang w:val="en-AU"/>
              </w:rPr>
              <w:t xml:space="preserve"> Report Card and Shortage Forecast: A Revisit (Xiaoming Zhang, Daniel Tai, H </w:t>
            </w:r>
            <w:r>
              <w:rPr>
                <w:rFonts w:ascii="Garamond" w:hAnsi="Garamond"/>
                <w:lang w:val="en-AU"/>
              </w:rPr>
              <w:t>Pforsich, and V W Lin )</w:t>
            </w:r>
          </w:p>
          <w:p w:rsidR="00397BD6" w:rsidRPr="00397BD6" w:rsidRDefault="00397BD6" w:rsidP="00397BD6">
            <w:pPr>
              <w:pStyle w:val="ListParagraph"/>
              <w:numPr>
                <w:ilvl w:val="0"/>
                <w:numId w:val="42"/>
              </w:numPr>
              <w:rPr>
                <w:rFonts w:ascii="Garamond" w:hAnsi="Garamond"/>
                <w:lang w:val="en-AU"/>
              </w:rPr>
            </w:pPr>
            <w:r w:rsidRPr="00397BD6">
              <w:rPr>
                <w:rFonts w:ascii="Garamond" w:hAnsi="Garamond"/>
                <w:lang w:val="en-AU"/>
              </w:rPr>
              <w:t xml:space="preserve">Improving Performance on </w:t>
            </w:r>
            <w:r w:rsidRPr="00397BD6">
              <w:rPr>
                <w:rFonts w:ascii="Garamond" w:hAnsi="Garamond"/>
                <w:b/>
                <w:lang w:val="en-AU"/>
              </w:rPr>
              <w:t>Preventive Health Quality Measures</w:t>
            </w:r>
            <w:r w:rsidRPr="00397BD6">
              <w:rPr>
                <w:rFonts w:ascii="Garamond" w:hAnsi="Garamond"/>
                <w:lang w:val="en-AU"/>
              </w:rPr>
              <w:t xml:space="preserve"> Using Clinical Decision Support to Capture Care Done Elsewhere and Patient Exceptions (Michael E Bowen, Deepa Bhat, Jason Fish, Brett Moran, Temple Howell-Stampley, Lynne Kirk, Stephen</w:t>
            </w:r>
            <w:r>
              <w:rPr>
                <w:rFonts w:ascii="Garamond" w:hAnsi="Garamond"/>
                <w:lang w:val="en-AU"/>
              </w:rPr>
              <w:t xml:space="preserve"> D Persell, and Ethan A. Halm)</w:t>
            </w:r>
          </w:p>
          <w:p w:rsidR="00397BD6" w:rsidRPr="00397BD6" w:rsidRDefault="00397BD6" w:rsidP="00397BD6">
            <w:pPr>
              <w:pStyle w:val="ListParagraph"/>
              <w:numPr>
                <w:ilvl w:val="0"/>
                <w:numId w:val="42"/>
              </w:numPr>
              <w:rPr>
                <w:rFonts w:ascii="Garamond" w:hAnsi="Garamond"/>
                <w:lang w:val="en-AU"/>
              </w:rPr>
            </w:pPr>
            <w:r w:rsidRPr="00397BD6">
              <w:rPr>
                <w:rFonts w:ascii="Garamond" w:hAnsi="Garamond"/>
                <w:b/>
                <w:lang w:val="en-AU"/>
              </w:rPr>
              <w:t>Recruiting Practices for Change Initiatives</w:t>
            </w:r>
            <w:r w:rsidRPr="00397BD6">
              <w:rPr>
                <w:rFonts w:ascii="Garamond" w:hAnsi="Garamond"/>
                <w:lang w:val="en-AU"/>
              </w:rPr>
              <w:t xml:space="preserve"> Is Hard: Findings From EvidenceNOW (Shannon M. Sweeney, Jennifer D Hall, Sarah S Ono, Leah Gordon, D Cameron, J Hemler, L I Solberg, B F </w:t>
            </w:r>
            <w:r>
              <w:rPr>
                <w:rFonts w:ascii="Garamond" w:hAnsi="Garamond"/>
                <w:lang w:val="en-AU"/>
              </w:rPr>
              <w:t>Crabtree, and D J Cohen)</w:t>
            </w:r>
          </w:p>
          <w:p w:rsidR="00397BD6" w:rsidRDefault="00397BD6" w:rsidP="00397BD6">
            <w:pPr>
              <w:pStyle w:val="ListParagraph"/>
              <w:numPr>
                <w:ilvl w:val="0"/>
                <w:numId w:val="42"/>
              </w:numPr>
              <w:rPr>
                <w:rFonts w:ascii="Garamond" w:hAnsi="Garamond"/>
                <w:lang w:val="en-AU"/>
              </w:rPr>
            </w:pPr>
            <w:r w:rsidRPr="00397BD6">
              <w:rPr>
                <w:rFonts w:ascii="Garamond" w:hAnsi="Garamond"/>
                <w:lang w:val="en-AU"/>
              </w:rPr>
              <w:t xml:space="preserve">Measuring Perceived Level of Integration During the Process of </w:t>
            </w:r>
            <w:r w:rsidRPr="00397BD6">
              <w:rPr>
                <w:rFonts w:ascii="Garamond" w:hAnsi="Garamond"/>
                <w:b/>
                <w:lang w:val="en-AU"/>
              </w:rPr>
              <w:t>Primary Care Behavioral Health Implementation</w:t>
            </w:r>
            <w:r w:rsidRPr="00397BD6">
              <w:rPr>
                <w:rFonts w:ascii="Garamond" w:hAnsi="Garamond"/>
                <w:lang w:val="en-AU"/>
              </w:rPr>
              <w:t xml:space="preserve"> (Erin M Staab, Mara Terras, Pooja Dave, Nancy Beckman, S Shah, L M Vinci, D Yohanna, and N Laiteerapong</w:t>
            </w:r>
            <w:r>
              <w:rPr>
                <w:rFonts w:ascii="Garamond" w:hAnsi="Garamond"/>
                <w:lang w:val="en-AU"/>
              </w:rPr>
              <w:t>)</w:t>
            </w:r>
          </w:p>
          <w:p w:rsidR="00397BD6" w:rsidRDefault="00397BD6" w:rsidP="00397BD6">
            <w:pPr>
              <w:pStyle w:val="ListParagraph"/>
              <w:numPr>
                <w:ilvl w:val="0"/>
                <w:numId w:val="42"/>
              </w:numPr>
              <w:rPr>
                <w:rFonts w:ascii="Garamond" w:hAnsi="Garamond"/>
                <w:lang w:val="en-AU"/>
              </w:rPr>
            </w:pPr>
            <w:r w:rsidRPr="00397BD6">
              <w:rPr>
                <w:rFonts w:ascii="Garamond" w:hAnsi="Garamond"/>
                <w:lang w:val="en-AU"/>
              </w:rPr>
              <w:t xml:space="preserve">Assessment of Adherence to Baseline </w:t>
            </w:r>
            <w:r w:rsidRPr="00397BD6">
              <w:rPr>
                <w:rFonts w:ascii="Garamond" w:hAnsi="Garamond"/>
                <w:b/>
                <w:lang w:val="en-AU"/>
              </w:rPr>
              <w:t>Quality Measures for Cirrhosis</w:t>
            </w:r>
            <w:r w:rsidRPr="00397BD6">
              <w:rPr>
                <w:rFonts w:ascii="Garamond" w:hAnsi="Garamond"/>
                <w:lang w:val="en-AU"/>
              </w:rPr>
              <w:t xml:space="preserve"> and the Impact of Performance Feedback in a Regional VA Medical Center (Jennifer A Cahi</w:t>
            </w:r>
            <w:r>
              <w:rPr>
                <w:rFonts w:ascii="Garamond" w:hAnsi="Garamond"/>
                <w:lang w:val="en-AU"/>
              </w:rPr>
              <w:t>ll, Syed Rizvi, and Kia Saeian)</w:t>
            </w:r>
          </w:p>
          <w:p w:rsidR="00397BD6" w:rsidRDefault="00397BD6" w:rsidP="00397BD6">
            <w:pPr>
              <w:pStyle w:val="ListParagraph"/>
              <w:numPr>
                <w:ilvl w:val="0"/>
                <w:numId w:val="42"/>
              </w:numPr>
              <w:rPr>
                <w:rFonts w:ascii="Garamond" w:hAnsi="Garamond"/>
                <w:lang w:val="en-AU"/>
              </w:rPr>
            </w:pPr>
            <w:r w:rsidRPr="00397BD6">
              <w:rPr>
                <w:rFonts w:ascii="Garamond" w:hAnsi="Garamond"/>
                <w:lang w:val="en-AU"/>
              </w:rPr>
              <w:t xml:space="preserve">The Promise of Equity: A Review of </w:t>
            </w:r>
            <w:r w:rsidRPr="00397BD6">
              <w:rPr>
                <w:rFonts w:ascii="Garamond" w:hAnsi="Garamond"/>
                <w:b/>
                <w:lang w:val="en-AU"/>
              </w:rPr>
              <w:t>Health Equity Research</w:t>
            </w:r>
            <w:r w:rsidRPr="00397BD6">
              <w:rPr>
                <w:rFonts w:ascii="Garamond" w:hAnsi="Garamond"/>
                <w:lang w:val="en-AU"/>
              </w:rPr>
              <w:t xml:space="preserve"> in High-Impact Quality Improvement Journals (Michael Scott and Shail Rawal)</w:t>
            </w:r>
          </w:p>
          <w:p w:rsidR="00397BD6" w:rsidRPr="00397BD6" w:rsidRDefault="00397BD6" w:rsidP="00397BD6">
            <w:pPr>
              <w:pStyle w:val="ListParagraph"/>
              <w:numPr>
                <w:ilvl w:val="0"/>
                <w:numId w:val="42"/>
              </w:numPr>
              <w:rPr>
                <w:rFonts w:ascii="Garamond" w:hAnsi="Garamond"/>
                <w:lang w:val="en-AU"/>
              </w:rPr>
            </w:pPr>
            <w:r w:rsidRPr="00397BD6">
              <w:rPr>
                <w:rFonts w:ascii="Garamond" w:hAnsi="Garamond"/>
                <w:lang w:val="en-AU"/>
              </w:rPr>
              <w:t xml:space="preserve">UPMC Prescription for Wellness: A Quality Improvement Case Study for Supporting </w:t>
            </w:r>
            <w:r w:rsidRPr="00397BD6">
              <w:rPr>
                <w:rFonts w:ascii="Garamond" w:hAnsi="Garamond"/>
                <w:b/>
                <w:lang w:val="en-AU"/>
              </w:rPr>
              <w:t>Patient Engagement and Health Behavior</w:t>
            </w:r>
            <w:r w:rsidRPr="00397BD6">
              <w:rPr>
                <w:rFonts w:ascii="Garamond" w:hAnsi="Garamond"/>
                <w:lang w:val="en-AU"/>
              </w:rPr>
              <w:t xml:space="preserve"> </w:t>
            </w:r>
            <w:r w:rsidRPr="00397BD6">
              <w:rPr>
                <w:rFonts w:ascii="Garamond" w:hAnsi="Garamond"/>
                <w:b/>
                <w:lang w:val="en-AU"/>
              </w:rPr>
              <w:t>Change</w:t>
            </w:r>
            <w:r w:rsidRPr="00397BD6">
              <w:rPr>
                <w:rFonts w:ascii="Garamond" w:hAnsi="Garamond"/>
                <w:lang w:val="en-AU"/>
              </w:rPr>
              <w:t xml:space="preserve"> (Rebecca J Maners, Eric Bakow, Michael D Parkinson, Gary S Fischer, and G R Camp)</w:t>
            </w:r>
          </w:p>
          <w:p w:rsidR="00397BD6" w:rsidRDefault="00397BD6" w:rsidP="00397BD6">
            <w:pPr>
              <w:pStyle w:val="ListParagraph"/>
              <w:numPr>
                <w:ilvl w:val="0"/>
                <w:numId w:val="42"/>
              </w:numPr>
              <w:rPr>
                <w:rFonts w:ascii="Garamond" w:hAnsi="Garamond"/>
                <w:lang w:val="en-AU"/>
              </w:rPr>
            </w:pPr>
            <w:r w:rsidRPr="00397BD6">
              <w:rPr>
                <w:rFonts w:ascii="Garamond" w:hAnsi="Garamond"/>
                <w:b/>
                <w:lang w:val="en-AU"/>
              </w:rPr>
              <w:t>Physician Perceptions of Performance Feedback</w:t>
            </w:r>
            <w:r w:rsidRPr="00397BD6">
              <w:rPr>
                <w:rFonts w:ascii="Garamond" w:hAnsi="Garamond"/>
                <w:lang w:val="en-AU"/>
              </w:rPr>
              <w:t xml:space="preserve"> in a Quality Improvement Activity </w:t>
            </w:r>
            <w:r>
              <w:rPr>
                <w:rFonts w:ascii="Garamond" w:hAnsi="Garamond"/>
                <w:lang w:val="en-AU"/>
              </w:rPr>
              <w:t>(</w:t>
            </w:r>
            <w:r w:rsidRPr="00397BD6">
              <w:rPr>
                <w:rFonts w:ascii="Garamond" w:hAnsi="Garamond"/>
                <w:lang w:val="en-AU"/>
              </w:rPr>
              <w:t>A R Eden, E Hansen, M D Hagen, and L E Peterson</w:t>
            </w:r>
            <w:r>
              <w:rPr>
                <w:rFonts w:ascii="Garamond" w:hAnsi="Garamond"/>
                <w:lang w:val="en-AU"/>
              </w:rPr>
              <w:t>)</w:t>
            </w:r>
          </w:p>
          <w:p w:rsidR="00397BD6" w:rsidRPr="00397BD6" w:rsidRDefault="00397BD6" w:rsidP="00397BD6">
            <w:pPr>
              <w:pStyle w:val="ListParagraph"/>
              <w:numPr>
                <w:ilvl w:val="0"/>
                <w:numId w:val="42"/>
              </w:numPr>
              <w:rPr>
                <w:rFonts w:ascii="Garamond" w:hAnsi="Garamond"/>
                <w:lang w:val="en-AU"/>
              </w:rPr>
            </w:pPr>
            <w:r w:rsidRPr="00397BD6">
              <w:rPr>
                <w:rFonts w:ascii="Garamond" w:hAnsi="Garamond"/>
                <w:lang w:val="en-AU"/>
              </w:rPr>
              <w:t xml:space="preserve">Does Surveillance Bias Influence the Validity of </w:t>
            </w:r>
            <w:r w:rsidRPr="00397BD6">
              <w:rPr>
                <w:rFonts w:ascii="Garamond" w:hAnsi="Garamond"/>
                <w:b/>
                <w:lang w:val="en-AU"/>
              </w:rPr>
              <w:t>Measures of Inpatient Complications</w:t>
            </w:r>
            <w:r w:rsidRPr="00397BD6">
              <w:rPr>
                <w:rFonts w:ascii="Garamond" w:hAnsi="Garamond"/>
                <w:lang w:val="en-AU"/>
              </w:rPr>
              <w:t>? A Systematic Review (Liang Chen, Jeffrey A Chan, Elaine Alligood, Amy K Rosen, and Ann M Borzecki)</w:t>
            </w:r>
          </w:p>
          <w:p w:rsidR="00397BD6" w:rsidRDefault="00397BD6" w:rsidP="00397BD6">
            <w:pPr>
              <w:pStyle w:val="ListParagraph"/>
              <w:numPr>
                <w:ilvl w:val="0"/>
                <w:numId w:val="42"/>
              </w:numPr>
              <w:rPr>
                <w:rFonts w:ascii="Garamond" w:hAnsi="Garamond"/>
                <w:lang w:val="en-AU"/>
              </w:rPr>
            </w:pPr>
            <w:r w:rsidRPr="00397BD6">
              <w:rPr>
                <w:rFonts w:ascii="Garamond" w:hAnsi="Garamond"/>
                <w:lang w:val="en-AU"/>
              </w:rPr>
              <w:t xml:space="preserve">Hospital-Based Clinicians’ Perceptions of </w:t>
            </w:r>
            <w:r w:rsidRPr="00397BD6">
              <w:rPr>
                <w:rFonts w:ascii="Garamond" w:hAnsi="Garamond"/>
                <w:b/>
                <w:lang w:val="en-AU"/>
              </w:rPr>
              <w:t>Geographic Cohorting</w:t>
            </w:r>
            <w:r w:rsidRPr="00397BD6">
              <w:rPr>
                <w:rFonts w:ascii="Garamond" w:hAnsi="Garamond"/>
                <w:lang w:val="en-AU"/>
              </w:rPr>
              <w:t>: Identifying Opportunities for Improvement (Areeba Kara, Cynthia S Johnson, Siu L Hui, and Deanne Kashiwagi</w:t>
            </w:r>
            <w:r>
              <w:rPr>
                <w:rFonts w:ascii="Garamond" w:hAnsi="Garamond"/>
                <w:lang w:val="en-AU"/>
              </w:rPr>
              <w:t>)</w:t>
            </w:r>
          </w:p>
          <w:p w:rsidR="00397BD6" w:rsidRDefault="00397BD6" w:rsidP="00397BD6">
            <w:pPr>
              <w:pStyle w:val="ListParagraph"/>
              <w:numPr>
                <w:ilvl w:val="0"/>
                <w:numId w:val="42"/>
              </w:numPr>
              <w:rPr>
                <w:rFonts w:ascii="Garamond" w:hAnsi="Garamond"/>
                <w:lang w:val="en-AU"/>
              </w:rPr>
            </w:pPr>
            <w:r w:rsidRPr="00397BD6">
              <w:rPr>
                <w:rFonts w:ascii="Garamond" w:hAnsi="Garamond"/>
                <w:lang w:val="en-AU"/>
              </w:rPr>
              <w:t xml:space="preserve">Sustained Improvement in Administration of the </w:t>
            </w:r>
            <w:r w:rsidRPr="00397BD6">
              <w:rPr>
                <w:rFonts w:ascii="Garamond" w:hAnsi="Garamond"/>
                <w:b/>
                <w:lang w:val="en-AU"/>
              </w:rPr>
              <w:t>Hepatitis B Vaccine Birth Dose</w:t>
            </w:r>
            <w:r w:rsidRPr="00397BD6">
              <w:rPr>
                <w:rFonts w:ascii="Garamond" w:hAnsi="Garamond"/>
                <w:lang w:val="en-AU"/>
              </w:rPr>
              <w:t>: A Quality Improvement Initiative (Sheri L Nemerofsky, Bolanle Akingboye, Claudia Ferguson, and Dawn Africa</w:t>
            </w:r>
            <w:r>
              <w:rPr>
                <w:rFonts w:ascii="Garamond" w:hAnsi="Garamond"/>
                <w:lang w:val="en-AU"/>
              </w:rPr>
              <w:t>)</w:t>
            </w:r>
          </w:p>
          <w:p w:rsidR="00397BD6" w:rsidRDefault="00397BD6" w:rsidP="00397BD6">
            <w:pPr>
              <w:pStyle w:val="ListParagraph"/>
              <w:numPr>
                <w:ilvl w:val="0"/>
                <w:numId w:val="42"/>
              </w:numPr>
              <w:rPr>
                <w:rFonts w:ascii="Garamond" w:hAnsi="Garamond"/>
                <w:lang w:val="en-AU"/>
              </w:rPr>
            </w:pPr>
            <w:r w:rsidRPr="00397BD6">
              <w:rPr>
                <w:rFonts w:ascii="Garamond" w:hAnsi="Garamond"/>
                <w:lang w:val="en-AU"/>
              </w:rPr>
              <w:t xml:space="preserve">Exploring the Evidence Base Behind </w:t>
            </w:r>
            <w:r w:rsidRPr="00397BD6">
              <w:rPr>
                <w:rFonts w:ascii="Garamond" w:hAnsi="Garamond"/>
                <w:b/>
                <w:lang w:val="en-AU"/>
              </w:rPr>
              <w:t>Quality Measures</w:t>
            </w:r>
            <w:r w:rsidRPr="00397BD6">
              <w:rPr>
                <w:rFonts w:ascii="Garamond" w:hAnsi="Garamond"/>
                <w:lang w:val="en-AU"/>
              </w:rPr>
              <w:t xml:space="preserve"> (Ezinne Eze-Ajoku, Melissa Lavoie, and Matthew DeCamp</w:t>
            </w:r>
            <w:r>
              <w:rPr>
                <w:rFonts w:ascii="Garamond" w:hAnsi="Garamond"/>
                <w:lang w:val="en-AU"/>
              </w:rPr>
              <w:t>)</w:t>
            </w:r>
          </w:p>
          <w:p w:rsidR="00397BD6" w:rsidRDefault="00397BD6" w:rsidP="00397BD6">
            <w:pPr>
              <w:pStyle w:val="ListParagraph"/>
              <w:numPr>
                <w:ilvl w:val="0"/>
                <w:numId w:val="42"/>
              </w:numPr>
              <w:rPr>
                <w:rFonts w:ascii="Garamond" w:hAnsi="Garamond"/>
                <w:lang w:val="en-AU"/>
              </w:rPr>
            </w:pPr>
            <w:r w:rsidRPr="00397BD6">
              <w:rPr>
                <w:rFonts w:ascii="Garamond" w:hAnsi="Garamond"/>
                <w:lang w:val="en-AU"/>
              </w:rPr>
              <w:lastRenderedPageBreak/>
              <w:t xml:space="preserve">Finding Balance: </w:t>
            </w:r>
            <w:r w:rsidRPr="00397BD6">
              <w:rPr>
                <w:rFonts w:ascii="Garamond" w:hAnsi="Garamond"/>
                <w:b/>
                <w:lang w:val="en-AU"/>
              </w:rPr>
              <w:t>Standardizing Practice</w:t>
            </w:r>
            <w:r w:rsidRPr="00397BD6">
              <w:rPr>
                <w:rFonts w:ascii="Garamond" w:hAnsi="Garamond"/>
                <w:lang w:val="en-AU"/>
              </w:rPr>
              <w:t xml:space="preserve"> Is Corseting Physician Judgement (Peter J Pronovost, Stephen A Berry, and Kathleen M Sutcliffe</w:t>
            </w:r>
            <w:r>
              <w:rPr>
                <w:rFonts w:ascii="Garamond" w:hAnsi="Garamond"/>
                <w:lang w:val="en-AU"/>
              </w:rPr>
              <w:t>)</w:t>
            </w:r>
          </w:p>
          <w:p w:rsidR="00397BD6" w:rsidRDefault="00397BD6" w:rsidP="00397BD6">
            <w:pPr>
              <w:pStyle w:val="ListParagraph"/>
              <w:numPr>
                <w:ilvl w:val="0"/>
                <w:numId w:val="42"/>
              </w:numPr>
              <w:rPr>
                <w:rFonts w:ascii="Garamond" w:hAnsi="Garamond"/>
                <w:lang w:val="en-AU"/>
              </w:rPr>
            </w:pPr>
            <w:r w:rsidRPr="00397BD6">
              <w:rPr>
                <w:rFonts w:ascii="Garamond" w:hAnsi="Garamond"/>
                <w:lang w:val="en-AU"/>
              </w:rPr>
              <w:t xml:space="preserve">Inspiring the Future of Medicine: The </w:t>
            </w:r>
            <w:r w:rsidRPr="00397BD6">
              <w:rPr>
                <w:rFonts w:ascii="Garamond" w:hAnsi="Garamond"/>
                <w:b/>
                <w:lang w:val="en-AU"/>
              </w:rPr>
              <w:t>Healthcare Improvement &amp; iNnovation in Quality</w:t>
            </w:r>
            <w:r w:rsidRPr="00397BD6">
              <w:rPr>
                <w:rFonts w:ascii="Garamond" w:hAnsi="Garamond"/>
                <w:lang w:val="en-AU"/>
              </w:rPr>
              <w:t xml:space="preserve"> (THINQ) Collaborative at UCLA Health (Aram A Namavar, Nadia Eshraghi, Anna Dermenchyan, and Nasim Afsar-manesh</w:t>
            </w:r>
            <w:r>
              <w:rPr>
                <w:rFonts w:ascii="Garamond" w:hAnsi="Garamond"/>
                <w:lang w:val="en-AU"/>
              </w:rPr>
              <w:t>)</w:t>
            </w:r>
          </w:p>
          <w:p w:rsidR="00397BD6" w:rsidRPr="00397BD6" w:rsidRDefault="00397BD6" w:rsidP="00397BD6">
            <w:pPr>
              <w:pStyle w:val="ListParagraph"/>
              <w:numPr>
                <w:ilvl w:val="0"/>
                <w:numId w:val="42"/>
              </w:numPr>
              <w:rPr>
                <w:rFonts w:ascii="Garamond" w:hAnsi="Garamond"/>
                <w:lang w:val="en-AU"/>
              </w:rPr>
            </w:pPr>
            <w:r w:rsidRPr="00397BD6">
              <w:rPr>
                <w:rFonts w:ascii="Garamond" w:hAnsi="Garamond"/>
                <w:lang w:val="en-AU"/>
              </w:rPr>
              <w:t xml:space="preserve">Assessing </w:t>
            </w:r>
            <w:r w:rsidRPr="00397BD6">
              <w:rPr>
                <w:rFonts w:ascii="Garamond" w:hAnsi="Garamond"/>
                <w:b/>
                <w:lang w:val="en-AU"/>
              </w:rPr>
              <w:t>Preventable Harms in the Intensive Care Unit</w:t>
            </w:r>
            <w:r w:rsidRPr="00397BD6">
              <w:rPr>
                <w:rFonts w:ascii="Garamond" w:hAnsi="Garamond"/>
                <w:lang w:val="en-AU"/>
              </w:rPr>
              <w:t xml:space="preserve">: Data From a Tertiary Care Academic Medical Institution </w:t>
            </w:r>
            <w:r>
              <w:rPr>
                <w:rFonts w:ascii="Garamond" w:hAnsi="Garamond"/>
                <w:lang w:val="en-AU"/>
              </w:rPr>
              <w:t>(</w:t>
            </w:r>
            <w:r w:rsidRPr="00397BD6">
              <w:rPr>
                <w:rFonts w:ascii="Garamond" w:hAnsi="Garamond"/>
                <w:lang w:val="en-AU"/>
              </w:rPr>
              <w:t>Nina Sung, J Matthew Aldrich, David W Shimabukuro, Michael A Matthay, and Kathleen D Liu</w:t>
            </w:r>
            <w:r>
              <w:rPr>
                <w:rFonts w:ascii="Garamond" w:hAnsi="Garamond"/>
                <w:lang w:val="en-AU"/>
              </w:rPr>
              <w:t>)</w:t>
            </w:r>
          </w:p>
        </w:tc>
      </w:tr>
    </w:tbl>
    <w:p w:rsidR="00EE2A35" w:rsidRDefault="00EE2A35" w:rsidP="00EE2A35">
      <w:pPr>
        <w:keepLines/>
        <w:autoSpaceDE w:val="0"/>
        <w:autoSpaceDN w:val="0"/>
        <w:adjustRightInd w:val="0"/>
        <w:rPr>
          <w:rFonts w:ascii="Garamond" w:hAnsi="Garamond"/>
          <w:lang w:val="en-AU"/>
        </w:rPr>
      </w:pPr>
    </w:p>
    <w:p w:rsidR="001C0CF1" w:rsidRPr="00467B47" w:rsidRDefault="001C0CF1" w:rsidP="001C0CF1">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1C0CF1" w:rsidRPr="00467B47" w:rsidTr="00900052">
        <w:trPr>
          <w:cantSplit/>
        </w:trPr>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1C0CF1" w:rsidRPr="00467B47" w:rsidRDefault="00B0188A" w:rsidP="00900052">
            <w:pPr>
              <w:keepNext/>
              <w:rPr>
                <w:rFonts w:ascii="Garamond" w:hAnsi="Garamond"/>
                <w:lang w:val="en-AU"/>
              </w:rPr>
            </w:pPr>
            <w:hyperlink r:id="rId32" w:history="1">
              <w:r w:rsidR="001C0CF1" w:rsidRPr="00467B47">
                <w:rPr>
                  <w:rStyle w:val="Hyperlink"/>
                  <w:rFonts w:ascii="Garamond" w:hAnsi="Garamond"/>
                  <w:lang w:val="en-AU"/>
                </w:rPr>
                <w:t>https://qualitysafety.bmj.com/content/early/recent</w:t>
              </w:r>
            </w:hyperlink>
          </w:p>
        </w:tc>
      </w:tr>
      <w:tr w:rsidR="001C0CF1"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1C0CF1" w:rsidRPr="00467B47" w:rsidRDefault="001C0CF1" w:rsidP="00900052">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A74990" w:rsidRPr="00A74990" w:rsidRDefault="00A74990" w:rsidP="00A74990">
            <w:pPr>
              <w:pStyle w:val="ListParagraph"/>
              <w:numPr>
                <w:ilvl w:val="0"/>
                <w:numId w:val="14"/>
              </w:numPr>
              <w:rPr>
                <w:rFonts w:ascii="Garamond" w:hAnsi="Garamond"/>
                <w:lang w:val="en-AU"/>
              </w:rPr>
            </w:pPr>
            <w:r w:rsidRPr="00A74990">
              <w:rPr>
                <w:rFonts w:ascii="Garamond" w:hAnsi="Garamond"/>
                <w:b/>
                <w:lang w:val="en-AU"/>
              </w:rPr>
              <w:t>Ranking hospitals</w:t>
            </w:r>
            <w:r w:rsidRPr="00A74990">
              <w:rPr>
                <w:rFonts w:ascii="Garamond" w:hAnsi="Garamond"/>
                <w:lang w:val="en-AU"/>
              </w:rPr>
              <w:t>: do we gain reliability by using composite rather than individual indicators? (Stefanie N Hofstede, Iris E Ceyisakar, Hester F Lingsma, Dionne S Kringos, Perla J Marang-van de Mheen</w:t>
            </w:r>
            <w:r>
              <w:rPr>
                <w:rFonts w:ascii="Garamond" w:hAnsi="Garamond"/>
                <w:lang w:val="en-AU"/>
              </w:rPr>
              <w:t>)</w:t>
            </w:r>
          </w:p>
          <w:p w:rsidR="00A74990" w:rsidRDefault="00A74990" w:rsidP="00A74990">
            <w:pPr>
              <w:pStyle w:val="ListParagraph"/>
              <w:numPr>
                <w:ilvl w:val="0"/>
                <w:numId w:val="14"/>
              </w:numPr>
              <w:rPr>
                <w:rFonts w:ascii="Garamond" w:hAnsi="Garamond"/>
                <w:lang w:val="en-AU"/>
              </w:rPr>
            </w:pPr>
            <w:r w:rsidRPr="00A74990">
              <w:rPr>
                <w:rFonts w:ascii="Garamond" w:hAnsi="Garamond"/>
                <w:lang w:val="en-AU"/>
              </w:rPr>
              <w:t xml:space="preserve">Immediate and long-term effects of a </w:t>
            </w:r>
            <w:r w:rsidRPr="00A74990">
              <w:rPr>
                <w:rFonts w:ascii="Garamond" w:hAnsi="Garamond"/>
                <w:b/>
                <w:lang w:val="en-AU"/>
              </w:rPr>
              <w:t>team-based quality improvement training programme</w:t>
            </w:r>
            <w:r w:rsidRPr="00A74990">
              <w:rPr>
                <w:rFonts w:ascii="Garamond" w:hAnsi="Garamond"/>
                <w:lang w:val="en-AU"/>
              </w:rPr>
              <w:t xml:space="preserve"> (Kevin J O’Leary, Abra L Fant, Jessica Thurk, Karl Y Bilimoria, Aashish K Didwania, Kristine M Gleason, Matthew Groth, Jane L Holl, C A Knoten, G J Martin, P O’Sullivan, M Schumacher, D M Woods</w:t>
            </w:r>
            <w:r>
              <w:rPr>
                <w:rFonts w:ascii="Garamond" w:hAnsi="Garamond"/>
                <w:lang w:val="en-AU"/>
              </w:rPr>
              <w:t>)</w:t>
            </w:r>
          </w:p>
          <w:p w:rsidR="00481C15" w:rsidRPr="00A74990" w:rsidRDefault="00254D02" w:rsidP="00A74990">
            <w:pPr>
              <w:pStyle w:val="ListParagraph"/>
              <w:numPr>
                <w:ilvl w:val="0"/>
                <w:numId w:val="14"/>
              </w:numPr>
              <w:rPr>
                <w:rFonts w:ascii="Garamond" w:hAnsi="Garamond"/>
                <w:lang w:val="en-AU"/>
              </w:rPr>
            </w:pPr>
            <w:r w:rsidRPr="00A74990">
              <w:rPr>
                <w:rFonts w:ascii="Garamond" w:hAnsi="Garamond"/>
                <w:lang w:val="en-AU"/>
              </w:rPr>
              <w:t xml:space="preserve">Variable effectiveness of stepwise implementation of </w:t>
            </w:r>
            <w:r w:rsidRPr="00A74990">
              <w:rPr>
                <w:rFonts w:ascii="Garamond" w:hAnsi="Garamond"/>
                <w:b/>
                <w:lang w:val="en-AU"/>
              </w:rPr>
              <w:t>nudge-type interventions</w:t>
            </w:r>
            <w:r w:rsidRPr="00A74990">
              <w:rPr>
                <w:rFonts w:ascii="Garamond" w:hAnsi="Garamond"/>
                <w:lang w:val="en-AU"/>
              </w:rPr>
              <w:t xml:space="preserve"> to improve provider compliance with </w:t>
            </w:r>
            <w:r w:rsidRPr="00A74990">
              <w:rPr>
                <w:rFonts w:ascii="Garamond" w:hAnsi="Garamond"/>
                <w:b/>
                <w:lang w:val="en-AU"/>
              </w:rPr>
              <w:t>intraoperative low tidal volume ventilation</w:t>
            </w:r>
            <w:r w:rsidRPr="00A74990">
              <w:rPr>
                <w:rFonts w:ascii="Garamond" w:hAnsi="Garamond"/>
                <w:lang w:val="en-AU"/>
              </w:rPr>
              <w:t xml:space="preserve"> (Vikas N O’Reilly-Shah, George S Easton, Craig S Jabaley, Grant C Lynde)</w:t>
            </w:r>
          </w:p>
          <w:p w:rsidR="00C4579D" w:rsidRPr="00467B47" w:rsidRDefault="00C4579D" w:rsidP="00C4579D">
            <w:pPr>
              <w:pStyle w:val="ListParagraph"/>
              <w:numPr>
                <w:ilvl w:val="0"/>
                <w:numId w:val="14"/>
              </w:numPr>
              <w:rPr>
                <w:rFonts w:ascii="Garamond" w:hAnsi="Garamond"/>
                <w:lang w:val="en-AU"/>
              </w:rPr>
            </w:pPr>
            <w:r w:rsidRPr="00C4579D">
              <w:rPr>
                <w:rFonts w:ascii="Garamond" w:hAnsi="Garamond"/>
                <w:lang w:val="en-AU"/>
              </w:rPr>
              <w:t xml:space="preserve">Role of </w:t>
            </w:r>
            <w:r w:rsidRPr="00C4579D">
              <w:rPr>
                <w:rFonts w:ascii="Garamond" w:hAnsi="Garamond"/>
                <w:b/>
                <w:lang w:val="en-AU"/>
              </w:rPr>
              <w:t>patient and public involvement in implementation research</w:t>
            </w:r>
            <w:r w:rsidRPr="00C4579D">
              <w:rPr>
                <w:rFonts w:ascii="Garamond" w:hAnsi="Garamond"/>
                <w:lang w:val="en-AU"/>
              </w:rPr>
              <w:t xml:space="preserve">: a consensus study </w:t>
            </w:r>
            <w:r>
              <w:rPr>
                <w:rFonts w:ascii="Garamond" w:hAnsi="Garamond"/>
                <w:lang w:val="en-AU"/>
              </w:rPr>
              <w:t>(</w:t>
            </w:r>
            <w:r w:rsidRPr="00C4579D">
              <w:rPr>
                <w:rFonts w:ascii="Garamond" w:hAnsi="Garamond"/>
                <w:lang w:val="en-AU"/>
              </w:rPr>
              <w:t>Kara A Gray-Burrows, Thomas A Willis, Robbie Foy, Martin Rathfelder, Pauline Bland, Allison Chin, Susan Hodgson, Gus Ibegbuna, G Prestwich, K Samuel, L Wood, F Yaqoob, R R C McEachan</w:t>
            </w:r>
            <w:r>
              <w:rPr>
                <w:rFonts w:ascii="Garamond" w:hAnsi="Garamond"/>
                <w:lang w:val="en-AU"/>
              </w:rPr>
              <w:t>)</w:t>
            </w:r>
          </w:p>
        </w:tc>
      </w:tr>
    </w:tbl>
    <w:p w:rsidR="001C0CF1" w:rsidRPr="00467B47" w:rsidRDefault="001C0CF1" w:rsidP="001C0CF1">
      <w:pPr>
        <w:rPr>
          <w:rFonts w:ascii="Garamond" w:hAnsi="Garamond"/>
          <w:i/>
          <w:lang w:val="en-AU"/>
        </w:rPr>
      </w:pPr>
    </w:p>
    <w:p w:rsidR="00F746D2" w:rsidRDefault="00F746D2">
      <w:pPr>
        <w:rPr>
          <w:rFonts w:ascii="Garamond" w:hAnsi="Garamond"/>
          <w:i/>
          <w:lang w:val="en-AU"/>
        </w:rPr>
      </w:pPr>
      <w:r>
        <w:rPr>
          <w:rFonts w:ascii="Garamond" w:hAnsi="Garamond"/>
          <w:i/>
          <w:lang w:val="en-AU"/>
        </w:rPr>
        <w:br w:type="page"/>
      </w:r>
    </w:p>
    <w:p w:rsidR="00A660B0" w:rsidRPr="00467B47" w:rsidRDefault="00A660B0" w:rsidP="00772B33">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660B0" w:rsidRPr="00467B47" w:rsidRDefault="00B0188A" w:rsidP="00900052">
            <w:pPr>
              <w:keepNext/>
              <w:rPr>
                <w:rFonts w:ascii="Garamond" w:hAnsi="Garamond"/>
                <w:lang w:val="en-AU"/>
              </w:rPr>
            </w:pPr>
            <w:hyperlink r:id="rId33" w:history="1">
              <w:r w:rsidR="00A660B0" w:rsidRPr="00467B47">
                <w:rPr>
                  <w:rStyle w:val="Hyperlink"/>
                  <w:rFonts w:ascii="Garamond" w:hAnsi="Garamond"/>
                  <w:lang w:val="en-AU"/>
                </w:rPr>
                <w:t>https://academic.oup.com/intqhc/advance-access?papetoc</w:t>
              </w:r>
            </w:hyperlink>
          </w:p>
        </w:tc>
      </w:tr>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7744" w:rsidRPr="00467B47" w:rsidRDefault="00A660B0" w:rsidP="00627744">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254D02" w:rsidRPr="00684B28" w:rsidRDefault="00254D02" w:rsidP="00254D02">
            <w:pPr>
              <w:pStyle w:val="ListParagraph"/>
              <w:numPr>
                <w:ilvl w:val="0"/>
                <w:numId w:val="14"/>
              </w:numPr>
              <w:rPr>
                <w:rFonts w:ascii="Garamond" w:hAnsi="Garamond"/>
                <w:lang w:val="en-AU"/>
              </w:rPr>
            </w:pPr>
            <w:r w:rsidRPr="00684B28">
              <w:rPr>
                <w:rFonts w:ascii="Garamond" w:hAnsi="Garamond"/>
                <w:lang w:val="en-AU"/>
              </w:rPr>
              <w:t xml:space="preserve">Aggregate analysis of </w:t>
            </w:r>
            <w:r w:rsidRPr="00684B28">
              <w:rPr>
                <w:rFonts w:ascii="Garamond" w:hAnsi="Garamond"/>
                <w:b/>
                <w:lang w:val="en-AU"/>
              </w:rPr>
              <w:t>sentinel events</w:t>
            </w:r>
            <w:r w:rsidRPr="00684B28">
              <w:rPr>
                <w:rFonts w:ascii="Garamond" w:hAnsi="Garamond"/>
                <w:lang w:val="en-AU"/>
              </w:rPr>
              <w:t xml:space="preserve"> as a strategic tool in safety management can contribute to the improvement of healthcare safety </w:t>
            </w:r>
            <w:r w:rsidR="00684B28" w:rsidRPr="00684B28">
              <w:rPr>
                <w:rFonts w:ascii="Garamond" w:hAnsi="Garamond"/>
                <w:lang w:val="en-AU"/>
              </w:rPr>
              <w:t>(</w:t>
            </w:r>
            <w:r w:rsidRPr="00684B28">
              <w:rPr>
                <w:rFonts w:ascii="Garamond" w:hAnsi="Garamond"/>
                <w:lang w:val="en-AU"/>
              </w:rPr>
              <w:t>Angelo B Hooker; Anouk Etman; Matthijs Westra; Wouter J Van der kam</w:t>
            </w:r>
            <w:r w:rsidR="00684B28">
              <w:rPr>
                <w:rFonts w:ascii="Garamond" w:hAnsi="Garamond"/>
                <w:lang w:val="en-AU"/>
              </w:rPr>
              <w:t>)</w:t>
            </w:r>
          </w:p>
          <w:p w:rsidR="00254D02" w:rsidRPr="00684B28" w:rsidRDefault="00254D02" w:rsidP="00684B28">
            <w:pPr>
              <w:pStyle w:val="ListParagraph"/>
              <w:numPr>
                <w:ilvl w:val="0"/>
                <w:numId w:val="14"/>
              </w:numPr>
              <w:rPr>
                <w:rFonts w:ascii="Garamond" w:hAnsi="Garamond"/>
                <w:lang w:val="en-AU"/>
              </w:rPr>
            </w:pPr>
            <w:r w:rsidRPr="00684B28">
              <w:rPr>
                <w:rFonts w:ascii="Garamond" w:hAnsi="Garamond"/>
                <w:lang w:val="en-AU"/>
              </w:rPr>
              <w:t xml:space="preserve">Implementation science in low-resource settings: using the interactive systems framework to improve </w:t>
            </w:r>
            <w:r w:rsidRPr="00684B28">
              <w:rPr>
                <w:rFonts w:ascii="Garamond" w:hAnsi="Garamond"/>
                <w:b/>
                <w:lang w:val="en-AU"/>
              </w:rPr>
              <w:t>hand hygiene</w:t>
            </w:r>
            <w:r w:rsidRPr="00684B28">
              <w:rPr>
                <w:rFonts w:ascii="Garamond" w:hAnsi="Garamond"/>
                <w:lang w:val="en-AU"/>
              </w:rPr>
              <w:t xml:space="preserve"> in a tertiary hospital in Ghana </w:t>
            </w:r>
            <w:r w:rsidR="00684B28" w:rsidRPr="00684B28">
              <w:rPr>
                <w:rFonts w:ascii="Garamond" w:hAnsi="Garamond"/>
                <w:lang w:val="en-AU"/>
              </w:rPr>
              <w:t>(</w:t>
            </w:r>
            <w:r w:rsidRPr="00684B28">
              <w:rPr>
                <w:rFonts w:ascii="Garamond" w:hAnsi="Garamond"/>
                <w:lang w:val="en-AU"/>
              </w:rPr>
              <w:t>Brianne Kallam; Christie Pettitt-Schieber; Medge Owen; Rebecca Ag</w:t>
            </w:r>
            <w:r w:rsidR="00684B28">
              <w:rPr>
                <w:rFonts w:ascii="Garamond" w:hAnsi="Garamond"/>
                <w:lang w:val="en-AU"/>
              </w:rPr>
              <w:t xml:space="preserve">yare Asante; Elizabeth Darko; </w:t>
            </w:r>
            <w:r w:rsidR="00684B28" w:rsidRPr="00684B28">
              <w:rPr>
                <w:rFonts w:ascii="Garamond" w:hAnsi="Garamond"/>
                <w:lang w:val="en-AU"/>
              </w:rPr>
              <w:t>Rohit Ramaswamy</w:t>
            </w:r>
            <w:r w:rsidR="00684B28">
              <w:rPr>
                <w:rFonts w:ascii="Garamond" w:hAnsi="Garamond"/>
                <w:lang w:val="en-AU"/>
              </w:rPr>
              <w:t>)</w:t>
            </w:r>
          </w:p>
          <w:p w:rsidR="00254D02" w:rsidRPr="00684B28" w:rsidRDefault="00254D02" w:rsidP="00684B28">
            <w:pPr>
              <w:pStyle w:val="ListParagraph"/>
              <w:numPr>
                <w:ilvl w:val="0"/>
                <w:numId w:val="14"/>
              </w:numPr>
              <w:rPr>
                <w:rFonts w:ascii="Garamond" w:hAnsi="Garamond"/>
                <w:lang w:val="en-AU"/>
              </w:rPr>
            </w:pPr>
            <w:r w:rsidRPr="00684B28">
              <w:rPr>
                <w:rFonts w:ascii="Garamond" w:hAnsi="Garamond"/>
                <w:lang w:val="en-AU"/>
              </w:rPr>
              <w:t xml:space="preserve">Improving the timeliness and accuracy of </w:t>
            </w:r>
            <w:r w:rsidRPr="00684B28">
              <w:rPr>
                <w:rFonts w:ascii="Garamond" w:hAnsi="Garamond"/>
                <w:b/>
                <w:lang w:val="en-AU"/>
              </w:rPr>
              <w:t>injury severity data in road traffic accidents</w:t>
            </w:r>
            <w:r w:rsidRPr="00684B28">
              <w:rPr>
                <w:rFonts w:ascii="Garamond" w:hAnsi="Garamond"/>
                <w:lang w:val="en-AU"/>
              </w:rPr>
              <w:t xml:space="preserve"> in an emerging economy setting </w:t>
            </w:r>
            <w:r w:rsidR="00684B28" w:rsidRPr="00684B28">
              <w:rPr>
                <w:rFonts w:ascii="Garamond" w:hAnsi="Garamond"/>
                <w:lang w:val="en-AU"/>
              </w:rPr>
              <w:t>(</w:t>
            </w:r>
            <w:r w:rsidRPr="00684B28">
              <w:rPr>
                <w:rFonts w:ascii="Garamond" w:hAnsi="Garamond"/>
                <w:lang w:val="en-AU"/>
              </w:rPr>
              <w:t>Carlos Lam; Chang-I Chen; Chia-</w:t>
            </w:r>
            <w:r w:rsidRPr="00684B28">
              <w:rPr>
                <w:rFonts w:ascii="Garamond" w:hAnsi="Garamond"/>
                <w:lang w:val="en-AU"/>
              </w:rPr>
              <w:lastRenderedPageBreak/>
              <w:t>Chang Chuang; C</w:t>
            </w:r>
            <w:r w:rsidR="00684B28">
              <w:rPr>
                <w:rFonts w:ascii="Garamond" w:hAnsi="Garamond"/>
                <w:lang w:val="en-AU"/>
              </w:rPr>
              <w:t xml:space="preserve">hia-Chieh Wu; Shih-Hsiang Yu; </w:t>
            </w:r>
            <w:r w:rsidR="00684B28" w:rsidRPr="00684B28">
              <w:rPr>
                <w:rFonts w:ascii="Garamond" w:hAnsi="Garamond"/>
                <w:lang w:val="en-AU"/>
              </w:rPr>
              <w:t>Kai-Kuo Chang</w:t>
            </w:r>
            <w:r w:rsidR="00684B28">
              <w:rPr>
                <w:rFonts w:ascii="Garamond" w:hAnsi="Garamond"/>
                <w:lang w:val="en-AU"/>
              </w:rPr>
              <w:t>;</w:t>
            </w:r>
            <w:r w:rsidR="00684B28" w:rsidRPr="00684B28">
              <w:rPr>
                <w:rFonts w:ascii="Garamond" w:hAnsi="Garamond"/>
                <w:lang w:val="en-AU"/>
              </w:rPr>
              <w:t xml:space="preserve"> Wen-Ta Chiu</w:t>
            </w:r>
            <w:r w:rsidR="00684B28">
              <w:rPr>
                <w:rFonts w:ascii="Garamond" w:hAnsi="Garamond"/>
                <w:lang w:val="en-AU"/>
              </w:rPr>
              <w:t>)</w:t>
            </w:r>
          </w:p>
          <w:p w:rsidR="00254D02" w:rsidRPr="00684B28" w:rsidRDefault="00254D02" w:rsidP="00254D02">
            <w:pPr>
              <w:pStyle w:val="ListParagraph"/>
              <w:numPr>
                <w:ilvl w:val="0"/>
                <w:numId w:val="14"/>
              </w:numPr>
              <w:rPr>
                <w:rFonts w:ascii="Garamond" w:hAnsi="Garamond"/>
                <w:lang w:val="en-AU"/>
              </w:rPr>
            </w:pPr>
            <w:r w:rsidRPr="00684B28">
              <w:rPr>
                <w:rFonts w:ascii="Garamond" w:hAnsi="Garamond"/>
                <w:lang w:val="en-AU"/>
              </w:rPr>
              <w:t xml:space="preserve">Involving </w:t>
            </w:r>
            <w:r w:rsidRPr="00684B28">
              <w:rPr>
                <w:rFonts w:ascii="Garamond" w:hAnsi="Garamond"/>
                <w:b/>
                <w:lang w:val="en-AU"/>
              </w:rPr>
              <w:t>young people in health promotion, research and policy-making</w:t>
            </w:r>
            <w:r w:rsidRPr="00684B28">
              <w:rPr>
                <w:rFonts w:ascii="Garamond" w:hAnsi="Garamond"/>
                <w:lang w:val="en-AU"/>
              </w:rPr>
              <w:t xml:space="preserve">: practical recommendations </w:t>
            </w:r>
            <w:r w:rsidR="00684B28" w:rsidRPr="00684B28">
              <w:rPr>
                <w:rFonts w:ascii="Garamond" w:hAnsi="Garamond"/>
                <w:lang w:val="en-AU"/>
              </w:rPr>
              <w:t>(</w:t>
            </w:r>
            <w:r w:rsidRPr="00684B28">
              <w:rPr>
                <w:rFonts w:ascii="Garamond" w:hAnsi="Garamond"/>
                <w:lang w:val="en-AU"/>
              </w:rPr>
              <w:t>Magaly Aceves-Martins; Aixa Y A</w:t>
            </w:r>
            <w:r w:rsidR="00684B28">
              <w:rPr>
                <w:rFonts w:ascii="Garamond" w:hAnsi="Garamond"/>
                <w:lang w:val="en-AU"/>
              </w:rPr>
              <w:t>leman-Diaz</w:t>
            </w:r>
            <w:r w:rsidRPr="00684B28">
              <w:rPr>
                <w:rFonts w:ascii="Garamond" w:hAnsi="Garamond"/>
                <w:lang w:val="en-AU"/>
              </w:rPr>
              <w:t>; Montse Giralt; Rosa Solà</w:t>
            </w:r>
            <w:r w:rsidR="00684B28">
              <w:rPr>
                <w:rFonts w:ascii="Garamond" w:hAnsi="Garamond"/>
                <w:lang w:val="en-AU"/>
              </w:rPr>
              <w:t>)</w:t>
            </w:r>
          </w:p>
          <w:p w:rsidR="00B3730D" w:rsidRPr="00DA6435" w:rsidRDefault="00254D02" w:rsidP="00684B28">
            <w:pPr>
              <w:pStyle w:val="ListParagraph"/>
              <w:numPr>
                <w:ilvl w:val="0"/>
                <w:numId w:val="14"/>
              </w:numPr>
              <w:rPr>
                <w:rFonts w:ascii="Garamond" w:hAnsi="Garamond"/>
                <w:lang w:val="en-AU"/>
              </w:rPr>
            </w:pPr>
            <w:r w:rsidRPr="00684B28">
              <w:rPr>
                <w:rFonts w:ascii="Garamond" w:hAnsi="Garamond"/>
                <w:lang w:val="en-AU"/>
              </w:rPr>
              <w:t xml:space="preserve">Long-term compliance with a validated </w:t>
            </w:r>
            <w:r w:rsidRPr="00684B28">
              <w:rPr>
                <w:rFonts w:ascii="Garamond" w:hAnsi="Garamond"/>
                <w:b/>
                <w:lang w:val="en-AU"/>
              </w:rPr>
              <w:t>intravenous insulin therapy</w:t>
            </w:r>
            <w:r w:rsidRPr="00684B28">
              <w:rPr>
                <w:rFonts w:ascii="Garamond" w:hAnsi="Garamond"/>
                <w:lang w:val="en-AU"/>
              </w:rPr>
              <w:t xml:space="preserve"> protocol in cardiac surgery patients: a quality improvement project </w:t>
            </w:r>
            <w:r w:rsidR="00684B28" w:rsidRPr="00684B28">
              <w:rPr>
                <w:rFonts w:ascii="Garamond" w:hAnsi="Garamond"/>
                <w:lang w:val="en-AU"/>
              </w:rPr>
              <w:t>(</w:t>
            </w:r>
            <w:r w:rsidRPr="00684B28">
              <w:rPr>
                <w:rFonts w:ascii="Garamond" w:hAnsi="Garamond"/>
                <w:lang w:val="en-AU"/>
              </w:rPr>
              <w:t>Guillaume Besch; Andrea Perrotti; Lucie Salomon du Mont; Raphaelle Tucella; Guillaume Flicoteaux</w:t>
            </w:r>
            <w:r w:rsidR="00684B28">
              <w:rPr>
                <w:rFonts w:ascii="Garamond" w:hAnsi="Garamond"/>
                <w:lang w:val="en-AU"/>
              </w:rPr>
              <w:t xml:space="preserve">; </w:t>
            </w:r>
            <w:r w:rsidR="00684B28" w:rsidRPr="00684B28">
              <w:rPr>
                <w:rFonts w:ascii="Garamond" w:hAnsi="Garamond"/>
                <w:lang w:val="en-AU"/>
              </w:rPr>
              <w:t>Aline Bondy  Emmanuel Samain  Sidney Chocron Sebastien Pili-Floury</w:t>
            </w:r>
            <w:r w:rsidR="00684B28">
              <w:rPr>
                <w:rFonts w:ascii="Garamond" w:hAnsi="Garamond"/>
                <w:lang w:val="en-AU"/>
              </w:rPr>
              <w:t>)</w:t>
            </w:r>
          </w:p>
        </w:tc>
      </w:tr>
    </w:tbl>
    <w:p w:rsidR="009A34AA" w:rsidRDefault="009A34AA" w:rsidP="00070CFE">
      <w:pPr>
        <w:rPr>
          <w:rFonts w:ascii="Garamond" w:hAnsi="Garamond"/>
          <w:lang w:val="en-AU"/>
        </w:rPr>
      </w:pPr>
    </w:p>
    <w:p w:rsidR="00282D29" w:rsidRPr="00A3571C" w:rsidRDefault="00282D29" w:rsidP="00070CFE">
      <w:pPr>
        <w:rPr>
          <w:rFonts w:ascii="Garamond" w:hAnsi="Garamond"/>
          <w:lang w:val="en-AU"/>
        </w:rPr>
      </w:pPr>
    </w:p>
    <w:p w:rsidR="00E7643F" w:rsidRPr="001C0CF1" w:rsidRDefault="001C0CF1" w:rsidP="00070CFE">
      <w:pPr>
        <w:rPr>
          <w:rFonts w:ascii="Garamond" w:hAnsi="Garamond"/>
          <w:b/>
          <w:lang w:val="en-AU"/>
        </w:rPr>
      </w:pPr>
      <w:r w:rsidRPr="001C0CF1">
        <w:rPr>
          <w:rFonts w:ascii="Garamond" w:hAnsi="Garamond"/>
          <w:b/>
          <w:lang w:val="en-AU"/>
        </w:rPr>
        <w:t>Online resources</w:t>
      </w:r>
    </w:p>
    <w:p w:rsidR="006E425A" w:rsidRDefault="006E425A" w:rsidP="00070CFE">
      <w:pPr>
        <w:rPr>
          <w:rFonts w:ascii="Garamond" w:hAnsi="Garamond"/>
          <w:lang w:val="en-AU"/>
        </w:rPr>
      </w:pPr>
    </w:p>
    <w:p w:rsidR="00817F1F" w:rsidRPr="000170DA" w:rsidRDefault="00817F1F" w:rsidP="00817F1F">
      <w:pPr>
        <w:keepNext/>
        <w:keepLines/>
        <w:rPr>
          <w:rFonts w:ascii="Garamond" w:hAnsi="Garamond"/>
          <w:i/>
          <w:lang w:val="en-AU"/>
        </w:rPr>
      </w:pPr>
      <w:r w:rsidRPr="000170DA">
        <w:rPr>
          <w:rFonts w:ascii="Garamond" w:hAnsi="Garamond"/>
          <w:i/>
          <w:lang w:val="en-AU"/>
        </w:rPr>
        <w:t>[UK] NICE Guidelines and Quality Standards</w:t>
      </w:r>
    </w:p>
    <w:p w:rsidR="00817F1F" w:rsidRPr="000170DA" w:rsidRDefault="00B0188A" w:rsidP="00817F1F">
      <w:pPr>
        <w:keepNext/>
        <w:keepLines/>
        <w:rPr>
          <w:rFonts w:ascii="Garamond" w:hAnsi="Garamond"/>
          <w:u w:val="single"/>
          <w:lang w:val="en-AU"/>
        </w:rPr>
      </w:pPr>
      <w:hyperlink r:id="rId34" w:history="1">
        <w:r w:rsidR="00817F1F" w:rsidRPr="000170DA">
          <w:rPr>
            <w:rStyle w:val="Hyperlink"/>
            <w:rFonts w:ascii="Garamond" w:hAnsi="Garamond"/>
            <w:lang w:val="en-AU"/>
          </w:rPr>
          <w:t>https://www.nice.org.uk</w:t>
        </w:r>
      </w:hyperlink>
    </w:p>
    <w:p w:rsidR="00817F1F" w:rsidRPr="000170DA" w:rsidRDefault="00817F1F" w:rsidP="00817F1F">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EE2A35" w:rsidRDefault="00684B28" w:rsidP="00684B28">
      <w:pPr>
        <w:pStyle w:val="ListParagraph"/>
        <w:keepNext/>
        <w:keepLines/>
        <w:numPr>
          <w:ilvl w:val="0"/>
          <w:numId w:val="14"/>
        </w:numPr>
        <w:rPr>
          <w:rFonts w:ascii="Garamond" w:hAnsi="Garamond"/>
          <w:lang w:val="en-AU"/>
        </w:rPr>
      </w:pPr>
      <w:r>
        <w:rPr>
          <w:rFonts w:ascii="Garamond" w:hAnsi="Garamond"/>
          <w:lang w:val="en-AU"/>
        </w:rPr>
        <w:t xml:space="preserve">Quality Standard QS168 </w:t>
      </w:r>
      <w:r w:rsidRPr="00684B28">
        <w:rPr>
          <w:rFonts w:ascii="Garamond" w:hAnsi="Garamond"/>
          <w:b/>
          <w:i/>
          <w:lang w:val="en-AU"/>
        </w:rPr>
        <w:t>Cystic fibrosis</w:t>
      </w:r>
      <w:r>
        <w:rPr>
          <w:rFonts w:ascii="Garamond" w:hAnsi="Garamond"/>
          <w:lang w:val="en-AU"/>
        </w:rPr>
        <w:t xml:space="preserve"> </w:t>
      </w:r>
      <w:hyperlink r:id="rId35" w:history="1">
        <w:r w:rsidRPr="0018734D">
          <w:rPr>
            <w:rStyle w:val="Hyperlink"/>
            <w:rFonts w:ascii="Garamond" w:hAnsi="Garamond"/>
            <w:lang w:val="en-AU"/>
          </w:rPr>
          <w:t>https://www.nice.org.uk/guidance/qs168</w:t>
        </w:r>
      </w:hyperlink>
    </w:p>
    <w:p w:rsidR="00684B28" w:rsidRDefault="00684B28" w:rsidP="00684B28">
      <w:pPr>
        <w:pStyle w:val="ListParagraph"/>
        <w:keepNext/>
        <w:keepLines/>
        <w:numPr>
          <w:ilvl w:val="0"/>
          <w:numId w:val="14"/>
        </w:numPr>
        <w:rPr>
          <w:rFonts w:ascii="Garamond" w:hAnsi="Garamond"/>
          <w:lang w:val="en-AU"/>
        </w:rPr>
      </w:pPr>
      <w:r>
        <w:rPr>
          <w:rFonts w:ascii="Garamond" w:hAnsi="Garamond"/>
          <w:lang w:val="en-AU"/>
        </w:rPr>
        <w:t xml:space="preserve">Quality Standard QS169 </w:t>
      </w:r>
      <w:r w:rsidRPr="00684B28">
        <w:rPr>
          <w:rFonts w:ascii="Garamond" w:hAnsi="Garamond"/>
          <w:b/>
          <w:i/>
          <w:lang w:val="en-AU"/>
        </w:rPr>
        <w:t>Developmental follow-up</w:t>
      </w:r>
      <w:r w:rsidRPr="00684B28">
        <w:rPr>
          <w:rFonts w:ascii="Garamond" w:hAnsi="Garamond"/>
          <w:i/>
          <w:lang w:val="en-AU"/>
        </w:rPr>
        <w:t xml:space="preserve"> of children and young people born preterm</w:t>
      </w:r>
      <w:r>
        <w:rPr>
          <w:rFonts w:ascii="Garamond" w:hAnsi="Garamond"/>
          <w:lang w:val="en-AU"/>
        </w:rPr>
        <w:t xml:space="preserve"> </w:t>
      </w:r>
      <w:hyperlink r:id="rId36" w:history="1">
        <w:r w:rsidRPr="0018734D">
          <w:rPr>
            <w:rStyle w:val="Hyperlink"/>
            <w:rFonts w:ascii="Garamond" w:hAnsi="Garamond"/>
            <w:lang w:val="en-AU"/>
          </w:rPr>
          <w:t>https://www.nice.org.uk/guidance/qs169</w:t>
        </w:r>
      </w:hyperlink>
    </w:p>
    <w:p w:rsidR="00282D29" w:rsidRPr="00282D29" w:rsidRDefault="00282D29" w:rsidP="00D92A9D">
      <w:pPr>
        <w:keepLines/>
        <w:rPr>
          <w:rFonts w:ascii="Garamond" w:hAnsi="Garamond"/>
          <w:lang w:val="en-AU"/>
        </w:rPr>
      </w:pPr>
    </w:p>
    <w:p w:rsidR="00ED56A3" w:rsidRDefault="00ED56A3" w:rsidP="009A34AA">
      <w:pPr>
        <w:keepNext/>
        <w:keepLines/>
        <w:rPr>
          <w:rFonts w:ascii="Garamond" w:hAnsi="Garamond"/>
          <w:i/>
          <w:lang w:val="en-AU"/>
        </w:rPr>
      </w:pPr>
      <w:r>
        <w:rPr>
          <w:rFonts w:ascii="Garamond" w:hAnsi="Garamond"/>
          <w:i/>
          <w:lang w:val="en-AU"/>
        </w:rPr>
        <w:t xml:space="preserve">[USA] </w:t>
      </w:r>
      <w:r w:rsidRPr="00ED56A3">
        <w:rPr>
          <w:rFonts w:ascii="Garamond" w:hAnsi="Garamond"/>
          <w:i/>
          <w:lang w:val="en-AU"/>
        </w:rPr>
        <w:t>Be Antibiotics Aware: Smart Use, Best Care</w:t>
      </w:r>
    </w:p>
    <w:p w:rsidR="00ED56A3" w:rsidRDefault="00ED56A3" w:rsidP="009A34AA">
      <w:pPr>
        <w:keepNext/>
        <w:keepLines/>
        <w:rPr>
          <w:rFonts w:ascii="Garamond" w:hAnsi="Garamond"/>
          <w:lang w:val="en-AU"/>
        </w:rPr>
      </w:pPr>
      <w:hyperlink r:id="rId37" w:history="1">
        <w:r w:rsidRPr="002D7B2F">
          <w:rPr>
            <w:rStyle w:val="Hyperlink"/>
            <w:rFonts w:ascii="Garamond" w:hAnsi="Garamond"/>
            <w:lang w:val="en-AU"/>
          </w:rPr>
          <w:t>https://www.cdc.gov/grand-rounds/pp/2018/20180515-antibiotics-aware.html</w:t>
        </w:r>
      </w:hyperlink>
    </w:p>
    <w:p w:rsidR="00ED56A3" w:rsidRDefault="00ED56A3" w:rsidP="009A34AA">
      <w:pPr>
        <w:keepNext/>
        <w:keepLines/>
        <w:rPr>
          <w:rFonts w:ascii="Garamond" w:hAnsi="Garamond"/>
          <w:lang w:val="en-AU"/>
        </w:rPr>
      </w:pPr>
      <w:r w:rsidRPr="00ED56A3">
        <w:rPr>
          <w:rFonts w:ascii="Garamond" w:hAnsi="Garamond"/>
          <w:lang w:val="en-AU"/>
        </w:rPr>
        <w:t xml:space="preserve">The recording of </w:t>
      </w:r>
      <w:r>
        <w:rPr>
          <w:rFonts w:ascii="Garamond" w:hAnsi="Garamond"/>
          <w:lang w:val="en-AU"/>
        </w:rPr>
        <w:t xml:space="preserve">the </w:t>
      </w:r>
      <w:r w:rsidRPr="00ED56A3">
        <w:rPr>
          <w:rFonts w:ascii="Garamond" w:hAnsi="Garamond"/>
          <w:i/>
          <w:lang w:val="en-AU"/>
        </w:rPr>
        <w:t>Be Antibiotics Aware: Smart Use, Best Care</w:t>
      </w:r>
      <w:r>
        <w:rPr>
          <w:rFonts w:ascii="Garamond" w:hAnsi="Garamond"/>
          <w:lang w:val="en-AU"/>
        </w:rPr>
        <w:t xml:space="preserve"> </w:t>
      </w:r>
      <w:r w:rsidRPr="00ED56A3">
        <w:rPr>
          <w:rFonts w:ascii="Garamond" w:hAnsi="Garamond"/>
          <w:lang w:val="en-AU"/>
        </w:rPr>
        <w:t>webinar hosted by the US Centers for Disease Control and Prevention is now</w:t>
      </w:r>
      <w:r>
        <w:rPr>
          <w:rFonts w:ascii="Garamond" w:hAnsi="Garamond"/>
          <w:lang w:val="en-AU"/>
        </w:rPr>
        <w:t xml:space="preserve"> available. The </w:t>
      </w:r>
      <w:proofErr w:type="gramStart"/>
      <w:r>
        <w:rPr>
          <w:rFonts w:ascii="Garamond" w:hAnsi="Garamond"/>
          <w:lang w:val="en-AU"/>
        </w:rPr>
        <w:t>presenters</w:t>
      </w:r>
      <w:proofErr w:type="gramEnd"/>
      <w:r>
        <w:rPr>
          <w:rFonts w:ascii="Garamond" w:hAnsi="Garamond"/>
          <w:lang w:val="en-AU"/>
        </w:rPr>
        <w:t xml:space="preserve"> </w:t>
      </w:r>
      <w:r w:rsidRPr="00ED56A3">
        <w:rPr>
          <w:rFonts w:ascii="Garamond" w:hAnsi="Garamond"/>
          <w:lang w:val="en-AU"/>
        </w:rPr>
        <w:t>speakers discuss efforts to measure and improve antibiotic prescribing through antibiotic stewardship so that these medications are only prescribed when needed. Antibiotic stewardship also aims to ensure that the right antibiotic, dose, and duration are selected when they are needed.</w:t>
      </w:r>
    </w:p>
    <w:p w:rsidR="00ED56A3" w:rsidRPr="00ED56A3" w:rsidRDefault="00ED56A3" w:rsidP="009A34AA">
      <w:pPr>
        <w:keepNext/>
        <w:keepLines/>
        <w:rPr>
          <w:rFonts w:ascii="Garamond" w:hAnsi="Garamond"/>
          <w:lang w:val="en-AU"/>
        </w:rPr>
      </w:pPr>
    </w:p>
    <w:p w:rsidR="009A34AA" w:rsidRDefault="009A34AA" w:rsidP="008F4A60">
      <w:pPr>
        <w:keepNext/>
        <w:keepLines/>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8"/>
      <w:footerReference w:type="default" r:id="rId39"/>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BDF" w:rsidRDefault="00373BDF">
      <w:r>
        <w:separator/>
      </w:r>
    </w:p>
  </w:endnote>
  <w:endnote w:type="continuationSeparator" w:id="0">
    <w:p w:rsidR="00373BDF" w:rsidRDefault="0037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BDF" w:rsidRDefault="00373BDF"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B0188A">
      <w:rPr>
        <w:rStyle w:val="PageNumber"/>
        <w:noProof/>
      </w:rPr>
      <w:t>2</w:t>
    </w:r>
    <w:r>
      <w:rPr>
        <w:rStyle w:val="PageNumber"/>
      </w:rPr>
      <w:fldChar w:fldCharType="end"/>
    </w:r>
  </w:p>
  <w:p w:rsidR="00C022E3" w:rsidRPr="001E78F0" w:rsidRDefault="00373BDF"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EE2A35">
      <w:rPr>
        <w:rFonts w:ascii="Garamond" w:hAnsi="Garamond"/>
      </w:rPr>
      <w:t>371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BDF" w:rsidRPr="001E78F0" w:rsidRDefault="00373BDF"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B0188A">
      <w:rPr>
        <w:rStyle w:val="PageNumber"/>
        <w:rFonts w:ascii="Garamond" w:hAnsi="Garamond"/>
        <w:noProof/>
      </w:rPr>
      <w:t>1</w:t>
    </w:r>
    <w:r w:rsidRPr="001E78F0">
      <w:rPr>
        <w:rStyle w:val="PageNumber"/>
        <w:rFonts w:ascii="Garamond" w:hAnsi="Garamond"/>
      </w:rPr>
      <w:fldChar w:fldCharType="end"/>
    </w:r>
  </w:p>
  <w:p w:rsidR="00373BDF" w:rsidRPr="001E78F0" w:rsidRDefault="00373BDF"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w:t>
    </w:r>
    <w:r w:rsidR="00C022E3">
      <w:rPr>
        <w:rFonts w:ascii="Garamond" w:hAnsi="Garamond"/>
      </w:rPr>
      <w:t>37</w:t>
    </w:r>
    <w:r w:rsidR="00EE2A35">
      <w:rPr>
        <w:rFonts w:ascii="Garamond" w:hAnsi="Garamon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BDF" w:rsidRDefault="00373BDF">
      <w:r>
        <w:separator/>
      </w:r>
    </w:p>
  </w:footnote>
  <w:footnote w:type="continuationSeparator" w:id="0">
    <w:p w:rsidR="00373BDF" w:rsidRDefault="00373B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06464B"/>
    <w:multiLevelType w:val="hybridMultilevel"/>
    <w:tmpl w:val="B038C2AA"/>
    <w:lvl w:ilvl="0" w:tplc="63AE7D42">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24D7279"/>
    <w:multiLevelType w:val="hybridMultilevel"/>
    <w:tmpl w:val="93860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2547B8F"/>
    <w:multiLevelType w:val="hybridMultilevel"/>
    <w:tmpl w:val="DC124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05E2807"/>
    <w:multiLevelType w:val="hybridMultilevel"/>
    <w:tmpl w:val="AAB46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12A1BF8"/>
    <w:multiLevelType w:val="hybridMultilevel"/>
    <w:tmpl w:val="5CBC1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3C80F25"/>
    <w:multiLevelType w:val="hybridMultilevel"/>
    <w:tmpl w:val="73A02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18D54A1"/>
    <w:multiLevelType w:val="hybridMultilevel"/>
    <w:tmpl w:val="F8187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8477078"/>
    <w:multiLevelType w:val="hybridMultilevel"/>
    <w:tmpl w:val="D3A4F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C7C230E"/>
    <w:multiLevelType w:val="hybridMultilevel"/>
    <w:tmpl w:val="EF285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BF63F5"/>
    <w:multiLevelType w:val="hybridMultilevel"/>
    <w:tmpl w:val="35126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07A5019"/>
    <w:multiLevelType w:val="hybridMultilevel"/>
    <w:tmpl w:val="43849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1F4029F"/>
    <w:multiLevelType w:val="hybridMultilevel"/>
    <w:tmpl w:val="D428B77E"/>
    <w:lvl w:ilvl="0" w:tplc="54FA74F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1FF027F"/>
    <w:multiLevelType w:val="hybridMultilevel"/>
    <w:tmpl w:val="CEA66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38F064D"/>
    <w:multiLevelType w:val="hybridMultilevel"/>
    <w:tmpl w:val="AC78E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5F808CB"/>
    <w:multiLevelType w:val="hybridMultilevel"/>
    <w:tmpl w:val="2E909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6D2195A"/>
    <w:multiLevelType w:val="hybridMultilevel"/>
    <w:tmpl w:val="3E861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86A5E12"/>
    <w:multiLevelType w:val="hybridMultilevel"/>
    <w:tmpl w:val="227EA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ECB7D62"/>
    <w:multiLevelType w:val="hybridMultilevel"/>
    <w:tmpl w:val="D94CE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F13615D"/>
    <w:multiLevelType w:val="hybridMultilevel"/>
    <w:tmpl w:val="13A4D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2A13D8B"/>
    <w:multiLevelType w:val="hybridMultilevel"/>
    <w:tmpl w:val="CF266F36"/>
    <w:lvl w:ilvl="0" w:tplc="583207B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2D7587F"/>
    <w:multiLevelType w:val="hybridMultilevel"/>
    <w:tmpl w:val="6E36A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C5441AF"/>
    <w:multiLevelType w:val="hybridMultilevel"/>
    <w:tmpl w:val="27F08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DB2310A"/>
    <w:multiLevelType w:val="hybridMultilevel"/>
    <w:tmpl w:val="02223738"/>
    <w:lvl w:ilvl="0" w:tplc="63AE7D42">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2F766F9"/>
    <w:multiLevelType w:val="hybridMultilevel"/>
    <w:tmpl w:val="755232DE"/>
    <w:lvl w:ilvl="0" w:tplc="6B02CE42">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38E14FB"/>
    <w:multiLevelType w:val="hybridMultilevel"/>
    <w:tmpl w:val="34D0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3B730BE"/>
    <w:multiLevelType w:val="hybridMultilevel"/>
    <w:tmpl w:val="6652D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B41664F"/>
    <w:multiLevelType w:val="hybridMultilevel"/>
    <w:tmpl w:val="F58EF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B420B55"/>
    <w:multiLevelType w:val="hybridMultilevel"/>
    <w:tmpl w:val="DEBC6BB8"/>
    <w:lvl w:ilvl="0" w:tplc="63AE7D42">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E6C7E0C"/>
    <w:multiLevelType w:val="hybridMultilevel"/>
    <w:tmpl w:val="D7F8083E"/>
    <w:lvl w:ilvl="0" w:tplc="5608CCE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44849C0"/>
    <w:multiLevelType w:val="hybridMultilevel"/>
    <w:tmpl w:val="2D4AC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CF87F21"/>
    <w:multiLevelType w:val="hybridMultilevel"/>
    <w:tmpl w:val="B37C1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E18456F"/>
    <w:multiLevelType w:val="hybridMultilevel"/>
    <w:tmpl w:val="CF569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4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2"/>
  </w:num>
  <w:num w:numId="14">
    <w:abstractNumId w:val="20"/>
  </w:num>
  <w:num w:numId="15">
    <w:abstractNumId w:val="11"/>
  </w:num>
  <w:num w:numId="16">
    <w:abstractNumId w:val="18"/>
  </w:num>
  <w:num w:numId="17">
    <w:abstractNumId w:val="24"/>
  </w:num>
  <w:num w:numId="18">
    <w:abstractNumId w:val="44"/>
  </w:num>
  <w:num w:numId="19">
    <w:abstractNumId w:val="15"/>
  </w:num>
  <w:num w:numId="20">
    <w:abstractNumId w:val="25"/>
  </w:num>
  <w:num w:numId="21">
    <w:abstractNumId w:val="10"/>
  </w:num>
  <w:num w:numId="22">
    <w:abstractNumId w:val="34"/>
  </w:num>
  <w:num w:numId="23">
    <w:abstractNumId w:val="39"/>
  </w:num>
  <w:num w:numId="24">
    <w:abstractNumId w:val="17"/>
  </w:num>
  <w:num w:numId="25">
    <w:abstractNumId w:val="43"/>
  </w:num>
  <w:num w:numId="26">
    <w:abstractNumId w:val="35"/>
  </w:num>
  <w:num w:numId="27">
    <w:abstractNumId w:val="37"/>
  </w:num>
  <w:num w:numId="28">
    <w:abstractNumId w:val="21"/>
  </w:num>
  <w:num w:numId="29">
    <w:abstractNumId w:val="12"/>
  </w:num>
  <w:num w:numId="30">
    <w:abstractNumId w:val="42"/>
  </w:num>
  <w:num w:numId="31">
    <w:abstractNumId w:val="28"/>
  </w:num>
  <w:num w:numId="32">
    <w:abstractNumId w:val="33"/>
  </w:num>
  <w:num w:numId="33">
    <w:abstractNumId w:val="22"/>
  </w:num>
  <w:num w:numId="34">
    <w:abstractNumId w:val="13"/>
  </w:num>
  <w:num w:numId="35">
    <w:abstractNumId w:val="30"/>
  </w:num>
  <w:num w:numId="36">
    <w:abstractNumId w:val="14"/>
  </w:num>
  <w:num w:numId="37">
    <w:abstractNumId w:val="31"/>
  </w:num>
  <w:num w:numId="38">
    <w:abstractNumId w:val="23"/>
  </w:num>
  <w:num w:numId="39">
    <w:abstractNumId w:val="26"/>
  </w:num>
  <w:num w:numId="40">
    <w:abstractNumId w:val="16"/>
  </w:num>
  <w:num w:numId="41">
    <w:abstractNumId w:val="36"/>
  </w:num>
  <w:num w:numId="42">
    <w:abstractNumId w:val="27"/>
  </w:num>
  <w:num w:numId="43">
    <w:abstractNumId w:val="40"/>
  </w:num>
  <w:num w:numId="44">
    <w:abstractNumId w:val="38"/>
  </w:num>
  <w:num w:numId="45">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A1C"/>
    <w:rsid w:val="00004CB5"/>
    <w:rsid w:val="00005229"/>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715"/>
    <w:rsid w:val="000208FC"/>
    <w:rsid w:val="00020AFD"/>
    <w:rsid w:val="00020C84"/>
    <w:rsid w:val="00020D58"/>
    <w:rsid w:val="00020D6A"/>
    <w:rsid w:val="00020FF9"/>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DFC"/>
    <w:rsid w:val="00025ED6"/>
    <w:rsid w:val="000267F1"/>
    <w:rsid w:val="00026C9C"/>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5F40"/>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8FC"/>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D9"/>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AC2"/>
    <w:rsid w:val="00094BEC"/>
    <w:rsid w:val="00094CF1"/>
    <w:rsid w:val="00094E9A"/>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F"/>
    <w:rsid w:val="000A155F"/>
    <w:rsid w:val="000A17FA"/>
    <w:rsid w:val="000A18E5"/>
    <w:rsid w:val="000A1972"/>
    <w:rsid w:val="000A1A1A"/>
    <w:rsid w:val="000A1CE2"/>
    <w:rsid w:val="000A1D5F"/>
    <w:rsid w:val="000A203C"/>
    <w:rsid w:val="000A2061"/>
    <w:rsid w:val="000A211E"/>
    <w:rsid w:val="000A2278"/>
    <w:rsid w:val="000A253B"/>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0973"/>
    <w:rsid w:val="000B1080"/>
    <w:rsid w:val="000B13CC"/>
    <w:rsid w:val="000B1490"/>
    <w:rsid w:val="000B16DE"/>
    <w:rsid w:val="000B19D2"/>
    <w:rsid w:val="000B1F4D"/>
    <w:rsid w:val="000B200D"/>
    <w:rsid w:val="000B2027"/>
    <w:rsid w:val="000B208F"/>
    <w:rsid w:val="000B22EA"/>
    <w:rsid w:val="000B2414"/>
    <w:rsid w:val="000B2466"/>
    <w:rsid w:val="000B2582"/>
    <w:rsid w:val="000B274A"/>
    <w:rsid w:val="000B2898"/>
    <w:rsid w:val="000B2CD8"/>
    <w:rsid w:val="000B2E47"/>
    <w:rsid w:val="000B2EE5"/>
    <w:rsid w:val="000B3083"/>
    <w:rsid w:val="000B341C"/>
    <w:rsid w:val="000B34DA"/>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AF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927"/>
    <w:rsid w:val="000E49E9"/>
    <w:rsid w:val="000E4AFD"/>
    <w:rsid w:val="000E4D0A"/>
    <w:rsid w:val="000E5392"/>
    <w:rsid w:val="000E542F"/>
    <w:rsid w:val="000E5ACC"/>
    <w:rsid w:val="000E5B33"/>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C1A"/>
    <w:rsid w:val="000F1E80"/>
    <w:rsid w:val="000F1FD1"/>
    <w:rsid w:val="000F2054"/>
    <w:rsid w:val="000F214D"/>
    <w:rsid w:val="000F2187"/>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CF0"/>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A8"/>
    <w:rsid w:val="001453FE"/>
    <w:rsid w:val="001459ED"/>
    <w:rsid w:val="00145DD3"/>
    <w:rsid w:val="00145EA1"/>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DA3"/>
    <w:rsid w:val="00162096"/>
    <w:rsid w:val="001621E5"/>
    <w:rsid w:val="0016247E"/>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36D"/>
    <w:rsid w:val="001723F2"/>
    <w:rsid w:val="00172489"/>
    <w:rsid w:val="0017264B"/>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737"/>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3D0"/>
    <w:rsid w:val="00187569"/>
    <w:rsid w:val="00187BCA"/>
    <w:rsid w:val="00187CCE"/>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22"/>
    <w:rsid w:val="001949E7"/>
    <w:rsid w:val="00194B0B"/>
    <w:rsid w:val="00194B6C"/>
    <w:rsid w:val="00194BA4"/>
    <w:rsid w:val="001951CA"/>
    <w:rsid w:val="0019556E"/>
    <w:rsid w:val="0019572D"/>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32A"/>
    <w:rsid w:val="001A66F9"/>
    <w:rsid w:val="001A684F"/>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7D"/>
    <w:rsid w:val="001E2091"/>
    <w:rsid w:val="001E2247"/>
    <w:rsid w:val="001E2271"/>
    <w:rsid w:val="001E2667"/>
    <w:rsid w:val="001E2883"/>
    <w:rsid w:val="001E299B"/>
    <w:rsid w:val="001E2E90"/>
    <w:rsid w:val="001E32EC"/>
    <w:rsid w:val="001E3304"/>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F0"/>
    <w:rsid w:val="00200BE8"/>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3CE"/>
    <w:rsid w:val="00231455"/>
    <w:rsid w:val="002315BC"/>
    <w:rsid w:val="00231632"/>
    <w:rsid w:val="00231639"/>
    <w:rsid w:val="002316FF"/>
    <w:rsid w:val="00231747"/>
    <w:rsid w:val="00231954"/>
    <w:rsid w:val="00231A02"/>
    <w:rsid w:val="00231AA5"/>
    <w:rsid w:val="00232176"/>
    <w:rsid w:val="002322F9"/>
    <w:rsid w:val="00232350"/>
    <w:rsid w:val="002324FE"/>
    <w:rsid w:val="002325C9"/>
    <w:rsid w:val="00232781"/>
    <w:rsid w:val="00232D77"/>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62F5"/>
    <w:rsid w:val="002366BA"/>
    <w:rsid w:val="002369E7"/>
    <w:rsid w:val="00236D5C"/>
    <w:rsid w:val="00236E06"/>
    <w:rsid w:val="002373FA"/>
    <w:rsid w:val="0023774E"/>
    <w:rsid w:val="00237877"/>
    <w:rsid w:val="0023797C"/>
    <w:rsid w:val="00237EAA"/>
    <w:rsid w:val="00240CFC"/>
    <w:rsid w:val="002410E4"/>
    <w:rsid w:val="002411AE"/>
    <w:rsid w:val="002412F2"/>
    <w:rsid w:val="0024161A"/>
    <w:rsid w:val="00241649"/>
    <w:rsid w:val="00241A9E"/>
    <w:rsid w:val="00241AA9"/>
    <w:rsid w:val="00241BB6"/>
    <w:rsid w:val="00241CDB"/>
    <w:rsid w:val="00241E34"/>
    <w:rsid w:val="00241F88"/>
    <w:rsid w:val="002426D4"/>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81C"/>
    <w:rsid w:val="00282BD0"/>
    <w:rsid w:val="00282BDA"/>
    <w:rsid w:val="00282D29"/>
    <w:rsid w:val="00282F9B"/>
    <w:rsid w:val="00282FE1"/>
    <w:rsid w:val="00283601"/>
    <w:rsid w:val="002836FD"/>
    <w:rsid w:val="002838B0"/>
    <w:rsid w:val="00283AC3"/>
    <w:rsid w:val="00283AD6"/>
    <w:rsid w:val="00283BE8"/>
    <w:rsid w:val="00283BEB"/>
    <w:rsid w:val="00283DA5"/>
    <w:rsid w:val="00283F53"/>
    <w:rsid w:val="00283FAF"/>
    <w:rsid w:val="00283FB9"/>
    <w:rsid w:val="0028445A"/>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903E1"/>
    <w:rsid w:val="0029055E"/>
    <w:rsid w:val="00290B35"/>
    <w:rsid w:val="00290E63"/>
    <w:rsid w:val="00291A55"/>
    <w:rsid w:val="00291BE9"/>
    <w:rsid w:val="00291E68"/>
    <w:rsid w:val="00292205"/>
    <w:rsid w:val="002927D6"/>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AD"/>
    <w:rsid w:val="002A19EA"/>
    <w:rsid w:val="002A25FE"/>
    <w:rsid w:val="002A2B3B"/>
    <w:rsid w:val="002A2C13"/>
    <w:rsid w:val="002A2DCA"/>
    <w:rsid w:val="002A31D5"/>
    <w:rsid w:val="002A32F1"/>
    <w:rsid w:val="002A33B2"/>
    <w:rsid w:val="002A3524"/>
    <w:rsid w:val="002A3672"/>
    <w:rsid w:val="002A3907"/>
    <w:rsid w:val="002A3B8E"/>
    <w:rsid w:val="002A3F69"/>
    <w:rsid w:val="002A40BF"/>
    <w:rsid w:val="002A41AF"/>
    <w:rsid w:val="002A4339"/>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3DF"/>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6C6"/>
    <w:rsid w:val="002F56EA"/>
    <w:rsid w:val="002F571F"/>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C2A"/>
    <w:rsid w:val="00325E8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FCC"/>
    <w:rsid w:val="00352467"/>
    <w:rsid w:val="003525BA"/>
    <w:rsid w:val="003526BF"/>
    <w:rsid w:val="0035270B"/>
    <w:rsid w:val="00352A80"/>
    <w:rsid w:val="00352A9B"/>
    <w:rsid w:val="00352EE4"/>
    <w:rsid w:val="00353533"/>
    <w:rsid w:val="003537CA"/>
    <w:rsid w:val="00353AAC"/>
    <w:rsid w:val="00353DBF"/>
    <w:rsid w:val="00353E62"/>
    <w:rsid w:val="00353F91"/>
    <w:rsid w:val="0035408C"/>
    <w:rsid w:val="003540E0"/>
    <w:rsid w:val="003541B3"/>
    <w:rsid w:val="003547D2"/>
    <w:rsid w:val="00354906"/>
    <w:rsid w:val="00354B63"/>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750"/>
    <w:rsid w:val="00372A4F"/>
    <w:rsid w:val="00372ECF"/>
    <w:rsid w:val="00372F2A"/>
    <w:rsid w:val="0037301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3CA1"/>
    <w:rsid w:val="003844BA"/>
    <w:rsid w:val="00384572"/>
    <w:rsid w:val="00384AF8"/>
    <w:rsid w:val="003850CE"/>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87BCA"/>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756"/>
    <w:rsid w:val="003D6D09"/>
    <w:rsid w:val="003D7274"/>
    <w:rsid w:val="003D738F"/>
    <w:rsid w:val="003D7461"/>
    <w:rsid w:val="003D748D"/>
    <w:rsid w:val="003D7778"/>
    <w:rsid w:val="003D790E"/>
    <w:rsid w:val="003D7B9E"/>
    <w:rsid w:val="003D7D69"/>
    <w:rsid w:val="003E0026"/>
    <w:rsid w:val="003E03F9"/>
    <w:rsid w:val="003E04D4"/>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242"/>
    <w:rsid w:val="003F12BC"/>
    <w:rsid w:val="003F12E1"/>
    <w:rsid w:val="003F135E"/>
    <w:rsid w:val="003F1581"/>
    <w:rsid w:val="003F15C6"/>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2F59"/>
    <w:rsid w:val="003F31B3"/>
    <w:rsid w:val="003F31CB"/>
    <w:rsid w:val="003F3635"/>
    <w:rsid w:val="003F373F"/>
    <w:rsid w:val="003F390D"/>
    <w:rsid w:val="003F3DDA"/>
    <w:rsid w:val="003F40F5"/>
    <w:rsid w:val="003F4118"/>
    <w:rsid w:val="003F412D"/>
    <w:rsid w:val="003F41B7"/>
    <w:rsid w:val="003F44A6"/>
    <w:rsid w:val="003F46F5"/>
    <w:rsid w:val="003F4920"/>
    <w:rsid w:val="003F4A3F"/>
    <w:rsid w:val="003F54E6"/>
    <w:rsid w:val="003F57B2"/>
    <w:rsid w:val="003F5EC9"/>
    <w:rsid w:val="003F6129"/>
    <w:rsid w:val="003F61B2"/>
    <w:rsid w:val="003F62E7"/>
    <w:rsid w:val="003F63F4"/>
    <w:rsid w:val="003F6423"/>
    <w:rsid w:val="003F6832"/>
    <w:rsid w:val="003F68DC"/>
    <w:rsid w:val="003F6926"/>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9D4"/>
    <w:rsid w:val="004119DC"/>
    <w:rsid w:val="00411A6F"/>
    <w:rsid w:val="00411AFD"/>
    <w:rsid w:val="00411B70"/>
    <w:rsid w:val="00411DB5"/>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7B1"/>
    <w:rsid w:val="00430A0A"/>
    <w:rsid w:val="00430D53"/>
    <w:rsid w:val="00430DC7"/>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100"/>
    <w:rsid w:val="00433297"/>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EEE"/>
    <w:rsid w:val="00436F49"/>
    <w:rsid w:val="004371F9"/>
    <w:rsid w:val="00437320"/>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81"/>
    <w:rsid w:val="00491CCF"/>
    <w:rsid w:val="00491FC5"/>
    <w:rsid w:val="00492A08"/>
    <w:rsid w:val="00492A92"/>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2CE"/>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CE3"/>
    <w:rsid w:val="004A0D31"/>
    <w:rsid w:val="004A0D56"/>
    <w:rsid w:val="004A0E95"/>
    <w:rsid w:val="004A0FFB"/>
    <w:rsid w:val="004A14D3"/>
    <w:rsid w:val="004A1534"/>
    <w:rsid w:val="004A15AB"/>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5A"/>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53D"/>
    <w:rsid w:val="004C4A10"/>
    <w:rsid w:val="004C4A68"/>
    <w:rsid w:val="004C5232"/>
    <w:rsid w:val="004C566D"/>
    <w:rsid w:val="004C589D"/>
    <w:rsid w:val="004C5DBB"/>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0FD"/>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31DD"/>
    <w:rsid w:val="005031EB"/>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69A"/>
    <w:rsid w:val="005128B9"/>
    <w:rsid w:val="00512E9F"/>
    <w:rsid w:val="00512FB1"/>
    <w:rsid w:val="0051300A"/>
    <w:rsid w:val="00513030"/>
    <w:rsid w:val="00513465"/>
    <w:rsid w:val="00513774"/>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102"/>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32A7"/>
    <w:rsid w:val="0052333A"/>
    <w:rsid w:val="005234C3"/>
    <w:rsid w:val="005234F2"/>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9A"/>
    <w:rsid w:val="005469CA"/>
    <w:rsid w:val="0054703F"/>
    <w:rsid w:val="00547555"/>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681"/>
    <w:rsid w:val="00552C39"/>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767"/>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5ED"/>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5D8"/>
    <w:rsid w:val="005A07D3"/>
    <w:rsid w:val="005A089E"/>
    <w:rsid w:val="005A0C47"/>
    <w:rsid w:val="005A0CE0"/>
    <w:rsid w:val="005A0D24"/>
    <w:rsid w:val="005A0FA0"/>
    <w:rsid w:val="005A1045"/>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59"/>
    <w:rsid w:val="005A526B"/>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97"/>
    <w:rsid w:val="005A7B9B"/>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E8B"/>
    <w:rsid w:val="005D10AE"/>
    <w:rsid w:val="005D1136"/>
    <w:rsid w:val="005D12BF"/>
    <w:rsid w:val="005D14A4"/>
    <w:rsid w:val="005D16B8"/>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AAA"/>
    <w:rsid w:val="005E5AB0"/>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18BC"/>
    <w:rsid w:val="0060203B"/>
    <w:rsid w:val="0060221A"/>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D94"/>
    <w:rsid w:val="00614EFB"/>
    <w:rsid w:val="006150B3"/>
    <w:rsid w:val="006150E9"/>
    <w:rsid w:val="00615CB5"/>
    <w:rsid w:val="006161A1"/>
    <w:rsid w:val="0061643A"/>
    <w:rsid w:val="00616455"/>
    <w:rsid w:val="00616656"/>
    <w:rsid w:val="0061665C"/>
    <w:rsid w:val="00616C58"/>
    <w:rsid w:val="00616FE0"/>
    <w:rsid w:val="006170B2"/>
    <w:rsid w:val="006173A8"/>
    <w:rsid w:val="00617699"/>
    <w:rsid w:val="00617995"/>
    <w:rsid w:val="00617B18"/>
    <w:rsid w:val="00617B92"/>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44"/>
    <w:rsid w:val="00627D9A"/>
    <w:rsid w:val="00627FD1"/>
    <w:rsid w:val="00630033"/>
    <w:rsid w:val="00630136"/>
    <w:rsid w:val="006301E8"/>
    <w:rsid w:val="006302EC"/>
    <w:rsid w:val="006304D1"/>
    <w:rsid w:val="00630534"/>
    <w:rsid w:val="006306F5"/>
    <w:rsid w:val="0063075A"/>
    <w:rsid w:val="006307BC"/>
    <w:rsid w:val="0063083A"/>
    <w:rsid w:val="00630863"/>
    <w:rsid w:val="0063087B"/>
    <w:rsid w:val="00630BE2"/>
    <w:rsid w:val="00630D51"/>
    <w:rsid w:val="0063101D"/>
    <w:rsid w:val="006310E9"/>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8C8"/>
    <w:rsid w:val="00635A4C"/>
    <w:rsid w:val="00635FA9"/>
    <w:rsid w:val="00635FB1"/>
    <w:rsid w:val="0063606C"/>
    <w:rsid w:val="006364DC"/>
    <w:rsid w:val="00636538"/>
    <w:rsid w:val="006368ED"/>
    <w:rsid w:val="006369A6"/>
    <w:rsid w:val="00636B42"/>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5A9"/>
    <w:rsid w:val="00665B3B"/>
    <w:rsid w:val="00665D8A"/>
    <w:rsid w:val="00665E77"/>
    <w:rsid w:val="0066628E"/>
    <w:rsid w:val="006662D8"/>
    <w:rsid w:val="0066672C"/>
    <w:rsid w:val="0066678E"/>
    <w:rsid w:val="00666AE4"/>
    <w:rsid w:val="00666B0B"/>
    <w:rsid w:val="00666EA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3C4"/>
    <w:rsid w:val="00692ADA"/>
    <w:rsid w:val="00693366"/>
    <w:rsid w:val="006936A0"/>
    <w:rsid w:val="0069371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A18"/>
    <w:rsid w:val="006A2EEC"/>
    <w:rsid w:val="006A300B"/>
    <w:rsid w:val="006A3038"/>
    <w:rsid w:val="006A366F"/>
    <w:rsid w:val="006A3849"/>
    <w:rsid w:val="006A3973"/>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F8B"/>
    <w:rsid w:val="006C00D3"/>
    <w:rsid w:val="006C020D"/>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6F7D21"/>
    <w:rsid w:val="00700060"/>
    <w:rsid w:val="0070055D"/>
    <w:rsid w:val="0070062E"/>
    <w:rsid w:val="00700B12"/>
    <w:rsid w:val="00700F10"/>
    <w:rsid w:val="007010B5"/>
    <w:rsid w:val="00701352"/>
    <w:rsid w:val="0070162B"/>
    <w:rsid w:val="007019F7"/>
    <w:rsid w:val="00701DEC"/>
    <w:rsid w:val="0070233A"/>
    <w:rsid w:val="00702844"/>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EA8"/>
    <w:rsid w:val="00721FCB"/>
    <w:rsid w:val="007220E4"/>
    <w:rsid w:val="0072230D"/>
    <w:rsid w:val="0072288E"/>
    <w:rsid w:val="007229BA"/>
    <w:rsid w:val="00722B85"/>
    <w:rsid w:val="00722BB3"/>
    <w:rsid w:val="00722D7A"/>
    <w:rsid w:val="00722ED1"/>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C16"/>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7AA"/>
    <w:rsid w:val="00742D5A"/>
    <w:rsid w:val="0074315A"/>
    <w:rsid w:val="0074369F"/>
    <w:rsid w:val="00743AF2"/>
    <w:rsid w:val="007442A3"/>
    <w:rsid w:val="007442C9"/>
    <w:rsid w:val="007444B0"/>
    <w:rsid w:val="00744805"/>
    <w:rsid w:val="007448AE"/>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4043"/>
    <w:rsid w:val="00794100"/>
    <w:rsid w:val="007941A5"/>
    <w:rsid w:val="007941DF"/>
    <w:rsid w:val="007945F2"/>
    <w:rsid w:val="0079479F"/>
    <w:rsid w:val="007947A5"/>
    <w:rsid w:val="007948FA"/>
    <w:rsid w:val="00794AFB"/>
    <w:rsid w:val="00794B47"/>
    <w:rsid w:val="00794BE4"/>
    <w:rsid w:val="00794BF7"/>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C29"/>
    <w:rsid w:val="007A6DC2"/>
    <w:rsid w:val="007A75CC"/>
    <w:rsid w:val="007A795F"/>
    <w:rsid w:val="007A7AE1"/>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40F"/>
    <w:rsid w:val="007B362E"/>
    <w:rsid w:val="007B39B9"/>
    <w:rsid w:val="007B3F39"/>
    <w:rsid w:val="007B42C9"/>
    <w:rsid w:val="007B44EA"/>
    <w:rsid w:val="007B4B57"/>
    <w:rsid w:val="007B4C0B"/>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E02"/>
    <w:rsid w:val="007D0F16"/>
    <w:rsid w:val="007D127D"/>
    <w:rsid w:val="007D13EC"/>
    <w:rsid w:val="007D1446"/>
    <w:rsid w:val="007D1509"/>
    <w:rsid w:val="007D1841"/>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AFE"/>
    <w:rsid w:val="00802C32"/>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35C"/>
    <w:rsid w:val="008413F5"/>
    <w:rsid w:val="008414A2"/>
    <w:rsid w:val="008415E4"/>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0F7"/>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BE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634"/>
    <w:rsid w:val="00885781"/>
    <w:rsid w:val="008857A0"/>
    <w:rsid w:val="00885BA7"/>
    <w:rsid w:val="00885CBF"/>
    <w:rsid w:val="00885F00"/>
    <w:rsid w:val="00886104"/>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40A9"/>
    <w:rsid w:val="00894316"/>
    <w:rsid w:val="00894898"/>
    <w:rsid w:val="00894B33"/>
    <w:rsid w:val="00894C3F"/>
    <w:rsid w:val="00894D5A"/>
    <w:rsid w:val="00894D76"/>
    <w:rsid w:val="00894D7E"/>
    <w:rsid w:val="00895092"/>
    <w:rsid w:val="0089526D"/>
    <w:rsid w:val="00895274"/>
    <w:rsid w:val="00895605"/>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1412"/>
    <w:rsid w:val="008A1771"/>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A13"/>
    <w:rsid w:val="008B2B07"/>
    <w:rsid w:val="008B2C32"/>
    <w:rsid w:val="008B3226"/>
    <w:rsid w:val="008B32F5"/>
    <w:rsid w:val="008B36F2"/>
    <w:rsid w:val="008B3CBC"/>
    <w:rsid w:val="008B3D8F"/>
    <w:rsid w:val="008B4122"/>
    <w:rsid w:val="008B42F4"/>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5BB"/>
    <w:rsid w:val="008C39DF"/>
    <w:rsid w:val="008C3BF4"/>
    <w:rsid w:val="008C3CB2"/>
    <w:rsid w:val="008C3DB2"/>
    <w:rsid w:val="008C42CE"/>
    <w:rsid w:val="008C43AA"/>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603"/>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4E"/>
    <w:rsid w:val="009065A5"/>
    <w:rsid w:val="009066FA"/>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C11"/>
    <w:rsid w:val="00917D32"/>
    <w:rsid w:val="00920169"/>
    <w:rsid w:val="0092070C"/>
    <w:rsid w:val="009207D6"/>
    <w:rsid w:val="00920892"/>
    <w:rsid w:val="00920D77"/>
    <w:rsid w:val="00921303"/>
    <w:rsid w:val="00921375"/>
    <w:rsid w:val="00921662"/>
    <w:rsid w:val="00921740"/>
    <w:rsid w:val="00921EB3"/>
    <w:rsid w:val="00921F29"/>
    <w:rsid w:val="009223F3"/>
    <w:rsid w:val="00922407"/>
    <w:rsid w:val="009228DA"/>
    <w:rsid w:val="009229C9"/>
    <w:rsid w:val="00922AD6"/>
    <w:rsid w:val="00922BF8"/>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C23"/>
    <w:rsid w:val="00932DB8"/>
    <w:rsid w:val="009330B1"/>
    <w:rsid w:val="00933273"/>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98F"/>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C7C"/>
    <w:rsid w:val="00946DB6"/>
    <w:rsid w:val="00946E86"/>
    <w:rsid w:val="00947092"/>
    <w:rsid w:val="0094781A"/>
    <w:rsid w:val="00947A2B"/>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AAD"/>
    <w:rsid w:val="00972B16"/>
    <w:rsid w:val="00973111"/>
    <w:rsid w:val="00973134"/>
    <w:rsid w:val="00973267"/>
    <w:rsid w:val="00973396"/>
    <w:rsid w:val="00973977"/>
    <w:rsid w:val="00973EC2"/>
    <w:rsid w:val="009741F4"/>
    <w:rsid w:val="0097436A"/>
    <w:rsid w:val="009746BA"/>
    <w:rsid w:val="009747A9"/>
    <w:rsid w:val="00974AD4"/>
    <w:rsid w:val="00975117"/>
    <w:rsid w:val="0097567E"/>
    <w:rsid w:val="00975699"/>
    <w:rsid w:val="00975D36"/>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475"/>
    <w:rsid w:val="00981561"/>
    <w:rsid w:val="00981591"/>
    <w:rsid w:val="009815BF"/>
    <w:rsid w:val="009816D1"/>
    <w:rsid w:val="00981C8E"/>
    <w:rsid w:val="00981F97"/>
    <w:rsid w:val="0098221C"/>
    <w:rsid w:val="00982392"/>
    <w:rsid w:val="00982975"/>
    <w:rsid w:val="00982D43"/>
    <w:rsid w:val="00982D80"/>
    <w:rsid w:val="00982E9C"/>
    <w:rsid w:val="0098322D"/>
    <w:rsid w:val="00983481"/>
    <w:rsid w:val="00983944"/>
    <w:rsid w:val="00984081"/>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C7"/>
    <w:rsid w:val="009B0EE1"/>
    <w:rsid w:val="009B1596"/>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9A"/>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42E"/>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1C11"/>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22B"/>
    <w:rsid w:val="00A1151A"/>
    <w:rsid w:val="00A116D1"/>
    <w:rsid w:val="00A11D44"/>
    <w:rsid w:val="00A1245A"/>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4A8"/>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119"/>
    <w:rsid w:val="00A3512D"/>
    <w:rsid w:val="00A3519E"/>
    <w:rsid w:val="00A3531A"/>
    <w:rsid w:val="00A35556"/>
    <w:rsid w:val="00A3571C"/>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848"/>
    <w:rsid w:val="00A558B2"/>
    <w:rsid w:val="00A55C8C"/>
    <w:rsid w:val="00A55C99"/>
    <w:rsid w:val="00A564F5"/>
    <w:rsid w:val="00A56789"/>
    <w:rsid w:val="00A568A1"/>
    <w:rsid w:val="00A569A5"/>
    <w:rsid w:val="00A569E5"/>
    <w:rsid w:val="00A56B84"/>
    <w:rsid w:val="00A56BE0"/>
    <w:rsid w:val="00A56DC0"/>
    <w:rsid w:val="00A570DA"/>
    <w:rsid w:val="00A5721A"/>
    <w:rsid w:val="00A57447"/>
    <w:rsid w:val="00A57550"/>
    <w:rsid w:val="00A57687"/>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D46"/>
    <w:rsid w:val="00A9415C"/>
    <w:rsid w:val="00A94364"/>
    <w:rsid w:val="00A94407"/>
    <w:rsid w:val="00A94415"/>
    <w:rsid w:val="00A9448E"/>
    <w:rsid w:val="00A9463A"/>
    <w:rsid w:val="00A949AD"/>
    <w:rsid w:val="00A94AB6"/>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D9"/>
    <w:rsid w:val="00AA0E71"/>
    <w:rsid w:val="00AA1036"/>
    <w:rsid w:val="00AA134D"/>
    <w:rsid w:val="00AA1407"/>
    <w:rsid w:val="00AA1510"/>
    <w:rsid w:val="00AA1601"/>
    <w:rsid w:val="00AA1735"/>
    <w:rsid w:val="00AA1748"/>
    <w:rsid w:val="00AA1770"/>
    <w:rsid w:val="00AA1C4F"/>
    <w:rsid w:val="00AA1CEA"/>
    <w:rsid w:val="00AA1D6F"/>
    <w:rsid w:val="00AA217D"/>
    <w:rsid w:val="00AA2238"/>
    <w:rsid w:val="00AA2462"/>
    <w:rsid w:val="00AA2EB8"/>
    <w:rsid w:val="00AA306A"/>
    <w:rsid w:val="00AA36D1"/>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439"/>
    <w:rsid w:val="00AA74CD"/>
    <w:rsid w:val="00AA7678"/>
    <w:rsid w:val="00AA7994"/>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C6C"/>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5A"/>
    <w:rsid w:val="00AF0782"/>
    <w:rsid w:val="00AF0866"/>
    <w:rsid w:val="00AF0A08"/>
    <w:rsid w:val="00AF0B81"/>
    <w:rsid w:val="00AF0C1F"/>
    <w:rsid w:val="00AF0C38"/>
    <w:rsid w:val="00AF0E8D"/>
    <w:rsid w:val="00AF0F66"/>
    <w:rsid w:val="00AF0FCC"/>
    <w:rsid w:val="00AF10CB"/>
    <w:rsid w:val="00AF1177"/>
    <w:rsid w:val="00AF11CA"/>
    <w:rsid w:val="00AF1206"/>
    <w:rsid w:val="00AF1C8D"/>
    <w:rsid w:val="00AF1E10"/>
    <w:rsid w:val="00AF1FCA"/>
    <w:rsid w:val="00AF202F"/>
    <w:rsid w:val="00AF20FE"/>
    <w:rsid w:val="00AF2835"/>
    <w:rsid w:val="00AF28E4"/>
    <w:rsid w:val="00AF291D"/>
    <w:rsid w:val="00AF2B7D"/>
    <w:rsid w:val="00AF3677"/>
    <w:rsid w:val="00AF3679"/>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3A5"/>
    <w:rsid w:val="00AF642B"/>
    <w:rsid w:val="00AF64B3"/>
    <w:rsid w:val="00AF6566"/>
    <w:rsid w:val="00AF6568"/>
    <w:rsid w:val="00AF66FA"/>
    <w:rsid w:val="00AF6712"/>
    <w:rsid w:val="00AF68A9"/>
    <w:rsid w:val="00AF700A"/>
    <w:rsid w:val="00AF7077"/>
    <w:rsid w:val="00AF7330"/>
    <w:rsid w:val="00AF7A6E"/>
    <w:rsid w:val="00B0000D"/>
    <w:rsid w:val="00B007A4"/>
    <w:rsid w:val="00B00A16"/>
    <w:rsid w:val="00B00D1F"/>
    <w:rsid w:val="00B00D7C"/>
    <w:rsid w:val="00B01255"/>
    <w:rsid w:val="00B01415"/>
    <w:rsid w:val="00B01885"/>
    <w:rsid w:val="00B0188A"/>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897"/>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A54"/>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9B"/>
    <w:rsid w:val="00B956D4"/>
    <w:rsid w:val="00B95807"/>
    <w:rsid w:val="00B959B9"/>
    <w:rsid w:val="00B95A87"/>
    <w:rsid w:val="00B95C4A"/>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533"/>
    <w:rsid w:val="00BA762C"/>
    <w:rsid w:val="00BA76A9"/>
    <w:rsid w:val="00BA7C19"/>
    <w:rsid w:val="00BA7E80"/>
    <w:rsid w:val="00BA7F94"/>
    <w:rsid w:val="00BA7FC7"/>
    <w:rsid w:val="00BB0157"/>
    <w:rsid w:val="00BB029F"/>
    <w:rsid w:val="00BB03BE"/>
    <w:rsid w:val="00BB040F"/>
    <w:rsid w:val="00BB04A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9A2"/>
    <w:rsid w:val="00BB59E0"/>
    <w:rsid w:val="00BB6246"/>
    <w:rsid w:val="00BB6247"/>
    <w:rsid w:val="00BB63F5"/>
    <w:rsid w:val="00BB6406"/>
    <w:rsid w:val="00BB64BE"/>
    <w:rsid w:val="00BB6563"/>
    <w:rsid w:val="00BB66DB"/>
    <w:rsid w:val="00BB695C"/>
    <w:rsid w:val="00BB6C4F"/>
    <w:rsid w:val="00BB6D48"/>
    <w:rsid w:val="00BB7019"/>
    <w:rsid w:val="00BB7025"/>
    <w:rsid w:val="00BB72A2"/>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F46"/>
    <w:rsid w:val="00BC3FF1"/>
    <w:rsid w:val="00BC4E01"/>
    <w:rsid w:val="00BC514B"/>
    <w:rsid w:val="00BC5443"/>
    <w:rsid w:val="00BC558E"/>
    <w:rsid w:val="00BC5742"/>
    <w:rsid w:val="00BC6406"/>
    <w:rsid w:val="00BC6509"/>
    <w:rsid w:val="00BC6533"/>
    <w:rsid w:val="00BC6D53"/>
    <w:rsid w:val="00BC6D5B"/>
    <w:rsid w:val="00BC6EFE"/>
    <w:rsid w:val="00BC71BC"/>
    <w:rsid w:val="00BC73AB"/>
    <w:rsid w:val="00BC74E3"/>
    <w:rsid w:val="00BC764C"/>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2DF"/>
    <w:rsid w:val="00BF7553"/>
    <w:rsid w:val="00BF75FB"/>
    <w:rsid w:val="00BF79DA"/>
    <w:rsid w:val="00BF7F9D"/>
    <w:rsid w:val="00C0040B"/>
    <w:rsid w:val="00C006DF"/>
    <w:rsid w:val="00C007F3"/>
    <w:rsid w:val="00C00AE6"/>
    <w:rsid w:val="00C00F87"/>
    <w:rsid w:val="00C01081"/>
    <w:rsid w:val="00C011B9"/>
    <w:rsid w:val="00C0132D"/>
    <w:rsid w:val="00C014A4"/>
    <w:rsid w:val="00C017EC"/>
    <w:rsid w:val="00C01CEA"/>
    <w:rsid w:val="00C02272"/>
    <w:rsid w:val="00C022E3"/>
    <w:rsid w:val="00C02785"/>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F9"/>
    <w:rsid w:val="00C500BD"/>
    <w:rsid w:val="00C5040B"/>
    <w:rsid w:val="00C50736"/>
    <w:rsid w:val="00C50AB3"/>
    <w:rsid w:val="00C50C12"/>
    <w:rsid w:val="00C50E5C"/>
    <w:rsid w:val="00C50EF3"/>
    <w:rsid w:val="00C5104F"/>
    <w:rsid w:val="00C51184"/>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20E0"/>
    <w:rsid w:val="00C623EE"/>
    <w:rsid w:val="00C6292E"/>
    <w:rsid w:val="00C62E65"/>
    <w:rsid w:val="00C63247"/>
    <w:rsid w:val="00C632E4"/>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A23"/>
    <w:rsid w:val="00C76A28"/>
    <w:rsid w:val="00C76E8C"/>
    <w:rsid w:val="00C77163"/>
    <w:rsid w:val="00C772A8"/>
    <w:rsid w:val="00C775F8"/>
    <w:rsid w:val="00C77702"/>
    <w:rsid w:val="00C777B7"/>
    <w:rsid w:val="00C778AF"/>
    <w:rsid w:val="00C77A3F"/>
    <w:rsid w:val="00C77C59"/>
    <w:rsid w:val="00C77E06"/>
    <w:rsid w:val="00C77EF5"/>
    <w:rsid w:val="00C8037C"/>
    <w:rsid w:val="00C806EC"/>
    <w:rsid w:val="00C8085B"/>
    <w:rsid w:val="00C80D23"/>
    <w:rsid w:val="00C80E79"/>
    <w:rsid w:val="00C81688"/>
    <w:rsid w:val="00C81B8C"/>
    <w:rsid w:val="00C81C68"/>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D0E"/>
    <w:rsid w:val="00CC7DB9"/>
    <w:rsid w:val="00CC7E06"/>
    <w:rsid w:val="00CD011D"/>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B99"/>
    <w:rsid w:val="00CE5CAE"/>
    <w:rsid w:val="00CE5DD9"/>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BB6"/>
    <w:rsid w:val="00CF6EE7"/>
    <w:rsid w:val="00CF701C"/>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851"/>
    <w:rsid w:val="00D909D5"/>
    <w:rsid w:val="00D90BFA"/>
    <w:rsid w:val="00D90D32"/>
    <w:rsid w:val="00D90E19"/>
    <w:rsid w:val="00D913F3"/>
    <w:rsid w:val="00D9161E"/>
    <w:rsid w:val="00D917F0"/>
    <w:rsid w:val="00D918C9"/>
    <w:rsid w:val="00D91B21"/>
    <w:rsid w:val="00D91D01"/>
    <w:rsid w:val="00D92152"/>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D3E"/>
    <w:rsid w:val="00D93FF8"/>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203C"/>
    <w:rsid w:val="00DD20E6"/>
    <w:rsid w:val="00DD2274"/>
    <w:rsid w:val="00DD22FC"/>
    <w:rsid w:val="00DD28C9"/>
    <w:rsid w:val="00DD2B51"/>
    <w:rsid w:val="00DD2D5E"/>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75B"/>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9D"/>
    <w:rsid w:val="00DF24CB"/>
    <w:rsid w:val="00DF2537"/>
    <w:rsid w:val="00DF26D9"/>
    <w:rsid w:val="00DF300F"/>
    <w:rsid w:val="00DF326B"/>
    <w:rsid w:val="00DF33E9"/>
    <w:rsid w:val="00DF39CD"/>
    <w:rsid w:val="00DF3B53"/>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0FB3"/>
    <w:rsid w:val="00E01047"/>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50D"/>
    <w:rsid w:val="00E566B0"/>
    <w:rsid w:val="00E56898"/>
    <w:rsid w:val="00E56BA5"/>
    <w:rsid w:val="00E56C9D"/>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8CF"/>
    <w:rsid w:val="00E739F8"/>
    <w:rsid w:val="00E73E8B"/>
    <w:rsid w:val="00E74405"/>
    <w:rsid w:val="00E745A2"/>
    <w:rsid w:val="00E745A6"/>
    <w:rsid w:val="00E745EB"/>
    <w:rsid w:val="00E74D3F"/>
    <w:rsid w:val="00E74FE6"/>
    <w:rsid w:val="00E75425"/>
    <w:rsid w:val="00E75495"/>
    <w:rsid w:val="00E756BB"/>
    <w:rsid w:val="00E7592E"/>
    <w:rsid w:val="00E75E09"/>
    <w:rsid w:val="00E7643F"/>
    <w:rsid w:val="00E76840"/>
    <w:rsid w:val="00E7685A"/>
    <w:rsid w:val="00E76C92"/>
    <w:rsid w:val="00E76EA4"/>
    <w:rsid w:val="00E76FE7"/>
    <w:rsid w:val="00E77051"/>
    <w:rsid w:val="00E77847"/>
    <w:rsid w:val="00E77B20"/>
    <w:rsid w:val="00E77B93"/>
    <w:rsid w:val="00E77D08"/>
    <w:rsid w:val="00E77DEA"/>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458"/>
    <w:rsid w:val="00EB0594"/>
    <w:rsid w:val="00EB05AA"/>
    <w:rsid w:val="00EB05B9"/>
    <w:rsid w:val="00EB07B8"/>
    <w:rsid w:val="00EB0A0D"/>
    <w:rsid w:val="00EB0A79"/>
    <w:rsid w:val="00EB0C51"/>
    <w:rsid w:val="00EB0DD3"/>
    <w:rsid w:val="00EB0FFF"/>
    <w:rsid w:val="00EB1118"/>
    <w:rsid w:val="00EB116D"/>
    <w:rsid w:val="00EB144C"/>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49C"/>
    <w:rsid w:val="00EC16BE"/>
    <w:rsid w:val="00EC1807"/>
    <w:rsid w:val="00EC1B1B"/>
    <w:rsid w:val="00EC204A"/>
    <w:rsid w:val="00EC2401"/>
    <w:rsid w:val="00EC2488"/>
    <w:rsid w:val="00EC254D"/>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6A3"/>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A4"/>
    <w:rsid w:val="00EE73DE"/>
    <w:rsid w:val="00EE75D9"/>
    <w:rsid w:val="00EE7610"/>
    <w:rsid w:val="00EE78FA"/>
    <w:rsid w:val="00EE797F"/>
    <w:rsid w:val="00EF0369"/>
    <w:rsid w:val="00EF0610"/>
    <w:rsid w:val="00EF0B4B"/>
    <w:rsid w:val="00EF0F9B"/>
    <w:rsid w:val="00EF0FF2"/>
    <w:rsid w:val="00EF117C"/>
    <w:rsid w:val="00EF1648"/>
    <w:rsid w:val="00EF18CA"/>
    <w:rsid w:val="00EF1908"/>
    <w:rsid w:val="00EF19E8"/>
    <w:rsid w:val="00EF1B8A"/>
    <w:rsid w:val="00EF1C3B"/>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FB"/>
    <w:rsid w:val="00EF49FF"/>
    <w:rsid w:val="00EF4A17"/>
    <w:rsid w:val="00EF4A28"/>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0FA3"/>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C13"/>
    <w:rsid w:val="00F6103B"/>
    <w:rsid w:val="00F61127"/>
    <w:rsid w:val="00F613B3"/>
    <w:rsid w:val="00F61457"/>
    <w:rsid w:val="00F614CC"/>
    <w:rsid w:val="00F6156C"/>
    <w:rsid w:val="00F615ED"/>
    <w:rsid w:val="00F6179B"/>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87"/>
    <w:rsid w:val="00F735CD"/>
    <w:rsid w:val="00F73A36"/>
    <w:rsid w:val="00F73B07"/>
    <w:rsid w:val="00F73D48"/>
    <w:rsid w:val="00F73D68"/>
    <w:rsid w:val="00F73F12"/>
    <w:rsid w:val="00F74072"/>
    <w:rsid w:val="00F743DC"/>
    <w:rsid w:val="00F74645"/>
    <w:rsid w:val="00F746D2"/>
    <w:rsid w:val="00F74A58"/>
    <w:rsid w:val="00F74AD9"/>
    <w:rsid w:val="00F74B50"/>
    <w:rsid w:val="00F74EC5"/>
    <w:rsid w:val="00F75079"/>
    <w:rsid w:val="00F75450"/>
    <w:rsid w:val="00F75505"/>
    <w:rsid w:val="00F75516"/>
    <w:rsid w:val="00F75551"/>
    <w:rsid w:val="00F759A2"/>
    <w:rsid w:val="00F75B24"/>
    <w:rsid w:val="00F75B39"/>
    <w:rsid w:val="00F75D45"/>
    <w:rsid w:val="00F766E6"/>
    <w:rsid w:val="00F76C94"/>
    <w:rsid w:val="00F76C95"/>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99C"/>
    <w:rsid w:val="00F84D01"/>
    <w:rsid w:val="00F84E05"/>
    <w:rsid w:val="00F85072"/>
    <w:rsid w:val="00F85360"/>
    <w:rsid w:val="00F85616"/>
    <w:rsid w:val="00F8566A"/>
    <w:rsid w:val="00F85979"/>
    <w:rsid w:val="00F85AD5"/>
    <w:rsid w:val="00F85E64"/>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6180"/>
    <w:rsid w:val="00FD6440"/>
    <w:rsid w:val="00FD66A8"/>
    <w:rsid w:val="00FD6860"/>
    <w:rsid w:val="00FD6978"/>
    <w:rsid w:val="00FD6D47"/>
    <w:rsid w:val="00FD703B"/>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2C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00681510">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83389515">
          <w:marLeft w:val="0"/>
          <w:marRight w:val="0"/>
          <w:marTop w:val="0"/>
          <w:marBottom w:val="120"/>
          <w:divBdr>
            <w:top w:val="none" w:sz="0" w:space="0" w:color="auto"/>
            <w:left w:val="none" w:sz="0" w:space="0" w:color="auto"/>
            <w:bottom w:val="none" w:sz="0" w:space="0" w:color="auto"/>
            <w:right w:val="none" w:sz="0" w:space="0" w:color="auto"/>
          </w:divBdr>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safetyandquality.gov.au/second-edition" TargetMode="External"/><Relationship Id="rId26" Type="http://schemas.openxmlformats.org/officeDocument/2006/relationships/hyperlink" Target="https://doi.org/10.5694/mja17.00857"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health.org.uk/publication/emergency-hospital-admissions-england-which-may-be-avoidable-and-how" TargetMode="External"/><Relationship Id="rId34" Type="http://schemas.openxmlformats.org/officeDocument/2006/relationships/hyperlink" Target="https://www.nice.org.uk"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safetyandquality.gov.au/consultations" TargetMode="External"/><Relationship Id="rId25" Type="http://schemas.openxmlformats.org/officeDocument/2006/relationships/hyperlink" Target="https://www.bmj.com/quality-improvement" TargetMode="External"/><Relationship Id="rId33" Type="http://schemas.openxmlformats.org/officeDocument/2006/relationships/hyperlink" Target="https://academic.oup.com/intqhc/advance-access?papetoc"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afetyandquality.gov.au/consultations" TargetMode="External"/><Relationship Id="rId20" Type="http://schemas.openxmlformats.org/officeDocument/2006/relationships/image" Target="media/image2.png"/><Relationship Id="rId29" Type="http://schemas.openxmlformats.org/officeDocument/2006/relationships/hyperlink" Target="https://doi.org/10.1001/jama.2018.285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doi.org/10.1136/bmj.k2014" TargetMode="External"/><Relationship Id="rId32" Type="http://schemas.openxmlformats.org/officeDocument/2006/relationships/hyperlink" Target="https://qualitysafety.bmj.com/content/early/recent" TargetMode="External"/><Relationship Id="rId37" Type="http://schemas.openxmlformats.org/officeDocument/2006/relationships/hyperlink" Target="https://www.cdc.gov/grand-rounds/pp/2018/20180515-antibiotics-aware.html"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doi.org/10.1136/bmj.k1877" TargetMode="External"/><Relationship Id="rId28" Type="http://schemas.openxmlformats.org/officeDocument/2006/relationships/hyperlink" Target="https://doi.org/10.1097/PTS.0000000000000474" TargetMode="External"/><Relationship Id="rId36" Type="http://schemas.openxmlformats.org/officeDocument/2006/relationships/hyperlink" Target="https://www.nice.org.uk/guidance/qs169" TargetMode="Externa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www.safetyandquality.gov.au/our-work/assessment-to-the-nsqhs-standards/the-impact-of-the-nsqhs-standards/" TargetMode="External"/><Relationship Id="rId31" Type="http://schemas.openxmlformats.org/officeDocument/2006/relationships/hyperlink" Target="http://journals.sagepub.com/toc/ajmb/33/3"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doi.org/10.1136/bmj.k1924" TargetMode="External"/><Relationship Id="rId27" Type="http://schemas.openxmlformats.org/officeDocument/2006/relationships/hyperlink" Target="https://doi.org/10.1016/j.jcjq.2017.11.006" TargetMode="External"/><Relationship Id="rId30" Type="http://schemas.openxmlformats.org/officeDocument/2006/relationships/hyperlink" Target="https://doi.org/10.1016/j.jcjq.2017.11.005" TargetMode="External"/><Relationship Id="rId35" Type="http://schemas.openxmlformats.org/officeDocument/2006/relationships/hyperlink" Target="https://www.nice.org.uk/guidance/qs1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938EA-0A42-4D20-83D3-D70E2C9DE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1502</TotalTime>
  <Pages>7</Pages>
  <Words>3387</Words>
  <Characters>19308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22650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25</cp:revision>
  <cp:lastPrinted>2018-03-02T02:34:00Z</cp:lastPrinted>
  <dcterms:created xsi:type="dcterms:W3CDTF">2018-05-20T21:29:00Z</dcterms:created>
  <dcterms:modified xsi:type="dcterms:W3CDTF">2018-05-25T02:41:00Z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