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83B63">
      <w:pPr>
        <w:pStyle w:val="Heading1"/>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8030A">
        <w:rPr>
          <w:rFonts w:ascii="Garamond" w:hAnsi="Garamond"/>
          <w:color w:val="000000"/>
          <w:lang w:val="en-AU"/>
        </w:rPr>
        <w:t>72</w:t>
      </w:r>
    </w:p>
    <w:p w:rsidR="00755242" w:rsidRPr="00467B47" w:rsidRDefault="00D8030A" w:rsidP="00B160EF">
      <w:pPr>
        <w:rPr>
          <w:rFonts w:ascii="Garamond" w:hAnsi="Garamond"/>
          <w:lang w:val="en-AU"/>
        </w:rPr>
      </w:pPr>
      <w:r>
        <w:rPr>
          <w:rFonts w:ascii="Garamond" w:hAnsi="Garamond"/>
          <w:lang w:val="en-AU"/>
        </w:rPr>
        <w:t>4 June</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381EC2">
        <w:rPr>
          <w:rFonts w:ascii="Garamond" w:hAnsi="Garamond"/>
          <w:bCs/>
          <w:lang w:val="en-AU"/>
        </w:rPr>
        <w:t>, Karla Lister</w:t>
      </w:r>
      <w:r w:rsidR="00EC2822">
        <w:rPr>
          <w:rFonts w:ascii="Garamond" w:hAnsi="Garamond"/>
          <w:bCs/>
          <w:lang w:val="en-AU"/>
        </w:rPr>
        <w:t>, Ruth Daniels</w:t>
      </w:r>
      <w:r w:rsidR="002A5B7B">
        <w:rPr>
          <w:rFonts w:ascii="Garamond" w:hAnsi="Garamond"/>
          <w:bCs/>
          <w:lang w:val="en-AU"/>
        </w:rPr>
        <w:t>, Ben Prest</w:t>
      </w:r>
    </w:p>
    <w:p w:rsidR="00727B35" w:rsidRDefault="00727B35" w:rsidP="00691DE3">
      <w:pPr>
        <w:keepLines/>
        <w:autoSpaceDE w:val="0"/>
        <w:autoSpaceDN w:val="0"/>
        <w:adjustRightInd w:val="0"/>
        <w:rPr>
          <w:rFonts w:ascii="Garamond" w:hAnsi="Garamond"/>
          <w:lang w:val="en-AU"/>
        </w:rPr>
      </w:pPr>
    </w:p>
    <w:p w:rsidR="008756F8" w:rsidRPr="007D0CA2" w:rsidRDefault="008756F8" w:rsidP="008756F8">
      <w:pPr>
        <w:keepLines/>
        <w:autoSpaceDE w:val="0"/>
        <w:autoSpaceDN w:val="0"/>
        <w:adjustRightInd w:val="0"/>
        <w:rPr>
          <w:rFonts w:ascii="Garamond" w:hAnsi="Garamond"/>
          <w:b/>
          <w:lang w:val="en-AU"/>
        </w:rPr>
      </w:pPr>
      <w:r w:rsidRPr="007D0CA2">
        <w:rPr>
          <w:rFonts w:ascii="Garamond" w:hAnsi="Garamond"/>
          <w:b/>
          <w:lang w:val="en-AU"/>
        </w:rPr>
        <w:t>Avoidable Hospital Readmissions</w:t>
      </w:r>
    </w:p>
    <w:p w:rsidR="008756F8" w:rsidRDefault="00E56D5C" w:rsidP="008756F8">
      <w:pPr>
        <w:keepLines/>
        <w:autoSpaceDE w:val="0"/>
        <w:autoSpaceDN w:val="0"/>
        <w:adjustRightInd w:val="0"/>
        <w:rPr>
          <w:rFonts w:ascii="Garamond" w:hAnsi="Garamond"/>
          <w:lang w:val="en-AU"/>
        </w:rPr>
      </w:pPr>
      <w:hyperlink r:id="rId16" w:history="1">
        <w:r w:rsidR="008756F8" w:rsidRPr="008855AB">
          <w:rPr>
            <w:rStyle w:val="Hyperlink"/>
            <w:rFonts w:ascii="Garamond" w:hAnsi="Garamond"/>
            <w:lang w:val="en-AU"/>
          </w:rPr>
          <w:t>https://www.safetyandquality.gov.au/our-work/indicators/avoidable-hospital-readmissions/</w:t>
        </w:r>
      </w:hyperlink>
    </w:p>
    <w:p w:rsidR="008756F8" w:rsidRDefault="008756F8" w:rsidP="008756F8">
      <w:pPr>
        <w:keepLines/>
        <w:autoSpaceDE w:val="0"/>
        <w:autoSpaceDN w:val="0"/>
        <w:adjustRightInd w:val="0"/>
        <w:rPr>
          <w:rFonts w:ascii="Garamond" w:hAnsi="Garamond"/>
          <w:lang w:val="en-AU"/>
        </w:rPr>
      </w:pPr>
    </w:p>
    <w:p w:rsidR="008756F8" w:rsidRDefault="008756F8" w:rsidP="008756F8">
      <w:pPr>
        <w:keepLines/>
        <w:autoSpaceDE w:val="0"/>
        <w:autoSpaceDN w:val="0"/>
        <w:adjustRightInd w:val="0"/>
        <w:rPr>
          <w:rFonts w:ascii="Garamond" w:hAnsi="Garamond"/>
          <w:lang w:val="en-AU"/>
        </w:rPr>
      </w:pPr>
      <w:r>
        <w:rPr>
          <w:rFonts w:ascii="Garamond" w:hAnsi="Garamond"/>
          <w:lang w:val="en-AU"/>
        </w:rPr>
        <w:t xml:space="preserve">The </w:t>
      </w:r>
      <w:r w:rsidRPr="004755DC">
        <w:rPr>
          <w:rFonts w:ascii="Garamond" w:hAnsi="Garamond"/>
          <w:lang w:val="en-AU"/>
        </w:rPr>
        <w:t>Australian Commission on Safety and Quality in Healthcare (The Commission)</w:t>
      </w:r>
      <w:r>
        <w:rPr>
          <w:rFonts w:ascii="Garamond" w:hAnsi="Garamond"/>
          <w:lang w:val="en-AU"/>
        </w:rPr>
        <w:t xml:space="preserve"> </w:t>
      </w:r>
      <w:r w:rsidRPr="00381EC2">
        <w:rPr>
          <w:rFonts w:ascii="Garamond" w:hAnsi="Garamond"/>
          <w:lang w:val="en-AU"/>
        </w:rPr>
        <w:t xml:space="preserve">was tasked by the Australian Health Ministers’ Advisory Council (AHMAC), and under the National Health Reform Agreement (NHRA) Addendum, with developing “a list of clinical conditions that arise from complications of the management of the original condition, which can be considered avoidable hospital readmissions, including suitable condition-specific timeframes [readmission intervals] for each of the identified conditions.” </w:t>
      </w:r>
    </w:p>
    <w:p w:rsidR="008756F8" w:rsidRDefault="008756F8" w:rsidP="008756F8">
      <w:pPr>
        <w:keepLines/>
        <w:autoSpaceDE w:val="0"/>
        <w:autoSpaceDN w:val="0"/>
        <w:adjustRightInd w:val="0"/>
        <w:rPr>
          <w:rFonts w:ascii="Garamond" w:hAnsi="Garamond"/>
          <w:lang w:val="en-AU"/>
        </w:rPr>
      </w:pPr>
    </w:p>
    <w:p w:rsidR="008756F8" w:rsidRPr="00381EC2" w:rsidRDefault="008756F8" w:rsidP="008756F8">
      <w:pPr>
        <w:keepLines/>
        <w:autoSpaceDE w:val="0"/>
        <w:autoSpaceDN w:val="0"/>
        <w:adjustRightInd w:val="0"/>
        <w:rPr>
          <w:rFonts w:ascii="Garamond" w:hAnsi="Garamond"/>
          <w:lang w:val="en-AU"/>
        </w:rPr>
      </w:pPr>
      <w:r w:rsidRPr="00381EC2">
        <w:rPr>
          <w:rFonts w:ascii="Garamond" w:hAnsi="Garamond"/>
          <w:lang w:val="en-AU"/>
        </w:rPr>
        <w:t>The list, which has been endorsed by AHMAC, was developed in consultation with clinical and consumer experts, taking into account relevant literature and analysis of Australian public hospital data, namely the admitted patient care national minimum data set.</w:t>
      </w:r>
    </w:p>
    <w:p w:rsidR="008756F8" w:rsidRPr="00381EC2" w:rsidRDefault="008756F8" w:rsidP="008756F8">
      <w:pPr>
        <w:keepLines/>
        <w:autoSpaceDE w:val="0"/>
        <w:autoSpaceDN w:val="0"/>
        <w:adjustRightInd w:val="0"/>
        <w:rPr>
          <w:rFonts w:ascii="Garamond" w:hAnsi="Garamond"/>
          <w:lang w:val="en-AU"/>
        </w:rPr>
      </w:pPr>
    </w:p>
    <w:p w:rsidR="008756F8" w:rsidRPr="00381EC2" w:rsidRDefault="008756F8" w:rsidP="008756F8">
      <w:pPr>
        <w:keepLines/>
        <w:autoSpaceDE w:val="0"/>
        <w:autoSpaceDN w:val="0"/>
        <w:adjustRightInd w:val="0"/>
        <w:rPr>
          <w:rFonts w:ascii="Garamond" w:hAnsi="Garamond"/>
          <w:lang w:val="en-AU"/>
        </w:rPr>
      </w:pPr>
      <w:r w:rsidRPr="00381EC2">
        <w:rPr>
          <w:rFonts w:ascii="Garamond" w:hAnsi="Garamond"/>
          <w:lang w:val="en-AU"/>
        </w:rPr>
        <w:t xml:space="preserve">The Commission is now working with the Independent Hospital Pricing Authority (IHPA) to finalise specifications for the list of avoidable hospital readmissions, that include the related codes for each condition. Further to this, and in line with the NHRA, the Independent Hospital Pricing Authority will be canvassing options for pricing and funding for avoidable readmissions in its Consultation Paper on the Pricing Framework for Australian Public Hospital Services 2019-20. The paper will be released on IHPA’s website </w:t>
      </w:r>
      <w:hyperlink r:id="rId17" w:history="1">
        <w:r w:rsidRPr="008855AB">
          <w:rPr>
            <w:rStyle w:val="Hyperlink"/>
            <w:rFonts w:ascii="Garamond" w:hAnsi="Garamond"/>
            <w:lang w:val="en-AU"/>
          </w:rPr>
          <w:t>https://www.ihpa.gov.au/</w:t>
        </w:r>
      </w:hyperlink>
      <w:r>
        <w:rPr>
          <w:rFonts w:ascii="Garamond" w:hAnsi="Garamond"/>
          <w:lang w:val="en-AU"/>
        </w:rPr>
        <w:t xml:space="preserve"> </w:t>
      </w:r>
      <w:r w:rsidRPr="00381EC2">
        <w:rPr>
          <w:rFonts w:ascii="Garamond" w:hAnsi="Garamond"/>
          <w:lang w:val="en-AU"/>
        </w:rPr>
        <w:t>on 12 June 2018 for a 30 day consultation period.</w:t>
      </w:r>
    </w:p>
    <w:p w:rsidR="008756F8" w:rsidRDefault="008756F8" w:rsidP="008756F8">
      <w:pPr>
        <w:keepLines/>
        <w:autoSpaceDE w:val="0"/>
        <w:autoSpaceDN w:val="0"/>
        <w:adjustRightInd w:val="0"/>
        <w:rPr>
          <w:rFonts w:ascii="Garamond" w:hAnsi="Garamond"/>
          <w:lang w:val="en-AU"/>
        </w:rPr>
      </w:pPr>
    </w:p>
    <w:p w:rsidR="002A19F3" w:rsidRDefault="002A19F3" w:rsidP="00691DE3">
      <w:pPr>
        <w:keepLines/>
        <w:autoSpaceDE w:val="0"/>
        <w:autoSpaceDN w:val="0"/>
        <w:adjustRightInd w:val="0"/>
        <w:rPr>
          <w:rFonts w:ascii="Garamond" w:hAnsi="Garamond"/>
          <w:lang w:val="en-AU"/>
        </w:rPr>
      </w:pPr>
    </w:p>
    <w:p w:rsidR="008756F8" w:rsidRDefault="008756F8">
      <w:pPr>
        <w:rPr>
          <w:rFonts w:ascii="Garamond" w:hAnsi="Garamond"/>
          <w:b/>
          <w:lang w:val="en-AU"/>
        </w:rPr>
      </w:pPr>
      <w:r>
        <w:rPr>
          <w:rFonts w:ascii="Garamond" w:hAnsi="Garamond"/>
          <w:b/>
          <w:lang w:val="en-AU"/>
        </w:rPr>
        <w:br w:type="page"/>
      </w:r>
    </w:p>
    <w:p w:rsidR="00CE6291" w:rsidRDefault="00CE6291" w:rsidP="00691DE3">
      <w:pPr>
        <w:keepLines/>
        <w:autoSpaceDE w:val="0"/>
        <w:autoSpaceDN w:val="0"/>
        <w:adjustRightInd w:val="0"/>
        <w:rPr>
          <w:rFonts w:ascii="Garamond" w:hAnsi="Garamond"/>
          <w:b/>
          <w:lang w:val="en-AU"/>
        </w:rPr>
      </w:pPr>
      <w:r>
        <w:rPr>
          <w:rFonts w:ascii="Garamond" w:hAnsi="Garamond"/>
          <w:b/>
          <w:lang w:val="en-AU"/>
        </w:rPr>
        <w:lastRenderedPageBreak/>
        <w:t>T</w:t>
      </w:r>
      <w:r w:rsidRPr="00CE6291">
        <w:rPr>
          <w:rFonts w:ascii="Garamond" w:hAnsi="Garamond"/>
          <w:b/>
          <w:lang w:val="en-AU"/>
        </w:rPr>
        <w:t xml:space="preserve">ransvaginal mesh </w:t>
      </w:r>
      <w:r>
        <w:rPr>
          <w:rFonts w:ascii="Garamond" w:hAnsi="Garamond"/>
          <w:b/>
          <w:lang w:val="en-AU"/>
        </w:rPr>
        <w:t>care pathways</w:t>
      </w:r>
    </w:p>
    <w:p w:rsidR="00CE6291" w:rsidRDefault="00E56D5C" w:rsidP="00CE6291">
      <w:pPr>
        <w:keepLines/>
        <w:autoSpaceDE w:val="0"/>
        <w:autoSpaceDN w:val="0"/>
        <w:adjustRightInd w:val="0"/>
        <w:rPr>
          <w:rFonts w:ascii="Garamond" w:hAnsi="Garamond"/>
          <w:lang w:val="en-AU"/>
        </w:rPr>
      </w:pPr>
      <w:hyperlink r:id="rId18" w:history="1">
        <w:r w:rsidR="00CE6291" w:rsidRPr="006960F4">
          <w:rPr>
            <w:rStyle w:val="Hyperlink"/>
            <w:rFonts w:ascii="Garamond" w:hAnsi="Garamond"/>
            <w:lang w:val="en-AU"/>
          </w:rPr>
          <w:t>https://www.safetyandquality.gov.au/our-work/transvaginal-mesh/resources/</w:t>
        </w:r>
      </w:hyperlink>
    </w:p>
    <w:p w:rsidR="00CE6291" w:rsidRDefault="00CE6291" w:rsidP="00CE6291">
      <w:pPr>
        <w:keepLines/>
        <w:autoSpaceDE w:val="0"/>
        <w:autoSpaceDN w:val="0"/>
        <w:adjustRightInd w:val="0"/>
        <w:rPr>
          <w:rFonts w:ascii="Garamond" w:hAnsi="Garamond"/>
          <w:lang w:val="en-AU"/>
        </w:rPr>
      </w:pPr>
    </w:p>
    <w:p w:rsidR="00CE6291" w:rsidRPr="00CE6291" w:rsidRDefault="00CE6291" w:rsidP="00CE6291">
      <w:pPr>
        <w:keepLines/>
        <w:autoSpaceDE w:val="0"/>
        <w:autoSpaceDN w:val="0"/>
        <w:adjustRightInd w:val="0"/>
        <w:rPr>
          <w:rFonts w:ascii="Garamond" w:hAnsi="Garamond"/>
          <w:lang w:val="en-AU"/>
        </w:rPr>
      </w:pPr>
      <w:r>
        <w:rPr>
          <w:rFonts w:ascii="Garamond" w:hAnsi="Garamond"/>
          <w:lang w:val="en-AU"/>
        </w:rPr>
        <w:t xml:space="preserve">The </w:t>
      </w:r>
      <w:r w:rsidRPr="004755DC">
        <w:rPr>
          <w:rFonts w:ascii="Garamond" w:hAnsi="Garamond"/>
          <w:lang w:val="en-AU"/>
        </w:rPr>
        <w:t>Australian Commission on Safety and Quality in Healthcare (The Commission)</w:t>
      </w:r>
      <w:r>
        <w:rPr>
          <w:rFonts w:ascii="Garamond" w:hAnsi="Garamond"/>
          <w:lang w:val="en-AU"/>
        </w:rPr>
        <w:t xml:space="preserve"> has produced</w:t>
      </w:r>
      <w:r w:rsidRPr="00CE6291">
        <w:rPr>
          <w:rFonts w:ascii="Garamond" w:hAnsi="Garamond"/>
          <w:lang w:val="en-AU"/>
        </w:rPr>
        <w:t xml:space="preserve"> a number of resources and guidance documents to improve health care for women considering the use of transvaginal mesh for pelvic organ prolapse (POP) and stress urinary inco</w:t>
      </w:r>
      <w:r w:rsidR="00EC2822">
        <w:rPr>
          <w:rFonts w:ascii="Garamond" w:hAnsi="Garamond"/>
          <w:lang w:val="en-AU"/>
        </w:rPr>
        <w:t>ntinence (SUI).</w:t>
      </w:r>
    </w:p>
    <w:p w:rsidR="00CE6291" w:rsidRPr="00CE6291" w:rsidRDefault="00CE6291" w:rsidP="00CE6291">
      <w:pPr>
        <w:keepLines/>
        <w:autoSpaceDE w:val="0"/>
        <w:autoSpaceDN w:val="0"/>
        <w:adjustRightInd w:val="0"/>
        <w:rPr>
          <w:rFonts w:ascii="Garamond" w:hAnsi="Garamond"/>
          <w:lang w:val="en-AU"/>
        </w:rPr>
      </w:pPr>
    </w:p>
    <w:p w:rsidR="00CE6291" w:rsidRPr="00CE6291" w:rsidRDefault="00CE6291" w:rsidP="00CE6291">
      <w:pPr>
        <w:keepLines/>
        <w:autoSpaceDE w:val="0"/>
        <w:autoSpaceDN w:val="0"/>
        <w:adjustRightInd w:val="0"/>
        <w:rPr>
          <w:rFonts w:ascii="Garamond" w:hAnsi="Garamond"/>
          <w:lang w:val="en-AU"/>
        </w:rPr>
      </w:pPr>
      <w:r w:rsidRPr="00CE6291">
        <w:rPr>
          <w:rFonts w:ascii="Garamond" w:hAnsi="Garamond"/>
          <w:lang w:val="en-AU"/>
        </w:rPr>
        <w:t>The care pathways describe clinical considerations to be made when clinicians are assessing women who have POP and SUI. The pathways provide clinicians with an evidence-based approach to first line management, specialised surgical and non-surgical care and the types of medical specialists who may be involved in providing care.</w:t>
      </w:r>
    </w:p>
    <w:p w:rsidR="00CE6291" w:rsidRPr="00CE6291" w:rsidRDefault="00CE6291" w:rsidP="00CE6291">
      <w:pPr>
        <w:keepLines/>
        <w:autoSpaceDE w:val="0"/>
        <w:autoSpaceDN w:val="0"/>
        <w:adjustRightInd w:val="0"/>
        <w:rPr>
          <w:rFonts w:ascii="Garamond" w:hAnsi="Garamond"/>
          <w:lang w:val="en-AU"/>
        </w:rPr>
      </w:pPr>
    </w:p>
    <w:p w:rsidR="00CE6291" w:rsidRPr="00CE6291" w:rsidRDefault="00CE6291" w:rsidP="00CE6291">
      <w:pPr>
        <w:keepLines/>
        <w:autoSpaceDE w:val="0"/>
        <w:autoSpaceDN w:val="0"/>
        <w:adjustRightInd w:val="0"/>
        <w:rPr>
          <w:rFonts w:ascii="Garamond" w:hAnsi="Garamond"/>
          <w:lang w:val="en-AU"/>
        </w:rPr>
      </w:pPr>
      <w:r w:rsidRPr="00CE6291">
        <w:rPr>
          <w:rFonts w:ascii="Garamond" w:hAnsi="Garamond"/>
          <w:lang w:val="en-AU"/>
        </w:rPr>
        <w:t>The pathways have two components, the first of these provide an opportunity for alignment with the pathways used by a number of Primary Health Networks to guide the discussions between women and their general practitioners:</w:t>
      </w:r>
    </w:p>
    <w:p w:rsidR="008756F8" w:rsidRPr="008756F8" w:rsidRDefault="00CE6291" w:rsidP="00EC2822">
      <w:pPr>
        <w:pStyle w:val="ListParagraph"/>
        <w:keepLines/>
        <w:numPr>
          <w:ilvl w:val="0"/>
          <w:numId w:val="47"/>
        </w:numPr>
        <w:autoSpaceDE w:val="0"/>
        <w:autoSpaceDN w:val="0"/>
        <w:adjustRightInd w:val="0"/>
        <w:rPr>
          <w:rFonts w:ascii="Garamond" w:hAnsi="Garamond"/>
          <w:i/>
          <w:lang w:val="en-AU"/>
        </w:rPr>
      </w:pPr>
      <w:r w:rsidRPr="00EC2822">
        <w:rPr>
          <w:rFonts w:ascii="Garamond" w:hAnsi="Garamond"/>
          <w:i/>
          <w:lang w:val="en-AU"/>
        </w:rPr>
        <w:t>Care pathway for general practitioners for the management of pelvic organ prolapse</w:t>
      </w:r>
      <w:r w:rsidR="00EC2822">
        <w:rPr>
          <w:rFonts w:ascii="Garamond" w:hAnsi="Garamond"/>
          <w:i/>
          <w:lang w:val="en-AU"/>
        </w:rPr>
        <w:t xml:space="preserve"> </w:t>
      </w:r>
      <w:hyperlink r:id="rId19" w:history="1">
        <w:r w:rsidR="00EC2822" w:rsidRPr="006960F4">
          <w:rPr>
            <w:rStyle w:val="Hyperlink"/>
            <w:rFonts w:ascii="Garamond" w:hAnsi="Garamond"/>
            <w:lang w:val="en-AU"/>
          </w:rPr>
          <w:t>https://www.safetyandquality.gov.au/wp-content/uploads/2018/02/TV-Mesh-Care-pathway-for-GPs-POP-landscape.pdf</w:t>
        </w:r>
      </w:hyperlink>
      <w:r w:rsidR="008756F8">
        <w:rPr>
          <w:rFonts w:ascii="Garamond" w:hAnsi="Garamond"/>
          <w:lang w:val="en-AU"/>
        </w:rPr>
        <w:br/>
      </w:r>
    </w:p>
    <w:p w:rsidR="00CE6291" w:rsidRPr="008756F8" w:rsidRDefault="002A19F3" w:rsidP="008756F8">
      <w:pPr>
        <w:keepLines/>
        <w:autoSpaceDE w:val="0"/>
        <w:autoSpaceDN w:val="0"/>
        <w:adjustRightInd w:val="0"/>
        <w:rPr>
          <w:rFonts w:ascii="Garamond" w:hAnsi="Garamond"/>
          <w:i/>
          <w:lang w:val="en-AU"/>
        </w:rPr>
      </w:pPr>
      <w:r>
        <w:rPr>
          <w:noProof/>
          <w:lang w:val="en-AU" w:eastAsia="en-AU"/>
        </w:rPr>
        <w:drawing>
          <wp:inline distT="0" distB="0" distL="0" distR="0" wp14:anchorId="58232F62" wp14:editId="58DDA1AF">
            <wp:extent cx="6120000" cy="4356000"/>
            <wp:effectExtent l="0" t="0" r="0" b="6985"/>
            <wp:docPr id="1" name="Picture 1" descr="\\central.health\dfsuserenv\Users\User_07\johnni\Desktop\Image for Transvaginal TV Mesh Care Pathway for GPs Pelvic Organ Prol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Image for Transvaginal TV Mesh Care Pathway for GPs Pelvic Organ Prolap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000" cy="4356000"/>
                    </a:xfrm>
                    <a:prstGeom prst="rect">
                      <a:avLst/>
                    </a:prstGeom>
                    <a:noFill/>
                    <a:ln>
                      <a:noFill/>
                    </a:ln>
                  </pic:spPr>
                </pic:pic>
              </a:graphicData>
            </a:graphic>
          </wp:inline>
        </w:drawing>
      </w:r>
    </w:p>
    <w:p w:rsidR="008756F8" w:rsidRPr="008756F8" w:rsidRDefault="00CE6291" w:rsidP="008756F8">
      <w:pPr>
        <w:pStyle w:val="ListParagraph"/>
        <w:keepNext/>
        <w:keepLines/>
        <w:numPr>
          <w:ilvl w:val="0"/>
          <w:numId w:val="47"/>
        </w:numPr>
        <w:autoSpaceDE w:val="0"/>
        <w:autoSpaceDN w:val="0"/>
        <w:adjustRightInd w:val="0"/>
        <w:ind w:left="714" w:hanging="357"/>
        <w:rPr>
          <w:rFonts w:ascii="Garamond" w:hAnsi="Garamond"/>
          <w:i/>
          <w:lang w:val="en-AU"/>
        </w:rPr>
      </w:pPr>
      <w:r w:rsidRPr="00EC2822">
        <w:rPr>
          <w:rFonts w:ascii="Garamond" w:hAnsi="Garamond"/>
          <w:i/>
          <w:lang w:val="en-AU"/>
        </w:rPr>
        <w:lastRenderedPageBreak/>
        <w:t>Care pathway for general practitioners for the management of urinary incontinence</w:t>
      </w:r>
      <w:r w:rsidR="00EC2822">
        <w:rPr>
          <w:rFonts w:ascii="Garamond" w:hAnsi="Garamond"/>
          <w:i/>
          <w:lang w:val="en-AU"/>
        </w:rPr>
        <w:t xml:space="preserve"> </w:t>
      </w:r>
      <w:hyperlink r:id="rId21" w:history="1">
        <w:r w:rsidR="00EC2822" w:rsidRPr="006960F4">
          <w:rPr>
            <w:rStyle w:val="Hyperlink"/>
            <w:rFonts w:ascii="Garamond" w:hAnsi="Garamond"/>
            <w:lang w:val="en-AU"/>
          </w:rPr>
          <w:t>https://www.safetyandquality.gov.au/wp-content/uploads/2018/02/TV-Mesh-Care-pathway-for-GP-SUI-landscape.pdf</w:t>
        </w:r>
      </w:hyperlink>
      <w:r w:rsidR="00E56D5C">
        <w:rPr>
          <w:rStyle w:val="Hyperlink"/>
          <w:rFonts w:ascii="Garamond" w:hAnsi="Garamond"/>
          <w:lang w:val="en-AU"/>
        </w:rPr>
        <w:br/>
      </w:r>
      <w:bookmarkStart w:id="1" w:name="_GoBack"/>
      <w:bookmarkEnd w:id="1"/>
    </w:p>
    <w:p w:rsidR="00CE6291" w:rsidRPr="008756F8" w:rsidRDefault="002A19F3" w:rsidP="008756F8">
      <w:pPr>
        <w:keepLines/>
        <w:autoSpaceDE w:val="0"/>
        <w:autoSpaceDN w:val="0"/>
        <w:adjustRightInd w:val="0"/>
        <w:ind w:left="360" w:hanging="360"/>
        <w:rPr>
          <w:rFonts w:ascii="Garamond" w:hAnsi="Garamond"/>
          <w:i/>
          <w:lang w:val="en-AU"/>
        </w:rPr>
      </w:pPr>
      <w:r>
        <w:rPr>
          <w:noProof/>
          <w:lang w:val="en-AU" w:eastAsia="en-AU"/>
        </w:rPr>
        <w:drawing>
          <wp:inline distT="0" distB="0" distL="0" distR="0" wp14:anchorId="6E0F13AB" wp14:editId="5372800E">
            <wp:extent cx="6120000" cy="4356000"/>
            <wp:effectExtent l="0" t="0" r="0" b="6985"/>
            <wp:docPr id="2" name="Picture 2" descr="\\central.health\dfsuserenv\Users\User_07\JOHNNI\Desktop\Image for Transvaginal TV Mesh Care Pathway for GPs Stress Urinary In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Image for Transvaginal TV Mesh Care Pathway for GPs Stress Urinary Inc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000" cy="4356000"/>
                    </a:xfrm>
                    <a:prstGeom prst="rect">
                      <a:avLst/>
                    </a:prstGeom>
                    <a:noFill/>
                    <a:ln>
                      <a:noFill/>
                    </a:ln>
                  </pic:spPr>
                </pic:pic>
              </a:graphicData>
            </a:graphic>
          </wp:inline>
        </w:drawing>
      </w:r>
    </w:p>
    <w:p w:rsidR="00CE6291" w:rsidRPr="00CE6291" w:rsidRDefault="00CE6291" w:rsidP="00CE6291">
      <w:pPr>
        <w:keepLines/>
        <w:autoSpaceDE w:val="0"/>
        <w:autoSpaceDN w:val="0"/>
        <w:adjustRightInd w:val="0"/>
        <w:rPr>
          <w:rFonts w:ascii="Garamond" w:hAnsi="Garamond"/>
          <w:lang w:val="en-AU"/>
        </w:rPr>
      </w:pPr>
    </w:p>
    <w:p w:rsidR="00CE6291" w:rsidRPr="00CE6291" w:rsidRDefault="00CE6291" w:rsidP="00CE6291">
      <w:pPr>
        <w:keepLines/>
        <w:autoSpaceDE w:val="0"/>
        <w:autoSpaceDN w:val="0"/>
        <w:adjustRightInd w:val="0"/>
        <w:rPr>
          <w:rFonts w:ascii="Garamond" w:hAnsi="Garamond"/>
          <w:lang w:val="en-AU"/>
        </w:rPr>
      </w:pPr>
      <w:r w:rsidRPr="00CE6291">
        <w:rPr>
          <w:rFonts w:ascii="Garamond" w:hAnsi="Garamond"/>
          <w:lang w:val="en-AU"/>
        </w:rPr>
        <w:t xml:space="preserve">The second component of the pathways are the surgical pathways for POP and SUI. These use a traffic light approach (red, </w:t>
      </w:r>
      <w:r w:rsidR="00E478AB">
        <w:rPr>
          <w:rFonts w:ascii="Garamond" w:hAnsi="Garamond"/>
          <w:lang w:val="en-AU"/>
        </w:rPr>
        <w:t>amber</w:t>
      </w:r>
      <w:r w:rsidRPr="00CE6291">
        <w:rPr>
          <w:rFonts w:ascii="Garamond" w:hAnsi="Garamond"/>
          <w:lang w:val="en-AU"/>
        </w:rPr>
        <w:t>, green) to identify options for surgical treatments, based on the strength of evidence and potential patient outcomes for each type of procedure:</w:t>
      </w:r>
    </w:p>
    <w:p w:rsidR="00CE6291" w:rsidRPr="00EC2822" w:rsidRDefault="00CE6291" w:rsidP="00EC2822">
      <w:pPr>
        <w:pStyle w:val="ListParagraph"/>
        <w:keepLines/>
        <w:numPr>
          <w:ilvl w:val="0"/>
          <w:numId w:val="48"/>
        </w:numPr>
        <w:autoSpaceDE w:val="0"/>
        <w:autoSpaceDN w:val="0"/>
        <w:adjustRightInd w:val="0"/>
        <w:rPr>
          <w:rFonts w:ascii="Garamond" w:hAnsi="Garamond"/>
          <w:i/>
          <w:lang w:val="en-AU"/>
        </w:rPr>
      </w:pPr>
      <w:r w:rsidRPr="00EC2822">
        <w:rPr>
          <w:rFonts w:ascii="Garamond" w:hAnsi="Garamond"/>
          <w:i/>
          <w:lang w:val="en-AU"/>
        </w:rPr>
        <w:t>Surgical care pathway for the management of pelvic organ prolapse</w:t>
      </w:r>
      <w:r w:rsidR="00EC2822">
        <w:rPr>
          <w:rFonts w:ascii="Garamond" w:hAnsi="Garamond"/>
          <w:i/>
          <w:lang w:val="en-AU"/>
        </w:rPr>
        <w:t xml:space="preserve"> </w:t>
      </w:r>
      <w:hyperlink r:id="rId23" w:history="1">
        <w:r w:rsidR="00EC2822" w:rsidRPr="006960F4">
          <w:rPr>
            <w:rStyle w:val="Hyperlink"/>
            <w:rFonts w:ascii="Garamond" w:hAnsi="Garamond"/>
            <w:lang w:val="en-AU"/>
          </w:rPr>
          <w:t>https://www.safetyandquality.gov.au/wp-content/uploads/2018/02/TV-mesh-Surgical-Care-Pathway-POP-portrait.pdf</w:t>
        </w:r>
      </w:hyperlink>
      <w:r w:rsidR="00EC2822">
        <w:rPr>
          <w:rFonts w:ascii="Garamond" w:hAnsi="Garamond"/>
          <w:lang w:val="en-AU"/>
        </w:rPr>
        <w:t xml:space="preserve"> </w:t>
      </w:r>
    </w:p>
    <w:p w:rsidR="00CE6291" w:rsidRPr="00EC2822" w:rsidRDefault="00CE6291" w:rsidP="00EC2822">
      <w:pPr>
        <w:pStyle w:val="ListParagraph"/>
        <w:keepLines/>
        <w:numPr>
          <w:ilvl w:val="0"/>
          <w:numId w:val="48"/>
        </w:numPr>
        <w:autoSpaceDE w:val="0"/>
        <w:autoSpaceDN w:val="0"/>
        <w:adjustRightInd w:val="0"/>
        <w:rPr>
          <w:rFonts w:ascii="Garamond" w:hAnsi="Garamond"/>
          <w:i/>
          <w:lang w:val="en-AU"/>
        </w:rPr>
      </w:pPr>
      <w:r w:rsidRPr="00EC2822">
        <w:rPr>
          <w:rFonts w:ascii="Garamond" w:hAnsi="Garamond"/>
          <w:i/>
          <w:lang w:val="en-AU"/>
        </w:rPr>
        <w:t>Surgical care pathway for the management of urinary incontinence</w:t>
      </w:r>
      <w:r w:rsidR="00EC2822">
        <w:rPr>
          <w:rFonts w:ascii="Garamond" w:hAnsi="Garamond"/>
          <w:i/>
          <w:lang w:val="en-AU"/>
        </w:rPr>
        <w:t xml:space="preserve"> </w:t>
      </w:r>
      <w:hyperlink r:id="rId24" w:history="1">
        <w:r w:rsidR="00EC2822" w:rsidRPr="006960F4">
          <w:rPr>
            <w:rStyle w:val="Hyperlink"/>
            <w:rFonts w:ascii="Garamond" w:hAnsi="Garamond"/>
            <w:lang w:val="en-AU"/>
          </w:rPr>
          <w:t>https://www.safetyandquality.gov.au/wp-content/uploads/2018/02/TV-mesh-Surgical-Care-Pathway-SUI-portrait.pdf</w:t>
        </w:r>
      </w:hyperlink>
    </w:p>
    <w:p w:rsidR="00CE6291" w:rsidRPr="00CE6291" w:rsidRDefault="00CE6291" w:rsidP="00CE6291">
      <w:pPr>
        <w:keepLines/>
        <w:autoSpaceDE w:val="0"/>
        <w:autoSpaceDN w:val="0"/>
        <w:adjustRightInd w:val="0"/>
        <w:rPr>
          <w:rFonts w:ascii="Garamond" w:hAnsi="Garamond"/>
          <w:lang w:val="en-AU"/>
        </w:rPr>
      </w:pPr>
    </w:p>
    <w:p w:rsidR="00CE6291" w:rsidRPr="00CE6291" w:rsidRDefault="00CE6291" w:rsidP="00CE6291">
      <w:pPr>
        <w:keepLines/>
        <w:autoSpaceDE w:val="0"/>
        <w:autoSpaceDN w:val="0"/>
        <w:adjustRightInd w:val="0"/>
        <w:rPr>
          <w:rFonts w:ascii="Garamond" w:hAnsi="Garamond"/>
          <w:lang w:val="en-AU"/>
        </w:rPr>
      </w:pPr>
      <w:r w:rsidRPr="00CE6291">
        <w:rPr>
          <w:rFonts w:ascii="Garamond" w:hAnsi="Garamond"/>
          <w:lang w:val="en-AU"/>
        </w:rPr>
        <w:t>The Reference Group developed the pathways based on the work of the International Collaboration on Incontinence.  The Commission acknowledges the contribution of this group in the development of the Commission’s versions of the resources. The pathways are being developed as an interactive web version to allow easier access for clinicians reviewing treatment options and also in explaining various pathways to women considering treatment which will be available in June 2018.</w:t>
      </w:r>
    </w:p>
    <w:p w:rsidR="00CE6291" w:rsidRPr="00CE6291" w:rsidRDefault="00CE6291" w:rsidP="00691DE3">
      <w:pPr>
        <w:keepLines/>
        <w:autoSpaceDE w:val="0"/>
        <w:autoSpaceDN w:val="0"/>
        <w:adjustRightInd w:val="0"/>
        <w:rPr>
          <w:rFonts w:ascii="Garamond" w:hAnsi="Garamond"/>
          <w:lang w:val="en-AU"/>
        </w:rPr>
      </w:pPr>
    </w:p>
    <w:p w:rsidR="00E478AB" w:rsidRDefault="00E478AB" w:rsidP="00282D29">
      <w:pPr>
        <w:keepLines/>
        <w:autoSpaceDE w:val="0"/>
        <w:autoSpaceDN w:val="0"/>
        <w:adjustRightInd w:val="0"/>
        <w:rPr>
          <w:rFonts w:ascii="Garamond" w:hAnsi="Garamond"/>
          <w:lang w:val="en-AU"/>
        </w:rPr>
      </w:pPr>
    </w:p>
    <w:p w:rsidR="008756F8" w:rsidRDefault="008756F8">
      <w:pPr>
        <w:rPr>
          <w:rFonts w:ascii="Garamond" w:hAnsi="Garamond"/>
          <w:b/>
          <w:lang w:val="en-AU"/>
        </w:rPr>
      </w:pPr>
      <w:r>
        <w:rPr>
          <w:rFonts w:ascii="Garamond" w:hAnsi="Garamond"/>
          <w:b/>
          <w:lang w:val="en-AU"/>
        </w:rPr>
        <w:br w:type="page"/>
      </w:r>
    </w:p>
    <w:p w:rsidR="00282D29" w:rsidRDefault="00282D29">
      <w:pPr>
        <w:rPr>
          <w:rFonts w:ascii="Garamond" w:hAnsi="Garamond"/>
          <w:b/>
          <w:lang w:val="en-AU"/>
        </w:rPr>
      </w:pPr>
      <w:r>
        <w:rPr>
          <w:rFonts w:ascii="Garamond" w:hAnsi="Garamond"/>
          <w:b/>
          <w:lang w:val="en-AU"/>
        </w:rPr>
        <w:lastRenderedPageBreak/>
        <w:t>Reports</w:t>
      </w:r>
    </w:p>
    <w:p w:rsidR="00282D29" w:rsidRDefault="00282D29" w:rsidP="00282D29">
      <w:pPr>
        <w:rPr>
          <w:rFonts w:ascii="Garamond" w:hAnsi="Garamond"/>
          <w:b/>
          <w:lang w:val="en-AU"/>
        </w:rPr>
      </w:pPr>
    </w:p>
    <w:p w:rsidR="009066FA" w:rsidRPr="007D0CA2" w:rsidRDefault="007D0CA2" w:rsidP="009066FA">
      <w:pPr>
        <w:keepNext/>
        <w:keepLines/>
        <w:autoSpaceDE w:val="0"/>
        <w:autoSpaceDN w:val="0"/>
        <w:adjustRightInd w:val="0"/>
        <w:rPr>
          <w:rFonts w:ascii="Garamond" w:hAnsi="Garamond"/>
          <w:i/>
          <w:lang w:val="en-AU"/>
        </w:rPr>
      </w:pPr>
      <w:r w:rsidRPr="007D0CA2">
        <w:rPr>
          <w:rFonts w:ascii="Garamond" w:hAnsi="Garamond"/>
          <w:i/>
          <w:lang w:val="en-AU"/>
        </w:rPr>
        <w:t>Under pressure: safely managing increased demand in emergency departments</w:t>
      </w:r>
    </w:p>
    <w:p w:rsidR="001E2DDC" w:rsidRDefault="001E2DDC" w:rsidP="009066FA">
      <w:pPr>
        <w:keepNext/>
        <w:keepLines/>
        <w:autoSpaceDE w:val="0"/>
        <w:autoSpaceDN w:val="0"/>
        <w:adjustRightInd w:val="0"/>
        <w:rPr>
          <w:rFonts w:ascii="Garamond" w:hAnsi="Garamond"/>
          <w:lang w:val="en-AU"/>
        </w:rPr>
      </w:pPr>
      <w:r w:rsidRPr="001E2DDC">
        <w:rPr>
          <w:rFonts w:ascii="Garamond" w:hAnsi="Garamond"/>
          <w:lang w:val="en-AU"/>
        </w:rPr>
        <w:t>Care Quality Commission</w:t>
      </w:r>
    </w:p>
    <w:p w:rsidR="007D0CA2" w:rsidRPr="00E566B0" w:rsidRDefault="001E2DDC" w:rsidP="009066FA">
      <w:pPr>
        <w:keepNext/>
        <w:keepLines/>
        <w:autoSpaceDE w:val="0"/>
        <w:autoSpaceDN w:val="0"/>
        <w:adjustRightInd w:val="0"/>
        <w:rPr>
          <w:rFonts w:ascii="Garamond" w:hAnsi="Garamond"/>
          <w:lang w:val="en-AU"/>
        </w:rPr>
      </w:pPr>
      <w:r w:rsidRPr="001E2DDC">
        <w:rPr>
          <w:rFonts w:ascii="Garamond" w:hAnsi="Garamond"/>
          <w:lang w:val="en-AU"/>
        </w:rPr>
        <w:t>Newcastle-upon-Tyne: Care Quality Commission; 2018. p. 32.</w:t>
      </w:r>
    </w:p>
    <w:tbl>
      <w:tblPr>
        <w:tblStyle w:val="TableGrid"/>
        <w:tblW w:w="0" w:type="auto"/>
        <w:tblInd w:w="288" w:type="dxa"/>
        <w:tblLayout w:type="fixed"/>
        <w:tblLook w:val="01E0" w:firstRow="1" w:lastRow="1" w:firstColumn="1" w:lastColumn="1" w:noHBand="0" w:noVBand="0"/>
      </w:tblPr>
      <w:tblGrid>
        <w:gridCol w:w="1080"/>
        <w:gridCol w:w="8280"/>
      </w:tblGrid>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066FA" w:rsidRPr="000170DA" w:rsidRDefault="00E56D5C" w:rsidP="00142C12">
            <w:pPr>
              <w:rPr>
                <w:rStyle w:val="Hyperlink"/>
                <w:rFonts w:ascii="Garamond" w:hAnsi="Garamond"/>
                <w:color w:val="auto"/>
                <w:u w:val="none"/>
                <w:lang w:val="en-AU"/>
              </w:rPr>
            </w:pPr>
            <w:hyperlink r:id="rId25" w:history="1">
              <w:r w:rsidR="007D0CA2" w:rsidRPr="008855AB">
                <w:rPr>
                  <w:rStyle w:val="Hyperlink"/>
                  <w:rFonts w:ascii="Garamond" w:hAnsi="Garamond"/>
                  <w:lang w:val="en-AU"/>
                </w:rPr>
                <w:t>http://www.cqc.org.uk/publications/themed-work/under-pressure-safely-managing-increased-demand-emergency-departments</w:t>
              </w:r>
            </w:hyperlink>
          </w:p>
        </w:tc>
      </w:tr>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66FA" w:rsidRDefault="007D0CA2" w:rsidP="00142C12">
            <w:pPr>
              <w:rPr>
                <w:rFonts w:ascii="Garamond" w:hAnsi="Garamond"/>
                <w:lang w:val="en-AU"/>
              </w:rPr>
            </w:pPr>
            <w:r>
              <w:rPr>
                <w:rFonts w:ascii="Garamond" w:hAnsi="Garamond"/>
                <w:lang w:val="en-AU"/>
              </w:rPr>
              <w:t xml:space="preserve">The Care Quality Commission </w:t>
            </w:r>
            <w:r w:rsidR="001E2DDC">
              <w:rPr>
                <w:rFonts w:ascii="Garamond" w:hAnsi="Garamond"/>
                <w:lang w:val="en-AU"/>
              </w:rPr>
              <w:t xml:space="preserve">(CQC) </w:t>
            </w:r>
            <w:r>
              <w:rPr>
                <w:rFonts w:ascii="Garamond" w:hAnsi="Garamond"/>
                <w:lang w:val="en-AU"/>
              </w:rPr>
              <w:t>in the UK has released this report</w:t>
            </w:r>
            <w:r w:rsidR="001E2DDC">
              <w:rPr>
                <w:rFonts w:ascii="Garamond" w:hAnsi="Garamond"/>
                <w:lang w:val="en-AU"/>
              </w:rPr>
              <w:t xml:space="preserve"> looking at how emergency departments coped with a high workload in the British winter of 2017/18. The CQC found:</w:t>
            </w:r>
          </w:p>
          <w:p w:rsidR="001E2DDC" w:rsidRPr="001E2DDC" w:rsidRDefault="001E2DDC" w:rsidP="001E2DDC">
            <w:pPr>
              <w:pStyle w:val="ListParagraph"/>
              <w:numPr>
                <w:ilvl w:val="0"/>
                <w:numId w:val="44"/>
              </w:numPr>
              <w:rPr>
                <w:rFonts w:ascii="Garamond" w:hAnsi="Garamond"/>
                <w:lang w:val="en-AU"/>
              </w:rPr>
            </w:pPr>
            <w:r w:rsidRPr="001E2DDC">
              <w:rPr>
                <w:rFonts w:ascii="Garamond" w:hAnsi="Garamond"/>
                <w:lang w:val="en-AU"/>
              </w:rPr>
              <w:t>specific concerns around delayed ambulance handovers</w:t>
            </w:r>
          </w:p>
          <w:p w:rsidR="001E2DDC" w:rsidRPr="001E2DDC" w:rsidRDefault="001E2DDC" w:rsidP="001E2DDC">
            <w:pPr>
              <w:pStyle w:val="ListParagraph"/>
              <w:numPr>
                <w:ilvl w:val="0"/>
                <w:numId w:val="44"/>
              </w:numPr>
              <w:rPr>
                <w:rFonts w:ascii="Garamond" w:hAnsi="Garamond"/>
                <w:lang w:val="en-AU"/>
              </w:rPr>
            </w:pPr>
            <w:r w:rsidRPr="001E2DDC">
              <w:rPr>
                <w:rFonts w:ascii="Garamond" w:hAnsi="Garamond"/>
                <w:lang w:val="en-AU"/>
              </w:rPr>
              <w:t>people waiting for long periods of time before their first clinical assessment</w:t>
            </w:r>
          </w:p>
          <w:p w:rsidR="001E2DDC" w:rsidRPr="001E2DDC" w:rsidRDefault="001E2DDC" w:rsidP="001E2DDC">
            <w:pPr>
              <w:pStyle w:val="ListParagraph"/>
              <w:numPr>
                <w:ilvl w:val="0"/>
                <w:numId w:val="44"/>
              </w:numPr>
              <w:rPr>
                <w:rFonts w:ascii="Garamond" w:hAnsi="Garamond"/>
                <w:lang w:val="en-AU"/>
              </w:rPr>
            </w:pPr>
            <w:r w:rsidRPr="001E2DDC">
              <w:rPr>
                <w:rFonts w:ascii="Garamond" w:hAnsi="Garamond"/>
                <w:lang w:val="en-AU"/>
              </w:rPr>
              <w:t>patients who needed urgent care were not always identified in a timely way.</w:t>
            </w:r>
          </w:p>
          <w:p w:rsidR="001E2DDC" w:rsidRPr="001E2DDC" w:rsidRDefault="001E2DDC" w:rsidP="001E2DDC">
            <w:pPr>
              <w:rPr>
                <w:rFonts w:ascii="Garamond" w:hAnsi="Garamond"/>
                <w:lang w:val="en-AU"/>
              </w:rPr>
            </w:pPr>
            <w:r w:rsidRPr="001E2DDC">
              <w:rPr>
                <w:rFonts w:ascii="Garamond" w:hAnsi="Garamond"/>
                <w:lang w:val="en-AU"/>
              </w:rPr>
              <w:t>The report recommends solutions which focus on:</w:t>
            </w:r>
          </w:p>
          <w:p w:rsidR="001E2DDC" w:rsidRPr="001E2DDC" w:rsidRDefault="001E2DDC" w:rsidP="001E2DDC">
            <w:pPr>
              <w:pStyle w:val="ListParagraph"/>
              <w:numPr>
                <w:ilvl w:val="0"/>
                <w:numId w:val="45"/>
              </w:numPr>
              <w:rPr>
                <w:rFonts w:ascii="Garamond" w:hAnsi="Garamond"/>
                <w:lang w:val="en-AU"/>
              </w:rPr>
            </w:pPr>
            <w:r w:rsidRPr="001E2DDC">
              <w:rPr>
                <w:rFonts w:ascii="Garamond" w:hAnsi="Garamond"/>
                <w:lang w:val="en-AU"/>
              </w:rPr>
              <w:t>what can be done to help keep people well and reduce visits to emergency departments</w:t>
            </w:r>
          </w:p>
          <w:p w:rsidR="001E2DDC" w:rsidRPr="001E2DDC" w:rsidRDefault="001E2DDC" w:rsidP="001E2DDC">
            <w:pPr>
              <w:pStyle w:val="ListParagraph"/>
              <w:numPr>
                <w:ilvl w:val="0"/>
                <w:numId w:val="45"/>
              </w:numPr>
              <w:rPr>
                <w:rFonts w:ascii="Garamond" w:hAnsi="Garamond"/>
                <w:lang w:val="en-AU"/>
              </w:rPr>
            </w:pPr>
            <w:r w:rsidRPr="001E2DDC">
              <w:rPr>
                <w:rFonts w:ascii="Garamond" w:hAnsi="Garamond"/>
                <w:lang w:val="en-AU"/>
              </w:rPr>
              <w:t>what emergency departments can do to manage how patients flow through the hospital</w:t>
            </w:r>
          </w:p>
          <w:p w:rsidR="007D0CA2" w:rsidRPr="001E2DDC" w:rsidRDefault="001E2DDC" w:rsidP="001E2DDC">
            <w:pPr>
              <w:pStyle w:val="ListParagraph"/>
              <w:numPr>
                <w:ilvl w:val="0"/>
                <w:numId w:val="45"/>
              </w:numPr>
              <w:rPr>
                <w:rFonts w:ascii="Garamond" w:hAnsi="Garamond"/>
                <w:lang w:val="en-AU"/>
              </w:rPr>
            </w:pPr>
            <w:r w:rsidRPr="001E2DDC">
              <w:rPr>
                <w:rFonts w:ascii="Garamond" w:hAnsi="Garamond"/>
                <w:lang w:val="en-AU"/>
              </w:rPr>
              <w:t>ways to help avoid unnecessary admissions and ensure early discharge</w:t>
            </w:r>
            <w:r>
              <w:rPr>
                <w:rFonts w:ascii="Garamond" w:hAnsi="Garamond"/>
                <w:lang w:val="en-AU"/>
              </w:rPr>
              <w:t>.</w:t>
            </w:r>
          </w:p>
        </w:tc>
      </w:tr>
    </w:tbl>
    <w:p w:rsidR="007D0CA2" w:rsidRDefault="007D0CA2" w:rsidP="007D0CA2">
      <w:pPr>
        <w:keepNext/>
        <w:keepLines/>
        <w:autoSpaceDE w:val="0"/>
        <w:autoSpaceDN w:val="0"/>
        <w:adjustRightInd w:val="0"/>
        <w:rPr>
          <w:rFonts w:ascii="Garamond" w:hAnsi="Garamond"/>
          <w:lang w:val="en-AU"/>
        </w:rPr>
      </w:pPr>
    </w:p>
    <w:p w:rsidR="008756F8" w:rsidRDefault="008756F8" w:rsidP="007D0CA2">
      <w:pPr>
        <w:keepNext/>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Journal articles</w:t>
      </w:r>
    </w:p>
    <w:p w:rsidR="008756F8" w:rsidRDefault="008756F8">
      <w:pPr>
        <w:rPr>
          <w:rFonts w:ascii="Garamond" w:hAnsi="Garamond"/>
          <w:b/>
          <w:lang w:val="en-AU"/>
        </w:rPr>
      </w:pPr>
    </w:p>
    <w:p w:rsidR="002219C4" w:rsidRPr="002219C4" w:rsidRDefault="002219C4" w:rsidP="002219C4">
      <w:pPr>
        <w:keepNext/>
        <w:keepLines/>
        <w:tabs>
          <w:tab w:val="left" w:pos="2044"/>
        </w:tabs>
        <w:autoSpaceDE w:val="0"/>
        <w:autoSpaceDN w:val="0"/>
        <w:adjustRightInd w:val="0"/>
        <w:rPr>
          <w:rFonts w:ascii="Garamond" w:hAnsi="Garamond"/>
          <w:i/>
          <w:lang w:val="en-AU"/>
        </w:rPr>
      </w:pPr>
      <w:r w:rsidRPr="002219C4">
        <w:rPr>
          <w:rFonts w:ascii="Garamond" w:hAnsi="Garamond"/>
          <w:i/>
          <w:lang w:val="en-AU"/>
        </w:rPr>
        <w:t>Caring for older patients in the emergency department: Health professionals’ perspectives from Australia – The Safe Elderly Emergency Discharge project</w:t>
      </w:r>
    </w:p>
    <w:p w:rsidR="00E478AB" w:rsidRDefault="00E478AB" w:rsidP="00D8030A">
      <w:pPr>
        <w:keepNext/>
        <w:keepLines/>
        <w:tabs>
          <w:tab w:val="left" w:pos="2044"/>
        </w:tabs>
        <w:autoSpaceDE w:val="0"/>
        <w:autoSpaceDN w:val="0"/>
        <w:adjustRightInd w:val="0"/>
        <w:rPr>
          <w:rFonts w:ascii="Garamond" w:hAnsi="Garamond"/>
          <w:lang w:val="en-AU"/>
        </w:rPr>
      </w:pPr>
      <w:r w:rsidRPr="00E478AB">
        <w:rPr>
          <w:rFonts w:ascii="Garamond" w:hAnsi="Garamond"/>
          <w:lang w:val="en-AU"/>
        </w:rPr>
        <w:t>Lennox A, Braaf S, Smit De V, Cameron P, Lowthian Judy A</w:t>
      </w:r>
    </w:p>
    <w:p w:rsidR="00D8030A" w:rsidRPr="007F6979" w:rsidRDefault="00E478AB" w:rsidP="00D8030A">
      <w:pPr>
        <w:keepNext/>
        <w:keepLines/>
        <w:tabs>
          <w:tab w:val="left" w:pos="2044"/>
        </w:tabs>
        <w:autoSpaceDE w:val="0"/>
        <w:autoSpaceDN w:val="0"/>
        <w:adjustRightInd w:val="0"/>
        <w:rPr>
          <w:rFonts w:ascii="Garamond" w:hAnsi="Garamond"/>
          <w:lang w:val="en-AU"/>
        </w:rPr>
      </w:pPr>
      <w:r w:rsidRPr="00E478AB">
        <w:rPr>
          <w:rFonts w:ascii="Garamond" w:hAnsi="Garamond"/>
          <w:lang w:val="en-AU"/>
        </w:rPr>
        <w:t>Emergency Medicine Australasia. 2018</w:t>
      </w:r>
      <w:r>
        <w:rPr>
          <w:rFonts w:ascii="Garamond" w:hAnsi="Garamond"/>
          <w:lang w:val="en-AU"/>
        </w:rPr>
        <w:t xml:space="preserve"> [epub]</w:t>
      </w:r>
      <w:r w:rsidRPr="00E478A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8030A" w:rsidRPr="000170DA" w:rsidTr="00A774CB">
        <w:tc>
          <w:tcPr>
            <w:tcW w:w="1080" w:type="dxa"/>
            <w:tcBorders>
              <w:top w:val="single" w:sz="4" w:space="0" w:color="auto"/>
              <w:left w:val="single" w:sz="4" w:space="0" w:color="auto"/>
              <w:bottom w:val="single" w:sz="4" w:space="0" w:color="auto"/>
              <w:right w:val="single" w:sz="4" w:space="0" w:color="auto"/>
            </w:tcBorders>
            <w:vAlign w:val="center"/>
          </w:tcPr>
          <w:p w:rsidR="00D8030A" w:rsidRPr="000170DA" w:rsidRDefault="00D8030A" w:rsidP="00A774C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8030A" w:rsidRPr="000170DA" w:rsidRDefault="00E56D5C" w:rsidP="00A774CB">
            <w:pPr>
              <w:rPr>
                <w:rStyle w:val="Hyperlink"/>
                <w:rFonts w:ascii="Garamond" w:hAnsi="Garamond"/>
                <w:color w:val="auto"/>
                <w:u w:val="none"/>
                <w:lang w:val="en-AU"/>
              </w:rPr>
            </w:pPr>
            <w:hyperlink r:id="rId26" w:history="1">
              <w:r w:rsidR="00E478AB" w:rsidRPr="006960F4">
                <w:rPr>
                  <w:rStyle w:val="Hyperlink"/>
                  <w:rFonts w:ascii="Garamond" w:hAnsi="Garamond"/>
                  <w:lang w:val="en-AU"/>
                </w:rPr>
                <w:t>https://doi.org/10.1111/1742-6723.13108</w:t>
              </w:r>
            </w:hyperlink>
          </w:p>
        </w:tc>
      </w:tr>
      <w:tr w:rsidR="00D8030A" w:rsidRPr="000170DA" w:rsidTr="00A774CB">
        <w:tc>
          <w:tcPr>
            <w:tcW w:w="1080" w:type="dxa"/>
            <w:tcBorders>
              <w:top w:val="single" w:sz="4" w:space="0" w:color="auto"/>
              <w:left w:val="single" w:sz="4" w:space="0" w:color="auto"/>
              <w:bottom w:val="single" w:sz="4" w:space="0" w:color="auto"/>
              <w:right w:val="single" w:sz="4" w:space="0" w:color="auto"/>
            </w:tcBorders>
            <w:vAlign w:val="center"/>
          </w:tcPr>
          <w:p w:rsidR="00D8030A" w:rsidRPr="000170DA" w:rsidRDefault="00D8030A" w:rsidP="00A774C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78AB" w:rsidRPr="000365E9" w:rsidRDefault="00E478AB" w:rsidP="002219C4">
            <w:pPr>
              <w:rPr>
                <w:rFonts w:ascii="Garamond" w:hAnsi="Garamond"/>
                <w:lang w:val="en-AU"/>
              </w:rPr>
            </w:pPr>
            <w:r>
              <w:rPr>
                <w:rFonts w:ascii="Garamond" w:hAnsi="Garamond"/>
                <w:lang w:val="en-AU"/>
              </w:rPr>
              <w:t xml:space="preserve">This paper </w:t>
            </w:r>
            <w:r w:rsidR="002219C4">
              <w:rPr>
                <w:rFonts w:ascii="Garamond" w:hAnsi="Garamond"/>
                <w:lang w:val="en-AU"/>
              </w:rPr>
              <w:t xml:space="preserve">reports on a qualitative study that sought the views of </w:t>
            </w:r>
            <w:r w:rsidR="002219C4" w:rsidRPr="002219C4">
              <w:rPr>
                <w:rFonts w:ascii="Garamond" w:hAnsi="Garamond"/>
                <w:lang w:val="en-AU"/>
              </w:rPr>
              <w:t xml:space="preserve">emergency nursing, medical and allied health staff from the </w:t>
            </w:r>
            <w:r w:rsidR="002219C4">
              <w:rPr>
                <w:rFonts w:ascii="Garamond" w:hAnsi="Garamond"/>
                <w:lang w:val="en-AU"/>
              </w:rPr>
              <w:t xml:space="preserve">emergency department </w:t>
            </w:r>
            <w:r w:rsidR="002219C4" w:rsidRPr="002219C4">
              <w:rPr>
                <w:rFonts w:ascii="Garamond" w:hAnsi="Garamond"/>
                <w:lang w:val="en-AU"/>
              </w:rPr>
              <w:t>of a large metropolitan public hospital in Melbourne</w:t>
            </w:r>
            <w:r w:rsidR="002219C4">
              <w:rPr>
                <w:rFonts w:ascii="Garamond" w:hAnsi="Garamond"/>
                <w:lang w:val="en-AU"/>
              </w:rPr>
              <w:t xml:space="preserve"> on caring for older patients. The clinicians ‘</w:t>
            </w:r>
            <w:r w:rsidR="002219C4" w:rsidRPr="002219C4">
              <w:rPr>
                <w:rFonts w:ascii="Garamond" w:hAnsi="Garamond"/>
                <w:lang w:val="en-AU"/>
              </w:rPr>
              <w:t xml:space="preserve">described </w:t>
            </w:r>
            <w:r w:rsidR="002219C4" w:rsidRPr="002219C4">
              <w:rPr>
                <w:rFonts w:ascii="Garamond" w:hAnsi="Garamond"/>
                <w:b/>
                <w:lang w:val="en-AU"/>
              </w:rPr>
              <w:t>tailoring their approach</w:t>
            </w:r>
            <w:r w:rsidR="002219C4" w:rsidRPr="002219C4">
              <w:rPr>
                <w:rFonts w:ascii="Garamond" w:hAnsi="Garamond"/>
                <w:lang w:val="en-AU"/>
              </w:rPr>
              <w:t xml:space="preserve"> when caring for older patients, including adopting a specific communication approach (i.e. increased voice volume, slower rate of speech). Caring for older patients was </w:t>
            </w:r>
            <w:r w:rsidR="002219C4" w:rsidRPr="002219C4">
              <w:rPr>
                <w:rFonts w:ascii="Garamond" w:hAnsi="Garamond"/>
                <w:b/>
                <w:lang w:val="en-AU"/>
              </w:rPr>
              <w:t>perceived as challenging</w:t>
            </w:r>
            <w:r w:rsidR="002219C4" w:rsidRPr="002219C4">
              <w:rPr>
                <w:rFonts w:ascii="Garamond" w:hAnsi="Garamond"/>
                <w:lang w:val="en-AU"/>
              </w:rPr>
              <w:t xml:space="preserve"> given the need to balance the expectations of family members to deal with associated complex needs and limited time for transitional care planning in the ED. The environment and equipment were perceived as unsuitable, alongside a lack of geriatric</w:t>
            </w:r>
            <w:r w:rsidR="002219C4" w:rsidRPr="002219C4">
              <w:rPr>
                <w:rFonts w:ascii="Cambria Math" w:hAnsi="Cambria Math" w:cs="Cambria Math"/>
                <w:lang w:val="en-AU"/>
              </w:rPr>
              <w:t>‐</w:t>
            </w:r>
            <w:r w:rsidR="002219C4" w:rsidRPr="002219C4">
              <w:rPr>
                <w:rFonts w:ascii="Garamond" w:hAnsi="Garamond"/>
                <w:lang w:val="en-AU"/>
              </w:rPr>
              <w:t>specific knowledge; contributing to what health professionals described as a poor fit between the ED system and older patients’ needs.</w:t>
            </w:r>
            <w:r w:rsidR="002219C4">
              <w:rPr>
                <w:rFonts w:ascii="Garamond" w:hAnsi="Garamond"/>
                <w:lang w:val="en-AU"/>
              </w:rPr>
              <w:t>’ In their conclusion, the authors note that growing proportion of older patients and that we need to think about issues, such as ‘</w:t>
            </w:r>
            <w:r w:rsidR="002219C4" w:rsidRPr="002219C4">
              <w:rPr>
                <w:rFonts w:ascii="Garamond" w:hAnsi="Garamond"/>
                <w:lang w:val="en-AU"/>
              </w:rPr>
              <w:t xml:space="preserve">Creating </w:t>
            </w:r>
            <w:r w:rsidR="002219C4" w:rsidRPr="002219C4">
              <w:rPr>
                <w:rFonts w:ascii="Garamond" w:hAnsi="Garamond"/>
                <w:b/>
                <w:lang w:val="en-AU"/>
              </w:rPr>
              <w:t>older person</w:t>
            </w:r>
            <w:r w:rsidR="002219C4" w:rsidRPr="002219C4">
              <w:rPr>
                <w:rFonts w:ascii="Cambria Math" w:hAnsi="Cambria Math" w:cs="Cambria Math"/>
                <w:b/>
                <w:lang w:val="en-AU"/>
              </w:rPr>
              <w:t>‐</w:t>
            </w:r>
            <w:r w:rsidR="002219C4" w:rsidRPr="002219C4">
              <w:rPr>
                <w:rFonts w:ascii="Garamond" w:hAnsi="Garamond"/>
                <w:b/>
                <w:lang w:val="en-AU"/>
              </w:rPr>
              <w:t xml:space="preserve">friendly </w:t>
            </w:r>
            <w:r w:rsidR="002219C4" w:rsidRPr="002219C4">
              <w:rPr>
                <w:rFonts w:ascii="Garamond" w:hAnsi="Garamond"/>
                <w:lang w:val="en-AU"/>
              </w:rPr>
              <w:t xml:space="preserve">areas, </w:t>
            </w:r>
            <w:r w:rsidR="002219C4" w:rsidRPr="002219C4">
              <w:rPr>
                <w:rFonts w:ascii="Garamond" w:hAnsi="Garamond"/>
                <w:b/>
                <w:lang w:val="en-AU"/>
              </w:rPr>
              <w:t>improving transitional care</w:t>
            </w:r>
            <w:r w:rsidR="002219C4" w:rsidRPr="002219C4">
              <w:rPr>
                <w:rFonts w:ascii="Garamond" w:hAnsi="Garamond"/>
                <w:lang w:val="en-AU"/>
              </w:rPr>
              <w:t xml:space="preserve"> and </w:t>
            </w:r>
            <w:r w:rsidR="002219C4" w:rsidRPr="002219C4">
              <w:rPr>
                <w:rFonts w:ascii="Garamond" w:hAnsi="Garamond"/>
                <w:b/>
                <w:lang w:val="en-AU"/>
              </w:rPr>
              <w:t>providing staff with specific education</w:t>
            </w:r>
            <w:r w:rsidR="002219C4" w:rsidRPr="002219C4">
              <w:rPr>
                <w:rFonts w:ascii="Garamond" w:hAnsi="Garamond"/>
                <w:lang w:val="en-AU"/>
              </w:rPr>
              <w:t xml:space="preserve"> would foster an environment that promotes person</w:t>
            </w:r>
            <w:r w:rsidR="002219C4" w:rsidRPr="002219C4">
              <w:rPr>
                <w:rFonts w:ascii="Cambria Math" w:hAnsi="Cambria Math" w:cs="Cambria Math"/>
                <w:lang w:val="en-AU"/>
              </w:rPr>
              <w:t>‐</w:t>
            </w:r>
            <w:r w:rsidR="002219C4" w:rsidRPr="002219C4">
              <w:rPr>
                <w:rFonts w:ascii="Garamond" w:hAnsi="Garamond"/>
                <w:lang w:val="en-AU"/>
              </w:rPr>
              <w:t>centred care, safety, independence and functional wellbeing.</w:t>
            </w:r>
            <w:r w:rsidR="002219C4">
              <w:rPr>
                <w:rFonts w:ascii="Garamond" w:hAnsi="Garamond"/>
                <w:lang w:val="en-AU"/>
              </w:rPr>
              <w:t xml:space="preserve">’ </w:t>
            </w:r>
            <w:r>
              <w:rPr>
                <w:rFonts w:ascii="Garamond" w:hAnsi="Garamond"/>
                <w:lang w:val="en-AU"/>
              </w:rPr>
              <w:t>Such an approach is an expression of the need and value of patient-centred care, care that appreciates the needs, values and specifics of the individual patient.</w:t>
            </w:r>
          </w:p>
        </w:tc>
      </w:tr>
    </w:tbl>
    <w:p w:rsidR="00D8030A" w:rsidRDefault="00D8030A" w:rsidP="00D8030A">
      <w:pPr>
        <w:keepNext/>
        <w:keepLines/>
        <w:autoSpaceDE w:val="0"/>
        <w:autoSpaceDN w:val="0"/>
        <w:adjustRightInd w:val="0"/>
        <w:rPr>
          <w:rFonts w:ascii="Garamond" w:hAnsi="Garamond"/>
          <w:lang w:val="en-AU"/>
        </w:rPr>
      </w:pPr>
    </w:p>
    <w:p w:rsidR="00D8030A" w:rsidRDefault="00E478AB" w:rsidP="00D8030A">
      <w:pPr>
        <w:keepNext/>
        <w:keepLines/>
        <w:tabs>
          <w:tab w:val="left" w:pos="2044"/>
        </w:tabs>
        <w:autoSpaceDE w:val="0"/>
        <w:autoSpaceDN w:val="0"/>
        <w:adjustRightInd w:val="0"/>
        <w:rPr>
          <w:rFonts w:ascii="Garamond" w:hAnsi="Garamond"/>
          <w:lang w:val="en-AU"/>
        </w:rPr>
      </w:pPr>
      <w:r>
        <w:rPr>
          <w:rFonts w:ascii="Garamond" w:hAnsi="Garamond"/>
          <w:lang w:val="en-AU"/>
        </w:rPr>
        <w:t xml:space="preserve">For further information on the Commission’s work on patient and consumer centred care, see </w:t>
      </w:r>
      <w:hyperlink r:id="rId27" w:history="1">
        <w:r w:rsidRPr="006960F4">
          <w:rPr>
            <w:rStyle w:val="Hyperlink"/>
            <w:rFonts w:ascii="Garamond" w:hAnsi="Garamond"/>
            <w:lang w:val="en-AU"/>
          </w:rPr>
          <w:t>https://www.safetyandquality.gov.au/our-work/patient-and-consumer-centred-care/</w:t>
        </w:r>
      </w:hyperlink>
      <w:r>
        <w:rPr>
          <w:rFonts w:ascii="Garamond" w:hAnsi="Garamond"/>
          <w:lang w:val="en-AU"/>
        </w:rPr>
        <w:t xml:space="preserve"> </w:t>
      </w:r>
    </w:p>
    <w:p w:rsidR="004C6518" w:rsidRDefault="004C6518" w:rsidP="004C6518">
      <w:pPr>
        <w:keepNext/>
        <w:keepLines/>
        <w:autoSpaceDE w:val="0"/>
        <w:autoSpaceDN w:val="0"/>
        <w:adjustRightInd w:val="0"/>
        <w:rPr>
          <w:rFonts w:ascii="Garamond" w:hAnsi="Garamond"/>
          <w:i/>
          <w:lang w:val="en-AU"/>
        </w:rPr>
      </w:pPr>
    </w:p>
    <w:p w:rsidR="008756F8" w:rsidRDefault="008756F8">
      <w:pPr>
        <w:rPr>
          <w:rFonts w:ascii="Garamond" w:hAnsi="Garamond"/>
          <w:i/>
          <w:lang w:val="en-AU"/>
        </w:rPr>
      </w:pPr>
      <w:r>
        <w:rPr>
          <w:rFonts w:ascii="Garamond" w:hAnsi="Garamond"/>
          <w:i/>
          <w:lang w:val="en-AU"/>
        </w:rPr>
        <w:br w:type="page"/>
      </w:r>
    </w:p>
    <w:p w:rsidR="001C0CF1" w:rsidRPr="00467B47" w:rsidRDefault="001C0CF1" w:rsidP="001C0CF1">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E56D5C" w:rsidP="00900052">
            <w:pPr>
              <w:keepNext/>
              <w:rPr>
                <w:rFonts w:ascii="Garamond" w:hAnsi="Garamond"/>
                <w:lang w:val="en-AU"/>
              </w:rPr>
            </w:pPr>
            <w:hyperlink r:id="rId28"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C4579D" w:rsidRDefault="00975E22" w:rsidP="00975E22">
            <w:pPr>
              <w:pStyle w:val="ListParagraph"/>
              <w:numPr>
                <w:ilvl w:val="0"/>
                <w:numId w:val="14"/>
              </w:numPr>
              <w:rPr>
                <w:rFonts w:ascii="Garamond" w:hAnsi="Garamond"/>
                <w:lang w:val="en-AU"/>
              </w:rPr>
            </w:pPr>
            <w:r w:rsidRPr="00975E22">
              <w:rPr>
                <w:rFonts w:ascii="Garamond" w:hAnsi="Garamond"/>
                <w:lang w:val="en-AU"/>
              </w:rPr>
              <w:t xml:space="preserve">Incidence and trends of </w:t>
            </w:r>
            <w:r w:rsidRPr="00975E22">
              <w:rPr>
                <w:rFonts w:ascii="Garamond" w:hAnsi="Garamond"/>
                <w:b/>
                <w:lang w:val="en-AU"/>
              </w:rPr>
              <w:t>central line associated pneumothorax</w:t>
            </w:r>
            <w:r w:rsidRPr="00975E22">
              <w:rPr>
                <w:rFonts w:ascii="Garamond" w:hAnsi="Garamond"/>
                <w:lang w:val="en-AU"/>
              </w:rPr>
              <w:t xml:space="preserve"> using radiograph report text search versus administrative database codes</w:t>
            </w:r>
            <w:r>
              <w:rPr>
                <w:rFonts w:ascii="Garamond" w:hAnsi="Garamond"/>
                <w:lang w:val="en-AU"/>
              </w:rPr>
              <w:t xml:space="preserve"> (</w:t>
            </w:r>
            <w:r w:rsidRPr="00975E22">
              <w:rPr>
                <w:rFonts w:ascii="Garamond" w:hAnsi="Garamond"/>
                <w:lang w:val="en-AU"/>
              </w:rPr>
              <w:t>Marc Reeson, Alan Forster, Carl van Walraven</w:t>
            </w:r>
            <w:r>
              <w:rPr>
                <w:rFonts w:ascii="Garamond" w:hAnsi="Garamond"/>
                <w:lang w:val="en-AU"/>
              </w:rPr>
              <w:t>)</w:t>
            </w:r>
          </w:p>
          <w:p w:rsidR="0017268D" w:rsidRPr="00467B47" w:rsidRDefault="0017268D" w:rsidP="0017268D">
            <w:pPr>
              <w:pStyle w:val="ListParagraph"/>
              <w:numPr>
                <w:ilvl w:val="0"/>
                <w:numId w:val="14"/>
              </w:numPr>
              <w:rPr>
                <w:rFonts w:ascii="Garamond" w:hAnsi="Garamond"/>
                <w:lang w:val="en-AU"/>
              </w:rPr>
            </w:pPr>
            <w:r w:rsidRPr="0017268D">
              <w:rPr>
                <w:rFonts w:ascii="Garamond" w:hAnsi="Garamond"/>
                <w:lang w:val="en-AU"/>
              </w:rPr>
              <w:t xml:space="preserve">Standardisation of perioperative urinary catheter use to reduce </w:t>
            </w:r>
            <w:r w:rsidRPr="0017268D">
              <w:rPr>
                <w:rFonts w:ascii="Garamond" w:hAnsi="Garamond"/>
                <w:b/>
                <w:lang w:val="en-AU"/>
              </w:rPr>
              <w:t>postsurgical urinary tract infection</w:t>
            </w:r>
            <w:r w:rsidRPr="0017268D">
              <w:rPr>
                <w:rFonts w:ascii="Garamond" w:hAnsi="Garamond"/>
                <w:lang w:val="en-AU"/>
              </w:rPr>
              <w:t>: an interrupted time series study (Mahsa Sadeghi, Jerome A Leis, Claude Laflamme, Darrel Sparkes, Wendy Ditrani, Aaron Watamaniuk, Ru Taggar, F Jinnah, M Avaness, M Vearncombe, A B Nathens</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772B33">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E56D5C" w:rsidP="00900052">
            <w:pPr>
              <w:keepNext/>
              <w:rPr>
                <w:rFonts w:ascii="Garamond" w:hAnsi="Garamond"/>
                <w:lang w:val="en-AU"/>
              </w:rPr>
            </w:pPr>
            <w:hyperlink r:id="rId29"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3730D" w:rsidRPr="00DA6435" w:rsidRDefault="0017268D" w:rsidP="0017268D">
            <w:pPr>
              <w:pStyle w:val="ListParagraph"/>
              <w:numPr>
                <w:ilvl w:val="0"/>
                <w:numId w:val="14"/>
              </w:numPr>
              <w:rPr>
                <w:rFonts w:ascii="Garamond" w:hAnsi="Garamond"/>
                <w:lang w:val="en-AU"/>
              </w:rPr>
            </w:pPr>
            <w:r w:rsidRPr="0017268D">
              <w:rPr>
                <w:rFonts w:ascii="Garamond" w:hAnsi="Garamond"/>
                <w:lang w:val="en-AU"/>
              </w:rPr>
              <w:t xml:space="preserve">Providing meaning to </w:t>
            </w:r>
            <w:r w:rsidRPr="0017268D">
              <w:rPr>
                <w:rFonts w:ascii="Garamond" w:hAnsi="Garamond"/>
                <w:b/>
                <w:lang w:val="en-AU"/>
              </w:rPr>
              <w:t>quality assessment work</w:t>
            </w:r>
            <w:r w:rsidRPr="0017268D">
              <w:rPr>
                <w:rFonts w:ascii="Garamond" w:hAnsi="Garamond"/>
                <w:lang w:val="en-AU"/>
              </w:rPr>
              <w:t xml:space="preserve"> </w:t>
            </w:r>
            <w:r>
              <w:rPr>
                <w:rFonts w:ascii="Garamond" w:hAnsi="Garamond"/>
                <w:lang w:val="en-AU"/>
              </w:rPr>
              <w:t>(</w:t>
            </w:r>
            <w:r w:rsidRPr="0017268D">
              <w:rPr>
                <w:rFonts w:ascii="Garamond" w:hAnsi="Garamond"/>
                <w:lang w:val="en-AU"/>
              </w:rPr>
              <w:t>Anthony Staines</w:t>
            </w:r>
            <w:r>
              <w:rPr>
                <w:rFonts w:ascii="Garamond" w:hAnsi="Garamond"/>
                <w:lang w:val="en-AU"/>
              </w:rPr>
              <w:t>)</w:t>
            </w:r>
          </w:p>
        </w:tc>
      </w:tr>
    </w:tbl>
    <w:p w:rsidR="00282D29" w:rsidRPr="00A3571C" w:rsidRDefault="00282D29"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4755DC" w:rsidRPr="004755DC" w:rsidRDefault="004755DC" w:rsidP="00070CFE">
      <w:pPr>
        <w:rPr>
          <w:rFonts w:ascii="Garamond" w:hAnsi="Garamond"/>
          <w:i/>
          <w:lang w:val="en-AU"/>
        </w:rPr>
      </w:pPr>
      <w:r w:rsidRPr="004755DC">
        <w:rPr>
          <w:rFonts w:ascii="Garamond" w:hAnsi="Garamond"/>
          <w:i/>
          <w:lang w:val="en-AU"/>
        </w:rPr>
        <w:t>National Safety and Quality Health Service (NSQHS) Standards</w:t>
      </w:r>
    </w:p>
    <w:p w:rsidR="004755DC" w:rsidRDefault="00E56D5C" w:rsidP="00070CFE">
      <w:pPr>
        <w:rPr>
          <w:rFonts w:ascii="Garamond" w:hAnsi="Garamond"/>
          <w:lang w:val="en-AU"/>
        </w:rPr>
      </w:pPr>
      <w:hyperlink r:id="rId30" w:history="1">
        <w:r w:rsidR="004755DC" w:rsidRPr="006960F4">
          <w:rPr>
            <w:rStyle w:val="Hyperlink"/>
            <w:rFonts w:ascii="Garamond" w:hAnsi="Garamond"/>
            <w:lang w:val="en-AU"/>
          </w:rPr>
          <w:t>http://nationalstandards.safetyandquality.gov.au/</w:t>
        </w:r>
      </w:hyperlink>
    </w:p>
    <w:p w:rsidR="004755DC" w:rsidRDefault="004755DC" w:rsidP="00C22CDD">
      <w:pPr>
        <w:rPr>
          <w:rFonts w:ascii="Garamond" w:hAnsi="Garamond"/>
          <w:lang w:val="en-AU"/>
        </w:rPr>
      </w:pPr>
      <w:r>
        <w:rPr>
          <w:rFonts w:ascii="Garamond" w:hAnsi="Garamond"/>
          <w:lang w:val="en-AU"/>
        </w:rPr>
        <w:t xml:space="preserve">The </w:t>
      </w:r>
      <w:r w:rsidRPr="004755DC">
        <w:rPr>
          <w:rFonts w:ascii="Garamond" w:hAnsi="Garamond"/>
          <w:lang w:val="en-AU"/>
        </w:rPr>
        <w:t>Australian Commission on Safety and Quality in Healthcare (The Commission)</w:t>
      </w:r>
      <w:r>
        <w:rPr>
          <w:rFonts w:ascii="Garamond" w:hAnsi="Garamond"/>
          <w:lang w:val="en-AU"/>
        </w:rPr>
        <w:t xml:space="preserve"> has created this microsite to house all </w:t>
      </w:r>
      <w:r w:rsidRPr="004755DC">
        <w:rPr>
          <w:rFonts w:ascii="Garamond" w:hAnsi="Garamond"/>
          <w:lang w:val="en-AU"/>
        </w:rPr>
        <w:t>of the information on the second edition of the National Safety and Quality Health Service (NSQHS) Standards</w:t>
      </w:r>
      <w:r>
        <w:rPr>
          <w:rFonts w:ascii="Garamond" w:hAnsi="Garamond"/>
          <w:lang w:val="en-AU"/>
        </w:rPr>
        <w:t xml:space="preserve">. </w:t>
      </w:r>
      <w:r w:rsidRPr="004755DC">
        <w:rPr>
          <w:rFonts w:ascii="Garamond" w:hAnsi="Garamond"/>
          <w:lang w:val="en-AU"/>
        </w:rPr>
        <w:t>The NSQHS Standards provide a nationally consistent statement of the level of care consumers can expect from health service organisations.</w:t>
      </w:r>
      <w:r w:rsidR="00C22CDD">
        <w:rPr>
          <w:rFonts w:ascii="Garamond" w:hAnsi="Garamond"/>
          <w:lang w:val="en-AU"/>
        </w:rPr>
        <w:t xml:space="preserve"> </w:t>
      </w:r>
      <w:r w:rsidR="00C22CDD" w:rsidRPr="00C22CDD">
        <w:rPr>
          <w:rFonts w:ascii="Garamond" w:hAnsi="Garamond"/>
          <w:lang w:val="en-AU"/>
        </w:rPr>
        <w:t xml:space="preserve">The microsite is optimised </w:t>
      </w:r>
      <w:r w:rsidR="00C22CDD">
        <w:rPr>
          <w:rFonts w:ascii="Garamond" w:hAnsi="Garamond"/>
          <w:lang w:val="en-AU"/>
        </w:rPr>
        <w:t>for</w:t>
      </w:r>
      <w:r w:rsidR="00C22CDD" w:rsidRPr="00C22CDD">
        <w:rPr>
          <w:rFonts w:ascii="Garamond" w:hAnsi="Garamond"/>
          <w:lang w:val="en-AU"/>
        </w:rPr>
        <w:t xml:space="preserve"> phone, tablet and laptop devices and provides quick and easy access to information for clinicians, consumers, managers and others to support the implementation of the second edition of the </w:t>
      </w:r>
      <w:r w:rsidR="008756F8">
        <w:rPr>
          <w:rFonts w:ascii="Garamond" w:hAnsi="Garamond"/>
          <w:lang w:val="en-AU"/>
        </w:rPr>
        <w:t>S</w:t>
      </w:r>
      <w:r w:rsidR="00C22CDD" w:rsidRPr="00C22CDD">
        <w:rPr>
          <w:rFonts w:ascii="Garamond" w:hAnsi="Garamond"/>
          <w:lang w:val="en-AU"/>
        </w:rPr>
        <w:t>tandards.</w:t>
      </w:r>
    </w:p>
    <w:p w:rsidR="004755DC" w:rsidRDefault="004755DC" w:rsidP="00070CFE">
      <w:pPr>
        <w:rPr>
          <w:rFonts w:ascii="Garamond" w:hAnsi="Garamond"/>
          <w:lang w:val="en-AU"/>
        </w:rPr>
      </w:pPr>
    </w:p>
    <w:p w:rsidR="00186AF4" w:rsidRPr="00E42615" w:rsidRDefault="00186AF4" w:rsidP="00186AF4">
      <w:pPr>
        <w:keepNext/>
        <w:rPr>
          <w:rFonts w:ascii="Garamond" w:hAnsi="Garamond"/>
          <w:i/>
          <w:lang w:val="en-AU"/>
        </w:rPr>
      </w:pPr>
      <w:r w:rsidRPr="00E42615">
        <w:rPr>
          <w:rFonts w:ascii="Garamond" w:hAnsi="Garamond"/>
          <w:i/>
          <w:lang w:val="en-AU"/>
        </w:rPr>
        <w:t>Medical Devices Safety Update</w:t>
      </w:r>
    </w:p>
    <w:p w:rsidR="00186AF4" w:rsidRDefault="00186AF4" w:rsidP="00186AF4">
      <w:pPr>
        <w:keepNext/>
        <w:rPr>
          <w:rFonts w:ascii="Garamond" w:hAnsi="Garamond"/>
          <w:lang w:val="en-AU"/>
        </w:rPr>
      </w:pPr>
      <w:r>
        <w:rPr>
          <w:rFonts w:ascii="Garamond" w:hAnsi="Garamond"/>
          <w:lang w:val="en-AU"/>
        </w:rPr>
        <w:t>Volume 6, Number 3, May 2018</w:t>
      </w:r>
    </w:p>
    <w:p w:rsidR="00186AF4" w:rsidRPr="008756F8" w:rsidRDefault="00E56D5C" w:rsidP="00186AF4">
      <w:pPr>
        <w:keepNext/>
        <w:rPr>
          <w:rFonts w:ascii="Garamond" w:hAnsi="Garamond"/>
          <w:sz w:val="22"/>
          <w:szCs w:val="22"/>
          <w:lang w:val="en-AU"/>
        </w:rPr>
      </w:pPr>
      <w:hyperlink r:id="rId31" w:history="1">
        <w:r w:rsidR="00186AF4" w:rsidRPr="008756F8">
          <w:rPr>
            <w:rStyle w:val="Hyperlink"/>
            <w:rFonts w:ascii="Garamond" w:hAnsi="Garamond"/>
            <w:sz w:val="22"/>
            <w:szCs w:val="22"/>
            <w:lang w:val="en-AU"/>
          </w:rPr>
          <w:t>https://www.tga.gov.au/publication-issue/medical-devices-safety-update-volume-6-number-3-may-2018</w:t>
        </w:r>
      </w:hyperlink>
    </w:p>
    <w:p w:rsidR="00186AF4" w:rsidRPr="00D9161E" w:rsidRDefault="00186AF4" w:rsidP="00186AF4">
      <w:pPr>
        <w:keepNext/>
        <w:rPr>
          <w:rFonts w:ascii="Garamond" w:hAnsi="Garamond"/>
          <w:lang w:val="en-AU"/>
        </w:rPr>
      </w:pPr>
      <w:r w:rsidRPr="00D9161E">
        <w:rPr>
          <w:rFonts w:ascii="Garamond" w:hAnsi="Garamond"/>
          <w:lang w:val="en-AU"/>
        </w:rPr>
        <w:t>The Therapeutic Goods Administration (TGA) has released the latest edition of its medical device safety bulletin. Topics covered in this issue include:</w:t>
      </w:r>
    </w:p>
    <w:p w:rsidR="00186AF4" w:rsidRPr="00186AF4" w:rsidRDefault="00186AF4" w:rsidP="00186AF4">
      <w:pPr>
        <w:pStyle w:val="ListParagraph"/>
        <w:keepNext/>
        <w:numPr>
          <w:ilvl w:val="0"/>
          <w:numId w:val="46"/>
        </w:numPr>
        <w:rPr>
          <w:rFonts w:ascii="Garamond" w:hAnsi="Garamond"/>
          <w:lang w:val="en-AU"/>
        </w:rPr>
      </w:pPr>
      <w:r w:rsidRPr="00186AF4">
        <w:rPr>
          <w:rFonts w:ascii="Garamond" w:hAnsi="Garamond"/>
          <w:lang w:val="en-AU"/>
        </w:rPr>
        <w:t xml:space="preserve">How the TGA uses Australian </w:t>
      </w:r>
      <w:r w:rsidRPr="00186AF4">
        <w:rPr>
          <w:rFonts w:ascii="Garamond" w:hAnsi="Garamond"/>
          <w:b/>
          <w:lang w:val="en-AU"/>
        </w:rPr>
        <w:t>joint replacement registry data</w:t>
      </w:r>
    </w:p>
    <w:p w:rsidR="00186AF4" w:rsidRPr="00186AF4" w:rsidRDefault="00186AF4" w:rsidP="00186AF4">
      <w:pPr>
        <w:pStyle w:val="ListParagraph"/>
        <w:keepNext/>
        <w:numPr>
          <w:ilvl w:val="0"/>
          <w:numId w:val="46"/>
        </w:numPr>
        <w:rPr>
          <w:rFonts w:ascii="Garamond" w:hAnsi="Garamond"/>
          <w:lang w:val="en-AU"/>
        </w:rPr>
      </w:pPr>
      <w:r w:rsidRPr="00186AF4">
        <w:rPr>
          <w:rFonts w:ascii="Garamond" w:hAnsi="Garamond"/>
          <w:lang w:val="en-AU"/>
        </w:rPr>
        <w:t xml:space="preserve">Focus on skills for </w:t>
      </w:r>
      <w:r w:rsidRPr="00186AF4">
        <w:rPr>
          <w:rFonts w:ascii="Garamond" w:hAnsi="Garamond"/>
          <w:b/>
          <w:lang w:val="en-AU"/>
        </w:rPr>
        <w:t>vacuum-assisted births</w:t>
      </w:r>
    </w:p>
    <w:p w:rsidR="00186AF4" w:rsidRPr="00186AF4" w:rsidRDefault="00186AF4" w:rsidP="00186AF4">
      <w:pPr>
        <w:pStyle w:val="ListParagraph"/>
        <w:keepNext/>
        <w:numPr>
          <w:ilvl w:val="0"/>
          <w:numId w:val="46"/>
        </w:numPr>
        <w:rPr>
          <w:rFonts w:ascii="Garamond" w:hAnsi="Garamond"/>
          <w:lang w:val="en-AU"/>
        </w:rPr>
      </w:pPr>
      <w:r w:rsidRPr="00186AF4">
        <w:rPr>
          <w:rFonts w:ascii="Garamond" w:hAnsi="Garamond"/>
          <w:lang w:val="en-AU"/>
        </w:rPr>
        <w:t xml:space="preserve">TGA reviews </w:t>
      </w:r>
      <w:r w:rsidRPr="00186AF4">
        <w:rPr>
          <w:rFonts w:ascii="Garamond" w:hAnsi="Garamond"/>
          <w:b/>
          <w:lang w:val="en-AU"/>
        </w:rPr>
        <w:t>product safety of ventilators</w:t>
      </w:r>
      <w:r>
        <w:rPr>
          <w:rFonts w:ascii="Garamond" w:hAnsi="Garamond"/>
          <w:b/>
          <w:lang w:val="en-AU"/>
        </w:rPr>
        <w:t>.</w:t>
      </w:r>
    </w:p>
    <w:p w:rsidR="00282D29" w:rsidRPr="00282D29" w:rsidRDefault="00282D29" w:rsidP="00D92A9D">
      <w:pPr>
        <w:keepLines/>
        <w:rPr>
          <w:rFonts w:ascii="Garamond" w:hAnsi="Garamond"/>
          <w:lang w:val="en-AU"/>
        </w:rPr>
      </w:pPr>
    </w:p>
    <w:p w:rsidR="007D0CA2" w:rsidRDefault="007D0CA2" w:rsidP="009A34AA">
      <w:pPr>
        <w:keepNext/>
        <w:keepLines/>
        <w:rPr>
          <w:rFonts w:ascii="Garamond" w:hAnsi="Garamond"/>
          <w:i/>
          <w:lang w:val="en-AU"/>
        </w:rPr>
      </w:pPr>
      <w:r>
        <w:rPr>
          <w:rFonts w:ascii="Garamond" w:hAnsi="Garamond"/>
          <w:i/>
          <w:lang w:val="en-AU"/>
        </w:rPr>
        <w:t xml:space="preserve">[UK] </w:t>
      </w:r>
      <w:r w:rsidRPr="007D0CA2">
        <w:rPr>
          <w:rFonts w:ascii="Garamond" w:hAnsi="Garamond"/>
          <w:i/>
          <w:lang w:val="en-AU"/>
        </w:rPr>
        <w:t>Good rostering guide</w:t>
      </w:r>
    </w:p>
    <w:p w:rsidR="007D0CA2" w:rsidRDefault="00E56D5C" w:rsidP="009A34AA">
      <w:pPr>
        <w:keepNext/>
        <w:keepLines/>
        <w:rPr>
          <w:rFonts w:ascii="Garamond" w:hAnsi="Garamond"/>
          <w:lang w:val="en-AU"/>
        </w:rPr>
      </w:pPr>
      <w:hyperlink r:id="rId32" w:history="1">
        <w:r w:rsidR="007D0CA2" w:rsidRPr="008855AB">
          <w:rPr>
            <w:rStyle w:val="Hyperlink"/>
            <w:rFonts w:ascii="Garamond" w:hAnsi="Garamond"/>
            <w:lang w:val="en-AU"/>
          </w:rPr>
          <w:t>http://www.nhsemployers.org/case-studies-and-resources/2018/05/good-rostering-guide</w:t>
        </w:r>
      </w:hyperlink>
    </w:p>
    <w:p w:rsidR="007D0CA2" w:rsidRDefault="007D0CA2" w:rsidP="008756F8">
      <w:pPr>
        <w:keepLines/>
        <w:rPr>
          <w:rFonts w:ascii="Garamond" w:hAnsi="Garamond"/>
          <w:lang w:val="en-AU"/>
        </w:rPr>
      </w:pPr>
      <w:r>
        <w:rPr>
          <w:rFonts w:ascii="Garamond" w:hAnsi="Garamond"/>
          <w:lang w:val="en-AU"/>
        </w:rPr>
        <w:t xml:space="preserve">NHS Employers and the British Medical Association have produced this guidance that suggests </w:t>
      </w:r>
      <w:r w:rsidRPr="007D0CA2">
        <w:rPr>
          <w:rFonts w:ascii="Garamond" w:hAnsi="Garamond"/>
          <w:lang w:val="en-AU"/>
        </w:rPr>
        <w:t xml:space="preserve">ways in which good rostering practice can be used to develop rotas. It aims to support and create an effective training environment that also meets the needs of the </w:t>
      </w:r>
      <w:r>
        <w:rPr>
          <w:rFonts w:ascii="Garamond" w:hAnsi="Garamond"/>
          <w:lang w:val="en-AU"/>
        </w:rPr>
        <w:t xml:space="preserve">health </w:t>
      </w:r>
      <w:r w:rsidRPr="007D0CA2">
        <w:rPr>
          <w:rFonts w:ascii="Garamond" w:hAnsi="Garamond"/>
          <w:lang w:val="en-AU"/>
        </w:rPr>
        <w:t>service, while enabling flexibility for doctors and employers, both of whom have a stake in the process.</w:t>
      </w:r>
    </w:p>
    <w:p w:rsidR="009A34AA" w:rsidRDefault="009A34AA" w:rsidP="008756F8">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3"/>
      <w:footerReference w:type="defaul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DF" w:rsidRDefault="00373BDF">
      <w:r>
        <w:separator/>
      </w:r>
    </w:p>
  </w:endnote>
  <w:endnote w:type="continuationSeparator" w:id="0">
    <w:p w:rsidR="00373BDF" w:rsidRDefault="003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Default="00373BD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56D5C">
      <w:rPr>
        <w:rStyle w:val="PageNumber"/>
        <w:noProof/>
      </w:rPr>
      <w:t>2</w:t>
    </w:r>
    <w:r>
      <w:rPr>
        <w:rStyle w:val="PageNumber"/>
      </w:rPr>
      <w:fldChar w:fldCharType="end"/>
    </w:r>
  </w:p>
  <w:p w:rsidR="00C022E3" w:rsidRPr="001E78F0" w:rsidRDefault="00373BD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E2A35">
      <w:rPr>
        <w:rFonts w:ascii="Garamond" w:hAnsi="Garamond"/>
      </w:rPr>
      <w:t>37</w:t>
    </w:r>
    <w:r w:rsidR="00D8030A">
      <w:rPr>
        <w:rFonts w:ascii="Garamond" w:hAnsi="Garamond"/>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Pr="001E78F0" w:rsidRDefault="00373BD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56D5C">
      <w:rPr>
        <w:rStyle w:val="PageNumber"/>
        <w:rFonts w:ascii="Garamond" w:hAnsi="Garamond"/>
        <w:noProof/>
      </w:rPr>
      <w:t>3</w:t>
    </w:r>
    <w:r w:rsidRPr="001E78F0">
      <w:rPr>
        <w:rStyle w:val="PageNumber"/>
        <w:rFonts w:ascii="Garamond" w:hAnsi="Garamond"/>
      </w:rPr>
      <w:fldChar w:fldCharType="end"/>
    </w:r>
  </w:p>
  <w:p w:rsidR="00373BDF" w:rsidRPr="001E78F0" w:rsidRDefault="00373BD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w:t>
    </w:r>
    <w:r w:rsidR="00C022E3">
      <w:rPr>
        <w:rFonts w:ascii="Garamond" w:hAnsi="Garamond"/>
      </w:rPr>
      <w:t>37</w:t>
    </w:r>
    <w:r w:rsidR="00D8030A">
      <w:rPr>
        <w:rFonts w:ascii="Garamond" w:hAnsi="Garamond"/>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DF" w:rsidRDefault="00373BDF">
      <w:r>
        <w:separator/>
      </w:r>
    </w:p>
  </w:footnote>
  <w:footnote w:type="continuationSeparator" w:id="0">
    <w:p w:rsidR="00373BDF" w:rsidRDefault="0037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6464B"/>
    <w:multiLevelType w:val="hybridMultilevel"/>
    <w:tmpl w:val="B038C2AA"/>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4D7279"/>
    <w:multiLevelType w:val="hybridMultilevel"/>
    <w:tmpl w:val="9386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547B8F"/>
    <w:multiLevelType w:val="hybridMultilevel"/>
    <w:tmpl w:val="DC12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BD60FF"/>
    <w:multiLevelType w:val="hybridMultilevel"/>
    <w:tmpl w:val="CE9E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5E2807"/>
    <w:multiLevelType w:val="hybridMultilevel"/>
    <w:tmpl w:val="AAB4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C80F25"/>
    <w:multiLevelType w:val="hybridMultilevel"/>
    <w:tmpl w:val="73A0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B046D9"/>
    <w:multiLevelType w:val="hybridMultilevel"/>
    <w:tmpl w:val="7C1E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18D54A1"/>
    <w:multiLevelType w:val="hybridMultilevel"/>
    <w:tmpl w:val="F818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457159"/>
    <w:multiLevelType w:val="hybridMultilevel"/>
    <w:tmpl w:val="8474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477078"/>
    <w:multiLevelType w:val="hybridMultilevel"/>
    <w:tmpl w:val="D3A4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1147F4"/>
    <w:multiLevelType w:val="hybridMultilevel"/>
    <w:tmpl w:val="4A40D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7C230E"/>
    <w:multiLevelType w:val="hybridMultilevel"/>
    <w:tmpl w:val="EF285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7A5019"/>
    <w:multiLevelType w:val="hybridMultilevel"/>
    <w:tmpl w:val="43849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1F4029F"/>
    <w:multiLevelType w:val="hybridMultilevel"/>
    <w:tmpl w:val="D428B77E"/>
    <w:lvl w:ilvl="0" w:tplc="54FA74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1FF027F"/>
    <w:multiLevelType w:val="hybridMultilevel"/>
    <w:tmpl w:val="CEA6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8F064D"/>
    <w:multiLevelType w:val="hybridMultilevel"/>
    <w:tmpl w:val="AC78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5BA4253"/>
    <w:multiLevelType w:val="hybridMultilevel"/>
    <w:tmpl w:val="6728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5F808CB"/>
    <w:multiLevelType w:val="hybridMultilevel"/>
    <w:tmpl w:val="2E90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6A5E12"/>
    <w:multiLevelType w:val="hybridMultilevel"/>
    <w:tmpl w:val="227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CB7D62"/>
    <w:multiLevelType w:val="hybridMultilevel"/>
    <w:tmpl w:val="D94C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2A13D8B"/>
    <w:multiLevelType w:val="hybridMultilevel"/>
    <w:tmpl w:val="CF266F36"/>
    <w:lvl w:ilvl="0" w:tplc="583207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2D7587F"/>
    <w:multiLevelType w:val="hybridMultilevel"/>
    <w:tmpl w:val="6E36A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5441AF"/>
    <w:multiLevelType w:val="hybridMultilevel"/>
    <w:tmpl w:val="27F0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DB2310A"/>
    <w:multiLevelType w:val="hybridMultilevel"/>
    <w:tmpl w:val="0222373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F766F9"/>
    <w:multiLevelType w:val="hybridMultilevel"/>
    <w:tmpl w:val="755232DE"/>
    <w:lvl w:ilvl="0" w:tplc="6B02CE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8E14FB"/>
    <w:multiLevelType w:val="hybridMultilevel"/>
    <w:tmpl w:val="34D0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B730BE"/>
    <w:multiLevelType w:val="hybridMultilevel"/>
    <w:tmpl w:val="6652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420B55"/>
    <w:multiLevelType w:val="hybridMultilevel"/>
    <w:tmpl w:val="DEBC6BB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E6C7E0C"/>
    <w:multiLevelType w:val="hybridMultilevel"/>
    <w:tmpl w:val="D7F8083E"/>
    <w:lvl w:ilvl="0" w:tplc="5608CCE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F87F21"/>
    <w:multiLevelType w:val="hybridMultilevel"/>
    <w:tmpl w:val="B37C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18456F"/>
    <w:multiLevelType w:val="hybridMultilevel"/>
    <w:tmpl w:val="CF5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4"/>
  </w:num>
  <w:num w:numId="15">
    <w:abstractNumId w:val="11"/>
  </w:num>
  <w:num w:numId="16">
    <w:abstractNumId w:val="22"/>
  </w:num>
  <w:num w:numId="17">
    <w:abstractNumId w:val="28"/>
  </w:num>
  <w:num w:numId="18">
    <w:abstractNumId w:val="47"/>
  </w:num>
  <w:num w:numId="19">
    <w:abstractNumId w:val="16"/>
  </w:num>
  <w:num w:numId="20">
    <w:abstractNumId w:val="30"/>
  </w:num>
  <w:num w:numId="21">
    <w:abstractNumId w:val="10"/>
  </w:num>
  <w:num w:numId="22">
    <w:abstractNumId w:val="38"/>
  </w:num>
  <w:num w:numId="23">
    <w:abstractNumId w:val="42"/>
  </w:num>
  <w:num w:numId="24">
    <w:abstractNumId w:val="20"/>
  </w:num>
  <w:num w:numId="25">
    <w:abstractNumId w:val="46"/>
  </w:num>
  <w:num w:numId="26">
    <w:abstractNumId w:val="39"/>
  </w:num>
  <w:num w:numId="27">
    <w:abstractNumId w:val="41"/>
  </w:num>
  <w:num w:numId="28">
    <w:abstractNumId w:val="25"/>
  </w:num>
  <w:num w:numId="29">
    <w:abstractNumId w:val="12"/>
  </w:num>
  <w:num w:numId="30">
    <w:abstractNumId w:val="45"/>
  </w:num>
  <w:num w:numId="31">
    <w:abstractNumId w:val="33"/>
  </w:num>
  <w:num w:numId="32">
    <w:abstractNumId w:val="37"/>
  </w:num>
  <w:num w:numId="33">
    <w:abstractNumId w:val="26"/>
  </w:num>
  <w:num w:numId="34">
    <w:abstractNumId w:val="14"/>
  </w:num>
  <w:num w:numId="35">
    <w:abstractNumId w:val="34"/>
  </w:num>
  <w:num w:numId="36">
    <w:abstractNumId w:val="15"/>
  </w:num>
  <w:num w:numId="37">
    <w:abstractNumId w:val="35"/>
  </w:num>
  <w:num w:numId="38">
    <w:abstractNumId w:val="27"/>
  </w:num>
  <w:num w:numId="39">
    <w:abstractNumId w:val="31"/>
  </w:num>
  <w:num w:numId="40">
    <w:abstractNumId w:val="18"/>
  </w:num>
  <w:num w:numId="41">
    <w:abstractNumId w:val="40"/>
  </w:num>
  <w:num w:numId="42">
    <w:abstractNumId w:val="32"/>
  </w:num>
  <w:num w:numId="43">
    <w:abstractNumId w:val="43"/>
  </w:num>
  <w:num w:numId="44">
    <w:abstractNumId w:val="29"/>
  </w:num>
  <w:num w:numId="45">
    <w:abstractNumId w:val="13"/>
  </w:num>
  <w:num w:numId="46">
    <w:abstractNumId w:val="17"/>
  </w:num>
  <w:num w:numId="47">
    <w:abstractNumId w:val="21"/>
  </w:num>
  <w:num w:numId="4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68D"/>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AF4"/>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DDC"/>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9C4"/>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19F3"/>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5B7B"/>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C09"/>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5DC"/>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1D"/>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6F8"/>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CDD"/>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291"/>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8AB"/>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D5C"/>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2"/>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transvaginal-mesh/resources/" TargetMode="External"/><Relationship Id="rId26" Type="http://schemas.openxmlformats.org/officeDocument/2006/relationships/hyperlink" Target="https://doi.org/10.1111/1742-6723.13108" TargetMode="External"/><Relationship Id="rId3" Type="http://schemas.openxmlformats.org/officeDocument/2006/relationships/styles" Target="styles.xml"/><Relationship Id="rId21" Type="http://schemas.openxmlformats.org/officeDocument/2006/relationships/hyperlink" Target="https://www.safetyandquality.gov.au/wp-content/uploads/2018/02/TV-Mesh-Care-pathway-for-GP-SUI-landscape.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ihpa.gov.au/" TargetMode="External"/><Relationship Id="rId25" Type="http://schemas.openxmlformats.org/officeDocument/2006/relationships/hyperlink" Target="http://www.cqc.org.uk/publications/themed-work/under-pressure-safely-managing-increased-demand-emergency-department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our-work/indicators/avoidable-hospital-readmissions/" TargetMode="External"/><Relationship Id="rId20" Type="http://schemas.openxmlformats.org/officeDocument/2006/relationships/image" Target="media/image2.png"/><Relationship Id="rId29" Type="http://schemas.openxmlformats.org/officeDocument/2006/relationships/hyperlink" Target="https://academic.oup.com/intqhc/advance-access?pap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safetyandquality.gov.au/wp-content/uploads/2018/02/TV-mesh-Surgical-Care-Pathway-SUI-portrait.pdf" TargetMode="External"/><Relationship Id="rId32" Type="http://schemas.openxmlformats.org/officeDocument/2006/relationships/hyperlink" Target="http://www.nhsemployers.org/case-studies-and-resources/2018/05/good-rostering-guide"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wp-content/uploads/2018/02/TV-mesh-Surgical-Care-Pathway-POP-portrait.pdf" TargetMode="External"/><Relationship Id="rId28" Type="http://schemas.openxmlformats.org/officeDocument/2006/relationships/hyperlink" Target="https://qualitysafety.bmj.com/content/early/recent" TargetMode="External"/><Relationship Id="rId36" Type="http://schemas.openxmlformats.org/officeDocument/2006/relationships/theme" Target="theme/theme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wp-content/uploads/2018/02/TV-Mesh-Care-pathway-for-GPs-POP-landscape.pdf" TargetMode="External"/><Relationship Id="rId31" Type="http://schemas.openxmlformats.org/officeDocument/2006/relationships/hyperlink" Target="https://www.tga.gov.au/publication-issue/medical-devices-safety-update-volume-6-number-3-may-201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image" Target="media/image3.png"/><Relationship Id="rId27" Type="http://schemas.openxmlformats.org/officeDocument/2006/relationships/hyperlink" Target="https://www.safetyandquality.gov.au/our-work/patient-and-consumer-centred-care/" TargetMode="External"/><Relationship Id="rId30" Type="http://schemas.openxmlformats.org/officeDocument/2006/relationships/hyperlink" Target="http://nationalstandards.safetyandquality.gov.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5E88-28AB-455E-90D3-5FC441FE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Pages>
  <Words>1729</Words>
  <Characters>11311</Characters>
  <Application>Microsoft Office Word</Application>
  <DocSecurity>0</DocSecurity>
  <Lines>235</Lines>
  <Paragraphs>106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12934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2018-03-02T02:34:00Z</cp:lastPrinted>
  <dcterms:created xsi:type="dcterms:W3CDTF">2018-05-27T21:50:00Z</dcterms:created>
  <dcterms:modified xsi:type="dcterms:W3CDTF">2018-06-01T02:47:00Z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