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277074">
      <w:pPr>
        <w:pStyle w:val="Heading1"/>
        <w:ind w:left="1440" w:hanging="144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A84001">
        <w:rPr>
          <w:rFonts w:ascii="Garamond" w:hAnsi="Garamond"/>
          <w:color w:val="000000"/>
          <w:lang w:val="en-AU"/>
        </w:rPr>
        <w:t>74</w:t>
      </w:r>
    </w:p>
    <w:p w:rsidR="00755242" w:rsidRPr="00467B47" w:rsidRDefault="00026CA9" w:rsidP="00B160EF">
      <w:pPr>
        <w:rPr>
          <w:rFonts w:ascii="Garamond" w:hAnsi="Garamond"/>
          <w:lang w:val="en-AU"/>
        </w:rPr>
      </w:pPr>
      <w:r>
        <w:rPr>
          <w:rFonts w:ascii="Garamond" w:hAnsi="Garamond"/>
          <w:lang w:val="en-AU"/>
        </w:rPr>
        <w:t>1</w:t>
      </w:r>
      <w:r w:rsidR="00A84001">
        <w:rPr>
          <w:rFonts w:ascii="Garamond" w:hAnsi="Garamond"/>
          <w:lang w:val="en-AU"/>
        </w:rPr>
        <w:t>8</w:t>
      </w:r>
      <w:r w:rsidR="00D8030A">
        <w:rPr>
          <w:rFonts w:ascii="Garamond" w:hAnsi="Garamond"/>
          <w:lang w:val="en-AU"/>
        </w:rPr>
        <w:t xml:space="preserve"> June</w:t>
      </w:r>
      <w:r w:rsidR="00054C00" w:rsidRPr="00467B47">
        <w:rPr>
          <w:rFonts w:ascii="Garamond" w:hAnsi="Garamond"/>
          <w:lang w:val="en-AU"/>
        </w:rPr>
        <w:t xml:space="preserve">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4C40D8">
        <w:rPr>
          <w:rFonts w:ascii="Garamond" w:hAnsi="Garamond"/>
          <w:bCs/>
          <w:lang w:val="en-AU"/>
        </w:rPr>
        <w:t>, Andrew Moors</w:t>
      </w:r>
    </w:p>
    <w:p w:rsidR="00727B35" w:rsidRDefault="00727B35" w:rsidP="00691DE3">
      <w:pPr>
        <w:keepLines/>
        <w:autoSpaceDE w:val="0"/>
        <w:autoSpaceDN w:val="0"/>
        <w:adjustRightInd w:val="0"/>
        <w:rPr>
          <w:rFonts w:ascii="Garamond" w:hAnsi="Garamond"/>
          <w:lang w:val="en-AU"/>
        </w:rPr>
      </w:pPr>
    </w:p>
    <w:p w:rsidR="00FB6960" w:rsidRDefault="00FB6960" w:rsidP="00691DE3">
      <w:pPr>
        <w:keepLines/>
        <w:autoSpaceDE w:val="0"/>
        <w:autoSpaceDN w:val="0"/>
        <w:adjustRightInd w:val="0"/>
        <w:rPr>
          <w:rFonts w:ascii="Garamond" w:hAnsi="Garamond"/>
          <w:lang w:val="en-AU"/>
        </w:rPr>
      </w:pPr>
    </w:p>
    <w:p w:rsidR="00FB6960" w:rsidRDefault="00FB6960" w:rsidP="00691DE3">
      <w:pPr>
        <w:keepLines/>
        <w:autoSpaceDE w:val="0"/>
        <w:autoSpaceDN w:val="0"/>
        <w:adjustRightInd w:val="0"/>
        <w:rPr>
          <w:rFonts w:ascii="Garamond" w:hAnsi="Garamond"/>
          <w:lang w:val="en-AU"/>
        </w:rPr>
      </w:pPr>
    </w:p>
    <w:p w:rsidR="007A70F5" w:rsidRPr="007A70F5" w:rsidRDefault="007A70F5" w:rsidP="007A70F5">
      <w:pPr>
        <w:keepLines/>
        <w:autoSpaceDE w:val="0"/>
        <w:autoSpaceDN w:val="0"/>
        <w:adjustRightInd w:val="0"/>
        <w:rPr>
          <w:rFonts w:ascii="Garamond" w:hAnsi="Garamond"/>
          <w:b/>
          <w:lang w:val="en-AU"/>
        </w:rPr>
      </w:pPr>
      <w:r w:rsidRPr="007A70F5">
        <w:rPr>
          <w:rFonts w:ascii="Garamond" w:hAnsi="Garamond"/>
          <w:b/>
          <w:lang w:val="en-AU"/>
        </w:rPr>
        <w:t xml:space="preserve">NSQHS Standards user guide for health services providing care for people with mental health issues </w:t>
      </w:r>
      <w:r w:rsidR="00114F75">
        <w:rPr>
          <w:rFonts w:ascii="Garamond" w:hAnsi="Garamond"/>
          <w:b/>
          <w:lang w:val="en-AU"/>
        </w:rPr>
        <w:t>–</w:t>
      </w:r>
      <w:r w:rsidRPr="007A70F5">
        <w:rPr>
          <w:rFonts w:ascii="Garamond" w:hAnsi="Garamond"/>
          <w:b/>
          <w:lang w:val="en-AU"/>
        </w:rPr>
        <w:t xml:space="preserve"> consultation now open</w:t>
      </w:r>
    </w:p>
    <w:p w:rsidR="007A70F5" w:rsidRDefault="007D7CED" w:rsidP="007A70F5">
      <w:pPr>
        <w:keepLines/>
        <w:autoSpaceDE w:val="0"/>
        <w:autoSpaceDN w:val="0"/>
        <w:adjustRightInd w:val="0"/>
        <w:rPr>
          <w:rFonts w:ascii="Garamond" w:hAnsi="Garamond"/>
          <w:lang w:val="en-AU"/>
        </w:rPr>
      </w:pPr>
      <w:hyperlink r:id="rId16" w:history="1">
        <w:r w:rsidR="00B00DB0" w:rsidRPr="00EA3230">
          <w:rPr>
            <w:rStyle w:val="Hyperlink"/>
            <w:rFonts w:ascii="Garamond" w:hAnsi="Garamond"/>
            <w:lang w:val="en-AU"/>
          </w:rPr>
          <w:t>https://www.safetyandquality.gov.au/our-work/assessment-to-the-nsqhs-standards/national-standards-program-updates-and-consultations-2/</w:t>
        </w:r>
      </w:hyperlink>
    </w:p>
    <w:p w:rsidR="00B00DB0" w:rsidRDefault="00B00DB0" w:rsidP="007A70F5">
      <w:pPr>
        <w:keepLines/>
        <w:autoSpaceDE w:val="0"/>
        <w:autoSpaceDN w:val="0"/>
        <w:adjustRightInd w:val="0"/>
        <w:rPr>
          <w:rFonts w:ascii="Garamond" w:hAnsi="Garamond"/>
          <w:lang w:val="en-AU"/>
        </w:rPr>
      </w:pPr>
    </w:p>
    <w:p w:rsidR="007A70F5" w:rsidRPr="007A70F5" w:rsidRDefault="007A70F5" w:rsidP="007A70F5">
      <w:pPr>
        <w:keepLines/>
        <w:autoSpaceDE w:val="0"/>
        <w:autoSpaceDN w:val="0"/>
        <w:adjustRightInd w:val="0"/>
        <w:rPr>
          <w:rFonts w:ascii="Garamond" w:hAnsi="Garamond"/>
          <w:lang w:val="en-AU"/>
        </w:rPr>
      </w:pPr>
      <w:r w:rsidRPr="007A70F5">
        <w:rPr>
          <w:rFonts w:ascii="Garamond" w:hAnsi="Garamond"/>
          <w:lang w:val="en-AU"/>
        </w:rPr>
        <w:t xml:space="preserve">The Australian Commission on Safety and Quality in Health Care is seeking feedback on the draft </w:t>
      </w:r>
      <w:r w:rsidRPr="007A70F5">
        <w:rPr>
          <w:rFonts w:ascii="Garamond" w:hAnsi="Garamond"/>
          <w:i/>
          <w:lang w:val="en-AU"/>
        </w:rPr>
        <w:t>National Safety and Quality Health Service Standards user guide for health services providing care for people with mental health issues</w:t>
      </w:r>
      <w:r w:rsidRPr="007A70F5">
        <w:rPr>
          <w:rFonts w:ascii="Garamond" w:hAnsi="Garamond"/>
          <w:lang w:val="en-AU"/>
        </w:rPr>
        <w:t xml:space="preserve"> (‘the guide’).</w:t>
      </w:r>
      <w:r>
        <w:rPr>
          <w:rFonts w:ascii="Garamond" w:hAnsi="Garamond"/>
          <w:lang w:val="en-AU"/>
        </w:rPr>
        <w:t xml:space="preserve"> </w:t>
      </w:r>
      <w:r w:rsidRPr="007A70F5">
        <w:rPr>
          <w:rFonts w:ascii="Garamond" w:hAnsi="Garamond"/>
          <w:lang w:val="en-AU"/>
        </w:rPr>
        <w:t xml:space="preserve">The guide highlights the actions in the NSQHS Standards with high relevance to mental health. It provides practical examples from across Australia that </w:t>
      </w:r>
      <w:proofErr w:type="gramStart"/>
      <w:r w:rsidRPr="007A70F5">
        <w:rPr>
          <w:rFonts w:ascii="Garamond" w:hAnsi="Garamond"/>
          <w:lang w:val="en-AU"/>
        </w:rPr>
        <w:t>demonstrate</w:t>
      </w:r>
      <w:proofErr w:type="gramEnd"/>
      <w:r w:rsidRPr="007A70F5">
        <w:rPr>
          <w:rFonts w:ascii="Garamond" w:hAnsi="Garamond"/>
          <w:lang w:val="en-AU"/>
        </w:rPr>
        <w:t xml:space="preserve"> how health services are addressing the mental health needs of people in their care.</w:t>
      </w:r>
    </w:p>
    <w:p w:rsidR="007A70F5" w:rsidRPr="007A70F5" w:rsidRDefault="007A70F5" w:rsidP="007A70F5">
      <w:pPr>
        <w:keepLines/>
        <w:autoSpaceDE w:val="0"/>
        <w:autoSpaceDN w:val="0"/>
        <w:adjustRightInd w:val="0"/>
        <w:rPr>
          <w:rFonts w:ascii="Garamond" w:hAnsi="Garamond"/>
          <w:lang w:val="en-AU"/>
        </w:rPr>
      </w:pPr>
    </w:p>
    <w:p w:rsidR="007A70F5" w:rsidRPr="007A70F5" w:rsidRDefault="007A70F5" w:rsidP="007A70F5">
      <w:pPr>
        <w:keepLines/>
        <w:autoSpaceDE w:val="0"/>
        <w:autoSpaceDN w:val="0"/>
        <w:adjustRightInd w:val="0"/>
        <w:rPr>
          <w:rFonts w:ascii="Garamond" w:hAnsi="Garamond"/>
          <w:lang w:val="en-AU"/>
        </w:rPr>
      </w:pPr>
      <w:r w:rsidRPr="007A70F5">
        <w:rPr>
          <w:rFonts w:ascii="Garamond" w:hAnsi="Garamond"/>
          <w:lang w:val="en-AU"/>
        </w:rPr>
        <w:t>Consultation on this resource will run until 14 July 2018.</w:t>
      </w:r>
    </w:p>
    <w:p w:rsidR="007A70F5" w:rsidRPr="007A70F5" w:rsidRDefault="007A70F5" w:rsidP="007A70F5">
      <w:pPr>
        <w:keepLines/>
        <w:autoSpaceDE w:val="0"/>
        <w:autoSpaceDN w:val="0"/>
        <w:adjustRightInd w:val="0"/>
        <w:rPr>
          <w:rFonts w:ascii="Garamond" w:hAnsi="Garamond"/>
          <w:lang w:val="en-AU"/>
        </w:rPr>
      </w:pPr>
    </w:p>
    <w:p w:rsidR="004C40D8" w:rsidRPr="004C40D8" w:rsidRDefault="007A70F5" w:rsidP="007A70F5">
      <w:pPr>
        <w:keepLines/>
        <w:autoSpaceDE w:val="0"/>
        <w:autoSpaceDN w:val="0"/>
        <w:adjustRightInd w:val="0"/>
        <w:rPr>
          <w:rFonts w:ascii="Garamond" w:hAnsi="Garamond"/>
          <w:lang w:val="en-AU"/>
        </w:rPr>
      </w:pPr>
      <w:r w:rsidRPr="007A70F5">
        <w:rPr>
          <w:rFonts w:ascii="Garamond" w:hAnsi="Garamond"/>
          <w:lang w:val="en-AU"/>
        </w:rPr>
        <w:t xml:space="preserve">If you have any questions in relation to this consultation, please contact </w:t>
      </w:r>
      <w:r w:rsidR="00B00DB0">
        <w:rPr>
          <w:rFonts w:ascii="Garamond" w:hAnsi="Garamond"/>
          <w:lang w:val="en-AU"/>
        </w:rPr>
        <w:t xml:space="preserve">Dr </w:t>
      </w:r>
      <w:r w:rsidRPr="007A70F5">
        <w:rPr>
          <w:rFonts w:ascii="Garamond" w:hAnsi="Garamond"/>
          <w:lang w:val="en-AU"/>
        </w:rPr>
        <w:t xml:space="preserve">Andrew Moors on (02) 9126 3590 or </w:t>
      </w:r>
      <w:hyperlink r:id="rId17" w:history="1">
        <w:r w:rsidR="00B00DB0" w:rsidRPr="00EA3230">
          <w:rPr>
            <w:rStyle w:val="Hyperlink"/>
            <w:rFonts w:ascii="Garamond" w:hAnsi="Garamond"/>
            <w:lang w:val="en-AU"/>
          </w:rPr>
          <w:t>mentalhealth@safetyandquality.gov.au</w:t>
        </w:r>
      </w:hyperlink>
      <w:r w:rsidR="00B00DB0">
        <w:rPr>
          <w:rFonts w:ascii="Garamond" w:hAnsi="Garamond"/>
          <w:lang w:val="en-AU"/>
        </w:rPr>
        <w:t xml:space="preserve"> </w:t>
      </w:r>
    </w:p>
    <w:p w:rsidR="004C40D8" w:rsidRDefault="004C40D8" w:rsidP="00691DE3">
      <w:pPr>
        <w:keepLines/>
        <w:autoSpaceDE w:val="0"/>
        <w:autoSpaceDN w:val="0"/>
        <w:adjustRightInd w:val="0"/>
        <w:rPr>
          <w:rFonts w:ascii="Garamond" w:hAnsi="Garamond"/>
          <w:lang w:val="en-AU"/>
        </w:rPr>
      </w:pPr>
    </w:p>
    <w:p w:rsidR="00B00DB0" w:rsidRPr="004C40D8" w:rsidRDefault="00B00DB0" w:rsidP="00691DE3">
      <w:pPr>
        <w:keepLines/>
        <w:autoSpaceDE w:val="0"/>
        <w:autoSpaceDN w:val="0"/>
        <w:adjustRightInd w:val="0"/>
        <w:rPr>
          <w:rFonts w:ascii="Garamond" w:hAnsi="Garamond"/>
          <w:lang w:val="en-AU"/>
        </w:rPr>
      </w:pPr>
    </w:p>
    <w:p w:rsidR="00013C4E" w:rsidRDefault="00013C4E">
      <w:pPr>
        <w:rPr>
          <w:rFonts w:ascii="Garamond" w:hAnsi="Garamond"/>
          <w:b/>
          <w:lang w:val="en-AU"/>
        </w:rPr>
      </w:pPr>
      <w:r>
        <w:rPr>
          <w:rFonts w:ascii="Garamond" w:hAnsi="Garamond"/>
          <w:b/>
          <w:lang w:val="en-AU"/>
        </w:rPr>
        <w:br w:type="page"/>
      </w:r>
    </w:p>
    <w:p w:rsidR="00282D29" w:rsidRDefault="00282D29">
      <w:pPr>
        <w:rPr>
          <w:rFonts w:ascii="Garamond" w:hAnsi="Garamond"/>
          <w:b/>
          <w:lang w:val="en-AU"/>
        </w:rPr>
      </w:pPr>
      <w:r>
        <w:rPr>
          <w:rFonts w:ascii="Garamond" w:hAnsi="Garamond"/>
          <w:b/>
          <w:lang w:val="en-AU"/>
        </w:rPr>
        <w:lastRenderedPageBreak/>
        <w:t>Reports</w:t>
      </w:r>
    </w:p>
    <w:p w:rsidR="00282D29" w:rsidRDefault="00282D29" w:rsidP="00282D29">
      <w:pPr>
        <w:rPr>
          <w:rFonts w:ascii="Garamond" w:hAnsi="Garamond"/>
          <w:b/>
          <w:lang w:val="en-AU"/>
        </w:rPr>
      </w:pPr>
    </w:p>
    <w:p w:rsidR="007D0CA2" w:rsidRPr="00430334" w:rsidRDefault="00430334" w:rsidP="00430334">
      <w:pPr>
        <w:keepNext/>
        <w:keepLines/>
        <w:autoSpaceDE w:val="0"/>
        <w:autoSpaceDN w:val="0"/>
        <w:adjustRightInd w:val="0"/>
        <w:rPr>
          <w:rFonts w:ascii="Garamond" w:hAnsi="Garamond"/>
          <w:i/>
          <w:lang w:val="en-AU"/>
        </w:rPr>
      </w:pPr>
      <w:r w:rsidRPr="00430334">
        <w:rPr>
          <w:rFonts w:ascii="Garamond" w:hAnsi="Garamond"/>
          <w:i/>
          <w:lang w:val="en-AU"/>
        </w:rPr>
        <w:t>Report on serious misconduct risks around dangerous drugs in hospitals</w:t>
      </w:r>
    </w:p>
    <w:p w:rsidR="004C1D03" w:rsidRDefault="004C1D03" w:rsidP="00430334">
      <w:pPr>
        <w:keepNext/>
        <w:keepLines/>
        <w:autoSpaceDE w:val="0"/>
        <w:autoSpaceDN w:val="0"/>
        <w:adjustRightInd w:val="0"/>
        <w:rPr>
          <w:rFonts w:ascii="Garamond" w:hAnsi="Garamond"/>
          <w:lang w:val="en-AU"/>
        </w:rPr>
      </w:pPr>
      <w:r w:rsidRPr="004C1D03">
        <w:rPr>
          <w:rFonts w:ascii="Garamond" w:hAnsi="Garamond"/>
          <w:lang w:val="en-AU"/>
        </w:rPr>
        <w:t>Corruption and Crime Commission</w:t>
      </w:r>
    </w:p>
    <w:p w:rsidR="00430334" w:rsidRPr="00E566B0" w:rsidRDefault="004C1D03" w:rsidP="00430334">
      <w:pPr>
        <w:keepNext/>
        <w:keepLines/>
        <w:autoSpaceDE w:val="0"/>
        <w:autoSpaceDN w:val="0"/>
        <w:adjustRightInd w:val="0"/>
        <w:rPr>
          <w:rFonts w:ascii="Garamond" w:hAnsi="Garamond"/>
          <w:lang w:val="en-AU"/>
        </w:rPr>
      </w:pPr>
      <w:r w:rsidRPr="004C1D03">
        <w:rPr>
          <w:rFonts w:ascii="Garamond" w:hAnsi="Garamond"/>
          <w:lang w:val="en-AU"/>
        </w:rPr>
        <w:t xml:space="preserve">Perth: Corruption and Crime Commission; 2018. </w:t>
      </w:r>
      <w:proofErr w:type="gramStart"/>
      <w:r w:rsidRPr="004C1D03">
        <w:rPr>
          <w:rFonts w:ascii="Garamond" w:hAnsi="Garamond"/>
          <w:lang w:val="en-AU"/>
        </w:rPr>
        <w:t>54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066FA"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9066FA" w:rsidRPr="000170DA" w:rsidRDefault="009066FA" w:rsidP="00142C1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73576" w:rsidRDefault="007D7CED" w:rsidP="00F73576">
            <w:pPr>
              <w:rPr>
                <w:rStyle w:val="Hyperlink"/>
                <w:rFonts w:ascii="Garamond" w:hAnsi="Garamond"/>
                <w:color w:val="auto"/>
                <w:u w:val="none"/>
                <w:lang w:val="en-AU"/>
              </w:rPr>
            </w:pPr>
            <w:hyperlink r:id="rId18" w:history="1">
              <w:r w:rsidR="00F73576" w:rsidRPr="00665C0B">
                <w:rPr>
                  <w:rStyle w:val="Hyperlink"/>
                  <w:rFonts w:ascii="Garamond" w:hAnsi="Garamond"/>
                  <w:lang w:val="en-AU"/>
                </w:rPr>
                <w:t>https://www.ccc.wa.gov.au/sites/default/files/Report%20on%20serious%20misconduct%20risks%20around%20dangerous%20drugs%20in%20hospital.pdf</w:t>
              </w:r>
            </w:hyperlink>
          </w:p>
          <w:p w:rsidR="00F73576" w:rsidRPr="000170DA" w:rsidRDefault="007D7CED" w:rsidP="00F73576">
            <w:pPr>
              <w:rPr>
                <w:rStyle w:val="Hyperlink"/>
                <w:rFonts w:ascii="Garamond" w:hAnsi="Garamond"/>
                <w:color w:val="auto"/>
                <w:u w:val="none"/>
                <w:lang w:val="en-AU"/>
              </w:rPr>
            </w:pPr>
            <w:hyperlink r:id="rId19" w:history="1">
              <w:r w:rsidR="00F73576" w:rsidRPr="00665C0B">
                <w:rPr>
                  <w:rStyle w:val="Hyperlink"/>
                  <w:rFonts w:ascii="Garamond" w:hAnsi="Garamond"/>
                  <w:lang w:val="en-AU"/>
                </w:rPr>
                <w:t>https://www.ccc.wa.gov.au/news/493</w:t>
              </w:r>
            </w:hyperlink>
          </w:p>
        </w:tc>
      </w:tr>
      <w:tr w:rsidR="009066FA"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9066FA" w:rsidRPr="000170DA" w:rsidRDefault="009066FA" w:rsidP="00142C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73576" w:rsidRDefault="00F73576" w:rsidP="00F73576">
            <w:pPr>
              <w:jc w:val="both"/>
              <w:rPr>
                <w:rFonts w:ascii="Garamond" w:hAnsi="Garamond"/>
                <w:lang w:val="en-AU"/>
              </w:rPr>
            </w:pPr>
            <w:r>
              <w:rPr>
                <w:rFonts w:ascii="Garamond" w:hAnsi="Garamond"/>
                <w:lang w:val="en-AU"/>
              </w:rPr>
              <w:t xml:space="preserve">In 2017, the Western Australian </w:t>
            </w:r>
            <w:r w:rsidRPr="001D06DF">
              <w:rPr>
                <w:rFonts w:ascii="Garamond" w:hAnsi="Garamond"/>
                <w:lang w:val="en-AU"/>
              </w:rPr>
              <w:t xml:space="preserve">Corruption and Crime Commission </w:t>
            </w:r>
            <w:r>
              <w:rPr>
                <w:rFonts w:ascii="Garamond" w:hAnsi="Garamond"/>
                <w:lang w:val="en-AU"/>
              </w:rPr>
              <w:t xml:space="preserve">published their </w:t>
            </w:r>
            <w:r w:rsidRPr="00F73576">
              <w:rPr>
                <w:rFonts w:ascii="Garamond" w:hAnsi="Garamond"/>
                <w:i/>
                <w:lang w:val="en-AU"/>
              </w:rPr>
              <w:t>Report on the Supply and Management of Schedule 8 Controlled Drugs at Certain Public Hospitals in Western Australia</w:t>
            </w:r>
            <w:r>
              <w:rPr>
                <w:rFonts w:ascii="Garamond" w:hAnsi="Garamond"/>
                <w:lang w:val="en-AU"/>
              </w:rPr>
              <w:t xml:space="preserve">. </w:t>
            </w:r>
            <w:r w:rsidRPr="00F73576">
              <w:rPr>
                <w:rFonts w:ascii="Garamond" w:hAnsi="Garamond"/>
                <w:lang w:val="en-AU"/>
              </w:rPr>
              <w:t>That report described the Commission's investigation of the repeated</w:t>
            </w:r>
            <w:r>
              <w:rPr>
                <w:rFonts w:ascii="Garamond" w:hAnsi="Garamond"/>
                <w:lang w:val="en-AU"/>
              </w:rPr>
              <w:t xml:space="preserve"> </w:t>
            </w:r>
            <w:r w:rsidRPr="00F73576">
              <w:rPr>
                <w:rFonts w:ascii="Garamond" w:hAnsi="Garamond"/>
                <w:lang w:val="en-AU"/>
              </w:rPr>
              <w:t>theft of drugs by a senior pharmacist at Fiona Stanley Hospital (FSH).</w:t>
            </w:r>
            <w:r>
              <w:rPr>
                <w:rFonts w:ascii="Garamond" w:hAnsi="Garamond"/>
                <w:lang w:val="en-AU"/>
              </w:rPr>
              <w:t xml:space="preserve"> </w:t>
            </w:r>
            <w:r w:rsidRPr="00F73576">
              <w:rPr>
                <w:rFonts w:ascii="Garamond" w:hAnsi="Garamond"/>
                <w:lang w:val="en-AU"/>
              </w:rPr>
              <w:t>The Commission considered the security procedures for handling</w:t>
            </w:r>
            <w:r>
              <w:rPr>
                <w:rFonts w:ascii="Garamond" w:hAnsi="Garamond"/>
                <w:lang w:val="en-AU"/>
              </w:rPr>
              <w:t xml:space="preserve"> </w:t>
            </w:r>
            <w:r w:rsidRPr="00F73576">
              <w:rPr>
                <w:rFonts w:ascii="Garamond" w:hAnsi="Garamond"/>
                <w:lang w:val="en-AU"/>
              </w:rPr>
              <w:t>Schedule 8 controlled drugs at FSH and at Sir Charles Gairdner Hospital</w:t>
            </w:r>
            <w:r>
              <w:rPr>
                <w:rFonts w:ascii="Garamond" w:hAnsi="Garamond"/>
                <w:lang w:val="en-AU"/>
              </w:rPr>
              <w:t xml:space="preserve"> </w:t>
            </w:r>
            <w:r w:rsidRPr="00F73576">
              <w:rPr>
                <w:rFonts w:ascii="Garamond" w:hAnsi="Garamond"/>
                <w:lang w:val="en-AU"/>
              </w:rPr>
              <w:t>(SCGH) where the pharmacist had formerly been employed.</w:t>
            </w:r>
          </w:p>
          <w:p w:rsidR="009D7569" w:rsidRDefault="00F73576" w:rsidP="00F73576">
            <w:pPr>
              <w:jc w:val="both"/>
              <w:rPr>
                <w:rFonts w:ascii="Garamond" w:hAnsi="Garamond"/>
                <w:lang w:val="en-AU"/>
              </w:rPr>
            </w:pPr>
            <w:r w:rsidRPr="00F73576">
              <w:rPr>
                <w:rFonts w:ascii="Garamond" w:hAnsi="Garamond"/>
                <w:lang w:val="en-AU"/>
              </w:rPr>
              <w:t xml:space="preserve">This </w:t>
            </w:r>
            <w:r>
              <w:rPr>
                <w:rFonts w:ascii="Garamond" w:hAnsi="Garamond"/>
                <w:lang w:val="en-AU"/>
              </w:rPr>
              <w:t xml:space="preserve">new is </w:t>
            </w:r>
            <w:r w:rsidRPr="00F73576">
              <w:rPr>
                <w:rFonts w:ascii="Garamond" w:hAnsi="Garamond"/>
                <w:lang w:val="en-AU"/>
              </w:rPr>
              <w:t>report is a supplement to th</w:t>
            </w:r>
            <w:r>
              <w:rPr>
                <w:rFonts w:ascii="Garamond" w:hAnsi="Garamond"/>
                <w:lang w:val="en-AU"/>
              </w:rPr>
              <w:t>at</w:t>
            </w:r>
            <w:r w:rsidRPr="00F73576">
              <w:rPr>
                <w:rFonts w:ascii="Garamond" w:hAnsi="Garamond"/>
                <w:lang w:val="en-AU"/>
              </w:rPr>
              <w:t xml:space="preserve"> 2017 report. The</w:t>
            </w:r>
            <w:r>
              <w:rPr>
                <w:rFonts w:ascii="Garamond" w:hAnsi="Garamond"/>
                <w:lang w:val="en-AU"/>
              </w:rPr>
              <w:t xml:space="preserve"> </w:t>
            </w:r>
            <w:r w:rsidRPr="00F73576">
              <w:rPr>
                <w:rFonts w:ascii="Garamond" w:hAnsi="Garamond"/>
                <w:lang w:val="en-AU"/>
              </w:rPr>
              <w:t xml:space="preserve">purpose of this </w:t>
            </w:r>
            <w:r>
              <w:rPr>
                <w:rFonts w:ascii="Garamond" w:hAnsi="Garamond"/>
                <w:lang w:val="en-AU"/>
              </w:rPr>
              <w:t xml:space="preserve">new </w:t>
            </w:r>
            <w:r w:rsidRPr="00F73576">
              <w:rPr>
                <w:rFonts w:ascii="Garamond" w:hAnsi="Garamond"/>
                <w:lang w:val="en-AU"/>
              </w:rPr>
              <w:t>report is to consider more broadly the issue of theft and</w:t>
            </w:r>
            <w:r>
              <w:rPr>
                <w:rFonts w:ascii="Garamond" w:hAnsi="Garamond"/>
                <w:lang w:val="en-AU"/>
              </w:rPr>
              <w:t xml:space="preserve"> </w:t>
            </w:r>
            <w:r w:rsidRPr="00F73576">
              <w:rPr>
                <w:rFonts w:ascii="Garamond" w:hAnsi="Garamond"/>
                <w:lang w:val="en-AU"/>
              </w:rPr>
              <w:t>misuse of dangerous and addictive pharmaceutical drugs by employees</w:t>
            </w:r>
            <w:r>
              <w:rPr>
                <w:rFonts w:ascii="Garamond" w:hAnsi="Garamond"/>
                <w:lang w:val="en-AU"/>
              </w:rPr>
              <w:t xml:space="preserve"> </w:t>
            </w:r>
            <w:r w:rsidRPr="00F73576">
              <w:rPr>
                <w:rFonts w:ascii="Garamond" w:hAnsi="Garamond"/>
                <w:lang w:val="en-AU"/>
              </w:rPr>
              <w:t>of WA Health, and provide advice and recommendations about ways to</w:t>
            </w:r>
            <w:r>
              <w:rPr>
                <w:rFonts w:ascii="Garamond" w:hAnsi="Garamond"/>
                <w:lang w:val="en-AU"/>
              </w:rPr>
              <w:t xml:space="preserve"> </w:t>
            </w:r>
            <w:r w:rsidRPr="00F73576">
              <w:rPr>
                <w:rFonts w:ascii="Garamond" w:hAnsi="Garamond"/>
                <w:lang w:val="en-AU"/>
              </w:rPr>
              <w:t>prevent serious misconduct.</w:t>
            </w:r>
          </w:p>
          <w:p w:rsidR="004C1D03" w:rsidRPr="004C1D03" w:rsidRDefault="004C1D03" w:rsidP="004C1D03">
            <w:pPr>
              <w:jc w:val="both"/>
              <w:rPr>
                <w:rFonts w:ascii="Garamond" w:hAnsi="Garamond"/>
                <w:lang w:val="en-AU"/>
              </w:rPr>
            </w:pPr>
            <w:r w:rsidRPr="004C1D03">
              <w:rPr>
                <w:rFonts w:ascii="Garamond" w:hAnsi="Garamond"/>
                <w:lang w:val="en-AU"/>
              </w:rPr>
              <w:t>The report outlines nine recommendations</w:t>
            </w:r>
            <w:r>
              <w:rPr>
                <w:rFonts w:ascii="Garamond" w:hAnsi="Garamond"/>
                <w:lang w:val="en-AU"/>
              </w:rPr>
              <w:t xml:space="preserve"> for improving </w:t>
            </w:r>
            <w:r w:rsidRPr="004C1D03">
              <w:rPr>
                <w:rFonts w:ascii="Garamond" w:hAnsi="Garamond"/>
                <w:lang w:val="en-AU"/>
              </w:rPr>
              <w:t>the security and management of Schedule 8 and Schedule 4</w:t>
            </w:r>
            <w:r>
              <w:rPr>
                <w:rFonts w:ascii="Garamond" w:hAnsi="Garamond"/>
                <w:lang w:val="en-AU"/>
              </w:rPr>
              <w:t xml:space="preserve"> </w:t>
            </w:r>
            <w:r w:rsidRPr="004C1D03">
              <w:rPr>
                <w:rFonts w:ascii="Garamond" w:hAnsi="Garamond"/>
                <w:lang w:val="en-AU"/>
              </w:rPr>
              <w:t>Restricted drugs</w:t>
            </w:r>
            <w:r>
              <w:rPr>
                <w:rFonts w:ascii="Garamond" w:hAnsi="Garamond"/>
                <w:lang w:val="en-AU"/>
              </w:rPr>
              <w:t>:</w:t>
            </w:r>
          </w:p>
          <w:p w:rsidR="004C1D03" w:rsidRPr="004C1D03" w:rsidRDefault="004C1D03" w:rsidP="00981F47">
            <w:pPr>
              <w:pStyle w:val="ListParagraph"/>
              <w:numPr>
                <w:ilvl w:val="0"/>
                <w:numId w:val="16"/>
              </w:numPr>
              <w:jc w:val="both"/>
              <w:rPr>
                <w:rFonts w:ascii="Garamond" w:hAnsi="Garamond"/>
                <w:lang w:val="en-AU"/>
              </w:rPr>
            </w:pPr>
            <w:r w:rsidRPr="004C1D03">
              <w:rPr>
                <w:rFonts w:ascii="Garamond" w:hAnsi="Garamond"/>
                <w:lang w:val="en-AU"/>
              </w:rPr>
              <w:t>WA Health's ODs and hospital policies be reviewed to ensure that policies for drug management, recording and reporting discrepancies are consistent across WA Health.</w:t>
            </w:r>
          </w:p>
          <w:p w:rsidR="004C1D03" w:rsidRPr="004C1D03" w:rsidRDefault="004C1D03" w:rsidP="00981F47">
            <w:pPr>
              <w:pStyle w:val="ListParagraph"/>
              <w:numPr>
                <w:ilvl w:val="0"/>
                <w:numId w:val="16"/>
              </w:numPr>
              <w:jc w:val="both"/>
              <w:rPr>
                <w:rFonts w:ascii="Garamond" w:hAnsi="Garamond"/>
                <w:lang w:val="en-AU"/>
              </w:rPr>
            </w:pPr>
            <w:r w:rsidRPr="004C1D03">
              <w:rPr>
                <w:rFonts w:ascii="Garamond" w:hAnsi="Garamond"/>
                <w:lang w:val="en-AU"/>
              </w:rPr>
              <w:t xml:space="preserve">Clear accountability roles </w:t>
            </w:r>
            <w:proofErr w:type="gramStart"/>
            <w:r w:rsidRPr="004C1D03">
              <w:rPr>
                <w:rFonts w:ascii="Garamond" w:hAnsi="Garamond"/>
                <w:lang w:val="en-AU"/>
              </w:rPr>
              <w:t>be</w:t>
            </w:r>
            <w:proofErr w:type="gramEnd"/>
            <w:r w:rsidRPr="004C1D03">
              <w:rPr>
                <w:rFonts w:ascii="Garamond" w:hAnsi="Garamond"/>
                <w:lang w:val="en-AU"/>
              </w:rPr>
              <w:t xml:space="preserve"> established for the management of drugs.</w:t>
            </w:r>
          </w:p>
          <w:p w:rsidR="004C1D03" w:rsidRPr="004C1D03" w:rsidRDefault="004C1D03" w:rsidP="00981F47">
            <w:pPr>
              <w:pStyle w:val="ListParagraph"/>
              <w:numPr>
                <w:ilvl w:val="0"/>
                <w:numId w:val="16"/>
              </w:numPr>
              <w:jc w:val="both"/>
              <w:rPr>
                <w:rFonts w:ascii="Garamond" w:hAnsi="Garamond"/>
                <w:lang w:val="en-AU"/>
              </w:rPr>
            </w:pPr>
            <w:r w:rsidRPr="004C1D03">
              <w:rPr>
                <w:rFonts w:ascii="Garamond" w:hAnsi="Garamond"/>
                <w:lang w:val="en-AU"/>
              </w:rPr>
              <w:t xml:space="preserve">Records of drugs received, drug transactions and audits of drugs on hand </w:t>
            </w:r>
            <w:proofErr w:type="gramStart"/>
            <w:r w:rsidRPr="004C1D03">
              <w:rPr>
                <w:rFonts w:ascii="Garamond" w:hAnsi="Garamond"/>
                <w:lang w:val="en-AU"/>
              </w:rPr>
              <w:t>be</w:t>
            </w:r>
            <w:proofErr w:type="gramEnd"/>
            <w:r w:rsidRPr="004C1D03">
              <w:rPr>
                <w:rFonts w:ascii="Garamond" w:hAnsi="Garamond"/>
                <w:lang w:val="en-AU"/>
              </w:rPr>
              <w:t xml:space="preserve"> accurate, frequent, enforced and audited.</w:t>
            </w:r>
          </w:p>
          <w:p w:rsidR="004C1D03" w:rsidRPr="004C1D03" w:rsidRDefault="004C1D03" w:rsidP="00981F47">
            <w:pPr>
              <w:pStyle w:val="ListParagraph"/>
              <w:numPr>
                <w:ilvl w:val="0"/>
                <w:numId w:val="16"/>
              </w:numPr>
              <w:jc w:val="both"/>
              <w:rPr>
                <w:rFonts w:ascii="Garamond" w:hAnsi="Garamond"/>
                <w:lang w:val="en-AU"/>
              </w:rPr>
            </w:pPr>
            <w:r w:rsidRPr="004C1D03">
              <w:rPr>
                <w:rFonts w:ascii="Garamond" w:hAnsi="Garamond"/>
                <w:lang w:val="en-AU"/>
              </w:rPr>
              <w:t>Policies be developed and implemented to improve security for patients' own drugs, including transport and storage of those drugs.</w:t>
            </w:r>
          </w:p>
          <w:p w:rsidR="004C1D03" w:rsidRPr="004C1D03" w:rsidRDefault="004C1D03" w:rsidP="00981F47">
            <w:pPr>
              <w:pStyle w:val="ListParagraph"/>
              <w:numPr>
                <w:ilvl w:val="0"/>
                <w:numId w:val="16"/>
              </w:numPr>
              <w:jc w:val="both"/>
              <w:rPr>
                <w:rFonts w:ascii="Garamond" w:hAnsi="Garamond"/>
                <w:lang w:val="en-AU"/>
              </w:rPr>
            </w:pPr>
            <w:r w:rsidRPr="004C1D03">
              <w:rPr>
                <w:rFonts w:ascii="Garamond" w:hAnsi="Garamond"/>
                <w:lang w:val="en-AU"/>
              </w:rPr>
              <w:t>Drug discrepancies, whether the cause is known or not, be reported immediately (subject to patient needs) and investigated, and when appropriate, be notified to the Commission as soon as possible.</w:t>
            </w:r>
          </w:p>
          <w:p w:rsidR="004C1D03" w:rsidRPr="004C1D03" w:rsidRDefault="004C1D03" w:rsidP="00981F47">
            <w:pPr>
              <w:pStyle w:val="ListParagraph"/>
              <w:numPr>
                <w:ilvl w:val="0"/>
                <w:numId w:val="16"/>
              </w:numPr>
              <w:jc w:val="both"/>
              <w:rPr>
                <w:rFonts w:ascii="Garamond" w:hAnsi="Garamond"/>
                <w:lang w:val="en-AU"/>
              </w:rPr>
            </w:pPr>
            <w:r w:rsidRPr="004C1D03">
              <w:rPr>
                <w:rFonts w:ascii="Garamond" w:hAnsi="Garamond"/>
                <w:lang w:val="en-AU"/>
              </w:rPr>
              <w:t>Drug discrepancies which may be the result of theft be investigated by officers with investigative skills as possible serious misconduct.</w:t>
            </w:r>
          </w:p>
          <w:p w:rsidR="004C1D03" w:rsidRPr="004C1D03" w:rsidRDefault="004C1D03" w:rsidP="00981F47">
            <w:pPr>
              <w:pStyle w:val="ListParagraph"/>
              <w:numPr>
                <w:ilvl w:val="0"/>
                <w:numId w:val="16"/>
              </w:numPr>
              <w:jc w:val="both"/>
              <w:rPr>
                <w:rFonts w:ascii="Garamond" w:hAnsi="Garamond"/>
                <w:lang w:val="en-AU"/>
              </w:rPr>
            </w:pPr>
            <w:r w:rsidRPr="004C1D03">
              <w:rPr>
                <w:rFonts w:ascii="Garamond" w:hAnsi="Garamond"/>
                <w:lang w:val="en-AU"/>
              </w:rPr>
              <w:t>Ongoing education and training be given to relevant staff in drug management, record keeping, reporting discrepancies and investigating discrepancies.</w:t>
            </w:r>
          </w:p>
          <w:p w:rsidR="004C1D03" w:rsidRPr="004C1D03" w:rsidRDefault="004C1D03" w:rsidP="00981F47">
            <w:pPr>
              <w:pStyle w:val="ListParagraph"/>
              <w:numPr>
                <w:ilvl w:val="0"/>
                <w:numId w:val="16"/>
              </w:numPr>
              <w:jc w:val="both"/>
              <w:rPr>
                <w:rFonts w:ascii="Garamond" w:hAnsi="Garamond"/>
                <w:lang w:val="en-AU"/>
              </w:rPr>
            </w:pPr>
            <w:r w:rsidRPr="004C1D03">
              <w:rPr>
                <w:rFonts w:ascii="Garamond" w:hAnsi="Garamond"/>
                <w:lang w:val="en-AU"/>
              </w:rPr>
              <w:t xml:space="preserve">Consideration </w:t>
            </w:r>
            <w:proofErr w:type="gramStart"/>
            <w:r w:rsidRPr="004C1D03">
              <w:rPr>
                <w:rFonts w:ascii="Garamond" w:hAnsi="Garamond"/>
                <w:lang w:val="en-AU"/>
              </w:rPr>
              <w:t>be</w:t>
            </w:r>
            <w:proofErr w:type="gramEnd"/>
            <w:r w:rsidRPr="004C1D03">
              <w:rPr>
                <w:rFonts w:ascii="Garamond" w:hAnsi="Garamond"/>
                <w:lang w:val="en-AU"/>
              </w:rPr>
              <w:t xml:space="preserve"> given to implementing systems which could improve security and better recording of access to drugs. This could include swipe key access, biometric identification or, where feasible, systems where identifications of two people are required to authorise drug transactions.</w:t>
            </w:r>
          </w:p>
          <w:p w:rsidR="00F73576" w:rsidRPr="004C1D03" w:rsidRDefault="004C1D03" w:rsidP="00981F47">
            <w:pPr>
              <w:pStyle w:val="ListParagraph"/>
              <w:numPr>
                <w:ilvl w:val="0"/>
                <w:numId w:val="16"/>
              </w:numPr>
              <w:jc w:val="both"/>
              <w:rPr>
                <w:rFonts w:ascii="Garamond" w:hAnsi="Garamond"/>
                <w:lang w:val="en-AU"/>
              </w:rPr>
            </w:pPr>
            <w:r w:rsidRPr="004C1D03">
              <w:rPr>
                <w:rFonts w:ascii="Garamond" w:hAnsi="Garamond"/>
                <w:lang w:val="en-AU"/>
              </w:rPr>
              <w:t>Strategies be developed and implemented for detecting and dealing with drug related misconduct. These could include intelligence analysis of discrepancies and reported behaviour to detect patterns, and risk assessments of WA Health sites which deal with Schedule 8 and Schedule 4 Restricted drugs.</w:t>
            </w:r>
          </w:p>
        </w:tc>
      </w:tr>
    </w:tbl>
    <w:p w:rsidR="007D0CA2" w:rsidRDefault="007D0CA2" w:rsidP="007D0CA2">
      <w:pPr>
        <w:keepNext/>
        <w:keepLines/>
        <w:autoSpaceDE w:val="0"/>
        <w:autoSpaceDN w:val="0"/>
        <w:adjustRightInd w:val="0"/>
        <w:rPr>
          <w:rFonts w:ascii="Garamond" w:hAnsi="Garamond"/>
          <w:lang w:val="en-AU"/>
        </w:rPr>
      </w:pPr>
    </w:p>
    <w:p w:rsidR="00FB6960" w:rsidRDefault="00FB6960" w:rsidP="00FB6960">
      <w:pPr>
        <w:keepNext/>
        <w:keepLines/>
        <w:autoSpaceDE w:val="0"/>
        <w:autoSpaceDN w:val="0"/>
        <w:adjustRightInd w:val="0"/>
        <w:rPr>
          <w:rFonts w:ascii="Garamond" w:hAnsi="Garamond"/>
          <w:lang w:val="en-AU"/>
        </w:rPr>
      </w:pPr>
      <w:r>
        <w:rPr>
          <w:rFonts w:ascii="Garamond" w:hAnsi="Garamond"/>
          <w:lang w:val="en-AU"/>
        </w:rPr>
        <w:t xml:space="preserve">For information on the Commission’s work on medication safety, see </w:t>
      </w:r>
      <w:hyperlink r:id="rId20" w:history="1">
        <w:r w:rsidRPr="006C5F06">
          <w:rPr>
            <w:rStyle w:val="Hyperlink"/>
            <w:rFonts w:ascii="Garamond" w:hAnsi="Garamond"/>
            <w:lang w:val="en-AU"/>
          </w:rPr>
          <w:t>https://www.safetyandquality.gov.au/our-work/medication-safety/</w:t>
        </w:r>
      </w:hyperlink>
    </w:p>
    <w:p w:rsidR="00FB6960" w:rsidRDefault="00FB6960">
      <w:pPr>
        <w:rPr>
          <w:rFonts w:ascii="Garamond" w:hAnsi="Garamond"/>
          <w:i/>
          <w:lang w:val="en-AU"/>
        </w:rPr>
      </w:pPr>
      <w:r>
        <w:rPr>
          <w:rFonts w:ascii="Garamond" w:hAnsi="Garamond"/>
          <w:i/>
          <w:lang w:val="en-AU"/>
        </w:rPr>
        <w:br w:type="page"/>
      </w:r>
    </w:p>
    <w:p w:rsidR="006674C9" w:rsidRPr="006F05BD" w:rsidRDefault="006F05BD" w:rsidP="006F05BD">
      <w:pPr>
        <w:keepNext/>
        <w:keepLines/>
        <w:autoSpaceDE w:val="0"/>
        <w:autoSpaceDN w:val="0"/>
        <w:adjustRightInd w:val="0"/>
        <w:rPr>
          <w:rFonts w:ascii="Garamond" w:hAnsi="Garamond"/>
          <w:i/>
          <w:lang w:val="en-AU"/>
        </w:rPr>
      </w:pPr>
      <w:r w:rsidRPr="006F05BD">
        <w:rPr>
          <w:rFonts w:ascii="Garamond" w:hAnsi="Garamond"/>
          <w:i/>
          <w:lang w:val="en-AU"/>
        </w:rPr>
        <w:lastRenderedPageBreak/>
        <w:t xml:space="preserve">AHRQ National Scorecard on Hospital-Acquired Conditions Updated Baseline Rates and </w:t>
      </w:r>
      <w:bookmarkStart w:id="1" w:name="_GoBack"/>
      <w:bookmarkEnd w:id="1"/>
      <w:r w:rsidRPr="006F05BD">
        <w:rPr>
          <w:rFonts w:ascii="Garamond" w:hAnsi="Garamond"/>
          <w:i/>
          <w:lang w:val="en-AU"/>
        </w:rPr>
        <w:t>Preliminary Results 2014–2016</w:t>
      </w:r>
    </w:p>
    <w:p w:rsidR="006F05BD" w:rsidRDefault="006F05BD" w:rsidP="006F05BD">
      <w:pPr>
        <w:keepNext/>
        <w:keepLines/>
        <w:autoSpaceDE w:val="0"/>
        <w:autoSpaceDN w:val="0"/>
        <w:adjustRightInd w:val="0"/>
        <w:rPr>
          <w:rFonts w:ascii="Garamond" w:hAnsi="Garamond"/>
          <w:lang w:val="en-AU"/>
        </w:rPr>
      </w:pPr>
      <w:r w:rsidRPr="006F05BD">
        <w:rPr>
          <w:rFonts w:ascii="Garamond" w:hAnsi="Garamond"/>
          <w:lang w:val="en-AU"/>
        </w:rPr>
        <w:t>Agency for Healthcare Research and Quality</w:t>
      </w:r>
    </w:p>
    <w:p w:rsidR="006F05BD" w:rsidRPr="00E566B0" w:rsidRDefault="006F05BD" w:rsidP="006F05BD">
      <w:pPr>
        <w:keepNext/>
        <w:keepLines/>
        <w:autoSpaceDE w:val="0"/>
        <w:autoSpaceDN w:val="0"/>
        <w:adjustRightInd w:val="0"/>
        <w:rPr>
          <w:rFonts w:ascii="Garamond" w:hAnsi="Garamond"/>
          <w:lang w:val="en-AU"/>
        </w:rPr>
      </w:pPr>
      <w:r w:rsidRPr="006F05BD">
        <w:rPr>
          <w:rFonts w:ascii="Garamond" w:hAnsi="Garamond"/>
          <w:lang w:val="en-AU"/>
        </w:rPr>
        <w:t xml:space="preserve">Rockville, MD: Agency for Healthcare Research and Quality; 2018. </w:t>
      </w:r>
      <w:proofErr w:type="gramStart"/>
      <w:r w:rsidRPr="006F05BD">
        <w:rPr>
          <w:rFonts w:ascii="Garamond" w:hAnsi="Garamond"/>
          <w:lang w:val="en-AU"/>
        </w:rPr>
        <w:t>p. 22.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D0CA2" w:rsidRPr="000170DA" w:rsidTr="00A774CB">
        <w:tc>
          <w:tcPr>
            <w:tcW w:w="1080" w:type="dxa"/>
            <w:tcBorders>
              <w:top w:val="single" w:sz="4" w:space="0" w:color="auto"/>
              <w:left w:val="single" w:sz="4" w:space="0" w:color="auto"/>
              <w:bottom w:val="single" w:sz="4" w:space="0" w:color="auto"/>
              <w:right w:val="single" w:sz="4" w:space="0" w:color="auto"/>
            </w:tcBorders>
            <w:vAlign w:val="center"/>
          </w:tcPr>
          <w:p w:rsidR="007D0CA2" w:rsidRPr="000170DA" w:rsidRDefault="00FA74DA" w:rsidP="00A774C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D0CA2" w:rsidRPr="000170DA" w:rsidRDefault="007D7CED" w:rsidP="00A774CB">
            <w:pPr>
              <w:rPr>
                <w:rStyle w:val="Hyperlink"/>
                <w:rFonts w:ascii="Garamond" w:hAnsi="Garamond"/>
                <w:color w:val="auto"/>
                <w:u w:val="none"/>
                <w:lang w:val="en-AU"/>
              </w:rPr>
            </w:pPr>
            <w:hyperlink r:id="rId21" w:history="1">
              <w:r w:rsidR="000024A3" w:rsidRPr="00EA3230">
                <w:rPr>
                  <w:rStyle w:val="Hyperlink"/>
                  <w:rFonts w:ascii="Garamond" w:hAnsi="Garamond"/>
                  <w:lang w:val="en-AU"/>
                </w:rPr>
                <w:t>http://www.ahrq.gov/news/newsroom/press-releases/declines-in-hacs.html</w:t>
              </w:r>
            </w:hyperlink>
          </w:p>
        </w:tc>
      </w:tr>
      <w:tr w:rsidR="007D0CA2" w:rsidRPr="000170DA" w:rsidTr="00A774CB">
        <w:tc>
          <w:tcPr>
            <w:tcW w:w="1080" w:type="dxa"/>
            <w:tcBorders>
              <w:top w:val="single" w:sz="4" w:space="0" w:color="auto"/>
              <w:left w:val="single" w:sz="4" w:space="0" w:color="auto"/>
              <w:bottom w:val="single" w:sz="4" w:space="0" w:color="auto"/>
              <w:right w:val="single" w:sz="4" w:space="0" w:color="auto"/>
            </w:tcBorders>
            <w:vAlign w:val="center"/>
          </w:tcPr>
          <w:p w:rsidR="007D0CA2" w:rsidRPr="000170DA" w:rsidRDefault="007D0CA2" w:rsidP="00A774C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D0CA2" w:rsidRDefault="008130C3" w:rsidP="008130C3">
            <w:pPr>
              <w:rPr>
                <w:rFonts w:ascii="Garamond" w:hAnsi="Garamond"/>
                <w:lang w:val="en-AU"/>
              </w:rPr>
            </w:pPr>
            <w:r>
              <w:rPr>
                <w:rFonts w:ascii="Garamond" w:hAnsi="Garamond"/>
                <w:lang w:val="en-AU"/>
              </w:rPr>
              <w:t xml:space="preserve">In the USA, the </w:t>
            </w:r>
            <w:r w:rsidRPr="008130C3">
              <w:rPr>
                <w:rFonts w:ascii="Garamond" w:hAnsi="Garamond"/>
                <w:lang w:val="en-AU"/>
              </w:rPr>
              <w:t>Agency for Healthcare Research and Quality (AHRQ)</w:t>
            </w:r>
            <w:r>
              <w:rPr>
                <w:rFonts w:ascii="Garamond" w:hAnsi="Garamond"/>
                <w:lang w:val="en-AU"/>
              </w:rPr>
              <w:t xml:space="preserve"> has had a major focus on r</w:t>
            </w:r>
            <w:r w:rsidRPr="008130C3">
              <w:rPr>
                <w:rFonts w:ascii="Garamond" w:hAnsi="Garamond"/>
                <w:lang w:val="en-AU"/>
              </w:rPr>
              <w:t xml:space="preserve">educing </w:t>
            </w:r>
            <w:r w:rsidRPr="006F05BD">
              <w:rPr>
                <w:rFonts w:ascii="Garamond" w:hAnsi="Garamond"/>
                <w:b/>
                <w:lang w:val="en-AU"/>
              </w:rPr>
              <w:t>hospital-acquired conditions</w:t>
            </w:r>
            <w:r w:rsidRPr="008130C3">
              <w:rPr>
                <w:rFonts w:ascii="Garamond" w:hAnsi="Garamond"/>
                <w:lang w:val="en-AU"/>
              </w:rPr>
              <w:t xml:space="preserve"> (HACs)</w:t>
            </w:r>
            <w:r>
              <w:rPr>
                <w:rFonts w:ascii="Garamond" w:hAnsi="Garamond"/>
                <w:lang w:val="en-AU"/>
              </w:rPr>
              <w:t xml:space="preserve">. This </w:t>
            </w:r>
            <w:r w:rsidR="006F05BD">
              <w:rPr>
                <w:rFonts w:ascii="Garamond" w:hAnsi="Garamond"/>
                <w:lang w:val="en-AU"/>
              </w:rPr>
              <w:t xml:space="preserve">brief </w:t>
            </w:r>
            <w:r>
              <w:rPr>
                <w:rFonts w:ascii="Garamond" w:hAnsi="Garamond"/>
                <w:lang w:val="en-AU"/>
              </w:rPr>
              <w:t xml:space="preserve">report suggests that </w:t>
            </w:r>
            <w:r w:rsidRPr="006F05BD">
              <w:rPr>
                <w:rFonts w:ascii="Garamond" w:hAnsi="Garamond"/>
                <w:b/>
                <w:lang w:val="en-AU"/>
              </w:rPr>
              <w:t>between 2014 and 2016</w:t>
            </w:r>
            <w:r w:rsidRPr="008130C3">
              <w:rPr>
                <w:rFonts w:ascii="Garamond" w:hAnsi="Garamond"/>
                <w:lang w:val="en-AU"/>
              </w:rPr>
              <w:t xml:space="preserve">, HAC reduction efforts resulted in an </w:t>
            </w:r>
            <w:r w:rsidRPr="006F05BD">
              <w:rPr>
                <w:rFonts w:ascii="Garamond" w:hAnsi="Garamond"/>
                <w:b/>
                <w:lang w:val="en-AU"/>
              </w:rPr>
              <w:t>8% decrease in events</w:t>
            </w:r>
            <w:r w:rsidRPr="008130C3">
              <w:rPr>
                <w:rFonts w:ascii="Garamond" w:hAnsi="Garamond"/>
                <w:lang w:val="en-AU"/>
              </w:rPr>
              <w:t xml:space="preserve">, </w:t>
            </w:r>
            <w:r w:rsidRPr="006F05BD">
              <w:rPr>
                <w:rFonts w:ascii="Garamond" w:hAnsi="Garamond"/>
                <w:b/>
                <w:lang w:val="en-AU"/>
              </w:rPr>
              <w:t>$2.9 billion dollars in savings</w:t>
            </w:r>
            <w:r w:rsidRPr="008130C3">
              <w:rPr>
                <w:rFonts w:ascii="Garamond" w:hAnsi="Garamond"/>
                <w:lang w:val="en-AU"/>
              </w:rPr>
              <w:t xml:space="preserve">, and the </w:t>
            </w:r>
            <w:r w:rsidRPr="006F05BD">
              <w:rPr>
                <w:rFonts w:ascii="Garamond" w:hAnsi="Garamond"/>
                <w:b/>
                <w:lang w:val="en-AU"/>
              </w:rPr>
              <w:t>prevention of about 8,000 deaths</w:t>
            </w:r>
            <w:r w:rsidRPr="008130C3">
              <w:rPr>
                <w:rFonts w:ascii="Garamond" w:hAnsi="Garamond"/>
                <w:lang w:val="en-AU"/>
              </w:rPr>
              <w:t>.</w:t>
            </w:r>
          </w:p>
          <w:p w:rsidR="006F05BD" w:rsidRPr="000365E9" w:rsidRDefault="006F05BD" w:rsidP="008130C3">
            <w:pPr>
              <w:rPr>
                <w:rFonts w:ascii="Garamond" w:hAnsi="Garamond"/>
                <w:lang w:val="en-AU"/>
              </w:rPr>
            </w:pPr>
            <w:r>
              <w:rPr>
                <w:rFonts w:ascii="Garamond" w:hAnsi="Garamond"/>
                <w:noProof/>
                <w:lang w:val="en-AU" w:eastAsia="en-AU"/>
              </w:rPr>
              <w:drawing>
                <wp:inline distT="0" distB="0" distL="0" distR="0">
                  <wp:extent cx="5125085" cy="3014345"/>
                  <wp:effectExtent l="0" t="0" r="0" b="0"/>
                  <wp:docPr id="2" name="Picture 2" descr="\\central.health\dfsuserenv\Users\User_07\JOHNNI\Downloads\hac-rates-decline.jpg" title="Changes in Hospital Acquired Conditions in the USA 2014 to 201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ownloads\hac-rates-declin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25085" cy="3014345"/>
                          </a:xfrm>
                          <a:prstGeom prst="rect">
                            <a:avLst/>
                          </a:prstGeom>
                          <a:noFill/>
                          <a:ln>
                            <a:noFill/>
                          </a:ln>
                        </pic:spPr>
                      </pic:pic>
                    </a:graphicData>
                  </a:graphic>
                </wp:inline>
              </w:drawing>
            </w:r>
          </w:p>
        </w:tc>
      </w:tr>
    </w:tbl>
    <w:p w:rsidR="007D0CA2" w:rsidRDefault="007D0CA2" w:rsidP="007D0CA2">
      <w:pPr>
        <w:keepLines/>
        <w:autoSpaceDE w:val="0"/>
        <w:autoSpaceDN w:val="0"/>
        <w:adjustRightInd w:val="0"/>
        <w:rPr>
          <w:rFonts w:ascii="Garamond" w:hAnsi="Garamond"/>
          <w:lang w:val="en-AU"/>
        </w:rPr>
      </w:pPr>
    </w:p>
    <w:p w:rsidR="009066FA" w:rsidRDefault="008130C3" w:rsidP="009066FA">
      <w:pPr>
        <w:keepLines/>
        <w:autoSpaceDE w:val="0"/>
        <w:autoSpaceDN w:val="0"/>
        <w:adjustRightInd w:val="0"/>
        <w:rPr>
          <w:rFonts w:ascii="Garamond" w:hAnsi="Garamond"/>
          <w:lang w:val="en-AU"/>
        </w:rPr>
      </w:pPr>
      <w:r>
        <w:rPr>
          <w:rFonts w:ascii="Garamond" w:hAnsi="Garamond"/>
          <w:lang w:val="en-AU"/>
        </w:rPr>
        <w:t xml:space="preserve">For information on the Commission’s work on </w:t>
      </w:r>
      <w:r w:rsidRPr="008130C3">
        <w:rPr>
          <w:rFonts w:ascii="Garamond" w:hAnsi="Garamond"/>
          <w:lang w:val="en-AU"/>
        </w:rPr>
        <w:t>hospital</w:t>
      </w:r>
      <w:r>
        <w:rPr>
          <w:rFonts w:ascii="Garamond" w:hAnsi="Garamond"/>
          <w:lang w:val="en-AU"/>
        </w:rPr>
        <w:t xml:space="preserve"> </w:t>
      </w:r>
      <w:r w:rsidRPr="008130C3">
        <w:rPr>
          <w:rFonts w:ascii="Garamond" w:hAnsi="Garamond"/>
          <w:lang w:val="en-AU"/>
        </w:rPr>
        <w:t xml:space="preserve">acquired </w:t>
      </w:r>
      <w:r>
        <w:rPr>
          <w:rFonts w:ascii="Garamond" w:hAnsi="Garamond"/>
          <w:lang w:val="en-AU"/>
        </w:rPr>
        <w:t xml:space="preserve">complications, including </w:t>
      </w:r>
      <w:r w:rsidRPr="008130C3">
        <w:rPr>
          <w:rFonts w:ascii="Garamond" w:hAnsi="Garamond"/>
          <w:lang w:val="en-AU"/>
        </w:rPr>
        <w:t>national list of 16 hospital acquired complications (HACs)</w:t>
      </w:r>
      <w:r>
        <w:rPr>
          <w:rFonts w:ascii="Garamond" w:hAnsi="Garamond"/>
          <w:lang w:val="en-AU"/>
        </w:rPr>
        <w:t xml:space="preserve"> and other resources,</w:t>
      </w:r>
      <w:r w:rsidRPr="008130C3">
        <w:rPr>
          <w:rFonts w:ascii="Garamond" w:hAnsi="Garamond"/>
          <w:lang w:val="en-AU"/>
        </w:rPr>
        <w:t xml:space="preserve"> </w:t>
      </w:r>
      <w:r>
        <w:rPr>
          <w:rFonts w:ascii="Garamond" w:hAnsi="Garamond"/>
          <w:lang w:val="en-AU"/>
        </w:rPr>
        <w:t>see</w:t>
      </w:r>
      <w:r w:rsidRPr="008130C3">
        <w:t xml:space="preserve"> </w:t>
      </w:r>
      <w:hyperlink r:id="rId23" w:history="1">
        <w:r w:rsidRPr="00EA3230">
          <w:rPr>
            <w:rStyle w:val="Hyperlink"/>
            <w:rFonts w:ascii="Garamond" w:hAnsi="Garamond"/>
            <w:lang w:val="en-AU"/>
          </w:rPr>
          <w:t>https://www.safetyandquality.gov.au/our-work/indicators/hospital-acquired-complications/</w:t>
        </w:r>
      </w:hyperlink>
    </w:p>
    <w:p w:rsidR="009066FA" w:rsidRDefault="009066FA">
      <w:pPr>
        <w:rPr>
          <w:rFonts w:ascii="Garamond" w:hAnsi="Garamond"/>
          <w:b/>
          <w:lang w:val="en-AU"/>
        </w:rPr>
      </w:pPr>
    </w:p>
    <w:p w:rsidR="00282D29" w:rsidRDefault="00282D29">
      <w:pPr>
        <w:rPr>
          <w:rFonts w:ascii="Garamond" w:hAnsi="Garamond"/>
          <w:b/>
          <w:lang w:val="en-AU"/>
        </w:rPr>
      </w:pPr>
      <w:r>
        <w:rPr>
          <w:rFonts w:ascii="Garamond" w:hAnsi="Garamond"/>
          <w:b/>
          <w:lang w:val="en-AU"/>
        </w:rPr>
        <w:t>Journal articles</w:t>
      </w:r>
    </w:p>
    <w:p w:rsidR="006674C9" w:rsidRDefault="006674C9" w:rsidP="003C25F7">
      <w:pPr>
        <w:keepNext/>
        <w:keepLines/>
        <w:tabs>
          <w:tab w:val="left" w:pos="2044"/>
        </w:tabs>
        <w:autoSpaceDE w:val="0"/>
        <w:autoSpaceDN w:val="0"/>
        <w:adjustRightInd w:val="0"/>
        <w:rPr>
          <w:rFonts w:ascii="Garamond" w:hAnsi="Garamond"/>
          <w:lang w:val="en-AU"/>
        </w:rPr>
      </w:pPr>
    </w:p>
    <w:p w:rsidR="00FB6960" w:rsidRPr="00AF14AD" w:rsidRDefault="00FB6960" w:rsidP="00FB6960">
      <w:pPr>
        <w:keepNext/>
        <w:keepLines/>
        <w:tabs>
          <w:tab w:val="left" w:pos="2044"/>
        </w:tabs>
        <w:autoSpaceDE w:val="0"/>
        <w:autoSpaceDN w:val="0"/>
        <w:adjustRightInd w:val="0"/>
        <w:rPr>
          <w:rFonts w:ascii="Garamond" w:hAnsi="Garamond"/>
          <w:i/>
          <w:lang w:val="en-AU"/>
        </w:rPr>
      </w:pPr>
      <w:r w:rsidRPr="00AF14AD">
        <w:rPr>
          <w:rFonts w:ascii="Garamond" w:hAnsi="Garamond"/>
          <w:i/>
          <w:lang w:val="en-AU"/>
        </w:rPr>
        <w:t>Leveraging new information technology to monitor medicine use in 71 residential aged care facilities: variation in polypharmacy and antipsychotic use</w:t>
      </w:r>
    </w:p>
    <w:p w:rsidR="00FB6960" w:rsidRDefault="00FB6960" w:rsidP="00FB6960">
      <w:pPr>
        <w:keepNext/>
        <w:keepLines/>
        <w:tabs>
          <w:tab w:val="left" w:pos="2044"/>
        </w:tabs>
        <w:autoSpaceDE w:val="0"/>
        <w:autoSpaceDN w:val="0"/>
        <w:adjustRightInd w:val="0"/>
        <w:rPr>
          <w:rFonts w:ascii="Garamond" w:hAnsi="Garamond"/>
          <w:lang w:val="en-AU"/>
        </w:rPr>
      </w:pPr>
      <w:r w:rsidRPr="00AF14AD">
        <w:rPr>
          <w:rFonts w:ascii="Garamond" w:hAnsi="Garamond"/>
          <w:lang w:val="en-AU"/>
        </w:rPr>
        <w:t>Pont LG, Raban MZ, Jorgensen ML, Georgiou A, Westbrook JI</w:t>
      </w:r>
    </w:p>
    <w:p w:rsidR="00FB6960" w:rsidRPr="007F6979" w:rsidRDefault="00FB6960" w:rsidP="00FB6960">
      <w:pPr>
        <w:keepNext/>
        <w:keepLines/>
        <w:tabs>
          <w:tab w:val="left" w:pos="2044"/>
        </w:tabs>
        <w:autoSpaceDE w:val="0"/>
        <w:autoSpaceDN w:val="0"/>
        <w:adjustRightInd w:val="0"/>
        <w:rPr>
          <w:rFonts w:ascii="Garamond" w:hAnsi="Garamond"/>
          <w:lang w:val="en-AU"/>
        </w:rPr>
      </w:pPr>
      <w:proofErr w:type="gramStart"/>
      <w:r w:rsidRPr="00AF14AD">
        <w:rPr>
          <w:rFonts w:ascii="Garamond" w:hAnsi="Garamond"/>
          <w:lang w:val="en-AU"/>
        </w:rPr>
        <w:t>International Journal for Quality in Health Care.</w:t>
      </w:r>
      <w:proofErr w:type="gramEnd"/>
      <w:r w:rsidRPr="00AF14AD">
        <w:rPr>
          <w:rFonts w:ascii="Garamond" w:hAnsi="Garamond"/>
          <w:lang w:val="en-AU"/>
        </w:rPr>
        <w:t xml:space="preserve"> </w:t>
      </w:r>
      <w:proofErr w:type="gramStart"/>
      <w:r w:rsidRPr="00AF14AD">
        <w:rPr>
          <w:rFonts w:ascii="Garamond" w:hAnsi="Garamond"/>
          <w:lang w:val="en-AU"/>
        </w:rPr>
        <w:t>2018</w:t>
      </w:r>
      <w:r>
        <w:rPr>
          <w:rFonts w:ascii="Garamond" w:hAnsi="Garamond"/>
          <w:lang w:val="en-AU"/>
        </w:rPr>
        <w:t xml:space="preserve"> [epub]</w:t>
      </w:r>
      <w:r w:rsidRPr="00AF14AD">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B6960" w:rsidRPr="000170DA" w:rsidTr="00CB761E">
        <w:tc>
          <w:tcPr>
            <w:tcW w:w="1080" w:type="dxa"/>
            <w:tcBorders>
              <w:top w:val="single" w:sz="4" w:space="0" w:color="auto"/>
              <w:left w:val="single" w:sz="4" w:space="0" w:color="auto"/>
              <w:bottom w:val="single" w:sz="4" w:space="0" w:color="auto"/>
              <w:right w:val="single" w:sz="4" w:space="0" w:color="auto"/>
            </w:tcBorders>
            <w:vAlign w:val="center"/>
          </w:tcPr>
          <w:p w:rsidR="00FB6960" w:rsidRPr="000170DA" w:rsidRDefault="00FB6960" w:rsidP="00CB761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B6960" w:rsidRPr="000170DA" w:rsidRDefault="007D7CED" w:rsidP="00CB761E">
            <w:pPr>
              <w:rPr>
                <w:rStyle w:val="Hyperlink"/>
                <w:rFonts w:ascii="Garamond" w:hAnsi="Garamond"/>
                <w:color w:val="auto"/>
                <w:u w:val="none"/>
                <w:lang w:val="en-AU"/>
              </w:rPr>
            </w:pPr>
            <w:hyperlink r:id="rId24" w:history="1">
              <w:r w:rsidR="00FB6960" w:rsidRPr="00665C0B">
                <w:rPr>
                  <w:rStyle w:val="Hyperlink"/>
                  <w:rFonts w:ascii="Garamond" w:hAnsi="Garamond"/>
                  <w:lang w:val="en-AU"/>
                </w:rPr>
                <w:t>https://doi.org/10.1093/intqhc/mzy098</w:t>
              </w:r>
            </w:hyperlink>
          </w:p>
        </w:tc>
      </w:tr>
      <w:tr w:rsidR="00FB6960" w:rsidRPr="000170DA" w:rsidTr="00CB761E">
        <w:tc>
          <w:tcPr>
            <w:tcW w:w="1080" w:type="dxa"/>
            <w:tcBorders>
              <w:top w:val="single" w:sz="4" w:space="0" w:color="auto"/>
              <w:left w:val="single" w:sz="4" w:space="0" w:color="auto"/>
              <w:bottom w:val="single" w:sz="4" w:space="0" w:color="auto"/>
              <w:right w:val="single" w:sz="4" w:space="0" w:color="auto"/>
            </w:tcBorders>
            <w:vAlign w:val="center"/>
          </w:tcPr>
          <w:p w:rsidR="00FB6960" w:rsidRPr="000170DA" w:rsidRDefault="00FB6960" w:rsidP="00CB761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B6960" w:rsidRDefault="00FB6960" w:rsidP="00CB761E">
            <w:pPr>
              <w:rPr>
                <w:rFonts w:ascii="Garamond" w:hAnsi="Garamond"/>
                <w:lang w:val="en-AU"/>
              </w:rPr>
            </w:pPr>
            <w:r>
              <w:rPr>
                <w:rFonts w:ascii="Garamond" w:hAnsi="Garamond"/>
                <w:lang w:val="en-AU"/>
              </w:rPr>
              <w:t xml:space="preserve">This paper examining the issues of multiple medications and antipsychotic (mis)use in </w:t>
            </w:r>
            <w:r w:rsidR="00D94494">
              <w:rPr>
                <w:rFonts w:ascii="Garamond" w:hAnsi="Garamond"/>
                <w:lang w:val="en-AU"/>
              </w:rPr>
              <w:t>residential</w:t>
            </w:r>
            <w:r>
              <w:rPr>
                <w:rFonts w:ascii="Garamond" w:hAnsi="Garamond"/>
                <w:lang w:val="en-AU"/>
              </w:rPr>
              <w:t xml:space="preserve"> aged care also demonstrates some of the potential of electronic systems for safety and quality use. The study used the e</w:t>
            </w:r>
            <w:r w:rsidRPr="008B3D80">
              <w:rPr>
                <w:rFonts w:ascii="Garamond" w:hAnsi="Garamond"/>
                <w:lang w:val="en-AU"/>
              </w:rPr>
              <w:t xml:space="preserve">lectronic medicines administration (eMAR) data </w:t>
            </w:r>
            <w:r>
              <w:rPr>
                <w:rFonts w:ascii="Garamond" w:hAnsi="Garamond"/>
                <w:lang w:val="en-AU"/>
              </w:rPr>
              <w:t xml:space="preserve">recorded </w:t>
            </w:r>
            <w:r w:rsidRPr="008B3D80">
              <w:rPr>
                <w:rFonts w:ascii="Garamond" w:hAnsi="Garamond"/>
                <w:lang w:val="en-AU"/>
              </w:rPr>
              <w:t xml:space="preserve">in residential aged care </w:t>
            </w:r>
            <w:r>
              <w:rPr>
                <w:rFonts w:ascii="Garamond" w:hAnsi="Garamond"/>
                <w:lang w:val="en-AU"/>
              </w:rPr>
              <w:t xml:space="preserve">facilities </w:t>
            </w:r>
            <w:r w:rsidRPr="008B3D80">
              <w:rPr>
                <w:rFonts w:ascii="Garamond" w:hAnsi="Garamond"/>
                <w:lang w:val="en-AU"/>
              </w:rPr>
              <w:t>to investigate the quality use of medicines.</w:t>
            </w:r>
            <w:r>
              <w:rPr>
                <w:rFonts w:ascii="Garamond" w:hAnsi="Garamond"/>
                <w:lang w:val="en-AU"/>
              </w:rPr>
              <w:t xml:space="preserve"> Using the </w:t>
            </w:r>
            <w:r w:rsidR="00D94494">
              <w:rPr>
                <w:rFonts w:ascii="Garamond" w:hAnsi="Garamond"/>
                <w:lang w:val="en-AU"/>
              </w:rPr>
              <w:t>eMAR</w:t>
            </w:r>
            <w:r>
              <w:rPr>
                <w:rFonts w:ascii="Garamond" w:hAnsi="Garamond"/>
                <w:lang w:val="en-AU"/>
              </w:rPr>
              <w:t xml:space="preserve"> data covering 4,775 long-term residents in 71 facilities in NSW and the ACT the study examined </w:t>
            </w:r>
            <w:r w:rsidRPr="008B3D80">
              <w:rPr>
                <w:rFonts w:ascii="Garamond" w:hAnsi="Garamond"/>
                <w:lang w:val="en-AU"/>
              </w:rPr>
              <w:t>polypharmacy (≥5 medications), hyper-polypharmacy (≥10 medications) and antipsychotic use</w:t>
            </w:r>
            <w:r>
              <w:rPr>
                <w:rFonts w:ascii="Garamond" w:hAnsi="Garamond"/>
                <w:lang w:val="en-AU"/>
              </w:rPr>
              <w:t>.</w:t>
            </w:r>
          </w:p>
          <w:p w:rsidR="00FB6960" w:rsidRPr="008B3D80" w:rsidRDefault="00FB6960" w:rsidP="00CB761E">
            <w:pPr>
              <w:pStyle w:val="ListParagraph"/>
              <w:numPr>
                <w:ilvl w:val="0"/>
                <w:numId w:val="18"/>
              </w:numPr>
              <w:rPr>
                <w:rFonts w:ascii="Garamond" w:hAnsi="Garamond"/>
                <w:lang w:val="en-AU"/>
              </w:rPr>
            </w:pPr>
            <w:r w:rsidRPr="008B3D80">
              <w:rPr>
                <w:rFonts w:ascii="Garamond" w:hAnsi="Garamond"/>
                <w:b/>
                <w:lang w:val="en-AU"/>
              </w:rPr>
              <w:t>Polypharmacy</w:t>
            </w:r>
            <w:r w:rsidRPr="008B3D80">
              <w:rPr>
                <w:rFonts w:ascii="Garamond" w:hAnsi="Garamond"/>
                <w:lang w:val="en-AU"/>
              </w:rPr>
              <w:t xml:space="preserve"> was found in </w:t>
            </w:r>
            <w:r w:rsidRPr="008B3D80">
              <w:rPr>
                <w:rFonts w:ascii="Garamond" w:hAnsi="Garamond"/>
                <w:b/>
                <w:lang w:val="en-AU"/>
              </w:rPr>
              <w:t>84.35%</w:t>
            </w:r>
            <w:r w:rsidRPr="008B3D80">
              <w:rPr>
                <w:rFonts w:ascii="Garamond" w:hAnsi="Garamond"/>
                <w:lang w:val="en-AU"/>
              </w:rPr>
              <w:t xml:space="preserve"> of residents and ranged from </w:t>
            </w:r>
            <w:r w:rsidRPr="008B3D80">
              <w:rPr>
                <w:rFonts w:ascii="Garamond" w:hAnsi="Garamond"/>
                <w:b/>
                <w:lang w:val="en-AU"/>
              </w:rPr>
              <w:t>69.75 to 100%.</w:t>
            </w:r>
          </w:p>
          <w:p w:rsidR="00FB6960" w:rsidRPr="008B3D80" w:rsidRDefault="00FB6960" w:rsidP="00CB761E">
            <w:pPr>
              <w:pStyle w:val="ListParagraph"/>
              <w:numPr>
                <w:ilvl w:val="0"/>
                <w:numId w:val="18"/>
              </w:numPr>
              <w:rPr>
                <w:rFonts w:ascii="Garamond" w:hAnsi="Garamond"/>
                <w:lang w:val="en-AU"/>
              </w:rPr>
            </w:pPr>
            <w:r w:rsidRPr="008B3D80">
              <w:rPr>
                <w:rFonts w:ascii="Garamond" w:hAnsi="Garamond"/>
                <w:b/>
                <w:lang w:val="en-AU"/>
              </w:rPr>
              <w:t>Hyper-polypharmacy</w:t>
            </w:r>
            <w:r w:rsidRPr="008B3D80">
              <w:rPr>
                <w:rFonts w:ascii="Garamond" w:hAnsi="Garamond"/>
                <w:lang w:val="en-AU"/>
              </w:rPr>
              <w:t xml:space="preserve"> was experienced by </w:t>
            </w:r>
            <w:r w:rsidRPr="008B3D80">
              <w:rPr>
                <w:rFonts w:ascii="Garamond" w:hAnsi="Garamond"/>
                <w:b/>
                <w:lang w:val="en-AU"/>
              </w:rPr>
              <w:t>41.2%</w:t>
            </w:r>
            <w:r w:rsidRPr="008B3D80">
              <w:rPr>
                <w:rFonts w:ascii="Garamond" w:hAnsi="Garamond"/>
                <w:lang w:val="en-AU"/>
              </w:rPr>
              <w:t xml:space="preserve"> and ranged from </w:t>
            </w:r>
            <w:r w:rsidRPr="008B3D80">
              <w:rPr>
                <w:rFonts w:ascii="Garamond" w:hAnsi="Garamond"/>
                <w:b/>
                <w:lang w:val="en-AU"/>
              </w:rPr>
              <w:t>38.81 to 76.19%</w:t>
            </w:r>
            <w:r w:rsidRPr="008B3D80">
              <w:rPr>
                <w:rFonts w:ascii="Garamond" w:hAnsi="Garamond"/>
                <w:lang w:val="en-AU"/>
              </w:rPr>
              <w:t>.</w:t>
            </w:r>
          </w:p>
          <w:p w:rsidR="00FB6960" w:rsidRPr="008B3D80" w:rsidRDefault="00FB6960" w:rsidP="00CB761E">
            <w:pPr>
              <w:pStyle w:val="ListParagraph"/>
              <w:numPr>
                <w:ilvl w:val="0"/>
                <w:numId w:val="18"/>
              </w:numPr>
              <w:rPr>
                <w:rFonts w:ascii="Garamond" w:hAnsi="Garamond"/>
                <w:lang w:val="en-AU"/>
              </w:rPr>
            </w:pPr>
            <w:r w:rsidRPr="008B3D80">
              <w:rPr>
                <w:rFonts w:ascii="Garamond" w:hAnsi="Garamond"/>
                <w:b/>
                <w:lang w:val="en-AU"/>
              </w:rPr>
              <w:t>Antipsychotics</w:t>
            </w:r>
            <w:r w:rsidRPr="008B3D80">
              <w:rPr>
                <w:rFonts w:ascii="Garamond" w:hAnsi="Garamond"/>
                <w:lang w:val="en-AU"/>
              </w:rPr>
              <w:t xml:space="preserve"> were being used by </w:t>
            </w:r>
            <w:r w:rsidRPr="008B3D80">
              <w:rPr>
                <w:rFonts w:ascii="Garamond" w:hAnsi="Garamond"/>
                <w:b/>
                <w:lang w:val="en-AU"/>
              </w:rPr>
              <w:t>21.0%</w:t>
            </w:r>
            <w:r w:rsidRPr="008B3D80">
              <w:rPr>
                <w:rFonts w:ascii="Garamond" w:hAnsi="Garamond"/>
                <w:lang w:val="en-AU"/>
              </w:rPr>
              <w:t xml:space="preserve"> and ranged from </w:t>
            </w:r>
            <w:r w:rsidRPr="008B3D80">
              <w:rPr>
                <w:rFonts w:ascii="Garamond" w:hAnsi="Garamond"/>
                <w:b/>
                <w:lang w:val="en-AU"/>
              </w:rPr>
              <w:t>0 to 75.6%</w:t>
            </w:r>
            <w:r w:rsidRPr="008B3D80">
              <w:rPr>
                <w:rFonts w:ascii="Garamond" w:hAnsi="Garamond"/>
                <w:lang w:val="en-AU"/>
              </w:rPr>
              <w:t>.</w:t>
            </w:r>
          </w:p>
        </w:tc>
      </w:tr>
    </w:tbl>
    <w:p w:rsidR="00FB6960" w:rsidRDefault="00FB6960" w:rsidP="00FB6960">
      <w:pPr>
        <w:keepNext/>
        <w:keepLines/>
        <w:autoSpaceDE w:val="0"/>
        <w:autoSpaceDN w:val="0"/>
        <w:adjustRightInd w:val="0"/>
        <w:rPr>
          <w:rFonts w:ascii="Garamond" w:hAnsi="Garamond"/>
          <w:lang w:val="en-AU"/>
        </w:rPr>
      </w:pPr>
      <w:r>
        <w:rPr>
          <w:rFonts w:ascii="Garamond" w:hAnsi="Garamond"/>
          <w:lang w:val="en-AU"/>
        </w:rPr>
        <w:lastRenderedPageBreak/>
        <w:t xml:space="preserve">For information on the Commission’s work on medication safety, see </w:t>
      </w:r>
      <w:hyperlink r:id="rId25" w:history="1">
        <w:r w:rsidRPr="006C5F06">
          <w:rPr>
            <w:rStyle w:val="Hyperlink"/>
            <w:rFonts w:ascii="Garamond" w:hAnsi="Garamond"/>
            <w:lang w:val="en-AU"/>
          </w:rPr>
          <w:t>https://www.safetyandquality.gov.au/our-work/medication-safety/</w:t>
        </w:r>
      </w:hyperlink>
    </w:p>
    <w:p w:rsidR="00FB6960" w:rsidRDefault="00FB6960" w:rsidP="00FB6960">
      <w:pPr>
        <w:keepNext/>
        <w:keepLines/>
        <w:tabs>
          <w:tab w:val="left" w:pos="2044"/>
        </w:tabs>
        <w:autoSpaceDE w:val="0"/>
        <w:autoSpaceDN w:val="0"/>
        <w:adjustRightInd w:val="0"/>
        <w:rPr>
          <w:rFonts w:ascii="Garamond" w:hAnsi="Garamond"/>
          <w:lang w:val="en-AU"/>
        </w:rPr>
      </w:pPr>
    </w:p>
    <w:p w:rsidR="00FB6960" w:rsidRDefault="00FB6960" w:rsidP="00FB6960">
      <w:pPr>
        <w:keepNext/>
        <w:keepLines/>
        <w:tabs>
          <w:tab w:val="left" w:pos="2044"/>
        </w:tabs>
        <w:autoSpaceDE w:val="0"/>
        <w:autoSpaceDN w:val="0"/>
        <w:adjustRightInd w:val="0"/>
        <w:rPr>
          <w:rFonts w:ascii="Garamond" w:hAnsi="Garamond"/>
          <w:lang w:val="en-AU"/>
        </w:rPr>
      </w:pPr>
      <w:r>
        <w:rPr>
          <w:rFonts w:ascii="Garamond" w:hAnsi="Garamond"/>
          <w:lang w:val="en-AU"/>
        </w:rPr>
        <w:t xml:space="preserve">For information on the Commission’s work on safety in e-Health, see </w:t>
      </w:r>
      <w:hyperlink r:id="rId26" w:history="1">
        <w:r w:rsidRPr="00665C0B">
          <w:rPr>
            <w:rStyle w:val="Hyperlink"/>
            <w:rFonts w:ascii="Garamond" w:hAnsi="Garamond"/>
            <w:lang w:val="en-AU"/>
          </w:rPr>
          <w:t>https://www.safetyandquality.gov.au/our-work/safety-in-e-health/</w:t>
        </w:r>
      </w:hyperlink>
    </w:p>
    <w:p w:rsidR="00FB6960" w:rsidRDefault="00FB6960" w:rsidP="00FB6960">
      <w:pPr>
        <w:keepNext/>
        <w:keepLines/>
        <w:tabs>
          <w:tab w:val="left" w:pos="2044"/>
        </w:tabs>
        <w:autoSpaceDE w:val="0"/>
        <w:autoSpaceDN w:val="0"/>
        <w:adjustRightInd w:val="0"/>
        <w:rPr>
          <w:rFonts w:ascii="Garamond" w:hAnsi="Garamond"/>
          <w:lang w:val="en-AU"/>
        </w:rPr>
      </w:pPr>
    </w:p>
    <w:p w:rsidR="00FB6960" w:rsidRDefault="00FB6960" w:rsidP="003C25F7">
      <w:pPr>
        <w:keepNext/>
        <w:keepLines/>
        <w:tabs>
          <w:tab w:val="left" w:pos="2044"/>
        </w:tabs>
        <w:autoSpaceDE w:val="0"/>
        <w:autoSpaceDN w:val="0"/>
        <w:adjustRightInd w:val="0"/>
        <w:rPr>
          <w:rFonts w:ascii="Garamond" w:hAnsi="Garamond"/>
          <w:lang w:val="en-AU"/>
        </w:rPr>
      </w:pPr>
    </w:p>
    <w:p w:rsidR="00235FE9" w:rsidRPr="001E360B" w:rsidRDefault="00235FE9" w:rsidP="00235FE9">
      <w:pPr>
        <w:keepNext/>
        <w:keepLines/>
        <w:tabs>
          <w:tab w:val="left" w:pos="2044"/>
        </w:tabs>
        <w:autoSpaceDE w:val="0"/>
        <w:autoSpaceDN w:val="0"/>
        <w:adjustRightInd w:val="0"/>
        <w:rPr>
          <w:rFonts w:ascii="Garamond" w:hAnsi="Garamond"/>
          <w:i/>
          <w:lang w:val="en-AU"/>
        </w:rPr>
      </w:pPr>
      <w:r w:rsidRPr="001E360B">
        <w:rPr>
          <w:rFonts w:ascii="Garamond" w:hAnsi="Garamond"/>
          <w:i/>
          <w:lang w:val="en-AU"/>
        </w:rPr>
        <w:t>A sleep prescription for medicine</w:t>
      </w:r>
    </w:p>
    <w:p w:rsidR="00235FE9" w:rsidRDefault="00235FE9" w:rsidP="00235FE9">
      <w:pPr>
        <w:keepNext/>
        <w:keepLines/>
        <w:tabs>
          <w:tab w:val="left" w:pos="2044"/>
        </w:tabs>
        <w:autoSpaceDE w:val="0"/>
        <w:autoSpaceDN w:val="0"/>
        <w:adjustRightInd w:val="0"/>
        <w:rPr>
          <w:rFonts w:ascii="Garamond" w:hAnsi="Garamond"/>
          <w:lang w:val="en-AU"/>
        </w:rPr>
      </w:pPr>
      <w:r w:rsidRPr="001E360B">
        <w:rPr>
          <w:rFonts w:ascii="Garamond" w:hAnsi="Garamond"/>
          <w:lang w:val="en-AU"/>
        </w:rPr>
        <w:t>Walker MP</w:t>
      </w:r>
    </w:p>
    <w:p w:rsidR="00235FE9" w:rsidRPr="007F6979" w:rsidRDefault="00235FE9" w:rsidP="00235FE9">
      <w:pPr>
        <w:keepNext/>
        <w:keepLines/>
        <w:tabs>
          <w:tab w:val="left" w:pos="2044"/>
        </w:tabs>
        <w:autoSpaceDE w:val="0"/>
        <w:autoSpaceDN w:val="0"/>
        <w:adjustRightInd w:val="0"/>
        <w:rPr>
          <w:rFonts w:ascii="Garamond" w:hAnsi="Garamond"/>
          <w:lang w:val="en-AU"/>
        </w:rPr>
      </w:pPr>
      <w:proofErr w:type="gramStart"/>
      <w:r w:rsidRPr="001E360B">
        <w:rPr>
          <w:rFonts w:ascii="Garamond" w:hAnsi="Garamond"/>
          <w:lang w:val="en-AU"/>
        </w:rPr>
        <w:t>The Lancet.</w:t>
      </w:r>
      <w:proofErr w:type="gramEnd"/>
      <w:r w:rsidRPr="001E360B">
        <w:rPr>
          <w:rFonts w:ascii="Garamond" w:hAnsi="Garamond"/>
          <w:lang w:val="en-AU"/>
        </w:rPr>
        <w:t xml:space="preserve"> </w:t>
      </w:r>
      <w:proofErr w:type="gramStart"/>
      <w:r w:rsidRPr="001E360B">
        <w:rPr>
          <w:rFonts w:ascii="Garamond" w:hAnsi="Garamond"/>
          <w:lang w:val="en-AU"/>
        </w:rPr>
        <w:t>2018</w:t>
      </w:r>
      <w:r>
        <w:rPr>
          <w:rFonts w:ascii="Garamond" w:hAnsi="Garamond"/>
          <w:lang w:val="en-AU"/>
        </w:rPr>
        <w:t xml:space="preserve"> [epub]</w:t>
      </w:r>
      <w:r w:rsidRPr="001E360B">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235FE9" w:rsidRPr="000170DA" w:rsidTr="001154E9">
        <w:tc>
          <w:tcPr>
            <w:tcW w:w="1080" w:type="dxa"/>
            <w:tcBorders>
              <w:top w:val="single" w:sz="4" w:space="0" w:color="auto"/>
              <w:left w:val="single" w:sz="4" w:space="0" w:color="auto"/>
              <w:bottom w:val="single" w:sz="4" w:space="0" w:color="auto"/>
              <w:right w:val="single" w:sz="4" w:space="0" w:color="auto"/>
            </w:tcBorders>
            <w:vAlign w:val="center"/>
          </w:tcPr>
          <w:p w:rsidR="00235FE9" w:rsidRPr="000170DA" w:rsidRDefault="00235FE9" w:rsidP="001154E9">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35FE9" w:rsidRPr="000170DA" w:rsidRDefault="007D7CED" w:rsidP="001154E9">
            <w:pPr>
              <w:rPr>
                <w:rStyle w:val="Hyperlink"/>
                <w:rFonts w:ascii="Garamond" w:hAnsi="Garamond"/>
                <w:color w:val="auto"/>
                <w:u w:val="none"/>
                <w:lang w:val="en-AU"/>
              </w:rPr>
            </w:pPr>
            <w:hyperlink r:id="rId27" w:history="1">
              <w:r w:rsidR="00235FE9" w:rsidRPr="00406EE9">
                <w:rPr>
                  <w:rStyle w:val="Hyperlink"/>
                  <w:rFonts w:ascii="Garamond" w:hAnsi="Garamond"/>
                  <w:lang w:val="en-AU"/>
                </w:rPr>
                <w:t>https://doi.org/10.1016/S0140-6736(18)31316-3</w:t>
              </w:r>
            </w:hyperlink>
          </w:p>
        </w:tc>
      </w:tr>
      <w:tr w:rsidR="00235FE9" w:rsidRPr="000170DA" w:rsidTr="001154E9">
        <w:tc>
          <w:tcPr>
            <w:tcW w:w="1080" w:type="dxa"/>
            <w:tcBorders>
              <w:top w:val="single" w:sz="4" w:space="0" w:color="auto"/>
              <w:left w:val="single" w:sz="4" w:space="0" w:color="auto"/>
              <w:bottom w:val="single" w:sz="4" w:space="0" w:color="auto"/>
              <w:right w:val="single" w:sz="4" w:space="0" w:color="auto"/>
            </w:tcBorders>
            <w:vAlign w:val="center"/>
          </w:tcPr>
          <w:p w:rsidR="00235FE9" w:rsidRPr="000170DA" w:rsidRDefault="00235FE9" w:rsidP="001154E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35FE9" w:rsidRDefault="00235FE9" w:rsidP="001154E9">
            <w:pPr>
              <w:rPr>
                <w:rFonts w:ascii="Garamond" w:hAnsi="Garamond"/>
                <w:lang w:val="en-AU"/>
              </w:rPr>
            </w:pPr>
            <w:r>
              <w:rPr>
                <w:rFonts w:ascii="Garamond" w:hAnsi="Garamond"/>
                <w:lang w:val="en-AU"/>
              </w:rPr>
              <w:t xml:space="preserve">Sleep is a perennial issue, particularly in the acute setting. Sleep issues afflict both patients and clinicians – both groups tending to suffer from a lack of it, including the potential of harms (for both). For the patients, the hospital environment is often not very conducive to sleep. For clinicians the lack of sleep is a recognised risk factor. As Walker reminds us with his opening paragraph to this Perspectives piece in </w:t>
            </w:r>
            <w:r w:rsidRPr="001E360B">
              <w:rPr>
                <w:rFonts w:ascii="Garamond" w:hAnsi="Garamond"/>
                <w:i/>
                <w:lang w:val="en-AU"/>
              </w:rPr>
              <w:t>The Lancet</w:t>
            </w:r>
            <w:r>
              <w:rPr>
                <w:rFonts w:ascii="Garamond" w:hAnsi="Garamond"/>
                <w:lang w:val="en-AU"/>
              </w:rPr>
              <w:t>:</w:t>
            </w:r>
          </w:p>
          <w:p w:rsidR="00235FE9" w:rsidRDefault="00235FE9" w:rsidP="001154E9">
            <w:pPr>
              <w:pStyle w:val="IntenseQuote"/>
              <w:rPr>
                <w:lang w:val="en-AU"/>
              </w:rPr>
            </w:pPr>
            <w:r w:rsidRPr="001E360B">
              <w:rPr>
                <w:lang w:val="en-AU"/>
              </w:rPr>
              <w:t>Inadequate sleep leads to inadequate health care. Junior doctors working a 34 h shift will make 460% more diagnostic mistakes than when well rested. These same tired physicians will commit 36% more serious medical errors than those working 16 h or less. Seasoned physicians can suffer the same compromise of medical skills. A senior attending surgeon who has slept only 6 h or less the previous night is 170% more likely to inflict a serious surgical error on a patient, relative to when he or she has slept adequately.</w:t>
            </w:r>
          </w:p>
          <w:p w:rsidR="00235FE9" w:rsidRPr="000365E9" w:rsidRDefault="00235FE9" w:rsidP="001154E9">
            <w:pPr>
              <w:rPr>
                <w:rFonts w:ascii="Garamond" w:hAnsi="Garamond"/>
                <w:lang w:val="en-AU"/>
              </w:rPr>
            </w:pPr>
            <w:r>
              <w:rPr>
                <w:rFonts w:ascii="Garamond" w:hAnsi="Garamond"/>
                <w:lang w:val="en-AU"/>
              </w:rPr>
              <w:t>The piece briefly touches on the importance of sleep and how it is hampered in and by the clinical setting. Walker concedes that his ‘prescription’ of sleep ‘</w:t>
            </w:r>
            <w:r w:rsidRPr="00FB5D41">
              <w:rPr>
                <w:rFonts w:ascii="Garamond" w:hAnsi="Garamond"/>
                <w:lang w:val="en-AU"/>
              </w:rPr>
              <w:t>requires a shift in our cultural, professional, and global appreciation of sleep.</w:t>
            </w:r>
            <w:r>
              <w:rPr>
                <w:rFonts w:ascii="Garamond" w:hAnsi="Garamond"/>
                <w:lang w:val="en-AU"/>
              </w:rPr>
              <w:t>’ However, the benefits could outweigh this effort as ‘</w:t>
            </w:r>
            <w:r w:rsidRPr="00FB5D41">
              <w:rPr>
                <w:rFonts w:ascii="Garamond" w:hAnsi="Garamond"/>
                <w:b/>
                <w:lang w:val="en-AU"/>
              </w:rPr>
              <w:t>Sleep is a life-support system; a universal health-care plan</w:t>
            </w:r>
            <w:r w:rsidRPr="00FB5D41">
              <w:rPr>
                <w:rFonts w:ascii="Garamond" w:hAnsi="Garamond"/>
                <w:lang w:val="en-AU"/>
              </w:rPr>
              <w:t xml:space="preserve"> still waiting to be fully embraced by medicine.</w:t>
            </w:r>
            <w:r>
              <w:rPr>
                <w:rFonts w:ascii="Garamond" w:hAnsi="Garamond"/>
                <w:lang w:val="en-AU"/>
              </w:rPr>
              <w:t>’</w:t>
            </w:r>
          </w:p>
        </w:tc>
      </w:tr>
    </w:tbl>
    <w:p w:rsidR="00235FE9" w:rsidRDefault="00235FE9" w:rsidP="003C25F7">
      <w:pPr>
        <w:keepNext/>
        <w:keepLines/>
        <w:tabs>
          <w:tab w:val="left" w:pos="2044"/>
        </w:tabs>
        <w:autoSpaceDE w:val="0"/>
        <w:autoSpaceDN w:val="0"/>
        <w:adjustRightInd w:val="0"/>
        <w:rPr>
          <w:rFonts w:ascii="Garamond" w:hAnsi="Garamond"/>
          <w:lang w:val="en-AU"/>
        </w:rPr>
      </w:pPr>
    </w:p>
    <w:p w:rsidR="00EE2A35" w:rsidRPr="000A02E9" w:rsidRDefault="000A02E9" w:rsidP="00EE2A35">
      <w:pPr>
        <w:keepNext/>
        <w:keepLines/>
        <w:autoSpaceDE w:val="0"/>
        <w:autoSpaceDN w:val="0"/>
        <w:adjustRightInd w:val="0"/>
        <w:rPr>
          <w:rFonts w:ascii="Garamond" w:hAnsi="Garamond"/>
          <w:i/>
          <w:lang w:val="en-AU"/>
        </w:rPr>
      </w:pPr>
      <w:r w:rsidRPr="000A02E9">
        <w:rPr>
          <w:rFonts w:ascii="Garamond" w:hAnsi="Garamond"/>
          <w:i/>
          <w:lang w:val="en-AU"/>
        </w:rPr>
        <w:t>Assessing the impact of antibiotic stewardship program elements on antibiotic use across acute-care hospitals: an observational study</w:t>
      </w:r>
    </w:p>
    <w:p w:rsidR="00CF38AA" w:rsidRDefault="00CF38AA" w:rsidP="00EE2A35">
      <w:pPr>
        <w:keepNext/>
        <w:keepLines/>
        <w:autoSpaceDE w:val="0"/>
        <w:autoSpaceDN w:val="0"/>
        <w:adjustRightInd w:val="0"/>
        <w:rPr>
          <w:rFonts w:ascii="Garamond" w:hAnsi="Garamond"/>
          <w:lang w:val="en-AU"/>
        </w:rPr>
      </w:pPr>
      <w:r w:rsidRPr="00CF38AA">
        <w:rPr>
          <w:rFonts w:ascii="Garamond" w:hAnsi="Garamond"/>
          <w:lang w:val="en-AU"/>
        </w:rPr>
        <w:t>Langford BJ, Wu JH-C, Brown KA, Wang X, Leung V, Tan C, et al.</w:t>
      </w:r>
    </w:p>
    <w:p w:rsidR="000A02E9" w:rsidRPr="00E566B0" w:rsidRDefault="00CF38AA" w:rsidP="00EE2A35">
      <w:pPr>
        <w:keepNext/>
        <w:keepLines/>
        <w:autoSpaceDE w:val="0"/>
        <w:autoSpaceDN w:val="0"/>
        <w:adjustRightInd w:val="0"/>
        <w:rPr>
          <w:rFonts w:ascii="Garamond" w:hAnsi="Garamond"/>
          <w:lang w:val="en-AU"/>
        </w:rPr>
      </w:pPr>
      <w:r w:rsidRPr="00CF38AA">
        <w:rPr>
          <w:rFonts w:ascii="Garamond" w:hAnsi="Garamond"/>
          <w:lang w:val="en-AU"/>
        </w:rPr>
        <w:t xml:space="preserve"> </w:t>
      </w:r>
      <w:proofErr w:type="gramStart"/>
      <w:r w:rsidRPr="00CF38AA">
        <w:rPr>
          <w:rFonts w:ascii="Garamond" w:hAnsi="Garamond"/>
          <w:lang w:val="en-AU"/>
        </w:rPr>
        <w:t>Infection Control &amp; Hospital Epidemiology.</w:t>
      </w:r>
      <w:proofErr w:type="gramEnd"/>
      <w:r w:rsidRPr="00CF38AA">
        <w:rPr>
          <w:rFonts w:ascii="Garamond" w:hAnsi="Garamond"/>
          <w:lang w:val="en-AU"/>
        </w:rPr>
        <w:t xml:space="preserve"> </w:t>
      </w:r>
      <w:proofErr w:type="gramStart"/>
      <w:r w:rsidRPr="00CF38AA">
        <w:rPr>
          <w:rFonts w:ascii="Garamond" w:hAnsi="Garamond"/>
          <w:lang w:val="en-AU"/>
        </w:rPr>
        <w:t>2018</w:t>
      </w:r>
      <w:r>
        <w:rPr>
          <w:rFonts w:ascii="Garamond" w:hAnsi="Garamond"/>
          <w:lang w:val="en-AU"/>
        </w:rPr>
        <w:t xml:space="preserve"> [epub]</w:t>
      </w:r>
      <w:r w:rsidRPr="00CF38AA">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E2A35"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EE2A35" w:rsidRPr="000170DA" w:rsidRDefault="00EE2A35" w:rsidP="00142C1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E2A35" w:rsidRPr="000170DA" w:rsidRDefault="007D7CED" w:rsidP="00142C12">
            <w:pPr>
              <w:rPr>
                <w:rStyle w:val="Hyperlink"/>
                <w:rFonts w:ascii="Garamond" w:hAnsi="Garamond"/>
                <w:color w:val="auto"/>
                <w:u w:val="none"/>
                <w:lang w:val="en-AU"/>
              </w:rPr>
            </w:pPr>
            <w:hyperlink r:id="rId28" w:history="1">
              <w:r w:rsidR="00CF38AA" w:rsidRPr="00EA3230">
                <w:rPr>
                  <w:rStyle w:val="Hyperlink"/>
                  <w:rFonts w:ascii="Garamond" w:hAnsi="Garamond"/>
                  <w:lang w:val="en-AU"/>
                </w:rPr>
                <w:t>https://doi.org/10.1017/ice.2018.121</w:t>
              </w:r>
            </w:hyperlink>
          </w:p>
        </w:tc>
      </w:tr>
      <w:tr w:rsidR="00EE2A35"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EE2A35" w:rsidRPr="000170DA" w:rsidRDefault="00EE2A35" w:rsidP="00142C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E2A35" w:rsidRDefault="000A02E9" w:rsidP="000A02E9">
            <w:pPr>
              <w:rPr>
                <w:rFonts w:ascii="Garamond" w:hAnsi="Garamond"/>
                <w:lang w:val="en-AU"/>
              </w:rPr>
            </w:pPr>
            <w:r>
              <w:rPr>
                <w:rFonts w:ascii="Garamond" w:hAnsi="Garamond"/>
                <w:lang w:val="en-AU"/>
              </w:rPr>
              <w:t xml:space="preserve">This Canadian study surveyed 73 hospitals on the impact of </w:t>
            </w:r>
            <w:r w:rsidRPr="000A02E9">
              <w:rPr>
                <w:rFonts w:ascii="Garamond" w:hAnsi="Garamond"/>
                <w:lang w:val="en-AU"/>
              </w:rPr>
              <w:t xml:space="preserve">antimicrobial stewardship programs (ASPs) </w:t>
            </w:r>
            <w:r>
              <w:rPr>
                <w:rFonts w:ascii="Garamond" w:hAnsi="Garamond"/>
                <w:lang w:val="en-AU"/>
              </w:rPr>
              <w:t xml:space="preserve">in order to </w:t>
            </w:r>
            <w:r w:rsidRPr="000A02E9">
              <w:rPr>
                <w:rFonts w:ascii="Garamond" w:hAnsi="Garamond"/>
                <w:lang w:val="en-AU"/>
              </w:rPr>
              <w:t xml:space="preserve">determine the key structural and strategic aspects of ASPs </w:t>
            </w:r>
            <w:r>
              <w:rPr>
                <w:rFonts w:ascii="Garamond" w:hAnsi="Garamond"/>
                <w:lang w:val="en-AU"/>
              </w:rPr>
              <w:t xml:space="preserve">that were </w:t>
            </w:r>
            <w:r w:rsidRPr="000A02E9">
              <w:rPr>
                <w:rFonts w:ascii="Garamond" w:hAnsi="Garamond"/>
                <w:lang w:val="en-AU"/>
              </w:rPr>
              <w:t xml:space="preserve">associated with differences in risk-adjusted antibiotic </w:t>
            </w:r>
            <w:r>
              <w:rPr>
                <w:rFonts w:ascii="Garamond" w:hAnsi="Garamond"/>
                <w:lang w:val="en-AU"/>
              </w:rPr>
              <w:t>use</w:t>
            </w:r>
            <w:r w:rsidRPr="000A02E9">
              <w:rPr>
                <w:rFonts w:ascii="Garamond" w:hAnsi="Garamond"/>
                <w:lang w:val="en-AU"/>
              </w:rPr>
              <w:t>.</w:t>
            </w:r>
            <w:r>
              <w:rPr>
                <w:rFonts w:ascii="Garamond" w:hAnsi="Garamond"/>
                <w:lang w:val="en-AU"/>
              </w:rPr>
              <w:t xml:space="preserve"> Across the 73 hospitals, the study found, t</w:t>
            </w:r>
            <w:r w:rsidRPr="000A02E9">
              <w:rPr>
                <w:rFonts w:ascii="Garamond" w:hAnsi="Garamond"/>
                <w:lang w:val="en-AU"/>
              </w:rPr>
              <w:t xml:space="preserve">here was a </w:t>
            </w:r>
            <w:r w:rsidRPr="000A02E9">
              <w:rPr>
                <w:rFonts w:ascii="Garamond" w:hAnsi="Garamond"/>
                <w:b/>
                <w:lang w:val="en-AU"/>
              </w:rPr>
              <w:t>7-fold range in antibiotic use</w:t>
            </w:r>
            <w:r w:rsidRPr="000A02E9">
              <w:rPr>
                <w:rFonts w:ascii="Garamond" w:hAnsi="Garamond"/>
                <w:lang w:val="en-AU"/>
              </w:rPr>
              <w:t xml:space="preserve"> </w:t>
            </w:r>
            <w:r>
              <w:rPr>
                <w:rFonts w:ascii="Garamond" w:hAnsi="Garamond"/>
                <w:lang w:val="en-AU"/>
              </w:rPr>
              <w:t xml:space="preserve">ranging from </w:t>
            </w:r>
            <w:r w:rsidRPr="000A02E9">
              <w:rPr>
                <w:rFonts w:ascii="Garamond" w:hAnsi="Garamond"/>
                <w:lang w:val="en-AU"/>
              </w:rPr>
              <w:t xml:space="preserve">253 </w:t>
            </w:r>
            <w:r>
              <w:rPr>
                <w:rFonts w:ascii="Garamond" w:hAnsi="Garamond"/>
                <w:lang w:val="en-AU"/>
              </w:rPr>
              <w:t xml:space="preserve">to 1,872 </w:t>
            </w:r>
            <w:r w:rsidRPr="000A02E9">
              <w:rPr>
                <w:rFonts w:ascii="Garamond" w:hAnsi="Garamond"/>
                <w:lang w:val="en-AU"/>
              </w:rPr>
              <w:t xml:space="preserve">defined daily doses </w:t>
            </w:r>
            <w:r>
              <w:rPr>
                <w:rFonts w:ascii="Garamond" w:hAnsi="Garamond"/>
                <w:lang w:val="en-AU"/>
              </w:rPr>
              <w:t xml:space="preserve">(DDD) </w:t>
            </w:r>
            <w:r w:rsidRPr="000A02E9">
              <w:rPr>
                <w:rFonts w:ascii="Garamond" w:hAnsi="Garamond"/>
                <w:lang w:val="en-AU"/>
              </w:rPr>
              <w:t>per 1,000 patient days.</w:t>
            </w:r>
          </w:p>
          <w:p w:rsidR="000A02E9" w:rsidRPr="000365E9" w:rsidRDefault="000A02E9" w:rsidP="000A02E9">
            <w:pPr>
              <w:rPr>
                <w:rFonts w:ascii="Garamond" w:hAnsi="Garamond"/>
                <w:lang w:val="en-AU"/>
              </w:rPr>
            </w:pPr>
            <w:r>
              <w:rPr>
                <w:rFonts w:ascii="Garamond" w:hAnsi="Garamond"/>
                <w:lang w:val="en-AU"/>
              </w:rPr>
              <w:t xml:space="preserve">The study found </w:t>
            </w:r>
            <w:r w:rsidRPr="000A02E9">
              <w:rPr>
                <w:rFonts w:ascii="Garamond" w:hAnsi="Garamond"/>
                <w:lang w:val="en-AU"/>
              </w:rPr>
              <w:t xml:space="preserve">the only structural component associated with lower risk-adjusted antibiotic use was the presence of </w:t>
            </w:r>
            <w:r w:rsidRPr="000A02E9">
              <w:rPr>
                <w:rFonts w:ascii="Garamond" w:hAnsi="Garamond"/>
                <w:b/>
                <w:lang w:val="en-AU"/>
              </w:rPr>
              <w:t>designated ASP funding or resources</w:t>
            </w:r>
            <w:r w:rsidRPr="000A02E9">
              <w:rPr>
                <w:rFonts w:ascii="Garamond" w:hAnsi="Garamond"/>
                <w:lang w:val="en-AU"/>
              </w:rPr>
              <w:t xml:space="preserve"> (adjusted RR 0.87).</w:t>
            </w:r>
            <w:r>
              <w:rPr>
                <w:rFonts w:ascii="Garamond" w:hAnsi="Garamond"/>
                <w:lang w:val="en-AU"/>
              </w:rPr>
              <w:t xml:space="preserve"> The </w:t>
            </w:r>
            <w:r w:rsidRPr="000A02E9">
              <w:rPr>
                <w:rFonts w:ascii="Garamond" w:hAnsi="Garamond"/>
                <w:lang w:val="en-AU"/>
              </w:rPr>
              <w:t xml:space="preserve">strategic components associated with lower risk-adjusted antibiotic use </w:t>
            </w:r>
            <w:r>
              <w:rPr>
                <w:rFonts w:ascii="Garamond" w:hAnsi="Garamond"/>
                <w:lang w:val="en-AU"/>
              </w:rPr>
              <w:t xml:space="preserve">were </w:t>
            </w:r>
            <w:r w:rsidRPr="000A02E9">
              <w:rPr>
                <w:rFonts w:ascii="Garamond" w:hAnsi="Garamond"/>
                <w:b/>
                <w:lang w:val="en-AU"/>
              </w:rPr>
              <w:t>prospective audit and feedback</w:t>
            </w:r>
            <w:r w:rsidRPr="000A02E9">
              <w:rPr>
                <w:rFonts w:ascii="Garamond" w:hAnsi="Garamond"/>
                <w:lang w:val="en-AU"/>
              </w:rPr>
              <w:t xml:space="preserve"> (adjusted RR, 0.80) and </w:t>
            </w:r>
            <w:r w:rsidRPr="000A02E9">
              <w:rPr>
                <w:rFonts w:ascii="Garamond" w:hAnsi="Garamond"/>
                <w:b/>
                <w:lang w:val="en-AU"/>
              </w:rPr>
              <w:t>intravenous-to-oral conversion</w:t>
            </w:r>
            <w:r w:rsidRPr="000A02E9">
              <w:rPr>
                <w:rFonts w:ascii="Garamond" w:hAnsi="Garamond"/>
                <w:lang w:val="en-AU"/>
              </w:rPr>
              <w:t xml:space="preserve"> policies (adjusted RR, 0.79). No association between the overall number of ASP components and antibiotic use was found.</w:t>
            </w:r>
          </w:p>
        </w:tc>
      </w:tr>
    </w:tbl>
    <w:p w:rsidR="00EE2A35" w:rsidRDefault="00EE2A35" w:rsidP="00EE2A35">
      <w:pPr>
        <w:keepLines/>
        <w:autoSpaceDE w:val="0"/>
        <w:autoSpaceDN w:val="0"/>
        <w:adjustRightInd w:val="0"/>
        <w:rPr>
          <w:rFonts w:ascii="Garamond" w:hAnsi="Garamond"/>
          <w:lang w:val="en-AU"/>
        </w:rPr>
      </w:pPr>
    </w:p>
    <w:p w:rsidR="000A02E9" w:rsidRDefault="000A02E9" w:rsidP="000A02E9">
      <w:pPr>
        <w:keepNext/>
        <w:keepLines/>
        <w:rPr>
          <w:rFonts w:ascii="Garamond" w:hAnsi="Garamond"/>
          <w:lang w:val="en-AU"/>
        </w:rPr>
      </w:pPr>
      <w:r>
        <w:rPr>
          <w:rFonts w:ascii="Garamond" w:hAnsi="Garamond"/>
          <w:lang w:val="en-AU"/>
        </w:rPr>
        <w:lastRenderedPageBreak/>
        <w:t xml:space="preserve">For information on the Commission’s work on healthcare associated infection, including antimicrobial stewardship, see </w:t>
      </w:r>
      <w:hyperlink r:id="rId29" w:history="1">
        <w:r w:rsidRPr="00EA3230">
          <w:rPr>
            <w:rStyle w:val="Hyperlink"/>
            <w:rFonts w:ascii="Garamond" w:hAnsi="Garamond"/>
            <w:lang w:val="en-AU"/>
          </w:rPr>
          <w:t>https://www.safetyandquality.gov.au/our-work/healthcare-associated-infection/</w:t>
        </w:r>
      </w:hyperlink>
    </w:p>
    <w:p w:rsidR="00EE2A35" w:rsidRDefault="00EE2A35" w:rsidP="00EE2A35">
      <w:pPr>
        <w:keepNext/>
        <w:keepLines/>
        <w:autoSpaceDE w:val="0"/>
        <w:autoSpaceDN w:val="0"/>
        <w:adjustRightInd w:val="0"/>
        <w:rPr>
          <w:rFonts w:ascii="Garamond" w:hAnsi="Garamond"/>
          <w:lang w:val="en-AU"/>
        </w:rPr>
      </w:pPr>
    </w:p>
    <w:p w:rsidR="00013C4E" w:rsidRPr="00013C4E" w:rsidRDefault="00013C4E" w:rsidP="00EE2A35">
      <w:pPr>
        <w:keepNext/>
        <w:keepLines/>
        <w:autoSpaceDE w:val="0"/>
        <w:autoSpaceDN w:val="0"/>
        <w:adjustRightInd w:val="0"/>
        <w:rPr>
          <w:rFonts w:ascii="Garamond" w:hAnsi="Garamond"/>
          <w:i/>
          <w:lang w:val="en-AU"/>
        </w:rPr>
      </w:pPr>
      <w:r w:rsidRPr="00013C4E">
        <w:rPr>
          <w:rFonts w:ascii="Garamond" w:hAnsi="Garamond"/>
          <w:i/>
          <w:lang w:val="en-AU"/>
        </w:rPr>
        <w:t>Improvisation versus guideline concordance in surgical antibiotic prophylaxis: a qualitative study</w:t>
      </w:r>
    </w:p>
    <w:p w:rsidR="00013C4E" w:rsidRDefault="00013C4E" w:rsidP="00EE2A35">
      <w:pPr>
        <w:keepNext/>
        <w:keepLines/>
        <w:autoSpaceDE w:val="0"/>
        <w:autoSpaceDN w:val="0"/>
        <w:adjustRightInd w:val="0"/>
        <w:rPr>
          <w:rFonts w:ascii="Garamond" w:hAnsi="Garamond"/>
          <w:lang w:val="en-AU"/>
        </w:rPr>
      </w:pPr>
      <w:r w:rsidRPr="00013C4E">
        <w:rPr>
          <w:rFonts w:ascii="Garamond" w:hAnsi="Garamond"/>
          <w:lang w:val="en-AU"/>
        </w:rPr>
        <w:t xml:space="preserve">Broom J, Broom </w:t>
      </w:r>
      <w:proofErr w:type="gramStart"/>
      <w:r w:rsidRPr="00013C4E">
        <w:rPr>
          <w:rFonts w:ascii="Garamond" w:hAnsi="Garamond"/>
          <w:lang w:val="en-AU"/>
        </w:rPr>
        <w:t>A</w:t>
      </w:r>
      <w:proofErr w:type="gramEnd"/>
      <w:r w:rsidRPr="00013C4E">
        <w:rPr>
          <w:rFonts w:ascii="Garamond" w:hAnsi="Garamond"/>
          <w:lang w:val="en-AU"/>
        </w:rPr>
        <w:t>, Kirby E, Post JJ</w:t>
      </w:r>
    </w:p>
    <w:p w:rsidR="00013C4E" w:rsidRPr="00E566B0" w:rsidRDefault="00013C4E" w:rsidP="00EE2A35">
      <w:pPr>
        <w:keepNext/>
        <w:keepLines/>
        <w:autoSpaceDE w:val="0"/>
        <w:autoSpaceDN w:val="0"/>
        <w:adjustRightInd w:val="0"/>
        <w:rPr>
          <w:rFonts w:ascii="Garamond" w:hAnsi="Garamond"/>
          <w:lang w:val="en-AU"/>
        </w:rPr>
      </w:pPr>
      <w:proofErr w:type="gramStart"/>
      <w:r w:rsidRPr="00013C4E">
        <w:rPr>
          <w:rFonts w:ascii="Garamond" w:hAnsi="Garamond"/>
          <w:lang w:val="en-AU"/>
        </w:rPr>
        <w:t>Infection.</w:t>
      </w:r>
      <w:proofErr w:type="gramEnd"/>
      <w:r w:rsidRPr="00013C4E">
        <w:rPr>
          <w:rFonts w:ascii="Garamond" w:hAnsi="Garamond"/>
          <w:lang w:val="en-AU"/>
        </w:rPr>
        <w:t xml:space="preserve"> </w:t>
      </w:r>
      <w:proofErr w:type="gramStart"/>
      <w:r w:rsidRPr="00013C4E">
        <w:rPr>
          <w:rFonts w:ascii="Garamond" w:hAnsi="Garamond"/>
          <w:lang w:val="en-AU"/>
        </w:rPr>
        <w:t>2018</w:t>
      </w:r>
      <w:r>
        <w:rPr>
          <w:rFonts w:ascii="Garamond" w:hAnsi="Garamond"/>
          <w:lang w:val="en-AU"/>
        </w:rPr>
        <w:t xml:space="preserve"> [epub]</w:t>
      </w:r>
      <w:r w:rsidRPr="00013C4E">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E2A35"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EE2A35" w:rsidRPr="000170DA" w:rsidRDefault="00EE2A35" w:rsidP="00142C1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E2A35" w:rsidRPr="000170DA" w:rsidRDefault="00114F75" w:rsidP="00CC40E0">
            <w:pPr>
              <w:rPr>
                <w:rStyle w:val="Hyperlink"/>
                <w:rFonts w:ascii="Garamond" w:hAnsi="Garamond"/>
                <w:color w:val="auto"/>
                <w:u w:val="none"/>
                <w:lang w:val="en-AU"/>
              </w:rPr>
            </w:pPr>
            <w:hyperlink r:id="rId30" w:history="1">
              <w:r w:rsidRPr="00EA3230">
                <w:rPr>
                  <w:rStyle w:val="Hyperlink"/>
                  <w:rFonts w:ascii="Garamond" w:hAnsi="Garamond"/>
                  <w:lang w:val="en-AU"/>
                </w:rPr>
                <w:t>https://doi.org/10.1007/s15010-018-1156-y</w:t>
              </w:r>
            </w:hyperlink>
          </w:p>
        </w:tc>
      </w:tr>
      <w:tr w:rsidR="00EE2A35"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EE2A35" w:rsidRPr="000170DA" w:rsidRDefault="00EE2A35" w:rsidP="00142C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E2A35" w:rsidRDefault="00013C4E" w:rsidP="00013C4E">
            <w:pPr>
              <w:rPr>
                <w:rFonts w:ascii="Garamond" w:hAnsi="Garamond"/>
                <w:lang w:val="en-AU"/>
              </w:rPr>
            </w:pPr>
            <w:r>
              <w:rPr>
                <w:rFonts w:ascii="Garamond" w:hAnsi="Garamond"/>
                <w:lang w:val="en-AU"/>
              </w:rPr>
              <w:t xml:space="preserve">Remaining on the theme of antimicrobial use (and misuse) is this Australian study that surveyed 20 </w:t>
            </w:r>
            <w:r w:rsidRPr="00013C4E">
              <w:rPr>
                <w:rFonts w:ascii="Garamond" w:hAnsi="Garamond"/>
                <w:lang w:val="en-AU"/>
              </w:rPr>
              <w:t>surgeons and anaesthetists from a</w:t>
            </w:r>
            <w:r>
              <w:rPr>
                <w:rFonts w:ascii="Garamond" w:hAnsi="Garamond"/>
                <w:lang w:val="en-AU"/>
              </w:rPr>
              <w:t>n Australian</w:t>
            </w:r>
            <w:r w:rsidRPr="00013C4E">
              <w:rPr>
                <w:rFonts w:ascii="Garamond" w:hAnsi="Garamond"/>
                <w:lang w:val="en-AU"/>
              </w:rPr>
              <w:t xml:space="preserve"> tertiary referral hospital</w:t>
            </w:r>
            <w:r>
              <w:rPr>
                <w:rFonts w:ascii="Garamond" w:hAnsi="Garamond"/>
                <w:lang w:val="en-AU"/>
              </w:rPr>
              <w:t xml:space="preserve"> on their </w:t>
            </w:r>
            <w:r w:rsidRPr="00013C4E">
              <w:rPr>
                <w:rFonts w:ascii="Garamond" w:hAnsi="Garamond"/>
                <w:lang w:val="en-AU"/>
              </w:rPr>
              <w:t>experiences and perspectives on Surgical antibiotic prophylaxis (SAP) prescribing</w:t>
            </w:r>
            <w:r>
              <w:rPr>
                <w:rFonts w:ascii="Garamond" w:hAnsi="Garamond"/>
                <w:lang w:val="en-AU"/>
              </w:rPr>
              <w:t>. Analysis of the survey responses revealed:</w:t>
            </w:r>
          </w:p>
          <w:p w:rsidR="00013C4E" w:rsidRDefault="00013C4E" w:rsidP="00013C4E">
            <w:pPr>
              <w:pStyle w:val="ListParagraph"/>
              <w:numPr>
                <w:ilvl w:val="0"/>
                <w:numId w:val="20"/>
              </w:numPr>
              <w:rPr>
                <w:rFonts w:ascii="Garamond" w:hAnsi="Garamond"/>
                <w:lang w:val="en-AU"/>
              </w:rPr>
            </w:pPr>
            <w:r>
              <w:rPr>
                <w:rFonts w:ascii="Garamond" w:hAnsi="Garamond"/>
                <w:lang w:val="en-AU"/>
              </w:rPr>
              <w:t>A</w:t>
            </w:r>
            <w:r w:rsidRPr="00013C4E">
              <w:rPr>
                <w:rFonts w:ascii="Garamond" w:hAnsi="Garamond"/>
                <w:lang w:val="en-AU"/>
              </w:rPr>
              <w:t>ntibiotic prophylaxis is treated as a low priority</w:t>
            </w:r>
          </w:p>
          <w:p w:rsidR="00013C4E" w:rsidRDefault="00013C4E" w:rsidP="00013C4E">
            <w:pPr>
              <w:pStyle w:val="ListParagraph"/>
              <w:numPr>
                <w:ilvl w:val="0"/>
                <w:numId w:val="20"/>
              </w:numPr>
              <w:rPr>
                <w:rFonts w:ascii="Garamond" w:hAnsi="Garamond"/>
                <w:lang w:val="en-AU"/>
              </w:rPr>
            </w:pPr>
            <w:r>
              <w:rPr>
                <w:rFonts w:ascii="Garamond" w:hAnsi="Garamond"/>
                <w:lang w:val="en-AU"/>
              </w:rPr>
              <w:t>W</w:t>
            </w:r>
            <w:r w:rsidRPr="00013C4E">
              <w:rPr>
                <w:rFonts w:ascii="Garamond" w:hAnsi="Garamond"/>
                <w:lang w:val="en-AU"/>
              </w:rPr>
              <w:t xml:space="preserve">hilst guidelines have increased in prominence in recent years, there </w:t>
            </w:r>
            <w:r>
              <w:rPr>
                <w:rFonts w:ascii="Garamond" w:hAnsi="Garamond"/>
                <w:lang w:val="en-AU"/>
              </w:rPr>
              <w:t xml:space="preserve">remains </w:t>
            </w:r>
            <w:r w:rsidRPr="00013C4E">
              <w:rPr>
                <w:rFonts w:ascii="Garamond" w:hAnsi="Garamond"/>
                <w:lang w:val="en-AU"/>
              </w:rPr>
              <w:t>a lack of confidence in their ability to protect the surgeon from responsibility for infectious complications (thus driving SAP over-prescribing).</w:t>
            </w:r>
          </w:p>
          <w:p w:rsidR="00013C4E" w:rsidRDefault="00013C4E" w:rsidP="00013C4E">
            <w:pPr>
              <w:pStyle w:val="ListParagraph"/>
              <w:numPr>
                <w:ilvl w:val="0"/>
                <w:numId w:val="20"/>
              </w:numPr>
              <w:rPr>
                <w:rFonts w:ascii="Garamond" w:hAnsi="Garamond"/>
                <w:lang w:val="en-AU"/>
              </w:rPr>
            </w:pPr>
            <w:r>
              <w:rPr>
                <w:rFonts w:ascii="Garamond" w:hAnsi="Garamond"/>
                <w:lang w:val="en-AU"/>
              </w:rPr>
              <w:t>N</w:t>
            </w:r>
            <w:r w:rsidRPr="00013C4E">
              <w:rPr>
                <w:rFonts w:ascii="Garamond" w:hAnsi="Garamond"/>
                <w:lang w:val="en-AU"/>
              </w:rPr>
              <w:t>on-concordance prolonged duration of SAP is perceived to be driven by benevolence for the individual patient.</w:t>
            </w:r>
          </w:p>
          <w:p w:rsidR="00013C4E" w:rsidRDefault="00013C4E" w:rsidP="00013C4E">
            <w:pPr>
              <w:pStyle w:val="ListParagraph"/>
              <w:numPr>
                <w:ilvl w:val="0"/>
                <w:numId w:val="20"/>
              </w:numPr>
              <w:rPr>
                <w:rFonts w:ascii="Garamond" w:hAnsi="Garamond"/>
                <w:lang w:val="en-AU"/>
              </w:rPr>
            </w:pPr>
            <w:r>
              <w:rPr>
                <w:rFonts w:ascii="Garamond" w:hAnsi="Garamond"/>
                <w:lang w:val="en-AU"/>
              </w:rPr>
              <w:t>I</w:t>
            </w:r>
            <w:r w:rsidRPr="00013C4E">
              <w:rPr>
                <w:rFonts w:ascii="Garamond" w:hAnsi="Garamond"/>
                <w:lang w:val="en-AU"/>
              </w:rPr>
              <w:t>mprovisation with novel SAP strategies is reported as ubiquitous, and acknowledged to confer a sense of reassurance to the surgeon despite potential non-concordance with guidelines or clinical efficacy.</w:t>
            </w:r>
          </w:p>
          <w:p w:rsidR="00013C4E" w:rsidRPr="00013C4E" w:rsidRDefault="00013C4E" w:rsidP="00013C4E">
            <w:pPr>
              <w:rPr>
                <w:rFonts w:ascii="Garamond" w:hAnsi="Garamond"/>
                <w:lang w:val="en-AU"/>
              </w:rPr>
            </w:pPr>
            <w:r>
              <w:rPr>
                <w:rFonts w:ascii="Garamond" w:hAnsi="Garamond"/>
                <w:lang w:val="en-AU"/>
              </w:rPr>
              <w:t>The authors suggest that “</w:t>
            </w:r>
            <w:r w:rsidRPr="00013C4E">
              <w:rPr>
                <w:rFonts w:ascii="Garamond" w:hAnsi="Garamond"/>
                <w:lang w:val="en-AU"/>
              </w:rPr>
              <w:t>Surgeons require specific forms of AMS support to enact optimisation, including support for strong collaborative ownership of the surgical risk of infection, and intra-specialty (within surgical specialties) and inter-specialty (between surgery, anaesthetics and infectious diseases) intervention strategies to establish endorsement of and address barriers to guideline implementation.</w:t>
            </w:r>
            <w:r>
              <w:rPr>
                <w:rFonts w:ascii="Garamond" w:hAnsi="Garamond"/>
                <w:lang w:val="en-AU"/>
              </w:rPr>
              <w:t>”</w:t>
            </w:r>
          </w:p>
        </w:tc>
      </w:tr>
    </w:tbl>
    <w:p w:rsidR="00EE2A35" w:rsidRDefault="00EE2A35" w:rsidP="00EE2A35">
      <w:pPr>
        <w:keepLines/>
        <w:autoSpaceDE w:val="0"/>
        <w:autoSpaceDN w:val="0"/>
        <w:adjustRightInd w:val="0"/>
        <w:rPr>
          <w:rFonts w:ascii="Garamond" w:hAnsi="Garamond"/>
          <w:lang w:val="en-AU"/>
        </w:rPr>
      </w:pPr>
    </w:p>
    <w:p w:rsidR="00D95483" w:rsidRPr="00D95483" w:rsidRDefault="00D95483" w:rsidP="00D95483">
      <w:pPr>
        <w:keepNext/>
        <w:keepLines/>
        <w:autoSpaceDE w:val="0"/>
        <w:autoSpaceDN w:val="0"/>
        <w:adjustRightInd w:val="0"/>
        <w:rPr>
          <w:rFonts w:ascii="Garamond" w:hAnsi="Garamond"/>
          <w:i/>
          <w:lang w:val="en-AU"/>
        </w:rPr>
      </w:pPr>
      <w:r w:rsidRPr="00D95483">
        <w:rPr>
          <w:rFonts w:ascii="Garamond" w:hAnsi="Garamond"/>
          <w:i/>
          <w:lang w:val="en-AU"/>
        </w:rPr>
        <w:t>Nursing Leadership</w:t>
      </w:r>
    </w:p>
    <w:p w:rsidR="00A84001" w:rsidRPr="00E566B0" w:rsidRDefault="00D95483" w:rsidP="00D95483">
      <w:pPr>
        <w:keepNext/>
        <w:keepLines/>
        <w:autoSpaceDE w:val="0"/>
        <w:autoSpaceDN w:val="0"/>
        <w:adjustRightInd w:val="0"/>
        <w:rPr>
          <w:rFonts w:ascii="Garamond" w:hAnsi="Garamond"/>
          <w:lang w:val="en-AU"/>
        </w:rPr>
      </w:pPr>
      <w:r w:rsidRPr="00D95483">
        <w:rPr>
          <w:rFonts w:ascii="Garamond" w:hAnsi="Garamond"/>
          <w:lang w:val="en-AU"/>
        </w:rPr>
        <w:t>Vol. 31, No. 1, 2018</w:t>
      </w:r>
    </w:p>
    <w:tbl>
      <w:tblPr>
        <w:tblStyle w:val="TableGrid"/>
        <w:tblW w:w="0" w:type="auto"/>
        <w:tblInd w:w="288" w:type="dxa"/>
        <w:tblLayout w:type="fixed"/>
        <w:tblLook w:val="01E0" w:firstRow="1" w:lastRow="1" w:firstColumn="1" w:lastColumn="1" w:noHBand="0" w:noVBand="0"/>
      </w:tblPr>
      <w:tblGrid>
        <w:gridCol w:w="1080"/>
        <w:gridCol w:w="8280"/>
      </w:tblGrid>
      <w:tr w:rsidR="00A84001" w:rsidRPr="000170DA" w:rsidTr="00726E55">
        <w:tc>
          <w:tcPr>
            <w:tcW w:w="1080" w:type="dxa"/>
            <w:tcBorders>
              <w:top w:val="single" w:sz="4" w:space="0" w:color="auto"/>
              <w:left w:val="single" w:sz="4" w:space="0" w:color="auto"/>
              <w:bottom w:val="single" w:sz="4" w:space="0" w:color="auto"/>
              <w:right w:val="single" w:sz="4" w:space="0" w:color="auto"/>
            </w:tcBorders>
            <w:vAlign w:val="center"/>
          </w:tcPr>
          <w:p w:rsidR="00A84001" w:rsidRPr="000170DA" w:rsidRDefault="00D95483" w:rsidP="00726E5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84001" w:rsidRPr="000170DA" w:rsidRDefault="007D7CED" w:rsidP="00726E55">
            <w:pPr>
              <w:rPr>
                <w:rStyle w:val="Hyperlink"/>
                <w:rFonts w:ascii="Garamond" w:hAnsi="Garamond"/>
                <w:color w:val="auto"/>
                <w:u w:val="none"/>
                <w:lang w:val="en-AU"/>
              </w:rPr>
            </w:pPr>
            <w:hyperlink r:id="rId31" w:history="1">
              <w:r w:rsidR="00D95483" w:rsidRPr="00665C0B">
                <w:rPr>
                  <w:rStyle w:val="Hyperlink"/>
                  <w:rFonts w:ascii="Garamond" w:hAnsi="Garamond"/>
                  <w:lang w:val="en-AU"/>
                </w:rPr>
                <w:t>http://www.longwoods.com/publications/nursing-leadership/25471</w:t>
              </w:r>
            </w:hyperlink>
          </w:p>
        </w:tc>
      </w:tr>
      <w:tr w:rsidR="00A84001" w:rsidRPr="000170DA" w:rsidTr="00726E55">
        <w:tc>
          <w:tcPr>
            <w:tcW w:w="1080" w:type="dxa"/>
            <w:tcBorders>
              <w:top w:val="single" w:sz="4" w:space="0" w:color="auto"/>
              <w:left w:val="single" w:sz="4" w:space="0" w:color="auto"/>
              <w:bottom w:val="single" w:sz="4" w:space="0" w:color="auto"/>
              <w:right w:val="single" w:sz="4" w:space="0" w:color="auto"/>
            </w:tcBorders>
            <w:vAlign w:val="center"/>
          </w:tcPr>
          <w:p w:rsidR="00A84001" w:rsidRPr="000170DA" w:rsidRDefault="00A84001" w:rsidP="00726E5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84001" w:rsidRDefault="00570D32" w:rsidP="00726E55">
            <w:pPr>
              <w:rPr>
                <w:rFonts w:ascii="Garamond" w:hAnsi="Garamond"/>
                <w:lang w:val="en-AU"/>
              </w:rPr>
            </w:pPr>
            <w:r w:rsidRPr="00570D32">
              <w:rPr>
                <w:rFonts w:ascii="Garamond" w:hAnsi="Garamond"/>
                <w:lang w:val="en-AU"/>
              </w:rPr>
              <w:t xml:space="preserve">A new issue of </w:t>
            </w:r>
            <w:r w:rsidRPr="00570D32">
              <w:rPr>
                <w:rFonts w:ascii="Garamond" w:hAnsi="Garamond"/>
                <w:i/>
                <w:lang w:val="en-AU"/>
              </w:rPr>
              <w:t>Nursing Leadership</w:t>
            </w:r>
            <w:r w:rsidRPr="00570D32">
              <w:rPr>
                <w:rFonts w:ascii="Garamond" w:hAnsi="Garamond"/>
                <w:lang w:val="en-AU"/>
              </w:rPr>
              <w:t xml:space="preserve"> has been published </w:t>
            </w:r>
            <w:r>
              <w:rPr>
                <w:rFonts w:ascii="Garamond" w:hAnsi="Garamond"/>
                <w:lang w:val="en-AU"/>
              </w:rPr>
              <w:t xml:space="preserve">with a </w:t>
            </w:r>
            <w:r w:rsidRPr="00570D32">
              <w:rPr>
                <w:rFonts w:ascii="Garamond" w:hAnsi="Garamond"/>
                <w:lang w:val="en-AU"/>
              </w:rPr>
              <w:t xml:space="preserve">Special Focus on </w:t>
            </w:r>
            <w:r w:rsidRPr="00570D32">
              <w:rPr>
                <w:rFonts w:ascii="Garamond" w:hAnsi="Garamond"/>
                <w:b/>
                <w:lang w:val="en-AU"/>
              </w:rPr>
              <w:t>Indigenous Nursing</w:t>
            </w:r>
            <w:r w:rsidRPr="00570D32">
              <w:rPr>
                <w:rFonts w:ascii="Garamond" w:hAnsi="Garamond"/>
                <w:lang w:val="en-AU"/>
              </w:rPr>
              <w:t xml:space="preserve">. Articles in this issue of </w:t>
            </w:r>
            <w:r w:rsidRPr="00570D32">
              <w:rPr>
                <w:rFonts w:ascii="Garamond" w:hAnsi="Garamond"/>
                <w:i/>
                <w:lang w:val="en-AU"/>
              </w:rPr>
              <w:t>Nursing Leadership</w:t>
            </w:r>
            <w:r w:rsidRPr="00570D32">
              <w:rPr>
                <w:rFonts w:ascii="Garamond" w:hAnsi="Garamond"/>
                <w:lang w:val="en-AU"/>
              </w:rPr>
              <w:t xml:space="preserve"> include:</w:t>
            </w:r>
          </w:p>
          <w:p w:rsidR="00570D32" w:rsidRPr="00570D32" w:rsidRDefault="00570D32" w:rsidP="00981F47">
            <w:pPr>
              <w:pStyle w:val="ListParagraph"/>
              <w:numPr>
                <w:ilvl w:val="0"/>
                <w:numId w:val="17"/>
              </w:numPr>
              <w:rPr>
                <w:rFonts w:ascii="Garamond" w:hAnsi="Garamond"/>
                <w:lang w:val="en-AU"/>
              </w:rPr>
            </w:pPr>
            <w:r w:rsidRPr="00570D32">
              <w:rPr>
                <w:rFonts w:ascii="Garamond" w:hAnsi="Garamond"/>
                <w:lang w:val="en-AU"/>
              </w:rPr>
              <w:t xml:space="preserve">Are You </w:t>
            </w:r>
            <w:r w:rsidRPr="00570D32">
              <w:rPr>
                <w:rFonts w:ascii="Garamond" w:hAnsi="Garamond"/>
                <w:b/>
                <w:lang w:val="en-AU"/>
              </w:rPr>
              <w:t>Culturally Competent</w:t>
            </w:r>
            <w:r w:rsidRPr="00570D32">
              <w:rPr>
                <w:rFonts w:ascii="Garamond" w:hAnsi="Garamond"/>
                <w:lang w:val="en-AU"/>
              </w:rPr>
              <w:t>? (</w:t>
            </w:r>
            <w:r>
              <w:rPr>
                <w:rFonts w:ascii="Garamond" w:hAnsi="Garamond"/>
                <w:lang w:val="en-AU"/>
              </w:rPr>
              <w:t>Lynn M</w:t>
            </w:r>
            <w:r w:rsidRPr="00570D32">
              <w:rPr>
                <w:rFonts w:ascii="Garamond" w:hAnsi="Garamond"/>
                <w:lang w:val="en-AU"/>
              </w:rPr>
              <w:t xml:space="preserve"> Nagle</w:t>
            </w:r>
            <w:r>
              <w:rPr>
                <w:rFonts w:ascii="Garamond" w:hAnsi="Garamond"/>
                <w:lang w:val="en-AU"/>
              </w:rPr>
              <w:t>)</w:t>
            </w:r>
          </w:p>
          <w:p w:rsidR="00570D32" w:rsidRPr="00570D32" w:rsidRDefault="00570D32" w:rsidP="00981F47">
            <w:pPr>
              <w:pStyle w:val="ListParagraph"/>
              <w:numPr>
                <w:ilvl w:val="0"/>
                <w:numId w:val="17"/>
              </w:numPr>
              <w:rPr>
                <w:rFonts w:ascii="Garamond" w:hAnsi="Garamond"/>
                <w:lang w:val="en-AU"/>
              </w:rPr>
            </w:pPr>
            <w:r w:rsidRPr="00570D32">
              <w:rPr>
                <w:rFonts w:ascii="Garamond" w:hAnsi="Garamond"/>
                <w:lang w:val="en-AU"/>
              </w:rPr>
              <w:t xml:space="preserve">Conceptualizing the Role of a Strategist for Outreach and Indigenous Engagement to Lead </w:t>
            </w:r>
            <w:r w:rsidRPr="00570D32">
              <w:rPr>
                <w:rFonts w:ascii="Garamond" w:hAnsi="Garamond"/>
                <w:b/>
                <w:lang w:val="en-AU"/>
              </w:rPr>
              <w:t>Recruitment and Retention of Indigenous Students</w:t>
            </w:r>
            <w:r w:rsidRPr="00570D32">
              <w:rPr>
                <w:rFonts w:ascii="Garamond" w:hAnsi="Garamond"/>
                <w:lang w:val="en-AU"/>
              </w:rPr>
              <w:t xml:space="preserve"> (Lorna Butler, Lois Berry and Heather Exner-Pirot</w:t>
            </w:r>
            <w:r>
              <w:rPr>
                <w:rFonts w:ascii="Garamond" w:hAnsi="Garamond"/>
                <w:lang w:val="en-AU"/>
              </w:rPr>
              <w:t>)</w:t>
            </w:r>
          </w:p>
          <w:p w:rsidR="00570D32" w:rsidRPr="00570D32" w:rsidRDefault="00570D32" w:rsidP="00981F47">
            <w:pPr>
              <w:pStyle w:val="ListParagraph"/>
              <w:numPr>
                <w:ilvl w:val="0"/>
                <w:numId w:val="17"/>
              </w:numPr>
              <w:rPr>
                <w:rFonts w:ascii="Garamond" w:hAnsi="Garamond"/>
                <w:lang w:val="en-AU"/>
              </w:rPr>
            </w:pPr>
            <w:r w:rsidRPr="00570D32">
              <w:rPr>
                <w:rFonts w:ascii="Garamond" w:hAnsi="Garamond"/>
                <w:lang w:val="en-AU"/>
              </w:rPr>
              <w:t xml:space="preserve">Reshaping Policies to Achieve a Strategic Plan for </w:t>
            </w:r>
            <w:r w:rsidRPr="00570D32">
              <w:rPr>
                <w:rFonts w:ascii="Garamond" w:hAnsi="Garamond"/>
                <w:b/>
                <w:lang w:val="en-AU"/>
              </w:rPr>
              <w:t>Indigenous Engagement in Nursing Education</w:t>
            </w:r>
            <w:r w:rsidRPr="00570D32">
              <w:rPr>
                <w:rFonts w:ascii="Garamond" w:hAnsi="Garamond"/>
                <w:lang w:val="en-AU"/>
              </w:rPr>
              <w:t xml:space="preserve"> (Lorna Butler, Heather Exner-Pirot and Lois Berry</w:t>
            </w:r>
            <w:r>
              <w:rPr>
                <w:rFonts w:ascii="Garamond" w:hAnsi="Garamond"/>
                <w:lang w:val="en-AU"/>
              </w:rPr>
              <w:t>)</w:t>
            </w:r>
          </w:p>
          <w:p w:rsidR="00570D32" w:rsidRPr="00570D32" w:rsidRDefault="00570D32" w:rsidP="00981F47">
            <w:pPr>
              <w:pStyle w:val="ListParagraph"/>
              <w:numPr>
                <w:ilvl w:val="0"/>
                <w:numId w:val="17"/>
              </w:numPr>
              <w:rPr>
                <w:rFonts w:ascii="Garamond" w:hAnsi="Garamond"/>
                <w:lang w:val="en-AU"/>
              </w:rPr>
            </w:pPr>
            <w:r w:rsidRPr="00570D32">
              <w:rPr>
                <w:rFonts w:ascii="Garamond" w:hAnsi="Garamond"/>
                <w:lang w:val="en-AU"/>
              </w:rPr>
              <w:t xml:space="preserve">Commentary: </w:t>
            </w:r>
            <w:r w:rsidRPr="00570D32">
              <w:rPr>
                <w:rFonts w:ascii="Garamond" w:hAnsi="Garamond"/>
                <w:b/>
                <w:lang w:val="en-AU"/>
              </w:rPr>
              <w:t>Indigenous Nursing – Learning from the Past</w:t>
            </w:r>
            <w:r w:rsidRPr="00570D32">
              <w:rPr>
                <w:rFonts w:ascii="Garamond" w:hAnsi="Garamond"/>
                <w:lang w:val="en-AU"/>
              </w:rPr>
              <w:t xml:space="preserve"> to Strengthen the Future of Healthcare (Lea Bill and Leila Gillis</w:t>
            </w:r>
            <w:r>
              <w:rPr>
                <w:rFonts w:ascii="Garamond" w:hAnsi="Garamond"/>
                <w:lang w:val="en-AU"/>
              </w:rPr>
              <w:t>)</w:t>
            </w:r>
          </w:p>
          <w:p w:rsidR="00570D32" w:rsidRPr="00570D32" w:rsidRDefault="00570D32" w:rsidP="00981F47">
            <w:pPr>
              <w:pStyle w:val="ListParagraph"/>
              <w:numPr>
                <w:ilvl w:val="0"/>
                <w:numId w:val="17"/>
              </w:numPr>
              <w:rPr>
                <w:rFonts w:ascii="Garamond" w:hAnsi="Garamond"/>
                <w:lang w:val="en-AU"/>
              </w:rPr>
            </w:pPr>
            <w:r w:rsidRPr="00570D32">
              <w:rPr>
                <w:rFonts w:ascii="Garamond" w:hAnsi="Garamond"/>
                <w:lang w:val="en-AU"/>
              </w:rPr>
              <w:t xml:space="preserve">Development and Validation of the </w:t>
            </w:r>
            <w:r w:rsidRPr="00570D32">
              <w:rPr>
                <w:rFonts w:ascii="Garamond" w:hAnsi="Garamond"/>
                <w:b/>
                <w:lang w:val="en-AU"/>
              </w:rPr>
              <w:t>LEADS Scale</w:t>
            </w:r>
            <w:r w:rsidRPr="00570D32">
              <w:rPr>
                <w:rFonts w:ascii="Garamond" w:hAnsi="Garamond"/>
                <w:lang w:val="en-AU"/>
              </w:rPr>
              <w:t xml:space="preserve"> (Stephanie Gilbert and E Kevin Kelloway</w:t>
            </w:r>
            <w:r>
              <w:rPr>
                <w:rFonts w:ascii="Garamond" w:hAnsi="Garamond"/>
                <w:lang w:val="en-AU"/>
              </w:rPr>
              <w:t>)</w:t>
            </w:r>
          </w:p>
          <w:p w:rsidR="00570D32" w:rsidRPr="00570D32" w:rsidRDefault="00570D32" w:rsidP="00981F47">
            <w:pPr>
              <w:pStyle w:val="ListParagraph"/>
              <w:numPr>
                <w:ilvl w:val="0"/>
                <w:numId w:val="17"/>
              </w:numPr>
              <w:rPr>
                <w:rFonts w:ascii="Garamond" w:hAnsi="Garamond"/>
                <w:lang w:val="en-AU"/>
              </w:rPr>
            </w:pPr>
            <w:r w:rsidRPr="00570D32">
              <w:rPr>
                <w:rFonts w:ascii="Garamond" w:hAnsi="Garamond"/>
                <w:b/>
                <w:lang w:val="en-AU"/>
              </w:rPr>
              <w:t>LEADS Case Study</w:t>
            </w:r>
            <w:r w:rsidRPr="00570D32">
              <w:rPr>
                <w:rFonts w:ascii="Garamond" w:hAnsi="Garamond"/>
                <w:lang w:val="en-AU"/>
              </w:rPr>
              <w:t>: Partnering to Offer a Diabetes Management e-Learning Module to Nursing and Allied Health Staff (Heather Hunt-Smith and Mollie Butler</w:t>
            </w:r>
            <w:r>
              <w:rPr>
                <w:rFonts w:ascii="Garamond" w:hAnsi="Garamond"/>
                <w:lang w:val="en-AU"/>
              </w:rPr>
              <w:t>)</w:t>
            </w:r>
          </w:p>
          <w:p w:rsidR="00570D32" w:rsidRPr="00570D32" w:rsidRDefault="00570D32" w:rsidP="00981F47">
            <w:pPr>
              <w:pStyle w:val="ListParagraph"/>
              <w:numPr>
                <w:ilvl w:val="0"/>
                <w:numId w:val="17"/>
              </w:numPr>
              <w:rPr>
                <w:rFonts w:ascii="Garamond" w:hAnsi="Garamond"/>
                <w:lang w:val="en-AU"/>
              </w:rPr>
            </w:pPr>
            <w:r w:rsidRPr="00570D32">
              <w:rPr>
                <w:rFonts w:ascii="Garamond" w:hAnsi="Garamond"/>
                <w:lang w:val="en-AU"/>
              </w:rPr>
              <w:t>Exploring the Effectiveness of Multisource</w:t>
            </w:r>
            <w:r w:rsidRPr="00570D32">
              <w:rPr>
                <w:rFonts w:ascii="Garamond" w:hAnsi="Garamond"/>
                <w:b/>
                <w:lang w:val="en-AU"/>
              </w:rPr>
              <w:t xml:space="preserve"> Feedback and Coaching with Nurse Practitioners</w:t>
            </w:r>
            <w:r w:rsidRPr="00570D32">
              <w:rPr>
                <w:rFonts w:ascii="Garamond" w:hAnsi="Garamond"/>
                <w:lang w:val="en-AU"/>
              </w:rPr>
              <w:t xml:space="preserve"> (Ross Graham and Rosanne Beuthin</w:t>
            </w:r>
            <w:r>
              <w:rPr>
                <w:rFonts w:ascii="Garamond" w:hAnsi="Garamond"/>
                <w:lang w:val="en-AU"/>
              </w:rPr>
              <w:t>)</w:t>
            </w:r>
          </w:p>
        </w:tc>
      </w:tr>
    </w:tbl>
    <w:p w:rsidR="004C6518" w:rsidRDefault="004C6518" w:rsidP="004C6518">
      <w:pPr>
        <w:keepNext/>
        <w:keepLines/>
        <w:autoSpaceDE w:val="0"/>
        <w:autoSpaceDN w:val="0"/>
        <w:adjustRightInd w:val="0"/>
        <w:rPr>
          <w:rFonts w:ascii="Garamond" w:hAnsi="Garamond"/>
          <w:i/>
          <w:lang w:val="en-AU"/>
        </w:rPr>
      </w:pPr>
    </w:p>
    <w:p w:rsidR="00FB6960" w:rsidRDefault="00FB6960">
      <w:pPr>
        <w:rPr>
          <w:rFonts w:ascii="Garamond" w:hAnsi="Garamond"/>
          <w:i/>
          <w:lang w:val="en-AU"/>
        </w:rPr>
      </w:pPr>
      <w:r>
        <w:rPr>
          <w:rFonts w:ascii="Garamond" w:hAnsi="Garamond"/>
          <w:i/>
          <w:lang w:val="en-AU"/>
        </w:rPr>
        <w:br w:type="page"/>
      </w:r>
    </w:p>
    <w:p w:rsidR="000F158D" w:rsidRPr="003F6E6A" w:rsidRDefault="000F158D" w:rsidP="000F158D">
      <w:pPr>
        <w:keepLines/>
        <w:autoSpaceDE w:val="0"/>
        <w:autoSpaceDN w:val="0"/>
        <w:adjustRightInd w:val="0"/>
        <w:rPr>
          <w:rFonts w:ascii="Garamond" w:hAnsi="Garamond"/>
          <w:i/>
          <w:lang w:val="en-AU"/>
        </w:rPr>
      </w:pPr>
      <w:r w:rsidRPr="003F6E6A">
        <w:rPr>
          <w:rFonts w:ascii="Garamond" w:hAnsi="Garamond"/>
          <w:i/>
          <w:lang w:val="en-AU"/>
        </w:rPr>
        <w:lastRenderedPageBreak/>
        <w:t>Public Health Research &amp; Practice</w:t>
      </w:r>
    </w:p>
    <w:p w:rsidR="000F158D" w:rsidRPr="000170DA" w:rsidRDefault="00964A83" w:rsidP="000F158D">
      <w:pPr>
        <w:keepLines/>
        <w:autoSpaceDE w:val="0"/>
        <w:autoSpaceDN w:val="0"/>
        <w:adjustRightInd w:val="0"/>
        <w:rPr>
          <w:rFonts w:ascii="Garamond" w:hAnsi="Garamond"/>
          <w:lang w:val="en-AU"/>
        </w:rPr>
      </w:pPr>
      <w:r>
        <w:rPr>
          <w:rFonts w:ascii="Garamond" w:hAnsi="Garamond"/>
          <w:lang w:val="en-AU"/>
        </w:rPr>
        <w:t>June</w:t>
      </w:r>
      <w:r w:rsidR="000F158D">
        <w:rPr>
          <w:rFonts w:ascii="Garamond" w:hAnsi="Garamond"/>
          <w:lang w:val="en-AU"/>
        </w:rPr>
        <w:t xml:space="preserve"> 2018</w:t>
      </w:r>
      <w:r w:rsidR="000F158D" w:rsidRPr="003F6E6A">
        <w:rPr>
          <w:rFonts w:ascii="Garamond" w:hAnsi="Garamond"/>
          <w:lang w:val="en-AU"/>
        </w:rPr>
        <w:t>, Volume 2</w:t>
      </w:r>
      <w:r w:rsidR="000F158D">
        <w:rPr>
          <w:rFonts w:ascii="Garamond" w:hAnsi="Garamond"/>
          <w:lang w:val="en-AU"/>
        </w:rPr>
        <w:t xml:space="preserve">8, Issue </w:t>
      </w:r>
      <w:r>
        <w:rPr>
          <w:rFonts w:ascii="Garamond" w:hAnsi="Garamond"/>
          <w:lang w:val="en-AU"/>
        </w:rPr>
        <w:t>2</w:t>
      </w:r>
    </w:p>
    <w:tbl>
      <w:tblPr>
        <w:tblStyle w:val="TableGrid"/>
        <w:tblW w:w="0" w:type="auto"/>
        <w:tblInd w:w="288" w:type="dxa"/>
        <w:tblLayout w:type="fixed"/>
        <w:tblLook w:val="01E0" w:firstRow="1" w:lastRow="1" w:firstColumn="1" w:lastColumn="1" w:noHBand="0" w:noVBand="0"/>
      </w:tblPr>
      <w:tblGrid>
        <w:gridCol w:w="1080"/>
        <w:gridCol w:w="8280"/>
      </w:tblGrid>
      <w:tr w:rsidR="000F158D" w:rsidRPr="000170DA" w:rsidTr="00822FD1">
        <w:tc>
          <w:tcPr>
            <w:tcW w:w="1080" w:type="dxa"/>
            <w:tcBorders>
              <w:top w:val="single" w:sz="4" w:space="0" w:color="auto"/>
              <w:left w:val="single" w:sz="4" w:space="0" w:color="auto"/>
              <w:bottom w:val="single" w:sz="4" w:space="0" w:color="auto"/>
              <w:right w:val="single" w:sz="4" w:space="0" w:color="auto"/>
            </w:tcBorders>
            <w:vAlign w:val="center"/>
          </w:tcPr>
          <w:p w:rsidR="000F158D" w:rsidRPr="000170DA" w:rsidRDefault="000F158D" w:rsidP="00822FD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F158D" w:rsidRPr="000170DA" w:rsidRDefault="007D7CED" w:rsidP="00964A83">
            <w:pPr>
              <w:rPr>
                <w:rStyle w:val="Hyperlink"/>
                <w:rFonts w:ascii="Garamond" w:hAnsi="Garamond"/>
                <w:color w:val="auto"/>
                <w:u w:val="none"/>
                <w:lang w:val="en-AU"/>
              </w:rPr>
            </w:pPr>
            <w:hyperlink r:id="rId32" w:history="1">
              <w:r w:rsidR="00964A83" w:rsidRPr="00EA3230">
                <w:rPr>
                  <w:rStyle w:val="Hyperlink"/>
                  <w:rFonts w:ascii="Garamond" w:hAnsi="Garamond"/>
                  <w:lang w:val="en-AU"/>
                </w:rPr>
                <w:t>http://www.phrp.com.au/issues/june-2018-volume-28-issue-2/</w:t>
              </w:r>
            </w:hyperlink>
          </w:p>
        </w:tc>
      </w:tr>
      <w:tr w:rsidR="000F158D" w:rsidRPr="000170DA" w:rsidTr="00822FD1">
        <w:tc>
          <w:tcPr>
            <w:tcW w:w="1080" w:type="dxa"/>
            <w:tcBorders>
              <w:top w:val="single" w:sz="4" w:space="0" w:color="auto"/>
              <w:left w:val="single" w:sz="4" w:space="0" w:color="auto"/>
              <w:bottom w:val="single" w:sz="4" w:space="0" w:color="auto"/>
              <w:right w:val="single" w:sz="4" w:space="0" w:color="auto"/>
            </w:tcBorders>
            <w:vAlign w:val="center"/>
          </w:tcPr>
          <w:p w:rsidR="000F158D" w:rsidRPr="000170DA" w:rsidRDefault="000F158D" w:rsidP="00822FD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158D" w:rsidRDefault="000F158D" w:rsidP="00822FD1">
            <w:pPr>
              <w:rPr>
                <w:rFonts w:ascii="Garamond" w:hAnsi="Garamond"/>
                <w:lang w:val="en-AU"/>
              </w:rPr>
            </w:pPr>
            <w:r w:rsidRPr="00A44A1F">
              <w:rPr>
                <w:rFonts w:ascii="Garamond" w:hAnsi="Garamond"/>
                <w:lang w:val="en-AU"/>
              </w:rPr>
              <w:t xml:space="preserve">A new issue of </w:t>
            </w:r>
            <w:r w:rsidRPr="003F6E6A">
              <w:rPr>
                <w:rFonts w:ascii="Garamond" w:hAnsi="Garamond"/>
                <w:i/>
                <w:lang w:val="en-AU"/>
              </w:rPr>
              <w:t>Public Health Research &amp; Practice</w:t>
            </w:r>
            <w:r w:rsidRPr="00A44A1F">
              <w:rPr>
                <w:rFonts w:ascii="Garamond" w:hAnsi="Garamond"/>
                <w:lang w:val="en-AU"/>
              </w:rPr>
              <w:t xml:space="preserve"> has been published</w:t>
            </w:r>
            <w:r>
              <w:rPr>
                <w:rFonts w:ascii="Garamond" w:hAnsi="Garamond"/>
                <w:lang w:val="en-AU"/>
              </w:rPr>
              <w:t xml:space="preserve"> with a focus on “</w:t>
            </w:r>
            <w:r w:rsidRPr="000F158D">
              <w:rPr>
                <w:rFonts w:ascii="Garamond" w:hAnsi="Garamond"/>
                <w:lang w:val="en-AU"/>
              </w:rPr>
              <w:t>Putting the ‘public’ back in public health research</w:t>
            </w:r>
            <w:r>
              <w:rPr>
                <w:rFonts w:ascii="Garamond" w:hAnsi="Garamond"/>
                <w:lang w:val="en-AU"/>
              </w:rPr>
              <w:t>”</w:t>
            </w:r>
            <w:r w:rsidRPr="00A44A1F">
              <w:rPr>
                <w:rFonts w:ascii="Garamond" w:hAnsi="Garamond"/>
                <w:lang w:val="en-AU"/>
              </w:rPr>
              <w:t xml:space="preserve">. Articles in this issue of </w:t>
            </w:r>
            <w:r w:rsidRPr="003F6E6A">
              <w:rPr>
                <w:rFonts w:ascii="Garamond" w:hAnsi="Garamond"/>
                <w:i/>
                <w:lang w:val="en-AU"/>
              </w:rPr>
              <w:t>Public Health Research &amp; Practice</w:t>
            </w:r>
            <w:r w:rsidRPr="00A44A1F">
              <w:rPr>
                <w:rFonts w:ascii="Garamond" w:hAnsi="Garamond"/>
                <w:lang w:val="en-AU"/>
              </w:rPr>
              <w:t xml:space="preserve"> include:</w:t>
            </w:r>
          </w:p>
          <w:p w:rsidR="002C12FA" w:rsidRPr="002C12FA" w:rsidRDefault="000F158D" w:rsidP="002C12FA">
            <w:pPr>
              <w:pStyle w:val="ListParagraph"/>
              <w:numPr>
                <w:ilvl w:val="0"/>
                <w:numId w:val="19"/>
              </w:numPr>
              <w:rPr>
                <w:rFonts w:ascii="Garamond" w:hAnsi="Garamond"/>
                <w:lang w:val="en-AU"/>
              </w:rPr>
            </w:pPr>
            <w:r w:rsidRPr="002C12FA">
              <w:rPr>
                <w:rFonts w:ascii="Garamond" w:hAnsi="Garamond"/>
                <w:lang w:val="en-AU"/>
              </w:rPr>
              <w:t xml:space="preserve">Editorial: </w:t>
            </w:r>
            <w:r w:rsidR="002C12FA" w:rsidRPr="002C12FA">
              <w:rPr>
                <w:rFonts w:ascii="Garamond" w:hAnsi="Garamond"/>
                <w:lang w:val="en-AU"/>
              </w:rPr>
              <w:t xml:space="preserve">Putting the ‘public’ back in </w:t>
            </w:r>
            <w:r w:rsidR="002C12FA" w:rsidRPr="002C12FA">
              <w:rPr>
                <w:rFonts w:ascii="Garamond" w:hAnsi="Garamond"/>
                <w:b/>
                <w:lang w:val="en-AU"/>
              </w:rPr>
              <w:t>public health research</w:t>
            </w:r>
            <w:r w:rsidR="002C12FA" w:rsidRPr="002C12FA">
              <w:rPr>
                <w:rFonts w:ascii="Garamond" w:hAnsi="Garamond"/>
                <w:lang w:val="en-AU"/>
              </w:rPr>
              <w:t xml:space="preserve"> (Don Nutbeam</w:t>
            </w:r>
            <w:r w:rsidR="002C12FA">
              <w:rPr>
                <w:rFonts w:ascii="Garamond" w:hAnsi="Garamond"/>
                <w:lang w:val="en-AU"/>
              </w:rPr>
              <w:t>)</w:t>
            </w:r>
          </w:p>
          <w:p w:rsidR="002C12FA" w:rsidRPr="002C12FA" w:rsidRDefault="002C12FA" w:rsidP="002C12FA">
            <w:pPr>
              <w:pStyle w:val="ListParagraph"/>
              <w:numPr>
                <w:ilvl w:val="0"/>
                <w:numId w:val="19"/>
              </w:numPr>
              <w:rPr>
                <w:rFonts w:ascii="Garamond" w:hAnsi="Garamond"/>
                <w:lang w:val="en-AU"/>
              </w:rPr>
            </w:pPr>
            <w:r w:rsidRPr="002C12FA">
              <w:rPr>
                <w:rFonts w:ascii="Garamond" w:hAnsi="Garamond"/>
                <w:lang w:val="en-AU"/>
              </w:rPr>
              <w:t xml:space="preserve">How can communities and organisations improve their </w:t>
            </w:r>
            <w:r w:rsidRPr="002C12FA">
              <w:rPr>
                <w:rFonts w:ascii="Garamond" w:hAnsi="Garamond"/>
                <w:b/>
                <w:lang w:val="en-AU"/>
              </w:rPr>
              <w:t>health literacy</w:t>
            </w:r>
            <w:r w:rsidRPr="002C12FA">
              <w:rPr>
                <w:rFonts w:ascii="Garamond" w:hAnsi="Garamond"/>
                <w:lang w:val="en-AU"/>
              </w:rPr>
              <w:t>? (Jane Lloyd, Louise Thomas, Gawaine Powell-Davies, Regina Osten, Mark Harris</w:t>
            </w:r>
            <w:r>
              <w:rPr>
                <w:rFonts w:ascii="Garamond" w:hAnsi="Garamond"/>
                <w:lang w:val="en-AU"/>
              </w:rPr>
              <w:t>)</w:t>
            </w:r>
          </w:p>
          <w:p w:rsidR="002C12FA" w:rsidRPr="002C12FA" w:rsidRDefault="002C12FA" w:rsidP="002C12FA">
            <w:pPr>
              <w:pStyle w:val="ListParagraph"/>
              <w:numPr>
                <w:ilvl w:val="0"/>
                <w:numId w:val="19"/>
              </w:numPr>
              <w:rPr>
                <w:rFonts w:ascii="Garamond" w:hAnsi="Garamond"/>
                <w:lang w:val="en-AU"/>
              </w:rPr>
            </w:pPr>
            <w:r w:rsidRPr="002C12FA">
              <w:rPr>
                <w:rFonts w:ascii="Garamond" w:hAnsi="Garamond"/>
                <w:lang w:val="en-AU"/>
              </w:rPr>
              <w:t xml:space="preserve">Optimising the use of </w:t>
            </w:r>
            <w:r w:rsidRPr="002C12FA">
              <w:rPr>
                <w:rFonts w:ascii="Garamond" w:hAnsi="Garamond"/>
                <w:b/>
                <w:lang w:val="en-AU"/>
              </w:rPr>
              <w:t>linked administrative data</w:t>
            </w:r>
            <w:r w:rsidRPr="002C12FA">
              <w:rPr>
                <w:rFonts w:ascii="Garamond" w:hAnsi="Garamond"/>
                <w:lang w:val="en-AU"/>
              </w:rPr>
              <w:t xml:space="preserve"> for </w:t>
            </w:r>
            <w:r w:rsidRPr="002C12FA">
              <w:rPr>
                <w:rFonts w:ascii="Garamond" w:hAnsi="Garamond"/>
                <w:b/>
                <w:lang w:val="en-AU"/>
              </w:rPr>
              <w:t>infectious diseases</w:t>
            </w:r>
            <w:r w:rsidRPr="002C12FA">
              <w:rPr>
                <w:rFonts w:ascii="Garamond" w:hAnsi="Garamond"/>
                <w:lang w:val="en-AU"/>
              </w:rPr>
              <w:t xml:space="preserve"> research in Australia (Hannah C Moore, Christopher C Blyth</w:t>
            </w:r>
            <w:r>
              <w:rPr>
                <w:rFonts w:ascii="Garamond" w:hAnsi="Garamond"/>
                <w:lang w:val="en-AU"/>
              </w:rPr>
              <w:t>)</w:t>
            </w:r>
          </w:p>
          <w:p w:rsidR="002C12FA" w:rsidRPr="002C12FA" w:rsidRDefault="002C12FA" w:rsidP="002C12FA">
            <w:pPr>
              <w:pStyle w:val="ListParagraph"/>
              <w:numPr>
                <w:ilvl w:val="0"/>
                <w:numId w:val="19"/>
              </w:numPr>
              <w:rPr>
                <w:rFonts w:ascii="Garamond" w:hAnsi="Garamond"/>
                <w:lang w:val="en-AU"/>
              </w:rPr>
            </w:pPr>
            <w:r w:rsidRPr="002C12FA">
              <w:rPr>
                <w:rFonts w:ascii="Garamond" w:hAnsi="Garamond"/>
                <w:lang w:val="en-AU"/>
              </w:rPr>
              <w:t xml:space="preserve">Adapting to Sydney’s </w:t>
            </w:r>
            <w:r w:rsidRPr="002C12FA">
              <w:rPr>
                <w:rFonts w:ascii="Garamond" w:hAnsi="Garamond"/>
                <w:b/>
                <w:lang w:val="en-AU"/>
              </w:rPr>
              <w:t>local government boundaries</w:t>
            </w:r>
            <w:r w:rsidRPr="002C12FA">
              <w:rPr>
                <w:rFonts w:ascii="Garamond" w:hAnsi="Garamond"/>
                <w:lang w:val="en-AU"/>
              </w:rPr>
              <w:t xml:space="preserve"> changes: a </w:t>
            </w:r>
            <w:r w:rsidRPr="002C12FA">
              <w:rPr>
                <w:rFonts w:ascii="Garamond" w:hAnsi="Garamond"/>
                <w:b/>
                <w:lang w:val="en-AU"/>
              </w:rPr>
              <w:t>population health</w:t>
            </w:r>
            <w:r w:rsidRPr="002C12FA">
              <w:rPr>
                <w:rFonts w:ascii="Garamond" w:hAnsi="Garamond"/>
                <w:lang w:val="en-AU"/>
              </w:rPr>
              <w:t xml:space="preserve"> perspective (Hassan Assareh, Helen M Achat, Shopna Bag, Leendert Moerkerken, Salwa Gabriel</w:t>
            </w:r>
            <w:r>
              <w:rPr>
                <w:rFonts w:ascii="Garamond" w:hAnsi="Garamond"/>
                <w:lang w:val="en-AU"/>
              </w:rPr>
              <w:t>)</w:t>
            </w:r>
          </w:p>
          <w:p w:rsidR="002C12FA" w:rsidRPr="002C12FA" w:rsidRDefault="002C12FA" w:rsidP="002C12FA">
            <w:pPr>
              <w:pStyle w:val="ListParagraph"/>
              <w:numPr>
                <w:ilvl w:val="0"/>
                <w:numId w:val="19"/>
              </w:numPr>
              <w:rPr>
                <w:rFonts w:ascii="Garamond" w:hAnsi="Garamond"/>
                <w:lang w:val="en-AU"/>
              </w:rPr>
            </w:pPr>
            <w:r w:rsidRPr="002C12FA">
              <w:rPr>
                <w:rFonts w:ascii="Garamond" w:hAnsi="Garamond"/>
                <w:lang w:val="en-AU"/>
              </w:rPr>
              <w:t xml:space="preserve">Evaluation of ‘Stop Smoking in its Tracks’: an intensive </w:t>
            </w:r>
            <w:r w:rsidRPr="002C12FA">
              <w:rPr>
                <w:rFonts w:ascii="Garamond" w:hAnsi="Garamond"/>
                <w:b/>
                <w:lang w:val="en-AU"/>
              </w:rPr>
              <w:t>smoking cessation</w:t>
            </w:r>
            <w:r w:rsidRPr="002C12FA">
              <w:rPr>
                <w:rFonts w:ascii="Garamond" w:hAnsi="Garamond"/>
                <w:lang w:val="en-AU"/>
              </w:rPr>
              <w:t xml:space="preserve"> program for </w:t>
            </w:r>
            <w:r w:rsidRPr="002C12FA">
              <w:rPr>
                <w:rFonts w:ascii="Garamond" w:hAnsi="Garamond"/>
                <w:b/>
                <w:lang w:val="en-AU"/>
              </w:rPr>
              <w:t>pregnant Aboriginal women</w:t>
            </w:r>
            <w:r w:rsidRPr="002C12FA">
              <w:rPr>
                <w:rFonts w:ascii="Garamond" w:hAnsi="Garamond"/>
                <w:lang w:val="en-AU"/>
              </w:rPr>
              <w:t xml:space="preserve"> incorporating contingency-based financial rewards (Megan E Passey, Janelle M Stirling</w:t>
            </w:r>
            <w:r>
              <w:rPr>
                <w:rFonts w:ascii="Garamond" w:hAnsi="Garamond"/>
                <w:lang w:val="en-AU"/>
              </w:rPr>
              <w:t>)</w:t>
            </w:r>
          </w:p>
          <w:p w:rsidR="002C12FA" w:rsidRPr="002C12FA" w:rsidRDefault="002C12FA" w:rsidP="002C12FA">
            <w:pPr>
              <w:pStyle w:val="ListParagraph"/>
              <w:numPr>
                <w:ilvl w:val="0"/>
                <w:numId w:val="19"/>
              </w:numPr>
              <w:rPr>
                <w:rFonts w:ascii="Garamond" w:hAnsi="Garamond"/>
                <w:lang w:val="en-AU"/>
              </w:rPr>
            </w:pPr>
            <w:r w:rsidRPr="002C12FA">
              <w:rPr>
                <w:rFonts w:ascii="Garamond" w:hAnsi="Garamond"/>
                <w:lang w:val="en-AU"/>
              </w:rPr>
              <w:t xml:space="preserve">The conduct of </w:t>
            </w:r>
            <w:r w:rsidRPr="002C12FA">
              <w:rPr>
                <w:rFonts w:ascii="Garamond" w:hAnsi="Garamond"/>
                <w:b/>
                <w:lang w:val="en-AU"/>
              </w:rPr>
              <w:t>Australian Indigenous primary health care research</w:t>
            </w:r>
            <w:r w:rsidRPr="002C12FA">
              <w:rPr>
                <w:rFonts w:ascii="Garamond" w:hAnsi="Garamond"/>
                <w:lang w:val="en-AU"/>
              </w:rPr>
              <w:t xml:space="preserve"> focusing on </w:t>
            </w:r>
            <w:r w:rsidRPr="002C12FA">
              <w:rPr>
                <w:rFonts w:ascii="Garamond" w:hAnsi="Garamond"/>
                <w:b/>
                <w:lang w:val="en-AU"/>
              </w:rPr>
              <w:t>social and emotional wellbeing</w:t>
            </w:r>
            <w:r w:rsidRPr="002C12FA">
              <w:rPr>
                <w:rFonts w:ascii="Garamond" w:hAnsi="Garamond"/>
                <w:lang w:val="en-AU"/>
              </w:rPr>
              <w:t>: a systematic review (Sara Farnbach, Anne-Maree Eades, Josephine D Gwynn, N Glozier, M L Hackett</w:t>
            </w:r>
            <w:r>
              <w:rPr>
                <w:rFonts w:ascii="Garamond" w:hAnsi="Garamond"/>
                <w:lang w:val="en-AU"/>
              </w:rPr>
              <w:t>)</w:t>
            </w:r>
          </w:p>
          <w:p w:rsidR="002C12FA" w:rsidRPr="002C12FA" w:rsidRDefault="002C12FA" w:rsidP="002C12FA">
            <w:pPr>
              <w:pStyle w:val="ListParagraph"/>
              <w:numPr>
                <w:ilvl w:val="0"/>
                <w:numId w:val="19"/>
              </w:numPr>
              <w:rPr>
                <w:rFonts w:ascii="Garamond" w:hAnsi="Garamond"/>
                <w:lang w:val="en-AU"/>
              </w:rPr>
            </w:pPr>
            <w:r w:rsidRPr="002C12FA">
              <w:rPr>
                <w:rFonts w:ascii="Garamond" w:hAnsi="Garamond"/>
                <w:lang w:val="en-AU"/>
              </w:rPr>
              <w:t xml:space="preserve">Participant perspectives of a 6-month telephone-based </w:t>
            </w:r>
            <w:r w:rsidRPr="002C12FA">
              <w:rPr>
                <w:rFonts w:ascii="Garamond" w:hAnsi="Garamond"/>
                <w:b/>
                <w:lang w:val="en-AU"/>
              </w:rPr>
              <w:t xml:space="preserve">lifestyle coaching </w:t>
            </w:r>
            <w:r w:rsidRPr="002C12FA">
              <w:rPr>
                <w:rFonts w:ascii="Garamond" w:hAnsi="Garamond"/>
                <w:lang w:val="en-AU"/>
              </w:rPr>
              <w:t>program (Bronwyn McGill, Blythe J O'Hara, Philayrath Phongsavan</w:t>
            </w:r>
            <w:r>
              <w:rPr>
                <w:rFonts w:ascii="Garamond" w:hAnsi="Garamond"/>
                <w:lang w:val="en-AU"/>
              </w:rPr>
              <w:t>)</w:t>
            </w:r>
          </w:p>
          <w:p w:rsidR="002C12FA" w:rsidRPr="002C12FA" w:rsidRDefault="002C12FA" w:rsidP="002C12FA">
            <w:pPr>
              <w:pStyle w:val="ListParagraph"/>
              <w:numPr>
                <w:ilvl w:val="0"/>
                <w:numId w:val="19"/>
              </w:numPr>
              <w:rPr>
                <w:rFonts w:ascii="Garamond" w:hAnsi="Garamond"/>
                <w:lang w:val="en-AU"/>
              </w:rPr>
            </w:pPr>
            <w:r w:rsidRPr="002C12FA">
              <w:rPr>
                <w:rFonts w:ascii="Garamond" w:hAnsi="Garamond"/>
                <w:lang w:val="en-AU"/>
              </w:rPr>
              <w:t xml:space="preserve">Is a yoga-based program with potential to decrease </w:t>
            </w:r>
            <w:r w:rsidRPr="002C12FA">
              <w:rPr>
                <w:rFonts w:ascii="Garamond" w:hAnsi="Garamond"/>
                <w:b/>
                <w:lang w:val="en-AU"/>
              </w:rPr>
              <w:t>falls</w:t>
            </w:r>
            <w:r w:rsidRPr="002C12FA">
              <w:rPr>
                <w:rFonts w:ascii="Garamond" w:hAnsi="Garamond"/>
                <w:lang w:val="en-AU"/>
              </w:rPr>
              <w:t xml:space="preserve"> perceived to be acceptable to community-dwelling people older than 60? (Anne Tiedemann, Sandra O'Rourke, Catherine Sherrington</w:t>
            </w:r>
            <w:r>
              <w:rPr>
                <w:rFonts w:ascii="Garamond" w:hAnsi="Garamond"/>
                <w:lang w:val="en-AU"/>
              </w:rPr>
              <w:t>)</w:t>
            </w:r>
          </w:p>
          <w:p w:rsidR="002C12FA" w:rsidRPr="002C12FA" w:rsidRDefault="002C12FA" w:rsidP="002C12FA">
            <w:pPr>
              <w:pStyle w:val="ListParagraph"/>
              <w:numPr>
                <w:ilvl w:val="0"/>
                <w:numId w:val="19"/>
              </w:numPr>
              <w:rPr>
                <w:rFonts w:ascii="Garamond" w:hAnsi="Garamond"/>
                <w:lang w:val="en-AU"/>
              </w:rPr>
            </w:pPr>
            <w:r w:rsidRPr="002C12FA">
              <w:rPr>
                <w:rFonts w:ascii="Garamond" w:hAnsi="Garamond"/>
                <w:b/>
                <w:lang w:val="en-AU"/>
              </w:rPr>
              <w:t>Measles high school vaccination</w:t>
            </w:r>
            <w:r w:rsidRPr="002C12FA">
              <w:rPr>
                <w:rFonts w:ascii="Garamond" w:hAnsi="Garamond"/>
                <w:lang w:val="en-AU"/>
              </w:rPr>
              <w:t xml:space="preserve"> program, 2014–2015: online survey of parents in NSW, Australia (Sonya Nicholl, Holly Seale, Sue Campbell-Lloyd</w:t>
            </w:r>
            <w:r>
              <w:rPr>
                <w:rFonts w:ascii="Garamond" w:hAnsi="Garamond"/>
                <w:lang w:val="en-AU"/>
              </w:rPr>
              <w:t>)</w:t>
            </w:r>
          </w:p>
          <w:p w:rsidR="000F158D" w:rsidRPr="003F6E6A" w:rsidRDefault="002C12FA" w:rsidP="002C12FA">
            <w:pPr>
              <w:pStyle w:val="ListParagraph"/>
              <w:numPr>
                <w:ilvl w:val="0"/>
                <w:numId w:val="19"/>
              </w:numPr>
              <w:rPr>
                <w:rFonts w:ascii="Garamond" w:hAnsi="Garamond"/>
                <w:lang w:val="en-AU"/>
              </w:rPr>
            </w:pPr>
            <w:r w:rsidRPr="002C12FA">
              <w:rPr>
                <w:rFonts w:ascii="Garamond" w:hAnsi="Garamond"/>
                <w:lang w:val="en-AU"/>
              </w:rPr>
              <w:t xml:space="preserve">Involving </w:t>
            </w:r>
            <w:r w:rsidRPr="002C12FA">
              <w:rPr>
                <w:rFonts w:ascii="Garamond" w:hAnsi="Garamond"/>
                <w:b/>
                <w:lang w:val="en-AU"/>
              </w:rPr>
              <w:t>consumers in health research</w:t>
            </w:r>
            <w:r w:rsidRPr="002C12FA">
              <w:rPr>
                <w:rFonts w:ascii="Garamond" w:hAnsi="Garamond"/>
                <w:lang w:val="en-AU"/>
              </w:rPr>
              <w:t>: what do consumers say? (Angela L Todd, Don Nutbeam</w:t>
            </w:r>
            <w:r>
              <w:rPr>
                <w:rFonts w:ascii="Garamond" w:hAnsi="Garamond"/>
                <w:lang w:val="en-AU"/>
              </w:rPr>
              <w:t>)</w:t>
            </w:r>
          </w:p>
        </w:tc>
      </w:tr>
    </w:tbl>
    <w:p w:rsidR="000F158D" w:rsidRDefault="000F158D" w:rsidP="004C6518">
      <w:pPr>
        <w:keepNext/>
        <w:keepLines/>
        <w:autoSpaceDE w:val="0"/>
        <w:autoSpaceDN w:val="0"/>
        <w:adjustRightInd w:val="0"/>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7D7CED" w:rsidP="00900052">
            <w:pPr>
              <w:keepNext/>
              <w:rPr>
                <w:rFonts w:ascii="Garamond" w:hAnsi="Garamond"/>
                <w:lang w:val="en-AU"/>
              </w:rPr>
            </w:pPr>
            <w:hyperlink r:id="rId33" w:history="1">
              <w:r w:rsidR="00A660B0" w:rsidRPr="00467B47">
                <w:rPr>
                  <w:rStyle w:val="Hyperlink"/>
                  <w:rFonts w:ascii="Garamond" w:hAnsi="Garamond"/>
                  <w:lang w:val="en-AU"/>
                </w:rPr>
                <w:t>https://academic.oup.com/intqhc/advance-access?papetoc</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964A83" w:rsidRPr="00964A83" w:rsidRDefault="00964A83" w:rsidP="00964A83">
            <w:pPr>
              <w:pStyle w:val="ListParagraph"/>
              <w:numPr>
                <w:ilvl w:val="0"/>
                <w:numId w:val="14"/>
              </w:numPr>
              <w:rPr>
                <w:rFonts w:ascii="Garamond" w:hAnsi="Garamond"/>
                <w:lang w:val="en-AU"/>
              </w:rPr>
            </w:pPr>
            <w:r w:rsidRPr="00964A83">
              <w:rPr>
                <w:rFonts w:ascii="Garamond" w:hAnsi="Garamond"/>
                <w:lang w:val="en-AU"/>
              </w:rPr>
              <w:t xml:space="preserve">Dimensions of </w:t>
            </w:r>
            <w:r w:rsidRPr="00964A83">
              <w:rPr>
                <w:rFonts w:ascii="Garamond" w:hAnsi="Garamond"/>
                <w:b/>
                <w:lang w:val="en-AU"/>
              </w:rPr>
              <w:t>service quality in healthcare</w:t>
            </w:r>
            <w:r w:rsidRPr="00964A83">
              <w:rPr>
                <w:rFonts w:ascii="Garamond" w:hAnsi="Garamond"/>
                <w:lang w:val="en-AU"/>
              </w:rPr>
              <w:t xml:space="preserve">: a systematic review of literature </w:t>
            </w:r>
            <w:r>
              <w:rPr>
                <w:rFonts w:ascii="Garamond" w:hAnsi="Garamond"/>
                <w:lang w:val="en-AU"/>
              </w:rPr>
              <w:t>(Iram Fatima; Ayesha Humayun; Usman Iqbal; Muhammad Shafiq)</w:t>
            </w:r>
          </w:p>
          <w:p w:rsidR="00F73F18" w:rsidRPr="00F73F18" w:rsidRDefault="00F73F18" w:rsidP="00F73F18">
            <w:pPr>
              <w:pStyle w:val="ListParagraph"/>
              <w:numPr>
                <w:ilvl w:val="0"/>
                <w:numId w:val="14"/>
              </w:numPr>
              <w:rPr>
                <w:rFonts w:ascii="Garamond" w:hAnsi="Garamond"/>
                <w:lang w:val="en-AU"/>
              </w:rPr>
            </w:pPr>
            <w:r w:rsidRPr="00F73F18">
              <w:rPr>
                <w:rFonts w:ascii="Garamond" w:hAnsi="Garamond"/>
                <w:lang w:val="en-AU"/>
              </w:rPr>
              <w:t xml:space="preserve">Measurement equivalence of </w:t>
            </w:r>
            <w:r w:rsidRPr="00F73F18">
              <w:rPr>
                <w:rFonts w:ascii="Garamond" w:hAnsi="Garamond"/>
                <w:b/>
                <w:lang w:val="en-AU"/>
              </w:rPr>
              <w:t>patient safety climate</w:t>
            </w:r>
            <w:r w:rsidRPr="00F73F18">
              <w:rPr>
                <w:rFonts w:ascii="Garamond" w:hAnsi="Garamond"/>
                <w:lang w:val="en-AU"/>
              </w:rPr>
              <w:t xml:space="preserve"> in Chinese hospitals: can we compare across physicians and nurses? (Junya Zhu</w:t>
            </w:r>
            <w:r>
              <w:rPr>
                <w:rFonts w:ascii="Garamond" w:hAnsi="Garamond"/>
                <w:lang w:val="en-AU"/>
              </w:rPr>
              <w:t>)</w:t>
            </w:r>
          </w:p>
          <w:p w:rsidR="00F73F18" w:rsidRPr="00F73F18" w:rsidRDefault="00F73F18" w:rsidP="00F73F18">
            <w:pPr>
              <w:pStyle w:val="ListParagraph"/>
              <w:numPr>
                <w:ilvl w:val="0"/>
                <w:numId w:val="14"/>
              </w:numPr>
              <w:rPr>
                <w:rFonts w:ascii="Garamond" w:hAnsi="Garamond"/>
                <w:lang w:val="en-AU"/>
              </w:rPr>
            </w:pPr>
            <w:r w:rsidRPr="00F73F18">
              <w:rPr>
                <w:rFonts w:ascii="Garamond" w:hAnsi="Garamond"/>
                <w:lang w:val="en-AU"/>
              </w:rPr>
              <w:t xml:space="preserve">Establishing gold standards for </w:t>
            </w:r>
            <w:r w:rsidRPr="00F73F18">
              <w:rPr>
                <w:rFonts w:ascii="Garamond" w:hAnsi="Garamond"/>
                <w:b/>
                <w:lang w:val="en-AU"/>
              </w:rPr>
              <w:t>System-Level Measures</w:t>
            </w:r>
            <w:r w:rsidRPr="00F73F18">
              <w:rPr>
                <w:rFonts w:ascii="Garamond" w:hAnsi="Garamond"/>
                <w:lang w:val="en-AU"/>
              </w:rPr>
              <w:t>: a modified Delphi consensus process (Fiona Doolan-Noble; Stuart Barson; M Lyndon; F Cullinane; J Gray</w:t>
            </w:r>
            <w:r>
              <w:rPr>
                <w:rFonts w:ascii="Garamond" w:hAnsi="Garamond"/>
                <w:lang w:val="en-AU"/>
              </w:rPr>
              <w:t xml:space="preserve">; </w:t>
            </w:r>
            <w:r w:rsidRPr="00F73F18">
              <w:rPr>
                <w:rFonts w:ascii="Garamond" w:hAnsi="Garamond"/>
                <w:lang w:val="en-AU"/>
              </w:rPr>
              <w:t>T Stokes  R Gauld</w:t>
            </w:r>
            <w:r>
              <w:rPr>
                <w:rFonts w:ascii="Garamond" w:hAnsi="Garamond"/>
                <w:lang w:val="en-AU"/>
              </w:rPr>
              <w:t>)</w:t>
            </w:r>
          </w:p>
          <w:p w:rsidR="00F73F18" w:rsidRPr="00F73F18" w:rsidRDefault="00F73F18" w:rsidP="00F73F18">
            <w:pPr>
              <w:pStyle w:val="ListParagraph"/>
              <w:numPr>
                <w:ilvl w:val="0"/>
                <w:numId w:val="14"/>
              </w:numPr>
              <w:rPr>
                <w:rFonts w:ascii="Garamond" w:hAnsi="Garamond"/>
                <w:lang w:val="en-AU"/>
              </w:rPr>
            </w:pPr>
            <w:r w:rsidRPr="00F73F18">
              <w:rPr>
                <w:rFonts w:ascii="Garamond" w:hAnsi="Garamond"/>
                <w:lang w:val="en-AU"/>
              </w:rPr>
              <w:t xml:space="preserve">Leveraging new </w:t>
            </w:r>
            <w:r w:rsidRPr="00F73F18">
              <w:rPr>
                <w:rFonts w:ascii="Garamond" w:hAnsi="Garamond"/>
                <w:b/>
                <w:lang w:val="en-AU"/>
              </w:rPr>
              <w:t>information technology to monitor medicine use</w:t>
            </w:r>
            <w:r w:rsidRPr="00F73F18">
              <w:rPr>
                <w:rFonts w:ascii="Garamond" w:hAnsi="Garamond"/>
                <w:lang w:val="en-AU"/>
              </w:rPr>
              <w:t xml:space="preserve"> in 71 residential aged care facilities: variation in polypharmacy and antipsychotic use (Lisa G Pont; Magda Z Raban; Mikaela L Jorgensen; Andrew Georgiou; Johanna I Westbrook</w:t>
            </w:r>
            <w:r>
              <w:rPr>
                <w:rFonts w:ascii="Garamond" w:hAnsi="Garamond"/>
                <w:lang w:val="en-AU"/>
              </w:rPr>
              <w:t>)</w:t>
            </w:r>
          </w:p>
          <w:p w:rsidR="00B3730D" w:rsidRPr="00DA6435" w:rsidRDefault="00F73F18" w:rsidP="00F73F18">
            <w:pPr>
              <w:pStyle w:val="ListParagraph"/>
              <w:numPr>
                <w:ilvl w:val="0"/>
                <w:numId w:val="14"/>
              </w:numPr>
              <w:rPr>
                <w:rFonts w:ascii="Garamond" w:hAnsi="Garamond"/>
                <w:lang w:val="en-AU"/>
              </w:rPr>
            </w:pPr>
            <w:r w:rsidRPr="00F73F18">
              <w:rPr>
                <w:rFonts w:ascii="Garamond" w:hAnsi="Garamond"/>
                <w:lang w:val="en-AU"/>
              </w:rPr>
              <w:t xml:space="preserve">Targeted educational program improves infant </w:t>
            </w:r>
            <w:r w:rsidRPr="00F73F18">
              <w:rPr>
                <w:rFonts w:ascii="Garamond" w:hAnsi="Garamond"/>
                <w:b/>
                <w:lang w:val="en-AU"/>
              </w:rPr>
              <w:t>positioning practice in the NICU</w:t>
            </w:r>
            <w:r w:rsidRPr="00F73F18">
              <w:rPr>
                <w:rFonts w:ascii="Garamond" w:hAnsi="Garamond"/>
                <w:lang w:val="en-AU"/>
              </w:rPr>
              <w:t xml:space="preserve"> </w:t>
            </w:r>
            <w:r>
              <w:rPr>
                <w:rFonts w:ascii="Garamond" w:hAnsi="Garamond"/>
                <w:lang w:val="en-AU"/>
              </w:rPr>
              <w:t>(</w:t>
            </w:r>
            <w:r w:rsidRPr="00F73F18">
              <w:rPr>
                <w:rFonts w:ascii="Garamond" w:hAnsi="Garamond"/>
                <w:lang w:val="en-AU"/>
              </w:rPr>
              <w:t>Lama Charafeddine; Saadieh Masri; Perla Ibrahim; Daniel Badin; Salam Cheayto</w:t>
            </w:r>
            <w:r>
              <w:rPr>
                <w:rFonts w:ascii="Garamond" w:hAnsi="Garamond"/>
                <w:lang w:val="en-AU"/>
              </w:rPr>
              <w:t xml:space="preserve">; </w:t>
            </w:r>
            <w:r w:rsidRPr="00F73F18">
              <w:rPr>
                <w:rFonts w:ascii="Garamond" w:hAnsi="Garamond"/>
                <w:lang w:val="en-AU"/>
              </w:rPr>
              <w:t>Hani Tamim</w:t>
            </w:r>
            <w:r>
              <w:rPr>
                <w:rFonts w:ascii="Garamond" w:hAnsi="Garamond"/>
                <w:lang w:val="en-AU"/>
              </w:rPr>
              <w:t>)</w:t>
            </w:r>
          </w:p>
        </w:tc>
      </w:tr>
    </w:tbl>
    <w:p w:rsidR="009A34AA" w:rsidRDefault="009A34AA" w:rsidP="00070CFE">
      <w:pPr>
        <w:rPr>
          <w:rFonts w:ascii="Garamond" w:hAnsi="Garamond"/>
          <w:lang w:val="en-AU"/>
        </w:rPr>
      </w:pPr>
    </w:p>
    <w:p w:rsidR="00282D29" w:rsidRPr="00A3571C" w:rsidRDefault="00282D29"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lastRenderedPageBreak/>
        <w:t>Online resources</w:t>
      </w:r>
    </w:p>
    <w:p w:rsidR="006E425A" w:rsidRDefault="006E425A" w:rsidP="00070CFE">
      <w:pPr>
        <w:rPr>
          <w:rFonts w:ascii="Garamond" w:hAnsi="Garamond"/>
          <w:lang w:val="en-AU"/>
        </w:rPr>
      </w:pPr>
    </w:p>
    <w:p w:rsidR="00AA483A" w:rsidRPr="00AA483A" w:rsidRDefault="00AA483A" w:rsidP="00070CFE">
      <w:pPr>
        <w:rPr>
          <w:rFonts w:ascii="Garamond" w:hAnsi="Garamond"/>
          <w:i/>
          <w:lang w:val="en-AU"/>
        </w:rPr>
      </w:pPr>
      <w:r w:rsidRPr="00AA483A">
        <w:rPr>
          <w:rFonts w:ascii="Garamond" w:hAnsi="Garamond"/>
          <w:i/>
          <w:lang w:val="en-AU"/>
        </w:rPr>
        <w:t xml:space="preserve">What’s New in </w:t>
      </w:r>
      <w:proofErr w:type="gramStart"/>
      <w:r w:rsidRPr="00AA483A">
        <w:rPr>
          <w:rFonts w:ascii="Garamond" w:hAnsi="Garamond"/>
          <w:i/>
          <w:lang w:val="en-AU"/>
        </w:rPr>
        <w:t>AURA</w:t>
      </w:r>
      <w:proofErr w:type="gramEnd"/>
    </w:p>
    <w:p w:rsidR="00AA483A" w:rsidRDefault="007D7CED" w:rsidP="00070CFE">
      <w:pPr>
        <w:rPr>
          <w:rFonts w:ascii="Garamond" w:hAnsi="Garamond"/>
          <w:lang w:val="en-AU"/>
        </w:rPr>
      </w:pPr>
      <w:hyperlink r:id="rId34" w:history="1">
        <w:r w:rsidR="004D774D" w:rsidRPr="00665C0B">
          <w:rPr>
            <w:rStyle w:val="Hyperlink"/>
            <w:rFonts w:ascii="Garamond" w:hAnsi="Garamond"/>
            <w:lang w:val="en-AU"/>
          </w:rPr>
          <w:t>https://www.safetyandquality.gov.au/antimicrobial-use-and-resistance-in-australia/other-publications/</w:t>
        </w:r>
      </w:hyperlink>
    </w:p>
    <w:p w:rsidR="004D774D" w:rsidRDefault="004D774D" w:rsidP="00070CFE">
      <w:pPr>
        <w:rPr>
          <w:rFonts w:ascii="Garamond" w:hAnsi="Garamond"/>
          <w:lang w:val="en-AU"/>
        </w:rPr>
      </w:pPr>
      <w:r>
        <w:rPr>
          <w:rFonts w:ascii="Garamond" w:hAnsi="Garamond"/>
          <w:lang w:val="en-AU"/>
        </w:rPr>
        <w:t xml:space="preserve">The latest issue of </w:t>
      </w:r>
      <w:r w:rsidRPr="00AA483A">
        <w:rPr>
          <w:rFonts w:ascii="Garamond" w:hAnsi="Garamond"/>
          <w:i/>
          <w:lang w:val="en-AU"/>
        </w:rPr>
        <w:t>What’s New in AURA</w:t>
      </w:r>
      <w:r>
        <w:rPr>
          <w:rFonts w:ascii="Garamond" w:hAnsi="Garamond"/>
          <w:i/>
          <w:lang w:val="en-AU"/>
        </w:rPr>
        <w:t xml:space="preserve"> </w:t>
      </w:r>
      <w:r w:rsidR="00D95483">
        <w:rPr>
          <w:rFonts w:ascii="Garamond" w:hAnsi="Garamond"/>
          <w:lang w:val="en-AU"/>
        </w:rPr>
        <w:t xml:space="preserve"> has been uploaded and includes information on new publications </w:t>
      </w:r>
      <w:r w:rsidR="00D95483" w:rsidRPr="00D95483">
        <w:rPr>
          <w:rFonts w:ascii="Garamond" w:hAnsi="Garamond"/>
          <w:lang w:val="en-AU"/>
        </w:rPr>
        <w:t>on the Commission or AURA partner websites</w:t>
      </w:r>
      <w:r w:rsidR="00D95483">
        <w:rPr>
          <w:rFonts w:ascii="Garamond" w:hAnsi="Garamond"/>
          <w:lang w:val="en-AU"/>
        </w:rPr>
        <w:t xml:space="preserve"> and updates on proj</w:t>
      </w:r>
      <w:r w:rsidR="00FB6960">
        <w:rPr>
          <w:rFonts w:ascii="Garamond" w:hAnsi="Garamond"/>
          <w:lang w:val="en-AU"/>
        </w:rPr>
        <w:t>e</w:t>
      </w:r>
      <w:r w:rsidR="00D95483">
        <w:rPr>
          <w:rFonts w:ascii="Garamond" w:hAnsi="Garamond"/>
          <w:lang w:val="en-AU"/>
        </w:rPr>
        <w:t xml:space="preserve">cts, including </w:t>
      </w:r>
      <w:r w:rsidR="00D95483" w:rsidRPr="00D95483">
        <w:rPr>
          <w:rFonts w:ascii="Garamond" w:hAnsi="Garamond"/>
          <w:lang w:val="en-AU"/>
        </w:rPr>
        <w:t xml:space="preserve">Australian passive </w:t>
      </w:r>
      <w:r w:rsidR="00D95483">
        <w:rPr>
          <w:rFonts w:ascii="Garamond" w:hAnsi="Garamond"/>
          <w:lang w:val="en-AU"/>
        </w:rPr>
        <w:t>AMR surveillance system (APAS) and a p</w:t>
      </w:r>
      <w:r w:rsidR="00D95483" w:rsidRPr="00D95483">
        <w:rPr>
          <w:rFonts w:ascii="Garamond" w:hAnsi="Garamond"/>
          <w:lang w:val="en-AU"/>
        </w:rPr>
        <w:t>ilot project on paediatric antimicrobial utilisation</w:t>
      </w:r>
      <w:r w:rsidR="00D95483">
        <w:rPr>
          <w:rFonts w:ascii="Garamond" w:hAnsi="Garamond"/>
          <w:lang w:val="en-AU"/>
        </w:rPr>
        <w:t>.</w:t>
      </w:r>
    </w:p>
    <w:p w:rsidR="00AA483A" w:rsidRDefault="00AA483A" w:rsidP="00070CFE">
      <w:pPr>
        <w:rPr>
          <w:rFonts w:ascii="Garamond" w:hAnsi="Garamond"/>
          <w:lang w:val="en-AU"/>
        </w:rPr>
      </w:pPr>
    </w:p>
    <w:p w:rsidR="00D47FD2" w:rsidRPr="00B5521E" w:rsidRDefault="00D47FD2" w:rsidP="00D47FD2">
      <w:pPr>
        <w:keepNext/>
        <w:rPr>
          <w:rFonts w:ascii="Garamond" w:hAnsi="Garamond"/>
          <w:i/>
          <w:lang w:val="en-AU"/>
        </w:rPr>
      </w:pPr>
      <w:r w:rsidRPr="00B5521E">
        <w:rPr>
          <w:rFonts w:ascii="Garamond" w:hAnsi="Garamond"/>
          <w:i/>
          <w:lang w:val="en-AU"/>
        </w:rPr>
        <w:t>[USA] Patient Safety Primers</w:t>
      </w:r>
    </w:p>
    <w:p w:rsidR="00D47FD2" w:rsidRPr="00B5521E" w:rsidRDefault="007D7CED" w:rsidP="00D47FD2">
      <w:pPr>
        <w:keepNext/>
        <w:rPr>
          <w:rFonts w:ascii="Garamond" w:hAnsi="Garamond"/>
          <w:lang w:val="en-AU"/>
        </w:rPr>
      </w:pPr>
      <w:hyperlink r:id="rId35" w:history="1">
        <w:r w:rsidR="00D47FD2" w:rsidRPr="00B5521E">
          <w:rPr>
            <w:rStyle w:val="Hyperlink"/>
            <w:rFonts w:ascii="Garamond" w:hAnsi="Garamond"/>
            <w:lang w:val="en-AU"/>
          </w:rPr>
          <w:t>https://psnet.ahrq.gov/primers/</w:t>
        </w:r>
      </w:hyperlink>
    </w:p>
    <w:p w:rsidR="00D47FD2" w:rsidRPr="00B5521E" w:rsidRDefault="00D47FD2" w:rsidP="00D47FD2">
      <w:pPr>
        <w:keepNext/>
        <w:rPr>
          <w:rFonts w:ascii="Garamond" w:hAnsi="Garamond"/>
          <w:lang w:val="en-AU"/>
        </w:rPr>
      </w:pPr>
      <w:r w:rsidRPr="00B5521E">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rsidR="00D47FD2" w:rsidRPr="00D47FD2" w:rsidRDefault="00D47FD2" w:rsidP="00981F47">
      <w:pPr>
        <w:pStyle w:val="ListParagraph"/>
        <w:numPr>
          <w:ilvl w:val="0"/>
          <w:numId w:val="15"/>
        </w:numPr>
        <w:rPr>
          <w:rFonts w:ascii="Garamond" w:hAnsi="Garamond"/>
          <w:lang w:val="en-AU"/>
        </w:rPr>
      </w:pPr>
      <w:r w:rsidRPr="00D47FD2">
        <w:rPr>
          <w:rFonts w:ascii="Garamond" w:hAnsi="Garamond"/>
          <w:b/>
          <w:lang w:val="en-AU"/>
        </w:rPr>
        <w:t>Surgical Site Infections</w:t>
      </w:r>
      <w:r w:rsidR="00AA483A">
        <w:rPr>
          <w:rFonts w:ascii="Garamond" w:hAnsi="Garamond"/>
          <w:lang w:val="en-AU"/>
        </w:rPr>
        <w:t xml:space="preserve"> – </w:t>
      </w:r>
      <w:r w:rsidRPr="00D47FD2">
        <w:rPr>
          <w:rFonts w:ascii="Garamond" w:hAnsi="Garamond"/>
          <w:lang w:val="en-AU"/>
        </w:rPr>
        <w:t xml:space="preserve">defined as infection related to an operative procedure that occurs at or near the surgical incision within 30 days of the procedure, or within 90 days if prosthetic material is implanted at surgery. SSIs are among the most common preventable complications after surgery. SSIs occur in 2% to 4% of all patients undergoing inpatient surgical procedures. Although most infections are treatable with antibiotics, SSIs remain a significant cause of morbidity and mortality after surgery. They are the leading cause of readmissions to the hospital following surgery, and approximately 3% of patients who contract an SSI will die as a consequence. Although SSIs are less common following ambulatory surgery than after inpatient procedures, they are a frequent source of morbidity in these patients as well. </w:t>
      </w:r>
      <w:hyperlink r:id="rId36" w:history="1">
        <w:r w:rsidRPr="00D47FD2">
          <w:rPr>
            <w:rStyle w:val="Hyperlink"/>
            <w:rFonts w:ascii="Garamond" w:hAnsi="Garamond"/>
            <w:lang w:val="en-AU"/>
          </w:rPr>
          <w:t>https://psnet.ahrq.gov/primers/primer/45</w:t>
        </w:r>
      </w:hyperlink>
    </w:p>
    <w:p w:rsidR="00282D29" w:rsidRDefault="00282D29" w:rsidP="00D92A9D">
      <w:pPr>
        <w:keepLines/>
        <w:rPr>
          <w:rFonts w:ascii="Garamond" w:hAnsi="Garamond"/>
          <w:lang w:val="en-AU"/>
        </w:rPr>
      </w:pPr>
    </w:p>
    <w:p w:rsidR="000A02E9" w:rsidRDefault="000A02E9" w:rsidP="00D92A9D">
      <w:pPr>
        <w:keepLines/>
        <w:rPr>
          <w:rFonts w:ascii="Garamond" w:hAnsi="Garamond"/>
          <w:i/>
          <w:lang w:val="en-AU"/>
        </w:rPr>
      </w:pPr>
      <w:r>
        <w:rPr>
          <w:rFonts w:ascii="Garamond" w:hAnsi="Garamond"/>
          <w:i/>
          <w:lang w:val="en-AU"/>
        </w:rPr>
        <w:t>[NZ] D</w:t>
      </w:r>
      <w:r w:rsidRPr="000A02E9">
        <w:rPr>
          <w:rFonts w:ascii="Garamond" w:hAnsi="Garamond"/>
          <w:i/>
          <w:lang w:val="en-AU"/>
        </w:rPr>
        <w:t>ashboard of health system quality</w:t>
      </w:r>
    </w:p>
    <w:p w:rsidR="000A02E9" w:rsidRDefault="007D7CED" w:rsidP="000A02E9">
      <w:pPr>
        <w:keepLines/>
        <w:rPr>
          <w:rFonts w:ascii="Garamond" w:hAnsi="Garamond"/>
          <w:lang w:val="en-AU"/>
        </w:rPr>
      </w:pPr>
      <w:hyperlink r:id="rId37" w:history="1">
        <w:r w:rsidR="000A02E9" w:rsidRPr="00EA3230">
          <w:rPr>
            <w:rStyle w:val="Hyperlink"/>
            <w:rFonts w:ascii="Garamond" w:hAnsi="Garamond"/>
            <w:lang w:val="en-AU"/>
          </w:rPr>
          <w:t>https://www.hqsc.govt.nz/our-programmes/health-quality-evaluation/news-and-events/news/3317/</w:t>
        </w:r>
      </w:hyperlink>
    </w:p>
    <w:p w:rsidR="000A02E9" w:rsidRPr="000A02E9" w:rsidRDefault="000A02E9" w:rsidP="000A02E9">
      <w:pPr>
        <w:keepLines/>
        <w:rPr>
          <w:rFonts w:ascii="Garamond" w:hAnsi="Garamond"/>
          <w:lang w:val="en-AU"/>
        </w:rPr>
      </w:pPr>
      <w:r w:rsidRPr="000A02E9">
        <w:rPr>
          <w:rFonts w:ascii="Garamond" w:hAnsi="Garamond"/>
          <w:lang w:val="en-AU"/>
        </w:rPr>
        <w:t xml:space="preserve">The </w:t>
      </w:r>
      <w:r>
        <w:rPr>
          <w:rFonts w:ascii="Garamond" w:hAnsi="Garamond"/>
          <w:lang w:val="en-AU"/>
        </w:rPr>
        <w:t xml:space="preserve">New Zealand </w:t>
      </w:r>
      <w:r w:rsidRPr="000A02E9">
        <w:rPr>
          <w:rFonts w:ascii="Garamond" w:hAnsi="Garamond"/>
          <w:lang w:val="en-AU"/>
        </w:rPr>
        <w:t>Health Quality &amp; Safety Commission has launched a new, publicly-available dashboard of health system quality that shows at a glance how individual district health boards (DHBs) are performing in a variety of areas.</w:t>
      </w:r>
      <w:r>
        <w:rPr>
          <w:rFonts w:ascii="Garamond" w:hAnsi="Garamond"/>
          <w:lang w:val="en-AU"/>
        </w:rPr>
        <w:t xml:space="preserve"> </w:t>
      </w:r>
      <w:r w:rsidRPr="000A02E9">
        <w:rPr>
          <w:rFonts w:ascii="Garamond" w:hAnsi="Garamond"/>
          <w:lang w:val="en-AU"/>
        </w:rPr>
        <w:t>The dashboard takes information from a range of published sources, including the quality and safety markers, the primary care and inpatient patient experience surveys, the Atlas of Healthcare Variation and data from the Ministry of Health, and puts it together in one place. A simple-to-read, interactive chart allows users to see the data.</w:t>
      </w:r>
    </w:p>
    <w:p w:rsidR="000A02E9" w:rsidRDefault="000A02E9" w:rsidP="00D92A9D">
      <w:pPr>
        <w:keepLines/>
        <w:rPr>
          <w:rFonts w:ascii="Garamond" w:hAnsi="Garamond"/>
          <w:i/>
          <w:lang w:val="en-AU"/>
        </w:rPr>
      </w:pPr>
    </w:p>
    <w:p w:rsidR="00C851EE" w:rsidRPr="00C851EE" w:rsidRDefault="00C851EE" w:rsidP="00D92A9D">
      <w:pPr>
        <w:keepLines/>
        <w:rPr>
          <w:rFonts w:ascii="Garamond" w:hAnsi="Garamond"/>
          <w:i/>
          <w:lang w:val="en-AU"/>
        </w:rPr>
      </w:pPr>
      <w:r w:rsidRPr="00C851EE">
        <w:rPr>
          <w:rFonts w:ascii="Garamond" w:hAnsi="Garamond"/>
          <w:i/>
          <w:lang w:val="en-AU"/>
        </w:rPr>
        <w:t>[UK] Redesigning care delivery: building the team around the patient</w:t>
      </w:r>
    </w:p>
    <w:p w:rsidR="00C851EE" w:rsidRDefault="007D7CED" w:rsidP="00D92A9D">
      <w:pPr>
        <w:keepLines/>
        <w:rPr>
          <w:rFonts w:ascii="Garamond" w:hAnsi="Garamond"/>
          <w:lang w:val="en-AU"/>
        </w:rPr>
      </w:pPr>
      <w:hyperlink r:id="rId38" w:history="1">
        <w:r w:rsidR="00C851EE" w:rsidRPr="009719E0">
          <w:rPr>
            <w:rStyle w:val="Hyperlink"/>
            <w:rFonts w:ascii="Garamond" w:hAnsi="Garamond"/>
            <w:lang w:val="en-AU"/>
          </w:rPr>
          <w:t>http://www.nhsemployers.org/case-studies-and-resources/2018/06/using-band-4-roles-to-build-a-team-around-the-patient</w:t>
        </w:r>
      </w:hyperlink>
    </w:p>
    <w:p w:rsidR="00C851EE" w:rsidRPr="00C851EE" w:rsidRDefault="00C851EE" w:rsidP="00C851EE">
      <w:pPr>
        <w:keepLines/>
        <w:rPr>
          <w:rFonts w:ascii="Garamond" w:hAnsi="Garamond"/>
          <w:lang w:val="en-AU"/>
        </w:rPr>
      </w:pPr>
      <w:r>
        <w:rPr>
          <w:rFonts w:ascii="Garamond" w:hAnsi="Garamond"/>
          <w:lang w:val="en-AU"/>
        </w:rPr>
        <w:t xml:space="preserve">NHS Employers has published this case study describing how an NHS Trust developed </w:t>
      </w:r>
      <w:r w:rsidRPr="00C851EE">
        <w:rPr>
          <w:rFonts w:ascii="Garamond" w:hAnsi="Garamond"/>
          <w:lang w:val="en-AU"/>
        </w:rPr>
        <w:t>new models of care to overcome workforce supply challenges</w:t>
      </w:r>
      <w:r>
        <w:rPr>
          <w:rFonts w:ascii="Garamond" w:hAnsi="Garamond"/>
          <w:lang w:val="en-AU"/>
        </w:rPr>
        <w:t>. T</w:t>
      </w:r>
      <w:r w:rsidRPr="00C851EE">
        <w:rPr>
          <w:rFonts w:ascii="Garamond" w:hAnsi="Garamond"/>
          <w:lang w:val="en-AU"/>
        </w:rPr>
        <w:t xml:space="preserve">he trust </w:t>
      </w:r>
      <w:r>
        <w:rPr>
          <w:rFonts w:ascii="Garamond" w:hAnsi="Garamond"/>
          <w:lang w:val="en-AU"/>
        </w:rPr>
        <w:t xml:space="preserve">had a persistent lack of </w:t>
      </w:r>
      <w:r w:rsidRPr="00C851EE">
        <w:rPr>
          <w:rFonts w:ascii="Garamond" w:hAnsi="Garamond"/>
          <w:lang w:val="en-AU"/>
        </w:rPr>
        <w:t>registered nurses in its workforce. Using the concept of building a team around the patient, based on identified skills needed to deliver best care, the trust looked at how it could make use of newly introduced roles, such as the nursing associate and the assistant practitioner.</w:t>
      </w:r>
    </w:p>
    <w:p w:rsidR="00C851EE" w:rsidRPr="00282D29" w:rsidRDefault="00C851EE" w:rsidP="00D92A9D">
      <w:pPr>
        <w:keepLines/>
        <w:rPr>
          <w:rFonts w:ascii="Garamond" w:hAnsi="Garamond"/>
          <w:lang w:val="en-AU"/>
        </w:rPr>
      </w:pPr>
    </w:p>
    <w:p w:rsidR="009A34AA" w:rsidRPr="000170DA" w:rsidRDefault="009A34AA" w:rsidP="009A34AA">
      <w:pPr>
        <w:keepNext/>
        <w:keepLines/>
        <w:rPr>
          <w:rFonts w:ascii="Garamond" w:hAnsi="Garamond"/>
          <w:i/>
          <w:lang w:val="en-AU"/>
        </w:rPr>
      </w:pPr>
      <w:r w:rsidRPr="000170DA">
        <w:rPr>
          <w:rFonts w:ascii="Garamond" w:hAnsi="Garamond"/>
          <w:i/>
          <w:lang w:val="en-AU"/>
        </w:rPr>
        <w:t>[USA] Effective Health Care Program reports</w:t>
      </w:r>
    </w:p>
    <w:p w:rsidR="009A34AA" w:rsidRPr="000170DA" w:rsidRDefault="007D7CED" w:rsidP="009A34AA">
      <w:pPr>
        <w:keepNext/>
        <w:keepLines/>
        <w:rPr>
          <w:rFonts w:ascii="Garamond" w:hAnsi="Garamond"/>
          <w:u w:val="single"/>
          <w:lang w:val="en-AU"/>
        </w:rPr>
      </w:pPr>
      <w:hyperlink r:id="rId39" w:history="1">
        <w:r w:rsidR="009A34AA" w:rsidRPr="000170DA">
          <w:rPr>
            <w:rStyle w:val="Hyperlink"/>
            <w:rFonts w:ascii="Garamond" w:hAnsi="Garamond"/>
            <w:lang w:val="en-AU"/>
          </w:rPr>
          <w:t>https://effectivehealthcare.ahrq.gov/</w:t>
        </w:r>
      </w:hyperlink>
    </w:p>
    <w:p w:rsidR="009A34AA" w:rsidRPr="000170DA" w:rsidRDefault="009A34AA" w:rsidP="009A34AA">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EE2A35" w:rsidRDefault="00964A83" w:rsidP="00964A83">
      <w:pPr>
        <w:pStyle w:val="ListParagraph"/>
        <w:keepLines/>
        <w:numPr>
          <w:ilvl w:val="0"/>
          <w:numId w:val="14"/>
        </w:numPr>
        <w:rPr>
          <w:rFonts w:ascii="Garamond" w:hAnsi="Garamond"/>
          <w:lang w:val="en-AU"/>
        </w:rPr>
      </w:pPr>
      <w:r w:rsidRPr="00964A83">
        <w:rPr>
          <w:rFonts w:ascii="Garamond" w:hAnsi="Garamond"/>
          <w:i/>
          <w:lang w:val="en-AU"/>
        </w:rPr>
        <w:t xml:space="preserve">Noninvasive Nonpharmacological Treatment for </w:t>
      </w:r>
      <w:r w:rsidRPr="00CC40E0">
        <w:rPr>
          <w:rFonts w:ascii="Garamond" w:hAnsi="Garamond"/>
          <w:b/>
          <w:i/>
          <w:lang w:val="en-AU"/>
        </w:rPr>
        <w:t>Chronic Pain</w:t>
      </w:r>
      <w:r>
        <w:rPr>
          <w:rFonts w:ascii="Garamond" w:hAnsi="Garamond"/>
          <w:i/>
          <w:lang w:val="en-AU"/>
        </w:rPr>
        <w:t xml:space="preserve">: A Systematic Review </w:t>
      </w:r>
      <w:hyperlink r:id="rId40" w:history="1">
        <w:r w:rsidRPr="00EA3230">
          <w:rPr>
            <w:rStyle w:val="Hyperlink"/>
            <w:rFonts w:ascii="Garamond" w:hAnsi="Garamond"/>
            <w:lang w:val="en-AU"/>
          </w:rPr>
          <w:t>https://effectivehealthcare.ahrq.gov/topics/nonpharma-treatment-pain/research-2018</w:t>
        </w:r>
      </w:hyperlink>
    </w:p>
    <w:p w:rsidR="002F3F85" w:rsidRDefault="002F3F85" w:rsidP="002F3F85">
      <w:pPr>
        <w:keepNext/>
        <w:keepLines/>
        <w:rPr>
          <w:rFonts w:ascii="Garamond" w:hAnsi="Garamond"/>
          <w:i/>
          <w:lang w:val="en-AU"/>
        </w:rPr>
      </w:pPr>
      <w:r>
        <w:rPr>
          <w:rFonts w:ascii="Garamond" w:hAnsi="Garamond"/>
          <w:i/>
          <w:lang w:val="en-AU"/>
        </w:rPr>
        <w:lastRenderedPageBreak/>
        <w:t xml:space="preserve">[USA] </w:t>
      </w:r>
      <w:r w:rsidRPr="00074924">
        <w:rPr>
          <w:rFonts w:ascii="Garamond" w:hAnsi="Garamond"/>
          <w:lang w:val="en-AU"/>
        </w:rPr>
        <w:t>Clostridium difficile</w:t>
      </w:r>
      <w:r w:rsidRPr="00074924">
        <w:rPr>
          <w:rFonts w:ascii="Garamond" w:hAnsi="Garamond"/>
          <w:i/>
          <w:lang w:val="en-AU"/>
        </w:rPr>
        <w:t xml:space="preserve"> Toolkit for Long-term Care Facilities</w:t>
      </w:r>
    </w:p>
    <w:p w:rsidR="002F3F85" w:rsidRDefault="007D7CED" w:rsidP="002F3F85">
      <w:pPr>
        <w:keepNext/>
        <w:keepLines/>
        <w:rPr>
          <w:rFonts w:ascii="Garamond" w:hAnsi="Garamond"/>
          <w:lang w:val="en-AU"/>
        </w:rPr>
      </w:pPr>
      <w:hyperlink r:id="rId41" w:history="1">
        <w:r w:rsidR="002F3F85" w:rsidRPr="00EA3230">
          <w:rPr>
            <w:rStyle w:val="Hyperlink"/>
            <w:rFonts w:ascii="Garamond" w:hAnsi="Garamond"/>
            <w:lang w:val="en-AU"/>
          </w:rPr>
          <w:t>http://www.health.state.mn.us/divs/idepc/diseases/cdiff/hcp/toolkit/index.html</w:t>
        </w:r>
      </w:hyperlink>
    </w:p>
    <w:p w:rsidR="002F3F85" w:rsidRPr="00074924" w:rsidRDefault="002F3F85" w:rsidP="002F3F85">
      <w:pPr>
        <w:keepNext/>
        <w:keepLines/>
        <w:rPr>
          <w:rFonts w:ascii="Garamond" w:hAnsi="Garamond"/>
          <w:lang w:val="en-AU"/>
        </w:rPr>
      </w:pPr>
      <w:r w:rsidRPr="00074924">
        <w:rPr>
          <w:rFonts w:ascii="Garamond" w:hAnsi="Garamond"/>
          <w:lang w:val="en-AU"/>
        </w:rPr>
        <w:t xml:space="preserve">The Minnesota Department of Health </w:t>
      </w:r>
      <w:r>
        <w:rPr>
          <w:rFonts w:ascii="Garamond" w:hAnsi="Garamond"/>
          <w:lang w:val="en-AU"/>
        </w:rPr>
        <w:t xml:space="preserve">has </w:t>
      </w:r>
      <w:r w:rsidRPr="00074924">
        <w:rPr>
          <w:rFonts w:ascii="Garamond" w:hAnsi="Garamond"/>
          <w:lang w:val="en-AU"/>
        </w:rPr>
        <w:t xml:space="preserve">released </w:t>
      </w:r>
      <w:r>
        <w:rPr>
          <w:rFonts w:ascii="Garamond" w:hAnsi="Garamond"/>
          <w:lang w:val="en-AU"/>
        </w:rPr>
        <w:t xml:space="preserve">this </w:t>
      </w:r>
      <w:r w:rsidRPr="00074924">
        <w:rPr>
          <w:rFonts w:ascii="Garamond" w:hAnsi="Garamond"/>
          <w:lang w:val="en-AU"/>
        </w:rPr>
        <w:t xml:space="preserve">toolkit for </w:t>
      </w:r>
      <w:r w:rsidRPr="00074924">
        <w:rPr>
          <w:rFonts w:ascii="Garamond" w:hAnsi="Garamond"/>
          <w:i/>
          <w:lang w:val="en-AU"/>
        </w:rPr>
        <w:t>Clostridium difficile</w:t>
      </w:r>
      <w:r w:rsidRPr="00074924">
        <w:rPr>
          <w:rFonts w:ascii="Garamond" w:hAnsi="Garamond"/>
          <w:lang w:val="en-AU"/>
        </w:rPr>
        <w:t xml:space="preserve"> prevention and management in long-term care facilities.</w:t>
      </w:r>
      <w:r>
        <w:rPr>
          <w:rFonts w:ascii="Garamond" w:hAnsi="Garamond"/>
          <w:lang w:val="en-AU"/>
        </w:rPr>
        <w:t xml:space="preserve"> The toolkit </w:t>
      </w:r>
      <w:r w:rsidRPr="00074924">
        <w:rPr>
          <w:rFonts w:ascii="Garamond" w:hAnsi="Garamond"/>
          <w:lang w:val="en-AU"/>
        </w:rPr>
        <w:t>provides resources in six topic areas: prepare, detect, contain, clean, prevent, and educate.</w:t>
      </w:r>
    </w:p>
    <w:p w:rsidR="002F3F85" w:rsidRPr="00074924" w:rsidRDefault="002F3F85" w:rsidP="002F3F85">
      <w:pPr>
        <w:keepNext/>
        <w:keepLines/>
        <w:rPr>
          <w:rFonts w:ascii="Garamond" w:hAnsi="Garamond"/>
          <w:lang w:val="en-AU"/>
        </w:rPr>
      </w:pPr>
    </w:p>
    <w:p w:rsidR="002F3F85" w:rsidRDefault="002F3F85" w:rsidP="009A34AA">
      <w:pPr>
        <w:keepNext/>
        <w:keepLines/>
        <w:rPr>
          <w:rFonts w:ascii="Garamond" w:hAnsi="Garamond"/>
          <w:lang w:val="en-AU"/>
        </w:rPr>
      </w:pPr>
      <w:r>
        <w:rPr>
          <w:rFonts w:ascii="Garamond" w:hAnsi="Garamond"/>
          <w:lang w:val="en-AU"/>
        </w:rPr>
        <w:t xml:space="preserve">For information on the Commission’s work on healthcare associated infection, including </w:t>
      </w:r>
      <w:r w:rsidRPr="002F3F85">
        <w:rPr>
          <w:rFonts w:ascii="Garamond" w:hAnsi="Garamond"/>
          <w:i/>
          <w:lang w:val="en-AU"/>
        </w:rPr>
        <w:t>Clostridium difficile</w:t>
      </w:r>
      <w:r>
        <w:rPr>
          <w:rFonts w:ascii="Garamond" w:hAnsi="Garamond"/>
          <w:lang w:val="en-AU"/>
        </w:rPr>
        <w:t xml:space="preserve">, see </w:t>
      </w:r>
      <w:hyperlink r:id="rId42" w:history="1">
        <w:r w:rsidRPr="00EA3230">
          <w:rPr>
            <w:rStyle w:val="Hyperlink"/>
            <w:rFonts w:ascii="Garamond" w:hAnsi="Garamond"/>
            <w:lang w:val="en-AU"/>
          </w:rPr>
          <w:t>https://www.safetyandquality.gov.au/our-work/healthcare-associated-infection/</w:t>
        </w:r>
      </w:hyperlink>
    </w:p>
    <w:p w:rsidR="002F3F85" w:rsidRDefault="002F3F85" w:rsidP="009A34AA">
      <w:pPr>
        <w:keepNext/>
        <w:keepLines/>
        <w:rPr>
          <w:rFonts w:ascii="Garamond" w:hAnsi="Garamond"/>
          <w:lang w:val="en-AU"/>
        </w:rPr>
      </w:pPr>
    </w:p>
    <w:p w:rsidR="009A34AA" w:rsidRDefault="009A34AA" w:rsidP="008F4A60">
      <w:pPr>
        <w:keepNext/>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3"/>
      <w:footerReference w:type="default" r:id="rId4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BDF" w:rsidRDefault="00373BDF">
      <w:r>
        <w:separator/>
      </w:r>
    </w:p>
  </w:endnote>
  <w:endnote w:type="continuationSeparator" w:id="0">
    <w:p w:rsidR="00373BDF" w:rsidRDefault="0037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F" w:rsidRDefault="00373BD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D7CED">
      <w:rPr>
        <w:rStyle w:val="PageNumber"/>
        <w:noProof/>
      </w:rPr>
      <w:t>4</w:t>
    </w:r>
    <w:r>
      <w:rPr>
        <w:rStyle w:val="PageNumber"/>
      </w:rPr>
      <w:fldChar w:fldCharType="end"/>
    </w:r>
  </w:p>
  <w:p w:rsidR="00C022E3" w:rsidRPr="001E78F0" w:rsidRDefault="00373BD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EE2A35">
      <w:rPr>
        <w:rFonts w:ascii="Garamond" w:hAnsi="Garamond"/>
      </w:rPr>
      <w:t>37</w:t>
    </w:r>
    <w:r w:rsidR="00A84001">
      <w:rPr>
        <w:rFonts w:ascii="Garamond" w:hAnsi="Garamond"/>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F" w:rsidRPr="001E78F0" w:rsidRDefault="00373BD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7D7CED">
      <w:rPr>
        <w:rStyle w:val="PageNumber"/>
        <w:rFonts w:ascii="Garamond" w:hAnsi="Garamond"/>
        <w:noProof/>
      </w:rPr>
      <w:t>3</w:t>
    </w:r>
    <w:r w:rsidRPr="001E78F0">
      <w:rPr>
        <w:rStyle w:val="PageNumber"/>
        <w:rFonts w:ascii="Garamond" w:hAnsi="Garamond"/>
      </w:rPr>
      <w:fldChar w:fldCharType="end"/>
    </w:r>
  </w:p>
  <w:p w:rsidR="00373BDF" w:rsidRPr="001E78F0" w:rsidRDefault="00373BD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w:t>
    </w:r>
    <w:r w:rsidR="00C022E3">
      <w:rPr>
        <w:rFonts w:ascii="Garamond" w:hAnsi="Garamond"/>
      </w:rPr>
      <w:t>37</w:t>
    </w:r>
    <w:r w:rsidR="00A84001">
      <w:rPr>
        <w:rFonts w:ascii="Garamond" w:hAnsi="Garamond"/>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BDF" w:rsidRDefault="00373BDF">
      <w:r>
        <w:separator/>
      </w:r>
    </w:p>
  </w:footnote>
  <w:footnote w:type="continuationSeparator" w:id="0">
    <w:p w:rsidR="00373BDF" w:rsidRDefault="00373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AD21F3"/>
    <w:multiLevelType w:val="hybridMultilevel"/>
    <w:tmpl w:val="2A2884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DA5A6D"/>
    <w:multiLevelType w:val="hybridMultilevel"/>
    <w:tmpl w:val="80689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C734C69"/>
    <w:multiLevelType w:val="hybridMultilevel"/>
    <w:tmpl w:val="38381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44433BF"/>
    <w:multiLevelType w:val="hybridMultilevel"/>
    <w:tmpl w:val="C7D4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0"/>
  </w:num>
  <w:num w:numId="16">
    <w:abstractNumId w:val="12"/>
  </w:num>
  <w:num w:numId="17">
    <w:abstractNumId w:val="19"/>
  </w:num>
  <w:num w:numId="18">
    <w:abstractNumId w:val="17"/>
  </w:num>
  <w:num w:numId="19">
    <w:abstractNumId w:val="11"/>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4A3"/>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C4E"/>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924"/>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2E9"/>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75"/>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47E"/>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569"/>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32A"/>
    <w:rsid w:val="001A66F9"/>
    <w:rsid w:val="001A684F"/>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DDC"/>
    <w:rsid w:val="001E2E90"/>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81C"/>
    <w:rsid w:val="00282BD0"/>
    <w:rsid w:val="00282BDA"/>
    <w:rsid w:val="00282D29"/>
    <w:rsid w:val="00282F9B"/>
    <w:rsid w:val="00282FE1"/>
    <w:rsid w:val="00283601"/>
    <w:rsid w:val="002836FD"/>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2FA"/>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3F85"/>
    <w:rsid w:val="002F4191"/>
    <w:rsid w:val="002F43A9"/>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59"/>
    <w:rsid w:val="005A526B"/>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3A8"/>
    <w:rsid w:val="00617699"/>
    <w:rsid w:val="00617995"/>
    <w:rsid w:val="00617B18"/>
    <w:rsid w:val="00617B92"/>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5BD"/>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0F5"/>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CED"/>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0C3"/>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634"/>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40A9"/>
    <w:rsid w:val="00894316"/>
    <w:rsid w:val="00894898"/>
    <w:rsid w:val="00894B33"/>
    <w:rsid w:val="00894C3F"/>
    <w:rsid w:val="00894D5A"/>
    <w:rsid w:val="00894D76"/>
    <w:rsid w:val="00894D7E"/>
    <w:rsid w:val="00895092"/>
    <w:rsid w:val="0089526D"/>
    <w:rsid w:val="00895274"/>
    <w:rsid w:val="00895605"/>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BE2"/>
    <w:rsid w:val="008F5CB9"/>
    <w:rsid w:val="008F5E22"/>
    <w:rsid w:val="008F5EEC"/>
    <w:rsid w:val="008F6173"/>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A83"/>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0DB0"/>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F9"/>
    <w:rsid w:val="00C500BD"/>
    <w:rsid w:val="00C5040B"/>
    <w:rsid w:val="00C50736"/>
    <w:rsid w:val="00C50AB3"/>
    <w:rsid w:val="00C50C1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40E0"/>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8A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494"/>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16"/>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60"/>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5475090">
      <w:bodyDiv w:val="1"/>
      <w:marLeft w:val="0"/>
      <w:marRight w:val="0"/>
      <w:marTop w:val="0"/>
      <w:marBottom w:val="0"/>
      <w:divBdr>
        <w:top w:val="none" w:sz="0" w:space="0" w:color="auto"/>
        <w:left w:val="none" w:sz="0" w:space="0" w:color="auto"/>
        <w:bottom w:val="none" w:sz="0" w:space="0" w:color="auto"/>
        <w:right w:val="none" w:sz="0" w:space="0" w:color="auto"/>
      </w:divBdr>
      <w:divsChild>
        <w:div w:id="679700905">
          <w:marLeft w:val="0"/>
          <w:marRight w:val="0"/>
          <w:marTop w:val="0"/>
          <w:marBottom w:val="0"/>
          <w:divBdr>
            <w:top w:val="none" w:sz="0" w:space="0" w:color="auto"/>
            <w:left w:val="none" w:sz="0" w:space="0" w:color="auto"/>
            <w:bottom w:val="none" w:sz="0" w:space="0" w:color="auto"/>
            <w:right w:val="none" w:sz="0" w:space="0" w:color="auto"/>
          </w:divBdr>
          <w:divsChild>
            <w:div w:id="1321538716">
              <w:marLeft w:val="0"/>
              <w:marRight w:val="0"/>
              <w:marTop w:val="0"/>
              <w:marBottom w:val="0"/>
              <w:divBdr>
                <w:top w:val="none" w:sz="0" w:space="0" w:color="auto"/>
                <w:left w:val="none" w:sz="0" w:space="0" w:color="auto"/>
                <w:bottom w:val="none" w:sz="0" w:space="0" w:color="auto"/>
                <w:right w:val="none" w:sz="0" w:space="0" w:color="auto"/>
              </w:divBdr>
              <w:divsChild>
                <w:div w:id="1310476582">
                  <w:marLeft w:val="0"/>
                  <w:marRight w:val="0"/>
                  <w:marTop w:val="0"/>
                  <w:marBottom w:val="375"/>
                  <w:divBdr>
                    <w:top w:val="none" w:sz="0" w:space="0" w:color="auto"/>
                    <w:left w:val="single" w:sz="48" w:space="11" w:color="333333"/>
                    <w:bottom w:val="none" w:sz="0" w:space="0" w:color="auto"/>
                    <w:right w:val="none" w:sz="0" w:space="0" w:color="auto"/>
                  </w:divBdr>
                  <w:divsChild>
                    <w:div w:id="1341353313">
                      <w:marLeft w:val="-225"/>
                      <w:marRight w:val="-225"/>
                      <w:marTop w:val="0"/>
                      <w:marBottom w:val="0"/>
                      <w:divBdr>
                        <w:top w:val="none" w:sz="0" w:space="0" w:color="auto"/>
                        <w:left w:val="none" w:sz="0" w:space="0" w:color="auto"/>
                        <w:bottom w:val="none" w:sz="0" w:space="0" w:color="auto"/>
                        <w:right w:val="none" w:sz="0" w:space="0" w:color="auto"/>
                      </w:divBdr>
                      <w:divsChild>
                        <w:div w:id="1554075895">
                          <w:marLeft w:val="0"/>
                          <w:marRight w:val="0"/>
                          <w:marTop w:val="0"/>
                          <w:marBottom w:val="0"/>
                          <w:divBdr>
                            <w:top w:val="none" w:sz="0" w:space="0" w:color="auto"/>
                            <w:left w:val="none" w:sz="0" w:space="0" w:color="auto"/>
                            <w:bottom w:val="none" w:sz="0" w:space="0" w:color="auto"/>
                            <w:right w:val="none" w:sz="0" w:space="0" w:color="auto"/>
                          </w:divBdr>
                        </w:div>
                        <w:div w:id="13617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0687">
                  <w:marLeft w:val="0"/>
                  <w:marRight w:val="0"/>
                  <w:marTop w:val="0"/>
                  <w:marBottom w:val="375"/>
                  <w:divBdr>
                    <w:top w:val="none" w:sz="0" w:space="0" w:color="auto"/>
                    <w:left w:val="single" w:sz="48" w:space="11" w:color="26AAE1"/>
                    <w:bottom w:val="none" w:sz="0" w:space="0" w:color="auto"/>
                    <w:right w:val="none" w:sz="0" w:space="0" w:color="auto"/>
                  </w:divBdr>
                  <w:divsChild>
                    <w:div w:id="1372724828">
                      <w:marLeft w:val="-225"/>
                      <w:marRight w:val="-225"/>
                      <w:marTop w:val="0"/>
                      <w:marBottom w:val="0"/>
                      <w:divBdr>
                        <w:top w:val="none" w:sz="0" w:space="0" w:color="auto"/>
                        <w:left w:val="none" w:sz="0" w:space="0" w:color="auto"/>
                        <w:bottom w:val="none" w:sz="0" w:space="0" w:color="auto"/>
                        <w:right w:val="none" w:sz="0" w:space="0" w:color="auto"/>
                      </w:divBdr>
                      <w:divsChild>
                        <w:div w:id="30427169">
                          <w:marLeft w:val="0"/>
                          <w:marRight w:val="0"/>
                          <w:marTop w:val="0"/>
                          <w:marBottom w:val="0"/>
                          <w:divBdr>
                            <w:top w:val="none" w:sz="0" w:space="0" w:color="auto"/>
                            <w:left w:val="none" w:sz="0" w:space="0" w:color="auto"/>
                            <w:bottom w:val="none" w:sz="0" w:space="0" w:color="auto"/>
                            <w:right w:val="none" w:sz="0" w:space="0" w:color="auto"/>
                          </w:divBdr>
                        </w:div>
                        <w:div w:id="12811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4669">
                  <w:marLeft w:val="0"/>
                  <w:marRight w:val="0"/>
                  <w:marTop w:val="0"/>
                  <w:marBottom w:val="375"/>
                  <w:divBdr>
                    <w:top w:val="none" w:sz="0" w:space="0" w:color="auto"/>
                    <w:left w:val="single" w:sz="48" w:space="11" w:color="26AAE1"/>
                    <w:bottom w:val="none" w:sz="0" w:space="0" w:color="auto"/>
                    <w:right w:val="none" w:sz="0" w:space="0" w:color="auto"/>
                  </w:divBdr>
                  <w:divsChild>
                    <w:div w:id="881793569">
                      <w:marLeft w:val="-225"/>
                      <w:marRight w:val="-225"/>
                      <w:marTop w:val="0"/>
                      <w:marBottom w:val="0"/>
                      <w:divBdr>
                        <w:top w:val="none" w:sz="0" w:space="0" w:color="auto"/>
                        <w:left w:val="none" w:sz="0" w:space="0" w:color="auto"/>
                        <w:bottom w:val="none" w:sz="0" w:space="0" w:color="auto"/>
                        <w:right w:val="none" w:sz="0" w:space="0" w:color="auto"/>
                      </w:divBdr>
                      <w:divsChild>
                        <w:div w:id="430051363">
                          <w:marLeft w:val="0"/>
                          <w:marRight w:val="0"/>
                          <w:marTop w:val="0"/>
                          <w:marBottom w:val="0"/>
                          <w:divBdr>
                            <w:top w:val="none" w:sz="0" w:space="0" w:color="auto"/>
                            <w:left w:val="none" w:sz="0" w:space="0" w:color="auto"/>
                            <w:bottom w:val="none" w:sz="0" w:space="0" w:color="auto"/>
                            <w:right w:val="none" w:sz="0" w:space="0" w:color="auto"/>
                          </w:divBdr>
                        </w:div>
                        <w:div w:id="11126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07468">
                  <w:marLeft w:val="0"/>
                  <w:marRight w:val="0"/>
                  <w:marTop w:val="0"/>
                  <w:marBottom w:val="375"/>
                  <w:divBdr>
                    <w:top w:val="none" w:sz="0" w:space="0" w:color="auto"/>
                    <w:left w:val="single" w:sz="48" w:space="11" w:color="26AAE1"/>
                    <w:bottom w:val="none" w:sz="0" w:space="0" w:color="auto"/>
                    <w:right w:val="none" w:sz="0" w:space="0" w:color="auto"/>
                  </w:divBdr>
                  <w:divsChild>
                    <w:div w:id="1423061547">
                      <w:marLeft w:val="-225"/>
                      <w:marRight w:val="-225"/>
                      <w:marTop w:val="0"/>
                      <w:marBottom w:val="0"/>
                      <w:divBdr>
                        <w:top w:val="none" w:sz="0" w:space="0" w:color="auto"/>
                        <w:left w:val="none" w:sz="0" w:space="0" w:color="auto"/>
                        <w:bottom w:val="none" w:sz="0" w:space="0" w:color="auto"/>
                        <w:right w:val="none" w:sz="0" w:space="0" w:color="auto"/>
                      </w:divBdr>
                      <w:divsChild>
                        <w:div w:id="931888033">
                          <w:marLeft w:val="0"/>
                          <w:marRight w:val="0"/>
                          <w:marTop w:val="0"/>
                          <w:marBottom w:val="0"/>
                          <w:divBdr>
                            <w:top w:val="none" w:sz="0" w:space="0" w:color="auto"/>
                            <w:left w:val="none" w:sz="0" w:space="0" w:color="auto"/>
                            <w:bottom w:val="none" w:sz="0" w:space="0" w:color="auto"/>
                            <w:right w:val="none" w:sz="0" w:space="0" w:color="auto"/>
                          </w:divBdr>
                        </w:div>
                        <w:div w:id="13267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9299">
                  <w:marLeft w:val="0"/>
                  <w:marRight w:val="0"/>
                  <w:marTop w:val="0"/>
                  <w:marBottom w:val="375"/>
                  <w:divBdr>
                    <w:top w:val="none" w:sz="0" w:space="0" w:color="auto"/>
                    <w:left w:val="single" w:sz="48" w:space="11" w:color="00A8A0"/>
                    <w:bottom w:val="none" w:sz="0" w:space="0" w:color="auto"/>
                    <w:right w:val="none" w:sz="0" w:space="0" w:color="auto"/>
                  </w:divBdr>
                  <w:divsChild>
                    <w:div w:id="1391535029">
                      <w:marLeft w:val="-225"/>
                      <w:marRight w:val="-225"/>
                      <w:marTop w:val="0"/>
                      <w:marBottom w:val="0"/>
                      <w:divBdr>
                        <w:top w:val="none" w:sz="0" w:space="0" w:color="auto"/>
                        <w:left w:val="none" w:sz="0" w:space="0" w:color="auto"/>
                        <w:bottom w:val="none" w:sz="0" w:space="0" w:color="auto"/>
                        <w:right w:val="none" w:sz="0" w:space="0" w:color="auto"/>
                      </w:divBdr>
                      <w:divsChild>
                        <w:div w:id="417604838">
                          <w:marLeft w:val="0"/>
                          <w:marRight w:val="0"/>
                          <w:marTop w:val="0"/>
                          <w:marBottom w:val="0"/>
                          <w:divBdr>
                            <w:top w:val="none" w:sz="0" w:space="0" w:color="auto"/>
                            <w:left w:val="none" w:sz="0" w:space="0" w:color="auto"/>
                            <w:bottom w:val="none" w:sz="0" w:space="0" w:color="auto"/>
                            <w:right w:val="none" w:sz="0" w:space="0" w:color="auto"/>
                          </w:divBdr>
                        </w:div>
                        <w:div w:id="18407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2293">
                  <w:marLeft w:val="0"/>
                  <w:marRight w:val="0"/>
                  <w:marTop w:val="0"/>
                  <w:marBottom w:val="375"/>
                  <w:divBdr>
                    <w:top w:val="none" w:sz="0" w:space="0" w:color="auto"/>
                    <w:left w:val="single" w:sz="48" w:space="11" w:color="00A8A0"/>
                    <w:bottom w:val="none" w:sz="0" w:space="0" w:color="auto"/>
                    <w:right w:val="none" w:sz="0" w:space="0" w:color="auto"/>
                  </w:divBdr>
                  <w:divsChild>
                    <w:div w:id="543642244">
                      <w:marLeft w:val="-225"/>
                      <w:marRight w:val="-225"/>
                      <w:marTop w:val="0"/>
                      <w:marBottom w:val="0"/>
                      <w:divBdr>
                        <w:top w:val="none" w:sz="0" w:space="0" w:color="auto"/>
                        <w:left w:val="none" w:sz="0" w:space="0" w:color="auto"/>
                        <w:bottom w:val="none" w:sz="0" w:space="0" w:color="auto"/>
                        <w:right w:val="none" w:sz="0" w:space="0" w:color="auto"/>
                      </w:divBdr>
                      <w:divsChild>
                        <w:div w:id="1097823437">
                          <w:marLeft w:val="0"/>
                          <w:marRight w:val="0"/>
                          <w:marTop w:val="0"/>
                          <w:marBottom w:val="0"/>
                          <w:divBdr>
                            <w:top w:val="none" w:sz="0" w:space="0" w:color="auto"/>
                            <w:left w:val="none" w:sz="0" w:space="0" w:color="auto"/>
                            <w:bottom w:val="none" w:sz="0" w:space="0" w:color="auto"/>
                            <w:right w:val="none" w:sz="0" w:space="0" w:color="auto"/>
                          </w:divBdr>
                        </w:div>
                        <w:div w:id="174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8023">
                  <w:marLeft w:val="0"/>
                  <w:marRight w:val="0"/>
                  <w:marTop w:val="0"/>
                  <w:marBottom w:val="375"/>
                  <w:divBdr>
                    <w:top w:val="none" w:sz="0" w:space="0" w:color="auto"/>
                    <w:left w:val="single" w:sz="48" w:space="11" w:color="00A8A0"/>
                    <w:bottom w:val="none" w:sz="0" w:space="0" w:color="auto"/>
                    <w:right w:val="none" w:sz="0" w:space="0" w:color="auto"/>
                  </w:divBdr>
                  <w:divsChild>
                    <w:div w:id="60981245">
                      <w:marLeft w:val="-225"/>
                      <w:marRight w:val="-225"/>
                      <w:marTop w:val="0"/>
                      <w:marBottom w:val="0"/>
                      <w:divBdr>
                        <w:top w:val="none" w:sz="0" w:space="0" w:color="auto"/>
                        <w:left w:val="none" w:sz="0" w:space="0" w:color="auto"/>
                        <w:bottom w:val="none" w:sz="0" w:space="0" w:color="auto"/>
                        <w:right w:val="none" w:sz="0" w:space="0" w:color="auto"/>
                      </w:divBdr>
                      <w:divsChild>
                        <w:div w:id="1851601437">
                          <w:marLeft w:val="0"/>
                          <w:marRight w:val="0"/>
                          <w:marTop w:val="0"/>
                          <w:marBottom w:val="0"/>
                          <w:divBdr>
                            <w:top w:val="none" w:sz="0" w:space="0" w:color="auto"/>
                            <w:left w:val="none" w:sz="0" w:space="0" w:color="auto"/>
                            <w:bottom w:val="none" w:sz="0" w:space="0" w:color="auto"/>
                            <w:right w:val="none" w:sz="0" w:space="0" w:color="auto"/>
                          </w:divBdr>
                        </w:div>
                        <w:div w:id="3674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5269">
                  <w:marLeft w:val="0"/>
                  <w:marRight w:val="0"/>
                  <w:marTop w:val="0"/>
                  <w:marBottom w:val="375"/>
                  <w:divBdr>
                    <w:top w:val="none" w:sz="0" w:space="0" w:color="auto"/>
                    <w:left w:val="single" w:sz="48" w:space="11" w:color="00A8A0"/>
                    <w:bottom w:val="none" w:sz="0" w:space="0" w:color="auto"/>
                    <w:right w:val="none" w:sz="0" w:space="0" w:color="auto"/>
                  </w:divBdr>
                  <w:divsChild>
                    <w:div w:id="1679700418">
                      <w:marLeft w:val="-225"/>
                      <w:marRight w:val="-225"/>
                      <w:marTop w:val="0"/>
                      <w:marBottom w:val="0"/>
                      <w:divBdr>
                        <w:top w:val="none" w:sz="0" w:space="0" w:color="auto"/>
                        <w:left w:val="none" w:sz="0" w:space="0" w:color="auto"/>
                        <w:bottom w:val="none" w:sz="0" w:space="0" w:color="auto"/>
                        <w:right w:val="none" w:sz="0" w:space="0" w:color="auto"/>
                      </w:divBdr>
                      <w:divsChild>
                        <w:div w:id="1005594652">
                          <w:marLeft w:val="0"/>
                          <w:marRight w:val="0"/>
                          <w:marTop w:val="0"/>
                          <w:marBottom w:val="0"/>
                          <w:divBdr>
                            <w:top w:val="none" w:sz="0" w:space="0" w:color="auto"/>
                            <w:left w:val="none" w:sz="0" w:space="0" w:color="auto"/>
                            <w:bottom w:val="none" w:sz="0" w:space="0" w:color="auto"/>
                            <w:right w:val="none" w:sz="0" w:space="0" w:color="auto"/>
                          </w:divBdr>
                        </w:div>
                        <w:div w:id="1898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3685">
                  <w:marLeft w:val="0"/>
                  <w:marRight w:val="0"/>
                  <w:marTop w:val="0"/>
                  <w:marBottom w:val="375"/>
                  <w:divBdr>
                    <w:top w:val="none" w:sz="0" w:space="0" w:color="auto"/>
                    <w:left w:val="single" w:sz="48" w:space="11" w:color="00A8A0"/>
                    <w:bottom w:val="none" w:sz="0" w:space="0" w:color="auto"/>
                    <w:right w:val="none" w:sz="0" w:space="0" w:color="auto"/>
                  </w:divBdr>
                  <w:divsChild>
                    <w:div w:id="1483427467">
                      <w:marLeft w:val="-225"/>
                      <w:marRight w:val="-225"/>
                      <w:marTop w:val="0"/>
                      <w:marBottom w:val="0"/>
                      <w:divBdr>
                        <w:top w:val="none" w:sz="0" w:space="0" w:color="auto"/>
                        <w:left w:val="none" w:sz="0" w:space="0" w:color="auto"/>
                        <w:bottom w:val="none" w:sz="0" w:space="0" w:color="auto"/>
                        <w:right w:val="none" w:sz="0" w:space="0" w:color="auto"/>
                      </w:divBdr>
                      <w:divsChild>
                        <w:div w:id="1820923742">
                          <w:marLeft w:val="0"/>
                          <w:marRight w:val="0"/>
                          <w:marTop w:val="0"/>
                          <w:marBottom w:val="0"/>
                          <w:divBdr>
                            <w:top w:val="none" w:sz="0" w:space="0" w:color="auto"/>
                            <w:left w:val="none" w:sz="0" w:space="0" w:color="auto"/>
                            <w:bottom w:val="none" w:sz="0" w:space="0" w:color="auto"/>
                            <w:right w:val="none" w:sz="0" w:space="0" w:color="auto"/>
                          </w:divBdr>
                        </w:div>
                        <w:div w:id="6970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40721">
                  <w:marLeft w:val="0"/>
                  <w:marRight w:val="0"/>
                  <w:marTop w:val="0"/>
                  <w:marBottom w:val="375"/>
                  <w:divBdr>
                    <w:top w:val="none" w:sz="0" w:space="0" w:color="auto"/>
                    <w:left w:val="single" w:sz="48" w:space="11" w:color="4C3F7B"/>
                    <w:bottom w:val="none" w:sz="0" w:space="0" w:color="auto"/>
                    <w:right w:val="none" w:sz="0" w:space="0" w:color="auto"/>
                  </w:divBdr>
                  <w:divsChild>
                    <w:div w:id="293145157">
                      <w:marLeft w:val="-225"/>
                      <w:marRight w:val="-225"/>
                      <w:marTop w:val="0"/>
                      <w:marBottom w:val="0"/>
                      <w:divBdr>
                        <w:top w:val="none" w:sz="0" w:space="0" w:color="auto"/>
                        <w:left w:val="none" w:sz="0" w:space="0" w:color="auto"/>
                        <w:bottom w:val="none" w:sz="0" w:space="0" w:color="auto"/>
                        <w:right w:val="none" w:sz="0" w:space="0" w:color="auto"/>
                      </w:divBdr>
                      <w:divsChild>
                        <w:div w:id="38210000">
                          <w:marLeft w:val="0"/>
                          <w:marRight w:val="0"/>
                          <w:marTop w:val="0"/>
                          <w:marBottom w:val="0"/>
                          <w:divBdr>
                            <w:top w:val="none" w:sz="0" w:space="0" w:color="auto"/>
                            <w:left w:val="none" w:sz="0" w:space="0" w:color="auto"/>
                            <w:bottom w:val="none" w:sz="0" w:space="0" w:color="auto"/>
                            <w:right w:val="none" w:sz="0" w:space="0" w:color="auto"/>
                          </w:divBdr>
                        </w:div>
                        <w:div w:id="10666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15263">
          <w:marLeft w:val="0"/>
          <w:marRight w:val="0"/>
          <w:marTop w:val="0"/>
          <w:marBottom w:val="0"/>
          <w:divBdr>
            <w:top w:val="none" w:sz="0" w:space="0" w:color="auto"/>
            <w:left w:val="none" w:sz="0" w:space="0" w:color="auto"/>
            <w:bottom w:val="none" w:sz="0" w:space="0" w:color="auto"/>
            <w:right w:val="none" w:sz="0" w:space="0" w:color="auto"/>
          </w:divBdr>
          <w:divsChild>
            <w:div w:id="873615355">
              <w:marLeft w:val="0"/>
              <w:marRight w:val="0"/>
              <w:marTop w:val="0"/>
              <w:marBottom w:val="0"/>
              <w:divBdr>
                <w:top w:val="none" w:sz="0" w:space="0" w:color="auto"/>
                <w:left w:val="none" w:sz="0" w:space="0" w:color="auto"/>
                <w:bottom w:val="none" w:sz="0" w:space="0" w:color="auto"/>
                <w:right w:val="none" w:sz="0" w:space="0" w:color="auto"/>
              </w:divBdr>
              <w:divsChild>
                <w:div w:id="597569000">
                  <w:marLeft w:val="-225"/>
                  <w:marRight w:val="-225"/>
                  <w:marTop w:val="0"/>
                  <w:marBottom w:val="0"/>
                  <w:divBdr>
                    <w:top w:val="none" w:sz="0" w:space="0" w:color="auto"/>
                    <w:left w:val="none" w:sz="0" w:space="0" w:color="auto"/>
                    <w:bottom w:val="none" w:sz="0" w:space="0" w:color="auto"/>
                    <w:right w:val="none" w:sz="0" w:space="0" w:color="auto"/>
                  </w:divBdr>
                  <w:divsChild>
                    <w:div w:id="2853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ccc.wa.gov.au/sites/default/files/Report%20on%20serious%20misconduct%20risks%20around%20dangerous%20drugs%20in%20hospital.pdf" TargetMode="External"/><Relationship Id="rId26" Type="http://schemas.openxmlformats.org/officeDocument/2006/relationships/hyperlink" Target="https://www.safetyandquality.gov.au/our-work/safety-in-e-health/" TargetMode="External"/><Relationship Id="rId39" Type="http://schemas.openxmlformats.org/officeDocument/2006/relationships/hyperlink" Target="https://effectivehealthcare.ahrq.gov/" TargetMode="External"/><Relationship Id="rId3" Type="http://schemas.openxmlformats.org/officeDocument/2006/relationships/styles" Target="styles.xml"/><Relationship Id="rId21" Type="http://schemas.openxmlformats.org/officeDocument/2006/relationships/hyperlink" Target="http://www.ahrq.gov/news/newsroom/press-releases/declines-in-hacs.html" TargetMode="External"/><Relationship Id="rId34" Type="http://schemas.openxmlformats.org/officeDocument/2006/relationships/hyperlink" Target="https://www.safetyandquality.gov.au/antimicrobial-use-and-resistance-in-australia/other-publications/" TargetMode="External"/><Relationship Id="rId42" Type="http://schemas.openxmlformats.org/officeDocument/2006/relationships/hyperlink" Target="https://www.safetyandquality.gov.au/our-work/healthcare-associated-infection/"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mentalhealth@safetyandquality.gov.au" TargetMode="External"/><Relationship Id="rId25" Type="http://schemas.openxmlformats.org/officeDocument/2006/relationships/hyperlink" Target="https://www.safetyandquality.gov.au/our-work/medication-safety/" TargetMode="External"/><Relationship Id="rId33" Type="http://schemas.openxmlformats.org/officeDocument/2006/relationships/hyperlink" Target="https://academic.oup.com/intqhc/advance-access?papetoc" TargetMode="External"/><Relationship Id="rId38" Type="http://schemas.openxmlformats.org/officeDocument/2006/relationships/hyperlink" Target="http://www.nhsemployers.org/case-studies-and-resources/2018/06/using-band-4-roles-to-build-a-team-around-the-patien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fetyandquality.gov.au/our-work/assessment-to-the-nsqhs-standards/national-standards-program-updates-and-consultations-2/" TargetMode="External"/><Relationship Id="rId20" Type="http://schemas.openxmlformats.org/officeDocument/2006/relationships/hyperlink" Target="https://www.safetyandquality.gov.au/our-work/medication-safety/" TargetMode="External"/><Relationship Id="rId29" Type="http://schemas.openxmlformats.org/officeDocument/2006/relationships/hyperlink" Target="https://www.safetyandquality.gov.au/our-work/healthcare-associated-infection/" TargetMode="External"/><Relationship Id="rId41" Type="http://schemas.openxmlformats.org/officeDocument/2006/relationships/hyperlink" Target="http://www.health.state.mn.us/divs/idepc/diseases/cdiff/hcp/toolkit/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1093/intqhc/mzy098" TargetMode="External"/><Relationship Id="rId32" Type="http://schemas.openxmlformats.org/officeDocument/2006/relationships/hyperlink" Target="http://www.phrp.com.au/issues/june-2018-volume-28-issue-2/" TargetMode="External"/><Relationship Id="rId37" Type="http://schemas.openxmlformats.org/officeDocument/2006/relationships/hyperlink" Target="https://www.hqsc.govt.nz/our-programmes/health-quality-evaluation/news-and-events/news/3317/" TargetMode="External"/><Relationship Id="rId40" Type="http://schemas.openxmlformats.org/officeDocument/2006/relationships/hyperlink" Target="https://effectivehealthcare.ahrq.gov/topics/nonpharma-treatment-pain/research-2018"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indicators/hospital-acquired-complications/" TargetMode="External"/><Relationship Id="rId28" Type="http://schemas.openxmlformats.org/officeDocument/2006/relationships/hyperlink" Target="https://doi.org/10.1017/ice.2018.121" TargetMode="External"/><Relationship Id="rId36" Type="http://schemas.openxmlformats.org/officeDocument/2006/relationships/hyperlink" Target="https://psnet.ahrq.gov/primers/primer/45"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ccc.wa.gov.au/news/493" TargetMode="External"/><Relationship Id="rId31" Type="http://schemas.openxmlformats.org/officeDocument/2006/relationships/hyperlink" Target="http://www.longwoods.com/publications/nursing-leadership/25471"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image" Target="media/image2.jpeg"/><Relationship Id="rId27" Type="http://schemas.openxmlformats.org/officeDocument/2006/relationships/hyperlink" Target="https://doi.org/10.1016/S0140-6736(18)31316-3" TargetMode="External"/><Relationship Id="rId30" Type="http://schemas.openxmlformats.org/officeDocument/2006/relationships/hyperlink" Target="https://doi.org/10.1007/s15010-018-1156-y" TargetMode="External"/><Relationship Id="rId35" Type="http://schemas.openxmlformats.org/officeDocument/2006/relationships/hyperlink" Target="https://psnet.ahrq.gov/primers/"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26631-F3B1-4FF4-A170-79BF55A6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8</Pages>
  <Words>3138</Words>
  <Characters>19900</Characters>
  <Application>Microsoft Office Word</Application>
  <DocSecurity>0</DocSecurity>
  <Lines>406</Lines>
  <Paragraphs>195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22843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22</cp:revision>
  <cp:lastPrinted>2018-03-02T02:34:00Z</cp:lastPrinted>
  <dcterms:created xsi:type="dcterms:W3CDTF">2018-06-11T21:41:00Z</dcterms:created>
  <dcterms:modified xsi:type="dcterms:W3CDTF">2018-06-15T03:33:00Z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