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277074">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C50D62">
        <w:rPr>
          <w:rFonts w:ascii="Garamond" w:hAnsi="Garamond"/>
          <w:color w:val="000000"/>
          <w:lang w:val="en-AU"/>
        </w:rPr>
        <w:t>76</w:t>
      </w:r>
    </w:p>
    <w:p w:rsidR="00755242" w:rsidRPr="00467B47" w:rsidRDefault="00597659" w:rsidP="00B160EF">
      <w:pPr>
        <w:rPr>
          <w:rFonts w:ascii="Garamond" w:hAnsi="Garamond"/>
          <w:lang w:val="en-AU"/>
        </w:rPr>
      </w:pPr>
      <w:r>
        <w:rPr>
          <w:rFonts w:ascii="Garamond" w:hAnsi="Garamond"/>
          <w:lang w:val="en-AU"/>
        </w:rPr>
        <w:t>2</w:t>
      </w:r>
      <w:r w:rsidR="00D8030A">
        <w:rPr>
          <w:rFonts w:ascii="Garamond" w:hAnsi="Garamond"/>
          <w:lang w:val="en-AU"/>
        </w:rPr>
        <w:t xml:space="preserve"> Ju</w:t>
      </w:r>
      <w:r w:rsidR="00C50D62">
        <w:rPr>
          <w:rFonts w:ascii="Garamond" w:hAnsi="Garamond"/>
          <w:lang w:val="en-AU"/>
        </w:rPr>
        <w:t>ly</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154E4">
        <w:rPr>
          <w:rFonts w:ascii="Garamond" w:hAnsi="Garamond"/>
          <w:bCs/>
          <w:lang w:val="en-AU"/>
        </w:rPr>
        <w:t>, Vannary Sar</w:t>
      </w:r>
      <w:r w:rsidR="006955B4">
        <w:rPr>
          <w:rFonts w:ascii="Garamond" w:hAnsi="Garamond"/>
          <w:bCs/>
          <w:lang w:val="en-AU"/>
        </w:rPr>
        <w:t xml:space="preserve">, </w:t>
      </w:r>
      <w:r w:rsidR="006955B4" w:rsidRPr="006955B4">
        <w:rPr>
          <w:rFonts w:ascii="Garamond" w:hAnsi="Garamond"/>
          <w:bCs/>
          <w:lang w:val="en-AU"/>
        </w:rPr>
        <w:t>Joanna Wooles</w:t>
      </w:r>
    </w:p>
    <w:p w:rsidR="00727B35" w:rsidRDefault="00727B35" w:rsidP="00691DE3">
      <w:pPr>
        <w:keepLines/>
        <w:autoSpaceDE w:val="0"/>
        <w:autoSpaceDN w:val="0"/>
        <w:adjustRightInd w:val="0"/>
        <w:rPr>
          <w:rFonts w:ascii="Garamond" w:hAnsi="Garamond"/>
          <w:lang w:val="en-AU"/>
        </w:rPr>
      </w:pPr>
    </w:p>
    <w:p w:rsidR="005154E4" w:rsidRDefault="005154E4">
      <w:pPr>
        <w:rPr>
          <w:rFonts w:ascii="Garamond" w:hAnsi="Garamond"/>
          <w:b/>
          <w:lang w:val="en-AU"/>
        </w:rPr>
      </w:pPr>
      <w:r w:rsidRPr="005154E4">
        <w:rPr>
          <w:rFonts w:ascii="Garamond" w:hAnsi="Garamond"/>
          <w:b/>
          <w:lang w:val="en-AU"/>
        </w:rPr>
        <w:t>Review of key attributes of high-performing person-centred healthcare organisations</w:t>
      </w:r>
    </w:p>
    <w:p w:rsidR="005154E4" w:rsidRPr="005154E4" w:rsidRDefault="005154E4" w:rsidP="005154E4">
      <w:pPr>
        <w:rPr>
          <w:rFonts w:ascii="Garamond" w:hAnsi="Garamond"/>
          <w:lang w:val="en-AU"/>
        </w:rPr>
      </w:pPr>
      <w:r w:rsidRPr="005154E4">
        <w:rPr>
          <w:rFonts w:ascii="Garamond" w:hAnsi="Garamond"/>
          <w:lang w:val="en-AU"/>
        </w:rPr>
        <w:t>Australian Commission on Safety and Quality in Health Care</w:t>
      </w:r>
    </w:p>
    <w:p w:rsidR="00597659" w:rsidRPr="005154E4" w:rsidRDefault="005154E4">
      <w:pPr>
        <w:rPr>
          <w:rFonts w:ascii="Garamond" w:hAnsi="Garamond"/>
          <w:lang w:val="en-AU"/>
        </w:rPr>
      </w:pPr>
      <w:r w:rsidRPr="005154E4">
        <w:rPr>
          <w:rFonts w:ascii="Garamond" w:hAnsi="Garamond"/>
          <w:lang w:val="en-AU"/>
        </w:rPr>
        <w:t>ACSQHC; 2018. p. 118.</w:t>
      </w:r>
    </w:p>
    <w:p w:rsidR="005154E4" w:rsidRDefault="00302121">
      <w:pPr>
        <w:rPr>
          <w:rFonts w:ascii="Garamond" w:hAnsi="Garamond"/>
          <w:lang w:val="en-AU"/>
        </w:rPr>
      </w:pPr>
      <w:hyperlink r:id="rId16" w:history="1">
        <w:r w:rsidR="005154E4" w:rsidRPr="00ED00B3">
          <w:rPr>
            <w:rStyle w:val="Hyperlink"/>
            <w:rFonts w:ascii="Garamond" w:hAnsi="Garamond"/>
            <w:lang w:val="en-AU"/>
          </w:rPr>
          <w:t>https://www.safetyandquality.gov.au/our-work/patient-and-consumer-centred-care/person-centred-organisations/</w:t>
        </w:r>
      </w:hyperlink>
    </w:p>
    <w:p w:rsidR="005154E4" w:rsidRDefault="005154E4">
      <w:pPr>
        <w:rPr>
          <w:rFonts w:ascii="Garamond" w:hAnsi="Garamond"/>
          <w:lang w:val="en-AU"/>
        </w:rPr>
      </w:pPr>
    </w:p>
    <w:p w:rsidR="005154E4" w:rsidRPr="005154E4" w:rsidRDefault="005154E4" w:rsidP="005154E4">
      <w:pPr>
        <w:rPr>
          <w:rFonts w:ascii="Garamond" w:hAnsi="Garamond"/>
          <w:lang w:val="en-AU"/>
        </w:rPr>
      </w:pPr>
      <w:r w:rsidRPr="005154E4">
        <w:rPr>
          <w:rFonts w:ascii="Garamond" w:hAnsi="Garamond"/>
          <w:lang w:val="en-AU"/>
        </w:rPr>
        <w:t>Person-centred care is the foundation for achieving safe, high-quality health care. By focusing on the delivery of person-centred care, and doing it well, healthcare organisations will achieve better outcomes for patients; better experiences for patients and the workforce; and better value care.</w:t>
      </w:r>
    </w:p>
    <w:p w:rsidR="005154E4" w:rsidRPr="005154E4" w:rsidRDefault="005154E4" w:rsidP="005154E4">
      <w:pPr>
        <w:rPr>
          <w:rFonts w:ascii="Garamond" w:hAnsi="Garamond"/>
          <w:lang w:val="en-AU"/>
        </w:rPr>
      </w:pPr>
    </w:p>
    <w:p w:rsidR="005154E4" w:rsidRPr="005154E4" w:rsidRDefault="005154E4" w:rsidP="005154E4">
      <w:pPr>
        <w:rPr>
          <w:rFonts w:ascii="Garamond" w:hAnsi="Garamond"/>
          <w:lang w:val="en-AU"/>
        </w:rPr>
      </w:pPr>
      <w:r w:rsidRPr="005154E4">
        <w:rPr>
          <w:rFonts w:ascii="Garamond" w:hAnsi="Garamond"/>
          <w:lang w:val="en-AU"/>
        </w:rPr>
        <w:t>To support healthcare organisations deliver person-centred care, the Australian Commission on Safety and Quality in Health Care has identified seven key attributes common to all high-performing person-centred healthcare organisations:</w:t>
      </w:r>
    </w:p>
    <w:p w:rsidR="005154E4" w:rsidRPr="005154E4" w:rsidRDefault="005154E4" w:rsidP="005154E4">
      <w:pPr>
        <w:pStyle w:val="ListParagraph"/>
        <w:numPr>
          <w:ilvl w:val="0"/>
          <w:numId w:val="24"/>
        </w:numPr>
        <w:rPr>
          <w:rFonts w:ascii="Garamond" w:hAnsi="Garamond"/>
          <w:lang w:val="en-AU"/>
        </w:rPr>
      </w:pPr>
      <w:r w:rsidRPr="005154E4">
        <w:rPr>
          <w:rFonts w:ascii="Garamond" w:hAnsi="Garamond"/>
          <w:lang w:val="en-AU"/>
        </w:rPr>
        <w:t>Comprehensive care delivery</w:t>
      </w:r>
    </w:p>
    <w:p w:rsidR="005154E4" w:rsidRPr="005154E4" w:rsidRDefault="005154E4" w:rsidP="005154E4">
      <w:pPr>
        <w:pStyle w:val="ListParagraph"/>
        <w:numPr>
          <w:ilvl w:val="0"/>
          <w:numId w:val="24"/>
        </w:numPr>
        <w:rPr>
          <w:rFonts w:ascii="Garamond" w:hAnsi="Garamond"/>
          <w:lang w:val="en-AU"/>
        </w:rPr>
      </w:pPr>
      <w:r w:rsidRPr="005154E4">
        <w:rPr>
          <w:rFonts w:ascii="Garamond" w:hAnsi="Garamond"/>
          <w:lang w:val="en-AU"/>
        </w:rPr>
        <w:t>Clear purpose, strategy and leadership</w:t>
      </w:r>
    </w:p>
    <w:p w:rsidR="005154E4" w:rsidRPr="005154E4" w:rsidRDefault="005154E4" w:rsidP="005154E4">
      <w:pPr>
        <w:pStyle w:val="ListParagraph"/>
        <w:numPr>
          <w:ilvl w:val="0"/>
          <w:numId w:val="24"/>
        </w:numPr>
        <w:rPr>
          <w:rFonts w:ascii="Garamond" w:hAnsi="Garamond"/>
          <w:lang w:val="en-AU"/>
        </w:rPr>
      </w:pPr>
      <w:r w:rsidRPr="005154E4">
        <w:rPr>
          <w:rFonts w:ascii="Garamond" w:hAnsi="Garamond"/>
          <w:lang w:val="en-AU"/>
        </w:rPr>
        <w:t>People, capability and person-centred culture</w:t>
      </w:r>
    </w:p>
    <w:p w:rsidR="005154E4" w:rsidRPr="005154E4" w:rsidRDefault="005154E4" w:rsidP="005154E4">
      <w:pPr>
        <w:pStyle w:val="ListParagraph"/>
        <w:numPr>
          <w:ilvl w:val="0"/>
          <w:numId w:val="24"/>
        </w:numPr>
        <w:rPr>
          <w:rFonts w:ascii="Garamond" w:hAnsi="Garamond"/>
          <w:lang w:val="en-AU"/>
        </w:rPr>
      </w:pPr>
      <w:r w:rsidRPr="005154E4">
        <w:rPr>
          <w:rFonts w:ascii="Garamond" w:hAnsi="Garamond"/>
          <w:lang w:val="en-AU"/>
        </w:rPr>
        <w:t>Person-centred governance systems</w:t>
      </w:r>
    </w:p>
    <w:p w:rsidR="005154E4" w:rsidRPr="005154E4" w:rsidRDefault="005154E4" w:rsidP="005154E4">
      <w:pPr>
        <w:pStyle w:val="ListParagraph"/>
        <w:numPr>
          <w:ilvl w:val="0"/>
          <w:numId w:val="24"/>
        </w:numPr>
        <w:rPr>
          <w:rFonts w:ascii="Garamond" w:hAnsi="Garamond"/>
          <w:lang w:val="en-AU"/>
        </w:rPr>
      </w:pPr>
      <w:r w:rsidRPr="005154E4">
        <w:rPr>
          <w:rFonts w:ascii="Garamond" w:hAnsi="Garamond"/>
          <w:lang w:val="en-AU"/>
        </w:rPr>
        <w:t>Strong external partnerships</w:t>
      </w:r>
    </w:p>
    <w:p w:rsidR="005154E4" w:rsidRPr="005154E4" w:rsidRDefault="005154E4" w:rsidP="005154E4">
      <w:pPr>
        <w:pStyle w:val="ListParagraph"/>
        <w:numPr>
          <w:ilvl w:val="0"/>
          <w:numId w:val="24"/>
        </w:numPr>
        <w:rPr>
          <w:rFonts w:ascii="Garamond" w:hAnsi="Garamond"/>
          <w:lang w:val="en-AU"/>
        </w:rPr>
      </w:pPr>
      <w:r w:rsidRPr="005154E4">
        <w:rPr>
          <w:rFonts w:ascii="Garamond" w:hAnsi="Garamond"/>
          <w:lang w:val="en-AU"/>
        </w:rPr>
        <w:t>Person-centred technology and built environments</w:t>
      </w:r>
    </w:p>
    <w:p w:rsidR="005154E4" w:rsidRPr="005154E4" w:rsidRDefault="005154E4" w:rsidP="005154E4">
      <w:pPr>
        <w:pStyle w:val="ListParagraph"/>
        <w:numPr>
          <w:ilvl w:val="0"/>
          <w:numId w:val="24"/>
        </w:numPr>
        <w:rPr>
          <w:rFonts w:ascii="Garamond" w:hAnsi="Garamond"/>
          <w:lang w:val="en-AU"/>
        </w:rPr>
      </w:pPr>
      <w:r w:rsidRPr="005154E4">
        <w:rPr>
          <w:rFonts w:ascii="Garamond" w:hAnsi="Garamond"/>
          <w:lang w:val="en-AU"/>
        </w:rPr>
        <w:t>Measurement for improvement.</w:t>
      </w:r>
    </w:p>
    <w:p w:rsidR="005154E4" w:rsidRDefault="005154E4" w:rsidP="005154E4">
      <w:pPr>
        <w:rPr>
          <w:rFonts w:ascii="Garamond" w:hAnsi="Garamond"/>
          <w:lang w:val="en-AU"/>
        </w:rPr>
      </w:pPr>
    </w:p>
    <w:p w:rsidR="00F3146E" w:rsidRDefault="00F3146E" w:rsidP="005154E4">
      <w:pPr>
        <w:rPr>
          <w:rFonts w:ascii="Garamond" w:hAnsi="Garamond"/>
          <w:lang w:val="en-AU"/>
        </w:rPr>
      </w:pPr>
      <w:r>
        <w:rPr>
          <w:rFonts w:ascii="Garamond" w:hAnsi="Garamond"/>
          <w:noProof/>
          <w:lang w:val="en-AU" w:eastAsia="en-AU"/>
        </w:rPr>
        <w:lastRenderedPageBreak/>
        <w:drawing>
          <wp:inline distT="0" distB="0" distL="0" distR="0">
            <wp:extent cx="6118860" cy="5509260"/>
            <wp:effectExtent l="0" t="0" r="0" b="0"/>
            <wp:docPr id="1" name="Picture 1" descr="\\central.health\dfsuserenv\Users\User_07\johnni\Desktop\Attribute wheel for web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Attribute wheel for webpa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5509260"/>
                    </a:xfrm>
                    <a:prstGeom prst="rect">
                      <a:avLst/>
                    </a:prstGeom>
                    <a:noFill/>
                    <a:ln>
                      <a:noFill/>
                    </a:ln>
                  </pic:spPr>
                </pic:pic>
              </a:graphicData>
            </a:graphic>
          </wp:inline>
        </w:drawing>
      </w:r>
    </w:p>
    <w:p w:rsidR="008416A0" w:rsidRPr="005154E4" w:rsidRDefault="008416A0" w:rsidP="005154E4">
      <w:pPr>
        <w:rPr>
          <w:rFonts w:ascii="Garamond" w:hAnsi="Garamond"/>
          <w:lang w:val="en-AU"/>
        </w:rPr>
      </w:pPr>
    </w:p>
    <w:p w:rsidR="008416A0" w:rsidRPr="005154E4" w:rsidRDefault="008416A0" w:rsidP="008416A0">
      <w:pPr>
        <w:rPr>
          <w:rFonts w:ascii="Garamond" w:hAnsi="Garamond"/>
          <w:lang w:val="en-AU"/>
        </w:rPr>
      </w:pPr>
      <w:r w:rsidRPr="005154E4">
        <w:rPr>
          <w:rFonts w:ascii="Garamond" w:hAnsi="Garamond"/>
          <w:lang w:val="en-AU"/>
        </w:rPr>
        <w:t>Collectively, these seven attributes provide an ideal organisational model for supporting consistent and excellent person-centred care. All attributes are interrelated and mutually reinforcing. Achieving great person-centred will require incremental change and a long-term commitment across all areas of an organisation.</w:t>
      </w:r>
    </w:p>
    <w:p w:rsidR="008416A0" w:rsidRPr="005154E4" w:rsidRDefault="008416A0" w:rsidP="008416A0">
      <w:pPr>
        <w:rPr>
          <w:rFonts w:ascii="Garamond" w:hAnsi="Garamond"/>
          <w:lang w:val="en-AU"/>
        </w:rPr>
      </w:pPr>
    </w:p>
    <w:p w:rsidR="008416A0" w:rsidRPr="005154E4" w:rsidRDefault="008416A0" w:rsidP="008416A0">
      <w:pPr>
        <w:rPr>
          <w:rFonts w:ascii="Garamond" w:hAnsi="Garamond"/>
          <w:lang w:val="en-AU"/>
        </w:rPr>
      </w:pPr>
      <w:r w:rsidRPr="005154E4">
        <w:rPr>
          <w:rFonts w:ascii="Garamond" w:hAnsi="Garamond"/>
          <w:lang w:val="en-AU"/>
        </w:rPr>
        <w:t xml:space="preserve">Excelling in these attributes will help healthcare organisations meet some of the requirements in the second edition of the National Safety and Quality Health Service (NSQHS) Standards. </w:t>
      </w:r>
    </w:p>
    <w:p w:rsidR="008416A0" w:rsidRPr="005154E4" w:rsidRDefault="008416A0" w:rsidP="008416A0">
      <w:pPr>
        <w:rPr>
          <w:rFonts w:ascii="Garamond" w:hAnsi="Garamond"/>
          <w:lang w:val="en-AU"/>
        </w:rPr>
      </w:pPr>
    </w:p>
    <w:p w:rsidR="008416A0" w:rsidRDefault="008416A0" w:rsidP="008416A0">
      <w:pPr>
        <w:rPr>
          <w:rFonts w:ascii="Garamond" w:hAnsi="Garamond"/>
          <w:lang w:val="en-AU"/>
        </w:rPr>
      </w:pPr>
      <w:r>
        <w:rPr>
          <w:rFonts w:ascii="Garamond" w:hAnsi="Garamond"/>
          <w:lang w:val="en-AU"/>
        </w:rPr>
        <w:t xml:space="preserve">The review </w:t>
      </w:r>
      <w:r w:rsidRPr="005154E4">
        <w:rPr>
          <w:rFonts w:ascii="Garamond" w:hAnsi="Garamond"/>
          <w:lang w:val="en-AU"/>
        </w:rPr>
        <w:t>report</w:t>
      </w:r>
      <w:r>
        <w:rPr>
          <w:rFonts w:ascii="Garamond" w:hAnsi="Garamond"/>
          <w:lang w:val="en-AU"/>
        </w:rPr>
        <w:t>,</w:t>
      </w:r>
      <w:r w:rsidRPr="005154E4">
        <w:rPr>
          <w:rFonts w:ascii="Garamond" w:hAnsi="Garamond"/>
          <w:lang w:val="en-AU"/>
        </w:rPr>
        <w:t xml:space="preserve"> supporting resources</w:t>
      </w:r>
      <w:r>
        <w:rPr>
          <w:rFonts w:ascii="Garamond" w:hAnsi="Garamond"/>
          <w:lang w:val="en-AU"/>
        </w:rPr>
        <w:t xml:space="preserve"> (fact sheets, self-assessment tool and PowerPoint presentation) and case studies are available at </w:t>
      </w:r>
      <w:hyperlink r:id="rId18" w:history="1">
        <w:r w:rsidRPr="00ED00B3">
          <w:rPr>
            <w:rStyle w:val="Hyperlink"/>
            <w:rFonts w:ascii="Garamond" w:hAnsi="Garamond"/>
            <w:lang w:val="en-AU"/>
          </w:rPr>
          <w:t>www.safetyandquality.gov.au/our-work/patient-and-consumer-centred-care/person-centred-organisations</w:t>
        </w:r>
      </w:hyperlink>
    </w:p>
    <w:p w:rsidR="008416A0" w:rsidRDefault="008416A0" w:rsidP="008416A0">
      <w:pPr>
        <w:rPr>
          <w:rFonts w:ascii="Garamond" w:hAnsi="Garamond"/>
          <w:lang w:val="en-AU"/>
        </w:rPr>
      </w:pPr>
    </w:p>
    <w:p w:rsidR="008416A0" w:rsidRDefault="008416A0" w:rsidP="008416A0">
      <w:pPr>
        <w:rPr>
          <w:rFonts w:ascii="Garamond" w:hAnsi="Garamond"/>
          <w:lang w:val="en-AU"/>
        </w:rPr>
      </w:pPr>
      <w:r w:rsidRPr="005154E4">
        <w:rPr>
          <w:rFonts w:ascii="Garamond" w:hAnsi="Garamond"/>
          <w:lang w:val="en-AU"/>
        </w:rPr>
        <w:t xml:space="preserve">For further information about </w:t>
      </w:r>
      <w:r>
        <w:rPr>
          <w:rFonts w:ascii="Garamond" w:hAnsi="Garamond"/>
          <w:lang w:val="en-AU"/>
        </w:rPr>
        <w:t xml:space="preserve">the Commission’s </w:t>
      </w:r>
      <w:r w:rsidRPr="005154E4">
        <w:rPr>
          <w:rFonts w:ascii="Garamond" w:hAnsi="Garamond"/>
          <w:lang w:val="en-AU"/>
        </w:rPr>
        <w:t>work on person-centred care</w:t>
      </w:r>
      <w:r>
        <w:rPr>
          <w:rFonts w:ascii="Garamond" w:hAnsi="Garamond"/>
          <w:lang w:val="en-AU"/>
        </w:rPr>
        <w:t xml:space="preserve">, see </w:t>
      </w:r>
      <w:hyperlink r:id="rId19" w:history="1">
        <w:r w:rsidRPr="00ED00B3">
          <w:rPr>
            <w:rStyle w:val="Hyperlink"/>
            <w:rFonts w:ascii="Garamond" w:hAnsi="Garamond"/>
            <w:lang w:val="en-AU"/>
          </w:rPr>
          <w:t>www.safetyandquality.gov.au/our-work/patient-and-consumer-centred-care</w:t>
        </w:r>
      </w:hyperlink>
    </w:p>
    <w:p w:rsidR="005154E4" w:rsidRDefault="005154E4">
      <w:pPr>
        <w:rPr>
          <w:rFonts w:ascii="Garamond" w:hAnsi="Garamond"/>
          <w:lang w:val="en-AU"/>
        </w:rPr>
      </w:pPr>
    </w:p>
    <w:p w:rsidR="000251AC" w:rsidRDefault="000251AC">
      <w:pPr>
        <w:rPr>
          <w:rFonts w:ascii="Garamond" w:hAnsi="Garamond"/>
          <w:b/>
          <w:lang w:val="en-AU"/>
        </w:rPr>
      </w:pPr>
      <w:r>
        <w:rPr>
          <w:rFonts w:ascii="Garamond" w:hAnsi="Garamond"/>
          <w:b/>
          <w:lang w:val="en-AU"/>
        </w:rPr>
        <w:br w:type="page"/>
      </w:r>
    </w:p>
    <w:p w:rsidR="00282D29" w:rsidRDefault="00282D29">
      <w:pPr>
        <w:rPr>
          <w:rFonts w:ascii="Garamond" w:hAnsi="Garamond"/>
          <w:b/>
          <w:lang w:val="en-AU"/>
        </w:rPr>
      </w:pPr>
      <w:r>
        <w:rPr>
          <w:rFonts w:ascii="Garamond" w:hAnsi="Garamond"/>
          <w:b/>
          <w:lang w:val="en-AU"/>
        </w:rPr>
        <w:lastRenderedPageBreak/>
        <w:t>Reports</w:t>
      </w:r>
    </w:p>
    <w:p w:rsidR="00C0387A" w:rsidRDefault="00C0387A">
      <w:pPr>
        <w:rPr>
          <w:rFonts w:ascii="Garamond" w:hAnsi="Garamond"/>
          <w:i/>
          <w:lang w:val="en-AU"/>
        </w:rPr>
      </w:pPr>
    </w:p>
    <w:p w:rsidR="00A12053" w:rsidRPr="001374F2" w:rsidRDefault="001374F2" w:rsidP="001374F2">
      <w:pPr>
        <w:keepNext/>
        <w:keepLines/>
        <w:autoSpaceDE w:val="0"/>
        <w:autoSpaceDN w:val="0"/>
        <w:adjustRightInd w:val="0"/>
        <w:rPr>
          <w:rFonts w:ascii="Garamond" w:hAnsi="Garamond"/>
          <w:i/>
          <w:lang w:val="en-AU"/>
        </w:rPr>
      </w:pPr>
      <w:r w:rsidRPr="001374F2">
        <w:rPr>
          <w:rFonts w:ascii="Garamond" w:hAnsi="Garamond"/>
          <w:i/>
          <w:lang w:val="en-AU"/>
        </w:rPr>
        <w:t>Nudge vs Superbugs: A behavioural economics trial to reduce the overprescribing of antibiotics</w:t>
      </w:r>
    </w:p>
    <w:p w:rsidR="00C313FE" w:rsidRDefault="00C313FE" w:rsidP="001374F2">
      <w:pPr>
        <w:keepNext/>
        <w:keepLines/>
        <w:autoSpaceDE w:val="0"/>
        <w:autoSpaceDN w:val="0"/>
        <w:adjustRightInd w:val="0"/>
        <w:rPr>
          <w:rFonts w:ascii="Garamond" w:hAnsi="Garamond"/>
          <w:lang w:val="en-AU"/>
        </w:rPr>
      </w:pPr>
      <w:r w:rsidRPr="00C313FE">
        <w:rPr>
          <w:rFonts w:ascii="Garamond" w:hAnsi="Garamond"/>
          <w:lang w:val="en-AU"/>
        </w:rPr>
        <w:t xml:space="preserve">Behavioural Economics &amp; </w:t>
      </w:r>
      <w:r w:rsidR="00A12B1B" w:rsidRPr="00C313FE">
        <w:rPr>
          <w:rFonts w:ascii="Garamond" w:hAnsi="Garamond"/>
          <w:lang w:val="en-AU"/>
        </w:rPr>
        <w:t>Research</w:t>
      </w:r>
      <w:r w:rsidRPr="00C313FE">
        <w:rPr>
          <w:rFonts w:ascii="Garamond" w:hAnsi="Garamond"/>
          <w:lang w:val="en-AU"/>
        </w:rPr>
        <w:t xml:space="preserve"> Team (BERT)</w:t>
      </w:r>
      <w:r>
        <w:rPr>
          <w:rFonts w:ascii="Garamond" w:hAnsi="Garamond"/>
          <w:lang w:val="en-AU"/>
        </w:rPr>
        <w:t xml:space="preserve"> and</w:t>
      </w:r>
      <w:r w:rsidRPr="00C313FE">
        <w:rPr>
          <w:rFonts w:ascii="Garamond" w:hAnsi="Garamond"/>
          <w:lang w:val="en-AU"/>
        </w:rPr>
        <w:t xml:space="preserve"> Behavioural Economics Team of the Australian Government (BETA).</w:t>
      </w:r>
    </w:p>
    <w:p w:rsidR="001374F2" w:rsidRPr="00E566B0" w:rsidRDefault="00C313FE" w:rsidP="001374F2">
      <w:pPr>
        <w:keepNext/>
        <w:keepLines/>
        <w:autoSpaceDE w:val="0"/>
        <w:autoSpaceDN w:val="0"/>
        <w:adjustRightInd w:val="0"/>
        <w:rPr>
          <w:rFonts w:ascii="Garamond" w:hAnsi="Garamond"/>
          <w:lang w:val="en-AU"/>
        </w:rPr>
      </w:pPr>
      <w:r w:rsidRPr="00C313FE">
        <w:rPr>
          <w:rFonts w:ascii="Garamond" w:hAnsi="Garamond"/>
          <w:lang w:val="en-AU"/>
        </w:rPr>
        <w:t>Canberra: Department of Health</w:t>
      </w:r>
      <w:r>
        <w:rPr>
          <w:rFonts w:ascii="Garamond" w:hAnsi="Garamond"/>
          <w:lang w:val="en-AU"/>
        </w:rPr>
        <w:t xml:space="preserve"> and</w:t>
      </w:r>
      <w:r w:rsidRPr="00C313FE">
        <w:rPr>
          <w:rFonts w:ascii="Garamond" w:hAnsi="Garamond"/>
          <w:lang w:val="en-AU"/>
        </w:rPr>
        <w:t xml:space="preserve"> the Department of the Prime Minister and Cabinet; 2018. p. 54.</w:t>
      </w:r>
    </w:p>
    <w:tbl>
      <w:tblPr>
        <w:tblStyle w:val="TableGrid"/>
        <w:tblW w:w="0" w:type="auto"/>
        <w:tblInd w:w="288" w:type="dxa"/>
        <w:tblLayout w:type="fixed"/>
        <w:tblLook w:val="01E0" w:firstRow="1" w:lastRow="1" w:firstColumn="1" w:lastColumn="1" w:noHBand="0" w:noVBand="0"/>
      </w:tblPr>
      <w:tblGrid>
        <w:gridCol w:w="1080"/>
        <w:gridCol w:w="8280"/>
      </w:tblGrid>
      <w:tr w:rsidR="00A12053" w:rsidRPr="000170DA" w:rsidTr="004E4B04">
        <w:tc>
          <w:tcPr>
            <w:tcW w:w="1080" w:type="dxa"/>
            <w:tcBorders>
              <w:top w:val="single" w:sz="4" w:space="0" w:color="auto"/>
              <w:left w:val="single" w:sz="4" w:space="0" w:color="auto"/>
              <w:bottom w:val="single" w:sz="4" w:space="0" w:color="auto"/>
              <w:right w:val="single" w:sz="4" w:space="0" w:color="auto"/>
            </w:tcBorders>
            <w:vAlign w:val="center"/>
          </w:tcPr>
          <w:p w:rsidR="00A12053" w:rsidRPr="000170DA" w:rsidRDefault="00A12053" w:rsidP="004E4B0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1310A" w:rsidRPr="000170DA" w:rsidRDefault="00302121" w:rsidP="00F1310A">
            <w:pPr>
              <w:rPr>
                <w:rStyle w:val="Hyperlink"/>
                <w:rFonts w:ascii="Garamond" w:hAnsi="Garamond"/>
                <w:color w:val="auto"/>
                <w:u w:val="none"/>
                <w:lang w:val="en-AU"/>
              </w:rPr>
            </w:pPr>
            <w:hyperlink r:id="rId20" w:history="1">
              <w:r w:rsidR="00C313FE" w:rsidRPr="00ED00B3">
                <w:rPr>
                  <w:rStyle w:val="Hyperlink"/>
                  <w:rFonts w:ascii="Garamond" w:hAnsi="Garamond"/>
                  <w:lang w:val="en-AU"/>
                </w:rPr>
                <w:t>http://behaviouraleconomics.pmc.gov.au/projects/nudge-vs-superbugs-behavioural-economics-trial-reduce-overprescribing-antibiotics</w:t>
              </w:r>
            </w:hyperlink>
          </w:p>
        </w:tc>
      </w:tr>
      <w:tr w:rsidR="00A12053" w:rsidRPr="000170DA" w:rsidTr="004E4B04">
        <w:tc>
          <w:tcPr>
            <w:tcW w:w="1080" w:type="dxa"/>
            <w:tcBorders>
              <w:top w:val="single" w:sz="4" w:space="0" w:color="auto"/>
              <w:left w:val="single" w:sz="4" w:space="0" w:color="auto"/>
              <w:bottom w:val="single" w:sz="4" w:space="0" w:color="auto"/>
              <w:right w:val="single" w:sz="4" w:space="0" w:color="auto"/>
            </w:tcBorders>
            <w:vAlign w:val="center"/>
          </w:tcPr>
          <w:p w:rsidR="00A12053" w:rsidRPr="000170DA" w:rsidRDefault="00A12053" w:rsidP="004E4B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3C67" w:rsidRPr="00A93C67" w:rsidRDefault="00A93C67" w:rsidP="00A93C67">
            <w:pPr>
              <w:rPr>
                <w:rFonts w:ascii="Garamond" w:hAnsi="Garamond"/>
                <w:lang w:val="en-AU"/>
              </w:rPr>
            </w:pPr>
            <w:r>
              <w:rPr>
                <w:rFonts w:ascii="Garamond" w:hAnsi="Garamond"/>
                <w:lang w:val="en-AU"/>
              </w:rPr>
              <w:t>In June 2017, Australia’s Chief Medical Officer wrote to many GPs about the issue of overprescribing of ant</w:t>
            </w:r>
            <w:r w:rsidR="00C0387A">
              <w:rPr>
                <w:rFonts w:ascii="Garamond" w:hAnsi="Garamond"/>
                <w:lang w:val="en-AU"/>
              </w:rPr>
              <w:t>i</w:t>
            </w:r>
            <w:r>
              <w:rPr>
                <w:rFonts w:ascii="Garamond" w:hAnsi="Garamond"/>
                <w:lang w:val="en-AU"/>
              </w:rPr>
              <w:t xml:space="preserve">microbials. This report </w:t>
            </w:r>
            <w:r w:rsidR="00C0387A">
              <w:rPr>
                <w:rFonts w:ascii="Garamond" w:hAnsi="Garamond"/>
                <w:lang w:val="en-AU"/>
              </w:rPr>
              <w:t xml:space="preserve">describes how </w:t>
            </w:r>
            <w:r>
              <w:rPr>
                <w:rFonts w:ascii="Garamond" w:hAnsi="Garamond"/>
                <w:lang w:val="en-AU"/>
              </w:rPr>
              <w:t>that actually there were 4 different forms of that letter and they were part of a behavioural economics trial. The trial saw letters composed to 6,649 GP</w:t>
            </w:r>
            <w:r w:rsidR="00C0387A">
              <w:rPr>
                <w:rFonts w:ascii="Garamond" w:hAnsi="Garamond"/>
                <w:lang w:val="en-AU"/>
              </w:rPr>
              <w:t>s</w:t>
            </w:r>
            <w:r>
              <w:rPr>
                <w:rFonts w:ascii="Garamond" w:hAnsi="Garamond"/>
                <w:lang w:val="en-AU"/>
              </w:rPr>
              <w:t xml:space="preserve"> </w:t>
            </w:r>
            <w:r w:rsidRPr="00A93C67">
              <w:rPr>
                <w:rFonts w:ascii="Garamond" w:hAnsi="Garamond"/>
                <w:lang w:val="en-AU"/>
              </w:rPr>
              <w:t>whose prescribing rates were in the top 30</w:t>
            </w:r>
            <w:r w:rsidR="00C0387A">
              <w:rPr>
                <w:rFonts w:ascii="Garamond" w:hAnsi="Garamond"/>
                <w:lang w:val="en-AU"/>
              </w:rPr>
              <w:t xml:space="preserve"> </w:t>
            </w:r>
            <w:r w:rsidRPr="00A93C67">
              <w:rPr>
                <w:rFonts w:ascii="Garamond" w:hAnsi="Garamond"/>
                <w:lang w:val="en-AU"/>
              </w:rPr>
              <w:t>per cent for their region. The letters aimed to prompt GPs to reflect on whether there were</w:t>
            </w:r>
            <w:r>
              <w:rPr>
                <w:rFonts w:ascii="Garamond" w:hAnsi="Garamond"/>
                <w:lang w:val="en-AU"/>
              </w:rPr>
              <w:t xml:space="preserve"> </w:t>
            </w:r>
            <w:r w:rsidRPr="00A93C67">
              <w:rPr>
                <w:rFonts w:ascii="Garamond" w:hAnsi="Garamond"/>
                <w:lang w:val="en-AU"/>
              </w:rPr>
              <w:t>opportunities to reduce prescribing where appropriate and safe.</w:t>
            </w:r>
            <w:r>
              <w:rPr>
                <w:rFonts w:ascii="Garamond" w:hAnsi="Garamond"/>
                <w:lang w:val="en-AU"/>
              </w:rPr>
              <w:t xml:space="preserve"> The </w:t>
            </w:r>
            <w:r w:rsidRPr="00A93C67">
              <w:rPr>
                <w:rFonts w:ascii="Garamond" w:hAnsi="Garamond"/>
                <w:lang w:val="en-AU"/>
              </w:rPr>
              <w:t>four versions of the letter from the CMO</w:t>
            </w:r>
            <w:r w:rsidR="000251AC">
              <w:rPr>
                <w:rFonts w:ascii="Garamond" w:hAnsi="Garamond"/>
                <w:lang w:val="en-AU"/>
              </w:rPr>
              <w:t xml:space="preserve"> were</w:t>
            </w:r>
            <w:r w:rsidRPr="00A93C67">
              <w:rPr>
                <w:rFonts w:ascii="Garamond" w:hAnsi="Garamond"/>
                <w:lang w:val="en-AU"/>
              </w:rPr>
              <w:t>:</w:t>
            </w:r>
          </w:p>
          <w:p w:rsidR="00A93C67" w:rsidRPr="00A93C67" w:rsidRDefault="00A93C67" w:rsidP="00A93C67">
            <w:pPr>
              <w:pStyle w:val="ListParagraph"/>
              <w:numPr>
                <w:ilvl w:val="0"/>
                <w:numId w:val="25"/>
              </w:numPr>
              <w:rPr>
                <w:rFonts w:ascii="Garamond" w:hAnsi="Garamond"/>
                <w:lang w:val="en-AU"/>
              </w:rPr>
            </w:pPr>
            <w:r w:rsidRPr="00C0387A">
              <w:rPr>
                <w:rFonts w:ascii="Garamond" w:hAnsi="Garamond"/>
                <w:b/>
                <w:lang w:val="en-AU"/>
              </w:rPr>
              <w:t>Education-only letter</w:t>
            </w:r>
            <w:r w:rsidRPr="00A93C67">
              <w:rPr>
                <w:rFonts w:ascii="Garamond" w:hAnsi="Garamond"/>
                <w:lang w:val="en-AU"/>
              </w:rPr>
              <w:t xml:space="preserve"> containing the usual education messages about </w:t>
            </w:r>
            <w:r w:rsidR="000251AC">
              <w:rPr>
                <w:rFonts w:ascii="Garamond" w:hAnsi="Garamond"/>
                <w:lang w:val="en-AU"/>
              </w:rPr>
              <w:t>antimicrobial resistance (</w:t>
            </w:r>
            <w:r w:rsidRPr="00A93C67">
              <w:rPr>
                <w:rFonts w:ascii="Garamond" w:hAnsi="Garamond"/>
                <w:lang w:val="en-AU"/>
              </w:rPr>
              <w:t>AMR</w:t>
            </w:r>
            <w:r w:rsidR="000251AC">
              <w:rPr>
                <w:rFonts w:ascii="Garamond" w:hAnsi="Garamond"/>
                <w:lang w:val="en-AU"/>
              </w:rPr>
              <w:t>)</w:t>
            </w:r>
            <w:r w:rsidRPr="00A93C67">
              <w:rPr>
                <w:rFonts w:ascii="Garamond" w:hAnsi="Garamond"/>
                <w:lang w:val="en-AU"/>
              </w:rPr>
              <w:t>, antibiotic</w:t>
            </w:r>
            <w:r>
              <w:rPr>
                <w:rFonts w:ascii="Garamond" w:hAnsi="Garamond"/>
                <w:lang w:val="en-AU"/>
              </w:rPr>
              <w:t xml:space="preserve"> </w:t>
            </w:r>
            <w:r w:rsidRPr="00A93C67">
              <w:rPr>
                <w:rFonts w:ascii="Garamond" w:hAnsi="Garamond"/>
                <w:lang w:val="en-AU"/>
              </w:rPr>
              <w:t>prescribing and two National Prescribing Service (NPS) posters.</w:t>
            </w:r>
          </w:p>
          <w:p w:rsidR="00A93C67" w:rsidRPr="00A93C67" w:rsidRDefault="00A93C67" w:rsidP="00A93C67">
            <w:pPr>
              <w:pStyle w:val="ListParagraph"/>
              <w:numPr>
                <w:ilvl w:val="0"/>
                <w:numId w:val="25"/>
              </w:numPr>
              <w:rPr>
                <w:rFonts w:ascii="Garamond" w:hAnsi="Garamond"/>
                <w:lang w:val="en-AU"/>
              </w:rPr>
            </w:pPr>
            <w:r w:rsidRPr="00C0387A">
              <w:rPr>
                <w:rFonts w:ascii="Garamond" w:hAnsi="Garamond"/>
                <w:b/>
                <w:lang w:val="en-AU"/>
              </w:rPr>
              <w:t>Education with peer comparison letter</w:t>
            </w:r>
            <w:r w:rsidRPr="00A93C67">
              <w:rPr>
                <w:rFonts w:ascii="Garamond" w:hAnsi="Garamond"/>
                <w:lang w:val="en-AU"/>
              </w:rPr>
              <w:t xml:space="preserve"> including the same education information and a tagline providing the GP with their prescribing rate compared</w:t>
            </w:r>
            <w:r>
              <w:rPr>
                <w:rFonts w:ascii="Garamond" w:hAnsi="Garamond"/>
                <w:lang w:val="en-AU"/>
              </w:rPr>
              <w:t xml:space="preserve"> </w:t>
            </w:r>
            <w:r w:rsidRPr="00A93C67">
              <w:rPr>
                <w:rFonts w:ascii="Garamond" w:hAnsi="Garamond"/>
                <w:lang w:val="en-AU"/>
              </w:rPr>
              <w:t>to peers in their region.</w:t>
            </w:r>
          </w:p>
          <w:p w:rsidR="00A93C67" w:rsidRPr="00A93C67" w:rsidRDefault="00A93C67" w:rsidP="00A93C67">
            <w:pPr>
              <w:pStyle w:val="ListParagraph"/>
              <w:numPr>
                <w:ilvl w:val="0"/>
                <w:numId w:val="25"/>
              </w:numPr>
              <w:rPr>
                <w:rFonts w:ascii="Garamond" w:hAnsi="Garamond"/>
                <w:lang w:val="en-AU"/>
              </w:rPr>
            </w:pPr>
            <w:r w:rsidRPr="00C0387A">
              <w:rPr>
                <w:rFonts w:ascii="Garamond" w:hAnsi="Garamond"/>
                <w:b/>
                <w:lang w:val="en-AU"/>
              </w:rPr>
              <w:t>Peer comparison with graph letter</w:t>
            </w:r>
            <w:r w:rsidRPr="00A93C67">
              <w:rPr>
                <w:rFonts w:ascii="Garamond" w:hAnsi="Garamond"/>
                <w:lang w:val="en-AU"/>
              </w:rPr>
              <w:t xml:space="preserve"> including the peer comparison tagline along with a</w:t>
            </w:r>
            <w:r>
              <w:rPr>
                <w:rFonts w:ascii="Garamond" w:hAnsi="Garamond"/>
                <w:lang w:val="en-AU"/>
              </w:rPr>
              <w:t xml:space="preserve"> </w:t>
            </w:r>
            <w:r w:rsidRPr="00A93C67">
              <w:rPr>
                <w:rFonts w:ascii="Garamond" w:hAnsi="Garamond"/>
                <w:lang w:val="en-AU"/>
              </w:rPr>
              <w:t>visual attention-grabbing graph.</w:t>
            </w:r>
          </w:p>
          <w:p w:rsidR="00A93C67" w:rsidRPr="00A93C67" w:rsidRDefault="00A93C67" w:rsidP="00A93C67">
            <w:pPr>
              <w:pStyle w:val="ListParagraph"/>
              <w:numPr>
                <w:ilvl w:val="0"/>
                <w:numId w:val="25"/>
              </w:numPr>
              <w:rPr>
                <w:rFonts w:ascii="Garamond" w:hAnsi="Garamond"/>
                <w:lang w:val="en-AU"/>
              </w:rPr>
            </w:pPr>
            <w:r w:rsidRPr="00C0387A">
              <w:rPr>
                <w:rFonts w:ascii="Garamond" w:hAnsi="Garamond"/>
                <w:b/>
                <w:lang w:val="en-AU"/>
              </w:rPr>
              <w:t>Peer comparison with delayed prescribing letter</w:t>
            </w:r>
            <w:r w:rsidRPr="00A93C67">
              <w:rPr>
                <w:rFonts w:ascii="Garamond" w:hAnsi="Garamond"/>
                <w:lang w:val="en-AU"/>
              </w:rPr>
              <w:t xml:space="preserve"> including the peer comparison tagline with delayed prescribing material (stickers and the NPS’s action plan for managing</w:t>
            </w:r>
            <w:r>
              <w:rPr>
                <w:rFonts w:ascii="Garamond" w:hAnsi="Garamond"/>
                <w:lang w:val="en-AU"/>
              </w:rPr>
              <w:t xml:space="preserve"> </w:t>
            </w:r>
            <w:r w:rsidRPr="00A93C67">
              <w:rPr>
                <w:rFonts w:ascii="Garamond" w:hAnsi="Garamond"/>
                <w:lang w:val="en-AU"/>
              </w:rPr>
              <w:t>respiratory tract infections).</w:t>
            </w:r>
          </w:p>
          <w:p w:rsidR="00592F32" w:rsidRDefault="00A93C67" w:rsidP="00C313FE">
            <w:pPr>
              <w:rPr>
                <w:rFonts w:ascii="Garamond" w:hAnsi="Garamond"/>
                <w:lang w:val="en-AU"/>
              </w:rPr>
            </w:pPr>
            <w:r>
              <w:rPr>
                <w:rFonts w:ascii="Garamond" w:hAnsi="Garamond"/>
                <w:lang w:val="en-AU"/>
              </w:rPr>
              <w:t xml:space="preserve">The report estimates that </w:t>
            </w:r>
            <w:r w:rsidRPr="00A93C67">
              <w:rPr>
                <w:rFonts w:ascii="Garamond" w:hAnsi="Garamond"/>
                <w:b/>
                <w:lang w:val="en-AU"/>
              </w:rPr>
              <w:t>126,352 fewer scripts</w:t>
            </w:r>
            <w:r w:rsidRPr="00A93C67">
              <w:rPr>
                <w:rFonts w:ascii="Garamond" w:hAnsi="Garamond"/>
                <w:lang w:val="en-AU"/>
              </w:rPr>
              <w:t xml:space="preserve"> were filled over the six-month period.</w:t>
            </w:r>
            <w:r w:rsidR="00C0387A">
              <w:rPr>
                <w:rFonts w:ascii="Garamond" w:hAnsi="Garamond"/>
                <w:lang w:val="en-AU"/>
              </w:rPr>
              <w:t xml:space="preserve"> </w:t>
            </w:r>
            <w:r w:rsidRPr="00A93C67">
              <w:rPr>
                <w:rFonts w:ascii="Garamond" w:hAnsi="Garamond"/>
                <w:lang w:val="en-AU"/>
              </w:rPr>
              <w:t>The three letters containing peer comparison information outperformed the education-only</w:t>
            </w:r>
            <w:r w:rsidR="00C313FE">
              <w:rPr>
                <w:rFonts w:ascii="Garamond" w:hAnsi="Garamond"/>
                <w:lang w:val="en-AU"/>
              </w:rPr>
              <w:t xml:space="preserve"> </w:t>
            </w:r>
            <w:r w:rsidRPr="00A93C67">
              <w:rPr>
                <w:rFonts w:ascii="Garamond" w:hAnsi="Garamond"/>
                <w:lang w:val="en-AU"/>
              </w:rPr>
              <w:t>letter, and resulted in a substantial reduction in prescription rates. Compared to GPs who did</w:t>
            </w:r>
            <w:r w:rsidR="00C313FE">
              <w:rPr>
                <w:rFonts w:ascii="Garamond" w:hAnsi="Garamond"/>
                <w:lang w:val="en-AU"/>
              </w:rPr>
              <w:t xml:space="preserve"> </w:t>
            </w:r>
            <w:r w:rsidRPr="00A93C67">
              <w:rPr>
                <w:rFonts w:ascii="Garamond" w:hAnsi="Garamond"/>
                <w:lang w:val="en-AU"/>
              </w:rPr>
              <w:t>not receive a letter, the peer compa</w:t>
            </w:r>
            <w:r w:rsidR="000251AC">
              <w:rPr>
                <w:rFonts w:ascii="Garamond" w:hAnsi="Garamond"/>
                <w:lang w:val="en-AU"/>
              </w:rPr>
              <w:t>rison letters resulted in a 9.3–</w:t>
            </w:r>
            <w:r w:rsidRPr="00A93C67">
              <w:rPr>
                <w:rFonts w:ascii="Garamond" w:hAnsi="Garamond"/>
                <w:lang w:val="en-AU"/>
              </w:rPr>
              <w:t>12.3</w:t>
            </w:r>
            <w:r w:rsidR="000251AC">
              <w:rPr>
                <w:rFonts w:ascii="Garamond" w:hAnsi="Garamond"/>
                <w:lang w:val="en-AU"/>
              </w:rPr>
              <w:t>%</w:t>
            </w:r>
            <w:r w:rsidRPr="00A93C67">
              <w:rPr>
                <w:rFonts w:ascii="Garamond" w:hAnsi="Garamond"/>
                <w:lang w:val="en-AU"/>
              </w:rPr>
              <w:t xml:space="preserve"> per cent reduction in</w:t>
            </w:r>
            <w:r w:rsidR="00C313FE">
              <w:rPr>
                <w:rFonts w:ascii="Garamond" w:hAnsi="Garamond"/>
                <w:lang w:val="en-AU"/>
              </w:rPr>
              <w:t xml:space="preserve"> </w:t>
            </w:r>
            <w:r w:rsidRPr="00A93C67">
              <w:rPr>
                <w:rFonts w:ascii="Garamond" w:hAnsi="Garamond"/>
                <w:lang w:val="en-AU"/>
              </w:rPr>
              <w:t>prescription rates over six months. In comparison, the education-only letter reduced antibiotic</w:t>
            </w:r>
            <w:r w:rsidR="00C313FE">
              <w:rPr>
                <w:rFonts w:ascii="Garamond" w:hAnsi="Garamond"/>
                <w:lang w:val="en-AU"/>
              </w:rPr>
              <w:t xml:space="preserve"> </w:t>
            </w:r>
            <w:r w:rsidRPr="00A93C67">
              <w:rPr>
                <w:rFonts w:ascii="Garamond" w:hAnsi="Garamond"/>
                <w:lang w:val="en-AU"/>
              </w:rPr>
              <w:t>prescriptions by 3.2</w:t>
            </w:r>
            <w:r w:rsidR="000251AC">
              <w:rPr>
                <w:rFonts w:ascii="Garamond" w:hAnsi="Garamond"/>
                <w:lang w:val="en-AU"/>
              </w:rPr>
              <w:t>%</w:t>
            </w:r>
            <w:r w:rsidRPr="00A93C67">
              <w:rPr>
                <w:rFonts w:ascii="Garamond" w:hAnsi="Garamond"/>
                <w:lang w:val="en-AU"/>
              </w:rPr>
              <w:t xml:space="preserve"> over six months.</w:t>
            </w:r>
            <w:r w:rsidR="000251AC">
              <w:rPr>
                <w:rFonts w:ascii="Garamond" w:hAnsi="Garamond"/>
                <w:lang w:val="en-AU"/>
              </w:rPr>
              <w:t xml:space="preserve"> </w:t>
            </w:r>
            <w:r w:rsidRPr="00A93C67">
              <w:rPr>
                <w:rFonts w:ascii="Garamond" w:hAnsi="Garamond"/>
                <w:lang w:val="en-AU"/>
              </w:rPr>
              <w:t xml:space="preserve">The </w:t>
            </w:r>
            <w:r w:rsidRPr="00492BA3">
              <w:rPr>
                <w:rFonts w:ascii="Garamond" w:hAnsi="Garamond"/>
                <w:b/>
                <w:lang w:val="en-AU"/>
              </w:rPr>
              <w:t>peer comparison with graph</w:t>
            </w:r>
            <w:r w:rsidRPr="00A93C67">
              <w:rPr>
                <w:rFonts w:ascii="Garamond" w:hAnsi="Garamond"/>
                <w:lang w:val="en-AU"/>
              </w:rPr>
              <w:t xml:space="preserve"> performed best. This letter </w:t>
            </w:r>
            <w:r w:rsidRPr="00492BA3">
              <w:rPr>
                <w:rFonts w:ascii="Garamond" w:hAnsi="Garamond"/>
                <w:b/>
                <w:lang w:val="en-AU"/>
              </w:rPr>
              <w:t>reduced prescription rates by</w:t>
            </w:r>
            <w:r w:rsidR="00C313FE" w:rsidRPr="00492BA3">
              <w:rPr>
                <w:rFonts w:ascii="Garamond" w:hAnsi="Garamond"/>
                <w:b/>
                <w:lang w:val="en-AU"/>
              </w:rPr>
              <w:t xml:space="preserve"> </w:t>
            </w:r>
            <w:r w:rsidRPr="00492BA3">
              <w:rPr>
                <w:rFonts w:ascii="Garamond" w:hAnsi="Garamond"/>
                <w:b/>
                <w:lang w:val="en-AU"/>
              </w:rPr>
              <w:t>12.3</w:t>
            </w:r>
            <w:r w:rsidR="000251AC">
              <w:rPr>
                <w:rFonts w:ascii="Garamond" w:hAnsi="Garamond"/>
                <w:b/>
                <w:lang w:val="en-AU"/>
              </w:rPr>
              <w:t>%</w:t>
            </w:r>
            <w:r w:rsidRPr="00492BA3">
              <w:rPr>
                <w:rFonts w:ascii="Garamond" w:hAnsi="Garamond"/>
                <w:b/>
                <w:lang w:val="en-AU"/>
              </w:rPr>
              <w:t xml:space="preserve"> over the six-month period</w:t>
            </w:r>
            <w:r w:rsidRPr="00A93C67">
              <w:rPr>
                <w:rFonts w:ascii="Garamond" w:hAnsi="Garamond"/>
                <w:lang w:val="en-AU"/>
              </w:rPr>
              <w:t xml:space="preserve">, and by </w:t>
            </w:r>
            <w:r w:rsidRPr="00492BA3">
              <w:rPr>
                <w:rFonts w:ascii="Garamond" w:hAnsi="Garamond"/>
                <w:b/>
                <w:lang w:val="en-AU"/>
              </w:rPr>
              <w:t>14.6</w:t>
            </w:r>
            <w:r w:rsidR="000251AC">
              <w:rPr>
                <w:rFonts w:ascii="Garamond" w:hAnsi="Garamond"/>
                <w:b/>
                <w:lang w:val="en-AU"/>
              </w:rPr>
              <w:t>%</w:t>
            </w:r>
            <w:r w:rsidRPr="00492BA3">
              <w:rPr>
                <w:rFonts w:ascii="Garamond" w:hAnsi="Garamond"/>
                <w:b/>
                <w:lang w:val="en-AU"/>
              </w:rPr>
              <w:t xml:space="preserve"> in the best month</w:t>
            </w:r>
            <w:r w:rsidRPr="00A93C67">
              <w:rPr>
                <w:rFonts w:ascii="Garamond" w:hAnsi="Garamond"/>
                <w:lang w:val="en-AU"/>
              </w:rPr>
              <w:t>.</w:t>
            </w:r>
            <w:r w:rsidR="000251AC">
              <w:rPr>
                <w:rFonts w:ascii="Garamond" w:hAnsi="Garamond"/>
                <w:lang w:val="en-AU"/>
              </w:rPr>
              <w:t xml:space="preserve"> </w:t>
            </w:r>
            <w:r w:rsidR="000251AC">
              <w:rPr>
                <w:rFonts w:ascii="Garamond" w:hAnsi="Garamond"/>
                <w:lang w:val="en-AU"/>
              </w:rPr>
              <w:br/>
            </w:r>
            <w:r w:rsidR="00592F32">
              <w:rPr>
                <w:rFonts w:ascii="Garamond" w:hAnsi="Garamond"/>
                <w:lang w:val="en-AU"/>
              </w:rPr>
              <w:t>The report is available along with a one-page snapshot and the pre-analysis plan.</w:t>
            </w:r>
          </w:p>
          <w:p w:rsidR="00C313FE" w:rsidRPr="000365E9" w:rsidRDefault="00C313FE" w:rsidP="00C313FE">
            <w:pPr>
              <w:rPr>
                <w:rFonts w:ascii="Garamond" w:hAnsi="Garamond"/>
                <w:lang w:val="en-AU"/>
              </w:rPr>
            </w:pPr>
            <w:r>
              <w:rPr>
                <w:rFonts w:ascii="Garamond" w:hAnsi="Garamond"/>
                <w:noProof/>
                <w:lang w:val="en-AU" w:eastAsia="en-AU"/>
              </w:rPr>
              <w:drawing>
                <wp:inline distT="0" distB="0" distL="0" distR="0">
                  <wp:extent cx="4684889" cy="2708179"/>
                  <wp:effectExtent l="0" t="0" r="1905" b="0"/>
                  <wp:docPr id="2" name="Picture 2" descr="\\central.health\dfsuserenv\Users\User_07\JOHNNI\Desktop\nu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nudg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2153" cy="2712378"/>
                          </a:xfrm>
                          <a:prstGeom prst="rect">
                            <a:avLst/>
                          </a:prstGeom>
                          <a:noFill/>
                          <a:ln>
                            <a:noFill/>
                          </a:ln>
                        </pic:spPr>
                      </pic:pic>
                    </a:graphicData>
                  </a:graphic>
                </wp:inline>
              </w:drawing>
            </w:r>
          </w:p>
        </w:tc>
      </w:tr>
    </w:tbl>
    <w:p w:rsidR="002A44F5" w:rsidRDefault="002A44F5" w:rsidP="002A44F5">
      <w:pPr>
        <w:keepNext/>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w:t>
      </w:r>
      <w:r w:rsidRPr="002A44F5">
        <w:rPr>
          <w:rFonts w:ascii="Garamond" w:hAnsi="Garamond"/>
          <w:lang w:val="en-AU"/>
        </w:rPr>
        <w:t>antimicrobial</w:t>
      </w:r>
      <w:r>
        <w:rPr>
          <w:rFonts w:ascii="Garamond" w:hAnsi="Garamond"/>
          <w:lang w:val="en-AU"/>
        </w:rPr>
        <w:t xml:space="preserve"> </w:t>
      </w:r>
      <w:r w:rsidRPr="002A44F5">
        <w:rPr>
          <w:rFonts w:ascii="Garamond" w:hAnsi="Garamond"/>
          <w:lang w:val="en-AU"/>
        </w:rPr>
        <w:t>use</w:t>
      </w:r>
      <w:r>
        <w:rPr>
          <w:rFonts w:ascii="Garamond" w:hAnsi="Garamond"/>
          <w:lang w:val="en-AU"/>
        </w:rPr>
        <w:t xml:space="preserve"> </w:t>
      </w:r>
      <w:r w:rsidRPr="002A44F5">
        <w:rPr>
          <w:rFonts w:ascii="Garamond" w:hAnsi="Garamond"/>
          <w:lang w:val="en-AU"/>
        </w:rPr>
        <w:t>and</w:t>
      </w:r>
      <w:r>
        <w:rPr>
          <w:rFonts w:ascii="Garamond" w:hAnsi="Garamond"/>
          <w:lang w:val="en-AU"/>
        </w:rPr>
        <w:t xml:space="preserve"> </w:t>
      </w:r>
      <w:r w:rsidRPr="002A44F5">
        <w:rPr>
          <w:rFonts w:ascii="Garamond" w:hAnsi="Garamond"/>
          <w:lang w:val="en-AU"/>
        </w:rPr>
        <w:t>resistance</w:t>
      </w:r>
      <w:r>
        <w:rPr>
          <w:rFonts w:ascii="Garamond" w:hAnsi="Garamond"/>
          <w:lang w:val="en-AU"/>
        </w:rPr>
        <w:t xml:space="preserve"> </w:t>
      </w:r>
      <w:r w:rsidRPr="002A44F5">
        <w:rPr>
          <w:rFonts w:ascii="Garamond" w:hAnsi="Garamond"/>
          <w:lang w:val="en-AU"/>
        </w:rPr>
        <w:t>in</w:t>
      </w:r>
      <w:r>
        <w:rPr>
          <w:rFonts w:ascii="Garamond" w:hAnsi="Garamond"/>
          <w:lang w:val="en-AU"/>
        </w:rPr>
        <w:t xml:space="preserve"> A</w:t>
      </w:r>
      <w:r w:rsidRPr="002A44F5">
        <w:rPr>
          <w:rFonts w:ascii="Garamond" w:hAnsi="Garamond"/>
          <w:lang w:val="en-AU"/>
        </w:rPr>
        <w:t>ustralia/</w:t>
      </w:r>
      <w:r>
        <w:rPr>
          <w:rFonts w:ascii="Garamond" w:hAnsi="Garamond"/>
          <w:lang w:val="en-AU"/>
        </w:rPr>
        <w:t xml:space="preserve">, see </w:t>
      </w:r>
      <w:hyperlink r:id="rId22" w:history="1">
        <w:r w:rsidRPr="00744EA2">
          <w:rPr>
            <w:rStyle w:val="Hyperlink"/>
            <w:rFonts w:ascii="Garamond" w:hAnsi="Garamond"/>
            <w:lang w:val="en-AU"/>
          </w:rPr>
          <w:t>https://www.safetyandquality.gov.au/antimicrobial-use-and-resistance-in-australia/</w:t>
        </w:r>
      </w:hyperlink>
    </w:p>
    <w:p w:rsidR="002A44F5" w:rsidRDefault="002A44F5" w:rsidP="00A12053">
      <w:pPr>
        <w:keepLines/>
        <w:autoSpaceDE w:val="0"/>
        <w:autoSpaceDN w:val="0"/>
        <w:adjustRightInd w:val="0"/>
        <w:rPr>
          <w:rFonts w:ascii="Garamond" w:hAnsi="Garamond"/>
          <w:lang w:val="en-AU"/>
        </w:rPr>
      </w:pPr>
    </w:p>
    <w:p w:rsidR="006674C9" w:rsidRDefault="002A44F5" w:rsidP="007D0CA2">
      <w:pPr>
        <w:keepNext/>
        <w:keepLines/>
        <w:autoSpaceDE w:val="0"/>
        <w:autoSpaceDN w:val="0"/>
        <w:adjustRightInd w:val="0"/>
        <w:rPr>
          <w:rFonts w:ascii="Garamond" w:hAnsi="Garamond"/>
          <w:lang w:val="en-AU"/>
        </w:rPr>
      </w:pPr>
      <w:r>
        <w:rPr>
          <w:rFonts w:ascii="Garamond" w:hAnsi="Garamond"/>
          <w:lang w:val="en-AU"/>
        </w:rPr>
        <w:t xml:space="preserve">For information on the Commission’s work on healthcare associated infection, see </w:t>
      </w:r>
      <w:hyperlink r:id="rId23" w:history="1">
        <w:r w:rsidRPr="00744EA2">
          <w:rPr>
            <w:rStyle w:val="Hyperlink"/>
            <w:rFonts w:ascii="Garamond" w:hAnsi="Garamond"/>
            <w:lang w:val="en-AU"/>
          </w:rPr>
          <w:t>https://www.safetyandquality.gov.au/our-work/healthcare-associated-infection/</w:t>
        </w:r>
      </w:hyperlink>
    </w:p>
    <w:p w:rsidR="002A44F5" w:rsidRDefault="002A44F5" w:rsidP="007D0CA2">
      <w:pPr>
        <w:keepNext/>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Journal articles</w:t>
      </w:r>
    </w:p>
    <w:p w:rsidR="00162332" w:rsidRPr="00162332" w:rsidRDefault="00162332" w:rsidP="00162332">
      <w:pPr>
        <w:keepLines/>
        <w:autoSpaceDE w:val="0"/>
        <w:autoSpaceDN w:val="0"/>
        <w:adjustRightInd w:val="0"/>
        <w:rPr>
          <w:rFonts w:ascii="Garamond" w:hAnsi="Garamond"/>
          <w:i/>
          <w:lang w:val="en-AU"/>
        </w:rPr>
      </w:pPr>
      <w:r w:rsidRPr="00162332">
        <w:rPr>
          <w:rFonts w:ascii="Garamond" w:hAnsi="Garamond"/>
          <w:i/>
          <w:lang w:val="en-AU"/>
        </w:rPr>
        <w:t>Screening for Osteoporosis to Prevent Fractures: US Preventive Services Task Force Recommendation Statement</w:t>
      </w:r>
    </w:p>
    <w:p w:rsidR="004157FA" w:rsidRDefault="004157FA" w:rsidP="00162332">
      <w:pPr>
        <w:keepLines/>
        <w:autoSpaceDE w:val="0"/>
        <w:autoSpaceDN w:val="0"/>
        <w:adjustRightInd w:val="0"/>
        <w:rPr>
          <w:rFonts w:ascii="Garamond" w:hAnsi="Garamond"/>
          <w:lang w:val="en-AU"/>
        </w:rPr>
      </w:pPr>
      <w:r w:rsidRPr="004157FA">
        <w:rPr>
          <w:rFonts w:ascii="Garamond" w:hAnsi="Garamond"/>
          <w:lang w:val="en-AU"/>
        </w:rPr>
        <w:t>U. S. Preventive Services Task Force</w:t>
      </w:r>
    </w:p>
    <w:p w:rsidR="00162332" w:rsidRDefault="004157FA" w:rsidP="00162332">
      <w:pPr>
        <w:keepLines/>
        <w:autoSpaceDE w:val="0"/>
        <w:autoSpaceDN w:val="0"/>
        <w:adjustRightInd w:val="0"/>
        <w:rPr>
          <w:rFonts w:ascii="Garamond" w:hAnsi="Garamond"/>
          <w:lang w:val="en-AU"/>
        </w:rPr>
      </w:pPr>
      <w:r w:rsidRPr="004157FA">
        <w:rPr>
          <w:rFonts w:ascii="Garamond" w:hAnsi="Garamond"/>
          <w:lang w:val="en-AU"/>
        </w:rPr>
        <w:t>Journal of the American Medical Association. 2018;319(18):1901-13.</w:t>
      </w:r>
    </w:p>
    <w:p w:rsidR="004157FA" w:rsidRDefault="004157FA" w:rsidP="00162332">
      <w:pPr>
        <w:keepLines/>
        <w:autoSpaceDE w:val="0"/>
        <w:autoSpaceDN w:val="0"/>
        <w:adjustRightInd w:val="0"/>
        <w:rPr>
          <w:rFonts w:ascii="Garamond" w:hAnsi="Garamond"/>
          <w:lang w:val="en-AU"/>
        </w:rPr>
      </w:pPr>
    </w:p>
    <w:p w:rsidR="00162332" w:rsidRPr="00162332" w:rsidRDefault="00162332" w:rsidP="00EE2A35">
      <w:pPr>
        <w:keepLines/>
        <w:autoSpaceDE w:val="0"/>
        <w:autoSpaceDN w:val="0"/>
        <w:adjustRightInd w:val="0"/>
        <w:rPr>
          <w:rFonts w:ascii="Garamond" w:hAnsi="Garamond"/>
          <w:i/>
          <w:lang w:val="en-AU"/>
        </w:rPr>
      </w:pPr>
      <w:r w:rsidRPr="00162332">
        <w:rPr>
          <w:rFonts w:ascii="Garamond" w:hAnsi="Garamond"/>
          <w:i/>
          <w:lang w:val="en-AU"/>
        </w:rPr>
        <w:t>Screening for Osteoporosis</w:t>
      </w:r>
    </w:p>
    <w:p w:rsidR="004157FA" w:rsidRDefault="004157FA" w:rsidP="00EE2A35">
      <w:pPr>
        <w:keepLines/>
        <w:autoSpaceDE w:val="0"/>
        <w:autoSpaceDN w:val="0"/>
        <w:adjustRightInd w:val="0"/>
        <w:rPr>
          <w:rFonts w:ascii="Garamond" w:hAnsi="Garamond"/>
          <w:lang w:val="en-AU"/>
        </w:rPr>
      </w:pPr>
      <w:r w:rsidRPr="004157FA">
        <w:rPr>
          <w:rFonts w:ascii="Garamond" w:hAnsi="Garamond"/>
          <w:lang w:val="en-AU"/>
        </w:rPr>
        <w:t>Cauley JA</w:t>
      </w:r>
    </w:p>
    <w:p w:rsidR="00162332" w:rsidRDefault="004157FA" w:rsidP="00EE2A35">
      <w:pPr>
        <w:keepLines/>
        <w:autoSpaceDE w:val="0"/>
        <w:autoSpaceDN w:val="0"/>
        <w:adjustRightInd w:val="0"/>
        <w:rPr>
          <w:rFonts w:ascii="Garamond" w:hAnsi="Garamond"/>
          <w:lang w:val="en-AU"/>
        </w:rPr>
      </w:pPr>
      <w:r w:rsidRPr="004157FA">
        <w:rPr>
          <w:rFonts w:ascii="Garamond" w:hAnsi="Garamond"/>
          <w:lang w:val="en-AU"/>
        </w:rPr>
        <w:t>Journal of the American Medical Association. 2018;319(24):2483-5.</w:t>
      </w:r>
    </w:p>
    <w:p w:rsidR="004157FA" w:rsidRDefault="004157FA" w:rsidP="00EE2A35">
      <w:pPr>
        <w:keepLines/>
        <w:autoSpaceDE w:val="0"/>
        <w:autoSpaceDN w:val="0"/>
        <w:adjustRightInd w:val="0"/>
        <w:rPr>
          <w:rFonts w:ascii="Garamond" w:hAnsi="Garamond"/>
          <w:lang w:val="en-AU"/>
        </w:rPr>
      </w:pPr>
    </w:p>
    <w:p w:rsidR="00C50D62" w:rsidRPr="009355F0" w:rsidRDefault="009355F0" w:rsidP="00C50D62">
      <w:pPr>
        <w:keepNext/>
        <w:keepLines/>
        <w:autoSpaceDE w:val="0"/>
        <w:autoSpaceDN w:val="0"/>
        <w:adjustRightInd w:val="0"/>
        <w:rPr>
          <w:rFonts w:ascii="Garamond" w:hAnsi="Garamond"/>
          <w:i/>
          <w:lang w:val="en-AU"/>
        </w:rPr>
      </w:pPr>
      <w:r w:rsidRPr="009355F0">
        <w:rPr>
          <w:rFonts w:ascii="Garamond" w:hAnsi="Garamond"/>
          <w:i/>
          <w:lang w:val="en-AU"/>
        </w:rPr>
        <w:t>Screening for Osteoporosis to Prevent Fractures</w:t>
      </w:r>
    </w:p>
    <w:p w:rsidR="004157FA" w:rsidRDefault="004157FA" w:rsidP="00C50D62">
      <w:pPr>
        <w:keepNext/>
        <w:keepLines/>
        <w:autoSpaceDE w:val="0"/>
        <w:autoSpaceDN w:val="0"/>
        <w:adjustRightInd w:val="0"/>
        <w:rPr>
          <w:rFonts w:ascii="Garamond" w:hAnsi="Garamond"/>
          <w:lang w:val="en-AU"/>
        </w:rPr>
      </w:pPr>
      <w:r w:rsidRPr="004157FA">
        <w:rPr>
          <w:rFonts w:ascii="Garamond" w:hAnsi="Garamond"/>
          <w:lang w:val="en-AU"/>
        </w:rPr>
        <w:t>Jin J</w:t>
      </w:r>
    </w:p>
    <w:p w:rsidR="009355F0" w:rsidRPr="00E566B0" w:rsidRDefault="004157FA" w:rsidP="00C50D62">
      <w:pPr>
        <w:keepNext/>
        <w:keepLines/>
        <w:autoSpaceDE w:val="0"/>
        <w:autoSpaceDN w:val="0"/>
        <w:adjustRightInd w:val="0"/>
        <w:rPr>
          <w:rFonts w:ascii="Garamond" w:hAnsi="Garamond"/>
          <w:lang w:val="en-AU"/>
        </w:rPr>
      </w:pPr>
      <w:r w:rsidRPr="004157FA">
        <w:rPr>
          <w:rFonts w:ascii="Garamond" w:hAnsi="Garamond"/>
          <w:lang w:val="en-AU"/>
        </w:rPr>
        <w:t>Journal of the American Medical Association. 2018;319(24):2566.</w:t>
      </w:r>
    </w:p>
    <w:tbl>
      <w:tblPr>
        <w:tblStyle w:val="TableGrid"/>
        <w:tblW w:w="0" w:type="auto"/>
        <w:tblInd w:w="288" w:type="dxa"/>
        <w:tblLayout w:type="fixed"/>
        <w:tblLook w:val="01E0" w:firstRow="1" w:lastRow="1" w:firstColumn="1" w:lastColumn="1" w:noHBand="0" w:noVBand="0"/>
      </w:tblPr>
      <w:tblGrid>
        <w:gridCol w:w="1080"/>
        <w:gridCol w:w="8280"/>
      </w:tblGrid>
      <w:tr w:rsidR="00C50D62" w:rsidRPr="000170DA" w:rsidTr="002E0047">
        <w:tc>
          <w:tcPr>
            <w:tcW w:w="1080" w:type="dxa"/>
            <w:tcBorders>
              <w:top w:val="single" w:sz="4" w:space="0" w:color="auto"/>
              <w:left w:val="single" w:sz="4" w:space="0" w:color="auto"/>
              <w:bottom w:val="single" w:sz="4" w:space="0" w:color="auto"/>
              <w:right w:val="single" w:sz="4" w:space="0" w:color="auto"/>
            </w:tcBorders>
            <w:vAlign w:val="center"/>
          </w:tcPr>
          <w:p w:rsidR="00C50D62" w:rsidRPr="000170DA" w:rsidRDefault="00C50D62" w:rsidP="002E004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50D62" w:rsidRDefault="00162332" w:rsidP="00162332">
            <w:pPr>
              <w:rPr>
                <w:rStyle w:val="Hyperlink"/>
                <w:rFonts w:ascii="Garamond" w:hAnsi="Garamond"/>
                <w:color w:val="auto"/>
                <w:u w:val="none"/>
                <w:lang w:val="en-AU"/>
              </w:rPr>
            </w:pPr>
            <w:r w:rsidRPr="00162332">
              <w:rPr>
                <w:rStyle w:val="Hyperlink"/>
                <w:rFonts w:ascii="Garamond" w:hAnsi="Garamond"/>
                <w:color w:val="auto"/>
                <w:u w:val="none"/>
                <w:lang w:val="en-AU"/>
              </w:rPr>
              <w:t xml:space="preserve">US Preventive Services Task Force </w:t>
            </w:r>
            <w:hyperlink r:id="rId24" w:history="1">
              <w:r w:rsidRPr="00744EA2">
                <w:rPr>
                  <w:rStyle w:val="Hyperlink"/>
                  <w:rFonts w:ascii="Garamond" w:hAnsi="Garamond"/>
                  <w:lang w:val="en-AU"/>
                </w:rPr>
                <w:t>https://doi.org/10.1001/jama.2018.7498</w:t>
              </w:r>
            </w:hyperlink>
          </w:p>
          <w:p w:rsidR="00162332" w:rsidRDefault="00162332" w:rsidP="00162332">
            <w:pPr>
              <w:rPr>
                <w:rStyle w:val="Hyperlink"/>
                <w:rFonts w:ascii="Garamond" w:hAnsi="Garamond"/>
                <w:color w:val="auto"/>
                <w:u w:val="none"/>
                <w:lang w:val="en-AU"/>
              </w:rPr>
            </w:pPr>
            <w:r>
              <w:rPr>
                <w:rStyle w:val="Hyperlink"/>
                <w:rFonts w:ascii="Garamond" w:hAnsi="Garamond"/>
                <w:color w:val="auto"/>
                <w:u w:val="none"/>
                <w:lang w:val="en-AU"/>
              </w:rPr>
              <w:t xml:space="preserve">Cauley </w:t>
            </w:r>
            <w:hyperlink r:id="rId25" w:history="1">
              <w:r w:rsidRPr="00744EA2">
                <w:rPr>
                  <w:rStyle w:val="Hyperlink"/>
                  <w:rFonts w:ascii="Garamond" w:hAnsi="Garamond"/>
                  <w:lang w:val="en-AU"/>
                </w:rPr>
                <w:t>https://doi.org/10.1001/jama.2018.5722</w:t>
              </w:r>
            </w:hyperlink>
          </w:p>
          <w:p w:rsidR="009355F0" w:rsidRPr="000170DA" w:rsidRDefault="009355F0" w:rsidP="00162332">
            <w:pPr>
              <w:rPr>
                <w:rStyle w:val="Hyperlink"/>
                <w:rFonts w:ascii="Garamond" w:hAnsi="Garamond"/>
                <w:color w:val="auto"/>
                <w:u w:val="none"/>
                <w:lang w:val="en-AU"/>
              </w:rPr>
            </w:pPr>
            <w:r>
              <w:rPr>
                <w:rStyle w:val="Hyperlink"/>
                <w:rFonts w:ascii="Garamond" w:hAnsi="Garamond"/>
                <w:color w:val="auto"/>
                <w:u w:val="none"/>
                <w:lang w:val="en-AU"/>
              </w:rPr>
              <w:t xml:space="preserve">Jin </w:t>
            </w:r>
            <w:hyperlink r:id="rId26" w:history="1">
              <w:r w:rsidR="00162332" w:rsidRPr="00744EA2">
                <w:rPr>
                  <w:rStyle w:val="Hyperlink"/>
                  <w:rFonts w:ascii="Garamond" w:hAnsi="Garamond"/>
                  <w:lang w:val="en-AU"/>
                </w:rPr>
                <w:t>https://doi.org/10.1001/jama.2018.8361</w:t>
              </w:r>
            </w:hyperlink>
          </w:p>
        </w:tc>
      </w:tr>
      <w:tr w:rsidR="00C50D62" w:rsidRPr="000170DA" w:rsidTr="002E0047">
        <w:tc>
          <w:tcPr>
            <w:tcW w:w="1080" w:type="dxa"/>
            <w:tcBorders>
              <w:top w:val="single" w:sz="4" w:space="0" w:color="auto"/>
              <w:left w:val="single" w:sz="4" w:space="0" w:color="auto"/>
              <w:bottom w:val="single" w:sz="4" w:space="0" w:color="auto"/>
              <w:right w:val="single" w:sz="4" w:space="0" w:color="auto"/>
            </w:tcBorders>
            <w:vAlign w:val="center"/>
          </w:tcPr>
          <w:p w:rsidR="00C50D62" w:rsidRPr="000170DA" w:rsidRDefault="00C50D62" w:rsidP="002E004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157FA" w:rsidRDefault="00162332" w:rsidP="002E0047">
            <w:pPr>
              <w:rPr>
                <w:rFonts w:ascii="Garamond" w:hAnsi="Garamond"/>
                <w:lang w:val="en-AU"/>
              </w:rPr>
            </w:pPr>
            <w:r>
              <w:rPr>
                <w:rFonts w:ascii="Garamond" w:hAnsi="Garamond"/>
                <w:lang w:val="en-AU"/>
              </w:rPr>
              <w:t xml:space="preserve">The </w:t>
            </w:r>
            <w:r w:rsidRPr="00162332">
              <w:rPr>
                <w:rFonts w:ascii="Garamond" w:hAnsi="Garamond"/>
                <w:lang w:val="en-AU"/>
              </w:rPr>
              <w:t xml:space="preserve">US Preventive Services Task Force </w:t>
            </w:r>
            <w:r w:rsidR="004157FA">
              <w:rPr>
                <w:rFonts w:ascii="Garamond" w:hAnsi="Garamond"/>
                <w:lang w:val="en-AU"/>
              </w:rPr>
              <w:t xml:space="preserve">(USPSTF) </w:t>
            </w:r>
            <w:r>
              <w:rPr>
                <w:rFonts w:ascii="Garamond" w:hAnsi="Garamond"/>
                <w:lang w:val="en-AU"/>
              </w:rPr>
              <w:t xml:space="preserve">has released their </w:t>
            </w:r>
            <w:r w:rsidRPr="00162332">
              <w:rPr>
                <w:rFonts w:ascii="Garamond" w:hAnsi="Garamond"/>
                <w:lang w:val="en-AU"/>
              </w:rPr>
              <w:t>Recommendation Statement</w:t>
            </w:r>
            <w:r>
              <w:rPr>
                <w:rFonts w:ascii="Garamond" w:hAnsi="Garamond"/>
                <w:lang w:val="en-AU"/>
              </w:rPr>
              <w:t xml:space="preserve"> on the s</w:t>
            </w:r>
            <w:r w:rsidRPr="00162332">
              <w:rPr>
                <w:rFonts w:ascii="Garamond" w:hAnsi="Garamond"/>
                <w:lang w:val="en-AU"/>
              </w:rPr>
              <w:t xml:space="preserve">creening for </w:t>
            </w:r>
            <w:r>
              <w:rPr>
                <w:rFonts w:ascii="Garamond" w:hAnsi="Garamond"/>
                <w:lang w:val="en-AU"/>
              </w:rPr>
              <w:t>o</w:t>
            </w:r>
            <w:r w:rsidRPr="00162332">
              <w:rPr>
                <w:rFonts w:ascii="Garamond" w:hAnsi="Garamond"/>
                <w:lang w:val="en-AU"/>
              </w:rPr>
              <w:t xml:space="preserve">steoporosis </w:t>
            </w:r>
            <w:r>
              <w:rPr>
                <w:rFonts w:ascii="Garamond" w:hAnsi="Garamond"/>
                <w:lang w:val="en-AU"/>
              </w:rPr>
              <w:t xml:space="preserve">in order </w:t>
            </w:r>
            <w:r w:rsidRPr="00162332">
              <w:rPr>
                <w:rFonts w:ascii="Garamond" w:hAnsi="Garamond"/>
                <w:lang w:val="en-AU"/>
              </w:rPr>
              <w:t xml:space="preserve">to </w:t>
            </w:r>
            <w:r>
              <w:rPr>
                <w:rFonts w:ascii="Garamond" w:hAnsi="Garamond"/>
                <w:lang w:val="en-AU"/>
              </w:rPr>
              <w:t>p</w:t>
            </w:r>
            <w:r w:rsidRPr="00162332">
              <w:rPr>
                <w:rFonts w:ascii="Garamond" w:hAnsi="Garamond"/>
                <w:lang w:val="en-AU"/>
              </w:rPr>
              <w:t xml:space="preserve">revent </w:t>
            </w:r>
            <w:r>
              <w:rPr>
                <w:rFonts w:ascii="Garamond" w:hAnsi="Garamond"/>
                <w:lang w:val="en-AU"/>
              </w:rPr>
              <w:t>f</w:t>
            </w:r>
            <w:r w:rsidRPr="00162332">
              <w:rPr>
                <w:rFonts w:ascii="Garamond" w:hAnsi="Garamond"/>
                <w:lang w:val="en-AU"/>
              </w:rPr>
              <w:t>ractures</w:t>
            </w:r>
            <w:r w:rsidR="004157FA">
              <w:rPr>
                <w:rFonts w:ascii="Garamond" w:hAnsi="Garamond"/>
                <w:lang w:val="en-AU"/>
              </w:rPr>
              <w:t xml:space="preserve">. The same issue of JAMA includes an editorial (Cauley) and </w:t>
            </w:r>
            <w:r>
              <w:rPr>
                <w:rFonts w:ascii="Garamond" w:hAnsi="Garamond"/>
                <w:lang w:val="en-AU"/>
              </w:rPr>
              <w:t xml:space="preserve">‘patient page’ </w:t>
            </w:r>
            <w:r w:rsidR="004157FA">
              <w:rPr>
                <w:rFonts w:ascii="Garamond" w:hAnsi="Garamond"/>
                <w:lang w:val="en-AU"/>
              </w:rPr>
              <w:t>(Jin) discussing, respectively, the significance and context of the recommendations and what they may mean for patients.</w:t>
            </w:r>
            <w:r w:rsidR="009E51E4">
              <w:rPr>
                <w:rFonts w:ascii="Garamond" w:hAnsi="Garamond"/>
                <w:lang w:val="en-AU"/>
              </w:rPr>
              <w:t xml:space="preserve"> </w:t>
            </w:r>
            <w:r w:rsidR="004157FA">
              <w:rPr>
                <w:rFonts w:ascii="Garamond" w:hAnsi="Garamond"/>
                <w:lang w:val="en-AU"/>
              </w:rPr>
              <w:t>The recommendations (and the strength of the evidence) are such that the USPSTF</w:t>
            </w:r>
          </w:p>
          <w:p w:rsidR="004157FA" w:rsidRDefault="004157FA" w:rsidP="004157FA">
            <w:pPr>
              <w:pStyle w:val="ListParagraph"/>
              <w:numPr>
                <w:ilvl w:val="0"/>
                <w:numId w:val="27"/>
              </w:numPr>
              <w:rPr>
                <w:rFonts w:ascii="Garamond" w:hAnsi="Garamond"/>
                <w:lang w:val="en-AU"/>
              </w:rPr>
            </w:pPr>
            <w:r w:rsidRPr="004157FA">
              <w:rPr>
                <w:rFonts w:ascii="Garamond" w:hAnsi="Garamond"/>
                <w:b/>
                <w:lang w:val="en-AU"/>
              </w:rPr>
              <w:t xml:space="preserve">Recommends screening </w:t>
            </w:r>
            <w:r w:rsidRPr="004157FA">
              <w:rPr>
                <w:rFonts w:ascii="Garamond" w:hAnsi="Garamond"/>
                <w:lang w:val="en-AU"/>
              </w:rPr>
              <w:t xml:space="preserve">for osteoporosis with bone measurement testing to prevent osteoporotic fractures in </w:t>
            </w:r>
            <w:r w:rsidRPr="004157FA">
              <w:rPr>
                <w:rFonts w:ascii="Garamond" w:hAnsi="Garamond"/>
                <w:b/>
                <w:lang w:val="en-AU"/>
              </w:rPr>
              <w:t>women 65 years and older</w:t>
            </w:r>
            <w:r w:rsidRPr="004157FA">
              <w:rPr>
                <w:rFonts w:ascii="Garamond" w:hAnsi="Garamond"/>
                <w:lang w:val="en-AU"/>
              </w:rPr>
              <w:t>. (B recommendation)</w:t>
            </w:r>
            <w:r w:rsidR="009E51E4">
              <w:rPr>
                <w:rFonts w:ascii="Garamond" w:hAnsi="Garamond"/>
                <w:noProof/>
                <w:lang w:val="en-AU" w:eastAsia="en-AU"/>
              </w:rPr>
              <w:t xml:space="preserve"> </w:t>
            </w:r>
          </w:p>
          <w:p w:rsidR="009E51E4" w:rsidRDefault="009E51E4" w:rsidP="004157FA">
            <w:pPr>
              <w:pStyle w:val="ListParagraph"/>
              <w:numPr>
                <w:ilvl w:val="0"/>
                <w:numId w:val="27"/>
              </w:numPr>
              <w:rPr>
                <w:rFonts w:ascii="Garamond" w:hAnsi="Garamond"/>
                <w:lang w:val="en-AU"/>
              </w:rPr>
            </w:pPr>
            <w:r>
              <w:rPr>
                <w:rFonts w:ascii="Garamond" w:hAnsi="Garamond"/>
                <w:noProof/>
                <w:lang w:val="en-AU" w:eastAsia="en-AU"/>
              </w:rPr>
              <w:drawing>
                <wp:anchor distT="0" distB="0" distL="114300" distR="114300" simplePos="0" relativeHeight="251660288" behindDoc="1" locked="0" layoutInCell="1" allowOverlap="1" wp14:anchorId="7CDF3875" wp14:editId="1A85D612">
                  <wp:simplePos x="0" y="0"/>
                  <wp:positionH relativeFrom="column">
                    <wp:posOffset>2264410</wp:posOffset>
                  </wp:positionH>
                  <wp:positionV relativeFrom="paragraph">
                    <wp:posOffset>641350</wp:posOffset>
                  </wp:positionV>
                  <wp:extent cx="2907665" cy="3160395"/>
                  <wp:effectExtent l="0" t="0" r="6985" b="1905"/>
                  <wp:wrapTight wrapText="bothSides">
                    <wp:wrapPolygon edited="0">
                      <wp:start x="0" y="0"/>
                      <wp:lineTo x="0" y="21483"/>
                      <wp:lineTo x="21510" y="21483"/>
                      <wp:lineTo x="21510" y="0"/>
                      <wp:lineTo x="0" y="0"/>
                    </wp:wrapPolygon>
                  </wp:wrapTight>
                  <wp:docPr id="6" name="Picture 6" descr="\\central.health\dfsuserenv\Users\User_07\johnni\Desktop\OSteo screening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OSteo screening a.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07665" cy="316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4157FA" w:rsidRPr="009E51E4">
              <w:rPr>
                <w:rFonts w:ascii="Garamond" w:hAnsi="Garamond"/>
                <w:b/>
                <w:lang w:val="en-AU"/>
              </w:rPr>
              <w:t>Recommends screening</w:t>
            </w:r>
            <w:r w:rsidR="004157FA" w:rsidRPr="004157FA">
              <w:rPr>
                <w:rFonts w:ascii="Garamond" w:hAnsi="Garamond"/>
                <w:lang w:val="en-AU"/>
              </w:rPr>
              <w:t xml:space="preserve"> for osteoporosis with bone measurement testing to prevent osteoporotic fractures in </w:t>
            </w:r>
            <w:r w:rsidR="004157FA" w:rsidRPr="009E51E4">
              <w:rPr>
                <w:rFonts w:ascii="Garamond" w:hAnsi="Garamond"/>
                <w:b/>
                <w:lang w:val="en-AU"/>
              </w:rPr>
              <w:t>postmenopausal women younger than 65 years at increased risk of osteoporosis</w:t>
            </w:r>
            <w:r w:rsidR="004157FA" w:rsidRPr="004157FA">
              <w:rPr>
                <w:rFonts w:ascii="Garamond" w:hAnsi="Garamond"/>
                <w:lang w:val="en-AU"/>
              </w:rPr>
              <w:t>, as determined by a formal clinical risk assessment tool. (B recommendation)</w:t>
            </w:r>
            <w:r>
              <w:rPr>
                <w:rFonts w:ascii="Garamond" w:hAnsi="Garamond"/>
                <w:noProof/>
                <w:lang w:val="en-AU" w:eastAsia="en-AU"/>
              </w:rPr>
              <w:t xml:space="preserve"> </w:t>
            </w:r>
          </w:p>
          <w:p w:rsidR="009355F0" w:rsidRPr="000365E9" w:rsidRDefault="009E51E4" w:rsidP="009E51E4">
            <w:pPr>
              <w:pStyle w:val="ListParagraph"/>
              <w:numPr>
                <w:ilvl w:val="0"/>
                <w:numId w:val="27"/>
              </w:numPr>
              <w:rPr>
                <w:rFonts w:ascii="Garamond" w:hAnsi="Garamond"/>
                <w:lang w:val="en-AU"/>
              </w:rPr>
            </w:pPr>
            <w:r>
              <w:rPr>
                <w:rFonts w:ascii="Garamond" w:hAnsi="Garamond"/>
                <w:lang w:val="en-AU"/>
              </w:rPr>
              <w:t>C</w:t>
            </w:r>
            <w:r w:rsidR="004157FA" w:rsidRPr="004157FA">
              <w:rPr>
                <w:rFonts w:ascii="Garamond" w:hAnsi="Garamond"/>
                <w:lang w:val="en-AU"/>
              </w:rPr>
              <w:t xml:space="preserve">oncludes that the current </w:t>
            </w:r>
            <w:r w:rsidR="004157FA" w:rsidRPr="009E51E4">
              <w:rPr>
                <w:rFonts w:ascii="Garamond" w:hAnsi="Garamond"/>
                <w:b/>
                <w:lang w:val="en-AU"/>
              </w:rPr>
              <w:t>evidence is insufficient</w:t>
            </w:r>
            <w:r w:rsidR="004157FA" w:rsidRPr="004157FA">
              <w:rPr>
                <w:rFonts w:ascii="Garamond" w:hAnsi="Garamond"/>
                <w:lang w:val="en-AU"/>
              </w:rPr>
              <w:t xml:space="preserve"> to assess the balance of benefits and harms of screening for osteoporosis to prevent osteoporotic fractures in </w:t>
            </w:r>
            <w:r w:rsidR="004157FA" w:rsidRPr="009E51E4">
              <w:rPr>
                <w:rFonts w:ascii="Garamond" w:hAnsi="Garamond"/>
                <w:b/>
                <w:lang w:val="en-AU"/>
              </w:rPr>
              <w:t>men</w:t>
            </w:r>
            <w:r w:rsidR="004157FA" w:rsidRPr="004157FA">
              <w:rPr>
                <w:rFonts w:ascii="Garamond" w:hAnsi="Garamond"/>
                <w:lang w:val="en-AU"/>
              </w:rPr>
              <w:t>. (I statement)</w:t>
            </w:r>
            <w:r w:rsidR="001E54BF">
              <w:rPr>
                <w:rFonts w:ascii="Garamond" w:hAnsi="Garamond"/>
                <w:noProof/>
                <w:lang w:val="en-AU" w:eastAsia="en-AU"/>
              </w:rPr>
              <w:t>.</w:t>
            </w:r>
          </w:p>
        </w:tc>
      </w:tr>
    </w:tbl>
    <w:p w:rsidR="009E51E4" w:rsidRPr="000E5F6D" w:rsidRDefault="009E51E4" w:rsidP="009E51E4">
      <w:pPr>
        <w:keepNext/>
        <w:keepLines/>
        <w:autoSpaceDE w:val="0"/>
        <w:autoSpaceDN w:val="0"/>
        <w:adjustRightInd w:val="0"/>
        <w:rPr>
          <w:rFonts w:ascii="Garamond" w:hAnsi="Garamond"/>
          <w:i/>
          <w:lang w:val="en-AU"/>
        </w:rPr>
      </w:pPr>
      <w:r w:rsidRPr="000E5F6D">
        <w:rPr>
          <w:rFonts w:ascii="Garamond" w:hAnsi="Garamond"/>
          <w:i/>
          <w:lang w:val="en-AU"/>
        </w:rPr>
        <w:lastRenderedPageBreak/>
        <w:t>National quality program achieves improvements in safety culture and reduction in preventable harms in community hospitals</w:t>
      </w:r>
    </w:p>
    <w:p w:rsidR="009E51E4" w:rsidRDefault="009E51E4" w:rsidP="009E51E4">
      <w:pPr>
        <w:keepNext/>
        <w:keepLines/>
        <w:autoSpaceDE w:val="0"/>
        <w:autoSpaceDN w:val="0"/>
        <w:adjustRightInd w:val="0"/>
        <w:rPr>
          <w:rFonts w:ascii="Garamond" w:hAnsi="Garamond"/>
          <w:lang w:val="en-AU"/>
        </w:rPr>
      </w:pPr>
      <w:r w:rsidRPr="002E4A6B">
        <w:rPr>
          <w:rFonts w:ascii="Garamond" w:hAnsi="Garamond"/>
          <w:lang w:val="en-AU"/>
        </w:rPr>
        <w:t>Frush K, Chamness C, Olson B, Hyde S, Nordlund C, Phillips H, et al.</w:t>
      </w:r>
    </w:p>
    <w:p w:rsidR="009E51E4" w:rsidRPr="00E566B0" w:rsidRDefault="009E51E4" w:rsidP="009E51E4">
      <w:pPr>
        <w:keepNext/>
        <w:keepLines/>
        <w:autoSpaceDE w:val="0"/>
        <w:autoSpaceDN w:val="0"/>
        <w:adjustRightInd w:val="0"/>
        <w:rPr>
          <w:rFonts w:ascii="Garamond" w:hAnsi="Garamond"/>
          <w:lang w:val="en-AU"/>
        </w:rPr>
      </w:pPr>
      <w:r w:rsidRPr="002E4A6B">
        <w:rPr>
          <w:rFonts w:ascii="Garamond" w:hAnsi="Garamond"/>
          <w:lang w:val="en-AU"/>
        </w:rPr>
        <w:t>Joint Commission Journal on Quality and Patient Safety. 2018</w:t>
      </w:r>
      <w:r>
        <w:rPr>
          <w:rFonts w:ascii="Garamond" w:hAnsi="Garamond"/>
          <w:lang w:val="en-AU"/>
        </w:rPr>
        <w:t xml:space="preserve"> [epub]</w:t>
      </w:r>
      <w:r w:rsidRPr="002E4A6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E51E4" w:rsidRPr="000170DA" w:rsidTr="00541823">
        <w:tc>
          <w:tcPr>
            <w:tcW w:w="1080" w:type="dxa"/>
            <w:tcBorders>
              <w:top w:val="single" w:sz="4" w:space="0" w:color="auto"/>
              <w:left w:val="single" w:sz="4" w:space="0" w:color="auto"/>
              <w:bottom w:val="single" w:sz="4" w:space="0" w:color="auto"/>
              <w:right w:val="single" w:sz="4" w:space="0" w:color="auto"/>
            </w:tcBorders>
            <w:vAlign w:val="center"/>
          </w:tcPr>
          <w:p w:rsidR="009E51E4" w:rsidRPr="000170DA" w:rsidRDefault="009E51E4" w:rsidP="0054182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E51E4" w:rsidRPr="000170DA" w:rsidRDefault="00302121" w:rsidP="00541823">
            <w:pPr>
              <w:rPr>
                <w:rStyle w:val="Hyperlink"/>
                <w:rFonts w:ascii="Garamond" w:hAnsi="Garamond"/>
                <w:color w:val="auto"/>
                <w:u w:val="none"/>
                <w:lang w:val="en-AU"/>
              </w:rPr>
            </w:pPr>
            <w:hyperlink r:id="rId28" w:history="1">
              <w:r w:rsidR="009E51E4" w:rsidRPr="00744EA2">
                <w:rPr>
                  <w:rStyle w:val="Hyperlink"/>
                  <w:rFonts w:ascii="Garamond" w:hAnsi="Garamond"/>
                  <w:lang w:val="en-AU"/>
                </w:rPr>
                <w:t>https://www.jointcommissionjournal.com/article/S1553-7250(18)30216-2/fulltext</w:t>
              </w:r>
            </w:hyperlink>
          </w:p>
        </w:tc>
      </w:tr>
      <w:tr w:rsidR="009E51E4" w:rsidRPr="000170DA" w:rsidTr="00541823">
        <w:tc>
          <w:tcPr>
            <w:tcW w:w="1080" w:type="dxa"/>
            <w:tcBorders>
              <w:top w:val="single" w:sz="4" w:space="0" w:color="auto"/>
              <w:left w:val="single" w:sz="4" w:space="0" w:color="auto"/>
              <w:bottom w:val="single" w:sz="4" w:space="0" w:color="auto"/>
              <w:right w:val="single" w:sz="4" w:space="0" w:color="auto"/>
            </w:tcBorders>
            <w:vAlign w:val="center"/>
          </w:tcPr>
          <w:p w:rsidR="009E51E4" w:rsidRPr="000170DA" w:rsidRDefault="009E51E4" w:rsidP="0054182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51E4" w:rsidRPr="000365E9" w:rsidRDefault="009E51E4" w:rsidP="00541823">
            <w:pPr>
              <w:rPr>
                <w:rFonts w:ascii="Garamond" w:hAnsi="Garamond"/>
                <w:lang w:val="en-AU"/>
              </w:rPr>
            </w:pPr>
            <w:r>
              <w:rPr>
                <w:rFonts w:ascii="Garamond" w:hAnsi="Garamond"/>
                <w:lang w:val="en-AU"/>
              </w:rPr>
              <w:t xml:space="preserve">Paper describing how a US health system joint venture implemented a National Quality Program (NQP). The NQP had </w:t>
            </w:r>
            <w:r w:rsidRPr="002E4A6B">
              <w:rPr>
                <w:rFonts w:ascii="Garamond" w:hAnsi="Garamond"/>
                <w:lang w:val="en-AU"/>
              </w:rPr>
              <w:t xml:space="preserve">a framework of </w:t>
            </w:r>
            <w:r w:rsidRPr="002E4A6B">
              <w:rPr>
                <w:rFonts w:ascii="Garamond" w:hAnsi="Garamond"/>
                <w:b/>
                <w:lang w:val="en-AU"/>
              </w:rPr>
              <w:t>leadership</w:t>
            </w:r>
            <w:r w:rsidRPr="002E4A6B">
              <w:rPr>
                <w:rFonts w:ascii="Garamond" w:hAnsi="Garamond"/>
                <w:lang w:val="en-AU"/>
              </w:rPr>
              <w:t xml:space="preserve">, </w:t>
            </w:r>
            <w:r w:rsidRPr="002E4A6B">
              <w:rPr>
                <w:rFonts w:ascii="Garamond" w:hAnsi="Garamond"/>
                <w:b/>
                <w:lang w:val="en-AU"/>
              </w:rPr>
              <w:t>performance improvement</w:t>
            </w:r>
            <w:r w:rsidRPr="002E4A6B">
              <w:rPr>
                <w:rFonts w:ascii="Garamond" w:hAnsi="Garamond"/>
                <w:lang w:val="en-AU"/>
              </w:rPr>
              <w:t xml:space="preserve">, and </w:t>
            </w:r>
            <w:r>
              <w:rPr>
                <w:rFonts w:ascii="Garamond" w:hAnsi="Garamond"/>
                <w:lang w:val="en-AU"/>
              </w:rPr>
              <w:t xml:space="preserve">the importance of </w:t>
            </w:r>
            <w:r w:rsidRPr="002E4A6B">
              <w:rPr>
                <w:rFonts w:ascii="Garamond" w:hAnsi="Garamond"/>
                <w:b/>
                <w:lang w:val="en-AU"/>
              </w:rPr>
              <w:t>culture</w:t>
            </w:r>
            <w:r>
              <w:rPr>
                <w:rFonts w:ascii="Garamond" w:hAnsi="Garamond"/>
                <w:lang w:val="en-AU"/>
              </w:rPr>
              <w:t xml:space="preserve"> with a </w:t>
            </w:r>
            <w:r w:rsidRPr="002E4A6B">
              <w:rPr>
                <w:rFonts w:ascii="Garamond" w:hAnsi="Garamond"/>
                <w:lang w:val="en-AU"/>
              </w:rPr>
              <w:t xml:space="preserve">comprehensive </w:t>
            </w:r>
            <w:r w:rsidRPr="00706BB4">
              <w:rPr>
                <w:rFonts w:ascii="Garamond" w:hAnsi="Garamond"/>
                <w:b/>
                <w:lang w:val="en-AU"/>
              </w:rPr>
              <w:t>quality assessment</w:t>
            </w:r>
            <w:r w:rsidRPr="002E4A6B">
              <w:rPr>
                <w:rFonts w:ascii="Garamond" w:hAnsi="Garamond"/>
                <w:lang w:val="en-AU"/>
              </w:rPr>
              <w:t xml:space="preserve"> </w:t>
            </w:r>
            <w:r>
              <w:rPr>
                <w:rFonts w:ascii="Garamond" w:hAnsi="Garamond"/>
                <w:lang w:val="en-AU"/>
              </w:rPr>
              <w:t xml:space="preserve">performed for </w:t>
            </w:r>
            <w:r w:rsidRPr="00706BB4">
              <w:rPr>
                <w:rFonts w:ascii="Garamond" w:hAnsi="Garamond"/>
                <w:b/>
                <w:lang w:val="en-AU"/>
              </w:rPr>
              <w:t>each hospital</w:t>
            </w:r>
            <w:r w:rsidRPr="002E4A6B">
              <w:rPr>
                <w:rFonts w:ascii="Garamond" w:hAnsi="Garamond"/>
                <w:lang w:val="en-AU"/>
              </w:rPr>
              <w:t xml:space="preserve"> </w:t>
            </w:r>
            <w:r>
              <w:rPr>
                <w:rFonts w:ascii="Garamond" w:hAnsi="Garamond"/>
                <w:lang w:val="en-AU"/>
              </w:rPr>
              <w:t xml:space="preserve">leading to </w:t>
            </w:r>
            <w:r w:rsidRPr="002E4A6B">
              <w:rPr>
                <w:rFonts w:ascii="Garamond" w:hAnsi="Garamond"/>
                <w:lang w:val="en-AU"/>
              </w:rPr>
              <w:t>a customi</w:t>
            </w:r>
            <w:r>
              <w:rPr>
                <w:rFonts w:ascii="Garamond" w:hAnsi="Garamond"/>
                <w:lang w:val="en-AU"/>
              </w:rPr>
              <w:t>s</w:t>
            </w:r>
            <w:r w:rsidRPr="002E4A6B">
              <w:rPr>
                <w:rFonts w:ascii="Garamond" w:hAnsi="Garamond"/>
                <w:lang w:val="en-AU"/>
              </w:rPr>
              <w:t xml:space="preserve">ed </w:t>
            </w:r>
            <w:r w:rsidRPr="00706BB4">
              <w:rPr>
                <w:rFonts w:ascii="Garamond" w:hAnsi="Garamond"/>
                <w:b/>
                <w:lang w:val="en-AU"/>
              </w:rPr>
              <w:t>improvement plan</w:t>
            </w:r>
            <w:r w:rsidRPr="002E4A6B">
              <w:rPr>
                <w:rFonts w:ascii="Garamond" w:hAnsi="Garamond"/>
                <w:lang w:val="en-AU"/>
              </w:rPr>
              <w:t xml:space="preserve"> specific to the performance level of </w:t>
            </w:r>
            <w:r>
              <w:rPr>
                <w:rFonts w:ascii="Garamond" w:hAnsi="Garamond"/>
                <w:lang w:val="en-AU"/>
              </w:rPr>
              <w:t>each hospital</w:t>
            </w:r>
            <w:r w:rsidRPr="002E4A6B">
              <w:rPr>
                <w:rFonts w:ascii="Garamond" w:hAnsi="Garamond"/>
                <w:lang w:val="en-AU"/>
              </w:rPr>
              <w:t xml:space="preserve"> and aligned with strategic organi</w:t>
            </w:r>
            <w:r>
              <w:rPr>
                <w:rFonts w:ascii="Garamond" w:hAnsi="Garamond"/>
                <w:lang w:val="en-AU"/>
              </w:rPr>
              <w:t>s</w:t>
            </w:r>
            <w:r w:rsidRPr="002E4A6B">
              <w:rPr>
                <w:rFonts w:ascii="Garamond" w:hAnsi="Garamond"/>
                <w:lang w:val="en-AU"/>
              </w:rPr>
              <w:t>ational goals.</w:t>
            </w:r>
            <w:r>
              <w:rPr>
                <w:rFonts w:ascii="Garamond" w:hAnsi="Garamond"/>
                <w:lang w:val="en-AU"/>
              </w:rPr>
              <w:t xml:space="preserve"> The authors claim that the implementation “has </w:t>
            </w:r>
            <w:r w:rsidRPr="002E4A6B">
              <w:rPr>
                <w:rFonts w:ascii="Garamond" w:hAnsi="Garamond"/>
                <w:lang w:val="en-AU"/>
              </w:rPr>
              <w:t xml:space="preserve">led to </w:t>
            </w:r>
            <w:r w:rsidRPr="002E4A6B">
              <w:rPr>
                <w:rFonts w:ascii="Garamond" w:hAnsi="Garamond"/>
                <w:b/>
                <w:lang w:val="en-AU"/>
              </w:rPr>
              <w:t>significant improvements</w:t>
            </w:r>
            <w:r w:rsidRPr="002E4A6B">
              <w:rPr>
                <w:rFonts w:ascii="Garamond" w:hAnsi="Garamond"/>
                <w:lang w:val="en-AU"/>
              </w:rPr>
              <w:t xml:space="preserve"> in </w:t>
            </w:r>
            <w:r w:rsidRPr="002E4A6B">
              <w:rPr>
                <w:rFonts w:ascii="Garamond" w:hAnsi="Garamond"/>
                <w:b/>
                <w:lang w:val="en-AU"/>
              </w:rPr>
              <w:t>patient safety</w:t>
            </w:r>
            <w:r w:rsidRPr="002E4A6B">
              <w:rPr>
                <w:rFonts w:ascii="Garamond" w:hAnsi="Garamond"/>
                <w:lang w:val="en-AU"/>
              </w:rPr>
              <w:t xml:space="preserve"> metrics and in </w:t>
            </w:r>
            <w:r w:rsidRPr="002E4A6B">
              <w:rPr>
                <w:rFonts w:ascii="Garamond" w:hAnsi="Garamond"/>
                <w:b/>
                <w:lang w:val="en-AU"/>
              </w:rPr>
              <w:t>safety culture</w:t>
            </w:r>
            <w:r w:rsidRPr="002E4A6B">
              <w:rPr>
                <w:rFonts w:ascii="Garamond" w:hAnsi="Garamond"/>
                <w:lang w:val="en-AU"/>
              </w:rPr>
              <w:t xml:space="preserve">, which have now been </w:t>
            </w:r>
            <w:r w:rsidRPr="002E4A6B">
              <w:rPr>
                <w:rFonts w:ascii="Garamond" w:hAnsi="Garamond"/>
                <w:b/>
                <w:lang w:val="en-AU"/>
              </w:rPr>
              <w:t>sustained</w:t>
            </w:r>
            <w:r w:rsidRPr="002E4A6B">
              <w:rPr>
                <w:rFonts w:ascii="Garamond" w:hAnsi="Garamond"/>
                <w:lang w:val="en-AU"/>
              </w:rPr>
              <w:t xml:space="preserve"> for more than seven years. Aggregate </w:t>
            </w:r>
            <w:r w:rsidRPr="002E4A6B">
              <w:rPr>
                <w:rFonts w:ascii="Garamond" w:hAnsi="Garamond"/>
                <w:b/>
                <w:lang w:val="en-AU"/>
              </w:rPr>
              <w:t>harm</w:t>
            </w:r>
            <w:r w:rsidRPr="002E4A6B">
              <w:rPr>
                <w:rFonts w:ascii="Garamond" w:hAnsi="Garamond"/>
                <w:lang w:val="en-AU"/>
              </w:rPr>
              <w:t xml:space="preserve">, as measured by administrative claims data–based harms per 1,000 inpatient-days, was </w:t>
            </w:r>
            <w:r w:rsidRPr="002E4A6B">
              <w:rPr>
                <w:rFonts w:ascii="Garamond" w:hAnsi="Garamond"/>
                <w:b/>
                <w:lang w:val="en-AU"/>
              </w:rPr>
              <w:t>reduced by 62.5%</w:t>
            </w:r>
            <w:r w:rsidRPr="002E4A6B">
              <w:rPr>
                <w:rFonts w:ascii="Garamond" w:hAnsi="Garamond"/>
                <w:lang w:val="en-AU"/>
              </w:rPr>
              <w:t xml:space="preserve"> between January 2011 and December 2017, as compared to 2010 baseline data.</w:t>
            </w:r>
            <w:r>
              <w:rPr>
                <w:rFonts w:ascii="Garamond" w:hAnsi="Garamond"/>
                <w:lang w:val="en-AU"/>
              </w:rPr>
              <w:t>”</w:t>
            </w:r>
          </w:p>
        </w:tc>
      </w:tr>
    </w:tbl>
    <w:p w:rsidR="009E51E4" w:rsidRDefault="009E51E4" w:rsidP="009E51E4">
      <w:pPr>
        <w:keepLines/>
        <w:autoSpaceDE w:val="0"/>
        <w:autoSpaceDN w:val="0"/>
        <w:adjustRightInd w:val="0"/>
        <w:rPr>
          <w:rFonts w:ascii="Garamond" w:hAnsi="Garamond"/>
          <w:lang w:val="en-AU"/>
        </w:rPr>
      </w:pPr>
    </w:p>
    <w:p w:rsidR="009E51E4" w:rsidRPr="000E5F6D" w:rsidRDefault="009E51E4" w:rsidP="009E51E4">
      <w:pPr>
        <w:keepNext/>
        <w:keepLines/>
        <w:autoSpaceDE w:val="0"/>
        <w:autoSpaceDN w:val="0"/>
        <w:adjustRightInd w:val="0"/>
        <w:rPr>
          <w:rFonts w:ascii="Garamond" w:hAnsi="Garamond"/>
          <w:i/>
          <w:lang w:val="en-AU"/>
        </w:rPr>
      </w:pPr>
      <w:r w:rsidRPr="000E5F6D">
        <w:rPr>
          <w:rFonts w:ascii="Garamond" w:hAnsi="Garamond"/>
          <w:i/>
          <w:lang w:val="en-AU"/>
        </w:rPr>
        <w:t>Statewide collaborative to reduce surgical site infections: results of the Hawaii Surgical Unit-Based Safety Program</w:t>
      </w:r>
    </w:p>
    <w:p w:rsidR="009E51E4" w:rsidRDefault="009E51E4" w:rsidP="009E51E4">
      <w:pPr>
        <w:keepNext/>
        <w:keepLines/>
        <w:autoSpaceDE w:val="0"/>
        <w:autoSpaceDN w:val="0"/>
        <w:adjustRightInd w:val="0"/>
        <w:rPr>
          <w:rFonts w:ascii="Garamond" w:hAnsi="Garamond"/>
          <w:lang w:val="en-AU"/>
        </w:rPr>
      </w:pPr>
      <w:r w:rsidRPr="003B0407">
        <w:rPr>
          <w:rFonts w:ascii="Garamond" w:hAnsi="Garamond"/>
          <w:lang w:val="en-AU"/>
        </w:rPr>
        <w:t>Lin DM, Carson KA, Lubomski LH, Wick EC, Pham JC</w:t>
      </w:r>
    </w:p>
    <w:p w:rsidR="009E51E4" w:rsidRPr="00E566B0" w:rsidRDefault="009E51E4" w:rsidP="009E51E4">
      <w:pPr>
        <w:keepNext/>
        <w:keepLines/>
        <w:autoSpaceDE w:val="0"/>
        <w:autoSpaceDN w:val="0"/>
        <w:adjustRightInd w:val="0"/>
        <w:rPr>
          <w:rFonts w:ascii="Garamond" w:hAnsi="Garamond"/>
          <w:lang w:val="en-AU"/>
        </w:rPr>
      </w:pPr>
      <w:r w:rsidRPr="003B0407">
        <w:rPr>
          <w:rFonts w:ascii="Garamond" w:hAnsi="Garamond"/>
          <w:lang w:val="en-AU"/>
        </w:rPr>
        <w:t>Journal of the American College of Surgeons. 2018.</w:t>
      </w:r>
    </w:p>
    <w:tbl>
      <w:tblPr>
        <w:tblStyle w:val="TableGrid"/>
        <w:tblW w:w="0" w:type="auto"/>
        <w:tblInd w:w="288" w:type="dxa"/>
        <w:tblLayout w:type="fixed"/>
        <w:tblLook w:val="01E0" w:firstRow="1" w:lastRow="1" w:firstColumn="1" w:lastColumn="1" w:noHBand="0" w:noVBand="0"/>
      </w:tblPr>
      <w:tblGrid>
        <w:gridCol w:w="1080"/>
        <w:gridCol w:w="8280"/>
      </w:tblGrid>
      <w:tr w:rsidR="009E51E4" w:rsidRPr="000170DA" w:rsidTr="00541823">
        <w:tc>
          <w:tcPr>
            <w:tcW w:w="1080" w:type="dxa"/>
            <w:tcBorders>
              <w:top w:val="single" w:sz="4" w:space="0" w:color="auto"/>
              <w:left w:val="single" w:sz="4" w:space="0" w:color="auto"/>
              <w:bottom w:val="single" w:sz="4" w:space="0" w:color="auto"/>
              <w:right w:val="single" w:sz="4" w:space="0" w:color="auto"/>
            </w:tcBorders>
            <w:vAlign w:val="center"/>
          </w:tcPr>
          <w:p w:rsidR="009E51E4" w:rsidRPr="000170DA" w:rsidRDefault="009E51E4" w:rsidP="0054182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E51E4" w:rsidRPr="000170DA" w:rsidRDefault="00302121" w:rsidP="00541823">
            <w:pPr>
              <w:rPr>
                <w:rStyle w:val="Hyperlink"/>
                <w:rFonts w:ascii="Garamond" w:hAnsi="Garamond"/>
                <w:color w:val="auto"/>
                <w:u w:val="none"/>
                <w:lang w:val="en-AU"/>
              </w:rPr>
            </w:pPr>
            <w:hyperlink r:id="rId29" w:history="1">
              <w:r w:rsidR="009E51E4" w:rsidRPr="00744EA2">
                <w:rPr>
                  <w:rStyle w:val="Hyperlink"/>
                  <w:rFonts w:ascii="Garamond" w:hAnsi="Garamond"/>
                  <w:lang w:val="en-AU"/>
                </w:rPr>
                <w:t>http://doi.org/10.1016/j.jamcollsurg.2018.04.031</w:t>
              </w:r>
            </w:hyperlink>
          </w:p>
        </w:tc>
      </w:tr>
      <w:tr w:rsidR="009E51E4" w:rsidRPr="000170DA" w:rsidTr="00541823">
        <w:tc>
          <w:tcPr>
            <w:tcW w:w="1080" w:type="dxa"/>
            <w:tcBorders>
              <w:top w:val="single" w:sz="4" w:space="0" w:color="auto"/>
              <w:left w:val="single" w:sz="4" w:space="0" w:color="auto"/>
              <w:bottom w:val="single" w:sz="4" w:space="0" w:color="auto"/>
              <w:right w:val="single" w:sz="4" w:space="0" w:color="auto"/>
            </w:tcBorders>
            <w:vAlign w:val="center"/>
          </w:tcPr>
          <w:p w:rsidR="009E51E4" w:rsidRPr="000170DA" w:rsidRDefault="009E51E4" w:rsidP="0054182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51E4" w:rsidRPr="000365E9" w:rsidRDefault="009E51E4" w:rsidP="00541823">
            <w:pPr>
              <w:rPr>
                <w:rFonts w:ascii="Garamond" w:hAnsi="Garamond"/>
                <w:lang w:val="en-AU"/>
              </w:rPr>
            </w:pPr>
            <w:r>
              <w:rPr>
                <w:rFonts w:ascii="Garamond" w:hAnsi="Garamond"/>
                <w:lang w:val="en-AU"/>
              </w:rPr>
              <w:t xml:space="preserve">Surgical site infections (SSI) can cause patients substantial harm that can be long-lasting. This study reports on a collaboration that saw all15 hospitals in Hawaii implement the </w:t>
            </w:r>
            <w:r w:rsidRPr="003B0407">
              <w:rPr>
                <w:rFonts w:ascii="Garamond" w:hAnsi="Garamond"/>
                <w:lang w:val="en-AU"/>
              </w:rPr>
              <w:t xml:space="preserve">Comprehensive Unit-Based Safety Program and </w:t>
            </w:r>
            <w:r>
              <w:rPr>
                <w:rFonts w:ascii="Garamond" w:hAnsi="Garamond"/>
                <w:lang w:val="en-AU"/>
              </w:rPr>
              <w:t xml:space="preserve">specific </w:t>
            </w:r>
            <w:r w:rsidRPr="003B0407">
              <w:rPr>
                <w:rFonts w:ascii="Garamond" w:hAnsi="Garamond"/>
                <w:lang w:val="en-AU"/>
              </w:rPr>
              <w:t xml:space="preserve">bundles of interventions to reduce SSIs. </w:t>
            </w:r>
            <w:r>
              <w:rPr>
                <w:rFonts w:ascii="Garamond" w:hAnsi="Garamond"/>
                <w:lang w:val="en-AU"/>
              </w:rPr>
              <w:t>The p</w:t>
            </w:r>
            <w:r w:rsidRPr="003B0407">
              <w:rPr>
                <w:rFonts w:ascii="Garamond" w:hAnsi="Garamond"/>
                <w:lang w:val="en-AU"/>
              </w:rPr>
              <w:t>rimary end point was colorectal SSIs</w:t>
            </w:r>
            <w:r>
              <w:rPr>
                <w:rFonts w:ascii="Garamond" w:hAnsi="Garamond"/>
                <w:lang w:val="en-AU"/>
              </w:rPr>
              <w:t xml:space="preserve"> with the measurement of </w:t>
            </w:r>
            <w:r w:rsidRPr="003B0407">
              <w:rPr>
                <w:rFonts w:ascii="Garamond" w:hAnsi="Garamond"/>
                <w:lang w:val="en-AU"/>
              </w:rPr>
              <w:t xml:space="preserve">safety culture </w:t>
            </w:r>
            <w:r>
              <w:rPr>
                <w:rFonts w:ascii="Garamond" w:hAnsi="Garamond"/>
                <w:lang w:val="en-AU"/>
              </w:rPr>
              <w:t xml:space="preserve">as a secondary output. From January 2013 to June 2015, </w:t>
            </w:r>
            <w:r w:rsidRPr="003B0407">
              <w:rPr>
                <w:rFonts w:ascii="Garamond" w:hAnsi="Garamond"/>
                <w:lang w:val="en-AU"/>
              </w:rPr>
              <w:t xml:space="preserve">the collaborative colorectal </w:t>
            </w:r>
            <w:r w:rsidRPr="003B0407">
              <w:rPr>
                <w:rFonts w:ascii="Garamond" w:hAnsi="Garamond"/>
                <w:b/>
                <w:lang w:val="en-AU"/>
              </w:rPr>
              <w:t>SSI rate decreased 61.7%</w:t>
            </w:r>
            <w:r w:rsidR="001E54BF">
              <w:rPr>
                <w:rFonts w:ascii="Garamond" w:hAnsi="Garamond"/>
                <w:b/>
                <w:lang w:val="en-AU"/>
              </w:rPr>
              <w:t xml:space="preserve"> </w:t>
            </w:r>
            <w:r w:rsidRPr="003B0407">
              <w:rPr>
                <w:rFonts w:ascii="Garamond" w:hAnsi="Garamond"/>
                <w:lang w:val="en-AU"/>
              </w:rPr>
              <w:t>(from 12.08% to 4.63%; p &lt; 0.01)</w:t>
            </w:r>
            <w:r>
              <w:rPr>
                <w:rFonts w:ascii="Garamond" w:hAnsi="Garamond"/>
                <w:lang w:val="en-AU"/>
              </w:rPr>
              <w:t xml:space="preserve">, with a </w:t>
            </w:r>
            <w:r w:rsidRPr="003B0407">
              <w:rPr>
                <w:rFonts w:ascii="Garamond" w:hAnsi="Garamond"/>
                <w:lang w:val="en-AU"/>
              </w:rPr>
              <w:t xml:space="preserve">linear decrease during the 10-quarter period (p = 0.005). </w:t>
            </w:r>
            <w:r>
              <w:rPr>
                <w:rFonts w:ascii="Garamond" w:hAnsi="Garamond"/>
                <w:lang w:val="en-AU"/>
              </w:rPr>
              <w:t xml:space="preserve">The </w:t>
            </w:r>
            <w:r w:rsidRPr="003B0407">
              <w:rPr>
                <w:rFonts w:ascii="Garamond" w:hAnsi="Garamond"/>
                <w:b/>
                <w:lang w:val="en-AU"/>
              </w:rPr>
              <w:t>safety culture</w:t>
            </w:r>
            <w:r>
              <w:rPr>
                <w:rFonts w:ascii="Garamond" w:hAnsi="Garamond"/>
                <w:lang w:val="en-AU"/>
              </w:rPr>
              <w:t>, measured with</w:t>
            </w:r>
            <w:r w:rsidRPr="003B0407">
              <w:rPr>
                <w:rFonts w:ascii="Garamond" w:hAnsi="Garamond"/>
                <w:lang w:val="en-AU"/>
              </w:rPr>
              <w:t xml:space="preserve"> the AHRQ Hospital Survey on Patient Safety Culture</w:t>
            </w:r>
            <w:r>
              <w:rPr>
                <w:rFonts w:ascii="Garamond" w:hAnsi="Garamond"/>
                <w:lang w:val="en-AU"/>
              </w:rPr>
              <w:t xml:space="preserve">, saw </w:t>
            </w:r>
            <w:r w:rsidRPr="003B0407">
              <w:rPr>
                <w:rFonts w:ascii="Garamond" w:hAnsi="Garamond"/>
                <w:b/>
                <w:lang w:val="en-AU"/>
              </w:rPr>
              <w:t xml:space="preserve">improvements </w:t>
            </w:r>
            <w:r w:rsidRPr="003B0407">
              <w:rPr>
                <w:rFonts w:ascii="Garamond" w:hAnsi="Garamond"/>
                <w:lang w:val="en-AU"/>
              </w:rPr>
              <w:t>in 10 of 12 domains.</w:t>
            </w:r>
          </w:p>
        </w:tc>
      </w:tr>
    </w:tbl>
    <w:p w:rsidR="009E51E4" w:rsidRDefault="009E51E4" w:rsidP="009E51E4">
      <w:pPr>
        <w:keepLines/>
        <w:autoSpaceDE w:val="0"/>
        <w:autoSpaceDN w:val="0"/>
        <w:adjustRightInd w:val="0"/>
        <w:rPr>
          <w:rFonts w:ascii="Garamond" w:hAnsi="Garamond"/>
          <w:lang w:val="en-AU"/>
        </w:rPr>
      </w:pPr>
    </w:p>
    <w:p w:rsidR="009E51E4" w:rsidRPr="000E5F6D" w:rsidRDefault="009E51E4" w:rsidP="009E51E4">
      <w:pPr>
        <w:keepNext/>
        <w:keepLines/>
        <w:autoSpaceDE w:val="0"/>
        <w:autoSpaceDN w:val="0"/>
        <w:adjustRightInd w:val="0"/>
        <w:rPr>
          <w:rFonts w:ascii="Garamond" w:hAnsi="Garamond"/>
          <w:i/>
          <w:lang w:val="en-AU"/>
        </w:rPr>
      </w:pPr>
      <w:r w:rsidRPr="000E5F6D">
        <w:rPr>
          <w:rFonts w:ascii="Garamond" w:hAnsi="Garamond"/>
          <w:i/>
          <w:lang w:val="en-AU"/>
        </w:rPr>
        <w:t>Association of hospital participation in a regional trauma quality improvement collaborative with patient outcomes</w:t>
      </w:r>
    </w:p>
    <w:p w:rsidR="009E51E4" w:rsidRDefault="009E51E4" w:rsidP="009E51E4">
      <w:pPr>
        <w:keepNext/>
        <w:keepLines/>
        <w:autoSpaceDE w:val="0"/>
        <w:autoSpaceDN w:val="0"/>
        <w:adjustRightInd w:val="0"/>
        <w:rPr>
          <w:rFonts w:ascii="Garamond" w:hAnsi="Garamond"/>
          <w:lang w:val="en-AU"/>
        </w:rPr>
      </w:pPr>
      <w:r w:rsidRPr="00A24770">
        <w:rPr>
          <w:rFonts w:ascii="Garamond" w:hAnsi="Garamond"/>
          <w:lang w:val="en-AU"/>
        </w:rPr>
        <w:t>Hemmila MR, Cain-Nielsen AH, Jakubus JL, Mikhail JN, Dimick JB</w:t>
      </w:r>
    </w:p>
    <w:p w:rsidR="009E51E4" w:rsidRPr="00E566B0" w:rsidRDefault="009E51E4" w:rsidP="009E51E4">
      <w:pPr>
        <w:keepNext/>
        <w:keepLines/>
        <w:autoSpaceDE w:val="0"/>
        <w:autoSpaceDN w:val="0"/>
        <w:adjustRightInd w:val="0"/>
        <w:rPr>
          <w:rFonts w:ascii="Garamond" w:hAnsi="Garamond"/>
          <w:lang w:val="en-AU"/>
        </w:rPr>
      </w:pPr>
      <w:r w:rsidRPr="00A24770">
        <w:rPr>
          <w:rFonts w:ascii="Garamond" w:hAnsi="Garamond"/>
          <w:lang w:val="en-AU"/>
        </w:rPr>
        <w:t>JAMA Surgery. 2018</w:t>
      </w:r>
      <w:r>
        <w:rPr>
          <w:rFonts w:ascii="Garamond" w:hAnsi="Garamond"/>
          <w:lang w:val="en-AU"/>
        </w:rPr>
        <w:t xml:space="preserve"> [epub]</w:t>
      </w:r>
      <w:r w:rsidRPr="00A24770">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E51E4" w:rsidRPr="000170DA" w:rsidTr="00541823">
        <w:tc>
          <w:tcPr>
            <w:tcW w:w="1080" w:type="dxa"/>
            <w:tcBorders>
              <w:top w:val="single" w:sz="4" w:space="0" w:color="auto"/>
              <w:left w:val="single" w:sz="4" w:space="0" w:color="auto"/>
              <w:bottom w:val="single" w:sz="4" w:space="0" w:color="auto"/>
              <w:right w:val="single" w:sz="4" w:space="0" w:color="auto"/>
            </w:tcBorders>
            <w:vAlign w:val="center"/>
          </w:tcPr>
          <w:p w:rsidR="009E51E4" w:rsidRPr="000170DA" w:rsidRDefault="009E51E4" w:rsidP="0054182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E51E4" w:rsidRPr="000170DA" w:rsidRDefault="00302121" w:rsidP="00541823">
            <w:pPr>
              <w:rPr>
                <w:rStyle w:val="Hyperlink"/>
                <w:rFonts w:ascii="Garamond" w:hAnsi="Garamond"/>
                <w:color w:val="auto"/>
                <w:u w:val="none"/>
                <w:lang w:val="en-AU"/>
              </w:rPr>
            </w:pPr>
            <w:hyperlink r:id="rId30" w:history="1">
              <w:r w:rsidR="009E51E4" w:rsidRPr="00FE01A1">
                <w:rPr>
                  <w:rStyle w:val="Hyperlink"/>
                  <w:rFonts w:ascii="Garamond" w:hAnsi="Garamond"/>
                  <w:lang w:val="en-AU"/>
                </w:rPr>
                <w:t>https://doi.org/10.1001/jamasurg.2018.0985</w:t>
              </w:r>
            </w:hyperlink>
          </w:p>
        </w:tc>
      </w:tr>
      <w:tr w:rsidR="009E51E4" w:rsidRPr="000170DA" w:rsidTr="00541823">
        <w:tc>
          <w:tcPr>
            <w:tcW w:w="1080" w:type="dxa"/>
            <w:tcBorders>
              <w:top w:val="single" w:sz="4" w:space="0" w:color="auto"/>
              <w:left w:val="single" w:sz="4" w:space="0" w:color="auto"/>
              <w:bottom w:val="single" w:sz="4" w:space="0" w:color="auto"/>
              <w:right w:val="single" w:sz="4" w:space="0" w:color="auto"/>
            </w:tcBorders>
            <w:vAlign w:val="center"/>
          </w:tcPr>
          <w:p w:rsidR="009E51E4" w:rsidRPr="000170DA" w:rsidRDefault="009E51E4" w:rsidP="0054182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51E4" w:rsidRPr="000365E9" w:rsidRDefault="009E51E4" w:rsidP="001E54BF">
            <w:pPr>
              <w:rPr>
                <w:rFonts w:ascii="Garamond" w:hAnsi="Garamond"/>
                <w:lang w:val="en-AU"/>
              </w:rPr>
            </w:pPr>
            <w:r>
              <w:rPr>
                <w:rFonts w:ascii="Garamond" w:hAnsi="Garamond"/>
                <w:lang w:val="en-AU"/>
              </w:rPr>
              <w:t xml:space="preserve">US study confirming a pattern seen elsewhere that collaboratives can help drive care improvements. The paper sought to evaluate the association of participation in the </w:t>
            </w:r>
            <w:r w:rsidRPr="008C4F63">
              <w:rPr>
                <w:rFonts w:ascii="Garamond" w:hAnsi="Garamond"/>
                <w:lang w:val="en-AU"/>
              </w:rPr>
              <w:t xml:space="preserve">American College of Surgeons Trauma Quality Improvement Program (ACS TQIP) </w:t>
            </w:r>
            <w:r>
              <w:rPr>
                <w:rFonts w:ascii="Garamond" w:hAnsi="Garamond"/>
                <w:lang w:val="en-AU"/>
              </w:rPr>
              <w:t>[</w:t>
            </w:r>
            <w:r w:rsidRPr="008C4F63">
              <w:rPr>
                <w:rFonts w:ascii="Garamond" w:hAnsi="Garamond"/>
                <w:lang w:val="en-AU"/>
              </w:rPr>
              <w:t>provides feedback to hospitals on risk-adjusted outcomes</w:t>
            </w:r>
            <w:r>
              <w:rPr>
                <w:rFonts w:ascii="Garamond" w:hAnsi="Garamond"/>
                <w:lang w:val="en-AU"/>
              </w:rPr>
              <w:t>] or t</w:t>
            </w:r>
            <w:r w:rsidRPr="008C4F63">
              <w:rPr>
                <w:rFonts w:ascii="Garamond" w:hAnsi="Garamond"/>
                <w:lang w:val="en-AU"/>
              </w:rPr>
              <w:t>he Michigan Trauma Quality Improvement Program (MTQIP)</w:t>
            </w:r>
            <w:r>
              <w:rPr>
                <w:rFonts w:ascii="Garamond" w:hAnsi="Garamond"/>
                <w:lang w:val="en-AU"/>
              </w:rPr>
              <w:t xml:space="preserve"> [</w:t>
            </w:r>
            <w:r w:rsidRPr="008C4F63">
              <w:rPr>
                <w:rFonts w:ascii="Garamond" w:hAnsi="Garamond"/>
                <w:lang w:val="en-AU"/>
              </w:rPr>
              <w:t>benchmark reporting and collaborative quality improvement</w:t>
            </w:r>
            <w:r>
              <w:rPr>
                <w:rFonts w:ascii="Garamond" w:hAnsi="Garamond"/>
                <w:lang w:val="en-AU"/>
              </w:rPr>
              <w:t xml:space="preserve">] with outcomes, including when compared with control hospitals that did not participate in either. This cohort study used data from 2009 to 2015 covering </w:t>
            </w:r>
            <w:r w:rsidRPr="008C4F63">
              <w:rPr>
                <w:rFonts w:ascii="Garamond" w:hAnsi="Garamond"/>
                <w:lang w:val="en-AU"/>
              </w:rPr>
              <w:t>2</w:t>
            </w:r>
            <w:r w:rsidRPr="008C4F63">
              <w:rPr>
                <w:lang w:val="en-AU"/>
              </w:rPr>
              <w:t> </w:t>
            </w:r>
            <w:r w:rsidRPr="008C4F63">
              <w:rPr>
                <w:rFonts w:ascii="Garamond" w:hAnsi="Garamond"/>
                <w:lang w:val="en-AU"/>
              </w:rPr>
              <w:t>373</w:t>
            </w:r>
            <w:r w:rsidRPr="008C4F63">
              <w:rPr>
                <w:lang w:val="en-AU"/>
              </w:rPr>
              <w:t> </w:t>
            </w:r>
            <w:r w:rsidRPr="008C4F63">
              <w:rPr>
                <w:rFonts w:ascii="Garamond" w:hAnsi="Garamond"/>
                <w:lang w:val="en-AU"/>
              </w:rPr>
              <w:t>130 trauma patients 16 years 98 ACS TQIP hospitals, 23 MTQIP hospitals, and</w:t>
            </w:r>
            <w:r>
              <w:rPr>
                <w:rFonts w:ascii="Garamond" w:hAnsi="Garamond"/>
                <w:lang w:val="en-AU"/>
              </w:rPr>
              <w:t xml:space="preserve"> 429 nonparticipating hospitals and assessed i</w:t>
            </w:r>
            <w:r w:rsidRPr="008C4F63">
              <w:rPr>
                <w:rFonts w:ascii="Garamond" w:hAnsi="Garamond"/>
                <w:lang w:val="en-AU"/>
              </w:rPr>
              <w:t>n-hospital mortality, mortality or hospice, major complications, and venous thromboembolism events</w:t>
            </w:r>
            <w:r>
              <w:rPr>
                <w:rFonts w:ascii="Garamond" w:hAnsi="Garamond"/>
                <w:lang w:val="en-AU"/>
              </w:rPr>
              <w:t xml:space="preserve">. From the analyses, the </w:t>
            </w:r>
            <w:r w:rsidRPr="008C4F63">
              <w:rPr>
                <w:rFonts w:ascii="Garamond" w:hAnsi="Garamond"/>
                <w:lang w:val="en-AU"/>
              </w:rPr>
              <w:t>MTQIP</w:t>
            </w:r>
            <w:r>
              <w:rPr>
                <w:rFonts w:ascii="Garamond" w:hAnsi="Garamond"/>
                <w:lang w:val="en-AU"/>
              </w:rPr>
              <w:t xml:space="preserve">, with </w:t>
            </w:r>
            <w:r w:rsidRPr="008C4F63">
              <w:rPr>
                <w:rFonts w:ascii="Garamond" w:hAnsi="Garamond"/>
                <w:lang w:val="en-AU"/>
              </w:rPr>
              <w:t>benchmark reporting and co</w:t>
            </w:r>
            <w:r>
              <w:rPr>
                <w:rFonts w:ascii="Garamond" w:hAnsi="Garamond"/>
                <w:lang w:val="en-AU"/>
              </w:rPr>
              <w:t>llaborative quality improvement, was most clearly associated with “</w:t>
            </w:r>
            <w:r w:rsidRPr="003C2129">
              <w:rPr>
                <w:rFonts w:ascii="Garamond" w:hAnsi="Garamond"/>
                <w:lang w:val="en-AU"/>
              </w:rPr>
              <w:t>improved patient outcomes beyond benchmark reporting alone while promoting compliance with processes of care.</w:t>
            </w:r>
            <w:r>
              <w:rPr>
                <w:rFonts w:ascii="Garamond" w:hAnsi="Garamond"/>
                <w:lang w:val="en-AU"/>
              </w:rPr>
              <w:t>”</w:t>
            </w:r>
          </w:p>
        </w:tc>
      </w:tr>
    </w:tbl>
    <w:p w:rsidR="009E51E4" w:rsidRDefault="009E51E4" w:rsidP="009E51E4">
      <w:pPr>
        <w:keepLines/>
        <w:autoSpaceDE w:val="0"/>
        <w:autoSpaceDN w:val="0"/>
        <w:adjustRightInd w:val="0"/>
        <w:rPr>
          <w:rFonts w:ascii="Garamond" w:hAnsi="Garamond"/>
          <w:lang w:val="en-AU"/>
        </w:rPr>
      </w:pPr>
    </w:p>
    <w:p w:rsidR="009E51E4" w:rsidRPr="00162332" w:rsidRDefault="009E51E4" w:rsidP="009E51E4">
      <w:pPr>
        <w:keepNext/>
        <w:keepLines/>
        <w:autoSpaceDE w:val="0"/>
        <w:autoSpaceDN w:val="0"/>
        <w:adjustRightInd w:val="0"/>
        <w:rPr>
          <w:rFonts w:ascii="Garamond" w:hAnsi="Garamond"/>
          <w:i/>
          <w:lang w:val="en-AU"/>
        </w:rPr>
      </w:pPr>
      <w:r w:rsidRPr="00162332">
        <w:rPr>
          <w:rFonts w:ascii="Garamond" w:hAnsi="Garamond"/>
          <w:i/>
          <w:lang w:val="en-AU"/>
        </w:rPr>
        <w:lastRenderedPageBreak/>
        <w:t>The nexus of nursing leadership and a culture of safer patient care</w:t>
      </w:r>
    </w:p>
    <w:p w:rsidR="009E51E4" w:rsidRDefault="009E51E4" w:rsidP="009E51E4">
      <w:pPr>
        <w:keepNext/>
        <w:keepLines/>
        <w:autoSpaceDE w:val="0"/>
        <w:autoSpaceDN w:val="0"/>
        <w:adjustRightInd w:val="0"/>
        <w:rPr>
          <w:rFonts w:ascii="Garamond" w:hAnsi="Garamond"/>
          <w:lang w:val="en-AU"/>
        </w:rPr>
      </w:pPr>
      <w:r w:rsidRPr="00162332">
        <w:rPr>
          <w:rFonts w:ascii="Garamond" w:hAnsi="Garamond"/>
          <w:lang w:val="en-AU"/>
        </w:rPr>
        <w:t>Murray M, Sundin D, Cope V</w:t>
      </w:r>
    </w:p>
    <w:p w:rsidR="009E51E4" w:rsidRPr="00E566B0" w:rsidRDefault="009E51E4" w:rsidP="009E51E4">
      <w:pPr>
        <w:keepNext/>
        <w:keepLines/>
        <w:autoSpaceDE w:val="0"/>
        <w:autoSpaceDN w:val="0"/>
        <w:adjustRightInd w:val="0"/>
        <w:rPr>
          <w:rFonts w:ascii="Garamond" w:hAnsi="Garamond"/>
          <w:lang w:val="en-AU"/>
        </w:rPr>
      </w:pPr>
      <w:r w:rsidRPr="00162332">
        <w:rPr>
          <w:rFonts w:ascii="Garamond" w:hAnsi="Garamond"/>
          <w:lang w:val="en-AU"/>
        </w:rPr>
        <w:t>Journal of Clinical Nursing. 2017;27(5-6):1287-93.</w:t>
      </w:r>
    </w:p>
    <w:tbl>
      <w:tblPr>
        <w:tblStyle w:val="TableGrid"/>
        <w:tblW w:w="0" w:type="auto"/>
        <w:tblInd w:w="288" w:type="dxa"/>
        <w:tblLayout w:type="fixed"/>
        <w:tblLook w:val="01E0" w:firstRow="1" w:lastRow="1" w:firstColumn="1" w:lastColumn="1" w:noHBand="0" w:noVBand="0"/>
      </w:tblPr>
      <w:tblGrid>
        <w:gridCol w:w="1080"/>
        <w:gridCol w:w="8280"/>
      </w:tblGrid>
      <w:tr w:rsidR="009E51E4" w:rsidRPr="000170DA" w:rsidTr="00541823">
        <w:tc>
          <w:tcPr>
            <w:tcW w:w="1080" w:type="dxa"/>
            <w:tcBorders>
              <w:top w:val="single" w:sz="4" w:space="0" w:color="auto"/>
              <w:left w:val="single" w:sz="4" w:space="0" w:color="auto"/>
              <w:bottom w:val="single" w:sz="4" w:space="0" w:color="auto"/>
              <w:right w:val="single" w:sz="4" w:space="0" w:color="auto"/>
            </w:tcBorders>
            <w:vAlign w:val="center"/>
          </w:tcPr>
          <w:p w:rsidR="009E51E4" w:rsidRPr="000170DA" w:rsidRDefault="009E51E4" w:rsidP="0054182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E51E4" w:rsidRPr="000170DA" w:rsidRDefault="00302121" w:rsidP="00541823">
            <w:pPr>
              <w:rPr>
                <w:rStyle w:val="Hyperlink"/>
                <w:rFonts w:ascii="Garamond" w:hAnsi="Garamond"/>
                <w:color w:val="auto"/>
                <w:u w:val="none"/>
                <w:lang w:val="en-AU"/>
              </w:rPr>
            </w:pPr>
            <w:hyperlink r:id="rId31" w:history="1">
              <w:r w:rsidR="009E51E4" w:rsidRPr="00744EA2">
                <w:rPr>
                  <w:rStyle w:val="Hyperlink"/>
                  <w:rFonts w:ascii="Garamond" w:hAnsi="Garamond"/>
                  <w:lang w:val="en-AU"/>
                </w:rPr>
                <w:t>https://doi.org/10.1111/jocn.13980</w:t>
              </w:r>
            </w:hyperlink>
          </w:p>
        </w:tc>
      </w:tr>
      <w:tr w:rsidR="009E51E4" w:rsidRPr="000170DA" w:rsidTr="00541823">
        <w:tc>
          <w:tcPr>
            <w:tcW w:w="1080" w:type="dxa"/>
            <w:tcBorders>
              <w:top w:val="single" w:sz="4" w:space="0" w:color="auto"/>
              <w:left w:val="single" w:sz="4" w:space="0" w:color="auto"/>
              <w:bottom w:val="single" w:sz="4" w:space="0" w:color="auto"/>
              <w:right w:val="single" w:sz="4" w:space="0" w:color="auto"/>
            </w:tcBorders>
            <w:vAlign w:val="center"/>
          </w:tcPr>
          <w:p w:rsidR="009E51E4" w:rsidRPr="000170DA" w:rsidRDefault="009E51E4" w:rsidP="0054182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51E4" w:rsidRPr="000365E9" w:rsidRDefault="009E51E4" w:rsidP="00541823">
            <w:pPr>
              <w:rPr>
                <w:rFonts w:ascii="Garamond" w:hAnsi="Garamond"/>
                <w:lang w:val="en-AU"/>
              </w:rPr>
            </w:pPr>
            <w:r>
              <w:rPr>
                <w:rFonts w:ascii="Garamond" w:hAnsi="Garamond"/>
                <w:lang w:val="en-AU"/>
              </w:rPr>
              <w:t xml:space="preserve">The importance </w:t>
            </w:r>
            <w:r w:rsidR="00A12B1B">
              <w:rPr>
                <w:rFonts w:ascii="Garamond" w:hAnsi="Garamond"/>
                <w:lang w:val="en-AU"/>
              </w:rPr>
              <w:t>of</w:t>
            </w:r>
            <w:r>
              <w:rPr>
                <w:rFonts w:ascii="Garamond" w:hAnsi="Garamond"/>
                <w:lang w:val="en-AU"/>
              </w:rPr>
              <w:t xml:space="preserve"> culture is well understood. Murr</w:t>
            </w:r>
            <w:r w:rsidR="001E54BF">
              <w:rPr>
                <w:rFonts w:ascii="Garamond" w:hAnsi="Garamond"/>
                <w:lang w:val="en-AU"/>
              </w:rPr>
              <w:t>a</w:t>
            </w:r>
            <w:r>
              <w:rPr>
                <w:rFonts w:ascii="Garamond" w:hAnsi="Garamond"/>
                <w:lang w:val="en-AU"/>
              </w:rPr>
              <w:t xml:space="preserve">y and colleagues argue that “As </w:t>
            </w:r>
            <w:r w:rsidRPr="00162332">
              <w:rPr>
                <w:rFonts w:ascii="Garamond" w:hAnsi="Garamond"/>
                <w:lang w:val="en-AU"/>
              </w:rPr>
              <w:t>nurses have the highest patient interaction, and leadership is discernible at all levels of nursing, nurse leaders are the nexus to influencing organisational culture towards safer practices.</w:t>
            </w:r>
            <w:r>
              <w:rPr>
                <w:rFonts w:ascii="Garamond" w:hAnsi="Garamond"/>
                <w:lang w:val="en-AU"/>
              </w:rPr>
              <w:t xml:space="preserve">” They recognise that </w:t>
            </w:r>
            <w:r w:rsidRPr="00893840">
              <w:rPr>
                <w:rFonts w:ascii="Garamond" w:hAnsi="Garamond"/>
                <w:lang w:val="en-AU"/>
              </w:rPr>
              <w:t xml:space="preserve">organisational safety culture </w:t>
            </w:r>
            <w:r>
              <w:rPr>
                <w:rFonts w:ascii="Garamond" w:hAnsi="Garamond"/>
                <w:lang w:val="en-AU"/>
              </w:rPr>
              <w:t>requires the presence of “</w:t>
            </w:r>
            <w:r w:rsidRPr="00893840">
              <w:rPr>
                <w:rFonts w:ascii="Garamond" w:hAnsi="Garamond"/>
                <w:lang w:val="en-AU"/>
              </w:rPr>
              <w:t xml:space="preserve">supportive </w:t>
            </w:r>
            <w:r w:rsidRPr="00893840">
              <w:rPr>
                <w:rFonts w:ascii="Garamond" w:hAnsi="Garamond"/>
                <w:b/>
                <w:lang w:val="en-AU"/>
              </w:rPr>
              <w:t>leadership</w:t>
            </w:r>
            <w:r w:rsidRPr="00893840">
              <w:rPr>
                <w:rFonts w:ascii="Garamond" w:hAnsi="Garamond"/>
                <w:lang w:val="en-AU"/>
              </w:rPr>
              <w:t xml:space="preserve">, effective </w:t>
            </w:r>
            <w:r w:rsidRPr="00893840">
              <w:rPr>
                <w:rFonts w:ascii="Garamond" w:hAnsi="Garamond"/>
                <w:b/>
                <w:lang w:val="en-AU"/>
              </w:rPr>
              <w:t>communication</w:t>
            </w:r>
            <w:r w:rsidRPr="00893840">
              <w:rPr>
                <w:rFonts w:ascii="Garamond" w:hAnsi="Garamond"/>
                <w:lang w:val="en-AU"/>
              </w:rPr>
              <w:t xml:space="preserve">, an orientation programme and ongoing </w:t>
            </w:r>
            <w:r w:rsidRPr="00893840">
              <w:rPr>
                <w:rFonts w:ascii="Garamond" w:hAnsi="Garamond"/>
                <w:b/>
                <w:lang w:val="en-AU"/>
              </w:rPr>
              <w:t>training</w:t>
            </w:r>
            <w:r w:rsidRPr="00893840">
              <w:rPr>
                <w:rFonts w:ascii="Garamond" w:hAnsi="Garamond"/>
                <w:lang w:val="en-AU"/>
              </w:rPr>
              <w:t xml:space="preserve">, appropriate </w:t>
            </w:r>
            <w:r w:rsidRPr="00893840">
              <w:rPr>
                <w:rFonts w:ascii="Garamond" w:hAnsi="Garamond"/>
                <w:b/>
                <w:lang w:val="en-AU"/>
              </w:rPr>
              <w:t>staffing</w:t>
            </w:r>
            <w:r w:rsidRPr="00893840">
              <w:rPr>
                <w:rFonts w:ascii="Garamond" w:hAnsi="Garamond"/>
                <w:lang w:val="en-AU"/>
              </w:rPr>
              <w:t xml:space="preserve">, open </w:t>
            </w:r>
            <w:r w:rsidRPr="00893840">
              <w:rPr>
                <w:rFonts w:ascii="Garamond" w:hAnsi="Garamond"/>
                <w:b/>
                <w:lang w:val="en-AU"/>
              </w:rPr>
              <w:t>communication regarding errors</w:t>
            </w:r>
            <w:r w:rsidRPr="00893840">
              <w:rPr>
                <w:rFonts w:ascii="Garamond" w:hAnsi="Garamond"/>
                <w:lang w:val="en-AU"/>
              </w:rPr>
              <w:t xml:space="preserve">, </w:t>
            </w:r>
            <w:r w:rsidRPr="00893840">
              <w:rPr>
                <w:rFonts w:ascii="Garamond" w:hAnsi="Garamond"/>
                <w:b/>
                <w:lang w:val="en-AU"/>
              </w:rPr>
              <w:t>compliance</w:t>
            </w:r>
            <w:r w:rsidRPr="00893840">
              <w:rPr>
                <w:rFonts w:ascii="Garamond" w:hAnsi="Garamond"/>
                <w:lang w:val="en-AU"/>
              </w:rPr>
              <w:t xml:space="preserve"> to policy and procedure, and </w:t>
            </w:r>
            <w:r w:rsidRPr="00893840">
              <w:rPr>
                <w:rFonts w:ascii="Garamond" w:hAnsi="Garamond"/>
                <w:b/>
                <w:lang w:val="en-AU"/>
              </w:rPr>
              <w:t>environmental safety and security</w:t>
            </w:r>
            <w:r w:rsidRPr="00893840">
              <w:rPr>
                <w:rFonts w:ascii="Garamond" w:hAnsi="Garamond"/>
                <w:lang w:val="en-AU"/>
              </w:rPr>
              <w:t>.</w:t>
            </w:r>
            <w:r>
              <w:rPr>
                <w:rFonts w:ascii="Garamond" w:hAnsi="Garamond"/>
                <w:lang w:val="en-AU"/>
              </w:rPr>
              <w:t>”</w:t>
            </w:r>
          </w:p>
        </w:tc>
      </w:tr>
    </w:tbl>
    <w:p w:rsidR="009E51E4" w:rsidRDefault="009E51E4" w:rsidP="009E51E4">
      <w:pPr>
        <w:keepLines/>
        <w:autoSpaceDE w:val="0"/>
        <w:autoSpaceDN w:val="0"/>
        <w:adjustRightInd w:val="0"/>
        <w:rPr>
          <w:rFonts w:ascii="Garamond" w:hAnsi="Garamond"/>
          <w:lang w:val="en-AU"/>
        </w:rPr>
      </w:pPr>
    </w:p>
    <w:p w:rsidR="002A44F5" w:rsidRPr="002A44F5" w:rsidRDefault="002A44F5" w:rsidP="002A44F5">
      <w:pPr>
        <w:keepNext/>
        <w:keepLines/>
        <w:autoSpaceDE w:val="0"/>
        <w:autoSpaceDN w:val="0"/>
        <w:adjustRightInd w:val="0"/>
        <w:rPr>
          <w:rFonts w:ascii="Garamond" w:hAnsi="Garamond"/>
          <w:i/>
          <w:lang w:val="en-AU"/>
        </w:rPr>
      </w:pPr>
      <w:r w:rsidRPr="002A44F5">
        <w:rPr>
          <w:rFonts w:ascii="Garamond" w:hAnsi="Garamond"/>
          <w:i/>
          <w:lang w:val="en-AU"/>
        </w:rPr>
        <w:t>A Systematic Review of Primary Care Safety Climate Survey Instruments: Their Origins, Psychometric Properties, Quality, and Usage</w:t>
      </w:r>
    </w:p>
    <w:p w:rsidR="002A44F5" w:rsidRDefault="002A44F5" w:rsidP="00C50D62">
      <w:pPr>
        <w:keepNext/>
        <w:keepLines/>
        <w:autoSpaceDE w:val="0"/>
        <w:autoSpaceDN w:val="0"/>
        <w:adjustRightInd w:val="0"/>
        <w:rPr>
          <w:rFonts w:ascii="Garamond" w:hAnsi="Garamond"/>
          <w:lang w:val="en-AU"/>
        </w:rPr>
      </w:pPr>
      <w:r w:rsidRPr="002A44F5">
        <w:rPr>
          <w:rFonts w:ascii="Garamond" w:hAnsi="Garamond"/>
          <w:lang w:val="en-AU"/>
        </w:rPr>
        <w:t>Curran C, Lydon S, Kelly M, Murphy A, Walsh C, O'Connor P</w:t>
      </w:r>
    </w:p>
    <w:p w:rsidR="00C50D62" w:rsidRPr="00E566B0" w:rsidRDefault="002A44F5" w:rsidP="00C50D62">
      <w:pPr>
        <w:keepNext/>
        <w:keepLines/>
        <w:autoSpaceDE w:val="0"/>
        <w:autoSpaceDN w:val="0"/>
        <w:adjustRightInd w:val="0"/>
        <w:rPr>
          <w:rFonts w:ascii="Garamond" w:hAnsi="Garamond"/>
          <w:lang w:val="en-AU"/>
        </w:rPr>
      </w:pPr>
      <w:r w:rsidRPr="002A44F5">
        <w:rPr>
          <w:rFonts w:ascii="Garamond" w:hAnsi="Garamond"/>
          <w:lang w:val="en-AU"/>
        </w:rPr>
        <w:t>Journal of Patient Safety. 2018;14(2):e9-e18.</w:t>
      </w:r>
    </w:p>
    <w:tbl>
      <w:tblPr>
        <w:tblStyle w:val="TableGrid"/>
        <w:tblW w:w="0" w:type="auto"/>
        <w:tblInd w:w="288" w:type="dxa"/>
        <w:tblLayout w:type="fixed"/>
        <w:tblLook w:val="01E0" w:firstRow="1" w:lastRow="1" w:firstColumn="1" w:lastColumn="1" w:noHBand="0" w:noVBand="0"/>
      </w:tblPr>
      <w:tblGrid>
        <w:gridCol w:w="1080"/>
        <w:gridCol w:w="8280"/>
      </w:tblGrid>
      <w:tr w:rsidR="00C50D62" w:rsidRPr="000170DA" w:rsidTr="002E0047">
        <w:tc>
          <w:tcPr>
            <w:tcW w:w="1080" w:type="dxa"/>
            <w:tcBorders>
              <w:top w:val="single" w:sz="4" w:space="0" w:color="auto"/>
              <w:left w:val="single" w:sz="4" w:space="0" w:color="auto"/>
              <w:bottom w:val="single" w:sz="4" w:space="0" w:color="auto"/>
              <w:right w:val="single" w:sz="4" w:space="0" w:color="auto"/>
            </w:tcBorders>
            <w:vAlign w:val="center"/>
          </w:tcPr>
          <w:p w:rsidR="00C50D62" w:rsidRPr="000170DA" w:rsidRDefault="00C50D62" w:rsidP="002E004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50D62" w:rsidRPr="000170DA" w:rsidRDefault="00302121" w:rsidP="00893840">
            <w:pPr>
              <w:rPr>
                <w:rStyle w:val="Hyperlink"/>
                <w:rFonts w:ascii="Garamond" w:hAnsi="Garamond"/>
                <w:color w:val="auto"/>
                <w:u w:val="none"/>
                <w:lang w:val="en-AU"/>
              </w:rPr>
            </w:pPr>
            <w:hyperlink r:id="rId32" w:history="1">
              <w:r w:rsidR="00893840" w:rsidRPr="00744EA2">
                <w:rPr>
                  <w:rStyle w:val="Hyperlink"/>
                  <w:rFonts w:ascii="Garamond" w:hAnsi="Garamond"/>
                  <w:lang w:val="en-AU"/>
                </w:rPr>
                <w:t>https://doi.org/10.1097/PTS.0000000000000393</w:t>
              </w:r>
            </w:hyperlink>
          </w:p>
        </w:tc>
      </w:tr>
      <w:tr w:rsidR="00C50D62" w:rsidRPr="000170DA" w:rsidTr="002E0047">
        <w:tc>
          <w:tcPr>
            <w:tcW w:w="1080" w:type="dxa"/>
            <w:tcBorders>
              <w:top w:val="single" w:sz="4" w:space="0" w:color="auto"/>
              <w:left w:val="single" w:sz="4" w:space="0" w:color="auto"/>
              <w:bottom w:val="single" w:sz="4" w:space="0" w:color="auto"/>
              <w:right w:val="single" w:sz="4" w:space="0" w:color="auto"/>
            </w:tcBorders>
            <w:vAlign w:val="center"/>
          </w:tcPr>
          <w:p w:rsidR="00C50D62" w:rsidRPr="000170DA" w:rsidRDefault="00C50D62" w:rsidP="002E004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0D62" w:rsidRPr="000365E9" w:rsidRDefault="00893840" w:rsidP="00893840">
            <w:pPr>
              <w:rPr>
                <w:rFonts w:ascii="Garamond" w:hAnsi="Garamond"/>
                <w:lang w:val="en-AU"/>
              </w:rPr>
            </w:pPr>
            <w:r>
              <w:rPr>
                <w:rFonts w:ascii="Garamond" w:hAnsi="Garamond"/>
                <w:lang w:val="en-AU"/>
              </w:rPr>
              <w:t xml:space="preserve">Safety and quality in the acute setting has emerged as a substantial field. Safety and quality in some other settings are less well considered. This study sought to review the tools used to measure the safety climate in primary care, focussing on the </w:t>
            </w:r>
            <w:r w:rsidRPr="00893840">
              <w:rPr>
                <w:rFonts w:ascii="Garamond" w:hAnsi="Garamond"/>
                <w:lang w:val="en-AU"/>
              </w:rPr>
              <w:t xml:space="preserve">origins, psychometric properties, quality, and </w:t>
            </w:r>
            <w:r>
              <w:rPr>
                <w:rFonts w:ascii="Garamond" w:hAnsi="Garamond"/>
                <w:lang w:val="en-AU"/>
              </w:rPr>
              <w:t xml:space="preserve">safety culture </w:t>
            </w:r>
            <w:r w:rsidRPr="00893840">
              <w:rPr>
                <w:rFonts w:ascii="Garamond" w:hAnsi="Garamond"/>
                <w:lang w:val="en-AU"/>
              </w:rPr>
              <w:t xml:space="preserve">domains measured by </w:t>
            </w:r>
            <w:r>
              <w:rPr>
                <w:rFonts w:ascii="Garamond" w:hAnsi="Garamond"/>
                <w:lang w:val="en-AU"/>
              </w:rPr>
              <w:t>these tools. The reviewers found 17 English language studies, but the “</w:t>
            </w:r>
            <w:r w:rsidRPr="00893840">
              <w:rPr>
                <w:rFonts w:ascii="Garamond" w:hAnsi="Garamond"/>
                <w:lang w:val="en-AU"/>
              </w:rPr>
              <w:t>quantity and quality of psychome</w:t>
            </w:r>
            <w:r>
              <w:rPr>
                <w:rFonts w:ascii="Garamond" w:hAnsi="Garamond"/>
                <w:lang w:val="en-AU"/>
              </w:rPr>
              <w:t>tric testing varied considerably”</w:t>
            </w:r>
            <w:r w:rsidRPr="00893840">
              <w:rPr>
                <w:rFonts w:ascii="Garamond" w:hAnsi="Garamond"/>
                <w:lang w:val="en-AU"/>
              </w:rPr>
              <w:t xml:space="preserve">. </w:t>
            </w:r>
            <w:r>
              <w:rPr>
                <w:rFonts w:ascii="Garamond" w:hAnsi="Garamond"/>
                <w:lang w:val="en-AU"/>
              </w:rPr>
              <w:t>They also found that m</w:t>
            </w:r>
            <w:r w:rsidRPr="00893840">
              <w:rPr>
                <w:rFonts w:ascii="Garamond" w:hAnsi="Garamond"/>
                <w:lang w:val="en-AU"/>
              </w:rPr>
              <w:t xml:space="preserve">anagement commitment to safety was the most frequently measured </w:t>
            </w:r>
            <w:r>
              <w:rPr>
                <w:rFonts w:ascii="Garamond" w:hAnsi="Garamond"/>
                <w:lang w:val="en-AU"/>
              </w:rPr>
              <w:t xml:space="preserve">safety culture </w:t>
            </w:r>
            <w:r w:rsidRPr="00893840">
              <w:rPr>
                <w:rFonts w:ascii="Garamond" w:hAnsi="Garamond"/>
                <w:lang w:val="en-AU"/>
              </w:rPr>
              <w:t>theme (87.5%)</w:t>
            </w:r>
            <w:r>
              <w:rPr>
                <w:rFonts w:ascii="Garamond" w:hAnsi="Garamond"/>
                <w:lang w:val="en-AU"/>
              </w:rPr>
              <w:t>, while w</w:t>
            </w:r>
            <w:r w:rsidRPr="00893840">
              <w:rPr>
                <w:rFonts w:ascii="Garamond" w:hAnsi="Garamond"/>
                <w:lang w:val="en-AU"/>
              </w:rPr>
              <w:t>orkload was infrequently measured (25%).</w:t>
            </w:r>
          </w:p>
        </w:tc>
      </w:tr>
    </w:tbl>
    <w:p w:rsidR="00C50D62" w:rsidRDefault="00C50D62" w:rsidP="00C50D62">
      <w:pPr>
        <w:keepLines/>
        <w:autoSpaceDE w:val="0"/>
        <w:autoSpaceDN w:val="0"/>
        <w:adjustRightInd w:val="0"/>
        <w:rPr>
          <w:rFonts w:ascii="Garamond" w:hAnsi="Garamond"/>
          <w:lang w:val="en-AU"/>
        </w:rPr>
      </w:pPr>
    </w:p>
    <w:p w:rsidR="00893840" w:rsidRDefault="00893840" w:rsidP="00C50D62">
      <w:pPr>
        <w:keepLines/>
        <w:autoSpaceDE w:val="0"/>
        <w:autoSpaceDN w:val="0"/>
        <w:adjustRightInd w:val="0"/>
        <w:rPr>
          <w:rFonts w:ascii="Garamond" w:hAnsi="Garamond"/>
          <w:lang w:val="en-AU"/>
        </w:rPr>
      </w:pPr>
      <w:r>
        <w:rPr>
          <w:rFonts w:ascii="Garamond" w:hAnsi="Garamond"/>
          <w:lang w:val="en-AU"/>
        </w:rPr>
        <w:t xml:space="preserve">For information on the Commission’s work on primary care, see </w:t>
      </w:r>
      <w:hyperlink r:id="rId33" w:history="1">
        <w:r w:rsidRPr="00744EA2">
          <w:rPr>
            <w:rStyle w:val="Hyperlink"/>
            <w:rFonts w:ascii="Garamond" w:hAnsi="Garamond"/>
            <w:lang w:val="en-AU"/>
          </w:rPr>
          <w:t>https://www.safetyandquality.gov.au/our-work/primary-health-care/</w:t>
        </w:r>
      </w:hyperlink>
    </w:p>
    <w:p w:rsidR="00893840" w:rsidRDefault="00893840" w:rsidP="00C50D62">
      <w:pPr>
        <w:keepLines/>
        <w:autoSpaceDE w:val="0"/>
        <w:autoSpaceDN w:val="0"/>
        <w:adjustRightInd w:val="0"/>
        <w:rPr>
          <w:rFonts w:ascii="Garamond" w:hAnsi="Garamond"/>
          <w:lang w:val="en-AU"/>
        </w:rPr>
      </w:pPr>
    </w:p>
    <w:p w:rsidR="00C50D62" w:rsidRPr="000E5F6D" w:rsidRDefault="000E5F6D" w:rsidP="00C50D62">
      <w:pPr>
        <w:keepNext/>
        <w:keepLines/>
        <w:autoSpaceDE w:val="0"/>
        <w:autoSpaceDN w:val="0"/>
        <w:adjustRightInd w:val="0"/>
        <w:rPr>
          <w:rFonts w:ascii="Garamond" w:hAnsi="Garamond"/>
          <w:i/>
          <w:lang w:val="en-AU"/>
        </w:rPr>
      </w:pPr>
      <w:r w:rsidRPr="000E5F6D">
        <w:rPr>
          <w:rFonts w:ascii="Garamond" w:hAnsi="Garamond"/>
          <w:i/>
          <w:lang w:val="en-AU"/>
        </w:rPr>
        <w:t>The complexity, diversity, and science of primary care teams</w:t>
      </w:r>
    </w:p>
    <w:p w:rsidR="008C4F63" w:rsidRDefault="008C4F63" w:rsidP="00C50D62">
      <w:pPr>
        <w:keepNext/>
        <w:keepLines/>
        <w:autoSpaceDE w:val="0"/>
        <w:autoSpaceDN w:val="0"/>
        <w:adjustRightInd w:val="0"/>
        <w:rPr>
          <w:rFonts w:ascii="Garamond" w:hAnsi="Garamond"/>
          <w:lang w:val="en-AU"/>
        </w:rPr>
      </w:pPr>
      <w:r w:rsidRPr="008C4F63">
        <w:rPr>
          <w:rFonts w:ascii="Garamond" w:hAnsi="Garamond"/>
          <w:lang w:val="en-AU"/>
        </w:rPr>
        <w:t>Fiscella K, McDaniel SH</w:t>
      </w:r>
    </w:p>
    <w:p w:rsidR="000E5F6D" w:rsidRPr="00E566B0" w:rsidRDefault="008C4F63" w:rsidP="00C50D62">
      <w:pPr>
        <w:keepNext/>
        <w:keepLines/>
        <w:autoSpaceDE w:val="0"/>
        <w:autoSpaceDN w:val="0"/>
        <w:adjustRightInd w:val="0"/>
        <w:rPr>
          <w:rFonts w:ascii="Garamond" w:hAnsi="Garamond"/>
          <w:lang w:val="en-AU"/>
        </w:rPr>
      </w:pPr>
      <w:r w:rsidRPr="008C4F63">
        <w:rPr>
          <w:rFonts w:ascii="Garamond" w:hAnsi="Garamond"/>
          <w:lang w:val="en-AU"/>
        </w:rPr>
        <w:t>The American psychologist. 2018 May-Jun;73(4):451-67.</w:t>
      </w:r>
    </w:p>
    <w:tbl>
      <w:tblPr>
        <w:tblStyle w:val="TableGrid"/>
        <w:tblW w:w="0" w:type="auto"/>
        <w:tblInd w:w="288" w:type="dxa"/>
        <w:tblLayout w:type="fixed"/>
        <w:tblLook w:val="01E0" w:firstRow="1" w:lastRow="1" w:firstColumn="1" w:lastColumn="1" w:noHBand="0" w:noVBand="0"/>
      </w:tblPr>
      <w:tblGrid>
        <w:gridCol w:w="1080"/>
        <w:gridCol w:w="8280"/>
      </w:tblGrid>
      <w:tr w:rsidR="00C50D62" w:rsidRPr="000170DA" w:rsidTr="002E0047">
        <w:tc>
          <w:tcPr>
            <w:tcW w:w="1080" w:type="dxa"/>
            <w:tcBorders>
              <w:top w:val="single" w:sz="4" w:space="0" w:color="auto"/>
              <w:left w:val="single" w:sz="4" w:space="0" w:color="auto"/>
              <w:bottom w:val="single" w:sz="4" w:space="0" w:color="auto"/>
              <w:right w:val="single" w:sz="4" w:space="0" w:color="auto"/>
            </w:tcBorders>
            <w:vAlign w:val="center"/>
          </w:tcPr>
          <w:p w:rsidR="00C50D62" w:rsidRPr="000170DA" w:rsidRDefault="00C50D62" w:rsidP="002E004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50D62" w:rsidRPr="000170DA" w:rsidRDefault="00302121" w:rsidP="002E0047">
            <w:pPr>
              <w:rPr>
                <w:rStyle w:val="Hyperlink"/>
                <w:rFonts w:ascii="Garamond" w:hAnsi="Garamond"/>
                <w:color w:val="auto"/>
                <w:u w:val="none"/>
                <w:lang w:val="en-AU"/>
              </w:rPr>
            </w:pPr>
            <w:hyperlink r:id="rId34" w:history="1">
              <w:r w:rsidR="000E5F6D" w:rsidRPr="00744EA2">
                <w:rPr>
                  <w:rStyle w:val="Hyperlink"/>
                  <w:rFonts w:ascii="Garamond" w:hAnsi="Garamond"/>
                  <w:lang w:val="en-AU"/>
                </w:rPr>
                <w:t>http://doi.org/10.1037/amp0000244</w:t>
              </w:r>
            </w:hyperlink>
          </w:p>
        </w:tc>
      </w:tr>
      <w:tr w:rsidR="00C50D62" w:rsidRPr="000170DA" w:rsidTr="002E0047">
        <w:tc>
          <w:tcPr>
            <w:tcW w:w="1080" w:type="dxa"/>
            <w:tcBorders>
              <w:top w:val="single" w:sz="4" w:space="0" w:color="auto"/>
              <w:left w:val="single" w:sz="4" w:space="0" w:color="auto"/>
              <w:bottom w:val="single" w:sz="4" w:space="0" w:color="auto"/>
              <w:right w:val="single" w:sz="4" w:space="0" w:color="auto"/>
            </w:tcBorders>
            <w:vAlign w:val="center"/>
          </w:tcPr>
          <w:p w:rsidR="00C50D62" w:rsidRPr="000170DA" w:rsidRDefault="00C50D62" w:rsidP="002E004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0D62" w:rsidRPr="000365E9" w:rsidRDefault="003B0407" w:rsidP="001E54BF">
            <w:pPr>
              <w:rPr>
                <w:rFonts w:ascii="Garamond" w:hAnsi="Garamond"/>
                <w:lang w:val="en-AU"/>
              </w:rPr>
            </w:pPr>
            <w:r>
              <w:rPr>
                <w:rFonts w:ascii="Garamond" w:hAnsi="Garamond"/>
                <w:lang w:val="en-AU"/>
              </w:rPr>
              <w:t xml:space="preserve">As has been </w:t>
            </w:r>
            <w:r w:rsidR="001E54BF">
              <w:rPr>
                <w:rFonts w:ascii="Garamond" w:hAnsi="Garamond"/>
                <w:lang w:val="en-AU"/>
              </w:rPr>
              <w:t xml:space="preserve">often </w:t>
            </w:r>
            <w:r>
              <w:rPr>
                <w:rFonts w:ascii="Garamond" w:hAnsi="Garamond"/>
                <w:lang w:val="en-AU"/>
              </w:rPr>
              <w:t>observed, health is a team sport. This review paper looks at the literature on teams in primary care.</w:t>
            </w:r>
            <w:r w:rsidR="008C4F63">
              <w:rPr>
                <w:rFonts w:ascii="Garamond" w:hAnsi="Garamond"/>
                <w:lang w:val="en-AU"/>
              </w:rPr>
              <w:t xml:space="preserve"> It looks at innovative primary care team approaches, the importance of care coordination, the roles of various team members, as well as k</w:t>
            </w:r>
            <w:r w:rsidR="008C4F63" w:rsidRPr="008C4F63">
              <w:rPr>
                <w:rFonts w:ascii="Garamond" w:hAnsi="Garamond"/>
                <w:lang w:val="en-AU"/>
              </w:rPr>
              <w:t>ey factors that support or hinder primary care teamwork, as well as evidence of the impact of these team-based models on patient outcomes, costs, and team members</w:t>
            </w:r>
            <w:r w:rsidR="008C4F63">
              <w:rPr>
                <w:rFonts w:ascii="Garamond" w:hAnsi="Garamond"/>
                <w:lang w:val="en-AU"/>
              </w:rPr>
              <w:t>.</w:t>
            </w:r>
          </w:p>
        </w:tc>
      </w:tr>
    </w:tbl>
    <w:p w:rsidR="00C50D62" w:rsidRDefault="00C50D62" w:rsidP="00C50D62">
      <w:pPr>
        <w:keepLines/>
        <w:autoSpaceDE w:val="0"/>
        <w:autoSpaceDN w:val="0"/>
        <w:adjustRightInd w:val="0"/>
        <w:rPr>
          <w:rFonts w:ascii="Garamond" w:hAnsi="Garamond"/>
          <w:lang w:val="en-AU"/>
        </w:rPr>
      </w:pPr>
    </w:p>
    <w:p w:rsidR="009E51E4" w:rsidRDefault="009E51E4" w:rsidP="00C50D62">
      <w:pPr>
        <w:keepLines/>
        <w:autoSpaceDE w:val="0"/>
        <w:autoSpaceDN w:val="0"/>
        <w:adjustRightInd w:val="0"/>
        <w:rPr>
          <w:rFonts w:ascii="Garamond" w:hAnsi="Garamond"/>
          <w:lang w:val="en-AU"/>
        </w:rPr>
      </w:pPr>
    </w:p>
    <w:p w:rsidR="003F26A0" w:rsidRPr="003F26A0" w:rsidRDefault="003851E7" w:rsidP="003F26A0">
      <w:pPr>
        <w:keepLines/>
        <w:autoSpaceDE w:val="0"/>
        <w:autoSpaceDN w:val="0"/>
        <w:adjustRightInd w:val="0"/>
        <w:rPr>
          <w:rFonts w:ascii="Garamond" w:hAnsi="Garamond"/>
          <w:i/>
          <w:lang w:val="en-AU"/>
        </w:rPr>
      </w:pPr>
      <w:r w:rsidRPr="003851E7">
        <w:rPr>
          <w:rFonts w:ascii="Garamond" w:hAnsi="Garamond"/>
          <w:i/>
          <w:lang w:val="en-AU"/>
        </w:rPr>
        <w:t>Healthcare Quarterly</w:t>
      </w:r>
    </w:p>
    <w:p w:rsidR="003851E7" w:rsidRPr="003851E7" w:rsidRDefault="003851E7" w:rsidP="003851E7">
      <w:pPr>
        <w:keepNext/>
        <w:keepLines/>
        <w:autoSpaceDE w:val="0"/>
        <w:autoSpaceDN w:val="0"/>
        <w:adjustRightInd w:val="0"/>
        <w:rPr>
          <w:rFonts w:ascii="Garamond" w:hAnsi="Garamond"/>
          <w:lang w:val="en-AU"/>
        </w:rPr>
      </w:pPr>
      <w:r>
        <w:rPr>
          <w:rFonts w:ascii="Garamond" w:hAnsi="Garamond"/>
          <w:lang w:val="en-AU"/>
        </w:rPr>
        <w:t>V</w:t>
      </w:r>
      <w:r w:rsidRPr="003851E7">
        <w:rPr>
          <w:rFonts w:ascii="Garamond" w:hAnsi="Garamond"/>
          <w:lang w:val="en-AU"/>
        </w:rPr>
        <w:t xml:space="preserve">olume 21, Number 1, 2018 </w:t>
      </w:r>
    </w:p>
    <w:tbl>
      <w:tblPr>
        <w:tblStyle w:val="TableGrid"/>
        <w:tblW w:w="0" w:type="auto"/>
        <w:tblInd w:w="288" w:type="dxa"/>
        <w:tblLayout w:type="fixed"/>
        <w:tblLook w:val="01E0" w:firstRow="1" w:lastRow="1" w:firstColumn="1" w:lastColumn="1" w:noHBand="0" w:noVBand="0"/>
      </w:tblPr>
      <w:tblGrid>
        <w:gridCol w:w="1080"/>
        <w:gridCol w:w="8280"/>
      </w:tblGrid>
      <w:tr w:rsidR="003F26A0" w:rsidRPr="000170DA" w:rsidTr="00206815">
        <w:tc>
          <w:tcPr>
            <w:tcW w:w="1080" w:type="dxa"/>
            <w:tcBorders>
              <w:top w:val="single" w:sz="4" w:space="0" w:color="auto"/>
              <w:left w:val="single" w:sz="4" w:space="0" w:color="auto"/>
              <w:bottom w:val="single" w:sz="4" w:space="0" w:color="auto"/>
              <w:right w:val="single" w:sz="4" w:space="0" w:color="auto"/>
            </w:tcBorders>
            <w:vAlign w:val="center"/>
          </w:tcPr>
          <w:p w:rsidR="003F26A0" w:rsidRPr="000170DA" w:rsidRDefault="003F26A0" w:rsidP="002068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26A0" w:rsidRPr="000170DA" w:rsidRDefault="00302121" w:rsidP="00206815">
            <w:pPr>
              <w:rPr>
                <w:rStyle w:val="Hyperlink"/>
                <w:rFonts w:ascii="Garamond" w:hAnsi="Garamond"/>
                <w:color w:val="auto"/>
                <w:u w:val="none"/>
                <w:lang w:val="en-AU"/>
              </w:rPr>
            </w:pPr>
            <w:hyperlink r:id="rId35" w:history="1">
              <w:r w:rsidR="003851E7" w:rsidRPr="00EE6A55">
                <w:rPr>
                  <w:rStyle w:val="Hyperlink"/>
                  <w:rFonts w:ascii="Garamond" w:hAnsi="Garamond"/>
                  <w:lang w:val="en-AU"/>
                </w:rPr>
                <w:t>http://www.longwoods.com/publications/healthcare-quarterly/25519</w:t>
              </w:r>
            </w:hyperlink>
          </w:p>
        </w:tc>
      </w:tr>
      <w:tr w:rsidR="003F26A0" w:rsidRPr="000170DA" w:rsidTr="00206815">
        <w:tc>
          <w:tcPr>
            <w:tcW w:w="1080" w:type="dxa"/>
            <w:tcBorders>
              <w:top w:val="single" w:sz="4" w:space="0" w:color="auto"/>
              <w:left w:val="single" w:sz="4" w:space="0" w:color="auto"/>
              <w:bottom w:val="single" w:sz="4" w:space="0" w:color="auto"/>
              <w:right w:val="single" w:sz="4" w:space="0" w:color="auto"/>
            </w:tcBorders>
            <w:vAlign w:val="center"/>
          </w:tcPr>
          <w:p w:rsidR="003F26A0" w:rsidRPr="000170DA" w:rsidRDefault="003F26A0" w:rsidP="002068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26A0" w:rsidRDefault="003F26A0" w:rsidP="003F26A0">
            <w:pPr>
              <w:rPr>
                <w:rFonts w:ascii="Garamond" w:hAnsi="Garamond"/>
                <w:lang w:val="en-AU"/>
              </w:rPr>
            </w:pPr>
            <w:r w:rsidRPr="00A44A1F">
              <w:rPr>
                <w:rFonts w:ascii="Garamond" w:hAnsi="Garamond"/>
                <w:lang w:val="en-AU"/>
              </w:rPr>
              <w:t xml:space="preserve">A new issue of </w:t>
            </w:r>
            <w:r w:rsidR="003851E7" w:rsidRPr="003851E7">
              <w:rPr>
                <w:rFonts w:ascii="Garamond" w:hAnsi="Garamond"/>
                <w:i/>
                <w:lang w:val="en-AU"/>
              </w:rPr>
              <w:t>Healthcare Quarterly</w:t>
            </w:r>
            <w:r w:rsidRPr="00A44A1F">
              <w:rPr>
                <w:rFonts w:ascii="Garamond" w:hAnsi="Garamond"/>
                <w:lang w:val="en-AU"/>
              </w:rPr>
              <w:t xml:space="preserve"> has been published. Articles in this issue of </w:t>
            </w:r>
            <w:r w:rsidR="003851E7" w:rsidRPr="003851E7">
              <w:rPr>
                <w:rFonts w:ascii="Garamond" w:hAnsi="Garamond"/>
                <w:i/>
                <w:lang w:val="en-AU"/>
              </w:rPr>
              <w:t>Healthcare Quarterly</w:t>
            </w:r>
            <w:r w:rsidRPr="00A44A1F">
              <w:rPr>
                <w:rFonts w:ascii="Garamond" w:hAnsi="Garamond"/>
                <w:lang w:val="en-AU"/>
              </w:rPr>
              <w:t xml:space="preserve"> include:</w:t>
            </w:r>
          </w:p>
          <w:p w:rsidR="00C62CFD" w:rsidRPr="00C62CFD" w:rsidRDefault="00C62CFD" w:rsidP="00C62CFD">
            <w:pPr>
              <w:pStyle w:val="ListParagraph"/>
              <w:numPr>
                <w:ilvl w:val="0"/>
                <w:numId w:val="23"/>
              </w:numPr>
              <w:rPr>
                <w:rFonts w:ascii="Garamond" w:hAnsi="Garamond"/>
                <w:lang w:val="en-AU"/>
              </w:rPr>
            </w:pPr>
            <w:r w:rsidRPr="00C62CFD">
              <w:rPr>
                <w:rFonts w:ascii="Garamond" w:hAnsi="Garamond"/>
                <w:lang w:val="en-AU"/>
              </w:rPr>
              <w:t xml:space="preserve">The </w:t>
            </w:r>
            <w:r w:rsidRPr="00C62CFD">
              <w:rPr>
                <w:rFonts w:ascii="Garamond" w:hAnsi="Garamond"/>
                <w:b/>
                <w:lang w:val="en-AU"/>
              </w:rPr>
              <w:t>Mental Health of Adults with Developmental Disabilities</w:t>
            </w:r>
            <w:r w:rsidRPr="00C62CFD">
              <w:rPr>
                <w:rFonts w:ascii="Garamond" w:hAnsi="Garamond"/>
                <w:lang w:val="en-AU"/>
              </w:rPr>
              <w:t xml:space="preserve"> in Ontario: Lessons from Administrative Health Data (Yona Lunsky, Robert Balogh, Anna Durbin, Avra Selick, Tiziana Volpe and Elizabeth Lin</w:t>
            </w:r>
            <w:r>
              <w:rPr>
                <w:rFonts w:ascii="Garamond" w:hAnsi="Garamond"/>
                <w:lang w:val="en-AU"/>
              </w:rPr>
              <w:t>)</w:t>
            </w:r>
          </w:p>
          <w:p w:rsidR="00C62CFD" w:rsidRPr="00C62CFD" w:rsidRDefault="00C62CFD" w:rsidP="00C62CFD">
            <w:pPr>
              <w:pStyle w:val="ListParagraph"/>
              <w:numPr>
                <w:ilvl w:val="0"/>
                <w:numId w:val="23"/>
              </w:numPr>
              <w:rPr>
                <w:rFonts w:ascii="Garamond" w:hAnsi="Garamond"/>
                <w:lang w:val="en-AU"/>
              </w:rPr>
            </w:pPr>
            <w:r w:rsidRPr="00C62CFD">
              <w:rPr>
                <w:rFonts w:ascii="Garamond" w:hAnsi="Garamond"/>
                <w:b/>
                <w:lang w:val="en-AU"/>
              </w:rPr>
              <w:t>Seniors</w:t>
            </w:r>
            <w:r w:rsidRPr="00C62CFD">
              <w:rPr>
                <w:rFonts w:ascii="Garamond" w:hAnsi="Garamond"/>
                <w:lang w:val="en-AU"/>
              </w:rPr>
              <w:t xml:space="preserve"> in Transition: Exploring </w:t>
            </w:r>
            <w:r w:rsidRPr="00C62CFD">
              <w:rPr>
                <w:rFonts w:ascii="Garamond" w:hAnsi="Garamond"/>
                <w:b/>
                <w:lang w:val="en-AU"/>
              </w:rPr>
              <w:t>Pathways Across the Care Continuum</w:t>
            </w:r>
            <w:r w:rsidRPr="00C62CFD">
              <w:rPr>
                <w:rFonts w:ascii="Garamond" w:hAnsi="Garamond"/>
                <w:lang w:val="en-AU"/>
              </w:rPr>
              <w:t xml:space="preserve"> (Kim Nuernberger, Steve Atkinson and Georgina MacDonald</w:t>
            </w:r>
            <w:r>
              <w:rPr>
                <w:rFonts w:ascii="Garamond" w:hAnsi="Garamond"/>
                <w:lang w:val="en-AU"/>
              </w:rPr>
              <w:t>)</w:t>
            </w:r>
          </w:p>
          <w:p w:rsidR="00C62CFD" w:rsidRPr="00C62CFD" w:rsidRDefault="00C62CFD" w:rsidP="00C62CFD">
            <w:pPr>
              <w:pStyle w:val="ListParagraph"/>
              <w:numPr>
                <w:ilvl w:val="0"/>
                <w:numId w:val="23"/>
              </w:numPr>
              <w:rPr>
                <w:rFonts w:ascii="Garamond" w:hAnsi="Garamond"/>
                <w:lang w:val="en-AU"/>
              </w:rPr>
            </w:pPr>
            <w:r w:rsidRPr="00C62CFD">
              <w:rPr>
                <w:rFonts w:ascii="Garamond" w:hAnsi="Garamond"/>
                <w:b/>
                <w:lang w:val="en-AU"/>
              </w:rPr>
              <w:lastRenderedPageBreak/>
              <w:t>Healthcare in Canada</w:t>
            </w:r>
            <w:r w:rsidRPr="00C62CFD">
              <w:rPr>
                <w:rFonts w:ascii="Garamond" w:hAnsi="Garamond"/>
                <w:lang w:val="en-AU"/>
              </w:rPr>
              <w:t>: Choices Going Forward (Terrence Montague, Bonnie Cochrane, Amédé Gogovor, John Aylen, Lesli Martin and J Nemis-White</w:t>
            </w:r>
            <w:r>
              <w:rPr>
                <w:rFonts w:ascii="Garamond" w:hAnsi="Garamond"/>
                <w:lang w:val="en-AU"/>
              </w:rPr>
              <w:t>)</w:t>
            </w:r>
          </w:p>
          <w:p w:rsidR="00C62CFD" w:rsidRPr="00C62CFD" w:rsidRDefault="00C62CFD" w:rsidP="00C62CFD">
            <w:pPr>
              <w:pStyle w:val="ListParagraph"/>
              <w:numPr>
                <w:ilvl w:val="0"/>
                <w:numId w:val="23"/>
              </w:numPr>
              <w:rPr>
                <w:rFonts w:ascii="Garamond" w:hAnsi="Garamond"/>
                <w:lang w:val="en-AU"/>
              </w:rPr>
            </w:pPr>
            <w:r w:rsidRPr="00C62CFD">
              <w:rPr>
                <w:rFonts w:ascii="Garamond" w:hAnsi="Garamond"/>
                <w:b/>
                <w:lang w:val="en-AU"/>
              </w:rPr>
              <w:t>Patient Relations Measurement and Reporting</w:t>
            </w:r>
            <w:r w:rsidRPr="00C62CFD">
              <w:rPr>
                <w:rFonts w:ascii="Garamond" w:hAnsi="Garamond"/>
                <w:lang w:val="en-AU"/>
              </w:rPr>
              <w:t xml:space="preserve"> to Improve Quality and Safety: Lessons from a Pilot Project (Patricia Sullivan-Taylor, Rachel Frohlich, Anna Greenberg and Michael Beckett</w:t>
            </w:r>
            <w:r>
              <w:rPr>
                <w:rFonts w:ascii="Garamond" w:hAnsi="Garamond"/>
                <w:lang w:val="en-AU"/>
              </w:rPr>
              <w:t>)</w:t>
            </w:r>
          </w:p>
          <w:p w:rsidR="00C62CFD" w:rsidRPr="00C62CFD" w:rsidRDefault="00C62CFD" w:rsidP="00C62CFD">
            <w:pPr>
              <w:pStyle w:val="ListParagraph"/>
              <w:numPr>
                <w:ilvl w:val="0"/>
                <w:numId w:val="23"/>
              </w:numPr>
              <w:rPr>
                <w:rFonts w:ascii="Garamond" w:hAnsi="Garamond"/>
                <w:lang w:val="en-AU"/>
              </w:rPr>
            </w:pPr>
            <w:r w:rsidRPr="00C62CFD">
              <w:rPr>
                <w:rFonts w:ascii="Garamond" w:hAnsi="Garamond"/>
                <w:lang w:val="en-AU"/>
              </w:rPr>
              <w:t xml:space="preserve">Using an Evidence-Informed Framework and a Self-Assessment Tool to Drive Priority Setting and Action toward </w:t>
            </w:r>
            <w:r w:rsidRPr="00C62CFD">
              <w:rPr>
                <w:rFonts w:ascii="Garamond" w:hAnsi="Garamond"/>
                <w:b/>
                <w:lang w:val="en-AU"/>
              </w:rPr>
              <w:t>Senior-Friendly Care</w:t>
            </w:r>
            <w:r w:rsidRPr="00C62CFD">
              <w:rPr>
                <w:rFonts w:ascii="Garamond" w:hAnsi="Garamond"/>
                <w:lang w:val="en-AU"/>
              </w:rPr>
              <w:t xml:space="preserve"> (Ada Tsang, Ken Wong, David Ryan, Marlene Awad and Barbara Liu</w:t>
            </w:r>
            <w:r>
              <w:rPr>
                <w:rFonts w:ascii="Garamond" w:hAnsi="Garamond"/>
                <w:lang w:val="en-AU"/>
              </w:rPr>
              <w:t>)</w:t>
            </w:r>
          </w:p>
          <w:p w:rsidR="00C62CFD" w:rsidRPr="00C62CFD" w:rsidRDefault="00C62CFD" w:rsidP="00C62CFD">
            <w:pPr>
              <w:pStyle w:val="ListParagraph"/>
              <w:numPr>
                <w:ilvl w:val="0"/>
                <w:numId w:val="23"/>
              </w:numPr>
              <w:rPr>
                <w:rFonts w:ascii="Garamond" w:hAnsi="Garamond"/>
                <w:lang w:val="en-AU"/>
              </w:rPr>
            </w:pPr>
            <w:r w:rsidRPr="00C62CFD">
              <w:rPr>
                <w:rFonts w:ascii="Garamond" w:hAnsi="Garamond"/>
                <w:lang w:val="en-AU"/>
              </w:rPr>
              <w:t xml:space="preserve">The Mobility Volunteer Program: Stepping into the Future of </w:t>
            </w:r>
            <w:r w:rsidRPr="00C62CFD">
              <w:rPr>
                <w:rFonts w:ascii="Garamond" w:hAnsi="Garamond"/>
                <w:b/>
                <w:lang w:val="en-AU"/>
              </w:rPr>
              <w:t>Senior Friendly Care</w:t>
            </w:r>
            <w:r w:rsidRPr="00C62CFD">
              <w:rPr>
                <w:rFonts w:ascii="Garamond" w:hAnsi="Garamond"/>
                <w:lang w:val="en-AU"/>
              </w:rPr>
              <w:t xml:space="preserve"> (Jocelyn Denomme, Deborah Brown, Patsy Cho, Jacques Lee, Meaghan Kinlin, Beth O'Leary, Beth Singleton and Barbara Liu</w:t>
            </w:r>
            <w:r>
              <w:rPr>
                <w:rFonts w:ascii="Garamond" w:hAnsi="Garamond"/>
                <w:lang w:val="en-AU"/>
              </w:rPr>
              <w:t>)</w:t>
            </w:r>
          </w:p>
          <w:p w:rsidR="00C62CFD" w:rsidRPr="00C62CFD" w:rsidRDefault="00C62CFD" w:rsidP="00C62CFD">
            <w:pPr>
              <w:pStyle w:val="ListParagraph"/>
              <w:numPr>
                <w:ilvl w:val="0"/>
                <w:numId w:val="23"/>
              </w:numPr>
              <w:rPr>
                <w:rFonts w:ascii="Garamond" w:hAnsi="Garamond"/>
                <w:lang w:val="en-AU"/>
              </w:rPr>
            </w:pPr>
            <w:r w:rsidRPr="00C62CFD">
              <w:rPr>
                <w:rFonts w:ascii="Garamond" w:hAnsi="Garamond"/>
                <w:lang w:val="en-AU"/>
              </w:rPr>
              <w:t xml:space="preserve">The Burden of </w:t>
            </w:r>
            <w:r w:rsidRPr="00C62CFD">
              <w:rPr>
                <w:rFonts w:ascii="Garamond" w:hAnsi="Garamond"/>
                <w:b/>
                <w:lang w:val="en-AU"/>
              </w:rPr>
              <w:t>Repeat Prescribing Medications after a Related Adverse Drug Event</w:t>
            </w:r>
            <w:r w:rsidRPr="00C62CFD">
              <w:rPr>
                <w:rFonts w:ascii="Garamond" w:hAnsi="Garamond"/>
                <w:lang w:val="en-AU"/>
              </w:rPr>
              <w:t xml:space="preserve"> (Blayne Welk, Lucie Richard, Jennifer Winick-Ng, Salimah Z Shariff and Kristin K Clemens</w:t>
            </w:r>
            <w:r>
              <w:rPr>
                <w:rFonts w:ascii="Garamond" w:hAnsi="Garamond"/>
                <w:lang w:val="en-AU"/>
              </w:rPr>
              <w:t>)</w:t>
            </w:r>
          </w:p>
          <w:p w:rsidR="00C62CFD" w:rsidRPr="00C62CFD" w:rsidRDefault="00C62CFD" w:rsidP="00C62CFD">
            <w:pPr>
              <w:pStyle w:val="ListParagraph"/>
              <w:numPr>
                <w:ilvl w:val="0"/>
                <w:numId w:val="23"/>
              </w:numPr>
              <w:rPr>
                <w:rFonts w:ascii="Garamond" w:hAnsi="Garamond"/>
                <w:lang w:val="en-AU"/>
              </w:rPr>
            </w:pPr>
            <w:r w:rsidRPr="00C62CFD">
              <w:rPr>
                <w:rFonts w:ascii="Garamond" w:hAnsi="Garamond"/>
                <w:b/>
                <w:lang w:val="en-AU"/>
              </w:rPr>
              <w:t>Ethics Review of Projects</w:t>
            </w:r>
            <w:r w:rsidRPr="00C62CFD">
              <w:rPr>
                <w:rFonts w:ascii="Garamond" w:hAnsi="Garamond"/>
                <w:lang w:val="en-AU"/>
              </w:rPr>
              <w:t xml:space="preserve"> (ERoP): A Conceptual Framework (Don Flaming, Marie Pinard and Debbie Mallett</w:t>
            </w:r>
            <w:r>
              <w:rPr>
                <w:rFonts w:ascii="Garamond" w:hAnsi="Garamond"/>
                <w:lang w:val="en-AU"/>
              </w:rPr>
              <w:t>)</w:t>
            </w:r>
          </w:p>
          <w:p w:rsidR="003F26A0" w:rsidRPr="003F26A0" w:rsidRDefault="00C62CFD" w:rsidP="00C62CFD">
            <w:pPr>
              <w:pStyle w:val="ListParagraph"/>
              <w:numPr>
                <w:ilvl w:val="0"/>
                <w:numId w:val="23"/>
              </w:numPr>
              <w:rPr>
                <w:rFonts w:ascii="Garamond" w:hAnsi="Garamond"/>
                <w:lang w:val="en-AU"/>
              </w:rPr>
            </w:pPr>
            <w:r w:rsidRPr="00C62CFD">
              <w:rPr>
                <w:rFonts w:ascii="Garamond" w:hAnsi="Garamond"/>
                <w:lang w:val="en-AU"/>
              </w:rPr>
              <w:t xml:space="preserve">Without Compromising Integrity: </w:t>
            </w:r>
            <w:r w:rsidRPr="00C62CFD">
              <w:rPr>
                <w:rFonts w:ascii="Garamond" w:hAnsi="Garamond"/>
                <w:b/>
                <w:lang w:val="en-AU"/>
              </w:rPr>
              <w:t>Research and Planning Around the Primary Healthcare Landscape</w:t>
            </w:r>
            <w:r w:rsidRPr="00C62CFD">
              <w:rPr>
                <w:rFonts w:ascii="Garamond" w:hAnsi="Garamond"/>
                <w:lang w:val="en-AU"/>
              </w:rPr>
              <w:t xml:space="preserve"> in Southwestern Ontario (Shannon L Sibbald, Andrew F Clark, Jamie A Seabrook and Jason Gilliland</w:t>
            </w:r>
            <w:r>
              <w:rPr>
                <w:rFonts w:ascii="Garamond" w:hAnsi="Garamond"/>
                <w:lang w:val="en-AU"/>
              </w:rPr>
              <w:t>)</w:t>
            </w:r>
          </w:p>
        </w:tc>
      </w:tr>
    </w:tbl>
    <w:p w:rsidR="003F26A0" w:rsidRDefault="003F26A0" w:rsidP="003F26A0">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302121" w:rsidP="00900052">
            <w:pPr>
              <w:keepNext/>
              <w:rPr>
                <w:rFonts w:ascii="Garamond" w:hAnsi="Garamond"/>
                <w:lang w:val="en-AU"/>
              </w:rPr>
            </w:pPr>
            <w:hyperlink r:id="rId36"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4957B9" w:rsidRPr="004957B9" w:rsidRDefault="004957B9" w:rsidP="004957B9">
            <w:pPr>
              <w:pStyle w:val="ListParagraph"/>
              <w:numPr>
                <w:ilvl w:val="0"/>
                <w:numId w:val="14"/>
              </w:numPr>
              <w:rPr>
                <w:rFonts w:ascii="Garamond" w:hAnsi="Garamond"/>
                <w:lang w:val="en-AU"/>
              </w:rPr>
            </w:pPr>
            <w:r w:rsidRPr="004957B9">
              <w:rPr>
                <w:rFonts w:ascii="Garamond" w:hAnsi="Garamond"/>
                <w:b/>
                <w:lang w:val="en-AU"/>
              </w:rPr>
              <w:t>Speaking up about patient safety concerns</w:t>
            </w:r>
            <w:r w:rsidRPr="004957B9">
              <w:rPr>
                <w:rFonts w:ascii="Garamond" w:hAnsi="Garamond"/>
                <w:lang w:val="en-AU"/>
              </w:rPr>
              <w:t>: the influence of safety management approaches and climate on nurses’ willingness to speak up (Carien W Alingh, Jeroen D H van Wijngaarden, Karina van de Voorde, Jaap Paauwe, Robbert Huijsman</w:t>
            </w:r>
            <w:r>
              <w:rPr>
                <w:rFonts w:ascii="Garamond" w:hAnsi="Garamond"/>
                <w:lang w:val="en-AU"/>
              </w:rPr>
              <w:t>)</w:t>
            </w:r>
          </w:p>
          <w:p w:rsidR="00520AE2" w:rsidRPr="00520AE2" w:rsidRDefault="00520AE2" w:rsidP="00520AE2">
            <w:pPr>
              <w:pStyle w:val="ListParagraph"/>
              <w:numPr>
                <w:ilvl w:val="0"/>
                <w:numId w:val="14"/>
              </w:numPr>
              <w:rPr>
                <w:rFonts w:ascii="Garamond" w:hAnsi="Garamond"/>
                <w:lang w:val="en-AU"/>
              </w:rPr>
            </w:pPr>
            <w:r w:rsidRPr="00520AE2">
              <w:rPr>
                <w:rFonts w:ascii="Garamond" w:hAnsi="Garamond"/>
                <w:b/>
                <w:lang w:val="en-AU"/>
              </w:rPr>
              <w:t>Implementing infection prevention practices</w:t>
            </w:r>
            <w:r w:rsidRPr="00520AE2">
              <w:rPr>
                <w:rFonts w:ascii="Garamond" w:hAnsi="Garamond"/>
                <w:lang w:val="en-AU"/>
              </w:rPr>
              <w:t xml:space="preserve"> across European hospitals: an in-depth qualitative assessment (Lauren Clack, Walter Zingg, Sanjay Saint, Alejandra Casillas, Sylvie Touveneau, Fabricio da Liberdade Jantarada, Ursina Willi, Tjallie van der Kooi, Laura J Damschroder, Jane H Forman, Molly Harrod, Sarah Krein</w:t>
            </w:r>
            <w:r>
              <w:rPr>
                <w:rFonts w:ascii="Garamond" w:hAnsi="Garamond"/>
                <w:lang w:val="en-AU"/>
              </w:rPr>
              <w:t>, Didier Pittet, Hugo Sax)</w:t>
            </w:r>
          </w:p>
          <w:p w:rsidR="00026CA9" w:rsidRPr="00467B47" w:rsidRDefault="00520AE2" w:rsidP="00520AE2">
            <w:pPr>
              <w:pStyle w:val="ListParagraph"/>
              <w:numPr>
                <w:ilvl w:val="0"/>
                <w:numId w:val="14"/>
              </w:numPr>
              <w:rPr>
                <w:rFonts w:ascii="Garamond" w:hAnsi="Garamond"/>
                <w:lang w:val="en-AU"/>
              </w:rPr>
            </w:pPr>
            <w:r w:rsidRPr="00520AE2">
              <w:rPr>
                <w:rFonts w:ascii="Garamond" w:hAnsi="Garamond"/>
                <w:lang w:val="en-AU"/>
              </w:rPr>
              <w:t xml:space="preserve">Developing a </w:t>
            </w:r>
            <w:r w:rsidRPr="00520AE2">
              <w:rPr>
                <w:rFonts w:ascii="Garamond" w:hAnsi="Garamond"/>
                <w:b/>
                <w:lang w:val="en-AU"/>
              </w:rPr>
              <w:t>hospital-wide quality and safety dashboard</w:t>
            </w:r>
            <w:r>
              <w:rPr>
                <w:rFonts w:ascii="Garamond" w:hAnsi="Garamond"/>
                <w:lang w:val="en-AU"/>
              </w:rPr>
              <w:t>: a qualitative research study (</w:t>
            </w:r>
            <w:r w:rsidRPr="00520AE2">
              <w:rPr>
                <w:rFonts w:ascii="Garamond" w:hAnsi="Garamond"/>
                <w:lang w:val="en-AU"/>
              </w:rPr>
              <w:t>Anne Marie J W M Weggelaar-Jansen, Damien S E Broekharst, Martine de Bruijne</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302121" w:rsidP="00290461">
            <w:pPr>
              <w:keepNext/>
              <w:rPr>
                <w:rFonts w:ascii="Garamond" w:hAnsi="Garamond"/>
                <w:lang w:val="en-AU"/>
              </w:rPr>
            </w:pPr>
            <w:hyperlink r:id="rId37"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3730D" w:rsidRPr="00DA6435" w:rsidRDefault="00290461" w:rsidP="00290461">
            <w:pPr>
              <w:pStyle w:val="ListParagraph"/>
              <w:numPr>
                <w:ilvl w:val="0"/>
                <w:numId w:val="14"/>
              </w:numPr>
              <w:rPr>
                <w:rFonts w:ascii="Garamond" w:hAnsi="Garamond"/>
                <w:lang w:val="en-AU"/>
              </w:rPr>
            </w:pPr>
            <w:r w:rsidRPr="00290461">
              <w:rPr>
                <w:rFonts w:ascii="Garamond" w:hAnsi="Garamond"/>
                <w:lang w:val="en-AU"/>
              </w:rPr>
              <w:t xml:space="preserve">Not feeling ready to go home: a qualitative analysis of </w:t>
            </w:r>
            <w:r w:rsidRPr="00290461">
              <w:rPr>
                <w:rFonts w:ascii="Garamond" w:hAnsi="Garamond"/>
                <w:b/>
                <w:lang w:val="en-AU"/>
              </w:rPr>
              <w:t>chronically ill patients’ perceptions on care transitions</w:t>
            </w:r>
            <w:r w:rsidRPr="00290461">
              <w:rPr>
                <w:rFonts w:ascii="Garamond" w:hAnsi="Garamond"/>
                <w:lang w:val="en-AU"/>
              </w:rPr>
              <w:t xml:space="preserve"> </w:t>
            </w:r>
            <w:r>
              <w:rPr>
                <w:rFonts w:ascii="Garamond" w:hAnsi="Garamond"/>
                <w:lang w:val="en-AU"/>
              </w:rPr>
              <w:t>(</w:t>
            </w:r>
            <w:r w:rsidRPr="00290461">
              <w:rPr>
                <w:rFonts w:ascii="Garamond" w:hAnsi="Garamond"/>
                <w:lang w:val="en-AU"/>
              </w:rPr>
              <w:t>Kim J Verhaegh; Patricia Jepma; Suzanne E Geerlings; Sophia E de Rooij; Bianca M Buurman</w:t>
            </w:r>
            <w:r>
              <w:rPr>
                <w:rFonts w:ascii="Garamond" w:hAnsi="Garamond"/>
                <w:lang w:val="en-AU"/>
              </w:rPr>
              <w:t>)</w:t>
            </w:r>
          </w:p>
        </w:tc>
      </w:tr>
    </w:tbl>
    <w:p w:rsidR="009A34AA" w:rsidRDefault="009A34AA" w:rsidP="00070CFE">
      <w:pPr>
        <w:rPr>
          <w:rFonts w:ascii="Garamond" w:hAnsi="Garamond"/>
          <w:lang w:val="en-AU"/>
        </w:rPr>
      </w:pPr>
    </w:p>
    <w:p w:rsidR="00282D29" w:rsidRPr="00A3571C" w:rsidRDefault="00282D29" w:rsidP="00070CFE">
      <w:pPr>
        <w:rPr>
          <w:rFonts w:ascii="Garamond" w:hAnsi="Garamond"/>
          <w:lang w:val="en-AU"/>
        </w:rPr>
      </w:pPr>
    </w:p>
    <w:p w:rsidR="009E51E4" w:rsidRDefault="009E51E4">
      <w:pPr>
        <w:rPr>
          <w:rFonts w:ascii="Garamond" w:hAnsi="Garamond"/>
          <w:b/>
          <w:lang w:val="en-AU"/>
        </w:rPr>
      </w:pPr>
      <w:r>
        <w:rPr>
          <w:rFonts w:ascii="Garamond" w:hAnsi="Garamond"/>
          <w:b/>
          <w:lang w:val="en-AU"/>
        </w:rPr>
        <w:br w:type="page"/>
      </w:r>
    </w:p>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6E425A" w:rsidRDefault="006E425A" w:rsidP="00070CFE">
      <w:pPr>
        <w:rPr>
          <w:rFonts w:ascii="Garamond" w:hAnsi="Garamond"/>
          <w:lang w:val="en-AU"/>
        </w:rPr>
      </w:pPr>
    </w:p>
    <w:p w:rsidR="006955B4" w:rsidRPr="006955B4" w:rsidRDefault="006955B4" w:rsidP="00070CFE">
      <w:pPr>
        <w:rPr>
          <w:rFonts w:ascii="Garamond" w:hAnsi="Garamond"/>
          <w:i/>
          <w:lang w:val="en-AU"/>
        </w:rPr>
      </w:pPr>
      <w:r w:rsidRPr="006955B4">
        <w:rPr>
          <w:rFonts w:ascii="Garamond" w:hAnsi="Garamond"/>
          <w:i/>
          <w:lang w:val="en-AU"/>
        </w:rPr>
        <w:t>Reducing inappropriate use of antipsychotics</w:t>
      </w:r>
    </w:p>
    <w:p w:rsidR="006955B4" w:rsidRDefault="00302121" w:rsidP="00070CFE">
      <w:pPr>
        <w:rPr>
          <w:rFonts w:ascii="Garamond" w:hAnsi="Garamond"/>
          <w:lang w:val="en-AU"/>
        </w:rPr>
      </w:pPr>
      <w:hyperlink r:id="rId38" w:history="1">
        <w:r w:rsidR="006955B4" w:rsidRPr="00FE01A1">
          <w:rPr>
            <w:rStyle w:val="Hyperlink"/>
            <w:rFonts w:ascii="Garamond" w:hAnsi="Garamond"/>
            <w:lang w:val="en-AU"/>
          </w:rPr>
          <w:t>http://cognitivecare.gov.au/resources/campaign-resources/</w:t>
        </w:r>
      </w:hyperlink>
    </w:p>
    <w:p w:rsidR="006955B4" w:rsidRPr="006955B4" w:rsidRDefault="006955B4" w:rsidP="006955B4">
      <w:pPr>
        <w:rPr>
          <w:rFonts w:ascii="Garamond" w:hAnsi="Garamond"/>
          <w:lang w:val="en-AU"/>
        </w:rPr>
      </w:pPr>
      <w:r w:rsidRPr="006955B4">
        <w:rPr>
          <w:rFonts w:ascii="Garamond" w:hAnsi="Garamond"/>
          <w:lang w:val="en-AU"/>
        </w:rPr>
        <w:t xml:space="preserve">As part of the Caring for Cognitive Impairment campaign, the Commission has produced an infographic targeted at reducing inappropriate use of antipsychotics.  It summarises why this is such an important issue for people with behavioural and psychological symptoms of dementia (BPSD) across multiple healthcare settings. It was developed as a result of work undertaken in response the Commission’s first </w:t>
      </w:r>
      <w:r w:rsidRPr="006955B4">
        <w:rPr>
          <w:rFonts w:ascii="Garamond" w:hAnsi="Garamond"/>
          <w:i/>
          <w:lang w:val="en-AU"/>
        </w:rPr>
        <w:t>Australian Atlas of Healthcare Variation</w:t>
      </w:r>
      <w:r w:rsidRPr="006955B4">
        <w:rPr>
          <w:rFonts w:ascii="Garamond" w:hAnsi="Garamond"/>
          <w:lang w:val="en-AU"/>
        </w:rPr>
        <w:t xml:space="preserve"> that found high and variable use in people aged 65 and over. </w:t>
      </w:r>
    </w:p>
    <w:p w:rsidR="006955B4" w:rsidRDefault="006955B4" w:rsidP="006955B4">
      <w:pPr>
        <w:rPr>
          <w:rFonts w:ascii="Garamond" w:hAnsi="Garamond"/>
          <w:lang w:val="en-AU"/>
        </w:rPr>
      </w:pPr>
      <w:r w:rsidRPr="006955B4">
        <w:rPr>
          <w:rFonts w:ascii="Garamond" w:hAnsi="Garamond"/>
          <w:lang w:val="en-AU"/>
        </w:rPr>
        <w:t xml:space="preserve">Please share and promote the infographic with your networks, and please feel free to print the infographic. If you would like further information, please contact </w:t>
      </w:r>
      <w:hyperlink r:id="rId39" w:history="1">
        <w:r w:rsidRPr="00FE01A1">
          <w:rPr>
            <w:rStyle w:val="Hyperlink"/>
            <w:rFonts w:ascii="Garamond" w:hAnsi="Garamond"/>
            <w:lang w:val="en-AU"/>
          </w:rPr>
          <w:t>cognitive.impairment@safetyandquality.gov.au</w:t>
        </w:r>
      </w:hyperlink>
      <w:r>
        <w:rPr>
          <w:rFonts w:ascii="Garamond" w:hAnsi="Garamond"/>
          <w:lang w:val="en-AU"/>
        </w:rPr>
        <w:t xml:space="preserve"> </w:t>
      </w:r>
      <w:r w:rsidRPr="006955B4">
        <w:rPr>
          <w:rFonts w:ascii="Garamond" w:hAnsi="Garamond"/>
          <w:lang w:val="en-AU"/>
        </w:rPr>
        <w:t xml:space="preserve">or visit </w:t>
      </w:r>
      <w:hyperlink r:id="rId40" w:history="1">
        <w:r w:rsidRPr="00FE01A1">
          <w:rPr>
            <w:rStyle w:val="Hyperlink"/>
            <w:rFonts w:ascii="Garamond" w:hAnsi="Garamond"/>
            <w:lang w:val="en-AU"/>
          </w:rPr>
          <w:t>www.cognitivecare.gov.au</w:t>
        </w:r>
      </w:hyperlink>
    </w:p>
    <w:p w:rsidR="006955B4" w:rsidRDefault="006955B4" w:rsidP="00070CFE">
      <w:pPr>
        <w:rPr>
          <w:rFonts w:ascii="Garamond" w:hAnsi="Garamond"/>
          <w:lang w:val="en-AU"/>
        </w:rPr>
      </w:pPr>
      <w:r>
        <w:rPr>
          <w:rFonts w:ascii="Garamond" w:hAnsi="Garamond"/>
          <w:noProof/>
          <w:lang w:val="en-AU" w:eastAsia="en-AU"/>
        </w:rPr>
        <w:drawing>
          <wp:inline distT="0" distB="0" distL="0" distR="0">
            <wp:extent cx="4075289" cy="5637831"/>
            <wp:effectExtent l="0" t="0" r="1905" b="1270"/>
            <wp:docPr id="5" name="Picture 5" descr="\\central.health\dfsuserenv\Users\User_07\johnni\Desktop\Antipsychotic infographic 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Antipsychotic infographic thumbnail.png"/>
                    <pic:cNvPicPr>
                      <a:picLocks noChangeAspect="1" noChangeArrowheads="1"/>
                    </pic:cNvPicPr>
                  </pic:nvPicPr>
                  <pic:blipFill rotWithShape="1">
                    <a:blip r:embed="rId41">
                      <a:extLst>
                        <a:ext uri="{28A0092B-C50C-407E-A947-70E740481C1C}">
                          <a14:useLocalDpi xmlns:a14="http://schemas.microsoft.com/office/drawing/2010/main" val="0"/>
                        </a:ext>
                      </a:extLst>
                    </a:blip>
                    <a:srcRect b="1993"/>
                    <a:stretch/>
                  </pic:blipFill>
                  <pic:spPr bwMode="auto">
                    <a:xfrm>
                      <a:off x="0" y="0"/>
                      <a:ext cx="4078782" cy="5642663"/>
                    </a:xfrm>
                    <a:prstGeom prst="rect">
                      <a:avLst/>
                    </a:prstGeom>
                    <a:noFill/>
                    <a:ln>
                      <a:noFill/>
                    </a:ln>
                    <a:extLst>
                      <a:ext uri="{53640926-AAD7-44D8-BBD7-CCE9431645EC}">
                        <a14:shadowObscured xmlns:a14="http://schemas.microsoft.com/office/drawing/2010/main"/>
                      </a:ext>
                    </a:extLst>
                  </pic:spPr>
                </pic:pic>
              </a:graphicData>
            </a:graphic>
          </wp:inline>
        </w:drawing>
      </w:r>
    </w:p>
    <w:p w:rsidR="009E51E4" w:rsidRDefault="009E51E4" w:rsidP="00070CFE">
      <w:pPr>
        <w:rPr>
          <w:rFonts w:ascii="Garamond" w:hAnsi="Garamond"/>
          <w:lang w:val="en-AU"/>
        </w:rPr>
      </w:pPr>
    </w:p>
    <w:p w:rsidR="009E51E4" w:rsidRPr="00AD5CD7" w:rsidRDefault="009E51E4" w:rsidP="009E51E4">
      <w:pPr>
        <w:keepNext/>
        <w:rPr>
          <w:rFonts w:ascii="Garamond" w:hAnsi="Garamond"/>
          <w:i/>
          <w:lang w:val="en-AU"/>
        </w:rPr>
      </w:pPr>
      <w:r w:rsidRPr="00AD5CD7">
        <w:rPr>
          <w:rFonts w:ascii="Garamond" w:hAnsi="Garamond"/>
          <w:i/>
          <w:lang w:val="en-AU"/>
        </w:rPr>
        <w:t>Australian Hospital Patient Experience Question Set (AHPEQS) Community of Practice</w:t>
      </w:r>
    </w:p>
    <w:p w:rsidR="009E51E4" w:rsidRDefault="00302121" w:rsidP="009E51E4">
      <w:pPr>
        <w:keepNext/>
        <w:rPr>
          <w:rFonts w:ascii="Garamond" w:hAnsi="Garamond"/>
          <w:lang w:val="en-AU"/>
        </w:rPr>
      </w:pPr>
      <w:hyperlink r:id="rId42" w:history="1">
        <w:r w:rsidR="009E51E4" w:rsidRPr="00ED00B3">
          <w:rPr>
            <w:rStyle w:val="Hyperlink"/>
            <w:rFonts w:ascii="Garamond" w:hAnsi="Garamond"/>
            <w:lang w:val="en-AU"/>
          </w:rPr>
          <w:t>https://www.safetyandquality.gov.au/our-work/indicators/hospital-patient-experience/</w:t>
        </w:r>
      </w:hyperlink>
    </w:p>
    <w:p w:rsidR="009E51E4" w:rsidRDefault="009E51E4" w:rsidP="009E51E4">
      <w:pPr>
        <w:rPr>
          <w:rFonts w:ascii="Garamond" w:hAnsi="Garamond"/>
          <w:lang w:val="en-AU"/>
        </w:rPr>
      </w:pPr>
      <w:r w:rsidRPr="00D84EE2">
        <w:rPr>
          <w:rFonts w:ascii="Garamond" w:hAnsi="Garamond"/>
          <w:lang w:val="en-AU"/>
        </w:rPr>
        <w:t>Are you using the Australian Hospital Patient Experience Question Set (AHPEQS)? Want to talk to others doing the same?  We’ve just launched a community of practice for AHPEQS implementers to share knowledge and avoid reinventing the wheel. Email pex@safetyandquality.gov.au to join.</w:t>
      </w:r>
    </w:p>
    <w:p w:rsidR="00AD5CD7" w:rsidRDefault="00AD5CD7" w:rsidP="00AD5CD7">
      <w:pPr>
        <w:rPr>
          <w:rFonts w:ascii="Garamond" w:hAnsi="Garamond"/>
          <w:i/>
          <w:lang w:val="en-AU"/>
        </w:rPr>
      </w:pPr>
      <w:r w:rsidRPr="008F4A60">
        <w:rPr>
          <w:rFonts w:ascii="Garamond" w:hAnsi="Garamond"/>
          <w:i/>
          <w:lang w:val="en-AU"/>
        </w:rPr>
        <w:lastRenderedPageBreak/>
        <w:t xml:space="preserve">Clinical Communiqué </w:t>
      </w:r>
    </w:p>
    <w:p w:rsidR="00AD5CD7" w:rsidRPr="008F4A60" w:rsidRDefault="00AD5CD7" w:rsidP="00AD5CD7">
      <w:pPr>
        <w:rPr>
          <w:rFonts w:ascii="Garamond" w:hAnsi="Garamond"/>
          <w:lang w:val="en-AU"/>
        </w:rPr>
      </w:pPr>
      <w:r w:rsidRPr="008F4A60">
        <w:rPr>
          <w:rFonts w:ascii="Garamond" w:hAnsi="Garamond"/>
          <w:lang w:val="en-AU"/>
        </w:rPr>
        <w:t xml:space="preserve">Volume 5 Issue </w:t>
      </w:r>
      <w:r>
        <w:rPr>
          <w:rFonts w:ascii="Garamond" w:hAnsi="Garamond"/>
          <w:lang w:val="en-AU"/>
        </w:rPr>
        <w:t>2</w:t>
      </w:r>
      <w:r w:rsidRPr="008F4A60">
        <w:rPr>
          <w:rFonts w:ascii="Garamond" w:hAnsi="Garamond"/>
          <w:lang w:val="en-AU"/>
        </w:rPr>
        <w:t xml:space="preserve"> </w:t>
      </w:r>
      <w:r>
        <w:rPr>
          <w:rFonts w:ascii="Garamond" w:hAnsi="Garamond"/>
          <w:lang w:val="en-AU"/>
        </w:rPr>
        <w:t>June</w:t>
      </w:r>
      <w:r w:rsidRPr="008F4A60">
        <w:rPr>
          <w:rFonts w:ascii="Garamond" w:hAnsi="Garamond"/>
          <w:lang w:val="en-AU"/>
        </w:rPr>
        <w:t xml:space="preserve"> 2018</w:t>
      </w:r>
    </w:p>
    <w:p w:rsidR="00AD5CD7" w:rsidRDefault="00302121" w:rsidP="00AD5CD7">
      <w:pPr>
        <w:rPr>
          <w:rFonts w:ascii="Garamond" w:hAnsi="Garamond"/>
          <w:lang w:val="en-AU"/>
        </w:rPr>
      </w:pPr>
      <w:hyperlink r:id="rId43" w:history="1">
        <w:r w:rsidR="00AD5CD7" w:rsidRPr="00ED00B3">
          <w:rPr>
            <w:rStyle w:val="Hyperlink"/>
            <w:rFonts w:ascii="Garamond" w:hAnsi="Garamond"/>
            <w:lang w:val="en-AU"/>
          </w:rPr>
          <w:t>http://vifmcommuniques.org/clinical-communique-volume-5-issue-2-june-2018/</w:t>
        </w:r>
      </w:hyperlink>
    </w:p>
    <w:p w:rsidR="00AD5CD7" w:rsidRDefault="00AD5CD7" w:rsidP="00AD5CD7">
      <w:pPr>
        <w:rPr>
          <w:rFonts w:ascii="Garamond" w:hAnsi="Garamond"/>
          <w:lang w:val="en-AU"/>
        </w:rPr>
      </w:pPr>
      <w:r>
        <w:rPr>
          <w:rFonts w:ascii="Garamond" w:hAnsi="Garamond"/>
          <w:lang w:val="en-AU"/>
        </w:rPr>
        <w:t xml:space="preserve">This </w:t>
      </w:r>
      <w:r w:rsidRPr="008F4A60">
        <w:rPr>
          <w:rFonts w:ascii="Garamond" w:hAnsi="Garamond"/>
          <w:i/>
          <w:lang w:val="en-AU"/>
        </w:rPr>
        <w:t>Clinical Communiqué</w:t>
      </w:r>
      <w:r>
        <w:rPr>
          <w:rFonts w:ascii="Garamond" w:hAnsi="Garamond"/>
          <w:lang w:val="en-AU"/>
        </w:rPr>
        <w:t xml:space="preserve"> examines </w:t>
      </w:r>
      <w:r w:rsidRPr="00AD5CD7">
        <w:rPr>
          <w:rFonts w:ascii="Garamond" w:hAnsi="Garamond"/>
          <w:lang w:val="en-AU"/>
        </w:rPr>
        <w:t>three cases of patients who died shortly after being assessed and discharged from a</w:t>
      </w:r>
      <w:r>
        <w:rPr>
          <w:rFonts w:ascii="Garamond" w:hAnsi="Garamond"/>
          <w:lang w:val="en-AU"/>
        </w:rPr>
        <w:t xml:space="preserve"> hospital </w:t>
      </w:r>
      <w:r w:rsidRPr="00AD5CD7">
        <w:rPr>
          <w:rFonts w:ascii="Garamond" w:hAnsi="Garamond"/>
          <w:lang w:val="en-AU"/>
        </w:rPr>
        <w:t>emergency department. In each case, an evolving abdominal problem was missed, and the symptoms were attributed to other</w:t>
      </w:r>
      <w:r w:rsidR="00F1010B">
        <w:rPr>
          <w:rFonts w:ascii="Garamond" w:hAnsi="Garamond"/>
          <w:lang w:val="en-AU"/>
        </w:rPr>
        <w:t xml:space="preserve"> </w:t>
      </w:r>
      <w:r w:rsidRPr="00AD5CD7">
        <w:rPr>
          <w:rFonts w:ascii="Garamond" w:hAnsi="Garamond"/>
          <w:lang w:val="en-AU"/>
        </w:rPr>
        <w:t>causes. Fluctuating signs were misinterpreted, investigative abnormalities not fully appreciated, and ultimately, diagnoses of life-threatening conditions missed.</w:t>
      </w:r>
      <w:r>
        <w:rPr>
          <w:rFonts w:ascii="Garamond" w:hAnsi="Garamond"/>
          <w:lang w:val="en-AU"/>
        </w:rPr>
        <w:t xml:space="preserve"> This issue also has an expert commentary on </w:t>
      </w:r>
      <w:r w:rsidRPr="00AD5CD7">
        <w:rPr>
          <w:rFonts w:ascii="Garamond" w:hAnsi="Garamond"/>
          <w:b/>
          <w:lang w:val="en-AU"/>
        </w:rPr>
        <w:t>diagnostic error</w:t>
      </w:r>
      <w:r>
        <w:rPr>
          <w:rFonts w:ascii="Garamond" w:hAnsi="Garamond"/>
          <w:lang w:val="en-AU"/>
        </w:rPr>
        <w:t xml:space="preserve"> that </w:t>
      </w:r>
      <w:r w:rsidRPr="00AD5CD7">
        <w:rPr>
          <w:rFonts w:ascii="Garamond" w:hAnsi="Garamond"/>
          <w:lang w:val="en-AU"/>
        </w:rPr>
        <w:t>explores the concept of cognitive bias and the debiasing strategies that can be employed to make the diagnostic process safer</w:t>
      </w:r>
      <w:r>
        <w:rPr>
          <w:rFonts w:ascii="Garamond" w:hAnsi="Garamond"/>
          <w:lang w:val="en-AU"/>
        </w:rPr>
        <w:t>.</w:t>
      </w:r>
    </w:p>
    <w:p w:rsidR="00AD5CD7" w:rsidRDefault="00AD5CD7" w:rsidP="00070CFE">
      <w:pPr>
        <w:rPr>
          <w:rFonts w:ascii="Garamond" w:hAnsi="Garamond"/>
          <w:lang w:val="en-AU"/>
        </w:rPr>
      </w:pPr>
    </w:p>
    <w:p w:rsidR="005325AA" w:rsidRDefault="005325AA" w:rsidP="00817F1F">
      <w:pPr>
        <w:keepNext/>
        <w:keepLines/>
        <w:rPr>
          <w:rFonts w:ascii="Garamond" w:hAnsi="Garamond"/>
          <w:i/>
          <w:lang w:val="en-AU"/>
        </w:rPr>
      </w:pPr>
      <w:r>
        <w:rPr>
          <w:rFonts w:ascii="Garamond" w:hAnsi="Garamond"/>
          <w:i/>
          <w:lang w:val="en-AU"/>
        </w:rPr>
        <w:t>[UK] Medication Safety Dashboard</w:t>
      </w:r>
    </w:p>
    <w:p w:rsidR="005325AA" w:rsidRDefault="00302121" w:rsidP="00817F1F">
      <w:pPr>
        <w:keepNext/>
        <w:keepLines/>
        <w:rPr>
          <w:rFonts w:ascii="Garamond" w:hAnsi="Garamond"/>
          <w:lang w:val="en-AU"/>
        </w:rPr>
      </w:pPr>
      <w:hyperlink r:id="rId44" w:history="1">
        <w:r w:rsidR="005325AA" w:rsidRPr="00744EA2">
          <w:rPr>
            <w:rStyle w:val="Hyperlink"/>
            <w:rFonts w:ascii="Garamond" w:hAnsi="Garamond"/>
            <w:lang w:val="en-AU"/>
          </w:rPr>
          <w:t>https://apps.nhsbsa.nhs.uk/MOD/MedicationSafety/atlas.html</w:t>
        </w:r>
      </w:hyperlink>
    </w:p>
    <w:p w:rsidR="005325AA" w:rsidRDefault="005325AA" w:rsidP="005325AA">
      <w:pPr>
        <w:keepNext/>
        <w:keepLines/>
        <w:rPr>
          <w:rFonts w:ascii="Garamond" w:hAnsi="Garamond"/>
          <w:lang w:val="en-AU"/>
        </w:rPr>
      </w:pPr>
      <w:r>
        <w:rPr>
          <w:rFonts w:ascii="Garamond" w:hAnsi="Garamond"/>
          <w:lang w:val="en-AU"/>
        </w:rPr>
        <w:t xml:space="preserve">The NHS plans to </w:t>
      </w:r>
      <w:r w:rsidRPr="005325AA">
        <w:rPr>
          <w:rFonts w:ascii="Garamond" w:hAnsi="Garamond"/>
          <w:lang w:val="en-AU"/>
        </w:rPr>
        <w:t>introduce a series of indicators to show whether a prescription may have contributed to a patient being admitted to hospital.</w:t>
      </w:r>
      <w:r>
        <w:rPr>
          <w:rFonts w:ascii="Garamond" w:hAnsi="Garamond"/>
          <w:lang w:val="en-AU"/>
        </w:rPr>
        <w:t xml:space="preserve"> </w:t>
      </w:r>
      <w:r w:rsidRPr="005325AA">
        <w:rPr>
          <w:rFonts w:ascii="Garamond" w:hAnsi="Garamond"/>
          <w:lang w:val="en-AU"/>
        </w:rPr>
        <w:t>The indicators will work by linking prescribing data in primary care to hospital admissions. This will allow the NHS to monitor and better understand medication errors, with the aim of preventing them from happening.</w:t>
      </w:r>
      <w:r w:rsidR="009E51E4">
        <w:rPr>
          <w:rFonts w:ascii="Garamond" w:hAnsi="Garamond"/>
          <w:lang w:val="en-AU"/>
        </w:rPr>
        <w:t xml:space="preserve"> </w:t>
      </w:r>
      <w:r w:rsidRPr="005325AA">
        <w:rPr>
          <w:rFonts w:ascii="Garamond" w:hAnsi="Garamond"/>
          <w:lang w:val="en-AU"/>
        </w:rPr>
        <w:t xml:space="preserve">The first indicators focus on how different medicines may be contributing to people being admitted to hospital </w:t>
      </w:r>
      <w:r>
        <w:rPr>
          <w:rFonts w:ascii="Garamond" w:hAnsi="Garamond"/>
          <w:lang w:val="en-AU"/>
        </w:rPr>
        <w:t>with gastrointestinal bleeding. The dashboard includes national and regional data shown in tables, graphs and maps and allows users to see trends over time.</w:t>
      </w:r>
    </w:p>
    <w:p w:rsidR="005325AA" w:rsidRPr="005325AA" w:rsidRDefault="005325AA" w:rsidP="009E51E4">
      <w:pPr>
        <w:keepLines/>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302121" w:rsidP="00817F1F">
      <w:pPr>
        <w:keepNext/>
        <w:keepLines/>
        <w:rPr>
          <w:rFonts w:ascii="Garamond" w:hAnsi="Garamond"/>
          <w:u w:val="single"/>
          <w:lang w:val="en-AU"/>
        </w:rPr>
      </w:pPr>
      <w:hyperlink r:id="rId45" w:history="1">
        <w:r w:rsidR="00817F1F" w:rsidRPr="000170DA">
          <w:rPr>
            <w:rStyle w:val="Hyperlink"/>
            <w:rFonts w:ascii="Garamond" w:hAnsi="Garamond"/>
            <w:lang w:val="en-AU"/>
          </w:rPr>
          <w:t>https://www.nice.org.uk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C50D62" w:rsidRDefault="00EB694C" w:rsidP="00EB694C">
      <w:pPr>
        <w:pStyle w:val="ListParagraph"/>
        <w:keepNext/>
        <w:keepLines/>
        <w:numPr>
          <w:ilvl w:val="0"/>
          <w:numId w:val="14"/>
        </w:numPr>
        <w:rPr>
          <w:rFonts w:ascii="Garamond" w:hAnsi="Garamond"/>
          <w:lang w:val="en-AU"/>
        </w:rPr>
      </w:pPr>
      <w:r>
        <w:rPr>
          <w:rFonts w:ascii="Garamond" w:hAnsi="Garamond"/>
          <w:lang w:val="en-AU"/>
        </w:rPr>
        <w:t xml:space="preserve">Quality Standard QS170 </w:t>
      </w:r>
      <w:r w:rsidRPr="00EB694C">
        <w:rPr>
          <w:rFonts w:ascii="Garamond" w:hAnsi="Garamond"/>
          <w:b/>
          <w:i/>
          <w:lang w:val="en-AU"/>
        </w:rPr>
        <w:t>Spondyloarthritis</w:t>
      </w:r>
      <w:r>
        <w:rPr>
          <w:rFonts w:ascii="Garamond" w:hAnsi="Garamond"/>
          <w:lang w:val="en-AU"/>
        </w:rPr>
        <w:t xml:space="preserve"> </w:t>
      </w:r>
      <w:hyperlink r:id="rId46" w:history="1">
        <w:r w:rsidRPr="00FE01A1">
          <w:rPr>
            <w:rStyle w:val="Hyperlink"/>
            <w:rFonts w:ascii="Garamond" w:hAnsi="Garamond"/>
            <w:lang w:val="en-AU"/>
          </w:rPr>
          <w:t>https://www.nice.org.uk/guidance/qs170</w:t>
        </w:r>
      </w:hyperlink>
    </w:p>
    <w:p w:rsidR="00C62CFD" w:rsidRDefault="00C62CFD" w:rsidP="009E51E4">
      <w:pPr>
        <w:keepLines/>
        <w:rPr>
          <w:rFonts w:ascii="Garamond" w:hAnsi="Garamond"/>
          <w:i/>
          <w:lang w:val="en-AU"/>
        </w:rPr>
      </w:pPr>
    </w:p>
    <w:p w:rsidR="00EA75C9" w:rsidRPr="007A47A8" w:rsidRDefault="00EA75C9" w:rsidP="00EA75C9">
      <w:pPr>
        <w:keepNext/>
        <w:keepLines/>
        <w:rPr>
          <w:rFonts w:ascii="Garamond" w:hAnsi="Garamond"/>
          <w:i/>
          <w:lang w:val="en-AU"/>
        </w:rPr>
      </w:pPr>
      <w:r w:rsidRPr="007A47A8">
        <w:rPr>
          <w:rFonts w:ascii="Garamond" w:hAnsi="Garamond"/>
          <w:i/>
          <w:lang w:val="en-AU"/>
        </w:rPr>
        <w:t>[UK] National Institute for Health Research</w:t>
      </w:r>
    </w:p>
    <w:p w:rsidR="00EA75C9" w:rsidRPr="007A47A8" w:rsidRDefault="00EA75C9" w:rsidP="00EA75C9">
      <w:pPr>
        <w:keepNext/>
        <w:keepLines/>
        <w:rPr>
          <w:rStyle w:val="Hyperlink"/>
          <w:rFonts w:ascii="Garamond" w:hAnsi="Garamond"/>
          <w:lang w:val="en-AU"/>
        </w:rPr>
      </w:pPr>
      <w:bookmarkStart w:id="1" w:name="_GoBack"/>
      <w:r w:rsidRPr="0054200E">
        <w:rPr>
          <w:rStyle w:val="Hyperlink"/>
          <w:rFonts w:ascii="Garamond" w:hAnsi="Garamond"/>
          <w:lang w:val="en-AU"/>
        </w:rPr>
        <w:t>https://discover.dc.nihr.ac.uk/portal/search/signals</w:t>
      </w:r>
    </w:p>
    <w:p w:rsidR="00EA75C9" w:rsidRDefault="00EA75C9" w:rsidP="00EA75C9">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EA75C9" w:rsidRPr="00EA75C9" w:rsidRDefault="00EA75C9" w:rsidP="00EA75C9">
      <w:pPr>
        <w:pStyle w:val="ListParagraph"/>
        <w:keepNext/>
        <w:keepLines/>
        <w:numPr>
          <w:ilvl w:val="0"/>
          <w:numId w:val="14"/>
        </w:numPr>
        <w:rPr>
          <w:rFonts w:ascii="Garamond" w:hAnsi="Garamond"/>
          <w:lang w:val="en-AU"/>
        </w:rPr>
      </w:pPr>
      <w:r w:rsidRPr="00EA75C9">
        <w:rPr>
          <w:rFonts w:ascii="Garamond" w:hAnsi="Garamond"/>
          <w:lang w:val="en-AU"/>
        </w:rPr>
        <w:t>Group-based diet and exercise pro</w:t>
      </w:r>
      <w:r w:rsidR="00A25F0D">
        <w:rPr>
          <w:rFonts w:ascii="Garamond" w:hAnsi="Garamond"/>
          <w:lang w:val="en-AU"/>
        </w:rPr>
        <w:t xml:space="preserve">grammes can lead to </w:t>
      </w:r>
      <w:r w:rsidR="00A25F0D" w:rsidRPr="00A25F0D">
        <w:rPr>
          <w:rFonts w:ascii="Garamond" w:hAnsi="Garamond"/>
          <w:b/>
          <w:lang w:val="en-AU"/>
        </w:rPr>
        <w:t>weight loss</w:t>
      </w:r>
    </w:p>
    <w:p w:rsidR="00EA75C9" w:rsidRPr="00EA75C9" w:rsidRDefault="00EA75C9" w:rsidP="00EA75C9">
      <w:pPr>
        <w:pStyle w:val="ListParagraph"/>
        <w:keepNext/>
        <w:keepLines/>
        <w:numPr>
          <w:ilvl w:val="0"/>
          <w:numId w:val="14"/>
        </w:numPr>
        <w:rPr>
          <w:rFonts w:ascii="Garamond" w:hAnsi="Garamond"/>
          <w:lang w:val="en-AU"/>
        </w:rPr>
      </w:pPr>
      <w:r w:rsidRPr="00EA75C9">
        <w:rPr>
          <w:rFonts w:ascii="Garamond" w:hAnsi="Garamond"/>
          <w:lang w:val="en-AU"/>
        </w:rPr>
        <w:t>Yoga-based exercise can impr</w:t>
      </w:r>
      <w:r w:rsidR="00A25F0D">
        <w:rPr>
          <w:rFonts w:ascii="Garamond" w:hAnsi="Garamond"/>
          <w:lang w:val="en-AU"/>
        </w:rPr>
        <w:t xml:space="preserve">ove </w:t>
      </w:r>
      <w:r w:rsidR="00A25F0D" w:rsidRPr="00A25F0D">
        <w:rPr>
          <w:rFonts w:ascii="Garamond" w:hAnsi="Garamond"/>
          <w:b/>
          <w:lang w:val="en-AU"/>
        </w:rPr>
        <w:t>well-being for older people</w:t>
      </w:r>
    </w:p>
    <w:p w:rsidR="00EA75C9" w:rsidRPr="00EA75C9" w:rsidRDefault="00EA75C9" w:rsidP="00EA75C9">
      <w:pPr>
        <w:pStyle w:val="ListParagraph"/>
        <w:keepNext/>
        <w:keepLines/>
        <w:numPr>
          <w:ilvl w:val="0"/>
          <w:numId w:val="14"/>
        </w:numPr>
        <w:rPr>
          <w:rFonts w:ascii="Garamond" w:hAnsi="Garamond"/>
          <w:lang w:val="en-AU"/>
        </w:rPr>
      </w:pPr>
      <w:r w:rsidRPr="00EA75C9">
        <w:rPr>
          <w:rFonts w:ascii="Garamond" w:hAnsi="Garamond"/>
          <w:lang w:val="en-AU"/>
        </w:rPr>
        <w:t>Early, intense rehabilitation helps recovery afte</w:t>
      </w:r>
      <w:r w:rsidR="00A25F0D">
        <w:rPr>
          <w:rFonts w:ascii="Garamond" w:hAnsi="Garamond"/>
          <w:lang w:val="en-AU"/>
        </w:rPr>
        <w:t xml:space="preserve">r </w:t>
      </w:r>
      <w:r w:rsidR="00A25F0D" w:rsidRPr="00A25F0D">
        <w:rPr>
          <w:rFonts w:ascii="Garamond" w:hAnsi="Garamond"/>
          <w:b/>
          <w:lang w:val="en-AU"/>
        </w:rPr>
        <w:t>serious traumatic head injury</w:t>
      </w:r>
    </w:p>
    <w:p w:rsidR="00EA75C9" w:rsidRPr="00EA75C9" w:rsidRDefault="00EA75C9" w:rsidP="00EA75C9">
      <w:pPr>
        <w:pStyle w:val="ListParagraph"/>
        <w:keepNext/>
        <w:keepLines/>
        <w:numPr>
          <w:ilvl w:val="0"/>
          <w:numId w:val="14"/>
        </w:numPr>
        <w:rPr>
          <w:rFonts w:ascii="Garamond" w:hAnsi="Garamond"/>
          <w:lang w:val="en-AU"/>
        </w:rPr>
      </w:pPr>
      <w:r w:rsidRPr="00A25F0D">
        <w:rPr>
          <w:rFonts w:ascii="Garamond" w:hAnsi="Garamond"/>
          <w:b/>
          <w:lang w:val="en-AU"/>
        </w:rPr>
        <w:t>Balanced electrolyte solutions</w:t>
      </w:r>
      <w:r w:rsidRPr="00EA75C9">
        <w:rPr>
          <w:rFonts w:ascii="Garamond" w:hAnsi="Garamond"/>
          <w:lang w:val="en-AU"/>
        </w:rPr>
        <w:t xml:space="preserve"> give marginal benefit ov</w:t>
      </w:r>
      <w:r w:rsidR="00A25F0D">
        <w:rPr>
          <w:rFonts w:ascii="Garamond" w:hAnsi="Garamond"/>
          <w:lang w:val="en-AU"/>
        </w:rPr>
        <w:t xml:space="preserve">er </w:t>
      </w:r>
      <w:r w:rsidR="00A25F0D" w:rsidRPr="00A25F0D">
        <w:rPr>
          <w:rFonts w:ascii="Garamond" w:hAnsi="Garamond"/>
          <w:b/>
          <w:lang w:val="en-AU"/>
        </w:rPr>
        <w:t>saline</w:t>
      </w:r>
      <w:r w:rsidR="00A25F0D">
        <w:rPr>
          <w:rFonts w:ascii="Garamond" w:hAnsi="Garamond"/>
          <w:lang w:val="en-AU"/>
        </w:rPr>
        <w:t xml:space="preserve"> for very ill patients</w:t>
      </w:r>
    </w:p>
    <w:p w:rsidR="00EA75C9" w:rsidRPr="00EA75C9" w:rsidRDefault="00EA75C9" w:rsidP="00EA75C9">
      <w:pPr>
        <w:pStyle w:val="ListParagraph"/>
        <w:keepNext/>
        <w:keepLines/>
        <w:numPr>
          <w:ilvl w:val="0"/>
          <w:numId w:val="14"/>
        </w:numPr>
        <w:rPr>
          <w:rFonts w:ascii="Garamond" w:hAnsi="Garamond"/>
          <w:lang w:val="en-AU"/>
        </w:rPr>
      </w:pPr>
      <w:r w:rsidRPr="00EA75C9">
        <w:rPr>
          <w:rFonts w:ascii="Garamond" w:hAnsi="Garamond"/>
          <w:lang w:val="en-AU"/>
        </w:rPr>
        <w:t xml:space="preserve">Balance of long-term benefits and risks </w:t>
      </w:r>
      <w:r w:rsidR="00A25F0D">
        <w:rPr>
          <w:rFonts w:ascii="Garamond" w:hAnsi="Garamond"/>
          <w:lang w:val="en-AU"/>
        </w:rPr>
        <w:t xml:space="preserve">of </w:t>
      </w:r>
      <w:r w:rsidR="00A25F0D" w:rsidRPr="00A25F0D">
        <w:rPr>
          <w:rFonts w:ascii="Garamond" w:hAnsi="Garamond"/>
          <w:b/>
          <w:lang w:val="en-AU"/>
        </w:rPr>
        <w:t>caesarean delivery</w:t>
      </w:r>
      <w:r w:rsidR="00A25F0D">
        <w:rPr>
          <w:rFonts w:ascii="Garamond" w:hAnsi="Garamond"/>
          <w:lang w:val="en-AU"/>
        </w:rPr>
        <w:t xml:space="preserve"> explained</w:t>
      </w:r>
    </w:p>
    <w:p w:rsidR="00EA75C9" w:rsidRPr="00EA75C9" w:rsidRDefault="00EA75C9" w:rsidP="00EA75C9">
      <w:pPr>
        <w:pStyle w:val="ListParagraph"/>
        <w:keepNext/>
        <w:keepLines/>
        <w:numPr>
          <w:ilvl w:val="0"/>
          <w:numId w:val="14"/>
        </w:numPr>
        <w:rPr>
          <w:rFonts w:ascii="Garamond" w:hAnsi="Garamond"/>
          <w:lang w:val="en-AU"/>
        </w:rPr>
      </w:pPr>
      <w:r w:rsidRPr="00EA75C9">
        <w:rPr>
          <w:rFonts w:ascii="Garamond" w:hAnsi="Garamond"/>
          <w:lang w:val="en-AU"/>
        </w:rPr>
        <w:t xml:space="preserve">Single routine offer of a blood test for </w:t>
      </w:r>
      <w:r w:rsidRPr="00A25F0D">
        <w:rPr>
          <w:rFonts w:ascii="Garamond" w:hAnsi="Garamond"/>
          <w:b/>
          <w:lang w:val="en-AU"/>
        </w:rPr>
        <w:t>pro</w:t>
      </w:r>
      <w:r w:rsidR="00A25F0D" w:rsidRPr="00A25F0D">
        <w:rPr>
          <w:rFonts w:ascii="Garamond" w:hAnsi="Garamond"/>
          <w:b/>
          <w:lang w:val="en-AU"/>
        </w:rPr>
        <w:t>state cancer</w:t>
      </w:r>
      <w:r w:rsidR="00A25F0D">
        <w:rPr>
          <w:rFonts w:ascii="Garamond" w:hAnsi="Garamond"/>
          <w:lang w:val="en-AU"/>
        </w:rPr>
        <w:t xml:space="preserve"> did not save lives</w:t>
      </w:r>
    </w:p>
    <w:p w:rsidR="00EA75C9" w:rsidRPr="00EA75C9" w:rsidRDefault="00EA75C9" w:rsidP="00EA75C9">
      <w:pPr>
        <w:pStyle w:val="ListParagraph"/>
        <w:keepNext/>
        <w:keepLines/>
        <w:numPr>
          <w:ilvl w:val="0"/>
          <w:numId w:val="14"/>
        </w:numPr>
        <w:rPr>
          <w:rFonts w:ascii="Garamond" w:hAnsi="Garamond"/>
          <w:lang w:val="en-AU"/>
        </w:rPr>
      </w:pPr>
      <w:r w:rsidRPr="00EA75C9">
        <w:rPr>
          <w:rFonts w:ascii="Garamond" w:hAnsi="Garamond"/>
          <w:lang w:val="en-AU"/>
        </w:rPr>
        <w:t>Fewer side-effects and similar benefits from shorter chemothe</w:t>
      </w:r>
      <w:r w:rsidR="00A25F0D">
        <w:rPr>
          <w:rFonts w:ascii="Garamond" w:hAnsi="Garamond"/>
          <w:lang w:val="en-AU"/>
        </w:rPr>
        <w:t xml:space="preserve">rapy after </w:t>
      </w:r>
      <w:r w:rsidR="00A25F0D" w:rsidRPr="00A25F0D">
        <w:rPr>
          <w:rFonts w:ascii="Garamond" w:hAnsi="Garamond"/>
          <w:b/>
          <w:lang w:val="en-AU"/>
        </w:rPr>
        <w:t>bowel cancer surgery</w:t>
      </w:r>
    </w:p>
    <w:p w:rsidR="00EA75C9" w:rsidRPr="00EA75C9" w:rsidRDefault="00EA75C9" w:rsidP="00EA75C9">
      <w:pPr>
        <w:pStyle w:val="ListParagraph"/>
        <w:keepNext/>
        <w:keepLines/>
        <w:numPr>
          <w:ilvl w:val="0"/>
          <w:numId w:val="14"/>
        </w:numPr>
        <w:rPr>
          <w:rFonts w:ascii="Garamond" w:hAnsi="Garamond"/>
          <w:lang w:val="en-AU"/>
        </w:rPr>
      </w:pPr>
      <w:r w:rsidRPr="00EA75C9">
        <w:rPr>
          <w:rFonts w:ascii="Garamond" w:hAnsi="Garamond"/>
          <w:lang w:val="en-AU"/>
        </w:rPr>
        <w:t xml:space="preserve">Mesh repair of </w:t>
      </w:r>
      <w:r w:rsidRPr="00A25F0D">
        <w:rPr>
          <w:rFonts w:ascii="Garamond" w:hAnsi="Garamond"/>
          <w:b/>
          <w:lang w:val="en-AU"/>
        </w:rPr>
        <w:t>small umbilical hernias</w:t>
      </w:r>
      <w:r w:rsidRPr="00EA75C9">
        <w:rPr>
          <w:rFonts w:ascii="Garamond" w:hAnsi="Garamond"/>
          <w:lang w:val="en-AU"/>
        </w:rPr>
        <w:t xml:space="preserve"> reduces</w:t>
      </w:r>
      <w:r w:rsidR="00A25F0D">
        <w:rPr>
          <w:rFonts w:ascii="Garamond" w:hAnsi="Garamond"/>
          <w:lang w:val="en-AU"/>
        </w:rPr>
        <w:t xml:space="preserve"> recurrence compared to sutures</w:t>
      </w:r>
    </w:p>
    <w:p w:rsidR="00EA75C9" w:rsidRPr="00EA75C9" w:rsidRDefault="00EA75C9" w:rsidP="00EA75C9">
      <w:pPr>
        <w:pStyle w:val="ListParagraph"/>
        <w:keepNext/>
        <w:keepLines/>
        <w:numPr>
          <w:ilvl w:val="0"/>
          <w:numId w:val="14"/>
        </w:numPr>
        <w:rPr>
          <w:rFonts w:ascii="Garamond" w:hAnsi="Garamond"/>
          <w:lang w:val="en-AU"/>
        </w:rPr>
      </w:pPr>
      <w:r w:rsidRPr="00EA75C9">
        <w:rPr>
          <w:rFonts w:ascii="Garamond" w:hAnsi="Garamond"/>
          <w:lang w:val="en-AU"/>
        </w:rPr>
        <w:t xml:space="preserve">Prescribing anti-inflammatories for </w:t>
      </w:r>
      <w:r w:rsidRPr="00A25F0D">
        <w:rPr>
          <w:rFonts w:ascii="Garamond" w:hAnsi="Garamond"/>
          <w:b/>
          <w:lang w:val="en-AU"/>
        </w:rPr>
        <w:t>urine infection</w:t>
      </w:r>
      <w:r w:rsidRPr="00EA75C9">
        <w:rPr>
          <w:rFonts w:ascii="Garamond" w:hAnsi="Garamond"/>
          <w:lang w:val="en-AU"/>
        </w:rPr>
        <w:t xml:space="preserve"> reduces antibiotic use but increases complication risk </w:t>
      </w:r>
    </w:p>
    <w:p w:rsidR="00EA75C9" w:rsidRDefault="00EA75C9" w:rsidP="00EA75C9">
      <w:pPr>
        <w:pStyle w:val="ListParagraph"/>
        <w:keepNext/>
        <w:keepLines/>
        <w:numPr>
          <w:ilvl w:val="0"/>
          <w:numId w:val="14"/>
        </w:numPr>
        <w:rPr>
          <w:rFonts w:ascii="Garamond" w:hAnsi="Garamond"/>
          <w:lang w:val="en-AU"/>
        </w:rPr>
      </w:pPr>
      <w:r w:rsidRPr="00EA75C9">
        <w:rPr>
          <w:rFonts w:ascii="Garamond" w:hAnsi="Garamond"/>
          <w:lang w:val="en-AU"/>
        </w:rPr>
        <w:t xml:space="preserve">Aspirin may be a follow-on option to prevent </w:t>
      </w:r>
      <w:r w:rsidRPr="00A25F0D">
        <w:rPr>
          <w:rFonts w:ascii="Garamond" w:hAnsi="Garamond"/>
          <w:b/>
          <w:lang w:val="en-AU"/>
        </w:rPr>
        <w:t>blood clots</w:t>
      </w:r>
      <w:r w:rsidRPr="00EA75C9">
        <w:rPr>
          <w:rFonts w:ascii="Garamond" w:hAnsi="Garamond"/>
          <w:lang w:val="en-AU"/>
        </w:rPr>
        <w:t xml:space="preserve">, starting five days after </w:t>
      </w:r>
      <w:r w:rsidRPr="00A25F0D">
        <w:rPr>
          <w:rFonts w:ascii="Garamond" w:hAnsi="Garamond"/>
          <w:b/>
          <w:lang w:val="en-AU"/>
        </w:rPr>
        <w:t>hip or knee surgery</w:t>
      </w:r>
      <w:r w:rsidR="00A25F0D">
        <w:rPr>
          <w:rFonts w:ascii="Garamond" w:hAnsi="Garamond"/>
          <w:lang w:val="en-AU"/>
        </w:rPr>
        <w:t>.</w:t>
      </w:r>
    </w:p>
    <w:bookmarkEnd w:id="1"/>
    <w:p w:rsidR="009A34AA" w:rsidRDefault="009A34AA" w:rsidP="009E51E4">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7"/>
      <w:footerReference w:type="default" r:id="rId4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DF" w:rsidRDefault="00373BDF">
      <w:r>
        <w:separator/>
      </w:r>
    </w:p>
  </w:endnote>
  <w:endnote w:type="continuationSeparator" w:id="0">
    <w:p w:rsidR="00373BDF" w:rsidRDefault="003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Default="00373BD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E54BF">
      <w:rPr>
        <w:rStyle w:val="PageNumber"/>
        <w:noProof/>
      </w:rPr>
      <w:t>8</w:t>
    </w:r>
    <w:r>
      <w:rPr>
        <w:rStyle w:val="PageNumber"/>
      </w:rPr>
      <w:fldChar w:fldCharType="end"/>
    </w:r>
  </w:p>
  <w:p w:rsidR="00C022E3" w:rsidRPr="001E78F0" w:rsidRDefault="00373BD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E2A35">
      <w:rPr>
        <w:rFonts w:ascii="Garamond" w:hAnsi="Garamond"/>
      </w:rPr>
      <w:t>37</w:t>
    </w:r>
    <w:r w:rsidR="00C50D62">
      <w:rPr>
        <w:rFonts w:ascii="Garamond" w:hAnsi="Garamond"/>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Pr="001E78F0" w:rsidRDefault="00373BD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02121">
      <w:rPr>
        <w:rStyle w:val="PageNumber"/>
        <w:rFonts w:ascii="Garamond" w:hAnsi="Garamond"/>
        <w:noProof/>
      </w:rPr>
      <w:t>9</w:t>
    </w:r>
    <w:r w:rsidRPr="001E78F0">
      <w:rPr>
        <w:rStyle w:val="PageNumber"/>
        <w:rFonts w:ascii="Garamond" w:hAnsi="Garamond"/>
      </w:rPr>
      <w:fldChar w:fldCharType="end"/>
    </w:r>
  </w:p>
  <w:p w:rsidR="00373BDF" w:rsidRPr="001E78F0" w:rsidRDefault="00373BD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w:t>
    </w:r>
    <w:r w:rsidR="00C022E3">
      <w:rPr>
        <w:rFonts w:ascii="Garamond" w:hAnsi="Garamond"/>
      </w:rPr>
      <w:t>37</w:t>
    </w:r>
    <w:r w:rsidR="00C50D62">
      <w:rPr>
        <w:rFonts w:ascii="Garamond" w:hAnsi="Garamond"/>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DF" w:rsidRDefault="00373BDF">
      <w:r>
        <w:separator/>
      </w:r>
    </w:p>
  </w:footnote>
  <w:footnote w:type="continuationSeparator" w:id="0">
    <w:p w:rsidR="00373BDF" w:rsidRDefault="00373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FE66CC"/>
    <w:multiLevelType w:val="hybridMultilevel"/>
    <w:tmpl w:val="B4768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134242"/>
    <w:multiLevelType w:val="hybridMultilevel"/>
    <w:tmpl w:val="9656DF78"/>
    <w:lvl w:ilvl="0" w:tplc="CBB2EC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AD21F3"/>
    <w:multiLevelType w:val="hybridMultilevel"/>
    <w:tmpl w:val="2A288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181472"/>
    <w:multiLevelType w:val="hybridMultilevel"/>
    <w:tmpl w:val="3FD4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8D1464"/>
    <w:multiLevelType w:val="hybridMultilevel"/>
    <w:tmpl w:val="E944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0E33C8"/>
    <w:multiLevelType w:val="hybridMultilevel"/>
    <w:tmpl w:val="633C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734C69"/>
    <w:multiLevelType w:val="hybridMultilevel"/>
    <w:tmpl w:val="3838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3160DB"/>
    <w:multiLevelType w:val="hybridMultilevel"/>
    <w:tmpl w:val="F81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44433BF"/>
    <w:multiLevelType w:val="hybridMultilevel"/>
    <w:tmpl w:val="C7D4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A845E49"/>
    <w:multiLevelType w:val="hybridMultilevel"/>
    <w:tmpl w:val="AC2822C8"/>
    <w:lvl w:ilvl="0" w:tplc="496C095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0"/>
  </w:num>
  <w:num w:numId="16">
    <w:abstractNumId w:val="14"/>
  </w:num>
  <w:num w:numId="17">
    <w:abstractNumId w:val="25"/>
  </w:num>
  <w:num w:numId="18">
    <w:abstractNumId w:val="22"/>
  </w:num>
  <w:num w:numId="19">
    <w:abstractNumId w:val="12"/>
  </w:num>
  <w:num w:numId="20">
    <w:abstractNumId w:val="19"/>
  </w:num>
  <w:num w:numId="21">
    <w:abstractNumId w:val="24"/>
  </w:num>
  <w:num w:numId="22">
    <w:abstractNumId w:val="13"/>
  </w:num>
  <w:num w:numId="23">
    <w:abstractNumId w:val="15"/>
  </w:num>
  <w:num w:numId="24">
    <w:abstractNumId w:val="20"/>
  </w:num>
  <w:num w:numId="25">
    <w:abstractNumId w:val="16"/>
  </w:num>
  <w:num w:numId="26">
    <w:abstractNumId w:val="26"/>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1A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B6"/>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BF"/>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A6B"/>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21"/>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407"/>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129"/>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7FA"/>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7B9"/>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5B4"/>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BB4"/>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4F63"/>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1E4"/>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053"/>
    <w:rsid w:val="00A1245A"/>
    <w:rsid w:val="00A12562"/>
    <w:rsid w:val="00A1268B"/>
    <w:rsid w:val="00A12918"/>
    <w:rsid w:val="00A12B1B"/>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770"/>
    <w:rsid w:val="00A24AD1"/>
    <w:rsid w:val="00A24C49"/>
    <w:rsid w:val="00A24C9E"/>
    <w:rsid w:val="00A251BD"/>
    <w:rsid w:val="00A252F6"/>
    <w:rsid w:val="00A2544F"/>
    <w:rsid w:val="00A255F3"/>
    <w:rsid w:val="00A258C9"/>
    <w:rsid w:val="00A25A83"/>
    <w:rsid w:val="00A25B02"/>
    <w:rsid w:val="00A25C92"/>
    <w:rsid w:val="00A25D55"/>
    <w:rsid w:val="00A25E97"/>
    <w:rsid w:val="00A25F0D"/>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5C9"/>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94C"/>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10B"/>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patient-and-consumer-centred-care/person-centred-organisations" TargetMode="External"/><Relationship Id="rId26" Type="http://schemas.openxmlformats.org/officeDocument/2006/relationships/hyperlink" Target="https://doi.org/10.1001/jama.2018.8361" TargetMode="External"/><Relationship Id="rId39" Type="http://schemas.openxmlformats.org/officeDocument/2006/relationships/hyperlink" Target="mailto:cognitive.impairment@safetyandquality.gov.au"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doi.org/10.1037/amp0000244" TargetMode="External"/><Relationship Id="rId42" Type="http://schemas.openxmlformats.org/officeDocument/2006/relationships/hyperlink" Target="https://www.safetyandquality.gov.au/our-work/indicators/hospital-patient-experienc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jpeg"/><Relationship Id="rId25" Type="http://schemas.openxmlformats.org/officeDocument/2006/relationships/hyperlink" Target="https://doi.org/10.1001/jama.2018.5722" TargetMode="External"/><Relationship Id="rId33" Type="http://schemas.openxmlformats.org/officeDocument/2006/relationships/hyperlink" Target="https://www.safetyandquality.gov.au/our-work/primary-health-care/" TargetMode="External"/><Relationship Id="rId38" Type="http://schemas.openxmlformats.org/officeDocument/2006/relationships/hyperlink" Target="http://cognitivecare.gov.au/resources/campaign-resources/" TargetMode="External"/><Relationship Id="rId46" Type="http://schemas.openxmlformats.org/officeDocument/2006/relationships/hyperlink" Target="https://www.nice.org.uk/guidance/qs170" TargetMode="External"/><Relationship Id="rId2" Type="http://schemas.openxmlformats.org/officeDocument/2006/relationships/numbering" Target="numbering.xml"/><Relationship Id="rId16" Type="http://schemas.openxmlformats.org/officeDocument/2006/relationships/hyperlink" Target="https://www.safetyandquality.gov.au/our-work/patient-and-consumer-centred-care/person-centred-organisations/" TargetMode="External"/><Relationship Id="rId20" Type="http://schemas.openxmlformats.org/officeDocument/2006/relationships/hyperlink" Target="http://behaviouraleconomics.pmc.gov.au/projects/nudge-vs-superbugs-behavioural-economics-trial-reduce-overprescribing-antibiotics" TargetMode="External"/><Relationship Id="rId29" Type="http://schemas.openxmlformats.org/officeDocument/2006/relationships/hyperlink" Target="http://doi.org/10.1016/j.jamcollsurg.2018.04.031"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01/jama.2018.7498" TargetMode="External"/><Relationship Id="rId32" Type="http://schemas.openxmlformats.org/officeDocument/2006/relationships/hyperlink" Target="https://doi.org/10.1097/PTS.0000000000000393" TargetMode="External"/><Relationship Id="rId37" Type="http://schemas.openxmlformats.org/officeDocument/2006/relationships/hyperlink" Target="https://academic.oup.com/intqhc/advance-access" TargetMode="External"/><Relationship Id="rId40" Type="http://schemas.openxmlformats.org/officeDocument/2006/relationships/hyperlink" Target="http://www.cognitivecare.gov.au" TargetMode="External"/><Relationship Id="rId45" Type="http://schemas.openxmlformats.org/officeDocument/2006/relationships/hyperlink" Target="https://www.nice.org.uk"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healthcare-associated-infection/" TargetMode="External"/><Relationship Id="rId28" Type="http://schemas.openxmlformats.org/officeDocument/2006/relationships/hyperlink" Target="https://www.jointcommissionjournal.com/article/S1553-7250(18)30216-2/fulltext" TargetMode="External"/><Relationship Id="rId36" Type="http://schemas.openxmlformats.org/officeDocument/2006/relationships/hyperlink" Target="https://qualitysafety.bmj.com/content/early/recent" TargetMode="External"/><Relationship Id="rId49" Type="http://schemas.openxmlformats.org/officeDocument/2006/relationships/fontTable" Target="fontTable.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www.safetyandquality.gov.au/our-work/patient-and-consumer-centred-care" TargetMode="External"/><Relationship Id="rId31" Type="http://schemas.openxmlformats.org/officeDocument/2006/relationships/hyperlink" Target="https://doi.org/10.1111/jocn.13980" TargetMode="External"/><Relationship Id="rId44" Type="http://schemas.openxmlformats.org/officeDocument/2006/relationships/hyperlink" Target="https://apps.nhsbsa.nhs.uk/MOD/MedicationSafety/atlas.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antimicrobial-use-and-resistance-in-australia/" TargetMode="External"/><Relationship Id="rId27" Type="http://schemas.openxmlformats.org/officeDocument/2006/relationships/image" Target="media/image4.png"/><Relationship Id="rId30" Type="http://schemas.openxmlformats.org/officeDocument/2006/relationships/hyperlink" Target="https://doi.org/10.1001/jamasurg.2018.0985" TargetMode="External"/><Relationship Id="rId35" Type="http://schemas.openxmlformats.org/officeDocument/2006/relationships/hyperlink" Target="http://www.longwoods.com/publications/healthcare-quarterly/25519" TargetMode="External"/><Relationship Id="rId43" Type="http://schemas.openxmlformats.org/officeDocument/2006/relationships/hyperlink" Target="http://vifmcommuniques.org/clinical-communique-volume-5-issue-2-june-2018/" TargetMode="Externa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E3F4-604F-415B-B765-4F2E9042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9</Pages>
  <Words>3170</Words>
  <Characters>20579</Characters>
  <Application>Microsoft Office Word</Application>
  <DocSecurity>0</DocSecurity>
  <Lines>419</Lines>
  <Paragraphs>215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23534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14</cp:revision>
  <cp:lastPrinted>2018-03-02T02:34:00Z</cp:lastPrinted>
  <dcterms:created xsi:type="dcterms:W3CDTF">2018-06-24T23:25:00Z</dcterms:created>
  <dcterms:modified xsi:type="dcterms:W3CDTF">2018-06-29T03:57:00Z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