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7B3C4F">
        <w:rPr>
          <w:rFonts w:ascii="Garamond" w:hAnsi="Garamond"/>
          <w:color w:val="000000"/>
          <w:lang w:val="en-AU"/>
        </w:rPr>
        <w:t>78</w:t>
      </w:r>
    </w:p>
    <w:p w:rsidR="00755242" w:rsidRPr="00467B47" w:rsidRDefault="007B3C4F" w:rsidP="00B160EF">
      <w:pPr>
        <w:rPr>
          <w:rFonts w:ascii="Garamond" w:hAnsi="Garamond"/>
          <w:lang w:val="en-AU"/>
        </w:rPr>
      </w:pPr>
      <w:r>
        <w:rPr>
          <w:rFonts w:ascii="Garamond" w:hAnsi="Garamond"/>
          <w:lang w:val="en-AU"/>
        </w:rPr>
        <w:t>16</w:t>
      </w:r>
      <w:r w:rsidR="00D8030A">
        <w:rPr>
          <w:rFonts w:ascii="Garamond" w:hAnsi="Garamond"/>
          <w:lang w:val="en-AU"/>
        </w:rPr>
        <w:t xml:space="preserve"> Ju</w:t>
      </w:r>
      <w:r w:rsidR="00C50D62">
        <w:rPr>
          <w:rFonts w:ascii="Garamond" w:hAnsi="Garamond"/>
          <w:lang w:val="en-AU"/>
        </w:rPr>
        <w:t>ly</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244E48" w:rsidRDefault="00244E48" w:rsidP="00691DE3">
      <w:pPr>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244E48" w:rsidRDefault="00244E48" w:rsidP="0062009E">
      <w:pPr>
        <w:keepNext/>
        <w:keepLines/>
        <w:autoSpaceDE w:val="0"/>
        <w:autoSpaceDN w:val="0"/>
        <w:adjustRightInd w:val="0"/>
        <w:rPr>
          <w:rFonts w:ascii="Garamond" w:hAnsi="Garamond"/>
          <w:i/>
          <w:lang w:val="en-AU"/>
        </w:rPr>
      </w:pPr>
    </w:p>
    <w:p w:rsidR="00244E48" w:rsidRPr="00FE65B4" w:rsidRDefault="00244E48" w:rsidP="00244E48">
      <w:pPr>
        <w:keepNext/>
        <w:keepLines/>
        <w:autoSpaceDE w:val="0"/>
        <w:autoSpaceDN w:val="0"/>
        <w:adjustRightInd w:val="0"/>
        <w:rPr>
          <w:rFonts w:ascii="Garamond" w:hAnsi="Garamond"/>
          <w:i/>
          <w:lang w:val="en-AU"/>
        </w:rPr>
      </w:pPr>
      <w:r w:rsidRPr="00FE65B4">
        <w:rPr>
          <w:rFonts w:ascii="Garamond" w:hAnsi="Garamond"/>
          <w:i/>
          <w:lang w:val="en-AU"/>
        </w:rPr>
        <w:t>Digital-first primary care and its implications for general practice payments</w:t>
      </w:r>
    </w:p>
    <w:p w:rsidR="00244E48" w:rsidRDefault="00244E48" w:rsidP="00244E48">
      <w:pPr>
        <w:keepNext/>
        <w:keepLines/>
        <w:autoSpaceDE w:val="0"/>
        <w:autoSpaceDN w:val="0"/>
        <w:adjustRightInd w:val="0"/>
        <w:rPr>
          <w:rFonts w:ascii="Garamond" w:hAnsi="Garamond"/>
          <w:lang w:val="en-AU"/>
        </w:rPr>
      </w:pPr>
      <w:r>
        <w:rPr>
          <w:rFonts w:ascii="Garamond" w:hAnsi="Garamond"/>
          <w:lang w:val="en-AU"/>
        </w:rPr>
        <w:t>NHS England</w:t>
      </w:r>
    </w:p>
    <w:p w:rsidR="00244E48" w:rsidRPr="00E566B0" w:rsidRDefault="00244E48" w:rsidP="00244E48">
      <w:pPr>
        <w:keepNext/>
        <w:keepLines/>
        <w:autoSpaceDE w:val="0"/>
        <w:autoSpaceDN w:val="0"/>
        <w:adjustRightInd w:val="0"/>
        <w:rPr>
          <w:rFonts w:ascii="Garamond" w:hAnsi="Garamond"/>
          <w:lang w:val="en-AU"/>
        </w:rPr>
      </w:pPr>
      <w:r>
        <w:rPr>
          <w:rFonts w:ascii="Garamond" w:hAnsi="Garamond"/>
          <w:lang w:val="en-AU"/>
        </w:rPr>
        <w:t>London: NHS England; 2018. p.36.</w:t>
      </w:r>
    </w:p>
    <w:tbl>
      <w:tblPr>
        <w:tblStyle w:val="TableGrid"/>
        <w:tblW w:w="0" w:type="auto"/>
        <w:tblInd w:w="288" w:type="dxa"/>
        <w:tblLayout w:type="fixed"/>
        <w:tblLook w:val="01E0" w:firstRow="1" w:lastRow="1" w:firstColumn="1" w:lastColumn="1" w:noHBand="0" w:noVBand="0"/>
      </w:tblPr>
      <w:tblGrid>
        <w:gridCol w:w="1080"/>
        <w:gridCol w:w="8280"/>
      </w:tblGrid>
      <w:tr w:rsidR="00244E48" w:rsidRPr="000170DA" w:rsidTr="001E01CE">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1E01C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4E48" w:rsidRPr="000170DA" w:rsidRDefault="00E45C1E" w:rsidP="001E01CE">
            <w:pPr>
              <w:rPr>
                <w:rStyle w:val="Hyperlink"/>
                <w:rFonts w:ascii="Garamond" w:hAnsi="Garamond"/>
                <w:color w:val="auto"/>
                <w:u w:val="none"/>
                <w:lang w:val="en-AU"/>
              </w:rPr>
            </w:pPr>
            <w:hyperlink r:id="rId16" w:history="1">
              <w:r w:rsidR="00244E48" w:rsidRPr="00CA365D">
                <w:rPr>
                  <w:rStyle w:val="Hyperlink"/>
                  <w:rFonts w:ascii="Garamond" w:hAnsi="Garamond"/>
                  <w:lang w:val="en-AU"/>
                </w:rPr>
                <w:t>https://www.england.nhs.uk/2018/07/help-shape-modern-primary-care-says-nhs-england-as-part-of-nhs-long-term-plan/</w:t>
              </w:r>
            </w:hyperlink>
          </w:p>
        </w:tc>
      </w:tr>
      <w:tr w:rsidR="00244E48" w:rsidRPr="000170DA" w:rsidTr="001E01CE">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1E01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4E48" w:rsidRPr="000365E9" w:rsidRDefault="00244E48" w:rsidP="001E01CE">
            <w:pPr>
              <w:rPr>
                <w:rFonts w:ascii="Garamond" w:hAnsi="Garamond"/>
                <w:lang w:val="en-AU"/>
              </w:rPr>
            </w:pPr>
            <w:r>
              <w:rPr>
                <w:rFonts w:ascii="Garamond" w:hAnsi="Garamond"/>
                <w:lang w:val="en-AU"/>
              </w:rPr>
              <w:t xml:space="preserve">Digital technologies have come to alter many aspects of our lives, but how they will re-shape healthcare is very much a work in progress. NHS England has released this paper seeking views on how healthcare systems </w:t>
            </w:r>
            <w:r w:rsidRPr="00FE65B4">
              <w:rPr>
                <w:rFonts w:ascii="Garamond" w:hAnsi="Garamond"/>
                <w:lang w:val="en-AU"/>
              </w:rPr>
              <w:t>commission, contract and pay for</w:t>
            </w:r>
            <w:r>
              <w:rPr>
                <w:rFonts w:ascii="Garamond" w:hAnsi="Garamond"/>
                <w:lang w:val="en-AU"/>
              </w:rPr>
              <w:t xml:space="preserve"> </w:t>
            </w:r>
            <w:r w:rsidRPr="00FE65B4">
              <w:rPr>
                <w:rFonts w:ascii="Garamond" w:hAnsi="Garamond"/>
                <w:lang w:val="en-AU"/>
              </w:rPr>
              <w:t xml:space="preserve">care </w:t>
            </w:r>
            <w:r>
              <w:rPr>
                <w:rFonts w:ascii="Garamond" w:hAnsi="Garamond"/>
                <w:lang w:val="en-AU"/>
              </w:rPr>
              <w:t xml:space="preserve">that grasps </w:t>
            </w:r>
            <w:r w:rsidRPr="00FE65B4">
              <w:rPr>
                <w:rFonts w:ascii="Garamond" w:hAnsi="Garamond"/>
                <w:lang w:val="en-AU"/>
              </w:rPr>
              <w:t xml:space="preserve">the opportunities digital innovation offers </w:t>
            </w:r>
            <w:r>
              <w:rPr>
                <w:rFonts w:ascii="Garamond" w:hAnsi="Garamond"/>
                <w:lang w:val="en-AU"/>
              </w:rPr>
              <w:t xml:space="preserve">while </w:t>
            </w:r>
            <w:r w:rsidRPr="00FE65B4">
              <w:rPr>
                <w:rFonts w:ascii="Garamond" w:hAnsi="Garamond"/>
                <w:lang w:val="en-AU"/>
              </w:rPr>
              <w:t>ensuring that new</w:t>
            </w:r>
            <w:r>
              <w:rPr>
                <w:rFonts w:ascii="Garamond" w:hAnsi="Garamond"/>
                <w:lang w:val="en-AU"/>
              </w:rPr>
              <w:t xml:space="preserve"> </w:t>
            </w:r>
            <w:r w:rsidRPr="00FE65B4">
              <w:rPr>
                <w:rFonts w:ascii="Garamond" w:hAnsi="Garamond"/>
                <w:lang w:val="en-AU"/>
              </w:rPr>
              <w:t>technology is safely integrated into health and care pathways</w:t>
            </w:r>
            <w:r>
              <w:rPr>
                <w:rFonts w:ascii="Garamond" w:hAnsi="Garamond"/>
                <w:lang w:val="en-AU"/>
              </w:rPr>
              <w:t xml:space="preserve"> and does </w:t>
            </w:r>
            <w:r w:rsidRPr="00FE65B4">
              <w:rPr>
                <w:rFonts w:ascii="Garamond" w:hAnsi="Garamond"/>
                <w:lang w:val="en-AU"/>
              </w:rPr>
              <w:t>not unfairly</w:t>
            </w:r>
            <w:r>
              <w:rPr>
                <w:rFonts w:ascii="Garamond" w:hAnsi="Garamond"/>
                <w:lang w:val="en-AU"/>
              </w:rPr>
              <w:t xml:space="preserve"> </w:t>
            </w:r>
            <w:r w:rsidRPr="00FE65B4">
              <w:rPr>
                <w:rFonts w:ascii="Garamond" w:hAnsi="Garamond"/>
                <w:lang w:val="en-AU"/>
              </w:rPr>
              <w:t>destabilis</w:t>
            </w:r>
            <w:r>
              <w:rPr>
                <w:rFonts w:ascii="Garamond" w:hAnsi="Garamond"/>
                <w:lang w:val="en-AU"/>
              </w:rPr>
              <w:t>e</w:t>
            </w:r>
            <w:r w:rsidRPr="00FE65B4">
              <w:rPr>
                <w:rFonts w:ascii="Garamond" w:hAnsi="Garamond"/>
                <w:lang w:val="en-AU"/>
              </w:rPr>
              <w:t xml:space="preserve"> existing services</w:t>
            </w:r>
            <w:r>
              <w:rPr>
                <w:rFonts w:ascii="Garamond" w:hAnsi="Garamond"/>
                <w:lang w:val="en-AU"/>
              </w:rPr>
              <w:t xml:space="preserve">. The paper </w:t>
            </w:r>
            <w:r w:rsidRPr="00FE65B4">
              <w:rPr>
                <w:rFonts w:ascii="Garamond" w:hAnsi="Garamond"/>
                <w:lang w:val="en-AU"/>
              </w:rPr>
              <w:t>sets out a number of ways in</w:t>
            </w:r>
            <w:r>
              <w:rPr>
                <w:rFonts w:ascii="Garamond" w:hAnsi="Garamond"/>
                <w:lang w:val="en-AU"/>
              </w:rPr>
              <w:t xml:space="preserve"> </w:t>
            </w:r>
            <w:r w:rsidRPr="00FE65B4">
              <w:rPr>
                <w:rFonts w:ascii="Garamond" w:hAnsi="Garamond"/>
                <w:lang w:val="en-AU"/>
              </w:rPr>
              <w:t xml:space="preserve">which the payments for general practice </w:t>
            </w:r>
            <w:r>
              <w:rPr>
                <w:rFonts w:ascii="Garamond" w:hAnsi="Garamond"/>
                <w:lang w:val="en-AU"/>
              </w:rPr>
              <w:t xml:space="preserve">in the UK context </w:t>
            </w:r>
            <w:r w:rsidRPr="00FE65B4">
              <w:rPr>
                <w:rFonts w:ascii="Garamond" w:hAnsi="Garamond"/>
                <w:lang w:val="en-AU"/>
              </w:rPr>
              <w:t>may be updated to account for the</w:t>
            </w:r>
            <w:r>
              <w:rPr>
                <w:rFonts w:ascii="Garamond" w:hAnsi="Garamond"/>
                <w:lang w:val="en-AU"/>
              </w:rPr>
              <w:t xml:space="preserve"> </w:t>
            </w:r>
            <w:r w:rsidRPr="00FE65B4">
              <w:rPr>
                <w:rFonts w:ascii="Garamond" w:hAnsi="Garamond"/>
                <w:lang w:val="en-AU"/>
              </w:rPr>
              <w:t>emergence of digital-first access to primary care.</w:t>
            </w:r>
            <w:r>
              <w:rPr>
                <w:rFonts w:ascii="Garamond" w:hAnsi="Garamond"/>
                <w:lang w:val="en-AU"/>
              </w:rPr>
              <w:t xml:space="preserve"> These approaches may not withstand contact with the reality of the UK health system, but could serve as a useful concept to respond to – and to inform similar reflections in other settings/countries.</w:t>
            </w:r>
          </w:p>
        </w:tc>
      </w:tr>
    </w:tbl>
    <w:p w:rsidR="00244E48" w:rsidRDefault="00244E48" w:rsidP="00244E48">
      <w:pPr>
        <w:keepLines/>
        <w:autoSpaceDE w:val="0"/>
        <w:autoSpaceDN w:val="0"/>
        <w:adjustRightInd w:val="0"/>
        <w:rPr>
          <w:rFonts w:ascii="Garamond" w:hAnsi="Garamond"/>
          <w:lang w:val="en-AU"/>
        </w:rPr>
      </w:pPr>
    </w:p>
    <w:p w:rsidR="00577E8C" w:rsidRPr="00982A1C" w:rsidRDefault="0062009E" w:rsidP="0062009E">
      <w:pPr>
        <w:keepNext/>
        <w:keepLines/>
        <w:autoSpaceDE w:val="0"/>
        <w:autoSpaceDN w:val="0"/>
        <w:adjustRightInd w:val="0"/>
        <w:rPr>
          <w:rFonts w:ascii="Garamond" w:hAnsi="Garamond"/>
          <w:i/>
          <w:lang w:val="en-AU"/>
        </w:rPr>
      </w:pPr>
      <w:r w:rsidRPr="00982A1C">
        <w:rPr>
          <w:rFonts w:ascii="Garamond" w:hAnsi="Garamond"/>
          <w:i/>
          <w:lang w:val="en-AU"/>
        </w:rPr>
        <w:lastRenderedPageBreak/>
        <w:t>Investing in medication adherence improves health outcomes and health system efficiency: Adherence to medicines for diabetes, hypertension, and hyperlipidaemia</w:t>
      </w:r>
    </w:p>
    <w:p w:rsidR="00982A1C" w:rsidRDefault="00982A1C" w:rsidP="00982A1C">
      <w:pPr>
        <w:keepNext/>
        <w:keepLines/>
        <w:autoSpaceDE w:val="0"/>
        <w:autoSpaceDN w:val="0"/>
        <w:adjustRightInd w:val="0"/>
        <w:rPr>
          <w:rFonts w:ascii="Garamond" w:hAnsi="Garamond"/>
          <w:lang w:val="en-AU"/>
        </w:rPr>
      </w:pPr>
      <w:r w:rsidRPr="00982A1C">
        <w:rPr>
          <w:rFonts w:ascii="Garamond" w:hAnsi="Garamond"/>
          <w:lang w:val="en-AU"/>
        </w:rPr>
        <w:t>OECD Health Working Papers, No. 105</w:t>
      </w:r>
    </w:p>
    <w:p w:rsidR="00982A1C" w:rsidRDefault="00982A1C" w:rsidP="0062009E">
      <w:pPr>
        <w:keepNext/>
        <w:keepLines/>
        <w:autoSpaceDE w:val="0"/>
        <w:autoSpaceDN w:val="0"/>
        <w:adjustRightInd w:val="0"/>
        <w:rPr>
          <w:rFonts w:ascii="Garamond" w:hAnsi="Garamond"/>
          <w:lang w:val="en-AU"/>
        </w:rPr>
      </w:pPr>
      <w:r w:rsidRPr="00982A1C">
        <w:rPr>
          <w:rFonts w:ascii="Garamond" w:hAnsi="Garamond"/>
          <w:lang w:val="en-AU"/>
        </w:rPr>
        <w:t>Khan R, Socha-Dietrich K</w:t>
      </w:r>
    </w:p>
    <w:p w:rsidR="0062009E" w:rsidRPr="00E566B0" w:rsidRDefault="00982A1C" w:rsidP="0062009E">
      <w:pPr>
        <w:keepNext/>
        <w:keepLines/>
        <w:autoSpaceDE w:val="0"/>
        <w:autoSpaceDN w:val="0"/>
        <w:adjustRightInd w:val="0"/>
        <w:rPr>
          <w:rFonts w:ascii="Garamond" w:hAnsi="Garamond"/>
          <w:lang w:val="en-AU"/>
        </w:rPr>
      </w:pPr>
      <w:r w:rsidRPr="00982A1C">
        <w:rPr>
          <w:rFonts w:ascii="Garamond" w:hAnsi="Garamond"/>
          <w:lang w:val="en-AU"/>
        </w:rPr>
        <w:t>Paris: OECD Publishing; 2018. p. 39.</w:t>
      </w:r>
    </w:p>
    <w:tbl>
      <w:tblPr>
        <w:tblStyle w:val="TableGrid"/>
        <w:tblW w:w="0" w:type="auto"/>
        <w:tblInd w:w="288" w:type="dxa"/>
        <w:tblLayout w:type="fixed"/>
        <w:tblLook w:val="01E0" w:firstRow="1" w:lastRow="1" w:firstColumn="1" w:lastColumn="1" w:noHBand="0" w:noVBand="0"/>
      </w:tblPr>
      <w:tblGrid>
        <w:gridCol w:w="1080"/>
        <w:gridCol w:w="8280"/>
      </w:tblGrid>
      <w:tr w:rsidR="00A12053"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A12053" w:rsidRPr="000170DA" w:rsidRDefault="009D328A" w:rsidP="0043742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D328A" w:rsidRPr="000170DA" w:rsidRDefault="00E45C1E" w:rsidP="009D328A">
            <w:pPr>
              <w:rPr>
                <w:rStyle w:val="Hyperlink"/>
                <w:rFonts w:ascii="Garamond" w:hAnsi="Garamond"/>
                <w:color w:val="auto"/>
                <w:u w:val="none"/>
                <w:lang w:val="en-AU"/>
              </w:rPr>
            </w:pPr>
            <w:hyperlink r:id="rId17" w:history="1">
              <w:r w:rsidR="009D328A" w:rsidRPr="00CA365D">
                <w:rPr>
                  <w:rStyle w:val="Hyperlink"/>
                  <w:rFonts w:ascii="Garamond" w:hAnsi="Garamond"/>
                  <w:lang w:val="en-AU"/>
                </w:rPr>
                <w:t>https://doi.org/10.1787/8178962c-en</w:t>
              </w:r>
            </w:hyperlink>
          </w:p>
        </w:tc>
      </w:tr>
      <w:tr w:rsidR="00A12053"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A12053" w:rsidRPr="000170DA" w:rsidRDefault="00A12053" w:rsidP="004374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2A1C" w:rsidRDefault="00982A1C" w:rsidP="00C313FE">
            <w:pPr>
              <w:rPr>
                <w:rFonts w:ascii="Garamond" w:hAnsi="Garamond"/>
                <w:lang w:val="en-AU"/>
              </w:rPr>
            </w:pPr>
            <w:r>
              <w:rPr>
                <w:rFonts w:ascii="Garamond" w:hAnsi="Garamond"/>
                <w:lang w:val="en-AU"/>
              </w:rPr>
              <w:t xml:space="preserve">The authors of this OECD Health Working Paper observe that </w:t>
            </w:r>
            <w:r w:rsidRPr="00982A1C">
              <w:rPr>
                <w:rFonts w:ascii="Garamond" w:hAnsi="Garamond"/>
                <w:b/>
                <w:lang w:val="en-AU"/>
              </w:rPr>
              <w:t>poor adherence to medications</w:t>
            </w:r>
            <w:r w:rsidRPr="00982A1C">
              <w:rPr>
                <w:rFonts w:ascii="Garamond" w:hAnsi="Garamond"/>
                <w:lang w:val="en-AU"/>
              </w:rPr>
              <w:t xml:space="preserve"> affects approximately half of the patient population, leading to severe health </w:t>
            </w:r>
            <w:r w:rsidRPr="00982A1C">
              <w:rPr>
                <w:rFonts w:ascii="Garamond" w:hAnsi="Garamond"/>
                <w:b/>
                <w:lang w:val="en-AU"/>
              </w:rPr>
              <w:t>complications</w:t>
            </w:r>
            <w:r w:rsidRPr="00982A1C">
              <w:rPr>
                <w:rFonts w:ascii="Garamond" w:hAnsi="Garamond"/>
                <w:lang w:val="en-AU"/>
              </w:rPr>
              <w:t xml:space="preserve">, </w:t>
            </w:r>
            <w:r w:rsidRPr="00982A1C">
              <w:rPr>
                <w:rFonts w:ascii="Garamond" w:hAnsi="Garamond"/>
                <w:b/>
                <w:lang w:val="en-AU"/>
              </w:rPr>
              <w:t>premature deaths</w:t>
            </w:r>
            <w:r w:rsidRPr="00982A1C">
              <w:rPr>
                <w:rFonts w:ascii="Garamond" w:hAnsi="Garamond"/>
                <w:lang w:val="en-AU"/>
              </w:rPr>
              <w:t xml:space="preserve">, and an </w:t>
            </w:r>
            <w:r w:rsidRPr="00982A1C">
              <w:rPr>
                <w:rFonts w:ascii="Garamond" w:hAnsi="Garamond"/>
                <w:b/>
                <w:lang w:val="en-AU"/>
              </w:rPr>
              <w:t>increased use of healthcare services</w:t>
            </w:r>
            <w:r w:rsidRPr="00982A1C">
              <w:rPr>
                <w:rFonts w:ascii="Garamond" w:hAnsi="Garamond"/>
                <w:lang w:val="en-AU"/>
              </w:rPr>
              <w:t>. The</w:t>
            </w:r>
            <w:r>
              <w:rPr>
                <w:rFonts w:ascii="Garamond" w:hAnsi="Garamond"/>
                <w:lang w:val="en-AU"/>
              </w:rPr>
              <w:t xml:space="preserve">y assert that </w:t>
            </w:r>
            <w:r w:rsidRPr="00982A1C">
              <w:rPr>
                <w:rFonts w:ascii="Garamond" w:hAnsi="Garamond"/>
                <w:lang w:val="en-AU"/>
              </w:rPr>
              <w:t xml:space="preserve">three most prevalent chronic conditions – diabetes, hypertension, and hyperlipidaemia – stand out </w:t>
            </w:r>
            <w:r>
              <w:rPr>
                <w:rFonts w:ascii="Garamond" w:hAnsi="Garamond"/>
                <w:lang w:val="en-AU"/>
              </w:rPr>
              <w:t xml:space="preserve">for their </w:t>
            </w:r>
            <w:r w:rsidRPr="00982A1C">
              <w:rPr>
                <w:rFonts w:ascii="Garamond" w:hAnsi="Garamond"/>
                <w:lang w:val="en-AU"/>
              </w:rPr>
              <w:t xml:space="preserve">magnitude of </w:t>
            </w:r>
            <w:r w:rsidRPr="00982A1C">
              <w:rPr>
                <w:rFonts w:ascii="Garamond" w:hAnsi="Garamond"/>
                <w:b/>
                <w:lang w:val="en-AU"/>
              </w:rPr>
              <w:t>avoidable health complications, mortality, and healthcare costs</w:t>
            </w:r>
            <w:r w:rsidRPr="00982A1C">
              <w:rPr>
                <w:rFonts w:ascii="Garamond" w:hAnsi="Garamond"/>
                <w:lang w:val="en-AU"/>
              </w:rPr>
              <w:t xml:space="preserve">. Three broad reasons </w:t>
            </w:r>
            <w:r>
              <w:rPr>
                <w:rFonts w:ascii="Garamond" w:hAnsi="Garamond"/>
                <w:lang w:val="en-AU"/>
              </w:rPr>
              <w:t xml:space="preserve">are identified for the </w:t>
            </w:r>
            <w:r w:rsidRPr="00982A1C">
              <w:rPr>
                <w:rFonts w:ascii="Garamond" w:hAnsi="Garamond"/>
                <w:lang w:val="en-AU"/>
              </w:rPr>
              <w:t>low rates of adherence to chronic disease medications</w:t>
            </w:r>
            <w:r>
              <w:rPr>
                <w:rFonts w:ascii="Garamond" w:hAnsi="Garamond"/>
                <w:lang w:val="en-AU"/>
              </w:rPr>
              <w:t>:</w:t>
            </w:r>
          </w:p>
          <w:p w:rsidR="00982A1C" w:rsidRDefault="00982A1C" w:rsidP="00982A1C">
            <w:pPr>
              <w:pStyle w:val="ListParagraph"/>
              <w:numPr>
                <w:ilvl w:val="0"/>
                <w:numId w:val="30"/>
              </w:numPr>
              <w:rPr>
                <w:rFonts w:ascii="Garamond" w:hAnsi="Garamond"/>
                <w:lang w:val="en-AU"/>
              </w:rPr>
            </w:pPr>
            <w:r w:rsidRPr="00982A1C">
              <w:rPr>
                <w:rFonts w:ascii="Garamond" w:hAnsi="Garamond"/>
                <w:lang w:val="en-AU"/>
              </w:rPr>
              <w:t>The problem of poor adherence has rarely been explicitly included in national health policy agendas</w:t>
            </w:r>
          </w:p>
          <w:p w:rsidR="00982A1C" w:rsidRDefault="00982A1C" w:rsidP="00982A1C">
            <w:pPr>
              <w:pStyle w:val="ListParagraph"/>
              <w:numPr>
                <w:ilvl w:val="0"/>
                <w:numId w:val="30"/>
              </w:numPr>
              <w:rPr>
                <w:rFonts w:ascii="Garamond" w:hAnsi="Garamond"/>
                <w:lang w:val="en-AU"/>
              </w:rPr>
            </w:pPr>
            <w:r>
              <w:rPr>
                <w:rFonts w:ascii="Garamond" w:hAnsi="Garamond"/>
                <w:lang w:val="en-AU"/>
              </w:rPr>
              <w:t>I</w:t>
            </w:r>
            <w:r w:rsidRPr="00982A1C">
              <w:rPr>
                <w:rFonts w:ascii="Garamond" w:hAnsi="Garamond"/>
                <w:lang w:val="en-AU"/>
              </w:rPr>
              <w:t xml:space="preserve">nterventions tend to attribute the problem exclusively to patients, while the </w:t>
            </w:r>
            <w:r>
              <w:rPr>
                <w:rFonts w:ascii="Garamond" w:hAnsi="Garamond"/>
                <w:lang w:val="en-AU"/>
              </w:rPr>
              <w:t xml:space="preserve">authors argue that the </w:t>
            </w:r>
            <w:r w:rsidRPr="00982A1C">
              <w:rPr>
                <w:rFonts w:ascii="Garamond" w:hAnsi="Garamond"/>
                <w:lang w:val="en-AU"/>
              </w:rPr>
              <w:t xml:space="preserve">evidence suggests that health system characteristics – in particular the quality of </w:t>
            </w:r>
            <w:r w:rsidRPr="00982A1C">
              <w:rPr>
                <w:rFonts w:ascii="Garamond" w:hAnsi="Garamond"/>
                <w:b/>
                <w:lang w:val="en-AU"/>
              </w:rPr>
              <w:t>patient-provider interaction</w:t>
            </w:r>
            <w:r w:rsidRPr="00982A1C">
              <w:rPr>
                <w:rFonts w:ascii="Garamond" w:hAnsi="Garamond"/>
                <w:lang w:val="en-AU"/>
              </w:rPr>
              <w:t xml:space="preserve">, procedures for </w:t>
            </w:r>
            <w:r w:rsidRPr="00982A1C">
              <w:rPr>
                <w:rFonts w:ascii="Garamond" w:hAnsi="Garamond"/>
                <w:b/>
                <w:lang w:val="en-AU"/>
              </w:rPr>
              <w:t>refilling prescriptions</w:t>
            </w:r>
            <w:r w:rsidRPr="00982A1C">
              <w:rPr>
                <w:rFonts w:ascii="Garamond" w:hAnsi="Garamond"/>
                <w:lang w:val="en-AU"/>
              </w:rPr>
              <w:t xml:space="preserve">, or </w:t>
            </w:r>
            <w:r w:rsidRPr="00982A1C">
              <w:rPr>
                <w:rFonts w:ascii="Garamond" w:hAnsi="Garamond"/>
                <w:b/>
                <w:lang w:val="en-AU"/>
              </w:rPr>
              <w:t>out-of-pocket costs</w:t>
            </w:r>
            <w:r w:rsidRPr="00982A1C">
              <w:rPr>
                <w:rFonts w:ascii="Garamond" w:hAnsi="Garamond"/>
                <w:lang w:val="en-AU"/>
              </w:rPr>
              <w:t xml:space="preserve"> – are </w:t>
            </w:r>
            <w:r>
              <w:rPr>
                <w:rFonts w:ascii="Garamond" w:hAnsi="Garamond"/>
                <w:lang w:val="en-AU"/>
              </w:rPr>
              <w:t>key</w:t>
            </w:r>
          </w:p>
          <w:p w:rsidR="00982A1C" w:rsidRPr="00982A1C" w:rsidRDefault="00982A1C" w:rsidP="00982A1C">
            <w:pPr>
              <w:pStyle w:val="ListParagraph"/>
              <w:numPr>
                <w:ilvl w:val="0"/>
                <w:numId w:val="30"/>
              </w:numPr>
              <w:rPr>
                <w:rFonts w:ascii="Garamond" w:hAnsi="Garamond"/>
                <w:lang w:val="en-AU"/>
              </w:rPr>
            </w:pPr>
            <w:r w:rsidRPr="00982A1C">
              <w:rPr>
                <w:rFonts w:ascii="Garamond" w:hAnsi="Garamond"/>
                <w:b/>
                <w:lang w:val="en-AU"/>
              </w:rPr>
              <w:t>Patients</w:t>
            </w:r>
            <w:r w:rsidRPr="00982A1C">
              <w:rPr>
                <w:rFonts w:ascii="Garamond" w:hAnsi="Garamond"/>
                <w:lang w:val="en-AU"/>
              </w:rPr>
              <w:t xml:space="preserve"> with chronic conditions frequently </w:t>
            </w:r>
            <w:r w:rsidRPr="00982A1C">
              <w:rPr>
                <w:rFonts w:ascii="Garamond" w:hAnsi="Garamond"/>
                <w:b/>
                <w:lang w:val="en-AU"/>
              </w:rPr>
              <w:t>feel left out of the decision</w:t>
            </w:r>
            <w:r w:rsidRPr="00982A1C">
              <w:rPr>
                <w:rFonts w:ascii="Garamond" w:hAnsi="Garamond"/>
                <w:lang w:val="en-AU"/>
              </w:rPr>
              <w:t xml:space="preserve"> about their therapy and </w:t>
            </w:r>
            <w:r>
              <w:rPr>
                <w:rFonts w:ascii="Garamond" w:hAnsi="Garamond"/>
                <w:lang w:val="en-AU"/>
              </w:rPr>
              <w:t>are inclined to not engage.</w:t>
            </w:r>
          </w:p>
          <w:p w:rsidR="00982A1C" w:rsidRDefault="00982A1C" w:rsidP="00982A1C">
            <w:pPr>
              <w:rPr>
                <w:rFonts w:ascii="Garamond" w:hAnsi="Garamond"/>
                <w:lang w:val="en-AU"/>
              </w:rPr>
            </w:pPr>
            <w:r w:rsidRPr="00982A1C">
              <w:rPr>
                <w:rFonts w:ascii="Garamond" w:hAnsi="Garamond"/>
                <w:lang w:val="en-AU"/>
              </w:rPr>
              <w:t>Th</w:t>
            </w:r>
            <w:r>
              <w:rPr>
                <w:rFonts w:ascii="Garamond" w:hAnsi="Garamond"/>
                <w:lang w:val="en-AU"/>
              </w:rPr>
              <w:t>e</w:t>
            </w:r>
            <w:r w:rsidRPr="00982A1C">
              <w:rPr>
                <w:rFonts w:ascii="Garamond" w:hAnsi="Garamond"/>
                <w:lang w:val="en-AU"/>
              </w:rPr>
              <w:t xml:space="preserve"> paper </w:t>
            </w:r>
            <w:r>
              <w:rPr>
                <w:rFonts w:ascii="Garamond" w:hAnsi="Garamond"/>
                <w:lang w:val="en-AU"/>
              </w:rPr>
              <w:t xml:space="preserve">suggests some </w:t>
            </w:r>
            <w:r w:rsidRPr="00982A1C">
              <w:rPr>
                <w:rFonts w:ascii="Garamond" w:hAnsi="Garamond"/>
                <w:lang w:val="en-AU"/>
              </w:rPr>
              <w:t>enablers that for improving adherence to medication at the system level.</w:t>
            </w:r>
            <w:r>
              <w:rPr>
                <w:rFonts w:ascii="Garamond" w:hAnsi="Garamond"/>
                <w:lang w:val="en-AU"/>
              </w:rPr>
              <w:t xml:space="preserve"> These include:</w:t>
            </w:r>
          </w:p>
          <w:p w:rsidR="001909DA" w:rsidRPr="00982A1C" w:rsidRDefault="00982A1C" w:rsidP="001909DA">
            <w:pPr>
              <w:pStyle w:val="ListParagraph"/>
              <w:numPr>
                <w:ilvl w:val="0"/>
                <w:numId w:val="31"/>
              </w:numPr>
              <w:rPr>
                <w:rFonts w:ascii="Garamond" w:hAnsi="Garamond"/>
                <w:lang w:val="en-AU"/>
              </w:rPr>
            </w:pPr>
            <w:r w:rsidRPr="001909DA">
              <w:rPr>
                <w:rFonts w:ascii="Garamond" w:hAnsi="Garamond"/>
                <w:lang w:val="en-AU"/>
              </w:rPr>
              <w:t>Acknowledge</w:t>
            </w:r>
            <w:r w:rsidR="001909DA">
              <w:rPr>
                <w:rFonts w:ascii="Garamond" w:hAnsi="Garamond"/>
                <w:lang w:val="en-AU"/>
              </w:rPr>
              <w:t xml:space="preserve"> </w:t>
            </w:r>
            <w:r w:rsidRPr="001909DA">
              <w:rPr>
                <w:rFonts w:ascii="Garamond" w:hAnsi="Garamond"/>
                <w:lang w:val="en-AU"/>
              </w:rPr>
              <w:t>that th</w:t>
            </w:r>
            <w:r w:rsidR="001909DA">
              <w:rPr>
                <w:rFonts w:ascii="Garamond" w:hAnsi="Garamond"/>
                <w:lang w:val="en-AU"/>
              </w:rPr>
              <w:t>e</w:t>
            </w:r>
            <w:r w:rsidRPr="001909DA">
              <w:rPr>
                <w:rFonts w:ascii="Garamond" w:hAnsi="Garamond"/>
                <w:lang w:val="en-AU"/>
              </w:rPr>
              <w:t xml:space="preserve"> problem exists and to adequately recognise its main drivers. </w:t>
            </w:r>
          </w:p>
          <w:p w:rsidR="001909DA" w:rsidRDefault="00982A1C" w:rsidP="00982A1C">
            <w:pPr>
              <w:pStyle w:val="ListParagraph"/>
              <w:numPr>
                <w:ilvl w:val="0"/>
                <w:numId w:val="31"/>
              </w:numPr>
              <w:rPr>
                <w:rFonts w:ascii="Garamond" w:hAnsi="Garamond"/>
                <w:lang w:val="en-AU"/>
              </w:rPr>
            </w:pPr>
            <w:r w:rsidRPr="001909DA">
              <w:rPr>
                <w:rFonts w:ascii="Garamond" w:hAnsi="Garamond"/>
                <w:lang w:val="en-AU"/>
              </w:rPr>
              <w:t>Routine adherence</w:t>
            </w:r>
            <w:r w:rsidR="001909DA" w:rsidRPr="001909DA">
              <w:rPr>
                <w:rFonts w:ascii="Garamond" w:hAnsi="Garamond"/>
                <w:lang w:val="en-AU"/>
              </w:rPr>
              <w:t xml:space="preserve"> </w:t>
            </w:r>
            <w:r w:rsidRPr="001909DA">
              <w:rPr>
                <w:rFonts w:ascii="Garamond" w:hAnsi="Garamond"/>
                <w:lang w:val="en-AU"/>
              </w:rPr>
              <w:t>measures as well as adherence-related quality and performance indicators should</w:t>
            </w:r>
            <w:r w:rsidR="001909DA">
              <w:rPr>
                <w:rFonts w:ascii="Garamond" w:hAnsi="Garamond"/>
                <w:lang w:val="en-AU"/>
              </w:rPr>
              <w:t xml:space="preserve"> </w:t>
            </w:r>
            <w:r w:rsidRPr="001909DA">
              <w:rPr>
                <w:rFonts w:ascii="Garamond" w:hAnsi="Garamond"/>
                <w:lang w:val="en-AU"/>
              </w:rPr>
              <w:t>be encouraged in order to improve health system effectiveness and efficiency.</w:t>
            </w:r>
          </w:p>
          <w:p w:rsidR="00982A1C" w:rsidRPr="001909DA" w:rsidRDefault="00982A1C" w:rsidP="00982A1C">
            <w:pPr>
              <w:pStyle w:val="ListParagraph"/>
              <w:numPr>
                <w:ilvl w:val="0"/>
                <w:numId w:val="31"/>
              </w:numPr>
              <w:rPr>
                <w:rFonts w:ascii="Garamond" w:hAnsi="Garamond"/>
                <w:lang w:val="en-AU"/>
              </w:rPr>
            </w:pPr>
            <w:r w:rsidRPr="001909DA">
              <w:rPr>
                <w:rFonts w:ascii="Garamond" w:hAnsi="Garamond"/>
                <w:lang w:val="en-AU"/>
              </w:rPr>
              <w:t>Shifting to payment systems that reward providers for the quality of</w:t>
            </w:r>
            <w:r w:rsidR="001909DA">
              <w:rPr>
                <w:rFonts w:ascii="Garamond" w:hAnsi="Garamond"/>
                <w:lang w:val="en-AU"/>
              </w:rPr>
              <w:t xml:space="preserve"> </w:t>
            </w:r>
            <w:r w:rsidRPr="001909DA">
              <w:rPr>
                <w:rFonts w:ascii="Garamond" w:hAnsi="Garamond"/>
                <w:lang w:val="en-AU"/>
              </w:rPr>
              <w:t>patient outcomes would provide strong motivation to improve adherence.</w:t>
            </w:r>
          </w:p>
          <w:p w:rsidR="00982A1C" w:rsidRPr="00982A1C" w:rsidRDefault="001909DA" w:rsidP="001909DA">
            <w:pPr>
              <w:pStyle w:val="ListParagraph"/>
              <w:numPr>
                <w:ilvl w:val="0"/>
                <w:numId w:val="31"/>
              </w:numPr>
              <w:rPr>
                <w:rFonts w:ascii="Garamond" w:hAnsi="Garamond"/>
                <w:lang w:val="en-AU"/>
              </w:rPr>
            </w:pPr>
            <w:r>
              <w:rPr>
                <w:rFonts w:ascii="Garamond" w:hAnsi="Garamond"/>
                <w:lang w:val="en-AU"/>
              </w:rPr>
              <w:t>Steer and support better adherence by enabling clinicians and patients and their communication.</w:t>
            </w:r>
          </w:p>
        </w:tc>
      </w:tr>
    </w:tbl>
    <w:p w:rsidR="00A12053" w:rsidRDefault="00A12053" w:rsidP="00A12053">
      <w:pPr>
        <w:keepLines/>
        <w:autoSpaceDE w:val="0"/>
        <w:autoSpaceDN w:val="0"/>
        <w:adjustRightInd w:val="0"/>
        <w:rPr>
          <w:rFonts w:ascii="Garamond" w:hAnsi="Garamond"/>
          <w:lang w:val="en-AU"/>
        </w:rPr>
      </w:pPr>
    </w:p>
    <w:p w:rsidR="001909DA" w:rsidRDefault="001909DA" w:rsidP="001909DA">
      <w:pPr>
        <w:keepNext/>
        <w:keepLines/>
        <w:autoSpaceDE w:val="0"/>
        <w:autoSpaceDN w:val="0"/>
        <w:adjustRightInd w:val="0"/>
        <w:rPr>
          <w:rFonts w:ascii="Garamond" w:hAnsi="Garamond"/>
          <w:lang w:val="en-AU"/>
        </w:rPr>
      </w:pPr>
      <w:r>
        <w:rPr>
          <w:rFonts w:ascii="Garamond" w:hAnsi="Garamond"/>
          <w:lang w:val="en-AU"/>
        </w:rPr>
        <w:t xml:space="preserve">For further information on the Commission’s work on medication safety, see </w:t>
      </w:r>
      <w:hyperlink r:id="rId18" w:history="1">
        <w:r w:rsidRPr="006C5F06">
          <w:rPr>
            <w:rStyle w:val="Hyperlink"/>
            <w:rFonts w:ascii="Garamond" w:hAnsi="Garamond"/>
            <w:lang w:val="en-AU"/>
          </w:rPr>
          <w:t>https://www.safetyandquality.gov.au/our-work/medication-safety/</w:t>
        </w:r>
      </w:hyperlink>
    </w:p>
    <w:p w:rsidR="00577E8C" w:rsidRDefault="00577E8C" w:rsidP="007D0CA2">
      <w:pPr>
        <w:keepNext/>
        <w:keepLines/>
        <w:autoSpaceDE w:val="0"/>
        <w:autoSpaceDN w:val="0"/>
        <w:adjustRightInd w:val="0"/>
        <w:rPr>
          <w:rFonts w:ascii="Garamond" w:hAnsi="Garamond"/>
          <w:lang w:val="en-AU"/>
        </w:rPr>
      </w:pPr>
    </w:p>
    <w:p w:rsidR="001909DA" w:rsidRDefault="001909DA" w:rsidP="001909DA">
      <w:pPr>
        <w:keepLines/>
        <w:autoSpaceDE w:val="0"/>
        <w:autoSpaceDN w:val="0"/>
        <w:adjustRightInd w:val="0"/>
        <w:rPr>
          <w:rFonts w:ascii="Garamond" w:hAnsi="Garamond"/>
          <w:lang w:val="en-AU"/>
        </w:rPr>
      </w:pPr>
      <w:r>
        <w:rPr>
          <w:rFonts w:ascii="Garamond" w:hAnsi="Garamond"/>
          <w:lang w:val="en-AU"/>
        </w:rPr>
        <w:t xml:space="preserve">For further information on the Commission’s work on health literacy, see </w:t>
      </w:r>
      <w:hyperlink r:id="rId19" w:history="1">
        <w:r w:rsidRPr="000D1750">
          <w:rPr>
            <w:rStyle w:val="Hyperlink"/>
            <w:rFonts w:ascii="Garamond" w:hAnsi="Garamond"/>
            <w:lang w:val="en-AU"/>
          </w:rPr>
          <w:t>https://www.safetyandquality.gov.au/our-work/patient-and-consumer-centred-care/health-literacy/</w:t>
        </w:r>
      </w:hyperlink>
    </w:p>
    <w:p w:rsidR="001909DA" w:rsidRDefault="001909DA" w:rsidP="001909DA">
      <w:pPr>
        <w:keepLines/>
        <w:autoSpaceDE w:val="0"/>
        <w:autoSpaceDN w:val="0"/>
        <w:adjustRightInd w:val="0"/>
        <w:rPr>
          <w:rFonts w:ascii="Garamond" w:hAnsi="Garamond"/>
          <w:lang w:val="en-AU"/>
        </w:rPr>
      </w:pPr>
    </w:p>
    <w:p w:rsidR="001909DA" w:rsidRDefault="001909DA" w:rsidP="007D0CA2">
      <w:pPr>
        <w:keepNext/>
        <w:keepLines/>
        <w:autoSpaceDE w:val="0"/>
        <w:autoSpaceDN w:val="0"/>
        <w:adjustRightInd w:val="0"/>
        <w:rPr>
          <w:rFonts w:ascii="Garamond" w:hAnsi="Garamond"/>
          <w:lang w:val="en-AU"/>
        </w:rPr>
      </w:pPr>
      <w:r>
        <w:rPr>
          <w:rFonts w:ascii="Garamond" w:hAnsi="Garamond"/>
          <w:lang w:val="en-AU"/>
        </w:rPr>
        <w:t xml:space="preserve">For further information on the Commission’s work on shared decision making, see </w:t>
      </w:r>
      <w:hyperlink r:id="rId20" w:history="1">
        <w:r w:rsidRPr="00CA365D">
          <w:rPr>
            <w:rStyle w:val="Hyperlink"/>
            <w:rFonts w:ascii="Garamond" w:hAnsi="Garamond"/>
            <w:lang w:val="en-AU"/>
          </w:rPr>
          <w:t>https://www.safetyandquality.gov.au/our-work/shared-decision-making/</w:t>
        </w:r>
      </w:hyperlink>
    </w:p>
    <w:p w:rsidR="001909DA" w:rsidRDefault="001909DA" w:rsidP="007D0CA2">
      <w:pPr>
        <w:keepNext/>
        <w:keepLines/>
        <w:autoSpaceDE w:val="0"/>
        <w:autoSpaceDN w:val="0"/>
        <w:adjustRightInd w:val="0"/>
        <w:rPr>
          <w:rFonts w:ascii="Garamond" w:hAnsi="Garamond"/>
          <w:lang w:val="en-AU"/>
        </w:rPr>
      </w:pPr>
    </w:p>
    <w:p w:rsidR="00244E48" w:rsidRDefault="00244E48">
      <w:pPr>
        <w:rPr>
          <w:rFonts w:ascii="Garamond" w:hAnsi="Garamond"/>
          <w:b/>
          <w:lang w:val="en-AU"/>
        </w:rPr>
      </w:pPr>
      <w:r>
        <w:rPr>
          <w:rFonts w:ascii="Garamond" w:hAnsi="Garamond"/>
          <w:b/>
          <w:lang w:val="en-AU"/>
        </w:rPr>
        <w:br w:type="page"/>
      </w:r>
    </w:p>
    <w:p w:rsidR="00282D29" w:rsidRDefault="00282D29" w:rsidP="001624EF">
      <w:pPr>
        <w:keepNext/>
        <w:rPr>
          <w:rFonts w:ascii="Garamond" w:hAnsi="Garamond"/>
          <w:b/>
          <w:lang w:val="en-AU"/>
        </w:rPr>
      </w:pPr>
      <w:r>
        <w:rPr>
          <w:rFonts w:ascii="Garamond" w:hAnsi="Garamond"/>
          <w:b/>
          <w:lang w:val="en-AU"/>
        </w:rPr>
        <w:lastRenderedPageBreak/>
        <w:t>Journal articles</w:t>
      </w:r>
    </w:p>
    <w:p w:rsidR="00244E48" w:rsidRDefault="00244E48" w:rsidP="00244E48">
      <w:pPr>
        <w:keepNext/>
        <w:keepLines/>
        <w:autoSpaceDE w:val="0"/>
        <w:autoSpaceDN w:val="0"/>
        <w:adjustRightInd w:val="0"/>
        <w:rPr>
          <w:rFonts w:ascii="Garamond" w:hAnsi="Garamond"/>
          <w:i/>
          <w:lang w:val="en-AU"/>
        </w:rPr>
      </w:pPr>
    </w:p>
    <w:p w:rsidR="00244E48" w:rsidRPr="00C841F5" w:rsidRDefault="00244E48" w:rsidP="00244E48">
      <w:pPr>
        <w:keepNext/>
        <w:keepLines/>
        <w:autoSpaceDE w:val="0"/>
        <w:autoSpaceDN w:val="0"/>
        <w:adjustRightInd w:val="0"/>
        <w:rPr>
          <w:rFonts w:ascii="Garamond" w:hAnsi="Garamond"/>
          <w:i/>
          <w:lang w:val="en-AU"/>
        </w:rPr>
      </w:pPr>
      <w:r w:rsidRPr="00C841F5">
        <w:rPr>
          <w:rFonts w:ascii="Garamond" w:hAnsi="Garamond"/>
          <w:i/>
          <w:lang w:val="en-AU"/>
        </w:rPr>
        <w:t>Implementation of a whole of hospital sepsis clinical pathway in a cancer hospital: impact on sepsis management, outcomes and costs</w:t>
      </w:r>
    </w:p>
    <w:p w:rsidR="00244E48" w:rsidRDefault="00244E48" w:rsidP="00244E48">
      <w:pPr>
        <w:keepNext/>
        <w:keepLines/>
        <w:autoSpaceDE w:val="0"/>
        <w:autoSpaceDN w:val="0"/>
        <w:adjustRightInd w:val="0"/>
        <w:rPr>
          <w:rFonts w:ascii="Garamond" w:hAnsi="Garamond"/>
          <w:lang w:val="en-AU"/>
        </w:rPr>
      </w:pPr>
      <w:r w:rsidRPr="00C841F5">
        <w:rPr>
          <w:rFonts w:ascii="Garamond" w:hAnsi="Garamond"/>
          <w:lang w:val="en-AU"/>
        </w:rPr>
        <w:t>Thursky K, Lingaratnam S, Jayarajan J, Haeusler GM, Teh B, Tew M, et al.</w:t>
      </w:r>
    </w:p>
    <w:p w:rsidR="00244E48" w:rsidRPr="00E566B0" w:rsidRDefault="00244E48" w:rsidP="00244E48">
      <w:pPr>
        <w:keepNext/>
        <w:keepLines/>
        <w:autoSpaceDE w:val="0"/>
        <w:autoSpaceDN w:val="0"/>
        <w:adjustRightInd w:val="0"/>
        <w:rPr>
          <w:rFonts w:ascii="Garamond" w:hAnsi="Garamond"/>
          <w:lang w:val="en-AU"/>
        </w:rPr>
      </w:pPr>
      <w:r w:rsidRPr="00C841F5">
        <w:rPr>
          <w:rFonts w:ascii="Garamond" w:hAnsi="Garamond"/>
          <w:lang w:val="en-AU"/>
        </w:rPr>
        <w:t>BMJ Open Quality. 2018;7(3).</w:t>
      </w:r>
    </w:p>
    <w:tbl>
      <w:tblPr>
        <w:tblStyle w:val="TableGrid"/>
        <w:tblW w:w="0" w:type="auto"/>
        <w:tblInd w:w="288" w:type="dxa"/>
        <w:tblLayout w:type="fixed"/>
        <w:tblLook w:val="01E0" w:firstRow="1" w:lastRow="1" w:firstColumn="1" w:lastColumn="1" w:noHBand="0" w:noVBand="0"/>
      </w:tblPr>
      <w:tblGrid>
        <w:gridCol w:w="1080"/>
        <w:gridCol w:w="8280"/>
      </w:tblGrid>
      <w:tr w:rsidR="00244E48" w:rsidRPr="000170DA" w:rsidTr="001E01CE">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1E01C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4E48" w:rsidRPr="000170DA" w:rsidRDefault="00E45C1E" w:rsidP="001E01CE">
            <w:pPr>
              <w:rPr>
                <w:rStyle w:val="Hyperlink"/>
                <w:rFonts w:ascii="Garamond" w:hAnsi="Garamond"/>
                <w:color w:val="auto"/>
                <w:u w:val="none"/>
                <w:lang w:val="en-AU"/>
              </w:rPr>
            </w:pPr>
            <w:hyperlink r:id="rId21" w:history="1">
              <w:r w:rsidR="00244E48" w:rsidRPr="002A655E">
                <w:rPr>
                  <w:rStyle w:val="Hyperlink"/>
                  <w:rFonts w:ascii="Garamond" w:hAnsi="Garamond"/>
                  <w:lang w:val="en-AU"/>
                </w:rPr>
                <w:t>https://doi.org/10.1136/bmjoq-2018-000355</w:t>
              </w:r>
            </w:hyperlink>
          </w:p>
        </w:tc>
      </w:tr>
      <w:tr w:rsidR="00244E48" w:rsidRPr="000170DA" w:rsidTr="001E01CE">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1E01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4E48" w:rsidRPr="000365E9" w:rsidRDefault="00244E48" w:rsidP="001E01CE">
            <w:pPr>
              <w:rPr>
                <w:rFonts w:ascii="Garamond" w:hAnsi="Garamond"/>
                <w:lang w:val="en-AU"/>
              </w:rPr>
            </w:pPr>
            <w:r>
              <w:rPr>
                <w:rFonts w:ascii="Garamond" w:hAnsi="Garamond"/>
                <w:lang w:val="en-AU"/>
              </w:rPr>
              <w:t xml:space="preserve">Paper describing how one (Australian) cancer hospital devised, tested and implemented a sepsis clinical pathway that applied to the entire hospital. The process included establishing a </w:t>
            </w:r>
            <w:r w:rsidRPr="001909DA">
              <w:rPr>
                <w:rFonts w:ascii="Garamond" w:hAnsi="Garamond"/>
                <w:lang w:val="en-AU"/>
              </w:rPr>
              <w:t xml:space="preserve">multidisciplinary sepsis </w:t>
            </w:r>
            <w:r w:rsidRPr="001909DA">
              <w:rPr>
                <w:rFonts w:ascii="Garamond" w:hAnsi="Garamond"/>
                <w:b/>
                <w:lang w:val="en-AU"/>
              </w:rPr>
              <w:t>working party</w:t>
            </w:r>
            <w:r>
              <w:rPr>
                <w:rFonts w:ascii="Garamond" w:hAnsi="Garamond"/>
                <w:lang w:val="en-AU"/>
              </w:rPr>
              <w:t xml:space="preserve">, </w:t>
            </w:r>
            <w:r w:rsidRPr="001909DA">
              <w:rPr>
                <w:rFonts w:ascii="Garamond" w:hAnsi="Garamond"/>
                <w:b/>
                <w:lang w:val="en-AU"/>
              </w:rPr>
              <w:t>process mapping</w:t>
            </w:r>
            <w:r>
              <w:rPr>
                <w:rFonts w:ascii="Garamond" w:hAnsi="Garamond"/>
                <w:lang w:val="en-AU"/>
              </w:rPr>
              <w:t xml:space="preserve"> </w:t>
            </w:r>
            <w:r w:rsidRPr="001909DA">
              <w:rPr>
                <w:rFonts w:ascii="Garamond" w:hAnsi="Garamond"/>
                <w:lang w:val="en-AU"/>
              </w:rPr>
              <w:t>of practices for recognition and management of sepsis</w:t>
            </w:r>
            <w:r>
              <w:rPr>
                <w:rFonts w:ascii="Garamond" w:hAnsi="Garamond"/>
                <w:lang w:val="en-AU"/>
              </w:rPr>
              <w:t xml:space="preserve">, development and implementation of a </w:t>
            </w:r>
            <w:r w:rsidRPr="001909DA">
              <w:rPr>
                <w:rFonts w:ascii="Garamond" w:hAnsi="Garamond"/>
                <w:b/>
                <w:lang w:val="en-AU"/>
              </w:rPr>
              <w:t>clinical pathway document</w:t>
            </w:r>
            <w:r w:rsidRPr="001909DA">
              <w:rPr>
                <w:rFonts w:ascii="Garamond" w:hAnsi="Garamond"/>
                <w:lang w:val="en-AU"/>
              </w:rPr>
              <w:t xml:space="preserve"> that supported nurse-initiated sepsis care, prompt antibiotic and fluid resuscitation</w:t>
            </w:r>
            <w:r>
              <w:rPr>
                <w:rFonts w:ascii="Garamond" w:hAnsi="Garamond"/>
                <w:lang w:val="en-AU"/>
              </w:rPr>
              <w:t>. The project was evaluated using p</w:t>
            </w:r>
            <w:r w:rsidRPr="001909DA">
              <w:rPr>
                <w:rFonts w:ascii="Garamond" w:hAnsi="Garamond"/>
                <w:lang w:val="en-AU"/>
              </w:rPr>
              <w:t>rocess and outcome measures for patients with sepsis were collected pre</w:t>
            </w:r>
            <w:r>
              <w:rPr>
                <w:rFonts w:ascii="Garamond" w:hAnsi="Garamond"/>
                <w:lang w:val="en-AU"/>
              </w:rPr>
              <w:t>- and post-</w:t>
            </w:r>
            <w:r w:rsidRPr="001909DA">
              <w:rPr>
                <w:rFonts w:ascii="Garamond" w:hAnsi="Garamond"/>
                <w:lang w:val="en-AU"/>
              </w:rPr>
              <w:t>implementation</w:t>
            </w:r>
            <w:r>
              <w:rPr>
                <w:rFonts w:ascii="Garamond" w:hAnsi="Garamond"/>
                <w:lang w:val="en-AU"/>
              </w:rPr>
              <w:t xml:space="preserve">. The results from 323 patients showed that </w:t>
            </w:r>
            <w:r w:rsidRPr="001909DA">
              <w:rPr>
                <w:rFonts w:ascii="Garamond" w:hAnsi="Garamond"/>
                <w:b/>
                <w:lang w:val="en-AU"/>
              </w:rPr>
              <w:t>time to antibiotics was halved</w:t>
            </w:r>
            <w:r w:rsidRPr="001909DA">
              <w:rPr>
                <w:rFonts w:ascii="Garamond" w:hAnsi="Garamond"/>
                <w:lang w:val="en-AU"/>
              </w:rPr>
              <w:t xml:space="preserve"> (55 vs 110</w:t>
            </w:r>
            <w:r w:rsidRPr="001909DA">
              <w:rPr>
                <w:lang w:val="en-AU"/>
              </w:rPr>
              <w:t> </w:t>
            </w:r>
            <w:r w:rsidRPr="001909DA">
              <w:rPr>
                <w:rFonts w:ascii="Garamond" w:hAnsi="Garamond"/>
                <w:lang w:val="en-AU"/>
              </w:rPr>
              <w:t>min, p&lt;0.05)</w:t>
            </w:r>
            <w:r>
              <w:rPr>
                <w:rFonts w:ascii="Garamond" w:hAnsi="Garamond"/>
                <w:lang w:val="en-AU"/>
              </w:rPr>
              <w:t xml:space="preserve"> and that p</w:t>
            </w:r>
            <w:r w:rsidRPr="001909DA">
              <w:rPr>
                <w:rFonts w:ascii="Garamond" w:hAnsi="Garamond"/>
                <w:lang w:val="en-AU"/>
              </w:rPr>
              <w:t xml:space="preserve">atients with sepsis had </w:t>
            </w:r>
            <w:r w:rsidRPr="001909DA">
              <w:rPr>
                <w:rFonts w:ascii="Garamond" w:hAnsi="Garamond"/>
                <w:b/>
                <w:lang w:val="en-AU"/>
              </w:rPr>
              <w:t>lower rates</w:t>
            </w:r>
            <w:r w:rsidRPr="001909DA">
              <w:rPr>
                <w:rFonts w:ascii="Garamond" w:hAnsi="Garamond"/>
                <w:lang w:val="en-AU"/>
              </w:rPr>
              <w:t xml:space="preserve"> of </w:t>
            </w:r>
            <w:r w:rsidRPr="001909DA">
              <w:rPr>
                <w:rFonts w:ascii="Garamond" w:hAnsi="Garamond"/>
                <w:b/>
                <w:lang w:val="en-AU"/>
              </w:rPr>
              <w:t>intensive care unit admission</w:t>
            </w:r>
            <w:r w:rsidRPr="001909DA">
              <w:rPr>
                <w:rFonts w:ascii="Garamond" w:hAnsi="Garamond"/>
                <w:lang w:val="en-AU"/>
              </w:rPr>
              <w:t xml:space="preserve"> (17.1% vs 35.5%), </w:t>
            </w:r>
            <w:r w:rsidRPr="001909DA">
              <w:rPr>
                <w:rFonts w:ascii="Garamond" w:hAnsi="Garamond"/>
                <w:b/>
                <w:lang w:val="en-AU"/>
              </w:rPr>
              <w:t>post-sepsis length of stay</w:t>
            </w:r>
            <w:r w:rsidRPr="001909DA">
              <w:rPr>
                <w:rFonts w:ascii="Garamond" w:hAnsi="Garamond"/>
                <w:lang w:val="en-AU"/>
              </w:rPr>
              <w:t xml:space="preserve"> (7.5 vs 9.9 days), and </w:t>
            </w:r>
            <w:r w:rsidRPr="001909DA">
              <w:rPr>
                <w:rFonts w:ascii="Garamond" w:hAnsi="Garamond"/>
                <w:b/>
                <w:lang w:val="en-AU"/>
              </w:rPr>
              <w:t>sepsis-related mortality</w:t>
            </w:r>
            <w:r w:rsidRPr="001909DA">
              <w:rPr>
                <w:rFonts w:ascii="Garamond" w:hAnsi="Garamond"/>
                <w:lang w:val="en-AU"/>
              </w:rPr>
              <w:t xml:space="preserve"> (5.0% vs 16.2%) (all p&lt;0.05).</w:t>
            </w:r>
          </w:p>
        </w:tc>
      </w:tr>
    </w:tbl>
    <w:p w:rsidR="00244E48" w:rsidRDefault="00244E48" w:rsidP="00244E48">
      <w:pPr>
        <w:keepLines/>
        <w:autoSpaceDE w:val="0"/>
        <w:autoSpaceDN w:val="0"/>
        <w:adjustRightInd w:val="0"/>
        <w:rPr>
          <w:rFonts w:ascii="Garamond" w:hAnsi="Garamond"/>
          <w:lang w:val="en-AU"/>
        </w:rPr>
      </w:pPr>
    </w:p>
    <w:p w:rsidR="00244E48" w:rsidRDefault="00244E48" w:rsidP="00244E48">
      <w:pPr>
        <w:keepLines/>
        <w:autoSpaceDE w:val="0"/>
        <w:autoSpaceDN w:val="0"/>
        <w:adjustRightInd w:val="0"/>
        <w:rPr>
          <w:rStyle w:val="Hyperlink"/>
          <w:rFonts w:ascii="Garamond" w:hAnsi="Garamond"/>
          <w:lang w:val="en-AU"/>
        </w:rPr>
      </w:pPr>
      <w:r>
        <w:rPr>
          <w:rFonts w:ascii="Garamond" w:hAnsi="Garamond"/>
          <w:lang w:val="en-AU"/>
        </w:rPr>
        <w:t xml:space="preserve">For information on the Commission’s work on healthcare associated infection, see </w:t>
      </w:r>
      <w:hyperlink r:id="rId22" w:history="1">
        <w:r w:rsidRPr="002A655E">
          <w:rPr>
            <w:rStyle w:val="Hyperlink"/>
            <w:rFonts w:ascii="Garamond" w:hAnsi="Garamond"/>
            <w:lang w:val="en-AU"/>
          </w:rPr>
          <w:t>https://www.safetyandquality.gov.au/our-work/healthcare-associated-infection/</w:t>
        </w:r>
      </w:hyperlink>
    </w:p>
    <w:p w:rsidR="00244E48" w:rsidRDefault="00244E48" w:rsidP="00244E48">
      <w:pPr>
        <w:keepLines/>
        <w:autoSpaceDE w:val="0"/>
        <w:autoSpaceDN w:val="0"/>
        <w:adjustRightInd w:val="0"/>
        <w:rPr>
          <w:rFonts w:ascii="Garamond" w:hAnsi="Garamond"/>
          <w:lang w:val="en-AU"/>
        </w:rPr>
      </w:pPr>
    </w:p>
    <w:p w:rsidR="00A314F4" w:rsidRDefault="00A314F4" w:rsidP="00A314F4">
      <w:pPr>
        <w:keepNext/>
        <w:keepLines/>
        <w:autoSpaceDE w:val="0"/>
        <w:autoSpaceDN w:val="0"/>
        <w:adjustRightInd w:val="0"/>
        <w:rPr>
          <w:rFonts w:ascii="Garamond" w:hAnsi="Garamond"/>
          <w:i/>
          <w:lang w:val="en-AU"/>
        </w:rPr>
      </w:pPr>
      <w:r w:rsidRPr="00F85CA1">
        <w:rPr>
          <w:rFonts w:ascii="Garamond" w:hAnsi="Garamond"/>
          <w:i/>
          <w:lang w:val="en-AU"/>
        </w:rPr>
        <w:t>Impact of Inpatient Harms on Hospital Finances and Patient Clinical Outcomes</w:t>
      </w:r>
    </w:p>
    <w:p w:rsidR="00A314F4" w:rsidRDefault="00A314F4" w:rsidP="00A314F4">
      <w:pPr>
        <w:keepNext/>
        <w:keepLines/>
        <w:autoSpaceDE w:val="0"/>
        <w:autoSpaceDN w:val="0"/>
        <w:adjustRightInd w:val="0"/>
        <w:rPr>
          <w:rFonts w:ascii="Garamond" w:hAnsi="Garamond"/>
          <w:lang w:val="en-AU"/>
        </w:rPr>
      </w:pPr>
      <w:r w:rsidRPr="00F85CA1">
        <w:rPr>
          <w:rFonts w:ascii="Garamond" w:hAnsi="Garamond"/>
          <w:lang w:val="en-AU"/>
        </w:rPr>
        <w:t>Adler L, Yi D, Li M, McBroom B, Hauck L, Sammer C, et al</w:t>
      </w:r>
    </w:p>
    <w:p w:rsidR="00A314F4" w:rsidRPr="00E566B0" w:rsidRDefault="00A314F4" w:rsidP="00A314F4">
      <w:pPr>
        <w:keepNext/>
        <w:keepLines/>
        <w:autoSpaceDE w:val="0"/>
        <w:autoSpaceDN w:val="0"/>
        <w:adjustRightInd w:val="0"/>
        <w:rPr>
          <w:rFonts w:ascii="Garamond" w:hAnsi="Garamond"/>
          <w:lang w:val="en-AU"/>
        </w:rPr>
      </w:pPr>
      <w:r w:rsidRPr="00F85CA1">
        <w:rPr>
          <w:rFonts w:ascii="Garamond" w:hAnsi="Garamond"/>
          <w:lang w:val="en-AU"/>
        </w:rPr>
        <w:t>Journal of Patient Safety. 2018;14(2):67-73.</w:t>
      </w:r>
    </w:p>
    <w:tbl>
      <w:tblPr>
        <w:tblStyle w:val="TableGrid"/>
        <w:tblW w:w="0" w:type="auto"/>
        <w:tblInd w:w="288" w:type="dxa"/>
        <w:tblLayout w:type="fixed"/>
        <w:tblLook w:val="01E0" w:firstRow="1" w:lastRow="1" w:firstColumn="1" w:lastColumn="1" w:noHBand="0" w:noVBand="0"/>
      </w:tblPr>
      <w:tblGrid>
        <w:gridCol w:w="1080"/>
        <w:gridCol w:w="8280"/>
      </w:tblGrid>
      <w:tr w:rsidR="00A314F4" w:rsidRPr="000170DA" w:rsidTr="001E01CE">
        <w:tc>
          <w:tcPr>
            <w:tcW w:w="1080" w:type="dxa"/>
            <w:tcBorders>
              <w:top w:val="single" w:sz="4" w:space="0" w:color="auto"/>
              <w:left w:val="single" w:sz="4" w:space="0" w:color="auto"/>
              <w:bottom w:val="single" w:sz="4" w:space="0" w:color="auto"/>
              <w:right w:val="single" w:sz="4" w:space="0" w:color="auto"/>
            </w:tcBorders>
            <w:vAlign w:val="center"/>
          </w:tcPr>
          <w:p w:rsidR="00A314F4" w:rsidRPr="000170DA" w:rsidRDefault="00A314F4" w:rsidP="001E01C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314F4" w:rsidRPr="000170DA" w:rsidRDefault="00E45C1E" w:rsidP="001E01CE">
            <w:pPr>
              <w:rPr>
                <w:rStyle w:val="Hyperlink"/>
                <w:rFonts w:ascii="Garamond" w:hAnsi="Garamond"/>
                <w:color w:val="auto"/>
                <w:u w:val="none"/>
                <w:lang w:val="en-AU"/>
              </w:rPr>
            </w:pPr>
            <w:hyperlink r:id="rId23" w:history="1">
              <w:r w:rsidR="00A314F4" w:rsidRPr="00CA365D">
                <w:rPr>
                  <w:rStyle w:val="Hyperlink"/>
                  <w:rFonts w:ascii="Garamond" w:hAnsi="Garamond"/>
                  <w:lang w:val="en-AU"/>
                </w:rPr>
                <w:t>https://dx.doi.org/10.1097/PTS.0000000000000171</w:t>
              </w:r>
            </w:hyperlink>
          </w:p>
        </w:tc>
      </w:tr>
      <w:tr w:rsidR="00A314F4" w:rsidRPr="000170DA" w:rsidTr="001E01CE">
        <w:tc>
          <w:tcPr>
            <w:tcW w:w="1080" w:type="dxa"/>
            <w:tcBorders>
              <w:top w:val="single" w:sz="4" w:space="0" w:color="auto"/>
              <w:left w:val="single" w:sz="4" w:space="0" w:color="auto"/>
              <w:bottom w:val="single" w:sz="4" w:space="0" w:color="auto"/>
              <w:right w:val="single" w:sz="4" w:space="0" w:color="auto"/>
            </w:tcBorders>
            <w:vAlign w:val="center"/>
          </w:tcPr>
          <w:p w:rsidR="00A314F4" w:rsidRPr="000170DA" w:rsidRDefault="00A314F4" w:rsidP="001E01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14F4" w:rsidRDefault="00A314F4" w:rsidP="001E01CE">
            <w:pPr>
              <w:rPr>
                <w:rFonts w:ascii="Garamond" w:hAnsi="Garamond"/>
                <w:lang w:val="en-AU"/>
              </w:rPr>
            </w:pPr>
            <w:r>
              <w:rPr>
                <w:rFonts w:ascii="Garamond" w:hAnsi="Garamond"/>
                <w:lang w:val="en-AU"/>
              </w:rPr>
              <w:t xml:space="preserve">Over the years there has been some discussion of the economics of patient safety. This US study reinforces the evidence that safe care is good for patients and good for business. The paper reports on a </w:t>
            </w:r>
            <w:r w:rsidRPr="0043742B">
              <w:rPr>
                <w:rFonts w:ascii="Garamond" w:hAnsi="Garamond"/>
                <w:lang w:val="en-AU"/>
              </w:rPr>
              <w:t xml:space="preserve">retrospective analysis of inpatient harm from 24 hospitals in a large </w:t>
            </w:r>
            <w:r>
              <w:rPr>
                <w:rFonts w:ascii="Garamond" w:hAnsi="Garamond"/>
                <w:lang w:val="en-AU"/>
              </w:rPr>
              <w:t xml:space="preserve">US </w:t>
            </w:r>
            <w:r w:rsidRPr="0043742B">
              <w:rPr>
                <w:rFonts w:ascii="Garamond" w:hAnsi="Garamond"/>
                <w:lang w:val="en-AU"/>
              </w:rPr>
              <w:t>health system conducted during 2009 to 2012 using the Institute of Healthcare Improvement Global Trigger Tool for Measuring Adverse Events</w:t>
            </w:r>
            <w:r>
              <w:rPr>
                <w:rFonts w:ascii="Garamond" w:hAnsi="Garamond"/>
                <w:lang w:val="en-AU"/>
              </w:rPr>
              <w:t xml:space="preserve"> in order to </w:t>
            </w:r>
            <w:r w:rsidRPr="0043742B">
              <w:rPr>
                <w:rFonts w:ascii="Garamond" w:hAnsi="Garamond"/>
                <w:lang w:val="en-AU"/>
              </w:rPr>
              <w:t>determine the impact of all-cause inpatient harms on hospital finances and patient clinical outcomes.</w:t>
            </w:r>
            <w:r>
              <w:rPr>
                <w:rFonts w:ascii="Garamond" w:hAnsi="Garamond"/>
                <w:lang w:val="en-AU"/>
              </w:rPr>
              <w:t xml:space="preserve"> Of the </w:t>
            </w:r>
            <w:r w:rsidRPr="0043742B">
              <w:rPr>
                <w:rFonts w:ascii="Garamond" w:hAnsi="Garamond"/>
                <w:lang w:val="en-AU"/>
              </w:rPr>
              <w:t>21,007 inpatients in th</w:t>
            </w:r>
            <w:r>
              <w:rPr>
                <w:rFonts w:ascii="Garamond" w:hAnsi="Garamond"/>
                <w:lang w:val="en-AU"/>
              </w:rPr>
              <w:t>e</w:t>
            </w:r>
            <w:r w:rsidRPr="0043742B">
              <w:rPr>
                <w:rFonts w:ascii="Garamond" w:hAnsi="Garamond"/>
                <w:lang w:val="en-AU"/>
              </w:rPr>
              <w:t xml:space="preserve"> study, 15,610 (74.3%) experienced no harm, 2818 (13.4%) experienced temporary harm, and 2579 (12.3%) experienced harm. </w:t>
            </w:r>
            <w:r>
              <w:rPr>
                <w:rFonts w:ascii="Garamond" w:hAnsi="Garamond"/>
                <w:lang w:val="en-AU"/>
              </w:rPr>
              <w:t xml:space="preserve">The study found that </w:t>
            </w:r>
          </w:p>
          <w:p w:rsidR="00A314F4" w:rsidRDefault="00A314F4" w:rsidP="001E01CE">
            <w:pPr>
              <w:pStyle w:val="ListParagraph"/>
              <w:numPr>
                <w:ilvl w:val="0"/>
                <w:numId w:val="32"/>
              </w:numPr>
              <w:rPr>
                <w:rFonts w:ascii="Garamond" w:hAnsi="Garamond"/>
                <w:lang w:val="en-AU"/>
              </w:rPr>
            </w:pPr>
            <w:r w:rsidRPr="0043742B">
              <w:rPr>
                <w:rFonts w:ascii="Garamond" w:hAnsi="Garamond"/>
                <w:lang w:val="en-AU"/>
              </w:rPr>
              <w:t xml:space="preserve">A </w:t>
            </w:r>
            <w:r w:rsidRPr="0043742B">
              <w:rPr>
                <w:rFonts w:ascii="Garamond" w:hAnsi="Garamond"/>
                <w:b/>
                <w:lang w:val="en-AU"/>
              </w:rPr>
              <w:t>patient with harm</w:t>
            </w:r>
            <w:r w:rsidRPr="0043742B">
              <w:rPr>
                <w:rFonts w:ascii="Garamond" w:hAnsi="Garamond"/>
                <w:lang w:val="en-AU"/>
              </w:rPr>
              <w:t xml:space="preserve"> was estimated to have </w:t>
            </w:r>
            <w:r w:rsidRPr="0043742B">
              <w:rPr>
                <w:rFonts w:ascii="Garamond" w:hAnsi="Garamond"/>
                <w:b/>
                <w:lang w:val="en-AU"/>
              </w:rPr>
              <w:t>higher total cost</w:t>
            </w:r>
            <w:r w:rsidRPr="0043742B">
              <w:rPr>
                <w:rFonts w:ascii="Garamond" w:hAnsi="Garamond"/>
                <w:lang w:val="en-AU"/>
              </w:rPr>
              <w:t xml:space="preserve">, </w:t>
            </w:r>
            <w:r w:rsidRPr="0043742B">
              <w:rPr>
                <w:rFonts w:ascii="Garamond" w:hAnsi="Garamond"/>
                <w:b/>
                <w:lang w:val="en-AU"/>
              </w:rPr>
              <w:t>higher variable cost</w:t>
            </w:r>
            <w:r w:rsidRPr="0043742B">
              <w:rPr>
                <w:rFonts w:ascii="Garamond" w:hAnsi="Garamond"/>
                <w:lang w:val="en-AU"/>
              </w:rPr>
              <w:t xml:space="preserve">, </w:t>
            </w:r>
            <w:r w:rsidRPr="0043742B">
              <w:rPr>
                <w:rFonts w:ascii="Garamond" w:hAnsi="Garamond"/>
                <w:b/>
                <w:lang w:val="en-AU"/>
              </w:rPr>
              <w:t>lower contribution margin</w:t>
            </w:r>
            <w:r w:rsidRPr="0043742B">
              <w:rPr>
                <w:rFonts w:ascii="Garamond" w:hAnsi="Garamond"/>
                <w:lang w:val="en-AU"/>
              </w:rPr>
              <w:t xml:space="preserve">, </w:t>
            </w:r>
            <w:r w:rsidRPr="0043742B">
              <w:rPr>
                <w:rFonts w:ascii="Garamond" w:hAnsi="Garamond"/>
                <w:b/>
                <w:lang w:val="en-AU"/>
              </w:rPr>
              <w:t>longer length of stay</w:t>
            </w:r>
            <w:r w:rsidRPr="0043742B">
              <w:rPr>
                <w:rFonts w:ascii="Garamond" w:hAnsi="Garamond"/>
                <w:lang w:val="en-AU"/>
              </w:rPr>
              <w:t xml:space="preserve">, </w:t>
            </w:r>
            <w:r w:rsidRPr="0043742B">
              <w:rPr>
                <w:rFonts w:ascii="Garamond" w:hAnsi="Garamond"/>
                <w:b/>
                <w:lang w:val="en-AU"/>
              </w:rPr>
              <w:t>higher mortality probability</w:t>
            </w:r>
            <w:r w:rsidRPr="0043742B">
              <w:rPr>
                <w:rFonts w:ascii="Garamond" w:hAnsi="Garamond"/>
                <w:lang w:val="en-AU"/>
              </w:rPr>
              <w:t xml:space="preserve">, and </w:t>
            </w:r>
            <w:r w:rsidRPr="0043742B">
              <w:rPr>
                <w:rFonts w:ascii="Garamond" w:hAnsi="Garamond"/>
                <w:b/>
                <w:lang w:val="en-AU"/>
              </w:rPr>
              <w:t>higher 30-day readmission probability</w:t>
            </w:r>
            <w:r w:rsidRPr="0043742B">
              <w:rPr>
                <w:rFonts w:ascii="Garamond" w:hAnsi="Garamond"/>
                <w:lang w:val="en-AU"/>
              </w:rPr>
              <w:t>.</w:t>
            </w:r>
          </w:p>
          <w:p w:rsidR="00A314F4" w:rsidRDefault="00A314F4" w:rsidP="001E01CE">
            <w:pPr>
              <w:pStyle w:val="ListParagraph"/>
              <w:numPr>
                <w:ilvl w:val="0"/>
                <w:numId w:val="32"/>
              </w:numPr>
              <w:rPr>
                <w:rFonts w:ascii="Garamond" w:hAnsi="Garamond"/>
                <w:lang w:val="en-AU"/>
              </w:rPr>
            </w:pPr>
            <w:r w:rsidRPr="0043742B">
              <w:rPr>
                <w:rFonts w:ascii="Garamond" w:hAnsi="Garamond"/>
                <w:lang w:val="en-AU"/>
              </w:rPr>
              <w:t xml:space="preserve">A patient with </w:t>
            </w:r>
            <w:r w:rsidRPr="0043742B">
              <w:rPr>
                <w:rFonts w:ascii="Garamond" w:hAnsi="Garamond"/>
                <w:b/>
                <w:lang w:val="en-AU"/>
              </w:rPr>
              <w:t>temporary harm</w:t>
            </w:r>
            <w:r w:rsidRPr="0043742B">
              <w:rPr>
                <w:rFonts w:ascii="Garamond" w:hAnsi="Garamond"/>
                <w:lang w:val="en-AU"/>
              </w:rPr>
              <w:t xml:space="preserve"> was estimated to have </w:t>
            </w:r>
            <w:r w:rsidRPr="0043742B">
              <w:rPr>
                <w:rFonts w:ascii="Garamond" w:hAnsi="Garamond"/>
                <w:b/>
                <w:lang w:val="en-AU"/>
              </w:rPr>
              <w:t>higher total cost</w:t>
            </w:r>
            <w:r w:rsidRPr="0043742B">
              <w:rPr>
                <w:rFonts w:ascii="Garamond" w:hAnsi="Garamond"/>
                <w:lang w:val="en-AU"/>
              </w:rPr>
              <w:t xml:space="preserve">, </w:t>
            </w:r>
            <w:r w:rsidRPr="0043742B">
              <w:rPr>
                <w:rFonts w:ascii="Garamond" w:hAnsi="Garamond"/>
                <w:b/>
                <w:lang w:val="en-AU"/>
              </w:rPr>
              <w:t>higher variable cost</w:t>
            </w:r>
            <w:r w:rsidRPr="0043742B">
              <w:rPr>
                <w:rFonts w:ascii="Garamond" w:hAnsi="Garamond"/>
                <w:lang w:val="en-AU"/>
              </w:rPr>
              <w:t xml:space="preserve">, </w:t>
            </w:r>
            <w:r w:rsidRPr="0043742B">
              <w:rPr>
                <w:rFonts w:ascii="Garamond" w:hAnsi="Garamond"/>
                <w:b/>
                <w:lang w:val="en-AU"/>
              </w:rPr>
              <w:t>lower contribution margin</w:t>
            </w:r>
            <w:r w:rsidRPr="0043742B">
              <w:rPr>
                <w:rFonts w:ascii="Garamond" w:hAnsi="Garamond"/>
                <w:lang w:val="en-AU"/>
              </w:rPr>
              <w:t xml:space="preserve">, </w:t>
            </w:r>
            <w:r w:rsidRPr="0043742B">
              <w:rPr>
                <w:rFonts w:ascii="Garamond" w:hAnsi="Garamond"/>
                <w:b/>
                <w:lang w:val="en-AU"/>
              </w:rPr>
              <w:t>longer length of stay</w:t>
            </w:r>
            <w:r w:rsidRPr="0043742B">
              <w:rPr>
                <w:rFonts w:ascii="Garamond" w:hAnsi="Garamond"/>
                <w:lang w:val="en-AU"/>
              </w:rPr>
              <w:t xml:space="preserve"> and </w:t>
            </w:r>
            <w:r w:rsidRPr="0043742B">
              <w:rPr>
                <w:rFonts w:ascii="Garamond" w:hAnsi="Garamond"/>
                <w:b/>
                <w:lang w:val="en-AU"/>
              </w:rPr>
              <w:t>higher 30-day readmission probability</w:t>
            </w:r>
            <w:r w:rsidRPr="0043742B">
              <w:rPr>
                <w:rFonts w:ascii="Garamond" w:hAnsi="Garamond"/>
                <w:lang w:val="en-AU"/>
              </w:rPr>
              <w:t>.</w:t>
            </w:r>
          </w:p>
          <w:p w:rsidR="00A314F4" w:rsidRPr="0043742B" w:rsidRDefault="00A314F4" w:rsidP="001E01CE">
            <w:pPr>
              <w:pStyle w:val="ListParagraph"/>
              <w:numPr>
                <w:ilvl w:val="0"/>
                <w:numId w:val="32"/>
              </w:numPr>
              <w:rPr>
                <w:rFonts w:ascii="Garamond" w:hAnsi="Garamond"/>
                <w:lang w:val="en-AU"/>
              </w:rPr>
            </w:pPr>
            <w:r w:rsidRPr="0043742B">
              <w:rPr>
                <w:rFonts w:ascii="Garamond" w:hAnsi="Garamond"/>
                <w:b/>
                <w:lang w:val="en-AU"/>
              </w:rPr>
              <w:t>Total health system reduction of</w:t>
            </w:r>
            <w:r w:rsidRPr="0043742B">
              <w:rPr>
                <w:rFonts w:ascii="Garamond" w:hAnsi="Garamond"/>
                <w:lang w:val="en-AU"/>
              </w:rPr>
              <w:t xml:space="preserve"> harm was associated with a </w:t>
            </w:r>
            <w:r w:rsidRPr="0043742B">
              <w:rPr>
                <w:rFonts w:ascii="Garamond" w:hAnsi="Garamond"/>
                <w:b/>
                <w:lang w:val="en-AU"/>
              </w:rPr>
              <w:t>decrease</w:t>
            </w:r>
            <w:r w:rsidRPr="0043742B">
              <w:rPr>
                <w:rFonts w:ascii="Garamond" w:hAnsi="Garamond"/>
                <w:lang w:val="en-AU"/>
              </w:rPr>
              <w:t xml:space="preserve"> of $108 million in </w:t>
            </w:r>
            <w:r w:rsidRPr="0043742B">
              <w:rPr>
                <w:rFonts w:ascii="Garamond" w:hAnsi="Garamond"/>
                <w:b/>
                <w:lang w:val="en-AU"/>
              </w:rPr>
              <w:t>total cost</w:t>
            </w:r>
            <w:r w:rsidRPr="0043742B">
              <w:rPr>
                <w:rFonts w:ascii="Garamond" w:hAnsi="Garamond"/>
                <w:lang w:val="en-AU"/>
              </w:rPr>
              <w:t xml:space="preserve">, $48 million in </w:t>
            </w:r>
            <w:r w:rsidRPr="0043742B">
              <w:rPr>
                <w:rFonts w:ascii="Garamond" w:hAnsi="Garamond"/>
                <w:b/>
                <w:lang w:val="en-AU"/>
              </w:rPr>
              <w:t>variable cost</w:t>
            </w:r>
            <w:r w:rsidRPr="0043742B">
              <w:rPr>
                <w:rFonts w:ascii="Garamond" w:hAnsi="Garamond"/>
                <w:lang w:val="en-AU"/>
              </w:rPr>
              <w:t xml:space="preserve">, an </w:t>
            </w:r>
            <w:r w:rsidRPr="0043742B">
              <w:rPr>
                <w:rFonts w:ascii="Garamond" w:hAnsi="Garamond"/>
                <w:b/>
                <w:lang w:val="en-AU"/>
              </w:rPr>
              <w:t>increase of contribution margin</w:t>
            </w:r>
            <w:r w:rsidRPr="0043742B">
              <w:rPr>
                <w:rFonts w:ascii="Garamond" w:hAnsi="Garamond"/>
                <w:lang w:val="en-AU"/>
              </w:rPr>
              <w:t xml:space="preserve"> by $18 million, and </w:t>
            </w:r>
            <w:r w:rsidRPr="0043742B">
              <w:rPr>
                <w:rFonts w:ascii="Garamond" w:hAnsi="Garamond"/>
                <w:b/>
                <w:lang w:val="en-AU"/>
              </w:rPr>
              <w:t>savings of 60,000 inpatient care days</w:t>
            </w:r>
            <w:r w:rsidRPr="0043742B">
              <w:rPr>
                <w:rFonts w:ascii="Garamond" w:hAnsi="Garamond"/>
                <w:lang w:val="en-AU"/>
              </w:rPr>
              <w:t>.</w:t>
            </w:r>
          </w:p>
          <w:p w:rsidR="00A314F4" w:rsidRPr="000365E9" w:rsidRDefault="00A314F4" w:rsidP="001E01CE">
            <w:pPr>
              <w:rPr>
                <w:rFonts w:ascii="Garamond" w:hAnsi="Garamond"/>
                <w:lang w:val="en-AU"/>
              </w:rPr>
            </w:pPr>
            <w:r>
              <w:rPr>
                <w:rFonts w:ascii="Garamond" w:hAnsi="Garamond"/>
                <w:lang w:val="en-AU"/>
              </w:rPr>
              <w:t>This led the authors to the conclusion that their “</w:t>
            </w:r>
            <w:r w:rsidRPr="0043742B">
              <w:rPr>
                <w:rFonts w:ascii="Garamond" w:hAnsi="Garamond"/>
                <w:lang w:val="en-AU"/>
              </w:rPr>
              <w:t>all-cause harm safety study indicates that inpatient harm has negative financial outcomes for hospitals and negative clinical outcomes for patients.</w:t>
            </w:r>
            <w:r>
              <w:rPr>
                <w:rFonts w:ascii="Garamond" w:hAnsi="Garamond"/>
                <w:lang w:val="en-AU"/>
              </w:rPr>
              <w:t>”</w:t>
            </w:r>
          </w:p>
        </w:tc>
      </w:tr>
    </w:tbl>
    <w:p w:rsidR="00993572" w:rsidRPr="00ED2E37" w:rsidRDefault="00ED2E37" w:rsidP="00AC23BE">
      <w:pPr>
        <w:keepNext/>
        <w:keepLines/>
        <w:autoSpaceDE w:val="0"/>
        <w:autoSpaceDN w:val="0"/>
        <w:adjustRightInd w:val="0"/>
        <w:rPr>
          <w:rFonts w:ascii="Garamond" w:hAnsi="Garamond"/>
          <w:i/>
          <w:lang w:val="en-AU"/>
        </w:rPr>
      </w:pPr>
      <w:r w:rsidRPr="00ED2E37">
        <w:rPr>
          <w:rFonts w:ascii="Garamond" w:hAnsi="Garamond"/>
          <w:i/>
          <w:lang w:val="en-AU"/>
        </w:rPr>
        <w:lastRenderedPageBreak/>
        <w:t>NHS proposes to stop funding 17 “unnecessary” procedures</w:t>
      </w:r>
    </w:p>
    <w:p w:rsidR="00ED2E37" w:rsidRDefault="00ED2E37" w:rsidP="00AC23BE">
      <w:pPr>
        <w:keepNext/>
        <w:keepLines/>
        <w:autoSpaceDE w:val="0"/>
        <w:autoSpaceDN w:val="0"/>
        <w:adjustRightInd w:val="0"/>
        <w:rPr>
          <w:rFonts w:ascii="Garamond" w:hAnsi="Garamond"/>
          <w:lang w:val="en-AU"/>
        </w:rPr>
      </w:pPr>
      <w:r w:rsidRPr="00ED2E37">
        <w:rPr>
          <w:rFonts w:ascii="Garamond" w:hAnsi="Garamond"/>
          <w:lang w:val="en-AU"/>
        </w:rPr>
        <w:t>Iacobucci G.</w:t>
      </w:r>
    </w:p>
    <w:p w:rsidR="00ED2E37" w:rsidRPr="00E566B0" w:rsidRDefault="00ED2E37" w:rsidP="00AC23BE">
      <w:pPr>
        <w:keepNext/>
        <w:keepLines/>
        <w:autoSpaceDE w:val="0"/>
        <w:autoSpaceDN w:val="0"/>
        <w:adjustRightInd w:val="0"/>
        <w:rPr>
          <w:rFonts w:ascii="Garamond" w:hAnsi="Garamond"/>
          <w:lang w:val="en-AU"/>
        </w:rPr>
      </w:pPr>
      <w:r w:rsidRPr="00ED2E37">
        <w:rPr>
          <w:rFonts w:ascii="Garamond" w:hAnsi="Garamond"/>
          <w:lang w:val="en-AU"/>
        </w:rPr>
        <w:t>BMJ. 2018;362:k2903.</w:t>
      </w:r>
    </w:p>
    <w:tbl>
      <w:tblPr>
        <w:tblStyle w:val="TableGrid"/>
        <w:tblW w:w="0" w:type="auto"/>
        <w:tblInd w:w="288" w:type="dxa"/>
        <w:tblLayout w:type="fixed"/>
        <w:tblLook w:val="01E0" w:firstRow="1" w:lastRow="1" w:firstColumn="1" w:lastColumn="1" w:noHBand="0" w:noVBand="0"/>
      </w:tblPr>
      <w:tblGrid>
        <w:gridCol w:w="1080"/>
        <w:gridCol w:w="8280"/>
      </w:tblGrid>
      <w:tr w:rsidR="00AC23BE"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AC23BE" w:rsidP="0043742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C23BE" w:rsidRPr="000170DA" w:rsidRDefault="00E45C1E" w:rsidP="0043742B">
            <w:pPr>
              <w:rPr>
                <w:rStyle w:val="Hyperlink"/>
                <w:rFonts w:ascii="Garamond" w:hAnsi="Garamond"/>
                <w:color w:val="auto"/>
                <w:u w:val="none"/>
                <w:lang w:val="en-AU"/>
              </w:rPr>
            </w:pPr>
            <w:hyperlink r:id="rId24" w:history="1">
              <w:r w:rsidR="00ED2E37" w:rsidRPr="002A655E">
                <w:rPr>
                  <w:rStyle w:val="Hyperlink"/>
                  <w:rFonts w:ascii="Garamond" w:hAnsi="Garamond"/>
                  <w:lang w:val="en-AU"/>
                </w:rPr>
                <w:t>https://doi.org/10.1136/bmj.k2903</w:t>
              </w:r>
            </w:hyperlink>
          </w:p>
        </w:tc>
      </w:tr>
      <w:tr w:rsidR="00AC23BE"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AC23BE" w:rsidP="004374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D2E37" w:rsidRDefault="00ED2E37" w:rsidP="00ED2E37">
            <w:pPr>
              <w:rPr>
                <w:rFonts w:ascii="Garamond" w:hAnsi="Garamond"/>
                <w:lang w:val="en-AU"/>
              </w:rPr>
            </w:pPr>
            <w:r>
              <w:rPr>
                <w:rFonts w:ascii="Garamond" w:hAnsi="Garamond"/>
                <w:lang w:val="en-AU"/>
              </w:rPr>
              <w:t xml:space="preserve">This news item in the </w:t>
            </w:r>
            <w:r w:rsidRPr="00ED2E37">
              <w:rPr>
                <w:rFonts w:ascii="Garamond" w:hAnsi="Garamond"/>
                <w:i/>
                <w:lang w:val="en-AU"/>
              </w:rPr>
              <w:t>BMJ</w:t>
            </w:r>
            <w:r>
              <w:rPr>
                <w:rFonts w:ascii="Garamond" w:hAnsi="Garamond"/>
                <w:lang w:val="en-AU"/>
              </w:rPr>
              <w:t xml:space="preserve">, </w:t>
            </w:r>
            <w:r w:rsidR="009A7B8C">
              <w:rPr>
                <w:rFonts w:ascii="Garamond" w:hAnsi="Garamond"/>
                <w:lang w:val="en-AU"/>
              </w:rPr>
              <w:t xml:space="preserve">reports that </w:t>
            </w:r>
            <w:r>
              <w:rPr>
                <w:rFonts w:ascii="Garamond" w:hAnsi="Garamond"/>
                <w:lang w:val="en-AU"/>
              </w:rPr>
              <w:t>t</w:t>
            </w:r>
            <w:r w:rsidRPr="00ED2E37">
              <w:rPr>
                <w:rFonts w:ascii="Garamond" w:hAnsi="Garamond"/>
                <w:lang w:val="en-AU"/>
              </w:rPr>
              <w:t xml:space="preserve">he NHS in England has proposed to stop funding 17 procedures it considers unnecessary, to save money and eliminate unwarranted clinical variation across the country. </w:t>
            </w:r>
            <w:r>
              <w:rPr>
                <w:rFonts w:ascii="Garamond" w:hAnsi="Garamond"/>
                <w:lang w:val="en-AU"/>
              </w:rPr>
              <w:t xml:space="preserve">This is not to say that all the procedures are effectively banned but that should only be performed </w:t>
            </w:r>
            <w:r w:rsidRPr="00ED2E37">
              <w:rPr>
                <w:rFonts w:ascii="Garamond" w:hAnsi="Garamond"/>
                <w:lang w:val="en-AU"/>
              </w:rPr>
              <w:t>when specific clinical criteria are met</w:t>
            </w:r>
            <w:r>
              <w:rPr>
                <w:rFonts w:ascii="Garamond" w:hAnsi="Garamond"/>
                <w:lang w:val="en-AU"/>
              </w:rPr>
              <w:t>.</w:t>
            </w:r>
          </w:p>
          <w:p w:rsidR="001909DA" w:rsidRDefault="007150B2" w:rsidP="00ED2E37">
            <w:pPr>
              <w:rPr>
                <w:rFonts w:ascii="Garamond" w:hAnsi="Garamond"/>
                <w:lang w:val="en-AU"/>
              </w:rPr>
            </w:pPr>
            <w:r>
              <w:rPr>
                <w:rFonts w:ascii="Garamond" w:hAnsi="Garamond"/>
                <w:lang w:val="en-AU"/>
              </w:rPr>
              <w:t>T</w:t>
            </w:r>
            <w:r w:rsidRPr="007150B2">
              <w:rPr>
                <w:rFonts w:ascii="Garamond" w:hAnsi="Garamond"/>
                <w:lang w:val="en-AU"/>
              </w:rPr>
              <w:t>he 17 routine procedures are carried out about 350</w:t>
            </w:r>
            <w:r w:rsidRPr="007150B2">
              <w:rPr>
                <w:lang w:val="en-AU"/>
              </w:rPr>
              <w:t> </w:t>
            </w:r>
            <w:r w:rsidRPr="007150B2">
              <w:rPr>
                <w:rFonts w:ascii="Garamond" w:hAnsi="Garamond"/>
                <w:lang w:val="en-AU"/>
              </w:rPr>
              <w:t xml:space="preserve">000 times a year in total and cost over </w:t>
            </w:r>
            <w:r w:rsidRPr="007150B2">
              <w:rPr>
                <w:rFonts w:ascii="Garamond" w:hAnsi="Garamond" w:cs="Garamond"/>
                <w:lang w:val="en-AU"/>
              </w:rPr>
              <w:t>£</w:t>
            </w:r>
            <w:r w:rsidRPr="007150B2">
              <w:rPr>
                <w:rFonts w:ascii="Garamond" w:hAnsi="Garamond"/>
                <w:lang w:val="en-AU"/>
              </w:rPr>
              <w:t xml:space="preserve">400m a year. The NHS is aiming for what it termed a </w:t>
            </w:r>
            <w:r w:rsidRPr="007150B2">
              <w:rPr>
                <w:rFonts w:ascii="Garamond" w:hAnsi="Garamond" w:cs="Garamond"/>
                <w:lang w:val="en-AU"/>
              </w:rPr>
              <w:t>“</w:t>
            </w:r>
            <w:r w:rsidRPr="007150B2">
              <w:rPr>
                <w:rFonts w:ascii="Garamond" w:hAnsi="Garamond"/>
                <w:lang w:val="en-AU"/>
              </w:rPr>
              <w:t>moderate</w:t>
            </w:r>
            <w:r w:rsidRPr="007150B2">
              <w:rPr>
                <w:rFonts w:ascii="Garamond" w:hAnsi="Garamond" w:cs="Garamond"/>
                <w:lang w:val="en-AU"/>
              </w:rPr>
              <w:t>”</w:t>
            </w:r>
            <w:r w:rsidRPr="007150B2">
              <w:rPr>
                <w:rFonts w:ascii="Garamond" w:hAnsi="Garamond"/>
                <w:lang w:val="en-AU"/>
              </w:rPr>
              <w:t xml:space="preserve"> </w:t>
            </w:r>
            <w:r w:rsidRPr="001909DA">
              <w:rPr>
                <w:rFonts w:ascii="Garamond" w:hAnsi="Garamond"/>
                <w:b/>
                <w:lang w:val="en-AU"/>
              </w:rPr>
              <w:t>reduction</w:t>
            </w:r>
            <w:r w:rsidRPr="007150B2">
              <w:rPr>
                <w:rFonts w:ascii="Garamond" w:hAnsi="Garamond"/>
                <w:lang w:val="en-AU"/>
              </w:rPr>
              <w:t xml:space="preserve"> of around </w:t>
            </w:r>
            <w:r w:rsidRPr="001909DA">
              <w:rPr>
                <w:rFonts w:ascii="Garamond" w:hAnsi="Garamond"/>
                <w:b/>
                <w:lang w:val="en-AU"/>
              </w:rPr>
              <w:t>170</w:t>
            </w:r>
            <w:r w:rsidRPr="001909DA">
              <w:rPr>
                <w:b/>
                <w:lang w:val="en-AU"/>
              </w:rPr>
              <w:t> </w:t>
            </w:r>
            <w:r w:rsidRPr="001909DA">
              <w:rPr>
                <w:rFonts w:ascii="Garamond" w:hAnsi="Garamond"/>
                <w:b/>
                <w:lang w:val="en-AU"/>
              </w:rPr>
              <w:t>000 procedures</w:t>
            </w:r>
            <w:r w:rsidRPr="007150B2">
              <w:rPr>
                <w:rFonts w:ascii="Garamond" w:hAnsi="Garamond"/>
                <w:lang w:val="en-AU"/>
              </w:rPr>
              <w:t xml:space="preserve"> a year, which would </w:t>
            </w:r>
            <w:r w:rsidRPr="001909DA">
              <w:rPr>
                <w:rFonts w:ascii="Garamond" w:hAnsi="Garamond"/>
                <w:b/>
                <w:lang w:val="en-AU"/>
              </w:rPr>
              <w:t>save £200m</w:t>
            </w:r>
            <w:r w:rsidRPr="007150B2">
              <w:rPr>
                <w:rFonts w:ascii="Garamond" w:hAnsi="Garamond"/>
                <w:lang w:val="en-AU"/>
              </w:rPr>
              <w:t>.</w:t>
            </w:r>
          </w:p>
          <w:p w:rsidR="00ED2E37" w:rsidRPr="00ED2E37" w:rsidRDefault="00ED2E37" w:rsidP="00ED2E37">
            <w:pPr>
              <w:rPr>
                <w:rFonts w:ascii="Garamond" w:hAnsi="Garamond"/>
                <w:lang w:val="en-AU"/>
              </w:rPr>
            </w:pPr>
            <w:r>
              <w:rPr>
                <w:rFonts w:ascii="Garamond" w:hAnsi="Garamond"/>
                <w:lang w:val="en-AU"/>
              </w:rPr>
              <w:t>There are four p</w:t>
            </w:r>
            <w:r w:rsidRPr="00ED2E37">
              <w:rPr>
                <w:rFonts w:ascii="Garamond" w:hAnsi="Garamond"/>
                <w:lang w:val="en-AU"/>
              </w:rPr>
              <w:t>rocedures that should no longer be routinely commissioned unless a successful individual funding request (IFR) is made:</w:t>
            </w:r>
          </w:p>
          <w:p w:rsidR="00ED2E37" w:rsidRPr="00ED2E37" w:rsidRDefault="00ED2E37" w:rsidP="00ED2E37">
            <w:pPr>
              <w:pStyle w:val="ListParagraph"/>
              <w:numPr>
                <w:ilvl w:val="0"/>
                <w:numId w:val="28"/>
              </w:numPr>
              <w:rPr>
                <w:rFonts w:ascii="Garamond" w:hAnsi="Garamond"/>
                <w:lang w:val="en-AU"/>
              </w:rPr>
            </w:pPr>
            <w:r w:rsidRPr="00ED2E37">
              <w:rPr>
                <w:rFonts w:ascii="Garamond" w:hAnsi="Garamond"/>
                <w:lang w:val="en-AU"/>
              </w:rPr>
              <w:t>Snoring surgery (in the absence of obstructive sleep apnoea)</w:t>
            </w:r>
          </w:p>
          <w:p w:rsidR="00ED2E37" w:rsidRPr="00ED2E37" w:rsidRDefault="00ED2E37" w:rsidP="00ED2E37">
            <w:pPr>
              <w:pStyle w:val="ListParagraph"/>
              <w:numPr>
                <w:ilvl w:val="0"/>
                <w:numId w:val="28"/>
              </w:numPr>
              <w:rPr>
                <w:rFonts w:ascii="Garamond" w:hAnsi="Garamond"/>
                <w:lang w:val="en-AU"/>
              </w:rPr>
            </w:pPr>
            <w:r w:rsidRPr="00ED2E37">
              <w:rPr>
                <w:rFonts w:ascii="Garamond" w:hAnsi="Garamond"/>
                <w:lang w:val="en-AU"/>
              </w:rPr>
              <w:t>Dilatation and curettage for heavy menstrual bleeding</w:t>
            </w:r>
          </w:p>
          <w:p w:rsidR="00ED2E37" w:rsidRPr="00ED2E37" w:rsidRDefault="00ED2E37" w:rsidP="00ED2E37">
            <w:pPr>
              <w:pStyle w:val="ListParagraph"/>
              <w:numPr>
                <w:ilvl w:val="0"/>
                <w:numId w:val="28"/>
              </w:numPr>
              <w:rPr>
                <w:rFonts w:ascii="Garamond" w:hAnsi="Garamond"/>
                <w:lang w:val="en-AU"/>
              </w:rPr>
            </w:pPr>
            <w:r w:rsidRPr="00ED2E37">
              <w:rPr>
                <w:rFonts w:ascii="Garamond" w:hAnsi="Garamond"/>
                <w:lang w:val="en-AU"/>
              </w:rPr>
              <w:t>Knee arthroscopy for patients with osteoarthritis</w:t>
            </w:r>
          </w:p>
          <w:p w:rsidR="00ED2E37" w:rsidRPr="00ED2E37" w:rsidRDefault="00ED2E37" w:rsidP="00ED2E37">
            <w:pPr>
              <w:pStyle w:val="ListParagraph"/>
              <w:numPr>
                <w:ilvl w:val="0"/>
                <w:numId w:val="28"/>
              </w:numPr>
              <w:rPr>
                <w:rFonts w:ascii="Garamond" w:hAnsi="Garamond"/>
                <w:lang w:val="en-AU"/>
              </w:rPr>
            </w:pPr>
            <w:r w:rsidRPr="00ED2E37">
              <w:rPr>
                <w:rFonts w:ascii="Garamond" w:hAnsi="Garamond"/>
                <w:lang w:val="en-AU"/>
              </w:rPr>
              <w:t>Injections for non-specific low back pain without sciatica</w:t>
            </w:r>
          </w:p>
          <w:p w:rsidR="00ED2E37" w:rsidRPr="00ED2E37" w:rsidRDefault="00ED2E37" w:rsidP="00ED2E37">
            <w:pPr>
              <w:rPr>
                <w:rFonts w:ascii="Garamond" w:hAnsi="Garamond"/>
                <w:lang w:val="en-AU"/>
              </w:rPr>
            </w:pPr>
            <w:r>
              <w:rPr>
                <w:rFonts w:ascii="Garamond" w:hAnsi="Garamond"/>
                <w:lang w:val="en-AU"/>
              </w:rPr>
              <w:t>Then there are 13 p</w:t>
            </w:r>
            <w:r w:rsidRPr="00ED2E37">
              <w:rPr>
                <w:rFonts w:ascii="Garamond" w:hAnsi="Garamond"/>
                <w:lang w:val="en-AU"/>
              </w:rPr>
              <w:t>rocedures that should be commissioned or performed only when specific clinical criteria are met:</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Breast reduction</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Removal of benign skin lesions</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Grommets for glue ear in children</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Tonsillectomy for recurrent tonsillitis</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Haemorrhoid surgery</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Hysterectomy for heavy menstrual bleeding</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Chalazia removal</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Arthroscopic shoulder decompression for subacromial shoulder pain</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Carpal tunnel syndrome release</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Dupuytren’s contracture release</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Ganglion excision</w:t>
            </w:r>
          </w:p>
          <w:p w:rsidR="00ED2E37" w:rsidRPr="00ED2E37" w:rsidRDefault="00ED2E37" w:rsidP="00ED2E37">
            <w:pPr>
              <w:pStyle w:val="ListParagraph"/>
              <w:numPr>
                <w:ilvl w:val="0"/>
                <w:numId w:val="29"/>
              </w:numPr>
              <w:rPr>
                <w:rFonts w:ascii="Garamond" w:hAnsi="Garamond"/>
                <w:lang w:val="en-AU"/>
              </w:rPr>
            </w:pPr>
            <w:r w:rsidRPr="00ED2E37">
              <w:rPr>
                <w:rFonts w:ascii="Garamond" w:hAnsi="Garamond"/>
                <w:lang w:val="en-AU"/>
              </w:rPr>
              <w:t>Trigger finger release</w:t>
            </w:r>
          </w:p>
          <w:p w:rsidR="00AC23BE" w:rsidRPr="00ED2E37" w:rsidRDefault="00ED2E37" w:rsidP="00ED2E37">
            <w:pPr>
              <w:pStyle w:val="ListParagraph"/>
              <w:numPr>
                <w:ilvl w:val="0"/>
                <w:numId w:val="29"/>
              </w:numPr>
              <w:rPr>
                <w:rFonts w:ascii="Garamond" w:hAnsi="Garamond"/>
                <w:lang w:val="en-AU"/>
              </w:rPr>
            </w:pPr>
            <w:r w:rsidRPr="00ED2E37">
              <w:rPr>
                <w:rFonts w:ascii="Garamond" w:hAnsi="Garamond"/>
                <w:lang w:val="en-AU"/>
              </w:rPr>
              <w:t>Varicose vein surgery</w:t>
            </w:r>
          </w:p>
        </w:tc>
      </w:tr>
    </w:tbl>
    <w:p w:rsidR="00AC23BE" w:rsidRDefault="00AC23BE" w:rsidP="00AC23BE">
      <w:pPr>
        <w:keepLines/>
        <w:autoSpaceDE w:val="0"/>
        <w:autoSpaceDN w:val="0"/>
        <w:adjustRightInd w:val="0"/>
        <w:rPr>
          <w:rFonts w:ascii="Garamond" w:hAnsi="Garamond"/>
          <w:lang w:val="en-AU"/>
        </w:rPr>
      </w:pPr>
    </w:p>
    <w:p w:rsidR="00ED2E37" w:rsidRDefault="00ED2E37" w:rsidP="00ED2E37">
      <w:pPr>
        <w:keepLines/>
        <w:autoSpaceDE w:val="0"/>
        <w:autoSpaceDN w:val="0"/>
        <w:adjustRightInd w:val="0"/>
        <w:rPr>
          <w:rStyle w:val="Hyperlink"/>
          <w:rFonts w:ascii="Garamond" w:hAnsi="Garamond"/>
          <w:lang w:val="en-AU"/>
        </w:rPr>
      </w:pPr>
      <w:r>
        <w:rPr>
          <w:rFonts w:ascii="Garamond" w:hAnsi="Garamond"/>
          <w:lang w:val="en-AU"/>
        </w:rPr>
        <w:t xml:space="preserve">For information about healthcare variation and access to the </w:t>
      </w:r>
      <w:r w:rsidRPr="00CA23D4">
        <w:rPr>
          <w:rFonts w:ascii="Garamond" w:hAnsi="Garamond"/>
          <w:i/>
          <w:lang w:val="en-AU"/>
        </w:rPr>
        <w:t>Australian Atlas of Healthcare Variation</w:t>
      </w:r>
      <w:r>
        <w:rPr>
          <w:rFonts w:ascii="Garamond" w:hAnsi="Garamond"/>
          <w:i/>
          <w:lang w:val="en-AU"/>
        </w:rPr>
        <w:t xml:space="preserve"> </w:t>
      </w:r>
      <w:r w:rsidRPr="00ED2E37">
        <w:rPr>
          <w:rFonts w:ascii="Garamond" w:hAnsi="Garamond"/>
          <w:lang w:val="en-AU"/>
        </w:rPr>
        <w:t>series</w:t>
      </w:r>
      <w:r>
        <w:rPr>
          <w:rFonts w:ascii="Garamond" w:hAnsi="Garamond"/>
          <w:lang w:val="en-AU"/>
        </w:rPr>
        <w:t xml:space="preserve">, see </w:t>
      </w:r>
      <w:hyperlink r:id="rId25" w:history="1">
        <w:r w:rsidRPr="00A02B47">
          <w:rPr>
            <w:rStyle w:val="Hyperlink"/>
            <w:rFonts w:ascii="Garamond" w:hAnsi="Garamond"/>
            <w:lang w:val="en-AU"/>
          </w:rPr>
          <w:t>https://www.safetyandquality.gov.au/atlas/</w:t>
        </w:r>
      </w:hyperlink>
    </w:p>
    <w:p w:rsidR="00ED2E37" w:rsidRDefault="00ED2E37" w:rsidP="00AC23BE">
      <w:pPr>
        <w:keepLines/>
        <w:autoSpaceDE w:val="0"/>
        <w:autoSpaceDN w:val="0"/>
        <w:adjustRightInd w:val="0"/>
        <w:rPr>
          <w:rFonts w:ascii="Garamond" w:hAnsi="Garamond"/>
          <w:lang w:val="en-AU"/>
        </w:rPr>
      </w:pPr>
    </w:p>
    <w:p w:rsidR="00244E48" w:rsidRPr="00B604C3" w:rsidRDefault="00244E48" w:rsidP="00244E48">
      <w:pPr>
        <w:keepNext/>
        <w:keepLines/>
        <w:autoSpaceDE w:val="0"/>
        <w:autoSpaceDN w:val="0"/>
        <w:adjustRightInd w:val="0"/>
        <w:rPr>
          <w:rFonts w:ascii="Garamond" w:hAnsi="Garamond"/>
          <w:i/>
          <w:lang w:val="en-AU"/>
        </w:rPr>
      </w:pPr>
      <w:r w:rsidRPr="00B604C3">
        <w:rPr>
          <w:rFonts w:ascii="Garamond" w:hAnsi="Garamond"/>
          <w:i/>
          <w:lang w:val="en-AU"/>
        </w:rPr>
        <w:t>Electronic Health Records Associated With Lower Hospital Mortality After Systems Have Time To Mature</w:t>
      </w:r>
    </w:p>
    <w:p w:rsidR="00244E48" w:rsidRDefault="00244E48" w:rsidP="00244E48">
      <w:pPr>
        <w:keepNext/>
        <w:keepLines/>
        <w:autoSpaceDE w:val="0"/>
        <w:autoSpaceDN w:val="0"/>
        <w:adjustRightInd w:val="0"/>
        <w:rPr>
          <w:rFonts w:ascii="Garamond" w:hAnsi="Garamond"/>
          <w:lang w:val="en-AU"/>
        </w:rPr>
      </w:pPr>
      <w:r w:rsidRPr="00B604C3">
        <w:rPr>
          <w:rFonts w:ascii="Garamond" w:hAnsi="Garamond"/>
          <w:lang w:val="en-AU"/>
        </w:rPr>
        <w:t>Lin SC, Jha AK, Adler-Milstein J</w:t>
      </w:r>
    </w:p>
    <w:p w:rsidR="00244E48" w:rsidRPr="00E566B0" w:rsidRDefault="00244E48" w:rsidP="00244E48">
      <w:pPr>
        <w:keepNext/>
        <w:keepLines/>
        <w:autoSpaceDE w:val="0"/>
        <w:autoSpaceDN w:val="0"/>
        <w:adjustRightInd w:val="0"/>
        <w:rPr>
          <w:rFonts w:ascii="Garamond" w:hAnsi="Garamond"/>
          <w:lang w:val="en-AU"/>
        </w:rPr>
      </w:pPr>
      <w:r w:rsidRPr="00B604C3">
        <w:rPr>
          <w:rFonts w:ascii="Garamond" w:hAnsi="Garamond"/>
          <w:lang w:val="en-AU"/>
        </w:rPr>
        <w:t>Health Affairs. 2018;37(7):1128-35.</w:t>
      </w:r>
    </w:p>
    <w:tbl>
      <w:tblPr>
        <w:tblStyle w:val="TableGrid"/>
        <w:tblW w:w="0" w:type="auto"/>
        <w:tblInd w:w="288" w:type="dxa"/>
        <w:tblLayout w:type="fixed"/>
        <w:tblLook w:val="01E0" w:firstRow="1" w:lastRow="1" w:firstColumn="1" w:lastColumn="1" w:noHBand="0" w:noVBand="0"/>
      </w:tblPr>
      <w:tblGrid>
        <w:gridCol w:w="1080"/>
        <w:gridCol w:w="8280"/>
      </w:tblGrid>
      <w:tr w:rsidR="00244E48" w:rsidRPr="000170DA" w:rsidTr="001E01CE">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1E01C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4E48" w:rsidRPr="000170DA" w:rsidRDefault="00E45C1E" w:rsidP="001E01CE">
            <w:pPr>
              <w:rPr>
                <w:rStyle w:val="Hyperlink"/>
                <w:rFonts w:ascii="Garamond" w:hAnsi="Garamond"/>
                <w:color w:val="auto"/>
                <w:u w:val="none"/>
                <w:lang w:val="en-AU"/>
              </w:rPr>
            </w:pPr>
            <w:hyperlink r:id="rId26" w:history="1">
              <w:r w:rsidR="00244E48" w:rsidRPr="00CA365D">
                <w:rPr>
                  <w:rStyle w:val="Hyperlink"/>
                  <w:rFonts w:ascii="Garamond" w:hAnsi="Garamond"/>
                  <w:lang w:val="en-AU"/>
                </w:rPr>
                <w:t>https://doi.org/10.1377/hlthaff.2017.1602</w:t>
              </w:r>
            </w:hyperlink>
          </w:p>
        </w:tc>
      </w:tr>
      <w:tr w:rsidR="00244E48" w:rsidRPr="000170DA" w:rsidTr="001E01CE">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1E01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4E48" w:rsidRPr="000365E9" w:rsidRDefault="00244E48" w:rsidP="001E01CE">
            <w:pPr>
              <w:rPr>
                <w:rFonts w:ascii="Garamond" w:hAnsi="Garamond"/>
                <w:lang w:val="en-AU"/>
              </w:rPr>
            </w:pPr>
            <w:r>
              <w:rPr>
                <w:rFonts w:ascii="Garamond" w:hAnsi="Garamond"/>
                <w:lang w:val="en-AU"/>
              </w:rPr>
              <w:t xml:space="preserve">The introduction and implementation of innovation does not always proceed smoothly. The potential of systems such as electronic health records (EHR) to improve the safety and quality of care is understood but have not been fully realised. This article found that as systems (and their use) mature, the benefits are being realised. As has been observed, </w:t>
            </w:r>
            <w:r w:rsidRPr="00A314F4">
              <w:rPr>
                <w:rFonts w:ascii="Garamond" w:hAnsi="Garamond"/>
                <w:lang w:val="en-AU"/>
              </w:rPr>
              <w:t>proving benefit realisation and return on investment</w:t>
            </w:r>
            <w:r>
              <w:rPr>
                <w:rFonts w:ascii="Garamond" w:hAnsi="Garamond"/>
                <w:lang w:val="en-AU"/>
              </w:rPr>
              <w:t xml:space="preserve"> is often not straightforward. The authors also note variation in impact and this reflects, in part, the importance of understanding context when introducing, implementing and embedding change in complex systems such as healthcare.</w:t>
            </w:r>
          </w:p>
        </w:tc>
      </w:tr>
    </w:tbl>
    <w:p w:rsidR="00244E48" w:rsidRDefault="00244E48" w:rsidP="00244E48">
      <w:pPr>
        <w:keepNext/>
        <w:keepLines/>
        <w:tabs>
          <w:tab w:val="left" w:pos="2044"/>
        </w:tabs>
        <w:autoSpaceDE w:val="0"/>
        <w:autoSpaceDN w:val="0"/>
        <w:adjustRightInd w:val="0"/>
        <w:rPr>
          <w:rFonts w:ascii="Garamond" w:hAnsi="Garamond"/>
          <w:lang w:val="en-AU"/>
        </w:rPr>
      </w:pPr>
      <w:r>
        <w:rPr>
          <w:rFonts w:ascii="Garamond" w:hAnsi="Garamond"/>
          <w:lang w:val="en-AU"/>
        </w:rPr>
        <w:lastRenderedPageBreak/>
        <w:t xml:space="preserve">For further information on the Commission’s work on safety in e-Health, see </w:t>
      </w:r>
      <w:hyperlink r:id="rId27" w:history="1">
        <w:r w:rsidRPr="00665C0B">
          <w:rPr>
            <w:rStyle w:val="Hyperlink"/>
            <w:rFonts w:ascii="Garamond" w:hAnsi="Garamond"/>
            <w:lang w:val="en-AU"/>
          </w:rPr>
          <w:t>https://www.safetyandquality.gov.au/our-work/safety-in-e-health/</w:t>
        </w:r>
      </w:hyperlink>
    </w:p>
    <w:p w:rsidR="00244E48" w:rsidRDefault="00244E48" w:rsidP="00244E48">
      <w:pPr>
        <w:keepLines/>
        <w:autoSpaceDE w:val="0"/>
        <w:autoSpaceDN w:val="0"/>
        <w:adjustRightInd w:val="0"/>
        <w:rPr>
          <w:rFonts w:ascii="Garamond" w:hAnsi="Garamond"/>
          <w:lang w:val="en-AU"/>
        </w:rPr>
      </w:pPr>
    </w:p>
    <w:p w:rsidR="00244E48" w:rsidRPr="00C841F5" w:rsidRDefault="00244E48" w:rsidP="00244E48">
      <w:pPr>
        <w:keepNext/>
        <w:keepLines/>
        <w:autoSpaceDE w:val="0"/>
        <w:autoSpaceDN w:val="0"/>
        <w:adjustRightInd w:val="0"/>
        <w:rPr>
          <w:rFonts w:ascii="Garamond" w:hAnsi="Garamond"/>
          <w:i/>
          <w:lang w:val="en-AU"/>
        </w:rPr>
      </w:pPr>
      <w:r w:rsidRPr="00C841F5">
        <w:rPr>
          <w:rFonts w:ascii="Garamond" w:hAnsi="Garamond"/>
          <w:i/>
          <w:lang w:val="en-AU"/>
        </w:rPr>
        <w:t>From pilot project to system solution: innovation, spread and scale for health system leaders</w:t>
      </w:r>
    </w:p>
    <w:p w:rsidR="00244E48" w:rsidRDefault="00244E48" w:rsidP="00244E48">
      <w:pPr>
        <w:keepNext/>
        <w:keepLines/>
        <w:autoSpaceDE w:val="0"/>
        <w:autoSpaceDN w:val="0"/>
        <w:adjustRightInd w:val="0"/>
        <w:rPr>
          <w:rFonts w:ascii="Garamond" w:hAnsi="Garamond"/>
          <w:lang w:val="en-AU"/>
        </w:rPr>
      </w:pPr>
      <w:r w:rsidRPr="009D328A">
        <w:rPr>
          <w:rFonts w:ascii="Garamond" w:hAnsi="Garamond"/>
          <w:lang w:val="en-AU"/>
        </w:rPr>
        <w:t>Shaw J, Tepper J</w:t>
      </w:r>
    </w:p>
    <w:p w:rsidR="00244E48" w:rsidRPr="00E566B0" w:rsidRDefault="00244E48" w:rsidP="00244E48">
      <w:pPr>
        <w:keepNext/>
        <w:keepLines/>
        <w:autoSpaceDE w:val="0"/>
        <w:autoSpaceDN w:val="0"/>
        <w:adjustRightInd w:val="0"/>
        <w:rPr>
          <w:rFonts w:ascii="Garamond" w:hAnsi="Garamond"/>
          <w:lang w:val="en-AU"/>
        </w:rPr>
      </w:pPr>
      <w:r w:rsidRPr="009D328A">
        <w:rPr>
          <w:rFonts w:ascii="Garamond" w:hAnsi="Garamond"/>
          <w:lang w:val="en-AU"/>
        </w:rPr>
        <w:t>BMJ Leader. 2018</w:t>
      </w:r>
      <w:r>
        <w:rPr>
          <w:rFonts w:ascii="Garamond" w:hAnsi="Garamond"/>
          <w:lang w:val="en-AU"/>
        </w:rPr>
        <w:t xml:space="preserve"> [epub]</w:t>
      </w:r>
      <w:r w:rsidRPr="009D328A">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44E48" w:rsidRPr="000170DA" w:rsidTr="001E01CE">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1E01C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4E48" w:rsidRPr="000170DA" w:rsidRDefault="00E45C1E" w:rsidP="001E01CE">
            <w:pPr>
              <w:rPr>
                <w:rStyle w:val="Hyperlink"/>
                <w:rFonts w:ascii="Garamond" w:hAnsi="Garamond"/>
                <w:color w:val="auto"/>
                <w:u w:val="none"/>
                <w:lang w:val="en-AU"/>
              </w:rPr>
            </w:pPr>
            <w:hyperlink r:id="rId28" w:history="1">
              <w:r w:rsidR="00244E48" w:rsidRPr="00CA365D">
                <w:rPr>
                  <w:rStyle w:val="Hyperlink"/>
                  <w:rFonts w:ascii="Garamond" w:hAnsi="Garamond"/>
                  <w:lang w:val="en-AU"/>
                </w:rPr>
                <w:t>https://dx.doi.org/10.1136/leader-2017-000055</w:t>
              </w:r>
            </w:hyperlink>
          </w:p>
        </w:tc>
      </w:tr>
      <w:tr w:rsidR="00244E48" w:rsidRPr="000170DA" w:rsidTr="001E01CE">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1E01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4E48" w:rsidRPr="000365E9" w:rsidRDefault="00244E48" w:rsidP="001E01CE">
            <w:pPr>
              <w:rPr>
                <w:rFonts w:ascii="Garamond" w:hAnsi="Garamond"/>
                <w:lang w:val="en-AU"/>
              </w:rPr>
            </w:pPr>
            <w:r>
              <w:rPr>
                <w:rFonts w:ascii="Garamond" w:hAnsi="Garamond"/>
                <w:lang w:val="en-AU"/>
              </w:rPr>
              <w:t>From the specific of EHR to the more general in this piece on innovation and the role and purpose of ‘health system leaders’ in guiding such changes, especially when scaling up an innovation. Again, the importance of understanding context needs to be recognised. The authors of this piece recognise that successful spread and scaling of effective innovations does not just happen inevitably, but ‘</w:t>
            </w:r>
            <w:r w:rsidRPr="00A314F4">
              <w:rPr>
                <w:rFonts w:ascii="Garamond" w:hAnsi="Garamond"/>
                <w:b/>
                <w:lang w:val="en-AU"/>
              </w:rPr>
              <w:t>conceptual clarity</w:t>
            </w:r>
            <w:r>
              <w:rPr>
                <w:rFonts w:ascii="Garamond" w:hAnsi="Garamond"/>
                <w:lang w:val="en-AU"/>
              </w:rPr>
              <w:t xml:space="preserve"> and </w:t>
            </w:r>
            <w:r w:rsidRPr="00A314F4">
              <w:rPr>
                <w:rFonts w:ascii="Garamond" w:hAnsi="Garamond"/>
                <w:b/>
                <w:lang w:val="en-AU"/>
              </w:rPr>
              <w:t>well-defined strategies</w:t>
            </w:r>
            <w:r>
              <w:rPr>
                <w:rFonts w:ascii="Garamond" w:hAnsi="Garamond"/>
                <w:lang w:val="en-AU"/>
              </w:rPr>
              <w:t xml:space="preserve"> are essential’ along with the need to ‘</w:t>
            </w:r>
            <w:r w:rsidRPr="009D328A">
              <w:rPr>
                <w:rFonts w:ascii="Garamond" w:hAnsi="Garamond"/>
                <w:lang w:val="en-AU"/>
              </w:rPr>
              <w:t xml:space="preserve">generate </w:t>
            </w:r>
            <w:r w:rsidRPr="00A314F4">
              <w:rPr>
                <w:rFonts w:ascii="Garamond" w:hAnsi="Garamond"/>
                <w:b/>
                <w:lang w:val="en-AU"/>
              </w:rPr>
              <w:t>interest, excitement and commitment</w:t>
            </w:r>
            <w:r w:rsidRPr="009D328A">
              <w:rPr>
                <w:rFonts w:ascii="Garamond" w:hAnsi="Garamond"/>
                <w:lang w:val="en-AU"/>
              </w:rPr>
              <w:t xml:space="preserve"> for specific innovations from a broad community of stakeholders</w:t>
            </w:r>
            <w:r>
              <w:rPr>
                <w:rFonts w:ascii="Garamond" w:hAnsi="Garamond"/>
                <w:lang w:val="en-AU"/>
              </w:rPr>
              <w:t>’.</w:t>
            </w:r>
          </w:p>
        </w:tc>
      </w:tr>
    </w:tbl>
    <w:p w:rsidR="00244E48" w:rsidRDefault="00244E48" w:rsidP="00AC23BE">
      <w:pPr>
        <w:keepLines/>
        <w:autoSpaceDE w:val="0"/>
        <w:autoSpaceDN w:val="0"/>
        <w:adjustRightInd w:val="0"/>
        <w:rPr>
          <w:rFonts w:ascii="Garamond" w:hAnsi="Garamond"/>
          <w:lang w:val="en-AU"/>
        </w:rPr>
      </w:pPr>
    </w:p>
    <w:p w:rsidR="00AC23BE" w:rsidRPr="00D93C5F" w:rsidRDefault="00D93C5F" w:rsidP="00AC23BE">
      <w:pPr>
        <w:keepNext/>
        <w:keepLines/>
        <w:autoSpaceDE w:val="0"/>
        <w:autoSpaceDN w:val="0"/>
        <w:adjustRightInd w:val="0"/>
        <w:rPr>
          <w:rFonts w:ascii="Garamond" w:hAnsi="Garamond"/>
          <w:i/>
          <w:lang w:val="en-AU"/>
        </w:rPr>
      </w:pPr>
      <w:r w:rsidRPr="00D93C5F">
        <w:rPr>
          <w:rFonts w:ascii="Garamond" w:hAnsi="Garamond"/>
          <w:i/>
          <w:lang w:val="en-AU"/>
        </w:rPr>
        <w:t>Using a pediatric trigger tool to estimate total harm burden hospital-acquired conditions represent</w:t>
      </w:r>
    </w:p>
    <w:p w:rsidR="0051201C" w:rsidRDefault="0051201C" w:rsidP="00AC23BE">
      <w:pPr>
        <w:keepNext/>
        <w:keepLines/>
        <w:autoSpaceDE w:val="0"/>
        <w:autoSpaceDN w:val="0"/>
        <w:adjustRightInd w:val="0"/>
        <w:rPr>
          <w:rFonts w:ascii="Garamond" w:hAnsi="Garamond"/>
          <w:lang w:val="en-AU"/>
        </w:rPr>
      </w:pPr>
      <w:r w:rsidRPr="0051201C">
        <w:rPr>
          <w:rFonts w:ascii="Garamond" w:hAnsi="Garamond"/>
          <w:lang w:val="en-AU"/>
        </w:rPr>
        <w:t>Stockwell DC, Landrigan CP, Schuster MA, Klugman D, Bisarya H, Classen DC, et al.</w:t>
      </w:r>
    </w:p>
    <w:p w:rsidR="00D93C5F" w:rsidRPr="00E566B0" w:rsidRDefault="0051201C" w:rsidP="00AC23BE">
      <w:pPr>
        <w:keepNext/>
        <w:keepLines/>
        <w:autoSpaceDE w:val="0"/>
        <w:autoSpaceDN w:val="0"/>
        <w:adjustRightInd w:val="0"/>
        <w:rPr>
          <w:rFonts w:ascii="Garamond" w:hAnsi="Garamond"/>
          <w:lang w:val="en-AU"/>
        </w:rPr>
      </w:pPr>
      <w:r w:rsidRPr="0051201C">
        <w:rPr>
          <w:rFonts w:ascii="Garamond" w:hAnsi="Garamond"/>
          <w:lang w:val="en-AU"/>
        </w:rPr>
        <w:t>Pediatric Quality &amp; Safety. 2018;3(3):e081.</w:t>
      </w:r>
    </w:p>
    <w:tbl>
      <w:tblPr>
        <w:tblStyle w:val="TableGrid"/>
        <w:tblW w:w="0" w:type="auto"/>
        <w:tblInd w:w="288" w:type="dxa"/>
        <w:tblLayout w:type="fixed"/>
        <w:tblLook w:val="01E0" w:firstRow="1" w:lastRow="1" w:firstColumn="1" w:lastColumn="1" w:noHBand="0" w:noVBand="0"/>
      </w:tblPr>
      <w:tblGrid>
        <w:gridCol w:w="1080"/>
        <w:gridCol w:w="8280"/>
      </w:tblGrid>
      <w:tr w:rsidR="00AC23BE"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AC23BE" w:rsidP="0043742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C23BE" w:rsidRPr="000170DA" w:rsidRDefault="00E45C1E" w:rsidP="0043742B">
            <w:pPr>
              <w:rPr>
                <w:rStyle w:val="Hyperlink"/>
                <w:rFonts w:ascii="Garamond" w:hAnsi="Garamond"/>
                <w:color w:val="auto"/>
                <w:u w:val="none"/>
                <w:lang w:val="en-AU"/>
              </w:rPr>
            </w:pPr>
            <w:hyperlink r:id="rId29" w:history="1">
              <w:r w:rsidR="0051201C" w:rsidRPr="00CA365D">
                <w:rPr>
                  <w:rStyle w:val="Hyperlink"/>
                  <w:rFonts w:ascii="Garamond" w:hAnsi="Garamond"/>
                  <w:lang w:val="en-AU"/>
                </w:rPr>
                <w:t>https://doi.org/10.1097/pq9.0000000000000081</w:t>
              </w:r>
            </w:hyperlink>
          </w:p>
        </w:tc>
      </w:tr>
      <w:tr w:rsidR="00AC23BE"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AC23BE" w:rsidP="004374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93C5F" w:rsidRPr="000365E9" w:rsidRDefault="0051201C" w:rsidP="0051201C">
            <w:pPr>
              <w:rPr>
                <w:rFonts w:ascii="Garamond" w:hAnsi="Garamond"/>
                <w:lang w:val="en-AU"/>
              </w:rPr>
            </w:pPr>
            <w:r>
              <w:rPr>
                <w:rFonts w:ascii="Garamond" w:hAnsi="Garamond"/>
                <w:lang w:val="en-AU"/>
              </w:rPr>
              <w:t>Thi</w:t>
            </w:r>
            <w:r w:rsidR="00D93C5F">
              <w:rPr>
                <w:rFonts w:ascii="Garamond" w:hAnsi="Garamond"/>
                <w:lang w:val="en-AU"/>
              </w:rPr>
              <w:t xml:space="preserve">s US study asserted that of </w:t>
            </w:r>
            <w:r w:rsidR="00D93C5F" w:rsidRPr="00D93C5F">
              <w:rPr>
                <w:rFonts w:ascii="Garamond" w:hAnsi="Garamond"/>
                <w:lang w:val="en-AU"/>
              </w:rPr>
              <w:t xml:space="preserve">240 harms identified </w:t>
            </w:r>
            <w:r w:rsidR="00D93C5F">
              <w:rPr>
                <w:rFonts w:ascii="Garamond" w:hAnsi="Garamond"/>
                <w:lang w:val="en-AU"/>
              </w:rPr>
              <w:t xml:space="preserve">using </w:t>
            </w:r>
            <w:r w:rsidR="00D93C5F" w:rsidRPr="00D93C5F">
              <w:rPr>
                <w:rFonts w:ascii="Garamond" w:hAnsi="Garamond"/>
                <w:lang w:val="en-AU"/>
              </w:rPr>
              <w:t xml:space="preserve">an all-cause trigger tool at six children's hospitals, </w:t>
            </w:r>
            <w:r w:rsidR="00D93C5F">
              <w:rPr>
                <w:rFonts w:ascii="Garamond" w:hAnsi="Garamond"/>
                <w:lang w:val="en-AU"/>
              </w:rPr>
              <w:t>only approximately 25 per cent</w:t>
            </w:r>
            <w:r>
              <w:rPr>
                <w:rFonts w:ascii="Garamond" w:hAnsi="Garamond"/>
                <w:lang w:val="en-AU"/>
              </w:rPr>
              <w:t xml:space="preserve"> (58 of the 240)</w:t>
            </w:r>
            <w:r w:rsidR="00D93C5F">
              <w:rPr>
                <w:rFonts w:ascii="Garamond" w:hAnsi="Garamond"/>
                <w:lang w:val="en-AU"/>
              </w:rPr>
              <w:t xml:space="preserve"> </w:t>
            </w:r>
            <w:r>
              <w:rPr>
                <w:rFonts w:ascii="Garamond" w:hAnsi="Garamond"/>
                <w:lang w:val="en-AU"/>
              </w:rPr>
              <w:t xml:space="preserve">were covered by the definitions </w:t>
            </w:r>
            <w:r w:rsidR="00D93C5F">
              <w:rPr>
                <w:rFonts w:ascii="Garamond" w:hAnsi="Garamond"/>
                <w:lang w:val="en-AU"/>
              </w:rPr>
              <w:t xml:space="preserve">on </w:t>
            </w:r>
            <w:r>
              <w:rPr>
                <w:rFonts w:ascii="Garamond" w:hAnsi="Garamond"/>
                <w:lang w:val="en-AU"/>
              </w:rPr>
              <w:t xml:space="preserve">the </w:t>
            </w:r>
            <w:r w:rsidR="00D93C5F">
              <w:rPr>
                <w:rFonts w:ascii="Garamond" w:hAnsi="Garamond"/>
                <w:lang w:val="en-AU"/>
              </w:rPr>
              <w:t>US</w:t>
            </w:r>
            <w:r w:rsidR="00D93C5F" w:rsidRPr="00D93C5F">
              <w:rPr>
                <w:rFonts w:ascii="Garamond" w:hAnsi="Garamond"/>
                <w:lang w:val="en-AU"/>
              </w:rPr>
              <w:t xml:space="preserve"> Centers for Medicare and Medicaid Services (CMS) list of hospital-acquired conditions </w:t>
            </w:r>
            <w:r w:rsidR="00D93C5F">
              <w:rPr>
                <w:rFonts w:ascii="Garamond" w:hAnsi="Garamond"/>
                <w:lang w:val="en-AU"/>
              </w:rPr>
              <w:t xml:space="preserve">(HACs) that may then be </w:t>
            </w:r>
            <w:r w:rsidR="00D93C5F" w:rsidRPr="00D93C5F">
              <w:rPr>
                <w:rFonts w:ascii="Garamond" w:hAnsi="Garamond"/>
                <w:lang w:val="en-AU"/>
              </w:rPr>
              <w:t>used in reporting and payment strategies.</w:t>
            </w:r>
            <w:r w:rsidR="00D93C5F">
              <w:rPr>
                <w:rFonts w:ascii="Garamond" w:hAnsi="Garamond"/>
                <w:lang w:val="en-AU"/>
              </w:rPr>
              <w:t xml:space="preserve"> This may be the case but it may also be something of a misunderstanding (or misrepresentation) of the role and purpose of a HACS list – which is rarely, if ever, meant to be a comprehensive list of possible complications. Rather they tend to focus on complications that are largely preventable, should not happen and potentially have serious complications. In some instances they may also have been influence by emotive or even political issues.</w:t>
            </w:r>
            <w:r>
              <w:rPr>
                <w:rFonts w:ascii="Garamond" w:hAnsi="Garamond"/>
                <w:lang w:val="en-AU"/>
              </w:rPr>
              <w:t xml:space="preserve"> Recognising that HACS are thus constrained, the conclusion that “</w:t>
            </w:r>
            <w:r w:rsidRPr="0051201C">
              <w:rPr>
                <w:rFonts w:ascii="Garamond" w:hAnsi="Garamond"/>
                <w:lang w:val="en-AU"/>
              </w:rPr>
              <w:t xml:space="preserve">to better understand and ultimately mitigate </w:t>
            </w:r>
            <w:r>
              <w:rPr>
                <w:rFonts w:ascii="Garamond" w:hAnsi="Garamond"/>
                <w:lang w:val="en-AU"/>
              </w:rPr>
              <w:t xml:space="preserve">[all] </w:t>
            </w:r>
            <w:r w:rsidRPr="0051201C">
              <w:rPr>
                <w:rFonts w:ascii="Garamond" w:hAnsi="Garamond"/>
                <w:lang w:val="en-AU"/>
              </w:rPr>
              <w:t>harm, more comprehensive harm identification and quantification may be needed to address events unidentified using this approach.</w:t>
            </w:r>
            <w:r>
              <w:rPr>
                <w:rFonts w:ascii="Garamond" w:hAnsi="Garamond"/>
                <w:lang w:val="en-AU"/>
              </w:rPr>
              <w:t>”</w:t>
            </w:r>
          </w:p>
        </w:tc>
      </w:tr>
    </w:tbl>
    <w:p w:rsidR="00AC23BE" w:rsidRDefault="00AC23BE" w:rsidP="00AC23BE">
      <w:pPr>
        <w:keepLines/>
        <w:autoSpaceDE w:val="0"/>
        <w:autoSpaceDN w:val="0"/>
        <w:adjustRightInd w:val="0"/>
        <w:rPr>
          <w:rFonts w:ascii="Garamond" w:hAnsi="Garamond"/>
          <w:lang w:val="en-AU"/>
        </w:rPr>
      </w:pPr>
    </w:p>
    <w:p w:rsidR="001624EF" w:rsidRDefault="001624EF" w:rsidP="00AC23BE">
      <w:pPr>
        <w:keepLines/>
        <w:autoSpaceDE w:val="0"/>
        <w:autoSpaceDN w:val="0"/>
        <w:adjustRightInd w:val="0"/>
        <w:rPr>
          <w:rFonts w:ascii="Garamond" w:hAnsi="Garamond"/>
          <w:lang w:val="en-AU"/>
        </w:rPr>
      </w:pPr>
      <w:r>
        <w:rPr>
          <w:rFonts w:ascii="Garamond" w:hAnsi="Garamond"/>
          <w:lang w:val="en-AU"/>
        </w:rPr>
        <w:t xml:space="preserve">For information on the Commission’s work on </w:t>
      </w:r>
      <w:r w:rsidRPr="001624EF">
        <w:rPr>
          <w:rFonts w:ascii="Garamond" w:hAnsi="Garamond"/>
          <w:lang w:val="en-AU"/>
        </w:rPr>
        <w:t>hospital</w:t>
      </w:r>
      <w:r>
        <w:rPr>
          <w:rFonts w:ascii="Garamond" w:hAnsi="Garamond"/>
          <w:lang w:val="en-AU"/>
        </w:rPr>
        <w:t xml:space="preserve"> </w:t>
      </w:r>
      <w:r w:rsidRPr="001624EF">
        <w:rPr>
          <w:rFonts w:ascii="Garamond" w:hAnsi="Garamond"/>
          <w:lang w:val="en-AU"/>
        </w:rPr>
        <w:t>acquired</w:t>
      </w:r>
      <w:r>
        <w:rPr>
          <w:rFonts w:ascii="Garamond" w:hAnsi="Garamond"/>
          <w:lang w:val="en-AU"/>
        </w:rPr>
        <w:t xml:space="preserve"> </w:t>
      </w:r>
      <w:r w:rsidRPr="001624EF">
        <w:rPr>
          <w:rFonts w:ascii="Garamond" w:hAnsi="Garamond"/>
          <w:lang w:val="en-AU"/>
        </w:rPr>
        <w:t>complications</w:t>
      </w:r>
      <w:r>
        <w:rPr>
          <w:rFonts w:ascii="Garamond" w:hAnsi="Garamond"/>
          <w:lang w:val="en-AU"/>
        </w:rPr>
        <w:t xml:space="preserve">, see </w:t>
      </w:r>
      <w:hyperlink r:id="rId30" w:history="1">
        <w:r w:rsidRPr="00CA365D">
          <w:rPr>
            <w:rStyle w:val="Hyperlink"/>
            <w:rFonts w:ascii="Garamond" w:hAnsi="Garamond"/>
            <w:lang w:val="en-AU"/>
          </w:rPr>
          <w:t>https://www.safetyandquality.gov.au/our-work/indicators/hospital-acquired-complications/</w:t>
        </w:r>
      </w:hyperlink>
    </w:p>
    <w:p w:rsidR="001624EF" w:rsidRDefault="001624EF" w:rsidP="00AC23BE">
      <w:pPr>
        <w:keepLines/>
        <w:autoSpaceDE w:val="0"/>
        <w:autoSpaceDN w:val="0"/>
        <w:adjustRightInd w:val="0"/>
        <w:rPr>
          <w:rFonts w:ascii="Garamond" w:hAnsi="Garamond"/>
          <w:lang w:val="en-AU"/>
        </w:rPr>
      </w:pPr>
    </w:p>
    <w:p w:rsidR="00AC23BE" w:rsidRPr="00A314F4" w:rsidRDefault="00A314F4" w:rsidP="00AC23BE">
      <w:pPr>
        <w:keepNext/>
        <w:keepLines/>
        <w:autoSpaceDE w:val="0"/>
        <w:autoSpaceDN w:val="0"/>
        <w:adjustRightInd w:val="0"/>
        <w:rPr>
          <w:rFonts w:ascii="Garamond" w:hAnsi="Garamond"/>
          <w:i/>
          <w:lang w:val="en-AU"/>
        </w:rPr>
      </w:pPr>
      <w:r w:rsidRPr="00A314F4">
        <w:rPr>
          <w:rFonts w:ascii="Garamond" w:hAnsi="Garamond"/>
          <w:i/>
          <w:lang w:val="en-AU"/>
        </w:rPr>
        <w:t>Physician Burnout, Well-being, and Work Unit Safety Grades in Relationship to Reported Medical Errors</w:t>
      </w:r>
    </w:p>
    <w:p w:rsidR="00A314F4" w:rsidRDefault="00A314F4" w:rsidP="00AC23BE">
      <w:pPr>
        <w:keepNext/>
        <w:keepLines/>
        <w:autoSpaceDE w:val="0"/>
        <w:autoSpaceDN w:val="0"/>
        <w:adjustRightInd w:val="0"/>
        <w:rPr>
          <w:rFonts w:ascii="Garamond" w:hAnsi="Garamond"/>
          <w:lang w:val="en-AU"/>
        </w:rPr>
      </w:pPr>
      <w:r w:rsidRPr="00A314F4">
        <w:rPr>
          <w:rFonts w:ascii="Garamond" w:hAnsi="Garamond"/>
          <w:lang w:val="en-AU"/>
        </w:rPr>
        <w:t>Tawfik DS, Profit J, Morgenthaler TI, Satele DV, Sinsky CA, Dyrbye LN, et al</w:t>
      </w:r>
    </w:p>
    <w:p w:rsidR="00A314F4" w:rsidRPr="00E566B0" w:rsidRDefault="00A314F4" w:rsidP="00AC23BE">
      <w:pPr>
        <w:keepNext/>
        <w:keepLines/>
        <w:autoSpaceDE w:val="0"/>
        <w:autoSpaceDN w:val="0"/>
        <w:adjustRightInd w:val="0"/>
        <w:rPr>
          <w:rFonts w:ascii="Garamond" w:hAnsi="Garamond"/>
          <w:lang w:val="en-AU"/>
        </w:rPr>
      </w:pPr>
      <w:r w:rsidRPr="00A314F4">
        <w:rPr>
          <w:rFonts w:ascii="Garamond" w:hAnsi="Garamond"/>
          <w:lang w:val="en-AU"/>
        </w:rPr>
        <w:t>Mayo Clinic Proceedings. 2018</w:t>
      </w:r>
      <w:r>
        <w:rPr>
          <w:rFonts w:ascii="Garamond" w:hAnsi="Garamond"/>
          <w:lang w:val="en-AU"/>
        </w:rPr>
        <w:t xml:space="preserve"> [epub</w:t>
      </w:r>
      <w:r w:rsidR="00BA3C4A">
        <w:rPr>
          <w:rFonts w:ascii="Garamond" w:hAnsi="Garamond"/>
          <w:lang w:val="en-AU"/>
        </w:rPr>
        <w:t>]</w:t>
      </w:r>
      <w:r w:rsidRPr="00A314F4">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C23BE"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AC23BE" w:rsidP="0043742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C23BE" w:rsidRPr="000170DA" w:rsidRDefault="00E45C1E" w:rsidP="0043742B">
            <w:pPr>
              <w:rPr>
                <w:rStyle w:val="Hyperlink"/>
                <w:rFonts w:ascii="Garamond" w:hAnsi="Garamond"/>
                <w:color w:val="auto"/>
                <w:u w:val="none"/>
                <w:lang w:val="en-AU"/>
              </w:rPr>
            </w:pPr>
            <w:hyperlink r:id="rId31" w:history="1">
              <w:r w:rsidR="00A314F4" w:rsidRPr="00CA365D">
                <w:rPr>
                  <w:rStyle w:val="Hyperlink"/>
                  <w:rFonts w:ascii="Garamond" w:hAnsi="Garamond"/>
                  <w:lang w:val="en-AU"/>
                </w:rPr>
                <w:t>https://doi.org/10.1016/j.mayocp.2018.05.014</w:t>
              </w:r>
            </w:hyperlink>
          </w:p>
        </w:tc>
      </w:tr>
      <w:tr w:rsidR="00AC23BE"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AC23BE" w:rsidRPr="000170DA" w:rsidRDefault="00AC23BE" w:rsidP="004374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14F4" w:rsidRPr="000365E9" w:rsidRDefault="00A314F4" w:rsidP="00A314F4">
            <w:pPr>
              <w:rPr>
                <w:rFonts w:ascii="Garamond" w:hAnsi="Garamond"/>
                <w:lang w:val="en-AU"/>
              </w:rPr>
            </w:pPr>
            <w:r>
              <w:rPr>
                <w:rFonts w:ascii="Garamond" w:hAnsi="Garamond"/>
                <w:lang w:val="en-AU"/>
              </w:rPr>
              <w:t xml:space="preserve">Burnout and its potential impacts for safety and quality and the well-being of patients and staff, has been the subject of some attention in recent times. This piece adds to that literature by reporting on a survey of US clinicians on their perceptions and views on burnout. Based on the response from 6,995 physicians to a 2014 survey, the authors report that </w:t>
            </w:r>
            <w:r w:rsidRPr="00A314F4">
              <w:rPr>
                <w:rFonts w:ascii="Garamond" w:hAnsi="Garamond"/>
                <w:lang w:val="en-AU"/>
              </w:rPr>
              <w:t>3574 (</w:t>
            </w:r>
            <w:r w:rsidRPr="00A314F4">
              <w:rPr>
                <w:rFonts w:ascii="Garamond" w:hAnsi="Garamond"/>
                <w:b/>
                <w:lang w:val="en-AU"/>
              </w:rPr>
              <w:t>54.3%</w:t>
            </w:r>
            <w:r w:rsidRPr="00A314F4">
              <w:rPr>
                <w:rFonts w:ascii="Garamond" w:hAnsi="Garamond"/>
                <w:lang w:val="en-AU"/>
              </w:rPr>
              <w:t xml:space="preserve">) </w:t>
            </w:r>
            <w:r w:rsidRPr="00A314F4">
              <w:rPr>
                <w:rFonts w:ascii="Garamond" w:hAnsi="Garamond"/>
                <w:b/>
                <w:lang w:val="en-AU"/>
              </w:rPr>
              <w:t>reported symptoms of burnout</w:t>
            </w:r>
            <w:r w:rsidRPr="00A314F4">
              <w:rPr>
                <w:rFonts w:ascii="Garamond" w:hAnsi="Garamond"/>
                <w:lang w:val="en-AU"/>
              </w:rPr>
              <w:t>, 2163 (</w:t>
            </w:r>
            <w:r w:rsidRPr="00A314F4">
              <w:rPr>
                <w:rFonts w:ascii="Garamond" w:hAnsi="Garamond"/>
                <w:b/>
                <w:lang w:val="en-AU"/>
              </w:rPr>
              <w:t>32.8%</w:t>
            </w:r>
            <w:r w:rsidRPr="00A314F4">
              <w:rPr>
                <w:rFonts w:ascii="Garamond" w:hAnsi="Garamond"/>
                <w:lang w:val="en-AU"/>
              </w:rPr>
              <w:t>) reported</w:t>
            </w:r>
            <w:r w:rsidRPr="00A314F4">
              <w:rPr>
                <w:rFonts w:ascii="Garamond" w:hAnsi="Garamond"/>
                <w:b/>
                <w:lang w:val="en-AU"/>
              </w:rPr>
              <w:t xml:space="preserve"> excessive fatigue</w:t>
            </w:r>
            <w:r w:rsidRPr="00A314F4">
              <w:rPr>
                <w:rFonts w:ascii="Garamond" w:hAnsi="Garamond"/>
                <w:lang w:val="en-AU"/>
              </w:rPr>
              <w:t>, and 427 (</w:t>
            </w:r>
            <w:r w:rsidRPr="00A314F4">
              <w:rPr>
                <w:rFonts w:ascii="Garamond" w:hAnsi="Garamond"/>
                <w:b/>
                <w:lang w:val="en-AU"/>
              </w:rPr>
              <w:t>6.5%</w:t>
            </w:r>
            <w:r w:rsidRPr="00A314F4">
              <w:rPr>
                <w:rFonts w:ascii="Garamond" w:hAnsi="Garamond"/>
                <w:lang w:val="en-AU"/>
              </w:rPr>
              <w:t xml:space="preserve">) reported </w:t>
            </w:r>
            <w:r w:rsidRPr="00A314F4">
              <w:rPr>
                <w:rFonts w:ascii="Garamond" w:hAnsi="Garamond"/>
                <w:b/>
                <w:lang w:val="en-AU"/>
              </w:rPr>
              <w:t>recent suicidal ideation</w:t>
            </w:r>
            <w:r w:rsidRPr="00A314F4">
              <w:rPr>
                <w:rFonts w:ascii="Garamond" w:hAnsi="Garamond"/>
                <w:lang w:val="en-AU"/>
              </w:rPr>
              <w:t xml:space="preserve">, with 255 of 6563 (3.9%) reporting a poor or failing patient safety grade in their primary work area and 691 of 6586 (10.5%) reporting a major medical error in the prior 3 months. Physicians reporting errors were more likely to have symptoms of burnout, fatigue, and recent suicidal ideation. </w:t>
            </w:r>
            <w:r>
              <w:rPr>
                <w:rFonts w:ascii="Garamond" w:hAnsi="Garamond"/>
                <w:lang w:val="en-AU"/>
              </w:rPr>
              <w:t>The authors suggest that “</w:t>
            </w:r>
            <w:r w:rsidRPr="00A314F4">
              <w:rPr>
                <w:rFonts w:ascii="Garamond" w:hAnsi="Garamond"/>
                <w:lang w:val="en-AU"/>
              </w:rPr>
              <w:t>Interventions to reduce rates of medical errors must address both physician well-being and work unit safety</w:t>
            </w:r>
            <w:r>
              <w:rPr>
                <w:rFonts w:ascii="Garamond" w:hAnsi="Garamond"/>
                <w:lang w:val="en-AU"/>
              </w:rPr>
              <w:t>.”</w:t>
            </w:r>
          </w:p>
        </w:tc>
      </w:tr>
    </w:tbl>
    <w:p w:rsidR="00DE174E" w:rsidRPr="00080C2D" w:rsidRDefault="00080C2D" w:rsidP="00DE174E">
      <w:pPr>
        <w:keepLines/>
        <w:autoSpaceDE w:val="0"/>
        <w:autoSpaceDN w:val="0"/>
        <w:adjustRightInd w:val="0"/>
        <w:rPr>
          <w:rFonts w:ascii="Garamond" w:hAnsi="Garamond"/>
          <w:i/>
          <w:lang w:val="en-AU"/>
        </w:rPr>
      </w:pPr>
      <w:r w:rsidRPr="00080C2D">
        <w:rPr>
          <w:rFonts w:ascii="Garamond" w:hAnsi="Garamond"/>
          <w:i/>
          <w:lang w:val="en-AU"/>
        </w:rPr>
        <w:lastRenderedPageBreak/>
        <w:t>Health Affairs</w:t>
      </w:r>
    </w:p>
    <w:p w:rsidR="00080C2D" w:rsidRDefault="00080C2D" w:rsidP="00DE174E">
      <w:pPr>
        <w:keepLines/>
        <w:autoSpaceDE w:val="0"/>
        <w:autoSpaceDN w:val="0"/>
        <w:adjustRightInd w:val="0"/>
        <w:rPr>
          <w:rFonts w:ascii="Garamond" w:hAnsi="Garamond"/>
          <w:lang w:val="en-AU"/>
        </w:rPr>
      </w:pPr>
      <w:r w:rsidRPr="00080C2D">
        <w:rPr>
          <w:rFonts w:ascii="Garamond" w:hAnsi="Garamond"/>
          <w:lang w:val="en-AU"/>
        </w:rPr>
        <w:t>Volume 37, Number 7 (July 2018)</w:t>
      </w:r>
    </w:p>
    <w:tbl>
      <w:tblPr>
        <w:tblStyle w:val="TableGrid"/>
        <w:tblW w:w="0" w:type="auto"/>
        <w:tblInd w:w="288" w:type="dxa"/>
        <w:tblLayout w:type="fixed"/>
        <w:tblLook w:val="01E0" w:firstRow="1" w:lastRow="1" w:firstColumn="1" w:lastColumn="1" w:noHBand="0" w:noVBand="0"/>
      </w:tblPr>
      <w:tblGrid>
        <w:gridCol w:w="1080"/>
        <w:gridCol w:w="8280"/>
      </w:tblGrid>
      <w:tr w:rsidR="00DE174E"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DE174E" w:rsidRPr="000170DA" w:rsidRDefault="00DE174E" w:rsidP="0043742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E174E" w:rsidRPr="000170DA" w:rsidRDefault="00E45C1E" w:rsidP="0009119F">
            <w:pPr>
              <w:rPr>
                <w:rStyle w:val="Hyperlink"/>
                <w:rFonts w:ascii="Garamond" w:hAnsi="Garamond"/>
                <w:color w:val="auto"/>
                <w:u w:val="none"/>
                <w:lang w:val="en-AU"/>
              </w:rPr>
            </w:pPr>
            <w:hyperlink r:id="rId32" w:history="1">
              <w:r w:rsidR="0009119F" w:rsidRPr="00CA365D">
                <w:rPr>
                  <w:rStyle w:val="Hyperlink"/>
                  <w:rFonts w:ascii="Garamond" w:hAnsi="Garamond"/>
                  <w:lang w:val="en-AU"/>
                </w:rPr>
                <w:t>https://www.healthaffairs.org/toc/hlthaff/37/7</w:t>
              </w:r>
            </w:hyperlink>
          </w:p>
        </w:tc>
      </w:tr>
      <w:tr w:rsidR="00DE174E"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DE174E" w:rsidRPr="000170DA" w:rsidRDefault="00DE174E" w:rsidP="004374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E174E" w:rsidRDefault="00DE174E" w:rsidP="0043742B">
            <w:pPr>
              <w:rPr>
                <w:rFonts w:ascii="Garamond" w:hAnsi="Garamond"/>
                <w:lang w:val="en-AU"/>
              </w:rPr>
            </w:pPr>
            <w:r w:rsidRPr="00A44A1F">
              <w:rPr>
                <w:rFonts w:ascii="Garamond" w:hAnsi="Garamond"/>
                <w:lang w:val="en-AU"/>
              </w:rPr>
              <w:t xml:space="preserve">A new issue of </w:t>
            </w:r>
            <w:r w:rsidR="00080C2D" w:rsidRPr="00080C2D">
              <w:rPr>
                <w:rFonts w:ascii="Garamond" w:hAnsi="Garamond"/>
                <w:i/>
                <w:lang w:val="en-AU"/>
              </w:rPr>
              <w:t>Health Affairs</w:t>
            </w:r>
            <w:r>
              <w:rPr>
                <w:rFonts w:ascii="Garamond" w:hAnsi="Garamond"/>
                <w:i/>
                <w:lang w:val="en-AU"/>
              </w:rPr>
              <w:t xml:space="preserve"> </w:t>
            </w:r>
            <w:r w:rsidRPr="00A44A1F">
              <w:rPr>
                <w:rFonts w:ascii="Garamond" w:hAnsi="Garamond"/>
                <w:lang w:val="en-AU"/>
              </w:rPr>
              <w:t>has been published</w:t>
            </w:r>
            <w:r w:rsidR="00080C2D">
              <w:rPr>
                <w:rFonts w:ascii="Garamond" w:hAnsi="Garamond"/>
                <w:lang w:val="en-AU"/>
              </w:rPr>
              <w:t xml:space="preserve"> with the themes ‘</w:t>
            </w:r>
            <w:r w:rsidR="00080C2D" w:rsidRPr="00080C2D">
              <w:rPr>
                <w:rFonts w:ascii="Garamond" w:hAnsi="Garamond"/>
                <w:lang w:val="en-AU"/>
              </w:rPr>
              <w:t>Chronic Care, Prescription Drugs, And More</w:t>
            </w:r>
            <w:r w:rsidR="00080C2D">
              <w:rPr>
                <w:rFonts w:ascii="Garamond" w:hAnsi="Garamond"/>
                <w:lang w:val="en-AU"/>
              </w:rPr>
              <w:t>’.</w:t>
            </w:r>
            <w:r w:rsidRPr="00A44A1F">
              <w:rPr>
                <w:rFonts w:ascii="Garamond" w:hAnsi="Garamond"/>
                <w:lang w:val="en-AU"/>
              </w:rPr>
              <w:t xml:space="preserve"> Articles in this issue of </w:t>
            </w:r>
            <w:r w:rsidR="00080C2D" w:rsidRPr="00080C2D">
              <w:rPr>
                <w:rFonts w:ascii="Garamond" w:hAnsi="Garamond"/>
                <w:i/>
                <w:lang w:val="en-AU"/>
              </w:rPr>
              <w:t>Health Affairs</w:t>
            </w:r>
            <w:r w:rsidRPr="00A44A1F">
              <w:rPr>
                <w:rFonts w:ascii="Garamond" w:hAnsi="Garamond"/>
                <w:lang w:val="en-AU"/>
              </w:rPr>
              <w:t xml:space="preserve"> include:</w:t>
            </w:r>
          </w:p>
          <w:p w:rsidR="0009119F" w:rsidRPr="0009119F" w:rsidRDefault="0009119F" w:rsidP="0009119F">
            <w:pPr>
              <w:pStyle w:val="ListParagraph"/>
              <w:numPr>
                <w:ilvl w:val="0"/>
                <w:numId w:val="23"/>
              </w:numPr>
              <w:rPr>
                <w:rFonts w:ascii="Garamond" w:hAnsi="Garamond"/>
                <w:lang w:val="en-AU"/>
              </w:rPr>
            </w:pPr>
            <w:r w:rsidRPr="0009119F">
              <w:rPr>
                <w:rFonts w:ascii="Garamond" w:hAnsi="Garamond"/>
                <w:lang w:val="en-AU"/>
              </w:rPr>
              <w:t xml:space="preserve">Interruptions In </w:t>
            </w:r>
            <w:r w:rsidRPr="0009119F">
              <w:rPr>
                <w:rFonts w:ascii="Garamond" w:hAnsi="Garamond"/>
                <w:b/>
                <w:lang w:val="en-AU"/>
              </w:rPr>
              <w:t>Private Health Insurance</w:t>
            </w:r>
            <w:r w:rsidRPr="0009119F">
              <w:rPr>
                <w:rFonts w:ascii="Garamond" w:hAnsi="Garamond"/>
                <w:lang w:val="en-AU"/>
              </w:rPr>
              <w:t xml:space="preserve"> And Outcomes In Adults With </w:t>
            </w:r>
            <w:r w:rsidRPr="0009119F">
              <w:rPr>
                <w:rFonts w:ascii="Garamond" w:hAnsi="Garamond"/>
                <w:b/>
                <w:lang w:val="en-AU"/>
              </w:rPr>
              <w:t>Type 1 Diabetes</w:t>
            </w:r>
            <w:r w:rsidRPr="0009119F">
              <w:rPr>
                <w:rFonts w:ascii="Garamond" w:hAnsi="Garamond"/>
                <w:lang w:val="en-AU"/>
              </w:rPr>
              <w:t>: A Longitudinal Study (Mary A M Rogers, Joyce M Lee, Renuka Tipirneni, Tanima Banerjee, and Catherine Kim</w:t>
            </w:r>
            <w:r>
              <w:rPr>
                <w:rFonts w:ascii="Garamond" w:hAnsi="Garamond"/>
                <w:lang w:val="en-AU"/>
              </w:rPr>
              <w:t>)</w:t>
            </w:r>
          </w:p>
          <w:p w:rsidR="0009119F" w:rsidRPr="0009119F" w:rsidRDefault="0009119F" w:rsidP="0009119F">
            <w:pPr>
              <w:pStyle w:val="ListParagraph"/>
              <w:numPr>
                <w:ilvl w:val="0"/>
                <w:numId w:val="23"/>
              </w:numPr>
              <w:rPr>
                <w:rFonts w:ascii="Garamond" w:hAnsi="Garamond"/>
                <w:lang w:val="en-AU"/>
              </w:rPr>
            </w:pPr>
            <w:r w:rsidRPr="0009119F">
              <w:rPr>
                <w:rFonts w:ascii="Garamond" w:hAnsi="Garamond"/>
                <w:lang w:val="en-AU"/>
              </w:rPr>
              <w:t xml:space="preserve">Population Health And Economic Impacts Of Reaching </w:t>
            </w:r>
            <w:r w:rsidRPr="0009119F">
              <w:rPr>
                <w:rFonts w:ascii="Garamond" w:hAnsi="Garamond"/>
                <w:b/>
                <w:lang w:val="en-AU"/>
              </w:rPr>
              <w:t>Chronic Hepatitis B</w:t>
            </w:r>
            <w:r w:rsidRPr="0009119F">
              <w:rPr>
                <w:rFonts w:ascii="Garamond" w:hAnsi="Garamond"/>
                <w:lang w:val="en-AU"/>
              </w:rPr>
              <w:t xml:space="preserve"> Diagnosis And Treatment Targets In The US (Mehlika Toy, David W. Hutton, and Samuel So</w:t>
            </w:r>
            <w:r>
              <w:rPr>
                <w:rFonts w:ascii="Garamond" w:hAnsi="Garamond"/>
                <w:lang w:val="en-AU"/>
              </w:rPr>
              <w:t>)</w:t>
            </w:r>
          </w:p>
          <w:p w:rsidR="0009119F" w:rsidRPr="0009119F" w:rsidRDefault="0009119F" w:rsidP="0009119F">
            <w:pPr>
              <w:pStyle w:val="ListParagraph"/>
              <w:numPr>
                <w:ilvl w:val="0"/>
                <w:numId w:val="23"/>
              </w:numPr>
              <w:rPr>
                <w:rFonts w:ascii="Garamond" w:hAnsi="Garamond"/>
                <w:lang w:val="en-AU"/>
              </w:rPr>
            </w:pPr>
            <w:r w:rsidRPr="0009119F">
              <w:rPr>
                <w:rFonts w:ascii="Garamond" w:hAnsi="Garamond"/>
                <w:b/>
                <w:lang w:val="en-AU"/>
              </w:rPr>
              <w:t>Specialty Drug Coverage</w:t>
            </w:r>
            <w:r w:rsidRPr="0009119F">
              <w:rPr>
                <w:rFonts w:ascii="Garamond" w:hAnsi="Garamond"/>
                <w:lang w:val="en-AU"/>
              </w:rPr>
              <w:t xml:space="preserve"> Varies Across Commercial Health Plans In The US (James D Chambers, David D Kim, Elle F Pope, Jennifer S Graff, Colby L</w:t>
            </w:r>
            <w:r>
              <w:rPr>
                <w:rFonts w:ascii="Garamond" w:hAnsi="Garamond"/>
                <w:lang w:val="en-AU"/>
              </w:rPr>
              <w:t xml:space="preserve"> </w:t>
            </w:r>
            <w:r w:rsidRPr="0009119F">
              <w:rPr>
                <w:rFonts w:ascii="Garamond" w:hAnsi="Garamond"/>
                <w:lang w:val="en-AU"/>
              </w:rPr>
              <w:t>Wilkinson, and Peter J Neumann</w:t>
            </w:r>
            <w:r>
              <w:rPr>
                <w:rFonts w:ascii="Garamond" w:hAnsi="Garamond"/>
                <w:lang w:val="en-AU"/>
              </w:rPr>
              <w:t>)</w:t>
            </w:r>
          </w:p>
          <w:p w:rsidR="0009119F" w:rsidRPr="0009119F" w:rsidRDefault="0009119F" w:rsidP="0009119F">
            <w:pPr>
              <w:pStyle w:val="ListParagraph"/>
              <w:numPr>
                <w:ilvl w:val="0"/>
                <w:numId w:val="23"/>
              </w:numPr>
              <w:rPr>
                <w:rFonts w:ascii="Garamond" w:hAnsi="Garamond"/>
                <w:lang w:val="en-AU"/>
              </w:rPr>
            </w:pPr>
            <w:r w:rsidRPr="0009119F">
              <w:rPr>
                <w:rFonts w:ascii="Garamond" w:hAnsi="Garamond"/>
                <w:lang w:val="en-AU"/>
              </w:rPr>
              <w:t xml:space="preserve">Growing Number Of Unsubsidized Part D Beneficiaries With Catastrophic Spending Suggests Need For An </w:t>
            </w:r>
            <w:r w:rsidRPr="0009119F">
              <w:rPr>
                <w:rFonts w:ascii="Garamond" w:hAnsi="Garamond"/>
                <w:b/>
                <w:lang w:val="en-AU"/>
              </w:rPr>
              <w:t>Out-Of-Pocket Cap</w:t>
            </w:r>
            <w:r w:rsidRPr="0009119F">
              <w:rPr>
                <w:rFonts w:ascii="Garamond" w:hAnsi="Garamond"/>
                <w:lang w:val="en-AU"/>
              </w:rPr>
              <w:t xml:space="preserve"> (Erin Trish, Jianhui Xu, and Geoffrey Joyce</w:t>
            </w:r>
            <w:r>
              <w:rPr>
                <w:rFonts w:ascii="Garamond" w:hAnsi="Garamond"/>
                <w:lang w:val="en-AU"/>
              </w:rPr>
              <w:t>)</w:t>
            </w:r>
          </w:p>
          <w:p w:rsidR="0009119F" w:rsidRPr="003225C2" w:rsidRDefault="0009119F" w:rsidP="0009119F">
            <w:pPr>
              <w:pStyle w:val="ListParagraph"/>
              <w:numPr>
                <w:ilvl w:val="0"/>
                <w:numId w:val="23"/>
              </w:numPr>
              <w:rPr>
                <w:rFonts w:ascii="Garamond" w:hAnsi="Garamond"/>
                <w:lang w:val="en-AU"/>
              </w:rPr>
            </w:pPr>
            <w:r w:rsidRPr="003225C2">
              <w:rPr>
                <w:rFonts w:ascii="Garamond" w:hAnsi="Garamond"/>
                <w:b/>
                <w:lang w:val="en-AU"/>
              </w:rPr>
              <w:t>Value-Based Insurance Design</w:t>
            </w:r>
            <w:r w:rsidRPr="003225C2">
              <w:rPr>
                <w:rFonts w:ascii="Garamond" w:hAnsi="Garamond"/>
                <w:lang w:val="en-AU"/>
              </w:rPr>
              <w:t xml:space="preserve"> Improves Medication Adherence Without An Increase In Total Health Care Spending</w:t>
            </w:r>
            <w:r w:rsidR="003225C2" w:rsidRPr="003225C2">
              <w:rPr>
                <w:rFonts w:ascii="Garamond" w:hAnsi="Garamond"/>
                <w:lang w:val="en-AU"/>
              </w:rPr>
              <w:t xml:space="preserve"> (</w:t>
            </w:r>
            <w:r w:rsidRPr="003225C2">
              <w:rPr>
                <w:rFonts w:ascii="Garamond" w:hAnsi="Garamond"/>
                <w:lang w:val="en-AU"/>
              </w:rPr>
              <w:t>Rajender Agarwal, Ashutosh Gupta, and A Mark Fendrick</w:t>
            </w:r>
            <w:r w:rsidR="003225C2">
              <w:rPr>
                <w:rFonts w:ascii="Garamond" w:hAnsi="Garamond"/>
                <w:lang w:val="en-AU"/>
              </w:rPr>
              <w:t>)</w:t>
            </w:r>
          </w:p>
          <w:p w:rsidR="0009119F" w:rsidRPr="003225C2" w:rsidRDefault="0009119F" w:rsidP="0009119F">
            <w:pPr>
              <w:pStyle w:val="ListParagraph"/>
              <w:numPr>
                <w:ilvl w:val="0"/>
                <w:numId w:val="23"/>
              </w:numPr>
              <w:rPr>
                <w:rFonts w:ascii="Garamond" w:hAnsi="Garamond"/>
                <w:lang w:val="en-AU"/>
              </w:rPr>
            </w:pPr>
            <w:r w:rsidRPr="003225C2">
              <w:rPr>
                <w:rFonts w:ascii="Garamond" w:hAnsi="Garamond"/>
                <w:b/>
                <w:lang w:val="en-AU"/>
              </w:rPr>
              <w:t>Financing Medicare</w:t>
            </w:r>
            <w:r w:rsidRPr="003225C2">
              <w:rPr>
                <w:rFonts w:ascii="Garamond" w:hAnsi="Garamond"/>
                <w:lang w:val="en-AU"/>
              </w:rPr>
              <w:t xml:space="preserve"> Into The Future: Premium Support Fails The Risk-Bearing Test</w:t>
            </w:r>
            <w:r w:rsidR="003225C2" w:rsidRPr="003225C2">
              <w:rPr>
                <w:rFonts w:ascii="Garamond" w:hAnsi="Garamond"/>
                <w:lang w:val="en-AU"/>
              </w:rPr>
              <w:t xml:space="preserve"> (</w:t>
            </w:r>
            <w:r w:rsidRPr="003225C2">
              <w:rPr>
                <w:rFonts w:ascii="Garamond" w:hAnsi="Garamond"/>
                <w:lang w:val="en-AU"/>
              </w:rPr>
              <w:t>Sherry A Glied</w:t>
            </w:r>
            <w:r w:rsidR="003225C2">
              <w:rPr>
                <w:rFonts w:ascii="Garamond" w:hAnsi="Garamond"/>
                <w:lang w:val="en-AU"/>
              </w:rPr>
              <w:t>)</w:t>
            </w:r>
          </w:p>
          <w:p w:rsidR="0009119F" w:rsidRPr="003225C2" w:rsidRDefault="0009119F" w:rsidP="0009119F">
            <w:pPr>
              <w:pStyle w:val="ListParagraph"/>
              <w:numPr>
                <w:ilvl w:val="0"/>
                <w:numId w:val="23"/>
              </w:numPr>
              <w:rPr>
                <w:rFonts w:ascii="Garamond" w:hAnsi="Garamond"/>
                <w:lang w:val="en-AU"/>
              </w:rPr>
            </w:pPr>
            <w:r w:rsidRPr="003225C2">
              <w:rPr>
                <w:rFonts w:ascii="Garamond" w:hAnsi="Garamond"/>
                <w:lang w:val="en-AU"/>
              </w:rPr>
              <w:t xml:space="preserve">Physician Perspectives In Year 1 Of MACRA And Its </w:t>
            </w:r>
            <w:r w:rsidRPr="003225C2">
              <w:rPr>
                <w:rFonts w:ascii="Garamond" w:hAnsi="Garamond"/>
                <w:b/>
                <w:lang w:val="en-AU"/>
              </w:rPr>
              <w:t>Merit-Based Payment System</w:t>
            </w:r>
            <w:r w:rsidRPr="003225C2">
              <w:rPr>
                <w:rFonts w:ascii="Garamond" w:hAnsi="Garamond"/>
                <w:lang w:val="en-AU"/>
              </w:rPr>
              <w:t>: A National Survey</w:t>
            </w:r>
            <w:r w:rsidR="003225C2" w:rsidRPr="003225C2">
              <w:rPr>
                <w:rFonts w:ascii="Garamond" w:hAnsi="Garamond"/>
                <w:lang w:val="en-AU"/>
              </w:rPr>
              <w:t xml:space="preserve"> (</w:t>
            </w:r>
            <w:r w:rsidRPr="003225C2">
              <w:rPr>
                <w:rFonts w:ascii="Garamond" w:hAnsi="Garamond"/>
                <w:lang w:val="en-AU"/>
              </w:rPr>
              <w:t>Joshua M Liao, Judy A Shea, Arlene Weissman, and Amol S Navathe</w:t>
            </w:r>
            <w:r w:rsidR="003225C2">
              <w:rPr>
                <w:rFonts w:ascii="Garamond" w:hAnsi="Garamond"/>
                <w:lang w:val="en-AU"/>
              </w:rPr>
              <w:t>)</w:t>
            </w:r>
          </w:p>
          <w:p w:rsidR="0009119F" w:rsidRPr="003225C2" w:rsidRDefault="0009119F" w:rsidP="0009119F">
            <w:pPr>
              <w:pStyle w:val="ListParagraph"/>
              <w:numPr>
                <w:ilvl w:val="0"/>
                <w:numId w:val="23"/>
              </w:numPr>
              <w:rPr>
                <w:rFonts w:ascii="Garamond" w:hAnsi="Garamond"/>
                <w:lang w:val="en-AU"/>
              </w:rPr>
            </w:pPr>
            <w:r w:rsidRPr="003225C2">
              <w:rPr>
                <w:rFonts w:ascii="Garamond" w:hAnsi="Garamond"/>
                <w:b/>
                <w:lang w:val="en-AU"/>
              </w:rPr>
              <w:t>New Approaches In Medicaid</w:t>
            </w:r>
            <w:r w:rsidRPr="003225C2">
              <w:rPr>
                <w:rFonts w:ascii="Garamond" w:hAnsi="Garamond"/>
                <w:lang w:val="en-AU"/>
              </w:rPr>
              <w:t>: Work Requirements, Health Savings Accounts, And Health Care Access</w:t>
            </w:r>
            <w:r w:rsidR="003225C2" w:rsidRPr="003225C2">
              <w:rPr>
                <w:rFonts w:ascii="Garamond" w:hAnsi="Garamond"/>
                <w:lang w:val="en-AU"/>
              </w:rPr>
              <w:t xml:space="preserve"> (</w:t>
            </w:r>
            <w:r w:rsidRPr="003225C2">
              <w:rPr>
                <w:rFonts w:ascii="Garamond" w:hAnsi="Garamond"/>
                <w:lang w:val="en-AU"/>
              </w:rPr>
              <w:t>Benjamin D Sommers, Carrie E Fry, Robert J Blendon, and Arnold M Epstein</w:t>
            </w:r>
            <w:r w:rsidR="003225C2">
              <w:rPr>
                <w:rFonts w:ascii="Garamond" w:hAnsi="Garamond"/>
                <w:lang w:val="en-AU"/>
              </w:rPr>
              <w:t>)</w:t>
            </w:r>
          </w:p>
          <w:p w:rsidR="0009119F" w:rsidRPr="003225C2" w:rsidRDefault="0009119F" w:rsidP="0009119F">
            <w:pPr>
              <w:pStyle w:val="ListParagraph"/>
              <w:numPr>
                <w:ilvl w:val="0"/>
                <w:numId w:val="23"/>
              </w:numPr>
              <w:rPr>
                <w:rFonts w:ascii="Garamond" w:hAnsi="Garamond"/>
                <w:lang w:val="en-AU"/>
              </w:rPr>
            </w:pPr>
            <w:r w:rsidRPr="003225C2">
              <w:rPr>
                <w:rFonts w:ascii="Garamond" w:hAnsi="Garamond"/>
                <w:lang w:val="en-AU"/>
              </w:rPr>
              <w:t xml:space="preserve">Is Inpatient Volume Or Emergency Department Crowding A Greater Driver Of </w:t>
            </w:r>
            <w:r w:rsidRPr="003225C2">
              <w:rPr>
                <w:rFonts w:ascii="Garamond" w:hAnsi="Garamond"/>
                <w:b/>
                <w:lang w:val="en-AU"/>
              </w:rPr>
              <w:t>Ambulance Diversion</w:t>
            </w:r>
            <w:r w:rsidRPr="003225C2">
              <w:rPr>
                <w:rFonts w:ascii="Garamond" w:hAnsi="Garamond"/>
                <w:lang w:val="en-AU"/>
              </w:rPr>
              <w:t>?</w:t>
            </w:r>
            <w:r w:rsidR="003225C2" w:rsidRPr="003225C2">
              <w:rPr>
                <w:rFonts w:ascii="Garamond" w:hAnsi="Garamond"/>
                <w:lang w:val="en-AU"/>
              </w:rPr>
              <w:t xml:space="preserve"> (</w:t>
            </w:r>
            <w:r w:rsidRPr="003225C2">
              <w:rPr>
                <w:rFonts w:ascii="Garamond" w:hAnsi="Garamond"/>
                <w:lang w:val="en-AU"/>
              </w:rPr>
              <w:t>Renee Y Hsia, Nandita Sarkar, and Yu-Chu Shen</w:t>
            </w:r>
            <w:r w:rsidR="003225C2">
              <w:rPr>
                <w:rFonts w:ascii="Garamond" w:hAnsi="Garamond"/>
                <w:lang w:val="en-AU"/>
              </w:rPr>
              <w:t>)</w:t>
            </w:r>
          </w:p>
          <w:p w:rsidR="0009119F" w:rsidRPr="003225C2" w:rsidRDefault="0009119F" w:rsidP="0009119F">
            <w:pPr>
              <w:pStyle w:val="ListParagraph"/>
              <w:numPr>
                <w:ilvl w:val="0"/>
                <w:numId w:val="23"/>
              </w:numPr>
              <w:rPr>
                <w:rFonts w:ascii="Garamond" w:hAnsi="Garamond"/>
                <w:lang w:val="en-AU"/>
              </w:rPr>
            </w:pPr>
            <w:r w:rsidRPr="003225C2">
              <w:rPr>
                <w:rFonts w:ascii="Garamond" w:hAnsi="Garamond"/>
                <w:b/>
                <w:lang w:val="en-AU"/>
              </w:rPr>
              <w:t>Hospital-Physician Consolidation</w:t>
            </w:r>
            <w:r w:rsidRPr="003225C2">
              <w:rPr>
                <w:rFonts w:ascii="Garamond" w:hAnsi="Garamond"/>
                <w:lang w:val="en-AU"/>
              </w:rPr>
              <w:t xml:space="preserve"> Accelerated In The Past Decade In Cardiology, Oncology</w:t>
            </w:r>
            <w:r w:rsidR="003225C2" w:rsidRPr="003225C2">
              <w:rPr>
                <w:rFonts w:ascii="Garamond" w:hAnsi="Garamond"/>
                <w:lang w:val="en-AU"/>
              </w:rPr>
              <w:t xml:space="preserve"> (</w:t>
            </w:r>
            <w:r w:rsidRPr="003225C2">
              <w:rPr>
                <w:rFonts w:ascii="Garamond" w:hAnsi="Garamond"/>
                <w:lang w:val="en-AU"/>
              </w:rPr>
              <w:t>Sayeh S Nikpay, Michael R Richards, and D Penson</w:t>
            </w:r>
            <w:r w:rsidR="003225C2">
              <w:rPr>
                <w:rFonts w:ascii="Garamond" w:hAnsi="Garamond"/>
                <w:lang w:val="en-AU"/>
              </w:rPr>
              <w:t>)</w:t>
            </w:r>
          </w:p>
          <w:p w:rsidR="0009119F" w:rsidRPr="003225C2" w:rsidRDefault="0009119F" w:rsidP="0009119F">
            <w:pPr>
              <w:pStyle w:val="ListParagraph"/>
              <w:numPr>
                <w:ilvl w:val="0"/>
                <w:numId w:val="23"/>
              </w:numPr>
              <w:rPr>
                <w:rFonts w:ascii="Garamond" w:hAnsi="Garamond"/>
                <w:lang w:val="en-AU"/>
              </w:rPr>
            </w:pPr>
            <w:r w:rsidRPr="003225C2">
              <w:rPr>
                <w:rFonts w:ascii="Garamond" w:hAnsi="Garamond"/>
                <w:b/>
                <w:lang w:val="en-AU"/>
              </w:rPr>
              <w:t>Electronic Health Records</w:t>
            </w:r>
            <w:r w:rsidRPr="003225C2">
              <w:rPr>
                <w:rFonts w:ascii="Garamond" w:hAnsi="Garamond"/>
                <w:lang w:val="en-AU"/>
              </w:rPr>
              <w:t xml:space="preserve"> Associated With </w:t>
            </w:r>
            <w:r w:rsidRPr="003225C2">
              <w:rPr>
                <w:rFonts w:ascii="Garamond" w:hAnsi="Garamond"/>
                <w:b/>
                <w:lang w:val="en-AU"/>
              </w:rPr>
              <w:t>Lower Hospital Mortality</w:t>
            </w:r>
            <w:r w:rsidRPr="003225C2">
              <w:rPr>
                <w:rFonts w:ascii="Garamond" w:hAnsi="Garamond"/>
                <w:lang w:val="en-AU"/>
              </w:rPr>
              <w:t xml:space="preserve"> After Systems Have Time To Mature</w:t>
            </w:r>
            <w:r w:rsidR="003225C2" w:rsidRPr="003225C2">
              <w:rPr>
                <w:rFonts w:ascii="Garamond" w:hAnsi="Garamond"/>
                <w:lang w:val="en-AU"/>
              </w:rPr>
              <w:t xml:space="preserve"> (</w:t>
            </w:r>
            <w:r w:rsidRPr="003225C2">
              <w:rPr>
                <w:rFonts w:ascii="Garamond" w:hAnsi="Garamond"/>
                <w:lang w:val="en-AU"/>
              </w:rPr>
              <w:t>Sunny C Lin, Ashish K Jha, and Julia Adler-Milstein</w:t>
            </w:r>
            <w:r w:rsidR="003225C2">
              <w:rPr>
                <w:rFonts w:ascii="Garamond" w:hAnsi="Garamond"/>
                <w:lang w:val="en-AU"/>
              </w:rPr>
              <w:t>)</w:t>
            </w:r>
          </w:p>
          <w:p w:rsidR="003225C2" w:rsidRDefault="0009119F" w:rsidP="003225C2">
            <w:pPr>
              <w:pStyle w:val="ListParagraph"/>
              <w:numPr>
                <w:ilvl w:val="0"/>
                <w:numId w:val="23"/>
              </w:numPr>
              <w:rPr>
                <w:rFonts w:ascii="Garamond" w:hAnsi="Garamond"/>
                <w:lang w:val="en-AU"/>
              </w:rPr>
            </w:pPr>
            <w:r w:rsidRPr="003225C2">
              <w:rPr>
                <w:rFonts w:ascii="Garamond" w:hAnsi="Garamond"/>
                <w:lang w:val="en-AU"/>
              </w:rPr>
              <w:t xml:space="preserve">Factors Contributing To </w:t>
            </w:r>
            <w:r w:rsidRPr="003225C2">
              <w:rPr>
                <w:rFonts w:ascii="Garamond" w:hAnsi="Garamond"/>
                <w:b/>
                <w:lang w:val="en-AU"/>
              </w:rPr>
              <w:t>Geographic Variation</w:t>
            </w:r>
            <w:r w:rsidRPr="003225C2">
              <w:rPr>
                <w:rFonts w:ascii="Garamond" w:hAnsi="Garamond"/>
                <w:lang w:val="en-AU"/>
              </w:rPr>
              <w:t xml:space="preserve"> In </w:t>
            </w:r>
            <w:r w:rsidRPr="003225C2">
              <w:rPr>
                <w:rFonts w:ascii="Garamond" w:hAnsi="Garamond"/>
                <w:b/>
                <w:lang w:val="en-AU"/>
              </w:rPr>
              <w:t>End-Of-Life Expenditures</w:t>
            </w:r>
            <w:r w:rsidRPr="003225C2">
              <w:rPr>
                <w:rFonts w:ascii="Garamond" w:hAnsi="Garamond"/>
                <w:lang w:val="en-AU"/>
              </w:rPr>
              <w:t xml:space="preserve"> For Cancer Patients</w:t>
            </w:r>
            <w:r w:rsidR="003225C2" w:rsidRPr="003225C2">
              <w:rPr>
                <w:rFonts w:ascii="Garamond" w:hAnsi="Garamond"/>
                <w:lang w:val="en-AU"/>
              </w:rPr>
              <w:t xml:space="preserve"> (Nancy L Keating, Haiden A Huskamp, Elena Kouri, D Schrag, M C Hornbrook, D A Haggstrom, M B Landrum</w:t>
            </w:r>
            <w:r w:rsidR="003225C2">
              <w:rPr>
                <w:rFonts w:ascii="Garamond" w:hAnsi="Garamond"/>
                <w:lang w:val="en-AU"/>
              </w:rPr>
              <w:t>)</w:t>
            </w:r>
          </w:p>
          <w:p w:rsidR="0009119F" w:rsidRDefault="0009119F" w:rsidP="0009119F">
            <w:pPr>
              <w:pStyle w:val="ListParagraph"/>
              <w:numPr>
                <w:ilvl w:val="0"/>
                <w:numId w:val="23"/>
              </w:numPr>
              <w:rPr>
                <w:rFonts w:ascii="Garamond" w:hAnsi="Garamond"/>
                <w:lang w:val="en-AU"/>
              </w:rPr>
            </w:pPr>
            <w:r w:rsidRPr="003225C2">
              <w:rPr>
                <w:rFonts w:ascii="Garamond" w:hAnsi="Garamond"/>
                <w:b/>
                <w:lang w:val="en-AU"/>
              </w:rPr>
              <w:t>Transgender And Cisgender</w:t>
            </w:r>
            <w:r w:rsidRPr="003225C2">
              <w:rPr>
                <w:rFonts w:ascii="Garamond" w:hAnsi="Garamond"/>
                <w:lang w:val="en-AU"/>
              </w:rPr>
              <w:t xml:space="preserve"> US Veterans Have Few Health Differences</w:t>
            </w:r>
            <w:r w:rsidR="003225C2" w:rsidRPr="003225C2">
              <w:rPr>
                <w:rFonts w:ascii="Garamond" w:hAnsi="Garamond"/>
                <w:lang w:val="en-AU"/>
              </w:rPr>
              <w:t xml:space="preserve"> (</w:t>
            </w:r>
            <w:r w:rsidR="003225C2">
              <w:rPr>
                <w:rFonts w:ascii="Garamond" w:hAnsi="Garamond"/>
                <w:lang w:val="en-AU"/>
              </w:rPr>
              <w:t>Janelle Downing, Kerith Conron</w:t>
            </w:r>
            <w:r w:rsidRPr="003225C2">
              <w:rPr>
                <w:rFonts w:ascii="Garamond" w:hAnsi="Garamond"/>
                <w:lang w:val="en-AU"/>
              </w:rPr>
              <w:t>, Jody L Herman , and John R Blosnich</w:t>
            </w:r>
            <w:r w:rsidR="003225C2">
              <w:rPr>
                <w:rFonts w:ascii="Garamond" w:hAnsi="Garamond"/>
                <w:lang w:val="en-AU"/>
              </w:rPr>
              <w:t>)</w:t>
            </w:r>
          </w:p>
          <w:p w:rsidR="00DE174E" w:rsidRPr="003F26A0" w:rsidRDefault="0009119F" w:rsidP="003225C2">
            <w:pPr>
              <w:pStyle w:val="ListParagraph"/>
              <w:numPr>
                <w:ilvl w:val="0"/>
                <w:numId w:val="23"/>
              </w:numPr>
              <w:rPr>
                <w:rFonts w:ascii="Garamond" w:hAnsi="Garamond"/>
                <w:lang w:val="en-AU"/>
              </w:rPr>
            </w:pPr>
            <w:r w:rsidRPr="0009119F">
              <w:rPr>
                <w:rFonts w:ascii="Garamond" w:hAnsi="Garamond"/>
                <w:lang w:val="en-AU"/>
              </w:rPr>
              <w:t xml:space="preserve">Complicated: </w:t>
            </w:r>
            <w:r w:rsidRPr="003225C2">
              <w:rPr>
                <w:rFonts w:ascii="Garamond" w:hAnsi="Garamond"/>
                <w:b/>
                <w:lang w:val="en-AU"/>
              </w:rPr>
              <w:t>Medical Missteps</w:t>
            </w:r>
            <w:r w:rsidRPr="0009119F">
              <w:rPr>
                <w:rFonts w:ascii="Garamond" w:hAnsi="Garamond"/>
                <w:lang w:val="en-AU"/>
              </w:rPr>
              <w:t xml:space="preserve"> Are Not Inevitable</w:t>
            </w:r>
            <w:r w:rsidR="003225C2">
              <w:rPr>
                <w:rFonts w:ascii="Garamond" w:hAnsi="Garamond"/>
                <w:lang w:val="en-AU"/>
              </w:rPr>
              <w:t xml:space="preserve"> (</w:t>
            </w:r>
            <w:r w:rsidRPr="0009119F">
              <w:rPr>
                <w:rFonts w:ascii="Garamond" w:hAnsi="Garamond"/>
                <w:lang w:val="en-AU"/>
              </w:rPr>
              <w:t>Ilana R Yurkiewicz</w:t>
            </w:r>
            <w:r w:rsidR="003225C2">
              <w:rPr>
                <w:rFonts w:ascii="Garamond" w:hAnsi="Garamond"/>
                <w:lang w:val="en-AU"/>
              </w:rPr>
              <w:t>)</w:t>
            </w:r>
          </w:p>
        </w:tc>
      </w:tr>
    </w:tbl>
    <w:p w:rsidR="00DE174E" w:rsidRDefault="00DE174E" w:rsidP="00DE174E">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E45C1E" w:rsidP="00900052">
            <w:pPr>
              <w:keepNext/>
              <w:rPr>
                <w:rFonts w:ascii="Garamond" w:hAnsi="Garamond"/>
                <w:lang w:val="en-AU"/>
              </w:rPr>
            </w:pPr>
            <w:hyperlink r:id="rId33"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026CA9" w:rsidRPr="00467B47" w:rsidRDefault="00DB275D" w:rsidP="00DB275D">
            <w:pPr>
              <w:pStyle w:val="ListParagraph"/>
              <w:numPr>
                <w:ilvl w:val="0"/>
                <w:numId w:val="14"/>
              </w:numPr>
              <w:rPr>
                <w:rFonts w:ascii="Garamond" w:hAnsi="Garamond"/>
                <w:lang w:val="en-AU"/>
              </w:rPr>
            </w:pPr>
            <w:r w:rsidRPr="00DB275D">
              <w:rPr>
                <w:rFonts w:ascii="Garamond" w:hAnsi="Garamond"/>
                <w:lang w:val="en-AU"/>
              </w:rPr>
              <w:t xml:space="preserve">Speaking up about </w:t>
            </w:r>
            <w:r w:rsidRPr="00DB275D">
              <w:rPr>
                <w:rFonts w:ascii="Garamond" w:hAnsi="Garamond"/>
                <w:b/>
                <w:lang w:val="en-AU"/>
              </w:rPr>
              <w:t>care concerns in the ICU</w:t>
            </w:r>
            <w:r w:rsidRPr="00DB275D">
              <w:rPr>
                <w:rFonts w:ascii="Garamond" w:hAnsi="Garamond"/>
                <w:lang w:val="en-AU"/>
              </w:rPr>
              <w:t xml:space="preserve">: patient and family experiences, attitudes and perceived barriers </w:t>
            </w:r>
            <w:r>
              <w:rPr>
                <w:rFonts w:ascii="Garamond" w:hAnsi="Garamond"/>
                <w:lang w:val="en-AU"/>
              </w:rPr>
              <w:t>(</w:t>
            </w:r>
            <w:r w:rsidRPr="00DB275D">
              <w:rPr>
                <w:rFonts w:ascii="Garamond" w:hAnsi="Garamond"/>
                <w:lang w:val="en-AU"/>
              </w:rPr>
              <w:t>Sigall K Bell, Stephanie D Roche, Ariel Mueller, Erica Dente, Kristin O’Reilly, Barbara Sarnoff Lee, Kenneth Sands, Daniel Talmor, Samuel M Brown</w:t>
            </w:r>
            <w:r>
              <w:rPr>
                <w:rFonts w:ascii="Garamond" w:hAnsi="Garamond"/>
                <w:lang w:val="en-AU"/>
              </w:rPr>
              <w:t>)</w:t>
            </w:r>
          </w:p>
        </w:tc>
      </w:tr>
    </w:tbl>
    <w:p w:rsidR="00A660B0" w:rsidRPr="00467B47" w:rsidRDefault="00A660B0" w:rsidP="008F5418">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E45C1E" w:rsidP="00290461">
            <w:pPr>
              <w:keepNext/>
              <w:rPr>
                <w:rFonts w:ascii="Garamond" w:hAnsi="Garamond"/>
                <w:lang w:val="en-AU"/>
              </w:rPr>
            </w:pPr>
            <w:hyperlink r:id="rId34"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3730D" w:rsidRPr="00DA6435" w:rsidRDefault="0009119F" w:rsidP="0009119F">
            <w:pPr>
              <w:pStyle w:val="ListParagraph"/>
              <w:numPr>
                <w:ilvl w:val="0"/>
                <w:numId w:val="14"/>
              </w:numPr>
              <w:jc w:val="both"/>
              <w:rPr>
                <w:rFonts w:ascii="Garamond" w:hAnsi="Garamond"/>
                <w:lang w:val="en-AU"/>
              </w:rPr>
            </w:pPr>
            <w:r w:rsidRPr="0009119F">
              <w:rPr>
                <w:rFonts w:ascii="Garamond" w:hAnsi="Garamond"/>
                <w:lang w:val="en-AU"/>
              </w:rPr>
              <w:t xml:space="preserve">A </w:t>
            </w:r>
            <w:r w:rsidRPr="0009119F">
              <w:rPr>
                <w:rFonts w:ascii="Garamond" w:hAnsi="Garamond"/>
                <w:b/>
                <w:lang w:val="en-AU"/>
              </w:rPr>
              <w:t>centralized automated-dispensing system</w:t>
            </w:r>
            <w:r w:rsidRPr="0009119F">
              <w:rPr>
                <w:rFonts w:ascii="Garamond" w:hAnsi="Garamond"/>
                <w:lang w:val="en-AU"/>
              </w:rPr>
              <w:t xml:space="preserve"> in a French teaching hospital: return on investment and quality improvement</w:t>
            </w:r>
            <w:r>
              <w:rPr>
                <w:rFonts w:ascii="Garamond" w:hAnsi="Garamond"/>
                <w:lang w:val="en-AU"/>
              </w:rPr>
              <w:t xml:space="preserve"> (</w:t>
            </w:r>
            <w:r w:rsidRPr="0009119F">
              <w:rPr>
                <w:rFonts w:ascii="Garamond" w:hAnsi="Garamond"/>
                <w:lang w:val="en-AU"/>
              </w:rPr>
              <w:t>Sarah Berdot</w:t>
            </w:r>
            <w:r>
              <w:rPr>
                <w:rFonts w:ascii="Garamond" w:hAnsi="Garamond"/>
                <w:lang w:val="en-AU"/>
              </w:rPr>
              <w:t>;</w:t>
            </w:r>
            <w:r w:rsidRPr="0009119F">
              <w:rPr>
                <w:rFonts w:ascii="Garamond" w:hAnsi="Garamond"/>
                <w:lang w:val="en-AU"/>
              </w:rPr>
              <w:t xml:space="preserve"> Virginie Korb-Savoldelli</w:t>
            </w:r>
            <w:r>
              <w:rPr>
                <w:rFonts w:ascii="Garamond" w:hAnsi="Garamond"/>
                <w:lang w:val="en-AU"/>
              </w:rPr>
              <w:t>;</w:t>
            </w:r>
            <w:r w:rsidRPr="0009119F">
              <w:rPr>
                <w:rFonts w:ascii="Garamond" w:hAnsi="Garamond"/>
                <w:lang w:val="en-AU"/>
              </w:rPr>
              <w:t xml:space="preserve"> Emmanuel Jaccoulet</w:t>
            </w:r>
            <w:r>
              <w:rPr>
                <w:rFonts w:ascii="Garamond" w:hAnsi="Garamond"/>
                <w:lang w:val="en-AU"/>
              </w:rPr>
              <w:t>;</w:t>
            </w:r>
            <w:r w:rsidRPr="0009119F">
              <w:rPr>
                <w:rFonts w:ascii="Garamond" w:hAnsi="Garamond"/>
                <w:lang w:val="en-AU"/>
              </w:rPr>
              <w:t xml:space="preserve"> Vincent Zaugg</w:t>
            </w:r>
            <w:r>
              <w:rPr>
                <w:rFonts w:ascii="Garamond" w:hAnsi="Garamond"/>
                <w:lang w:val="en-AU"/>
              </w:rPr>
              <w:t xml:space="preserve">; </w:t>
            </w:r>
            <w:r w:rsidRPr="0009119F">
              <w:rPr>
                <w:rFonts w:ascii="Garamond" w:hAnsi="Garamond"/>
                <w:lang w:val="en-AU"/>
              </w:rPr>
              <w:t>Patrice Prognon</w:t>
            </w:r>
            <w:r>
              <w:rPr>
                <w:rFonts w:ascii="Garamond" w:hAnsi="Garamond"/>
                <w:lang w:val="en-AU"/>
              </w:rPr>
              <w:t>;</w:t>
            </w:r>
            <w:r w:rsidRPr="0009119F">
              <w:rPr>
                <w:rFonts w:ascii="Garamond" w:hAnsi="Garamond"/>
                <w:lang w:val="en-AU"/>
              </w:rPr>
              <w:t xml:space="preserve"> Laetitia Minh Maï Lê</w:t>
            </w:r>
            <w:r>
              <w:rPr>
                <w:rFonts w:ascii="Garamond" w:hAnsi="Garamond"/>
                <w:lang w:val="en-AU"/>
              </w:rPr>
              <w:t>;</w:t>
            </w:r>
            <w:r w:rsidRPr="0009119F">
              <w:rPr>
                <w:rFonts w:ascii="Garamond" w:hAnsi="Garamond"/>
                <w:lang w:val="en-AU"/>
              </w:rPr>
              <w:t xml:space="preserve"> Brigitte Sabatier</w:t>
            </w:r>
            <w:r>
              <w:rPr>
                <w:rFonts w:ascii="Garamond" w:hAnsi="Garamond"/>
                <w:lang w:val="en-AU"/>
              </w:rPr>
              <w:t>)</w:t>
            </w:r>
          </w:p>
        </w:tc>
      </w:tr>
    </w:tbl>
    <w:p w:rsidR="009A34AA" w:rsidRDefault="009A34AA" w:rsidP="00070CFE">
      <w:pPr>
        <w:rPr>
          <w:rFonts w:ascii="Garamond" w:hAnsi="Garamond"/>
          <w:lang w:val="en-AU"/>
        </w:rPr>
      </w:pPr>
    </w:p>
    <w:p w:rsidR="00282D29" w:rsidRPr="00A3571C" w:rsidRDefault="00282D29"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43742B" w:rsidRDefault="0043742B" w:rsidP="00817F1F">
      <w:pPr>
        <w:keepNext/>
        <w:keepLines/>
        <w:rPr>
          <w:rFonts w:ascii="Garamond" w:hAnsi="Garamond"/>
          <w:i/>
          <w:lang w:val="en-AU"/>
        </w:rPr>
      </w:pPr>
      <w:r>
        <w:rPr>
          <w:rFonts w:ascii="Garamond" w:hAnsi="Garamond"/>
          <w:i/>
          <w:lang w:val="en-AU"/>
        </w:rPr>
        <w:t>Advertising hub and online complaints</w:t>
      </w:r>
    </w:p>
    <w:p w:rsidR="0043742B" w:rsidRPr="0043742B" w:rsidRDefault="00E45C1E" w:rsidP="00817F1F">
      <w:pPr>
        <w:keepNext/>
        <w:keepLines/>
        <w:rPr>
          <w:rFonts w:ascii="Garamond" w:hAnsi="Garamond"/>
          <w:lang w:val="en-AU"/>
        </w:rPr>
      </w:pPr>
      <w:hyperlink r:id="rId35" w:history="1">
        <w:r w:rsidR="0043742B" w:rsidRPr="0043742B">
          <w:rPr>
            <w:rStyle w:val="Hyperlink"/>
            <w:rFonts w:ascii="Garamond" w:hAnsi="Garamond"/>
            <w:lang w:val="en-AU"/>
          </w:rPr>
          <w:t>https://www.tga.gov.au/advertising-hub</w:t>
        </w:r>
      </w:hyperlink>
    </w:p>
    <w:p w:rsidR="0043742B" w:rsidRDefault="0043742B" w:rsidP="00817F1F">
      <w:pPr>
        <w:keepNext/>
        <w:keepLines/>
        <w:rPr>
          <w:rFonts w:ascii="Garamond" w:hAnsi="Garamond"/>
          <w:lang w:val="en-AU"/>
        </w:rPr>
      </w:pPr>
      <w:r>
        <w:rPr>
          <w:rFonts w:ascii="Garamond" w:hAnsi="Garamond"/>
          <w:lang w:val="en-AU"/>
        </w:rPr>
        <w:t>The Therapeutic Goods Administration (TGA) has developed this</w:t>
      </w:r>
      <w:r w:rsidRPr="0043742B">
        <w:rPr>
          <w:rFonts w:ascii="Garamond" w:hAnsi="Garamond"/>
          <w:lang w:val="en-AU"/>
        </w:rPr>
        <w:t xml:space="preserve"> </w:t>
      </w:r>
      <w:r>
        <w:rPr>
          <w:rFonts w:ascii="Garamond" w:hAnsi="Garamond"/>
          <w:lang w:val="en-AU"/>
        </w:rPr>
        <w:t>‘</w:t>
      </w:r>
      <w:r w:rsidRPr="0043742B">
        <w:rPr>
          <w:rFonts w:ascii="Garamond" w:hAnsi="Garamond"/>
          <w:lang w:val="en-AU"/>
        </w:rPr>
        <w:t>web hub</w:t>
      </w:r>
      <w:r>
        <w:rPr>
          <w:rFonts w:ascii="Garamond" w:hAnsi="Garamond"/>
          <w:lang w:val="en-AU"/>
        </w:rPr>
        <w:t xml:space="preserve">’ that </w:t>
      </w:r>
      <w:r w:rsidRPr="0043742B">
        <w:rPr>
          <w:rFonts w:ascii="Garamond" w:hAnsi="Garamond"/>
          <w:lang w:val="en-AU"/>
        </w:rPr>
        <w:t>bring</w:t>
      </w:r>
      <w:r>
        <w:rPr>
          <w:rFonts w:ascii="Garamond" w:hAnsi="Garamond"/>
          <w:lang w:val="en-AU"/>
        </w:rPr>
        <w:t>s</w:t>
      </w:r>
      <w:r w:rsidRPr="0043742B">
        <w:rPr>
          <w:rFonts w:ascii="Garamond" w:hAnsi="Garamond"/>
          <w:lang w:val="en-AU"/>
        </w:rPr>
        <w:t xml:space="preserve"> together news and information about the regulation of therapeutic goods advertising. Th</w:t>
      </w:r>
      <w:r>
        <w:rPr>
          <w:rFonts w:ascii="Garamond" w:hAnsi="Garamond"/>
          <w:lang w:val="en-AU"/>
        </w:rPr>
        <w:t>e</w:t>
      </w:r>
      <w:r w:rsidRPr="0043742B">
        <w:rPr>
          <w:rFonts w:ascii="Garamond" w:hAnsi="Garamond"/>
          <w:lang w:val="en-AU"/>
        </w:rPr>
        <w:t xml:space="preserve"> online </w:t>
      </w:r>
      <w:r>
        <w:rPr>
          <w:rFonts w:ascii="Garamond" w:hAnsi="Garamond"/>
          <w:lang w:val="en-AU"/>
        </w:rPr>
        <w:t xml:space="preserve">hub </w:t>
      </w:r>
      <w:r w:rsidRPr="0043742B">
        <w:rPr>
          <w:rFonts w:ascii="Garamond" w:hAnsi="Garamond"/>
          <w:lang w:val="en-AU"/>
        </w:rPr>
        <w:t>contains tools for both consumers and advertisers, including fact sheets, e-learning modules and forms for reporting unfair or misleading advertising and submitting enquiries.</w:t>
      </w:r>
    </w:p>
    <w:p w:rsidR="0043742B" w:rsidRDefault="0043742B" w:rsidP="00817F1F">
      <w:pPr>
        <w:keepNext/>
        <w:keepLines/>
        <w:rPr>
          <w:rFonts w:ascii="Garamond" w:hAnsi="Garamond"/>
          <w:lang w:val="en-AU"/>
        </w:rPr>
      </w:pPr>
      <w:r w:rsidRPr="0043742B">
        <w:rPr>
          <w:rFonts w:ascii="Garamond" w:hAnsi="Garamond"/>
          <w:lang w:val="en-AU"/>
        </w:rPr>
        <w:t>The new complaint form makes it easy for anyone to lodge complaints about advertisements for medicines and medical devices.</w:t>
      </w:r>
    </w:p>
    <w:p w:rsidR="0043742B" w:rsidRPr="0043742B" w:rsidRDefault="0043742B" w:rsidP="0043742B">
      <w:pPr>
        <w:keepNext/>
        <w:keepLines/>
        <w:rPr>
          <w:rFonts w:ascii="Garamond" w:hAnsi="Garamond"/>
          <w:lang w:val="en-AU"/>
        </w:rPr>
      </w:pPr>
      <w:r w:rsidRPr="0043742B">
        <w:rPr>
          <w:rFonts w:ascii="Garamond" w:hAnsi="Garamond"/>
          <w:lang w:val="en-AU"/>
        </w:rPr>
        <w:t>Consumers can use the hub to educate themselves on the rules that protect them against unfair or misleading ads for therapeutic goods. Fact sheets such as "The top 10 things to look out for in medicine advertisements" explain the controls in place to protect the health and safety of consumers.</w:t>
      </w:r>
    </w:p>
    <w:p w:rsidR="0043742B" w:rsidRPr="0043742B" w:rsidRDefault="0043742B" w:rsidP="0043742B">
      <w:pPr>
        <w:keepNext/>
        <w:keepLines/>
        <w:rPr>
          <w:rFonts w:ascii="Garamond" w:hAnsi="Garamond"/>
          <w:lang w:val="en-AU"/>
        </w:rPr>
      </w:pPr>
      <w:r w:rsidRPr="0043742B">
        <w:rPr>
          <w:rFonts w:ascii="Garamond" w:hAnsi="Garamond"/>
          <w:lang w:val="en-AU"/>
        </w:rPr>
        <w:t>Advertisers can learn how to meet the requirements of a compliant advertisement through e-learning modules on the hub.</w:t>
      </w:r>
    </w:p>
    <w:p w:rsidR="0043742B" w:rsidRDefault="0043742B" w:rsidP="00817F1F">
      <w:pPr>
        <w:keepNext/>
        <w:keepLines/>
        <w:rPr>
          <w:rFonts w:ascii="Garamond" w:hAnsi="Garamond"/>
          <w:i/>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bookmarkStart w:id="1" w:name="_GoBack"/>
    <w:p w:rsidR="00817F1F" w:rsidRPr="000170DA" w:rsidRDefault="00E45C1E" w:rsidP="00817F1F">
      <w:pPr>
        <w:keepNext/>
        <w:keepLines/>
        <w:rPr>
          <w:rFonts w:ascii="Garamond" w:hAnsi="Garamond"/>
          <w:u w:val="single"/>
          <w:lang w:val="en-AU"/>
        </w:rPr>
      </w:pPr>
      <w:r>
        <w:fldChar w:fldCharType="begin"/>
      </w:r>
      <w:r>
        <w:instrText xml:space="preserve"> HYPERLINK "https://www.nice.org.uk" </w:instrText>
      </w:r>
      <w:r>
        <w:fldChar w:fldCharType="separate"/>
      </w:r>
      <w:r w:rsidR="00817F1F" w:rsidRPr="000170DA">
        <w:rPr>
          <w:rStyle w:val="Hyperlink"/>
          <w:rFonts w:ascii="Garamond" w:hAnsi="Garamond"/>
          <w:lang w:val="en-AU"/>
        </w:rPr>
        <w:t>https://www.nice.org.uk</w:t>
      </w:r>
      <w:r>
        <w:rPr>
          <w:rStyle w:val="Hyperlink"/>
          <w:rFonts w:ascii="Garamond" w:hAnsi="Garamond"/>
          <w:lang w:val="en-AU"/>
        </w:rPr>
        <w:fldChar w:fldCharType="end"/>
      </w:r>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C50D62" w:rsidRDefault="0009119F" w:rsidP="0009119F">
      <w:pPr>
        <w:pStyle w:val="ListParagraph"/>
        <w:keepNext/>
        <w:keepLines/>
        <w:numPr>
          <w:ilvl w:val="0"/>
          <w:numId w:val="14"/>
        </w:numPr>
        <w:rPr>
          <w:rFonts w:ascii="Garamond" w:hAnsi="Garamond"/>
          <w:lang w:val="en-AU"/>
        </w:rPr>
      </w:pPr>
      <w:r>
        <w:rPr>
          <w:rFonts w:ascii="Garamond" w:hAnsi="Garamond"/>
          <w:lang w:val="en-AU"/>
        </w:rPr>
        <w:t xml:space="preserve">NICE Guideline NG99 </w:t>
      </w:r>
      <w:r w:rsidRPr="0009119F">
        <w:rPr>
          <w:rFonts w:ascii="Garamond" w:hAnsi="Garamond"/>
          <w:b/>
          <w:i/>
          <w:lang w:val="en-AU"/>
        </w:rPr>
        <w:t>Brain tumours</w:t>
      </w:r>
      <w:r w:rsidRPr="0009119F">
        <w:rPr>
          <w:rFonts w:ascii="Garamond" w:hAnsi="Garamond"/>
          <w:i/>
          <w:lang w:val="en-AU"/>
        </w:rPr>
        <w:t xml:space="preserve"> (primary) and brain metastases in adults</w:t>
      </w:r>
      <w:r>
        <w:rPr>
          <w:rFonts w:ascii="Garamond" w:hAnsi="Garamond"/>
          <w:lang w:val="en-AU"/>
        </w:rPr>
        <w:t xml:space="preserve"> </w:t>
      </w:r>
      <w:hyperlink r:id="rId36" w:history="1">
        <w:r w:rsidRPr="00CA365D">
          <w:rPr>
            <w:rStyle w:val="Hyperlink"/>
            <w:rFonts w:ascii="Garamond" w:hAnsi="Garamond"/>
            <w:lang w:val="en-AU"/>
          </w:rPr>
          <w:t>https://www.nice.org.uk/guidance/ng99</w:t>
        </w:r>
      </w:hyperlink>
    </w:p>
    <w:p w:rsidR="0009119F" w:rsidRDefault="0009119F" w:rsidP="0009119F">
      <w:pPr>
        <w:pStyle w:val="ListParagraph"/>
        <w:keepNext/>
        <w:keepLines/>
        <w:numPr>
          <w:ilvl w:val="0"/>
          <w:numId w:val="14"/>
        </w:numPr>
        <w:rPr>
          <w:rFonts w:ascii="Garamond" w:hAnsi="Garamond"/>
          <w:lang w:val="en-AU"/>
        </w:rPr>
      </w:pPr>
      <w:r>
        <w:rPr>
          <w:rFonts w:ascii="Garamond" w:hAnsi="Garamond"/>
          <w:lang w:val="en-AU"/>
        </w:rPr>
        <w:t xml:space="preserve">NICE Guideline NG100 </w:t>
      </w:r>
      <w:r w:rsidRPr="0009119F">
        <w:rPr>
          <w:rFonts w:ascii="Garamond" w:hAnsi="Garamond"/>
          <w:b/>
          <w:i/>
          <w:lang w:val="en-AU"/>
        </w:rPr>
        <w:t>Rheumatoid arthritis</w:t>
      </w:r>
      <w:r w:rsidRPr="0009119F">
        <w:rPr>
          <w:rFonts w:ascii="Garamond" w:hAnsi="Garamond"/>
          <w:i/>
          <w:lang w:val="en-AU"/>
        </w:rPr>
        <w:t xml:space="preserve"> in adults: management </w:t>
      </w:r>
      <w:hyperlink r:id="rId37" w:history="1">
        <w:r w:rsidRPr="00CA365D">
          <w:rPr>
            <w:rStyle w:val="Hyperlink"/>
            <w:rFonts w:ascii="Garamond" w:hAnsi="Garamond"/>
            <w:lang w:val="en-AU"/>
          </w:rPr>
          <w:t>https://www.nice.org.uk/guidance/ng100</w:t>
        </w:r>
      </w:hyperlink>
    </w:p>
    <w:p w:rsidR="0009119F" w:rsidRDefault="0009119F" w:rsidP="0009119F">
      <w:pPr>
        <w:pStyle w:val="ListParagraph"/>
        <w:keepNext/>
        <w:keepLines/>
        <w:numPr>
          <w:ilvl w:val="0"/>
          <w:numId w:val="14"/>
        </w:numPr>
        <w:rPr>
          <w:rFonts w:ascii="Garamond" w:hAnsi="Garamond"/>
          <w:lang w:val="en-AU"/>
        </w:rPr>
      </w:pPr>
      <w:r>
        <w:rPr>
          <w:rFonts w:ascii="Garamond" w:hAnsi="Garamond"/>
          <w:lang w:val="en-AU"/>
        </w:rPr>
        <w:t xml:space="preserve">Quality Standard QS33 </w:t>
      </w:r>
      <w:r w:rsidRPr="0009119F">
        <w:rPr>
          <w:rFonts w:ascii="Garamond" w:hAnsi="Garamond"/>
          <w:b/>
          <w:i/>
          <w:lang w:val="en-AU"/>
        </w:rPr>
        <w:t>Rheumatoid arthritis</w:t>
      </w:r>
      <w:r w:rsidRPr="0009119F">
        <w:rPr>
          <w:rFonts w:ascii="Garamond" w:hAnsi="Garamond"/>
          <w:i/>
          <w:lang w:val="en-AU"/>
        </w:rPr>
        <w:t xml:space="preserve"> in over 16s</w:t>
      </w:r>
      <w:r>
        <w:rPr>
          <w:rFonts w:ascii="Garamond" w:hAnsi="Garamond"/>
          <w:lang w:val="en-AU"/>
        </w:rPr>
        <w:t xml:space="preserve"> </w:t>
      </w:r>
      <w:hyperlink r:id="rId38" w:history="1">
        <w:r w:rsidRPr="00CA365D">
          <w:rPr>
            <w:rStyle w:val="Hyperlink"/>
            <w:rFonts w:ascii="Garamond" w:hAnsi="Garamond"/>
            <w:lang w:val="en-AU"/>
          </w:rPr>
          <w:t>https://www.nice.org.uk/guidance/qs33</w:t>
        </w:r>
      </w:hyperlink>
    </w:p>
    <w:bookmarkEnd w:id="1"/>
    <w:p w:rsidR="00C62CFD" w:rsidRDefault="00C62CFD" w:rsidP="009A34AA">
      <w:pPr>
        <w:keepNext/>
        <w:keepLines/>
        <w:rPr>
          <w:rFonts w:ascii="Garamond" w:hAnsi="Garamond"/>
          <w:i/>
          <w:lang w:val="en-AU"/>
        </w:rPr>
      </w:pPr>
    </w:p>
    <w:p w:rsidR="009A34AA" w:rsidRDefault="009A34AA" w:rsidP="009A34AA">
      <w:pPr>
        <w:keepNext/>
        <w:keepLines/>
        <w:rPr>
          <w:rFonts w:ascii="Garamond" w:hAnsi="Garamond"/>
          <w:lang w:val="en-AU"/>
        </w:rPr>
      </w:pPr>
    </w:p>
    <w:p w:rsidR="009A34AA" w:rsidRDefault="009A34AA"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2B" w:rsidRDefault="0043742B">
      <w:r>
        <w:separator/>
      </w:r>
    </w:p>
  </w:endnote>
  <w:endnote w:type="continuationSeparator" w:id="0">
    <w:p w:rsidR="0043742B" w:rsidRDefault="0043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2B" w:rsidRDefault="0043742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45C1E">
      <w:rPr>
        <w:rStyle w:val="PageNumber"/>
        <w:noProof/>
      </w:rPr>
      <w:t>6</w:t>
    </w:r>
    <w:r>
      <w:rPr>
        <w:rStyle w:val="PageNumber"/>
      </w:rPr>
      <w:fldChar w:fldCharType="end"/>
    </w:r>
  </w:p>
  <w:p w:rsidR="0043742B" w:rsidRPr="001E78F0" w:rsidRDefault="0043742B"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2B" w:rsidRPr="001E78F0" w:rsidRDefault="0043742B"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45C1E">
      <w:rPr>
        <w:rStyle w:val="PageNumber"/>
        <w:rFonts w:ascii="Garamond" w:hAnsi="Garamond"/>
        <w:noProof/>
      </w:rPr>
      <w:t>7</w:t>
    </w:r>
    <w:r w:rsidRPr="001E78F0">
      <w:rPr>
        <w:rStyle w:val="PageNumber"/>
        <w:rFonts w:ascii="Garamond" w:hAnsi="Garamond"/>
      </w:rPr>
      <w:fldChar w:fldCharType="end"/>
    </w:r>
  </w:p>
  <w:p w:rsidR="0043742B" w:rsidRPr="001E78F0" w:rsidRDefault="0043742B"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2B" w:rsidRDefault="0043742B">
      <w:r>
        <w:separator/>
      </w:r>
    </w:p>
  </w:footnote>
  <w:footnote w:type="continuationSeparator" w:id="0">
    <w:p w:rsidR="0043742B" w:rsidRDefault="00437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134242"/>
    <w:multiLevelType w:val="hybridMultilevel"/>
    <w:tmpl w:val="9656DF78"/>
    <w:lvl w:ilvl="0" w:tplc="CBB2EC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A13682"/>
    <w:multiLevelType w:val="hybridMultilevel"/>
    <w:tmpl w:val="B20E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AD21F3"/>
    <w:multiLevelType w:val="hybridMultilevel"/>
    <w:tmpl w:val="2A288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181472"/>
    <w:multiLevelType w:val="hybridMultilevel"/>
    <w:tmpl w:val="3FD4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8D1464"/>
    <w:multiLevelType w:val="hybridMultilevel"/>
    <w:tmpl w:val="E944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0E33C8"/>
    <w:multiLevelType w:val="hybridMultilevel"/>
    <w:tmpl w:val="633C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AC6C42"/>
    <w:multiLevelType w:val="hybridMultilevel"/>
    <w:tmpl w:val="B8760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337B81"/>
    <w:multiLevelType w:val="hybridMultilevel"/>
    <w:tmpl w:val="9A9C0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9B6DB2"/>
    <w:multiLevelType w:val="hybridMultilevel"/>
    <w:tmpl w:val="2932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734C69"/>
    <w:multiLevelType w:val="hybridMultilevel"/>
    <w:tmpl w:val="3838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C7019D"/>
    <w:multiLevelType w:val="hybridMultilevel"/>
    <w:tmpl w:val="09067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33160DB"/>
    <w:multiLevelType w:val="hybridMultilevel"/>
    <w:tmpl w:val="F81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44433BF"/>
    <w:multiLevelType w:val="hybridMultilevel"/>
    <w:tmpl w:val="C7D4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8A1289"/>
    <w:multiLevelType w:val="hybridMultilevel"/>
    <w:tmpl w:val="9EE8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A845E49"/>
    <w:multiLevelType w:val="hybridMultilevel"/>
    <w:tmpl w:val="AC2822C8"/>
    <w:lvl w:ilvl="0" w:tplc="496C095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8"/>
  </w:num>
  <w:num w:numId="15">
    <w:abstractNumId w:val="10"/>
  </w:num>
  <w:num w:numId="16">
    <w:abstractNumId w:val="14"/>
  </w:num>
  <w:num w:numId="17">
    <w:abstractNumId w:val="29"/>
  </w:num>
  <w:num w:numId="18">
    <w:abstractNumId w:val="25"/>
  </w:num>
  <w:num w:numId="19">
    <w:abstractNumId w:val="11"/>
  </w:num>
  <w:num w:numId="20">
    <w:abstractNumId w:val="19"/>
  </w:num>
  <w:num w:numId="21">
    <w:abstractNumId w:val="28"/>
  </w:num>
  <w:num w:numId="22">
    <w:abstractNumId w:val="12"/>
  </w:num>
  <w:num w:numId="23">
    <w:abstractNumId w:val="15"/>
  </w:num>
  <w:num w:numId="24">
    <w:abstractNumId w:val="20"/>
  </w:num>
  <w:num w:numId="25">
    <w:abstractNumId w:val="16"/>
  </w:num>
  <w:num w:numId="26">
    <w:abstractNumId w:val="31"/>
  </w:num>
  <w:num w:numId="27">
    <w:abstractNumId w:val="30"/>
  </w:num>
  <w:num w:numId="28">
    <w:abstractNumId w:val="13"/>
  </w:num>
  <w:num w:numId="29">
    <w:abstractNumId w:val="24"/>
  </w:num>
  <w:num w:numId="30">
    <w:abstractNumId w:val="23"/>
  </w:num>
  <w:num w:numId="31">
    <w:abstractNumId w:val="27"/>
  </w:num>
  <w:num w:numId="3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B8C"/>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1E"/>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CA1"/>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medication-safety/" TargetMode="External"/><Relationship Id="rId26" Type="http://schemas.openxmlformats.org/officeDocument/2006/relationships/hyperlink" Target="https://doi.org/10.1377/hlthaff.2017.160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36/bmjoq-2018-000355" TargetMode="External"/><Relationship Id="rId34" Type="http://schemas.openxmlformats.org/officeDocument/2006/relationships/hyperlink" Target="https://academic.oup.com/intqhc/advance-acces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oi.org/10.1787/8178962c-en" TargetMode="External"/><Relationship Id="rId25" Type="http://schemas.openxmlformats.org/officeDocument/2006/relationships/hyperlink" Target="https://www.safetyandquality.gov.au/atlas/" TargetMode="External"/><Relationship Id="rId33" Type="http://schemas.openxmlformats.org/officeDocument/2006/relationships/hyperlink" Target="https://qualitysafety.bmj.com/content/early/recent" TargetMode="External"/><Relationship Id="rId38" Type="http://schemas.openxmlformats.org/officeDocument/2006/relationships/hyperlink" Target="https://www.nice.org.uk/guidance/qs33" TargetMode="External"/><Relationship Id="rId2" Type="http://schemas.openxmlformats.org/officeDocument/2006/relationships/numbering" Target="numbering.xml"/><Relationship Id="rId16" Type="http://schemas.openxmlformats.org/officeDocument/2006/relationships/hyperlink" Target="https://www.england.nhs.uk/2018/07/help-shape-modern-primary-care-says-nhs-england-as-part-of-nhs-long-term-plan/" TargetMode="External"/><Relationship Id="rId20" Type="http://schemas.openxmlformats.org/officeDocument/2006/relationships/hyperlink" Target="https://www.safetyandquality.gov.au/our-work/shared-decision-making/" TargetMode="External"/><Relationship Id="rId29" Type="http://schemas.openxmlformats.org/officeDocument/2006/relationships/hyperlink" Target="https://doi.org/10.1097/pq9.000000000000008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136/bmj.k2903" TargetMode="External"/><Relationship Id="rId32" Type="http://schemas.openxmlformats.org/officeDocument/2006/relationships/hyperlink" Target="https://www.healthaffairs.org/toc/hlthaff/37/7" TargetMode="External"/><Relationship Id="rId37" Type="http://schemas.openxmlformats.org/officeDocument/2006/relationships/hyperlink" Target="https://www.nice.org.uk/guidance/ng100"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x.doi.org/10.1097/PTS.0000000000000171" TargetMode="External"/><Relationship Id="rId28" Type="http://schemas.openxmlformats.org/officeDocument/2006/relationships/hyperlink" Target="https://dx.doi.org/10.1136/leader-2017-000055" TargetMode="External"/><Relationship Id="rId36" Type="http://schemas.openxmlformats.org/officeDocument/2006/relationships/hyperlink" Target="https://www.nice.org.uk/guidance/ng99"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patient-and-consumer-centred-care/health-literacy/" TargetMode="External"/><Relationship Id="rId31" Type="http://schemas.openxmlformats.org/officeDocument/2006/relationships/hyperlink" Target="https://doi.org/10.1016/j.mayocp.2018.05.01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healthcare-associated-infection/" TargetMode="External"/><Relationship Id="rId27" Type="http://schemas.openxmlformats.org/officeDocument/2006/relationships/hyperlink" Target="https://www.safetyandquality.gov.au/our-work/safety-in-e-health/" TargetMode="External"/><Relationship Id="rId30" Type="http://schemas.openxmlformats.org/officeDocument/2006/relationships/hyperlink" Target="https://www.safetyandquality.gov.au/our-work/indicators/hospital-acquired-complications/" TargetMode="External"/><Relationship Id="rId35" Type="http://schemas.openxmlformats.org/officeDocument/2006/relationships/hyperlink" Target="https://www.tga.gov.au/advertising-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684BD-2638-4956-A655-5B0B6729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7</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21486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21</cp:revision>
  <cp:lastPrinted>2018-03-02T02:34:00Z</cp:lastPrinted>
  <dcterms:created xsi:type="dcterms:W3CDTF">2018-07-08T22:36:00Z</dcterms:created>
  <dcterms:modified xsi:type="dcterms:W3CDTF">2018-07-13T03:36:00Z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