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8C7B4B">
        <w:rPr>
          <w:rFonts w:ascii="Garamond" w:hAnsi="Garamond"/>
          <w:color w:val="000000"/>
          <w:lang w:val="en-AU"/>
        </w:rPr>
        <w:t>85</w:t>
      </w:r>
    </w:p>
    <w:p w:rsidR="00755242" w:rsidRPr="00467B47" w:rsidRDefault="008C7B4B" w:rsidP="00B160EF">
      <w:pPr>
        <w:rPr>
          <w:rFonts w:ascii="Garamond" w:hAnsi="Garamond"/>
          <w:lang w:val="en-AU"/>
        </w:rPr>
      </w:pPr>
      <w:r>
        <w:rPr>
          <w:rFonts w:ascii="Garamond" w:hAnsi="Garamond"/>
          <w:lang w:val="en-AU"/>
        </w:rPr>
        <w:t xml:space="preserve">3 September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727B35" w:rsidRDefault="00727B35" w:rsidP="00691DE3">
      <w:pPr>
        <w:keepLines/>
        <w:autoSpaceDE w:val="0"/>
        <w:autoSpaceDN w:val="0"/>
        <w:adjustRightInd w:val="0"/>
        <w:rPr>
          <w:rFonts w:ascii="Garamond" w:hAnsi="Garamond"/>
          <w:lang w:val="en-AU"/>
        </w:rPr>
      </w:pPr>
    </w:p>
    <w:p w:rsidR="0098457B" w:rsidRDefault="0098457B" w:rsidP="00691DE3">
      <w:pPr>
        <w:keepLines/>
        <w:autoSpaceDE w:val="0"/>
        <w:autoSpaceDN w:val="0"/>
        <w:adjustRightInd w:val="0"/>
        <w:rPr>
          <w:rFonts w:ascii="Garamond" w:hAnsi="Garamond"/>
          <w:lang w:val="en-AU"/>
        </w:rPr>
      </w:pPr>
    </w:p>
    <w:p w:rsidR="002B0CCC" w:rsidRDefault="002B0CCC">
      <w:pPr>
        <w:rPr>
          <w:rFonts w:ascii="Garamond" w:hAnsi="Garamond"/>
          <w:b/>
          <w:lang w:val="en-AU"/>
        </w:rPr>
      </w:pPr>
      <w:r>
        <w:rPr>
          <w:rFonts w:ascii="Garamond" w:hAnsi="Garamond"/>
          <w:b/>
          <w:lang w:val="en-AU"/>
        </w:rPr>
        <w:t>Books</w:t>
      </w:r>
    </w:p>
    <w:p w:rsidR="002B0CCC" w:rsidRDefault="002B0CCC" w:rsidP="002B0CCC">
      <w:pPr>
        <w:keepNext/>
        <w:keepLines/>
        <w:autoSpaceDE w:val="0"/>
        <w:autoSpaceDN w:val="0"/>
        <w:adjustRightInd w:val="0"/>
        <w:rPr>
          <w:rFonts w:ascii="Garamond" w:hAnsi="Garamond"/>
          <w:lang w:val="en-AU"/>
        </w:rPr>
      </w:pPr>
    </w:p>
    <w:p w:rsidR="00E14145" w:rsidRPr="000F6272" w:rsidRDefault="000F6272" w:rsidP="00E14145">
      <w:pPr>
        <w:keepNext/>
        <w:keepLines/>
        <w:autoSpaceDE w:val="0"/>
        <w:autoSpaceDN w:val="0"/>
        <w:adjustRightInd w:val="0"/>
        <w:rPr>
          <w:rFonts w:ascii="Garamond" w:hAnsi="Garamond"/>
          <w:i/>
          <w:lang w:val="en-AU"/>
        </w:rPr>
      </w:pPr>
      <w:r w:rsidRPr="000F6272">
        <w:rPr>
          <w:rFonts w:ascii="Garamond" w:hAnsi="Garamond"/>
          <w:i/>
          <w:lang w:val="en-AU"/>
        </w:rPr>
        <w:t>Crossing the Global Quality Chasm: Improving Health Care Worldwide</w:t>
      </w:r>
    </w:p>
    <w:p w:rsidR="000F6272" w:rsidRDefault="000F6272" w:rsidP="00E14145">
      <w:pPr>
        <w:keepNext/>
        <w:keepLines/>
        <w:autoSpaceDE w:val="0"/>
        <w:autoSpaceDN w:val="0"/>
        <w:adjustRightInd w:val="0"/>
        <w:rPr>
          <w:rFonts w:ascii="Garamond" w:hAnsi="Garamond"/>
          <w:lang w:val="en-AU"/>
        </w:rPr>
      </w:pPr>
      <w:r w:rsidRPr="000F6272">
        <w:rPr>
          <w:rFonts w:ascii="Garamond" w:hAnsi="Garamond"/>
          <w:lang w:val="en-AU"/>
        </w:rPr>
        <w:t>National Academies of Sciences, Engineering, Medicine</w:t>
      </w:r>
    </w:p>
    <w:p w:rsidR="000F6272" w:rsidRPr="00E566B0" w:rsidRDefault="000F6272" w:rsidP="00E14145">
      <w:pPr>
        <w:keepNext/>
        <w:keepLines/>
        <w:autoSpaceDE w:val="0"/>
        <w:autoSpaceDN w:val="0"/>
        <w:adjustRightInd w:val="0"/>
        <w:rPr>
          <w:rFonts w:ascii="Garamond" w:hAnsi="Garamond"/>
          <w:lang w:val="en-AU"/>
        </w:rPr>
      </w:pPr>
      <w:r w:rsidRPr="000F6272">
        <w:rPr>
          <w:rFonts w:ascii="Garamond" w:hAnsi="Garamond"/>
          <w:lang w:val="en-AU"/>
        </w:rPr>
        <w:t>Washington, DC: The National Academies Press; 2018.</w:t>
      </w:r>
    </w:p>
    <w:tbl>
      <w:tblPr>
        <w:tblStyle w:val="TableGrid"/>
        <w:tblW w:w="0" w:type="auto"/>
        <w:tblInd w:w="288" w:type="dxa"/>
        <w:tblLayout w:type="fixed"/>
        <w:tblLook w:val="01E0" w:firstRow="1" w:lastRow="1" w:firstColumn="1" w:lastColumn="1" w:noHBand="0" w:noVBand="0"/>
      </w:tblPr>
      <w:tblGrid>
        <w:gridCol w:w="1080"/>
        <w:gridCol w:w="8280"/>
      </w:tblGrid>
      <w:tr w:rsidR="00E14145"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E14145" w:rsidRPr="000170DA" w:rsidRDefault="00E14145" w:rsidP="00146D7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14145" w:rsidRPr="000170DA" w:rsidRDefault="00E2164F" w:rsidP="00146D7D">
            <w:pPr>
              <w:rPr>
                <w:rStyle w:val="Hyperlink"/>
                <w:rFonts w:ascii="Garamond" w:hAnsi="Garamond"/>
                <w:color w:val="auto"/>
                <w:u w:val="none"/>
                <w:lang w:val="en-AU"/>
              </w:rPr>
            </w:pPr>
            <w:hyperlink r:id="rId16" w:history="1">
              <w:r w:rsidR="000F6272" w:rsidRPr="00E13C09">
                <w:rPr>
                  <w:rStyle w:val="Hyperlink"/>
                  <w:rFonts w:ascii="Garamond" w:hAnsi="Garamond"/>
                  <w:lang w:val="en-AU"/>
                </w:rPr>
                <w:t>https://doi.org/10.17226/25152</w:t>
              </w:r>
            </w:hyperlink>
          </w:p>
        </w:tc>
      </w:tr>
      <w:tr w:rsidR="00E14145"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E14145" w:rsidRPr="000170DA" w:rsidRDefault="00E14145"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14145" w:rsidRDefault="00D24202" w:rsidP="00D24202">
            <w:pPr>
              <w:rPr>
                <w:rFonts w:ascii="Garamond" w:hAnsi="Garamond"/>
                <w:lang w:val="en-AU"/>
              </w:rPr>
            </w:pPr>
            <w:r>
              <w:rPr>
                <w:rFonts w:ascii="Garamond" w:hAnsi="Garamond"/>
                <w:lang w:val="en-AU"/>
              </w:rPr>
              <w:t xml:space="preserve">Seventeen years after the seminal </w:t>
            </w:r>
            <w:r w:rsidRPr="00D24202">
              <w:rPr>
                <w:rFonts w:ascii="Garamond" w:hAnsi="Garamond"/>
                <w:lang w:val="en-AU"/>
              </w:rPr>
              <w:t xml:space="preserve">Institute of Medicine (IOM) report </w:t>
            </w:r>
            <w:r w:rsidRPr="00D24202">
              <w:rPr>
                <w:rFonts w:ascii="Garamond" w:hAnsi="Garamond"/>
                <w:i/>
                <w:lang w:val="en-AU"/>
              </w:rPr>
              <w:t>Crossing the Quality Chasm</w:t>
            </w:r>
            <w:r w:rsidRPr="00D24202">
              <w:rPr>
                <w:rFonts w:ascii="Garamond" w:hAnsi="Garamond"/>
                <w:lang w:val="en-AU"/>
              </w:rPr>
              <w:t xml:space="preserve"> </w:t>
            </w:r>
            <w:r>
              <w:rPr>
                <w:rFonts w:ascii="Garamond" w:hAnsi="Garamond"/>
                <w:lang w:val="en-AU"/>
              </w:rPr>
              <w:t>comes this work examining</w:t>
            </w:r>
            <w:r w:rsidRPr="00D24202">
              <w:rPr>
                <w:rFonts w:ascii="Garamond" w:hAnsi="Garamond"/>
                <w:lang w:val="en-AU"/>
              </w:rPr>
              <w:t xml:space="preserve"> the global impacts of poor-quality health care and to recommend ways to improve quality while expanding </w:t>
            </w:r>
            <w:r>
              <w:rPr>
                <w:rFonts w:ascii="Garamond" w:hAnsi="Garamond"/>
                <w:lang w:val="en-AU"/>
              </w:rPr>
              <w:t>universal health care</w:t>
            </w:r>
            <w:r w:rsidRPr="00D24202">
              <w:rPr>
                <w:rFonts w:ascii="Garamond" w:hAnsi="Garamond"/>
                <w:lang w:val="en-AU"/>
              </w:rPr>
              <w:t>, particularly in low-resource areas. The report call</w:t>
            </w:r>
            <w:r>
              <w:rPr>
                <w:rFonts w:ascii="Garamond" w:hAnsi="Garamond"/>
                <w:lang w:val="en-AU"/>
              </w:rPr>
              <w:t>s</w:t>
            </w:r>
            <w:r w:rsidRPr="00D24202">
              <w:rPr>
                <w:rFonts w:ascii="Garamond" w:hAnsi="Garamond"/>
                <w:lang w:val="en-AU"/>
              </w:rPr>
              <w:t xml:space="preserve"> attention to the gaps in health care quality that still remain globally and suggesting approaches to bridge them.</w:t>
            </w:r>
          </w:p>
          <w:p w:rsidR="00D24202" w:rsidRDefault="00D24202" w:rsidP="00D24202">
            <w:pPr>
              <w:rPr>
                <w:rFonts w:ascii="Garamond" w:hAnsi="Garamond"/>
                <w:lang w:val="en-AU"/>
              </w:rPr>
            </w:pPr>
            <w:r>
              <w:rPr>
                <w:rFonts w:ascii="Garamond" w:hAnsi="Garamond"/>
                <w:lang w:val="en-AU"/>
              </w:rPr>
              <w:t>The report contains estimates that i</w:t>
            </w:r>
            <w:r w:rsidRPr="00D24202">
              <w:rPr>
                <w:rFonts w:ascii="Garamond" w:hAnsi="Garamond"/>
                <w:lang w:val="en-AU"/>
              </w:rPr>
              <w:t xml:space="preserve">n </w:t>
            </w:r>
            <w:r w:rsidRPr="00D24202">
              <w:rPr>
                <w:rFonts w:ascii="Garamond" w:hAnsi="Garamond"/>
                <w:b/>
                <w:lang w:val="en-AU"/>
              </w:rPr>
              <w:t>low- and middle-income countries</w:t>
            </w:r>
            <w:r w:rsidRPr="00D24202">
              <w:rPr>
                <w:rFonts w:ascii="Garamond" w:hAnsi="Garamond"/>
                <w:lang w:val="en-AU"/>
              </w:rPr>
              <w:t xml:space="preserve"> between </w:t>
            </w:r>
            <w:r w:rsidRPr="00D24202">
              <w:rPr>
                <w:rFonts w:ascii="Garamond" w:hAnsi="Garamond"/>
                <w:b/>
                <w:lang w:val="en-AU"/>
              </w:rPr>
              <w:t>5.7 and 8.4 million deaths</w:t>
            </w:r>
            <w:r w:rsidRPr="00D24202">
              <w:rPr>
                <w:rFonts w:ascii="Garamond" w:hAnsi="Garamond"/>
                <w:lang w:val="en-AU"/>
              </w:rPr>
              <w:t xml:space="preserve"> occur each year from </w:t>
            </w:r>
            <w:r w:rsidRPr="00D24202">
              <w:rPr>
                <w:rFonts w:ascii="Garamond" w:hAnsi="Garamond"/>
                <w:b/>
                <w:lang w:val="en-AU"/>
              </w:rPr>
              <w:t>poor quality of care</w:t>
            </w:r>
            <w:r w:rsidRPr="00D24202">
              <w:rPr>
                <w:rFonts w:ascii="Garamond" w:hAnsi="Garamond"/>
                <w:lang w:val="en-AU"/>
              </w:rPr>
              <w:t xml:space="preserve">, </w:t>
            </w:r>
            <w:r>
              <w:rPr>
                <w:rFonts w:ascii="Garamond" w:hAnsi="Garamond"/>
                <w:lang w:val="en-AU"/>
              </w:rPr>
              <w:t xml:space="preserve">suggesting </w:t>
            </w:r>
            <w:r w:rsidRPr="00D24202">
              <w:rPr>
                <w:rFonts w:ascii="Garamond" w:hAnsi="Garamond"/>
                <w:lang w:val="en-AU"/>
              </w:rPr>
              <w:t xml:space="preserve">that quality </w:t>
            </w:r>
            <w:r>
              <w:rPr>
                <w:rFonts w:ascii="Garamond" w:hAnsi="Garamond"/>
                <w:lang w:val="en-AU"/>
              </w:rPr>
              <w:t>failings</w:t>
            </w:r>
            <w:r w:rsidRPr="00D24202">
              <w:rPr>
                <w:rFonts w:ascii="Garamond" w:hAnsi="Garamond"/>
                <w:lang w:val="en-AU"/>
              </w:rPr>
              <w:t xml:space="preserve"> cause </w:t>
            </w:r>
            <w:r w:rsidRPr="00D24202">
              <w:rPr>
                <w:rFonts w:ascii="Garamond" w:hAnsi="Garamond"/>
                <w:b/>
                <w:lang w:val="en-AU"/>
              </w:rPr>
              <w:t>10 to 15 percent of the total deaths</w:t>
            </w:r>
            <w:r w:rsidRPr="00D24202">
              <w:rPr>
                <w:rFonts w:ascii="Garamond" w:hAnsi="Garamond"/>
                <w:lang w:val="en-AU"/>
              </w:rPr>
              <w:t xml:space="preserve"> in these countries. The resulting costs of lost productivity alone amount to between </w:t>
            </w:r>
            <w:r w:rsidRPr="00D24202">
              <w:rPr>
                <w:rFonts w:ascii="Garamond" w:hAnsi="Garamond"/>
                <w:b/>
                <w:lang w:val="en-AU"/>
              </w:rPr>
              <w:t>$1.4 and $1.6 trillion each year</w:t>
            </w:r>
            <w:r w:rsidRPr="00D24202">
              <w:rPr>
                <w:rFonts w:ascii="Garamond" w:hAnsi="Garamond"/>
                <w:lang w:val="en-AU"/>
              </w:rPr>
              <w:t>.</w:t>
            </w:r>
          </w:p>
          <w:p w:rsidR="00FF54E0" w:rsidRPr="002A6E38" w:rsidRDefault="00FF54E0" w:rsidP="0098457B">
            <w:pPr>
              <w:rPr>
                <w:rFonts w:ascii="Garamond" w:hAnsi="Garamond"/>
                <w:lang w:val="en-AU"/>
              </w:rPr>
            </w:pPr>
            <w:r>
              <w:rPr>
                <w:rFonts w:ascii="Garamond" w:hAnsi="Garamond"/>
                <w:lang w:val="en-AU"/>
              </w:rPr>
              <w:t xml:space="preserve">The report’s authors </w:t>
            </w:r>
            <w:r w:rsidRPr="00FF54E0">
              <w:rPr>
                <w:rFonts w:ascii="Garamond" w:hAnsi="Garamond"/>
                <w:lang w:val="en-AU"/>
              </w:rPr>
              <w:t>emphasi</w:t>
            </w:r>
            <w:r>
              <w:rPr>
                <w:rFonts w:ascii="Garamond" w:hAnsi="Garamond"/>
                <w:lang w:val="en-AU"/>
              </w:rPr>
              <w:t>s</w:t>
            </w:r>
            <w:r w:rsidRPr="00FF54E0">
              <w:rPr>
                <w:rFonts w:ascii="Garamond" w:hAnsi="Garamond"/>
                <w:lang w:val="en-AU"/>
              </w:rPr>
              <w:t>e the organization and delivery of safe and effective care at the patient/provider interface. Th</w:t>
            </w:r>
            <w:r>
              <w:rPr>
                <w:rFonts w:ascii="Garamond" w:hAnsi="Garamond"/>
                <w:lang w:val="en-AU"/>
              </w:rPr>
              <w:t xml:space="preserve">e report </w:t>
            </w:r>
            <w:r w:rsidRPr="00FF54E0">
              <w:rPr>
                <w:rFonts w:ascii="Garamond" w:hAnsi="Garamond"/>
                <w:lang w:val="en-AU"/>
              </w:rPr>
              <w:t>explores issues of access to services and commodities, effectiveness, safety, efficiency, and equity.</w:t>
            </w:r>
          </w:p>
        </w:tc>
      </w:tr>
    </w:tbl>
    <w:p w:rsidR="00E14145" w:rsidRDefault="00E14145" w:rsidP="00E14145">
      <w:pPr>
        <w:rPr>
          <w:rFonts w:ascii="Garamond" w:hAnsi="Garamond"/>
          <w:lang w:val="en-AU"/>
        </w:rPr>
      </w:pPr>
    </w:p>
    <w:p w:rsidR="002B0CCC" w:rsidRDefault="002B0CCC" w:rsidP="002B0CCC">
      <w:pPr>
        <w:rPr>
          <w:rFonts w:ascii="Garamond" w:hAnsi="Garamond"/>
          <w:lang w:val="en-AU"/>
        </w:rPr>
      </w:pPr>
    </w:p>
    <w:p w:rsidR="00282D29" w:rsidRDefault="00282D29">
      <w:pPr>
        <w:rPr>
          <w:rFonts w:ascii="Garamond" w:hAnsi="Garamond"/>
          <w:b/>
          <w:lang w:val="en-AU"/>
        </w:rPr>
      </w:pPr>
      <w:r>
        <w:rPr>
          <w:rFonts w:ascii="Garamond" w:hAnsi="Garamond"/>
          <w:b/>
          <w:lang w:val="en-AU"/>
        </w:rPr>
        <w:lastRenderedPageBreak/>
        <w:t>Reports</w:t>
      </w:r>
    </w:p>
    <w:p w:rsidR="00C3692E" w:rsidRDefault="00C3692E" w:rsidP="00C3692E">
      <w:pPr>
        <w:keepLines/>
        <w:autoSpaceDE w:val="0"/>
        <w:autoSpaceDN w:val="0"/>
        <w:adjustRightInd w:val="0"/>
        <w:rPr>
          <w:rFonts w:ascii="Garamond" w:hAnsi="Garamond"/>
          <w:lang w:val="en-AU"/>
        </w:rPr>
      </w:pPr>
    </w:p>
    <w:p w:rsidR="001E7894" w:rsidRPr="001E7894" w:rsidRDefault="001E7894" w:rsidP="001E7894">
      <w:pPr>
        <w:keepLines/>
        <w:autoSpaceDE w:val="0"/>
        <w:autoSpaceDN w:val="0"/>
        <w:adjustRightInd w:val="0"/>
        <w:rPr>
          <w:rFonts w:ascii="Garamond" w:hAnsi="Garamond"/>
          <w:i/>
          <w:lang w:val="en-AU"/>
        </w:rPr>
      </w:pPr>
      <w:r w:rsidRPr="001E7894">
        <w:rPr>
          <w:rFonts w:ascii="Garamond" w:hAnsi="Garamond"/>
          <w:i/>
          <w:lang w:val="en-AU"/>
        </w:rPr>
        <w:t>Reducing emergency admissions: unlocking the potential of people to better manage their long-term conditions</w:t>
      </w:r>
    </w:p>
    <w:p w:rsidR="0098457B" w:rsidRDefault="0098457B" w:rsidP="001E7894">
      <w:pPr>
        <w:keepLines/>
        <w:autoSpaceDE w:val="0"/>
        <w:autoSpaceDN w:val="0"/>
        <w:adjustRightInd w:val="0"/>
        <w:rPr>
          <w:rFonts w:ascii="Garamond" w:hAnsi="Garamond"/>
          <w:lang w:val="en-AU"/>
        </w:rPr>
      </w:pPr>
      <w:r w:rsidRPr="0098457B">
        <w:rPr>
          <w:rFonts w:ascii="Garamond" w:hAnsi="Garamond"/>
          <w:lang w:val="en-AU"/>
        </w:rPr>
        <w:t>Deeny S, Thorlby R, Steventon A</w:t>
      </w:r>
    </w:p>
    <w:p w:rsidR="001E7894" w:rsidRPr="001E7894" w:rsidRDefault="0098457B" w:rsidP="001E7894">
      <w:pPr>
        <w:keepLines/>
        <w:autoSpaceDE w:val="0"/>
        <w:autoSpaceDN w:val="0"/>
        <w:adjustRightInd w:val="0"/>
        <w:rPr>
          <w:rFonts w:ascii="Garamond" w:hAnsi="Garamond"/>
          <w:lang w:val="en-AU"/>
        </w:rPr>
      </w:pPr>
      <w:r w:rsidRPr="0098457B">
        <w:rPr>
          <w:rFonts w:ascii="Garamond" w:hAnsi="Garamond"/>
          <w:lang w:val="en-AU"/>
        </w:rPr>
        <w:t>London: The Health Foundation; 2018. p. 24.</w:t>
      </w:r>
    </w:p>
    <w:tbl>
      <w:tblPr>
        <w:tblStyle w:val="TableGrid"/>
        <w:tblW w:w="0" w:type="auto"/>
        <w:tblInd w:w="288" w:type="dxa"/>
        <w:tblLayout w:type="fixed"/>
        <w:tblLook w:val="01E0" w:firstRow="1" w:lastRow="1" w:firstColumn="1" w:lastColumn="1" w:noHBand="0" w:noVBand="0"/>
      </w:tblPr>
      <w:tblGrid>
        <w:gridCol w:w="1080"/>
        <w:gridCol w:w="8280"/>
      </w:tblGrid>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310CA" w:rsidRPr="000170DA" w:rsidRDefault="00E2164F" w:rsidP="00146D7D">
            <w:pPr>
              <w:rPr>
                <w:rStyle w:val="Hyperlink"/>
                <w:rFonts w:ascii="Garamond" w:hAnsi="Garamond"/>
                <w:color w:val="auto"/>
                <w:u w:val="none"/>
                <w:lang w:val="en-AU"/>
              </w:rPr>
            </w:pPr>
            <w:hyperlink r:id="rId17" w:history="1">
              <w:r w:rsidR="001E7894" w:rsidRPr="00E13C09">
                <w:rPr>
                  <w:rStyle w:val="Hyperlink"/>
                  <w:rFonts w:ascii="Garamond" w:hAnsi="Garamond"/>
                  <w:lang w:val="en-AU"/>
                </w:rPr>
                <w:t>https://www.health.org.uk/reducing-emergency-admissions-better-manage-long-term-conditions</w:t>
              </w:r>
            </w:hyperlink>
            <w:r w:rsidR="001E7894">
              <w:rPr>
                <w:rStyle w:val="Hyperlink"/>
                <w:rFonts w:ascii="Garamond" w:hAnsi="Garamond"/>
                <w:color w:val="auto"/>
                <w:u w:val="none"/>
                <w:lang w:val="en-AU"/>
              </w:rPr>
              <w:t xml:space="preserve"> </w:t>
            </w:r>
          </w:p>
        </w:tc>
      </w:tr>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95064" w:rsidRDefault="001E7894" w:rsidP="001E7894">
            <w:pPr>
              <w:rPr>
                <w:rFonts w:ascii="Garamond" w:hAnsi="Garamond"/>
                <w:lang w:val="en-AU"/>
              </w:rPr>
            </w:pPr>
            <w:r>
              <w:rPr>
                <w:rFonts w:ascii="Garamond" w:hAnsi="Garamond"/>
                <w:lang w:val="en-AU"/>
              </w:rPr>
              <w:t>Self-care or self-management is seen as potentially getting a patient more engaged in their own care and a means to possibly reduce the impact upon and usage of health services. Clearly this can be a delicate balancing act so that patients not be exposed to greater risk of missing appropriate and necessary care while services can (ideally) focus on treating those who require those services, for example, not having patients using emergency departments for care that could be self-managed or provided elsewhere (and presumably more cost-effectively).</w:t>
            </w:r>
          </w:p>
          <w:p w:rsidR="009F2BF9" w:rsidRDefault="001E7894" w:rsidP="009F2BF9">
            <w:pPr>
              <w:rPr>
                <w:rFonts w:ascii="Garamond" w:hAnsi="Garamond"/>
                <w:lang w:val="en-AU"/>
              </w:rPr>
            </w:pPr>
            <w:r>
              <w:rPr>
                <w:rFonts w:ascii="Garamond" w:hAnsi="Garamond"/>
                <w:lang w:val="en-AU"/>
              </w:rPr>
              <w:t>Th</w:t>
            </w:r>
            <w:r w:rsidR="0098457B">
              <w:rPr>
                <w:rFonts w:ascii="Garamond" w:hAnsi="Garamond"/>
                <w:lang w:val="en-AU"/>
              </w:rPr>
              <w:t xml:space="preserve">is </w:t>
            </w:r>
            <w:r w:rsidR="0098457B" w:rsidRPr="0098457B">
              <w:rPr>
                <w:rFonts w:ascii="Garamond" w:hAnsi="Garamond"/>
                <w:lang w:val="en-AU"/>
              </w:rPr>
              <w:t>briefing</w:t>
            </w:r>
            <w:r w:rsidR="0098457B">
              <w:rPr>
                <w:rFonts w:ascii="Garamond" w:hAnsi="Garamond"/>
                <w:lang w:val="en-AU"/>
              </w:rPr>
              <w:t xml:space="preserve"> from the UK’s Health Foundation </w:t>
            </w:r>
            <w:r w:rsidR="0098457B" w:rsidRPr="0098457B">
              <w:rPr>
                <w:rFonts w:ascii="Garamond" w:hAnsi="Garamond"/>
                <w:lang w:val="en-AU"/>
              </w:rPr>
              <w:t>summarises research that explores the link between how well patients feel able to manage their long-term conditions such as asthma, diabetes and depression and their use of health care.</w:t>
            </w:r>
            <w:r w:rsidR="0098457B">
              <w:rPr>
                <w:rFonts w:ascii="Garamond" w:hAnsi="Garamond"/>
                <w:lang w:val="en-AU"/>
              </w:rPr>
              <w:t xml:space="preserve"> </w:t>
            </w:r>
            <w:r w:rsidR="0098457B" w:rsidRPr="0098457B">
              <w:rPr>
                <w:rFonts w:ascii="Garamond" w:hAnsi="Garamond"/>
                <w:lang w:val="en-AU"/>
              </w:rPr>
              <w:t xml:space="preserve">The findings show the NHS could </w:t>
            </w:r>
            <w:r w:rsidR="0098457B" w:rsidRPr="0098457B">
              <w:rPr>
                <w:rFonts w:ascii="Garamond" w:hAnsi="Garamond"/>
                <w:b/>
                <w:lang w:val="en-AU"/>
              </w:rPr>
              <w:t>reduce avoidable health care use</w:t>
            </w:r>
            <w:r w:rsidR="0098457B" w:rsidRPr="0098457B">
              <w:rPr>
                <w:rFonts w:ascii="Garamond" w:hAnsi="Garamond"/>
                <w:lang w:val="en-AU"/>
              </w:rPr>
              <w:t xml:space="preserve"> and </w:t>
            </w:r>
            <w:r w:rsidR="0098457B" w:rsidRPr="0098457B">
              <w:rPr>
                <w:rFonts w:ascii="Garamond" w:hAnsi="Garamond"/>
                <w:b/>
                <w:lang w:val="en-AU"/>
              </w:rPr>
              <w:t>improve people’s quality of life</w:t>
            </w:r>
            <w:r w:rsidR="0098457B" w:rsidRPr="0098457B">
              <w:rPr>
                <w:rFonts w:ascii="Garamond" w:hAnsi="Garamond"/>
                <w:lang w:val="en-AU"/>
              </w:rPr>
              <w:t xml:space="preserve">, if they were </w:t>
            </w:r>
            <w:r w:rsidR="0098457B" w:rsidRPr="0098457B">
              <w:rPr>
                <w:rFonts w:ascii="Garamond" w:hAnsi="Garamond"/>
                <w:b/>
                <w:lang w:val="en-AU"/>
              </w:rPr>
              <w:t>better supported to manage their long-term conditions</w:t>
            </w:r>
            <w:r w:rsidR="0098457B" w:rsidRPr="0098457B">
              <w:rPr>
                <w:rFonts w:ascii="Garamond" w:hAnsi="Garamond"/>
                <w:lang w:val="en-AU"/>
              </w:rPr>
              <w:t>.</w:t>
            </w:r>
            <w:r w:rsidR="009F2BF9">
              <w:rPr>
                <w:rFonts w:ascii="Garamond" w:hAnsi="Garamond"/>
                <w:lang w:val="en-AU"/>
              </w:rPr>
              <w:t xml:space="preserve"> </w:t>
            </w:r>
          </w:p>
          <w:p w:rsidR="001E7894" w:rsidRPr="00095064" w:rsidRDefault="0098457B" w:rsidP="00E2164F">
            <w:pPr>
              <w:rPr>
                <w:rFonts w:ascii="Garamond" w:hAnsi="Garamond"/>
                <w:lang w:val="en-AU"/>
              </w:rPr>
            </w:pPr>
            <w:r>
              <w:rPr>
                <w:rFonts w:ascii="Garamond" w:hAnsi="Garamond"/>
                <w:lang w:val="en-AU"/>
              </w:rPr>
              <w:t xml:space="preserve">In their study, the authors found that more than </w:t>
            </w:r>
            <w:r w:rsidRPr="0098457B">
              <w:rPr>
                <w:rFonts w:ascii="Garamond" w:hAnsi="Garamond"/>
                <w:lang w:val="en-AU"/>
              </w:rPr>
              <w:t>60% of patients admitted to hospital as an emergency have one or more long-term</w:t>
            </w:r>
            <w:r>
              <w:rPr>
                <w:rFonts w:ascii="Garamond" w:hAnsi="Garamond"/>
                <w:lang w:val="en-AU"/>
              </w:rPr>
              <w:t xml:space="preserve"> </w:t>
            </w:r>
            <w:r w:rsidRPr="0098457B">
              <w:rPr>
                <w:rFonts w:ascii="Garamond" w:hAnsi="Garamond"/>
                <w:lang w:val="en-AU"/>
              </w:rPr>
              <w:t>health conditions such as asthma</w:t>
            </w:r>
            <w:r>
              <w:rPr>
                <w:rFonts w:ascii="Garamond" w:hAnsi="Garamond"/>
                <w:lang w:val="en-AU"/>
              </w:rPr>
              <w:t xml:space="preserve">. Upon analysis they report finding that </w:t>
            </w:r>
            <w:r w:rsidRPr="0098457B">
              <w:rPr>
                <w:rFonts w:ascii="Garamond" w:hAnsi="Garamond"/>
                <w:b/>
                <w:lang w:val="en-AU"/>
              </w:rPr>
              <w:t>patients</w:t>
            </w:r>
            <w:r w:rsidRPr="0098457B">
              <w:rPr>
                <w:rFonts w:ascii="Garamond" w:hAnsi="Garamond"/>
                <w:lang w:val="en-AU"/>
              </w:rPr>
              <w:t xml:space="preserve"> who were </w:t>
            </w:r>
            <w:r w:rsidRPr="0098457B">
              <w:rPr>
                <w:rFonts w:ascii="Garamond" w:hAnsi="Garamond"/>
                <w:b/>
                <w:lang w:val="en-AU"/>
              </w:rPr>
              <w:t>most able</w:t>
            </w:r>
            <w:r w:rsidRPr="0098457B">
              <w:rPr>
                <w:rFonts w:ascii="Garamond" w:hAnsi="Garamond"/>
                <w:lang w:val="en-AU"/>
              </w:rPr>
              <w:t xml:space="preserve"> to manage their health conditions had</w:t>
            </w:r>
            <w:r>
              <w:rPr>
                <w:rFonts w:ascii="Garamond" w:hAnsi="Garamond"/>
                <w:lang w:val="en-AU"/>
              </w:rPr>
              <w:t xml:space="preserve"> </w:t>
            </w:r>
            <w:r w:rsidR="00FF513B" w:rsidRPr="00FF513B">
              <w:rPr>
                <w:rFonts w:ascii="Garamond" w:hAnsi="Garamond"/>
                <w:b/>
                <w:lang w:val="en-AU"/>
              </w:rPr>
              <w:t>32% fewer attendances at Accident &amp; Emergency</w:t>
            </w:r>
            <w:r w:rsidR="00FF513B">
              <w:rPr>
                <w:rFonts w:ascii="Garamond" w:hAnsi="Garamond"/>
                <w:lang w:val="en-AU"/>
              </w:rPr>
              <w:t xml:space="preserve"> and </w:t>
            </w:r>
            <w:r w:rsidRPr="0098457B">
              <w:rPr>
                <w:rFonts w:ascii="Garamond" w:hAnsi="Garamond"/>
                <w:b/>
                <w:lang w:val="en-AU"/>
              </w:rPr>
              <w:t>38% fewer emergency admissions</w:t>
            </w:r>
            <w:r w:rsidRPr="0098457B">
              <w:rPr>
                <w:rFonts w:ascii="Garamond" w:hAnsi="Garamond"/>
                <w:lang w:val="en-AU"/>
              </w:rPr>
              <w:t xml:space="preserve"> than the patients who were least able to. They also had 18% fewer general practice</w:t>
            </w:r>
            <w:r w:rsidR="00FF513B">
              <w:rPr>
                <w:rFonts w:ascii="Garamond" w:hAnsi="Garamond"/>
                <w:lang w:val="en-AU"/>
              </w:rPr>
              <w:t xml:space="preserve"> </w:t>
            </w:r>
            <w:r w:rsidRPr="0098457B">
              <w:rPr>
                <w:rFonts w:ascii="Garamond" w:hAnsi="Garamond"/>
                <w:lang w:val="en-AU"/>
              </w:rPr>
              <w:t>appointments.</w:t>
            </w:r>
          </w:p>
        </w:tc>
      </w:tr>
    </w:tbl>
    <w:p w:rsidR="004310CA" w:rsidRDefault="004310CA" w:rsidP="004310CA">
      <w:pPr>
        <w:rPr>
          <w:rFonts w:ascii="Garamond" w:hAnsi="Garamond"/>
          <w:lang w:val="en-AU"/>
        </w:rPr>
      </w:pPr>
    </w:p>
    <w:p w:rsidR="0098457B" w:rsidRPr="0098457B" w:rsidRDefault="009D52B3" w:rsidP="009D52B3">
      <w:pPr>
        <w:keepLines/>
        <w:autoSpaceDE w:val="0"/>
        <w:autoSpaceDN w:val="0"/>
        <w:adjustRightInd w:val="0"/>
        <w:rPr>
          <w:rFonts w:ascii="Garamond" w:hAnsi="Garamond"/>
          <w:lang w:val="en-AU"/>
        </w:rPr>
      </w:pPr>
      <w:r w:rsidRPr="006B629B">
        <w:rPr>
          <w:rFonts w:ascii="Garamond" w:hAnsi="Garamond"/>
          <w:i/>
          <w:lang w:val="en-AU"/>
        </w:rPr>
        <w:t>Guideline for the management of hip and knee osteoarthritis</w:t>
      </w:r>
      <w:r w:rsidR="009F2BF9">
        <w:rPr>
          <w:rFonts w:ascii="Garamond" w:hAnsi="Garamond"/>
          <w:i/>
          <w:lang w:val="en-AU"/>
        </w:rPr>
        <w:t xml:space="preserve">. </w:t>
      </w:r>
      <w:r w:rsidR="0098457B" w:rsidRPr="0098457B">
        <w:rPr>
          <w:rFonts w:ascii="Garamond" w:hAnsi="Garamond"/>
          <w:lang w:val="en-AU"/>
        </w:rPr>
        <w:t>2</w:t>
      </w:r>
      <w:r w:rsidR="0098457B" w:rsidRPr="0098457B">
        <w:rPr>
          <w:rFonts w:ascii="Garamond" w:hAnsi="Garamond"/>
          <w:vertAlign w:val="superscript"/>
          <w:lang w:val="en-AU"/>
        </w:rPr>
        <w:t>nd</w:t>
      </w:r>
      <w:r w:rsidR="0098457B" w:rsidRPr="0098457B">
        <w:rPr>
          <w:rFonts w:ascii="Garamond" w:hAnsi="Garamond"/>
          <w:lang w:val="en-AU"/>
        </w:rPr>
        <w:t xml:space="preserve"> edition</w:t>
      </w:r>
    </w:p>
    <w:p w:rsidR="0098457B" w:rsidRDefault="0098457B" w:rsidP="009D52B3">
      <w:pPr>
        <w:keepLines/>
        <w:autoSpaceDE w:val="0"/>
        <w:autoSpaceDN w:val="0"/>
        <w:adjustRightInd w:val="0"/>
        <w:rPr>
          <w:rFonts w:ascii="Garamond" w:hAnsi="Garamond"/>
          <w:lang w:val="en-AU"/>
        </w:rPr>
      </w:pPr>
      <w:r w:rsidRPr="0098457B">
        <w:rPr>
          <w:rFonts w:ascii="Garamond" w:hAnsi="Garamond"/>
          <w:lang w:val="en-AU"/>
        </w:rPr>
        <w:t>The Royal Australian College of General Practitioners</w:t>
      </w:r>
    </w:p>
    <w:p w:rsidR="009D52B3" w:rsidRDefault="0098457B" w:rsidP="009D52B3">
      <w:pPr>
        <w:keepLines/>
        <w:autoSpaceDE w:val="0"/>
        <w:autoSpaceDN w:val="0"/>
        <w:adjustRightInd w:val="0"/>
        <w:rPr>
          <w:rFonts w:ascii="Garamond" w:hAnsi="Garamond"/>
          <w:lang w:val="en-AU"/>
        </w:rPr>
      </w:pPr>
      <w:r w:rsidRPr="0098457B">
        <w:rPr>
          <w:rFonts w:ascii="Garamond" w:hAnsi="Garamond"/>
          <w:lang w:val="en-AU"/>
        </w:rPr>
        <w:t>East Melbourne: RACGP; 2018.</w:t>
      </w:r>
    </w:p>
    <w:p w:rsidR="009F2BF9" w:rsidRDefault="009F2BF9" w:rsidP="009D52B3">
      <w:pPr>
        <w:keepLines/>
        <w:autoSpaceDE w:val="0"/>
        <w:autoSpaceDN w:val="0"/>
        <w:adjustRightInd w:val="0"/>
        <w:rPr>
          <w:rFonts w:ascii="Garamond" w:hAnsi="Garamond"/>
          <w:lang w:val="en-AU"/>
        </w:rPr>
      </w:pPr>
    </w:p>
    <w:p w:rsidR="009F2BF9" w:rsidRPr="009F2BF9" w:rsidRDefault="009F2BF9" w:rsidP="009F2BF9">
      <w:pPr>
        <w:keepLines/>
        <w:autoSpaceDE w:val="0"/>
        <w:autoSpaceDN w:val="0"/>
        <w:adjustRightInd w:val="0"/>
        <w:rPr>
          <w:rFonts w:ascii="Garamond" w:hAnsi="Garamond"/>
          <w:i/>
          <w:lang w:val="en-AU"/>
        </w:rPr>
      </w:pPr>
      <w:r w:rsidRPr="009F2BF9">
        <w:rPr>
          <w:rFonts w:ascii="Garamond" w:hAnsi="Garamond"/>
          <w:i/>
          <w:lang w:val="en-AU"/>
        </w:rPr>
        <w:t>When patients choose wisely: empowering patients with evidence to resist low-value care</w:t>
      </w:r>
    </w:p>
    <w:p w:rsidR="009F2BF9" w:rsidRDefault="009F2BF9" w:rsidP="009D52B3">
      <w:pPr>
        <w:keepLines/>
        <w:autoSpaceDE w:val="0"/>
        <w:autoSpaceDN w:val="0"/>
        <w:adjustRightInd w:val="0"/>
        <w:rPr>
          <w:rFonts w:ascii="Garamond" w:hAnsi="Garamond"/>
          <w:lang w:val="en-AU"/>
        </w:rPr>
      </w:pPr>
      <w:r w:rsidRPr="009F2BF9">
        <w:rPr>
          <w:rFonts w:ascii="Garamond" w:hAnsi="Garamond"/>
          <w:lang w:val="en-AU"/>
        </w:rPr>
        <w:t>Synnot A, Synnot D</w:t>
      </w:r>
    </w:p>
    <w:p w:rsidR="009F2BF9" w:rsidRDefault="009F2BF9" w:rsidP="009D52B3">
      <w:pPr>
        <w:keepLines/>
        <w:autoSpaceDE w:val="0"/>
        <w:autoSpaceDN w:val="0"/>
        <w:adjustRightInd w:val="0"/>
        <w:rPr>
          <w:rFonts w:ascii="Garamond" w:hAnsi="Garamond"/>
          <w:lang w:val="en-AU"/>
        </w:rPr>
      </w:pPr>
      <w:r w:rsidRPr="009F2BF9">
        <w:rPr>
          <w:rFonts w:ascii="Garamond" w:hAnsi="Garamond"/>
          <w:lang w:val="en-AU"/>
        </w:rPr>
        <w:t>BMJ Opinion. 2018.</w:t>
      </w:r>
    </w:p>
    <w:tbl>
      <w:tblPr>
        <w:tblStyle w:val="TableGrid"/>
        <w:tblW w:w="0" w:type="auto"/>
        <w:tblInd w:w="288" w:type="dxa"/>
        <w:tblLayout w:type="fixed"/>
        <w:tblLook w:val="01E0" w:firstRow="1" w:lastRow="1" w:firstColumn="1" w:lastColumn="1" w:noHBand="0" w:noVBand="0"/>
      </w:tblPr>
      <w:tblGrid>
        <w:gridCol w:w="1080"/>
        <w:gridCol w:w="8280"/>
      </w:tblGrid>
      <w:tr w:rsidR="009D52B3" w:rsidRPr="000170DA" w:rsidTr="008403C9">
        <w:tc>
          <w:tcPr>
            <w:tcW w:w="1080" w:type="dxa"/>
            <w:tcBorders>
              <w:top w:val="single" w:sz="4" w:space="0" w:color="auto"/>
              <w:left w:val="single" w:sz="4" w:space="0" w:color="auto"/>
              <w:bottom w:val="single" w:sz="4" w:space="0" w:color="auto"/>
              <w:right w:val="single" w:sz="4" w:space="0" w:color="auto"/>
            </w:tcBorders>
            <w:vAlign w:val="center"/>
          </w:tcPr>
          <w:p w:rsidR="009D52B3" w:rsidRPr="000170DA" w:rsidRDefault="009D52B3" w:rsidP="008403C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D52B3" w:rsidRDefault="009F2BF9" w:rsidP="00743766">
            <w:pPr>
              <w:rPr>
                <w:rStyle w:val="Hyperlink"/>
                <w:rFonts w:ascii="Garamond" w:hAnsi="Garamond"/>
                <w:lang w:val="en-AU"/>
              </w:rPr>
            </w:pPr>
            <w:r>
              <w:t xml:space="preserve">RACGP </w:t>
            </w:r>
            <w:hyperlink r:id="rId18" w:history="1">
              <w:r w:rsidR="009D52B3" w:rsidRPr="005A31E6">
                <w:rPr>
                  <w:rStyle w:val="Hyperlink"/>
                  <w:rFonts w:ascii="Garamond" w:hAnsi="Garamond"/>
                  <w:lang w:val="en-AU"/>
                </w:rPr>
                <w:t>https://www.racgp.org.au/your-practice/guidelines/musculoskeletal/hipandkneeosteoarthritis/</w:t>
              </w:r>
            </w:hyperlink>
          </w:p>
          <w:p w:rsidR="009F2BF9" w:rsidRPr="000170DA" w:rsidRDefault="009F2BF9" w:rsidP="00743766">
            <w:pPr>
              <w:rPr>
                <w:rStyle w:val="Hyperlink"/>
                <w:rFonts w:ascii="Garamond" w:hAnsi="Garamond"/>
                <w:color w:val="auto"/>
                <w:u w:val="none"/>
                <w:lang w:val="en-AU"/>
              </w:rPr>
            </w:pPr>
            <w:r>
              <w:rPr>
                <w:rStyle w:val="Hyperlink"/>
                <w:rFonts w:ascii="Garamond" w:hAnsi="Garamond"/>
                <w:color w:val="auto"/>
                <w:u w:val="none"/>
                <w:lang w:val="en-AU"/>
              </w:rPr>
              <w:t xml:space="preserve">Synnot and Synnot </w:t>
            </w:r>
            <w:hyperlink r:id="rId19" w:history="1">
              <w:r w:rsidRPr="00FA2686">
                <w:rPr>
                  <w:rStyle w:val="Hyperlink"/>
                  <w:rFonts w:ascii="Garamond" w:hAnsi="Garamond"/>
                  <w:lang w:val="en-AU"/>
                </w:rPr>
                <w:t>https://blogs.bmj.com/bmj/2018/08/29/when-patients-choose-wisely-empowering-patients-with-evidence-to-resist-low-value-care/</w:t>
              </w:r>
            </w:hyperlink>
            <w:r>
              <w:rPr>
                <w:rStyle w:val="Hyperlink"/>
                <w:rFonts w:ascii="Garamond" w:hAnsi="Garamond"/>
                <w:color w:val="auto"/>
                <w:u w:val="none"/>
                <w:lang w:val="en-AU"/>
              </w:rPr>
              <w:t xml:space="preserve"> </w:t>
            </w:r>
          </w:p>
        </w:tc>
      </w:tr>
      <w:tr w:rsidR="009D52B3" w:rsidRPr="000170DA" w:rsidTr="008403C9">
        <w:tc>
          <w:tcPr>
            <w:tcW w:w="1080" w:type="dxa"/>
            <w:tcBorders>
              <w:top w:val="single" w:sz="4" w:space="0" w:color="auto"/>
              <w:left w:val="single" w:sz="4" w:space="0" w:color="auto"/>
              <w:bottom w:val="single" w:sz="4" w:space="0" w:color="auto"/>
              <w:right w:val="single" w:sz="4" w:space="0" w:color="auto"/>
            </w:tcBorders>
            <w:vAlign w:val="center"/>
          </w:tcPr>
          <w:p w:rsidR="009D52B3" w:rsidRPr="000170DA" w:rsidRDefault="009D52B3" w:rsidP="008403C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D52B3" w:rsidRDefault="00743766" w:rsidP="00743766">
            <w:pPr>
              <w:rPr>
                <w:rFonts w:ascii="Garamond" w:hAnsi="Garamond"/>
                <w:lang w:val="en-AU"/>
              </w:rPr>
            </w:pPr>
            <w:r w:rsidRPr="00743766">
              <w:rPr>
                <w:rFonts w:ascii="Garamond" w:hAnsi="Garamond"/>
                <w:lang w:val="en-AU"/>
              </w:rPr>
              <w:t xml:space="preserve">The Royal Australian College of General Practitioners (RACGP) </w:t>
            </w:r>
            <w:r>
              <w:rPr>
                <w:rFonts w:ascii="Garamond" w:hAnsi="Garamond"/>
                <w:lang w:val="en-AU"/>
              </w:rPr>
              <w:t xml:space="preserve">has provided this updated guidance on </w:t>
            </w:r>
            <w:r w:rsidRPr="00743766">
              <w:rPr>
                <w:rFonts w:ascii="Garamond" w:hAnsi="Garamond"/>
                <w:lang w:val="en-AU"/>
              </w:rPr>
              <w:t xml:space="preserve">the non-surgical management of hip and knee osteoarthritis </w:t>
            </w:r>
            <w:r>
              <w:rPr>
                <w:rFonts w:ascii="Garamond" w:hAnsi="Garamond"/>
                <w:lang w:val="en-AU"/>
              </w:rPr>
              <w:t xml:space="preserve">(OA) </w:t>
            </w:r>
            <w:r w:rsidRPr="00743766">
              <w:rPr>
                <w:rFonts w:ascii="Garamond" w:hAnsi="Garamond"/>
                <w:lang w:val="en-AU"/>
              </w:rPr>
              <w:t>in 2009. The objective of this new guideline is to present the best available, current scientific evidence for OA interventions, covering all interventions other than joint replacement for the hip and knee.</w:t>
            </w:r>
            <w:r>
              <w:rPr>
                <w:rFonts w:ascii="Garamond" w:hAnsi="Garamond"/>
                <w:lang w:val="en-AU"/>
              </w:rPr>
              <w:t xml:space="preserve"> As has been quite widely reported, there are many complementary medicines and other treatments, including </w:t>
            </w:r>
            <w:r w:rsidRPr="00743766">
              <w:rPr>
                <w:rFonts w:ascii="Garamond" w:hAnsi="Garamond"/>
                <w:lang w:val="en-AU"/>
              </w:rPr>
              <w:t>vitamin D</w:t>
            </w:r>
            <w:r>
              <w:rPr>
                <w:rFonts w:ascii="Garamond" w:hAnsi="Garamond"/>
                <w:lang w:val="en-AU"/>
              </w:rPr>
              <w:t xml:space="preserve"> and</w:t>
            </w:r>
            <w:r w:rsidRPr="00743766">
              <w:rPr>
                <w:rFonts w:ascii="Garamond" w:hAnsi="Garamond"/>
                <w:lang w:val="en-AU"/>
              </w:rPr>
              <w:t xml:space="preserve"> glucosamine</w:t>
            </w:r>
            <w:r>
              <w:rPr>
                <w:rFonts w:ascii="Garamond" w:hAnsi="Garamond"/>
                <w:lang w:val="en-AU"/>
              </w:rPr>
              <w:t>, that have been sold to consumers as potential treatments. However, these, along with inappropriate surgery</w:t>
            </w:r>
            <w:r w:rsidR="00504D5A">
              <w:rPr>
                <w:rFonts w:ascii="Garamond" w:hAnsi="Garamond"/>
                <w:lang w:val="en-AU"/>
              </w:rPr>
              <w:t xml:space="preserve">, particularly </w:t>
            </w:r>
            <w:r w:rsidR="00504D5A" w:rsidRPr="00504D5A">
              <w:rPr>
                <w:rFonts w:ascii="Garamond" w:hAnsi="Garamond"/>
                <w:lang w:val="en-AU"/>
              </w:rPr>
              <w:t>arthroscopy</w:t>
            </w:r>
            <w:r w:rsidR="00504D5A">
              <w:rPr>
                <w:rFonts w:ascii="Garamond" w:hAnsi="Garamond"/>
                <w:lang w:val="en-AU"/>
              </w:rPr>
              <w:t xml:space="preserve">, have shown little benefit. </w:t>
            </w:r>
          </w:p>
          <w:p w:rsidR="009D52B3" w:rsidRPr="00095064" w:rsidRDefault="009D52B3" w:rsidP="009F2BF9">
            <w:pPr>
              <w:rPr>
                <w:rFonts w:ascii="Garamond" w:hAnsi="Garamond"/>
                <w:lang w:val="en-AU"/>
              </w:rPr>
            </w:pPr>
            <w:r>
              <w:rPr>
                <w:rFonts w:ascii="Garamond" w:hAnsi="Garamond"/>
                <w:lang w:val="en-AU"/>
              </w:rPr>
              <w:t xml:space="preserve">Synnot and Synnot </w:t>
            </w:r>
            <w:r w:rsidR="009F2BF9">
              <w:rPr>
                <w:rFonts w:ascii="Garamond" w:hAnsi="Garamond"/>
                <w:lang w:val="en-AU"/>
              </w:rPr>
              <w:t xml:space="preserve">have written a piece for </w:t>
            </w:r>
            <w:r w:rsidRPr="009F2BF9">
              <w:rPr>
                <w:rFonts w:ascii="Garamond" w:hAnsi="Garamond"/>
                <w:i/>
                <w:lang w:val="en-AU"/>
              </w:rPr>
              <w:t>BMJ Opinion</w:t>
            </w:r>
            <w:r>
              <w:rPr>
                <w:rFonts w:ascii="Garamond" w:hAnsi="Garamond"/>
                <w:lang w:val="en-AU"/>
              </w:rPr>
              <w:t xml:space="preserve"> in which they describe the senior Synnot’s </w:t>
            </w:r>
            <w:r w:rsidRPr="006B629B">
              <w:rPr>
                <w:rFonts w:ascii="Garamond" w:hAnsi="Garamond"/>
                <w:lang w:val="en-AU"/>
              </w:rPr>
              <w:t xml:space="preserve">experience of using evidence </w:t>
            </w:r>
            <w:r>
              <w:rPr>
                <w:rFonts w:ascii="Garamond" w:hAnsi="Garamond"/>
                <w:lang w:val="en-AU"/>
              </w:rPr>
              <w:t xml:space="preserve">in a shared decision making process </w:t>
            </w:r>
            <w:r w:rsidRPr="006B629B">
              <w:rPr>
                <w:rFonts w:ascii="Garamond" w:hAnsi="Garamond"/>
                <w:lang w:val="en-AU"/>
              </w:rPr>
              <w:t xml:space="preserve">to decide </w:t>
            </w:r>
            <w:r>
              <w:rPr>
                <w:rFonts w:ascii="Garamond" w:hAnsi="Garamond"/>
                <w:lang w:val="en-AU"/>
              </w:rPr>
              <w:t xml:space="preserve">whether to undergo </w:t>
            </w:r>
            <w:r w:rsidRPr="006B629B">
              <w:rPr>
                <w:rFonts w:ascii="Garamond" w:hAnsi="Garamond"/>
                <w:lang w:val="en-AU"/>
              </w:rPr>
              <w:t>knee arthroscopy</w:t>
            </w:r>
            <w:r w:rsidR="009F2BF9">
              <w:rPr>
                <w:rFonts w:ascii="Garamond" w:hAnsi="Garamond"/>
                <w:lang w:val="en-AU"/>
              </w:rPr>
              <w:t xml:space="preserve"> for a torn knee meniscus. However, the experience is not altogether salutary as they found not all discussions were well-informed by the evidence. As they conclude “</w:t>
            </w:r>
            <w:r w:rsidR="009F2BF9" w:rsidRPr="009F2BF9">
              <w:rPr>
                <w:rFonts w:ascii="Garamond" w:hAnsi="Garamond"/>
                <w:lang w:val="en-AU"/>
              </w:rPr>
              <w:t xml:space="preserve">It shouldn’t be serendipity that allows patients to make such </w:t>
            </w:r>
            <w:r w:rsidR="009F2BF9">
              <w:rPr>
                <w:rFonts w:ascii="Garamond" w:hAnsi="Garamond"/>
                <w:lang w:val="en-AU"/>
              </w:rPr>
              <w:t xml:space="preserve">[informed] </w:t>
            </w:r>
            <w:r w:rsidR="009F2BF9" w:rsidRPr="009F2BF9">
              <w:rPr>
                <w:rFonts w:ascii="Garamond" w:hAnsi="Garamond"/>
                <w:lang w:val="en-AU"/>
              </w:rPr>
              <w:t>decisions</w:t>
            </w:r>
            <w:r w:rsidR="009F2BF9">
              <w:rPr>
                <w:rFonts w:ascii="Garamond" w:hAnsi="Garamond"/>
                <w:lang w:val="en-AU"/>
              </w:rPr>
              <w:t>”</w:t>
            </w:r>
          </w:p>
        </w:tc>
      </w:tr>
    </w:tbl>
    <w:p w:rsidR="009D52B3" w:rsidRDefault="009D52B3" w:rsidP="009D52B3">
      <w:pPr>
        <w:keepNext/>
        <w:keepLines/>
        <w:autoSpaceDE w:val="0"/>
        <w:autoSpaceDN w:val="0"/>
        <w:adjustRightInd w:val="0"/>
        <w:rPr>
          <w:rFonts w:ascii="Garamond" w:hAnsi="Garamond"/>
          <w:lang w:val="en-AU"/>
        </w:rPr>
      </w:pPr>
      <w:r>
        <w:rPr>
          <w:rFonts w:ascii="Garamond" w:hAnsi="Garamond"/>
          <w:lang w:val="en-AU"/>
        </w:rPr>
        <w:lastRenderedPageBreak/>
        <w:t xml:space="preserve">For information about the Commission’s clinical care standards, including the </w:t>
      </w:r>
      <w:r w:rsidRPr="006B629B">
        <w:rPr>
          <w:rFonts w:ascii="Garamond" w:hAnsi="Garamond"/>
          <w:i/>
          <w:lang w:val="en-AU"/>
        </w:rPr>
        <w:t>Osteoarthritis of the Knee Clinical Care Standard</w:t>
      </w:r>
      <w:r>
        <w:rPr>
          <w:rFonts w:ascii="Garamond" w:hAnsi="Garamond"/>
          <w:lang w:val="en-AU"/>
        </w:rPr>
        <w:t xml:space="preserve">, see </w:t>
      </w:r>
      <w:hyperlink r:id="rId20" w:history="1">
        <w:r w:rsidRPr="005A31E6">
          <w:rPr>
            <w:rStyle w:val="Hyperlink"/>
            <w:rFonts w:ascii="Garamond" w:hAnsi="Garamond"/>
            <w:lang w:val="en-AU"/>
          </w:rPr>
          <w:t>https://www.safetyandquality.gov.au/our-work/clinical-care-standards/</w:t>
        </w:r>
      </w:hyperlink>
    </w:p>
    <w:p w:rsidR="009D52B3" w:rsidRDefault="009D52B3" w:rsidP="009D52B3">
      <w:pPr>
        <w:keepNext/>
        <w:keepLines/>
        <w:autoSpaceDE w:val="0"/>
        <w:autoSpaceDN w:val="0"/>
        <w:adjustRightInd w:val="0"/>
        <w:rPr>
          <w:rFonts w:ascii="Garamond" w:hAnsi="Garamond"/>
          <w:lang w:val="en-AU"/>
        </w:rPr>
      </w:pPr>
    </w:p>
    <w:p w:rsidR="009D52B3" w:rsidRDefault="009D52B3" w:rsidP="009D52B3">
      <w:pPr>
        <w:keepNext/>
        <w:keepLines/>
        <w:autoSpaceDE w:val="0"/>
        <w:autoSpaceDN w:val="0"/>
        <w:adjustRightInd w:val="0"/>
        <w:rPr>
          <w:rFonts w:ascii="Garamond" w:hAnsi="Garamond"/>
          <w:lang w:val="en-AU"/>
        </w:rPr>
      </w:pPr>
      <w:r>
        <w:rPr>
          <w:rFonts w:ascii="Garamond" w:hAnsi="Garamond"/>
          <w:lang w:val="en-AU"/>
        </w:rPr>
        <w:t xml:space="preserve">For information about the Commission’s work on shared decision making, see </w:t>
      </w:r>
      <w:hyperlink r:id="rId21" w:history="1">
        <w:r w:rsidRPr="005A31E6">
          <w:rPr>
            <w:rStyle w:val="Hyperlink"/>
            <w:rFonts w:ascii="Garamond" w:hAnsi="Garamond"/>
            <w:lang w:val="en-AU"/>
          </w:rPr>
          <w:t>https://www.safetyandquality.gov.au/our-work/shared-decision-making/</w:t>
        </w:r>
      </w:hyperlink>
    </w:p>
    <w:p w:rsidR="009D52B3" w:rsidRDefault="009D52B3" w:rsidP="009D52B3">
      <w:pPr>
        <w:rPr>
          <w:rFonts w:ascii="Garamond" w:hAnsi="Garamond"/>
          <w:b/>
          <w:lang w:val="en-AU"/>
        </w:rPr>
      </w:pPr>
    </w:p>
    <w:p w:rsidR="009D52B3" w:rsidRDefault="009D52B3" w:rsidP="009D52B3">
      <w:pPr>
        <w:rPr>
          <w:rFonts w:ascii="Garamond" w:hAnsi="Garamond"/>
          <w:i/>
          <w:lang w:val="en-AU"/>
        </w:rPr>
      </w:pPr>
      <w:r w:rsidRPr="006C2ED9">
        <w:rPr>
          <w:rFonts w:ascii="Garamond" w:hAnsi="Garamond"/>
          <w:i/>
          <w:lang w:val="en-AU"/>
        </w:rPr>
        <w:t>Healthcare in Focus 2017: How does NSW compare?</w:t>
      </w:r>
    </w:p>
    <w:p w:rsidR="00FD3E07" w:rsidRDefault="00FD3E07" w:rsidP="009D52B3">
      <w:pPr>
        <w:rPr>
          <w:rFonts w:ascii="Garamond" w:hAnsi="Garamond"/>
          <w:lang w:val="en-AU"/>
        </w:rPr>
      </w:pPr>
      <w:r w:rsidRPr="00FD3E07">
        <w:rPr>
          <w:rFonts w:ascii="Garamond" w:hAnsi="Garamond"/>
          <w:lang w:val="en-AU"/>
        </w:rPr>
        <w:t>Bureau of Health Information</w:t>
      </w:r>
    </w:p>
    <w:p w:rsidR="009D52B3" w:rsidRPr="00FD3E07" w:rsidRDefault="00FD3E07" w:rsidP="009D52B3">
      <w:pPr>
        <w:rPr>
          <w:rFonts w:ascii="Garamond" w:hAnsi="Garamond"/>
          <w:lang w:val="en-AU"/>
        </w:rPr>
      </w:pPr>
      <w:r w:rsidRPr="00FD3E07">
        <w:rPr>
          <w:rFonts w:ascii="Garamond" w:hAnsi="Garamond"/>
          <w:lang w:val="en-AU"/>
        </w:rPr>
        <w:t>Sydney: BHI; 2018. p. 84.</w:t>
      </w:r>
    </w:p>
    <w:tbl>
      <w:tblPr>
        <w:tblStyle w:val="TableGrid"/>
        <w:tblW w:w="0" w:type="auto"/>
        <w:tblInd w:w="288" w:type="dxa"/>
        <w:tblLayout w:type="fixed"/>
        <w:tblLook w:val="01E0" w:firstRow="1" w:lastRow="1" w:firstColumn="1" w:lastColumn="1" w:noHBand="0" w:noVBand="0"/>
      </w:tblPr>
      <w:tblGrid>
        <w:gridCol w:w="1080"/>
        <w:gridCol w:w="8280"/>
      </w:tblGrid>
      <w:tr w:rsidR="009D52B3" w:rsidRPr="000170DA" w:rsidTr="008403C9">
        <w:tc>
          <w:tcPr>
            <w:tcW w:w="1080" w:type="dxa"/>
            <w:tcBorders>
              <w:top w:val="single" w:sz="4" w:space="0" w:color="auto"/>
              <w:left w:val="single" w:sz="4" w:space="0" w:color="auto"/>
              <w:bottom w:val="single" w:sz="4" w:space="0" w:color="auto"/>
              <w:right w:val="single" w:sz="4" w:space="0" w:color="auto"/>
            </w:tcBorders>
            <w:vAlign w:val="center"/>
          </w:tcPr>
          <w:p w:rsidR="009D52B3" w:rsidRPr="000170DA" w:rsidRDefault="009D52B3" w:rsidP="008403C9">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D52B3" w:rsidRPr="000170DA" w:rsidRDefault="00E2164F" w:rsidP="008403C9">
            <w:pPr>
              <w:rPr>
                <w:rStyle w:val="Hyperlink"/>
                <w:rFonts w:ascii="Garamond" w:hAnsi="Garamond"/>
                <w:color w:val="auto"/>
                <w:u w:val="none"/>
                <w:lang w:val="en-AU"/>
              </w:rPr>
            </w:pPr>
            <w:hyperlink r:id="rId22" w:history="1">
              <w:r w:rsidR="009F2BF9" w:rsidRPr="00FA2686">
                <w:rPr>
                  <w:rStyle w:val="Hyperlink"/>
                  <w:rFonts w:ascii="Garamond" w:hAnsi="Garamond"/>
                  <w:lang w:val="en-AU"/>
                </w:rPr>
                <w:t>http://bhi.nsw.gov.au/BHI_reports/healthcare_in_focus/2017</w:t>
              </w:r>
            </w:hyperlink>
          </w:p>
        </w:tc>
      </w:tr>
      <w:tr w:rsidR="009D52B3" w:rsidRPr="000170DA" w:rsidTr="008403C9">
        <w:tc>
          <w:tcPr>
            <w:tcW w:w="1080" w:type="dxa"/>
            <w:tcBorders>
              <w:top w:val="single" w:sz="4" w:space="0" w:color="auto"/>
              <w:left w:val="single" w:sz="4" w:space="0" w:color="auto"/>
              <w:bottom w:val="single" w:sz="4" w:space="0" w:color="auto"/>
              <w:right w:val="single" w:sz="4" w:space="0" w:color="auto"/>
            </w:tcBorders>
            <w:vAlign w:val="center"/>
          </w:tcPr>
          <w:p w:rsidR="009D52B3" w:rsidRPr="000170DA" w:rsidRDefault="009D52B3" w:rsidP="008403C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D52B3" w:rsidRPr="000365E9" w:rsidRDefault="009F2BF9" w:rsidP="00FD3E07">
            <w:pPr>
              <w:rPr>
                <w:rFonts w:ascii="Garamond" w:hAnsi="Garamond"/>
                <w:lang w:val="en-AU"/>
              </w:rPr>
            </w:pPr>
            <w:r>
              <w:rPr>
                <w:rFonts w:ascii="Garamond" w:hAnsi="Garamond"/>
                <w:lang w:val="en-AU"/>
              </w:rPr>
              <w:t xml:space="preserve">The New South Wales Bureau of Health Information has released its latest review of the </w:t>
            </w:r>
            <w:r w:rsidR="00FD3E07" w:rsidRPr="00FD3E07">
              <w:rPr>
                <w:rFonts w:ascii="Garamond" w:hAnsi="Garamond"/>
                <w:lang w:val="en-AU"/>
              </w:rPr>
              <w:t>healthcare performance in NSW.</w:t>
            </w:r>
            <w:r w:rsidR="00FD3E07">
              <w:rPr>
                <w:rFonts w:ascii="Garamond" w:hAnsi="Garamond"/>
                <w:lang w:val="en-AU"/>
              </w:rPr>
              <w:t xml:space="preserve"> The BHI’s website explains that this edition is </w:t>
            </w:r>
            <w:r w:rsidR="00FD3E07" w:rsidRPr="00FD3E07">
              <w:rPr>
                <w:rFonts w:ascii="Garamond" w:hAnsi="Garamond"/>
                <w:lang w:val="en-AU"/>
              </w:rPr>
              <w:t>structured around a conceptual framework that considers performance in terms of three important dimensions</w:t>
            </w:r>
            <w:r w:rsidR="00FD3E07">
              <w:rPr>
                <w:rFonts w:ascii="Garamond" w:hAnsi="Garamond"/>
                <w:lang w:val="en-AU"/>
              </w:rPr>
              <w:t>:</w:t>
            </w:r>
            <w:r w:rsidR="00FD3E07" w:rsidRPr="00FD3E07">
              <w:rPr>
                <w:rFonts w:ascii="Garamond" w:hAnsi="Garamond"/>
                <w:lang w:val="en-AU"/>
              </w:rPr>
              <w:t xml:space="preserve"> accessibility; appropriateness and effectiveness. This year the report also looks at healthcare for Aboriginal and Torres Strait Islander people across these dimensions.</w:t>
            </w:r>
          </w:p>
        </w:tc>
      </w:tr>
    </w:tbl>
    <w:p w:rsidR="009D52B3" w:rsidRDefault="009D52B3" w:rsidP="009D52B3">
      <w:pPr>
        <w:rPr>
          <w:rFonts w:ascii="Garamond" w:hAnsi="Garamond"/>
          <w:lang w:val="en-AU"/>
        </w:rPr>
      </w:pPr>
    </w:p>
    <w:p w:rsidR="00C3692E" w:rsidRDefault="00C3692E" w:rsidP="00C81CB9">
      <w:pPr>
        <w:keepNext/>
        <w:keepLines/>
        <w:autoSpaceDE w:val="0"/>
        <w:autoSpaceDN w:val="0"/>
        <w:adjustRightInd w:val="0"/>
        <w:rPr>
          <w:rFonts w:ascii="Garamond" w:hAnsi="Garamond"/>
          <w:lang w:val="en-AU"/>
        </w:rPr>
      </w:pPr>
    </w:p>
    <w:p w:rsidR="005F7C5E" w:rsidRDefault="005F7C5E">
      <w:pPr>
        <w:rPr>
          <w:rFonts w:ascii="Garamond" w:hAnsi="Garamond"/>
          <w:b/>
          <w:lang w:val="en-AU"/>
        </w:rPr>
      </w:pPr>
    </w:p>
    <w:p w:rsidR="00282D29" w:rsidRDefault="00282D29" w:rsidP="001624EF">
      <w:pPr>
        <w:keepNext/>
        <w:rPr>
          <w:rFonts w:ascii="Garamond" w:hAnsi="Garamond"/>
          <w:b/>
          <w:lang w:val="en-AU"/>
        </w:rPr>
      </w:pPr>
      <w:r>
        <w:rPr>
          <w:rFonts w:ascii="Garamond" w:hAnsi="Garamond"/>
          <w:b/>
          <w:lang w:val="en-AU"/>
        </w:rPr>
        <w:t>Journal articles</w:t>
      </w:r>
    </w:p>
    <w:p w:rsidR="005F7C5E" w:rsidRDefault="005F7C5E" w:rsidP="005F7C5E">
      <w:pPr>
        <w:keepLines/>
        <w:autoSpaceDE w:val="0"/>
        <w:autoSpaceDN w:val="0"/>
        <w:adjustRightInd w:val="0"/>
        <w:rPr>
          <w:rFonts w:ascii="Garamond" w:hAnsi="Garamond"/>
          <w:lang w:val="en-AU"/>
        </w:rPr>
      </w:pPr>
    </w:p>
    <w:p w:rsidR="00D4629A" w:rsidRPr="005B4829" w:rsidRDefault="005B4829" w:rsidP="00D4629A">
      <w:pPr>
        <w:keepNext/>
        <w:keepLines/>
        <w:autoSpaceDE w:val="0"/>
        <w:autoSpaceDN w:val="0"/>
        <w:adjustRightInd w:val="0"/>
        <w:rPr>
          <w:rFonts w:ascii="Garamond" w:hAnsi="Garamond"/>
          <w:i/>
          <w:lang w:val="en-AU"/>
        </w:rPr>
      </w:pPr>
      <w:r w:rsidRPr="005B4829">
        <w:rPr>
          <w:rFonts w:ascii="Garamond" w:hAnsi="Garamond"/>
          <w:i/>
          <w:lang w:val="en-AU"/>
        </w:rPr>
        <w:t>Anticoagulant medication errors in hospitals and primary care: a cross-sectional study</w:t>
      </w:r>
    </w:p>
    <w:p w:rsidR="005B4829" w:rsidRDefault="005B4829" w:rsidP="00D4629A">
      <w:pPr>
        <w:keepNext/>
        <w:keepLines/>
        <w:autoSpaceDE w:val="0"/>
        <w:autoSpaceDN w:val="0"/>
        <w:adjustRightInd w:val="0"/>
        <w:rPr>
          <w:rFonts w:ascii="Garamond" w:hAnsi="Garamond"/>
          <w:lang w:val="en-AU"/>
        </w:rPr>
      </w:pPr>
      <w:r w:rsidRPr="005B4829">
        <w:rPr>
          <w:rFonts w:ascii="Garamond" w:hAnsi="Garamond"/>
          <w:lang w:val="en-AU"/>
        </w:rPr>
        <w:t>Dreijer AR, Diepstraten J, Bukkems VE, Mol PGM, Leebeek FWG, Kruip MJHA, et al</w:t>
      </w:r>
    </w:p>
    <w:p w:rsidR="005B4829" w:rsidRPr="00E566B0" w:rsidRDefault="005B4829" w:rsidP="00D4629A">
      <w:pPr>
        <w:keepNext/>
        <w:keepLines/>
        <w:autoSpaceDE w:val="0"/>
        <w:autoSpaceDN w:val="0"/>
        <w:adjustRightInd w:val="0"/>
        <w:rPr>
          <w:rFonts w:ascii="Garamond" w:hAnsi="Garamond"/>
          <w:lang w:val="en-AU"/>
        </w:rPr>
      </w:pPr>
      <w:r w:rsidRPr="005B4829">
        <w:rPr>
          <w:rFonts w:ascii="Garamond" w:hAnsi="Garamond"/>
          <w:lang w:val="en-AU"/>
        </w:rPr>
        <w:t>International Journal for Quality in Health Care. 2018</w:t>
      </w:r>
      <w:r>
        <w:rPr>
          <w:rFonts w:ascii="Garamond" w:hAnsi="Garamond"/>
          <w:lang w:val="en-AU"/>
        </w:rPr>
        <w:t xml:space="preserve"> [epub]</w:t>
      </w:r>
      <w:r w:rsidRPr="005B4829">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0C0FF7"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0C0FF7" w:rsidRPr="000170DA" w:rsidRDefault="000C0FF7" w:rsidP="00E5642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C0FF7" w:rsidRPr="000170DA" w:rsidRDefault="00E2164F" w:rsidP="000C0FF7">
            <w:pPr>
              <w:rPr>
                <w:rStyle w:val="Hyperlink"/>
                <w:rFonts w:ascii="Garamond" w:hAnsi="Garamond"/>
                <w:color w:val="auto"/>
                <w:u w:val="none"/>
                <w:lang w:val="en-AU"/>
              </w:rPr>
            </w:pPr>
            <w:hyperlink r:id="rId23" w:history="1">
              <w:r w:rsidR="005B4829" w:rsidRPr="00E13C09">
                <w:rPr>
                  <w:rStyle w:val="Hyperlink"/>
                  <w:rFonts w:ascii="Garamond" w:hAnsi="Garamond"/>
                  <w:lang w:val="en-AU"/>
                </w:rPr>
                <w:t>https://doi.org/10.1093/intqhc/mzy177</w:t>
              </w:r>
            </w:hyperlink>
          </w:p>
        </w:tc>
      </w:tr>
      <w:tr w:rsidR="000C0FF7"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0C0FF7" w:rsidRPr="000170DA" w:rsidRDefault="000C0FF7" w:rsidP="00E5642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B4829" w:rsidRDefault="005B4829" w:rsidP="005B4829">
            <w:pPr>
              <w:rPr>
                <w:rFonts w:ascii="Garamond" w:hAnsi="Garamond"/>
                <w:lang w:val="en-AU"/>
              </w:rPr>
            </w:pPr>
            <w:r>
              <w:rPr>
                <w:rFonts w:ascii="Garamond" w:hAnsi="Garamond"/>
                <w:lang w:val="en-AU"/>
              </w:rPr>
              <w:t>That anticoagulant medications are often associated with errors and adverse events is known. What this study sought to do was understand the prevalence of these errors by a</w:t>
            </w:r>
            <w:r w:rsidRPr="005B4829">
              <w:rPr>
                <w:rFonts w:ascii="Garamond" w:hAnsi="Garamond"/>
                <w:lang w:val="en-AU"/>
              </w:rPr>
              <w:t>ssess</w:t>
            </w:r>
            <w:r>
              <w:rPr>
                <w:rFonts w:ascii="Garamond" w:hAnsi="Garamond"/>
                <w:lang w:val="en-AU"/>
              </w:rPr>
              <w:t>ing</w:t>
            </w:r>
            <w:r w:rsidRPr="005B4829">
              <w:rPr>
                <w:rFonts w:ascii="Garamond" w:hAnsi="Garamond"/>
                <w:lang w:val="en-AU"/>
              </w:rPr>
              <w:t xml:space="preserve"> the proportion of all medication error reports in hospitals and primary care that involved an anticoagulant.</w:t>
            </w:r>
            <w:r>
              <w:rPr>
                <w:rFonts w:ascii="Garamond" w:hAnsi="Garamond"/>
                <w:lang w:val="en-AU"/>
              </w:rPr>
              <w:t xml:space="preserve"> The study used the Dutch </w:t>
            </w:r>
            <w:r w:rsidRPr="005B4829">
              <w:rPr>
                <w:rFonts w:ascii="Garamond" w:hAnsi="Garamond"/>
                <w:lang w:val="en-AU"/>
              </w:rPr>
              <w:t>Central Medication incidents Registration reporting system</w:t>
            </w:r>
            <w:r>
              <w:rPr>
                <w:rFonts w:ascii="Garamond" w:hAnsi="Garamond"/>
                <w:lang w:val="en-AU"/>
              </w:rPr>
              <w:t xml:space="preserve"> and found that b</w:t>
            </w:r>
            <w:r w:rsidRPr="005B4829">
              <w:rPr>
                <w:rFonts w:ascii="Garamond" w:hAnsi="Garamond"/>
                <w:lang w:val="en-AU"/>
              </w:rPr>
              <w:t>etween December 2012 and May 2015, 42 962 medication errors were reported</w:t>
            </w:r>
            <w:r>
              <w:rPr>
                <w:rFonts w:ascii="Garamond" w:hAnsi="Garamond"/>
                <w:lang w:val="en-AU"/>
              </w:rPr>
              <w:t xml:space="preserve"> and that </w:t>
            </w:r>
            <w:r w:rsidRPr="005B4829">
              <w:rPr>
                <w:rFonts w:ascii="Garamond" w:hAnsi="Garamond"/>
                <w:b/>
                <w:lang w:val="en-AU"/>
              </w:rPr>
              <w:t>anticoagulant medication errors occurred in 8.3% of all medication errors</w:t>
            </w:r>
            <w:r>
              <w:rPr>
                <w:rFonts w:ascii="Garamond" w:hAnsi="Garamond"/>
                <w:lang w:val="en-AU"/>
              </w:rPr>
              <w:t xml:space="preserve">. In a random sample of 1,000 </w:t>
            </w:r>
            <w:r w:rsidRPr="005B4829">
              <w:rPr>
                <w:rFonts w:ascii="Garamond" w:hAnsi="Garamond"/>
                <w:lang w:val="en-AU"/>
              </w:rPr>
              <w:t xml:space="preserve">anticoagulant medication error reports </w:t>
            </w:r>
            <w:r>
              <w:rPr>
                <w:rFonts w:ascii="Garamond" w:hAnsi="Garamond"/>
                <w:lang w:val="en-AU"/>
              </w:rPr>
              <w:t xml:space="preserve">it was found that </w:t>
            </w:r>
            <w:r w:rsidRPr="005B4829">
              <w:rPr>
                <w:rFonts w:ascii="Garamond" w:hAnsi="Garamond"/>
                <w:b/>
                <w:lang w:val="en-AU"/>
              </w:rPr>
              <w:t>low-molecular weight heparins</w:t>
            </w:r>
            <w:r w:rsidRPr="005B4829">
              <w:rPr>
                <w:rFonts w:ascii="Garamond" w:hAnsi="Garamond"/>
                <w:lang w:val="en-AU"/>
              </w:rPr>
              <w:t xml:space="preserve"> were most often involved in the error reports (56.2%).</w:t>
            </w:r>
          </w:p>
          <w:p w:rsidR="005B4829" w:rsidRDefault="005B4829" w:rsidP="005B4829">
            <w:pPr>
              <w:rPr>
                <w:rFonts w:ascii="Garamond" w:hAnsi="Garamond"/>
                <w:lang w:val="en-AU"/>
              </w:rPr>
            </w:pPr>
            <w:r>
              <w:rPr>
                <w:rFonts w:ascii="Garamond" w:hAnsi="Garamond"/>
                <w:lang w:val="en-AU"/>
              </w:rPr>
              <w:t>Other results included:</w:t>
            </w:r>
          </w:p>
          <w:p w:rsidR="005B4829" w:rsidRPr="005B4829" w:rsidRDefault="005B4829" w:rsidP="005B4829">
            <w:pPr>
              <w:pStyle w:val="ListParagraph"/>
              <w:numPr>
                <w:ilvl w:val="0"/>
                <w:numId w:val="24"/>
              </w:numPr>
              <w:rPr>
                <w:rFonts w:ascii="Garamond" w:hAnsi="Garamond"/>
                <w:lang w:val="en-AU"/>
              </w:rPr>
            </w:pPr>
            <w:r w:rsidRPr="005B4829">
              <w:rPr>
                <w:rFonts w:ascii="Garamond" w:hAnsi="Garamond"/>
                <w:lang w:val="en-AU"/>
              </w:rPr>
              <w:t xml:space="preserve">Most reports concerned the </w:t>
            </w:r>
            <w:r w:rsidRPr="005B4829">
              <w:rPr>
                <w:rFonts w:ascii="Garamond" w:hAnsi="Garamond"/>
                <w:b/>
                <w:lang w:val="en-AU"/>
              </w:rPr>
              <w:t>prescribing phase</w:t>
            </w:r>
            <w:r w:rsidRPr="005B4829">
              <w:rPr>
                <w:rFonts w:ascii="Garamond" w:hAnsi="Garamond"/>
                <w:lang w:val="en-AU"/>
              </w:rPr>
              <w:t xml:space="preserve"> of the medication process (37.1%)</w:t>
            </w:r>
          </w:p>
          <w:p w:rsidR="005B4829" w:rsidRPr="005B4829" w:rsidRDefault="005B4829" w:rsidP="005B4829">
            <w:pPr>
              <w:pStyle w:val="ListParagraph"/>
              <w:numPr>
                <w:ilvl w:val="0"/>
                <w:numId w:val="24"/>
              </w:numPr>
              <w:rPr>
                <w:rFonts w:ascii="Garamond" w:hAnsi="Garamond"/>
                <w:lang w:val="en-AU"/>
              </w:rPr>
            </w:pPr>
            <w:r w:rsidRPr="005B4829">
              <w:rPr>
                <w:rFonts w:ascii="Garamond" w:hAnsi="Garamond"/>
                <w:b/>
                <w:lang w:val="en-AU"/>
              </w:rPr>
              <w:t>Human factors</w:t>
            </w:r>
            <w:r w:rsidRPr="005B4829">
              <w:rPr>
                <w:rFonts w:ascii="Garamond" w:hAnsi="Garamond"/>
                <w:lang w:val="en-AU"/>
              </w:rPr>
              <w:t xml:space="preserve"> were the leading cause of medication errors mentioned in the reports (53.4%)</w:t>
            </w:r>
          </w:p>
          <w:p w:rsidR="005B4829" w:rsidRPr="005B4829" w:rsidRDefault="005B4829" w:rsidP="005B4829">
            <w:pPr>
              <w:pStyle w:val="ListParagraph"/>
              <w:numPr>
                <w:ilvl w:val="0"/>
                <w:numId w:val="24"/>
              </w:numPr>
              <w:rPr>
                <w:rFonts w:ascii="Garamond" w:hAnsi="Garamond"/>
                <w:lang w:val="en-AU"/>
              </w:rPr>
            </w:pPr>
            <w:r w:rsidRPr="005B4829">
              <w:rPr>
                <w:rFonts w:ascii="Garamond" w:hAnsi="Garamond"/>
                <w:lang w:val="en-AU"/>
              </w:rPr>
              <w:t xml:space="preserve">Publication of a national </w:t>
            </w:r>
            <w:r w:rsidRPr="005B4829">
              <w:rPr>
                <w:rFonts w:ascii="Garamond" w:hAnsi="Garamond"/>
                <w:b/>
                <w:lang w:val="en-AU"/>
              </w:rPr>
              <w:t>guideline</w:t>
            </w:r>
            <w:r w:rsidRPr="005B4829">
              <w:rPr>
                <w:rFonts w:ascii="Garamond" w:hAnsi="Garamond"/>
                <w:lang w:val="en-AU"/>
              </w:rPr>
              <w:t xml:space="preserve"> on integrated antithrombotic care had </w:t>
            </w:r>
            <w:r w:rsidRPr="005B4829">
              <w:rPr>
                <w:rFonts w:ascii="Garamond" w:hAnsi="Garamond"/>
                <w:b/>
                <w:lang w:val="en-AU"/>
              </w:rPr>
              <w:t>no effect</w:t>
            </w:r>
            <w:r w:rsidRPr="005B4829">
              <w:rPr>
                <w:rFonts w:ascii="Garamond" w:hAnsi="Garamond"/>
                <w:lang w:val="en-AU"/>
              </w:rPr>
              <w:t xml:space="preserve"> on the proportion of anticoagulant medication error reports</w:t>
            </w:r>
          </w:p>
          <w:p w:rsidR="005B4829" w:rsidRPr="005B4829" w:rsidRDefault="005B4829" w:rsidP="005B4829">
            <w:pPr>
              <w:pStyle w:val="ListParagraph"/>
              <w:numPr>
                <w:ilvl w:val="0"/>
                <w:numId w:val="24"/>
              </w:numPr>
              <w:rPr>
                <w:rFonts w:ascii="Garamond" w:hAnsi="Garamond"/>
                <w:lang w:val="en-AU"/>
              </w:rPr>
            </w:pPr>
            <w:r w:rsidRPr="005B4829">
              <w:rPr>
                <w:rFonts w:ascii="Garamond" w:hAnsi="Garamond"/>
                <w:b/>
                <w:lang w:val="en-AU"/>
              </w:rPr>
              <w:t>Human factors</w:t>
            </w:r>
            <w:r w:rsidRPr="005B4829">
              <w:rPr>
                <w:rFonts w:ascii="Garamond" w:hAnsi="Garamond"/>
                <w:lang w:val="en-AU"/>
              </w:rPr>
              <w:t xml:space="preserve"> were the leading cause of medication errors before and after publication of the guideline.</w:t>
            </w:r>
          </w:p>
        </w:tc>
      </w:tr>
    </w:tbl>
    <w:p w:rsidR="002B0CCC" w:rsidRDefault="002B0CCC" w:rsidP="002B0CCC">
      <w:pPr>
        <w:rPr>
          <w:rFonts w:ascii="Garamond" w:hAnsi="Garamond"/>
          <w:lang w:val="en-AU"/>
        </w:rPr>
      </w:pPr>
    </w:p>
    <w:p w:rsidR="005B4829" w:rsidRDefault="005B4829" w:rsidP="005B4829">
      <w:pPr>
        <w:keepNext/>
        <w:keepLines/>
        <w:autoSpaceDE w:val="0"/>
        <w:autoSpaceDN w:val="0"/>
        <w:adjustRightInd w:val="0"/>
        <w:rPr>
          <w:rFonts w:ascii="Garamond" w:hAnsi="Garamond"/>
          <w:lang w:val="en-AU"/>
        </w:rPr>
      </w:pPr>
      <w:r>
        <w:rPr>
          <w:rFonts w:ascii="Garamond" w:hAnsi="Garamond"/>
          <w:lang w:val="en-AU"/>
        </w:rPr>
        <w:t xml:space="preserve">For information about the Commission’s work on medication safety, including high risk medicines, see </w:t>
      </w:r>
      <w:hyperlink r:id="rId24" w:history="1">
        <w:r w:rsidRPr="00F25C10">
          <w:rPr>
            <w:rStyle w:val="Hyperlink"/>
            <w:rFonts w:ascii="Garamond" w:hAnsi="Garamond"/>
            <w:lang w:val="en-AU"/>
          </w:rPr>
          <w:t>https://www.safetyandquality.gov.au/our-work/medication-safety/</w:t>
        </w:r>
      </w:hyperlink>
      <w:r>
        <w:rPr>
          <w:rFonts w:ascii="Garamond" w:hAnsi="Garamond"/>
          <w:lang w:val="en-AU"/>
        </w:rPr>
        <w:t xml:space="preserve"> </w:t>
      </w:r>
    </w:p>
    <w:p w:rsidR="005B4829" w:rsidRDefault="005B4829" w:rsidP="002B0CCC">
      <w:pPr>
        <w:rPr>
          <w:rFonts w:ascii="Garamond" w:hAnsi="Garamond"/>
          <w:lang w:val="en-AU"/>
        </w:rPr>
      </w:pPr>
    </w:p>
    <w:p w:rsidR="00D144E9" w:rsidRDefault="00D144E9">
      <w:pPr>
        <w:rPr>
          <w:rFonts w:ascii="Garamond" w:hAnsi="Garamond"/>
          <w:i/>
          <w:lang w:val="en-AU"/>
        </w:rPr>
      </w:pPr>
      <w:r>
        <w:rPr>
          <w:rFonts w:ascii="Garamond" w:hAnsi="Garamond"/>
          <w:i/>
          <w:lang w:val="en-AU"/>
        </w:rPr>
        <w:br w:type="page"/>
      </w:r>
    </w:p>
    <w:p w:rsidR="009B0D77" w:rsidRPr="009B0D77" w:rsidRDefault="009B0D77" w:rsidP="009B0D77">
      <w:pPr>
        <w:keepNext/>
        <w:keepLines/>
        <w:autoSpaceDE w:val="0"/>
        <w:autoSpaceDN w:val="0"/>
        <w:adjustRightInd w:val="0"/>
        <w:rPr>
          <w:rFonts w:ascii="Garamond" w:hAnsi="Garamond"/>
          <w:i/>
          <w:lang w:val="en-AU"/>
        </w:rPr>
      </w:pPr>
      <w:r w:rsidRPr="009B0D77">
        <w:rPr>
          <w:rFonts w:ascii="Garamond" w:hAnsi="Garamond"/>
          <w:i/>
          <w:lang w:val="en-AU"/>
        </w:rPr>
        <w:lastRenderedPageBreak/>
        <w:t>Association of Nurse Engagement and Nurse Staffing on Patient Safety</w:t>
      </w:r>
    </w:p>
    <w:p w:rsidR="009B0D77" w:rsidRDefault="009B0D77" w:rsidP="00C81CB9">
      <w:pPr>
        <w:keepNext/>
        <w:keepLines/>
        <w:autoSpaceDE w:val="0"/>
        <w:autoSpaceDN w:val="0"/>
        <w:adjustRightInd w:val="0"/>
        <w:rPr>
          <w:rFonts w:ascii="Garamond" w:hAnsi="Garamond"/>
          <w:lang w:val="en-AU"/>
        </w:rPr>
      </w:pPr>
      <w:r w:rsidRPr="009B0D77">
        <w:rPr>
          <w:rFonts w:ascii="Garamond" w:hAnsi="Garamond"/>
          <w:lang w:val="en-AU"/>
        </w:rPr>
        <w:t>Brooks Carthon JM, Hatfield L, Plover C, Dierkes A, Davis L, Hedgeland T, et al</w:t>
      </w:r>
    </w:p>
    <w:p w:rsidR="00C81CB9" w:rsidRPr="00E566B0" w:rsidRDefault="009B0D77" w:rsidP="00C81CB9">
      <w:pPr>
        <w:keepNext/>
        <w:keepLines/>
        <w:autoSpaceDE w:val="0"/>
        <w:autoSpaceDN w:val="0"/>
        <w:adjustRightInd w:val="0"/>
        <w:rPr>
          <w:rFonts w:ascii="Garamond" w:hAnsi="Garamond"/>
          <w:lang w:val="en-AU"/>
        </w:rPr>
      </w:pPr>
      <w:r w:rsidRPr="009B0D77">
        <w:rPr>
          <w:rFonts w:ascii="Garamond" w:hAnsi="Garamond"/>
          <w:lang w:val="en-AU"/>
        </w:rPr>
        <w:t>Journal of Nursing Care Quality. 2018.</w:t>
      </w:r>
    </w:p>
    <w:tbl>
      <w:tblPr>
        <w:tblStyle w:val="TableGrid"/>
        <w:tblW w:w="0" w:type="auto"/>
        <w:tblInd w:w="288" w:type="dxa"/>
        <w:tblLayout w:type="fixed"/>
        <w:tblLook w:val="01E0" w:firstRow="1" w:lastRow="1" w:firstColumn="1" w:lastColumn="1" w:noHBand="0" w:noVBand="0"/>
      </w:tblPr>
      <w:tblGrid>
        <w:gridCol w:w="1080"/>
        <w:gridCol w:w="8280"/>
      </w:tblGrid>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Pr="000170DA" w:rsidRDefault="00E2164F" w:rsidP="00AB3F5A">
            <w:pPr>
              <w:rPr>
                <w:rStyle w:val="Hyperlink"/>
                <w:rFonts w:ascii="Garamond" w:hAnsi="Garamond"/>
                <w:color w:val="auto"/>
                <w:u w:val="none"/>
                <w:lang w:val="en-AU"/>
              </w:rPr>
            </w:pPr>
            <w:hyperlink r:id="rId25" w:history="1">
              <w:r w:rsidR="009B0D77" w:rsidRPr="00FA2686">
                <w:rPr>
                  <w:rStyle w:val="Hyperlink"/>
                  <w:rFonts w:ascii="Garamond" w:hAnsi="Garamond"/>
                  <w:lang w:val="en-AU"/>
                </w:rPr>
                <w:t>https://doi.org/10.1097/NCQ.0000000000000334</w:t>
              </w:r>
            </w:hyperlink>
          </w:p>
        </w:tc>
      </w:tr>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Default="009B0D77" w:rsidP="009B0D77">
            <w:pPr>
              <w:rPr>
                <w:rFonts w:ascii="Garamond" w:hAnsi="Garamond"/>
                <w:lang w:val="en-AU"/>
              </w:rPr>
            </w:pPr>
            <w:r>
              <w:rPr>
                <w:rFonts w:ascii="Garamond" w:hAnsi="Garamond"/>
                <w:lang w:val="en-AU"/>
              </w:rPr>
              <w:t xml:space="preserve">Recent addition to the literature on nursing and its contribution to patient safety. Such literature has often looked at the relationship between staff levels and quality. This study sought to examine views on the </w:t>
            </w:r>
            <w:r w:rsidRPr="009B0D77">
              <w:rPr>
                <w:rFonts w:ascii="Garamond" w:hAnsi="Garamond"/>
                <w:lang w:val="en-AU"/>
              </w:rPr>
              <w:t>relationship between the level of engagement, staffing, and assessment</w:t>
            </w:r>
            <w:r>
              <w:rPr>
                <w:rFonts w:ascii="Garamond" w:hAnsi="Garamond"/>
                <w:lang w:val="en-AU"/>
              </w:rPr>
              <w:t>s of patient safety among nurses</w:t>
            </w:r>
            <w:r w:rsidRPr="009B0D77">
              <w:rPr>
                <w:rFonts w:ascii="Garamond" w:hAnsi="Garamond"/>
                <w:lang w:val="en-AU"/>
              </w:rPr>
              <w:t>.</w:t>
            </w:r>
            <w:r>
              <w:rPr>
                <w:rFonts w:ascii="Garamond" w:hAnsi="Garamond"/>
                <w:lang w:val="en-AU"/>
              </w:rPr>
              <w:t xml:space="preserve"> Using survey data from</w:t>
            </w:r>
            <w:r w:rsidRPr="009B0D77">
              <w:rPr>
                <w:rFonts w:ascii="Garamond" w:hAnsi="Garamond"/>
                <w:lang w:val="en-AU"/>
              </w:rPr>
              <w:t xml:space="preserve"> 26</w:t>
            </w:r>
            <w:r>
              <w:rPr>
                <w:rFonts w:ascii="Garamond" w:hAnsi="Garamond"/>
                <w:lang w:val="en-AU"/>
              </w:rPr>
              <w:t>,</w:t>
            </w:r>
            <w:r w:rsidRPr="009B0D77">
              <w:rPr>
                <w:rFonts w:ascii="Garamond" w:hAnsi="Garamond"/>
                <w:lang w:val="en-AU"/>
              </w:rPr>
              <w:t xml:space="preserve">960 nurses across 599 hospitals in 4 </w:t>
            </w:r>
            <w:r>
              <w:rPr>
                <w:rFonts w:ascii="Garamond" w:hAnsi="Garamond"/>
                <w:lang w:val="en-AU"/>
              </w:rPr>
              <w:t xml:space="preserve">US </w:t>
            </w:r>
            <w:r w:rsidRPr="009B0D77">
              <w:rPr>
                <w:rFonts w:ascii="Garamond" w:hAnsi="Garamond"/>
                <w:lang w:val="en-AU"/>
              </w:rPr>
              <w:t>states</w:t>
            </w:r>
            <w:r>
              <w:rPr>
                <w:rFonts w:ascii="Garamond" w:hAnsi="Garamond"/>
                <w:lang w:val="en-AU"/>
              </w:rPr>
              <w:t>, the authors report that:</w:t>
            </w:r>
          </w:p>
          <w:p w:rsidR="009B0D77" w:rsidRDefault="009B0D77" w:rsidP="009B0D77">
            <w:pPr>
              <w:pStyle w:val="ListParagraph"/>
              <w:numPr>
                <w:ilvl w:val="0"/>
                <w:numId w:val="25"/>
              </w:numPr>
              <w:rPr>
                <w:rFonts w:ascii="Garamond" w:hAnsi="Garamond"/>
                <w:lang w:val="en-AU"/>
              </w:rPr>
            </w:pPr>
            <w:r w:rsidRPr="009B0D77">
              <w:rPr>
                <w:rFonts w:ascii="Garamond" w:hAnsi="Garamond"/>
                <w:b/>
                <w:lang w:val="en-AU"/>
              </w:rPr>
              <w:t>32%</w:t>
            </w:r>
            <w:r w:rsidR="00E2164F">
              <w:rPr>
                <w:rFonts w:ascii="Garamond" w:hAnsi="Garamond"/>
                <w:b/>
                <w:lang w:val="en-AU"/>
              </w:rPr>
              <w:t xml:space="preserve"> </w:t>
            </w:r>
            <w:r w:rsidRPr="009B0D77">
              <w:rPr>
                <w:rFonts w:ascii="Garamond" w:hAnsi="Garamond"/>
                <w:b/>
                <w:lang w:val="en-AU"/>
              </w:rPr>
              <w:t>of nurses</w:t>
            </w:r>
            <w:r w:rsidRPr="009B0D77">
              <w:rPr>
                <w:rFonts w:ascii="Garamond" w:hAnsi="Garamond"/>
                <w:lang w:val="en-AU"/>
              </w:rPr>
              <w:t xml:space="preserve"> gave </w:t>
            </w:r>
            <w:r w:rsidRPr="009B0D77">
              <w:rPr>
                <w:rFonts w:ascii="Garamond" w:hAnsi="Garamond"/>
                <w:b/>
                <w:lang w:val="en-AU"/>
              </w:rPr>
              <w:t>their hospital a poor or failing patient safety grade</w:t>
            </w:r>
          </w:p>
          <w:p w:rsidR="009B0D77" w:rsidRDefault="009B0D77" w:rsidP="009B0D77">
            <w:pPr>
              <w:pStyle w:val="ListParagraph"/>
              <w:numPr>
                <w:ilvl w:val="0"/>
                <w:numId w:val="25"/>
              </w:numPr>
              <w:rPr>
                <w:rFonts w:ascii="Garamond" w:hAnsi="Garamond"/>
                <w:lang w:val="en-AU"/>
              </w:rPr>
            </w:pPr>
            <w:r w:rsidRPr="009B0D77">
              <w:rPr>
                <w:rFonts w:ascii="Garamond" w:hAnsi="Garamond"/>
                <w:lang w:val="en-AU"/>
              </w:rPr>
              <w:t xml:space="preserve"> In </w:t>
            </w:r>
            <w:r w:rsidRPr="009B0D77">
              <w:rPr>
                <w:rFonts w:ascii="Garamond" w:hAnsi="Garamond"/>
                <w:b/>
                <w:lang w:val="en-AU"/>
              </w:rPr>
              <w:t>25% of hospitals</w:t>
            </w:r>
            <w:r w:rsidRPr="009B0D77">
              <w:rPr>
                <w:rFonts w:ascii="Garamond" w:hAnsi="Garamond"/>
                <w:lang w:val="en-AU"/>
              </w:rPr>
              <w:t xml:space="preserve">, nurses fell in the </w:t>
            </w:r>
            <w:r w:rsidRPr="009B0D77">
              <w:rPr>
                <w:rFonts w:ascii="Garamond" w:hAnsi="Garamond"/>
                <w:b/>
                <w:lang w:val="en-AU"/>
              </w:rPr>
              <w:t>least or only somewhat engaged categories</w:t>
            </w:r>
          </w:p>
          <w:p w:rsidR="009B0D77" w:rsidRDefault="009B0D77" w:rsidP="009B0D77">
            <w:pPr>
              <w:pStyle w:val="ListParagraph"/>
              <w:numPr>
                <w:ilvl w:val="0"/>
                <w:numId w:val="25"/>
              </w:numPr>
              <w:rPr>
                <w:rFonts w:ascii="Garamond" w:hAnsi="Garamond"/>
                <w:lang w:val="en-AU"/>
              </w:rPr>
            </w:pPr>
            <w:r>
              <w:rPr>
                <w:rFonts w:ascii="Garamond" w:hAnsi="Garamond"/>
                <w:lang w:val="en-AU"/>
              </w:rPr>
              <w:t xml:space="preserve">A </w:t>
            </w:r>
            <w:r w:rsidR="00E2164F">
              <w:rPr>
                <w:rFonts w:ascii="Garamond" w:hAnsi="Garamond"/>
                <w:lang w:val="en-AU"/>
              </w:rPr>
              <w:t>one</w:t>
            </w:r>
            <w:r w:rsidRPr="009B0D77">
              <w:rPr>
                <w:rFonts w:ascii="Garamond" w:hAnsi="Garamond"/>
                <w:lang w:val="en-AU"/>
              </w:rPr>
              <w:t>-unit increase in engagement lowered the odds of an unfavo</w:t>
            </w:r>
            <w:r>
              <w:rPr>
                <w:rFonts w:ascii="Garamond" w:hAnsi="Garamond"/>
                <w:lang w:val="en-AU"/>
              </w:rPr>
              <w:t>u</w:t>
            </w:r>
            <w:r w:rsidR="00E2164F">
              <w:rPr>
                <w:rFonts w:ascii="Garamond" w:hAnsi="Garamond"/>
                <w:lang w:val="en-AU"/>
              </w:rPr>
              <w:t>rable safety grade by 29%</w:t>
            </w:r>
          </w:p>
          <w:p w:rsidR="009B0D77" w:rsidRDefault="009B0D77" w:rsidP="009B0D77">
            <w:pPr>
              <w:pStyle w:val="ListParagraph"/>
              <w:numPr>
                <w:ilvl w:val="0"/>
                <w:numId w:val="25"/>
              </w:numPr>
              <w:rPr>
                <w:rFonts w:ascii="Garamond" w:hAnsi="Garamond"/>
                <w:lang w:val="en-AU"/>
              </w:rPr>
            </w:pPr>
            <w:r w:rsidRPr="009B0D77">
              <w:rPr>
                <w:rFonts w:ascii="Garamond" w:hAnsi="Garamond"/>
                <w:lang w:val="en-AU"/>
              </w:rPr>
              <w:t>Hospitals where nurses reported higher levels of engagement were 19% less likely to report that mistakes we</w:t>
            </w:r>
            <w:r w:rsidR="00E2164F">
              <w:rPr>
                <w:rFonts w:ascii="Garamond" w:hAnsi="Garamond"/>
                <w:lang w:val="en-AU"/>
              </w:rPr>
              <w:t>re held against them</w:t>
            </w:r>
          </w:p>
          <w:p w:rsidR="009B0D77" w:rsidRDefault="009B0D77" w:rsidP="009B0D77">
            <w:pPr>
              <w:pStyle w:val="ListParagraph"/>
              <w:numPr>
                <w:ilvl w:val="0"/>
                <w:numId w:val="25"/>
              </w:numPr>
              <w:rPr>
                <w:rFonts w:ascii="Garamond" w:hAnsi="Garamond"/>
                <w:lang w:val="en-AU"/>
              </w:rPr>
            </w:pPr>
            <w:r w:rsidRPr="009B0D77">
              <w:rPr>
                <w:rFonts w:ascii="Garamond" w:hAnsi="Garamond"/>
                <w:lang w:val="en-AU"/>
              </w:rPr>
              <w:t>Nurses in poorly staffed hospitals were 6% more likely to report that important information about patients “fell through the cracks” when transferring patients across units</w:t>
            </w:r>
            <w:r>
              <w:rPr>
                <w:rFonts w:ascii="Garamond" w:hAnsi="Garamond"/>
                <w:lang w:val="en-AU"/>
              </w:rPr>
              <w:t>.</w:t>
            </w:r>
          </w:p>
          <w:p w:rsidR="009B0D77" w:rsidRPr="009B0D77" w:rsidRDefault="009B0D77" w:rsidP="009B0D77">
            <w:pPr>
              <w:rPr>
                <w:rFonts w:ascii="Garamond" w:hAnsi="Garamond"/>
                <w:lang w:val="en-AU"/>
              </w:rPr>
            </w:pPr>
            <w:r>
              <w:rPr>
                <w:rFonts w:ascii="Garamond" w:hAnsi="Garamond"/>
                <w:lang w:val="en-AU"/>
              </w:rPr>
              <w:t>Unsurprisingly, the authors suggest that improving “</w:t>
            </w:r>
            <w:r w:rsidRPr="009B0D77">
              <w:rPr>
                <w:rFonts w:ascii="Garamond" w:hAnsi="Garamond"/>
                <w:lang w:val="en-AU"/>
              </w:rPr>
              <w:t>nurse engagement and adequate staffing</w:t>
            </w:r>
            <w:r>
              <w:rPr>
                <w:rFonts w:ascii="Garamond" w:hAnsi="Garamond"/>
                <w:lang w:val="en-AU"/>
              </w:rPr>
              <w:t xml:space="preserve">” could contribute to </w:t>
            </w:r>
            <w:r w:rsidRPr="009B0D77">
              <w:rPr>
                <w:rFonts w:ascii="Garamond" w:hAnsi="Garamond"/>
                <w:lang w:val="en-AU"/>
              </w:rPr>
              <w:t>improve</w:t>
            </w:r>
            <w:r>
              <w:rPr>
                <w:rFonts w:ascii="Garamond" w:hAnsi="Garamond"/>
                <w:lang w:val="en-AU"/>
              </w:rPr>
              <w:t>d</w:t>
            </w:r>
            <w:r w:rsidRPr="009B0D77">
              <w:rPr>
                <w:rFonts w:ascii="Garamond" w:hAnsi="Garamond"/>
                <w:lang w:val="en-AU"/>
              </w:rPr>
              <w:t xml:space="preserve"> patient safety.</w:t>
            </w:r>
          </w:p>
        </w:tc>
      </w:tr>
    </w:tbl>
    <w:p w:rsidR="00D144E9" w:rsidRDefault="00D144E9" w:rsidP="001C0CF1">
      <w:pPr>
        <w:keepNext/>
        <w:rPr>
          <w:rFonts w:ascii="Garamond" w:hAnsi="Garamond"/>
          <w:i/>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E2164F" w:rsidP="00900052">
            <w:pPr>
              <w:keepNext/>
              <w:rPr>
                <w:rFonts w:ascii="Garamond" w:hAnsi="Garamond"/>
                <w:lang w:val="en-AU"/>
              </w:rPr>
            </w:pPr>
            <w:hyperlink r:id="rId26"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00530E" w:rsidRDefault="00BC2579" w:rsidP="00BC2579">
            <w:pPr>
              <w:pStyle w:val="ListParagraph"/>
              <w:numPr>
                <w:ilvl w:val="0"/>
                <w:numId w:val="14"/>
              </w:numPr>
              <w:rPr>
                <w:rFonts w:ascii="Garamond" w:hAnsi="Garamond"/>
                <w:lang w:val="en-AU"/>
              </w:rPr>
            </w:pPr>
            <w:r w:rsidRPr="00BC2579">
              <w:rPr>
                <w:rFonts w:ascii="Garamond" w:hAnsi="Garamond"/>
                <w:b/>
                <w:lang w:val="en-AU"/>
              </w:rPr>
              <w:t>Self-management capability</w:t>
            </w:r>
            <w:r w:rsidRPr="00BC2579">
              <w:rPr>
                <w:rFonts w:ascii="Garamond" w:hAnsi="Garamond"/>
                <w:lang w:val="en-AU"/>
              </w:rPr>
              <w:t xml:space="preserve"> in patients with long-term conditions is associated with reduced healthcare utilisation across a whole health economy: cross-sectional analysis of electronic health records </w:t>
            </w:r>
            <w:r>
              <w:rPr>
                <w:rFonts w:ascii="Garamond" w:hAnsi="Garamond"/>
                <w:lang w:val="en-AU"/>
              </w:rPr>
              <w:t>(</w:t>
            </w:r>
            <w:r w:rsidRPr="00BC2579">
              <w:rPr>
                <w:rFonts w:ascii="Garamond" w:hAnsi="Garamond"/>
                <w:lang w:val="en-AU"/>
              </w:rPr>
              <w:t>Isaac Barker, Adam Steventon, Robert Williamson, Sarah R Deeny</w:t>
            </w:r>
            <w:r>
              <w:rPr>
                <w:rFonts w:ascii="Garamond" w:hAnsi="Garamond"/>
                <w:lang w:val="en-AU"/>
              </w:rPr>
              <w:t>)</w:t>
            </w:r>
          </w:p>
          <w:p w:rsidR="0074499B" w:rsidRPr="00467B47" w:rsidRDefault="0074499B" w:rsidP="0074499B">
            <w:pPr>
              <w:pStyle w:val="ListParagraph"/>
              <w:numPr>
                <w:ilvl w:val="0"/>
                <w:numId w:val="14"/>
              </w:numPr>
              <w:rPr>
                <w:rFonts w:ascii="Garamond" w:hAnsi="Garamond"/>
                <w:lang w:val="en-AU"/>
              </w:rPr>
            </w:pPr>
            <w:r w:rsidRPr="0074499B">
              <w:rPr>
                <w:rFonts w:ascii="Garamond" w:hAnsi="Garamond"/>
                <w:lang w:val="en-AU"/>
              </w:rPr>
              <w:t>Minor flow disruptions, traffic-related factors and their effect on major</w:t>
            </w:r>
            <w:r w:rsidRPr="0074499B">
              <w:rPr>
                <w:rFonts w:ascii="Garamond" w:hAnsi="Garamond"/>
                <w:b/>
                <w:lang w:val="en-AU"/>
              </w:rPr>
              <w:t xml:space="preserve"> flow disruptions in the operating room</w:t>
            </w:r>
            <w:r w:rsidRPr="0074499B">
              <w:rPr>
                <w:rFonts w:ascii="Garamond" w:hAnsi="Garamond"/>
                <w:lang w:val="en-AU"/>
              </w:rPr>
              <w:t xml:space="preserve"> </w:t>
            </w:r>
            <w:r>
              <w:rPr>
                <w:rFonts w:ascii="Garamond" w:hAnsi="Garamond"/>
                <w:lang w:val="en-AU"/>
              </w:rPr>
              <w:t>(</w:t>
            </w:r>
            <w:r w:rsidRPr="0074499B">
              <w:rPr>
                <w:rFonts w:ascii="Garamond" w:hAnsi="Garamond"/>
                <w:lang w:val="en-AU"/>
              </w:rPr>
              <w:t>Anjali Joseph, Amin Khoshkenar, Kevin M Taaffe, Ken Catchpole, Herminia Machry, Sara Bayramzadeh RIPCHD.OR study group</w:t>
            </w:r>
            <w:r>
              <w:rPr>
                <w:rFonts w:ascii="Garamond" w:hAnsi="Garamond"/>
                <w:lang w:val="en-AU"/>
              </w:rPr>
              <w:t>)</w:t>
            </w:r>
          </w:p>
        </w:tc>
      </w:tr>
    </w:tbl>
    <w:p w:rsidR="001C0CF1" w:rsidRPr="00467B47" w:rsidRDefault="001C0CF1" w:rsidP="001C0CF1">
      <w:pPr>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E2164F" w:rsidP="00290461">
            <w:pPr>
              <w:keepNext/>
              <w:rPr>
                <w:rFonts w:ascii="Garamond" w:hAnsi="Garamond"/>
                <w:lang w:val="en-AU"/>
              </w:rPr>
            </w:pPr>
            <w:hyperlink r:id="rId27"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5437F2" w:rsidRPr="005437F2" w:rsidRDefault="005437F2" w:rsidP="005437F2">
            <w:pPr>
              <w:pStyle w:val="ListParagraph"/>
              <w:numPr>
                <w:ilvl w:val="0"/>
                <w:numId w:val="14"/>
              </w:numPr>
              <w:jc w:val="both"/>
              <w:rPr>
                <w:rFonts w:ascii="Garamond" w:hAnsi="Garamond"/>
                <w:lang w:val="en-AU"/>
              </w:rPr>
            </w:pPr>
            <w:r w:rsidRPr="005437F2">
              <w:rPr>
                <w:rFonts w:ascii="Garamond" w:hAnsi="Garamond"/>
                <w:lang w:val="en-AU"/>
              </w:rPr>
              <w:t xml:space="preserve">Lowered obesity indicator cutoff points more effectively predict 5-year incidence of </w:t>
            </w:r>
            <w:r w:rsidRPr="005437F2">
              <w:rPr>
                <w:rFonts w:ascii="Garamond" w:hAnsi="Garamond"/>
                <w:b/>
                <w:lang w:val="en-AU"/>
              </w:rPr>
              <w:t>hypertension in premenopausal women</w:t>
            </w:r>
            <w:r w:rsidRPr="005437F2">
              <w:rPr>
                <w:rFonts w:ascii="Garamond" w:hAnsi="Garamond"/>
                <w:lang w:val="en-AU"/>
              </w:rPr>
              <w:t xml:space="preserve"> (Fu-Ling Chu; Chii Jeng</w:t>
            </w:r>
            <w:r>
              <w:rPr>
                <w:rFonts w:ascii="Garamond" w:hAnsi="Garamond"/>
                <w:lang w:val="en-AU"/>
              </w:rPr>
              <w:t>)</w:t>
            </w:r>
          </w:p>
          <w:p w:rsidR="005437F2" w:rsidRDefault="005437F2" w:rsidP="005437F2">
            <w:pPr>
              <w:pStyle w:val="ListParagraph"/>
              <w:numPr>
                <w:ilvl w:val="0"/>
                <w:numId w:val="14"/>
              </w:numPr>
              <w:jc w:val="both"/>
              <w:rPr>
                <w:rFonts w:ascii="Garamond" w:hAnsi="Garamond"/>
                <w:lang w:val="en-AU"/>
              </w:rPr>
            </w:pPr>
            <w:r w:rsidRPr="005437F2">
              <w:rPr>
                <w:rFonts w:ascii="Garamond" w:hAnsi="Garamond"/>
                <w:lang w:val="en-AU"/>
              </w:rPr>
              <w:t xml:space="preserve">Opportunities for intervention: </w:t>
            </w:r>
            <w:r w:rsidRPr="005437F2">
              <w:rPr>
                <w:rFonts w:ascii="Garamond" w:hAnsi="Garamond"/>
                <w:b/>
                <w:lang w:val="en-AU"/>
              </w:rPr>
              <w:t>stroke treatments, disability and mortality</w:t>
            </w:r>
            <w:r w:rsidRPr="005437F2">
              <w:rPr>
                <w:rFonts w:ascii="Garamond" w:hAnsi="Garamond"/>
                <w:lang w:val="en-AU"/>
              </w:rPr>
              <w:t xml:space="preserve"> in urban Tanzania (Robert W Regenhardt; Maijo R Biseko; Agness F Shayo; Theoflo N Mmbando; Sara J Grundy</w:t>
            </w:r>
            <w:r>
              <w:rPr>
                <w:rFonts w:ascii="Garamond" w:hAnsi="Garamond"/>
                <w:lang w:val="en-AU"/>
              </w:rPr>
              <w:t xml:space="preserve">; </w:t>
            </w:r>
            <w:r w:rsidRPr="005437F2">
              <w:rPr>
                <w:rFonts w:ascii="Garamond" w:hAnsi="Garamond"/>
                <w:lang w:val="en-AU"/>
              </w:rPr>
              <w:t>Ai Xu</w:t>
            </w:r>
            <w:r>
              <w:rPr>
                <w:rFonts w:ascii="Garamond" w:hAnsi="Garamond"/>
                <w:lang w:val="en-AU"/>
              </w:rPr>
              <w:t>;</w:t>
            </w:r>
            <w:r w:rsidRPr="005437F2">
              <w:rPr>
                <w:rFonts w:ascii="Garamond" w:hAnsi="Garamond"/>
                <w:lang w:val="en-AU"/>
              </w:rPr>
              <w:t xml:space="preserve"> Altaf Saadi</w:t>
            </w:r>
            <w:r>
              <w:rPr>
                <w:rFonts w:ascii="Garamond" w:hAnsi="Garamond"/>
                <w:lang w:val="en-AU"/>
              </w:rPr>
              <w:t>;</w:t>
            </w:r>
            <w:r w:rsidRPr="005437F2">
              <w:rPr>
                <w:rFonts w:ascii="Garamond" w:hAnsi="Garamond"/>
                <w:lang w:val="en-AU"/>
              </w:rPr>
              <w:t xml:space="preserve"> Leah Wibecan</w:t>
            </w:r>
            <w:r>
              <w:rPr>
                <w:rFonts w:ascii="Garamond" w:hAnsi="Garamond"/>
                <w:lang w:val="en-AU"/>
              </w:rPr>
              <w:t>;</w:t>
            </w:r>
            <w:r w:rsidRPr="005437F2">
              <w:rPr>
                <w:rFonts w:ascii="Garamond" w:hAnsi="Garamond"/>
                <w:lang w:val="en-AU"/>
              </w:rPr>
              <w:t xml:space="preserve"> G Abbas Kharal</w:t>
            </w:r>
            <w:r>
              <w:rPr>
                <w:rFonts w:ascii="Garamond" w:hAnsi="Garamond"/>
                <w:lang w:val="en-AU"/>
              </w:rPr>
              <w:t>;</w:t>
            </w:r>
            <w:r w:rsidRPr="005437F2">
              <w:rPr>
                <w:rFonts w:ascii="Garamond" w:hAnsi="Garamond"/>
                <w:lang w:val="en-AU"/>
              </w:rPr>
              <w:t xml:space="preserve"> Robert Parker</w:t>
            </w:r>
            <w:r>
              <w:rPr>
                <w:rFonts w:ascii="Garamond" w:hAnsi="Garamond"/>
                <w:lang w:val="en-AU"/>
              </w:rPr>
              <w:t>;</w:t>
            </w:r>
            <w:r w:rsidRPr="005437F2">
              <w:rPr>
                <w:rFonts w:ascii="Garamond" w:hAnsi="Garamond"/>
                <w:lang w:val="en-AU"/>
              </w:rPr>
              <w:t xml:space="preserve"> Joshua P Klein</w:t>
            </w:r>
            <w:r>
              <w:rPr>
                <w:rFonts w:ascii="Garamond" w:hAnsi="Garamond"/>
                <w:lang w:val="en-AU"/>
              </w:rPr>
              <w:t>;</w:t>
            </w:r>
            <w:r w:rsidRPr="005437F2">
              <w:rPr>
                <w:rFonts w:ascii="Garamond" w:hAnsi="Garamond"/>
                <w:lang w:val="en-AU"/>
              </w:rPr>
              <w:t xml:space="preserve"> Farrah J Mateen</w:t>
            </w:r>
            <w:r>
              <w:rPr>
                <w:rFonts w:ascii="Garamond" w:hAnsi="Garamond"/>
                <w:lang w:val="en-AU"/>
              </w:rPr>
              <w:t>;</w:t>
            </w:r>
            <w:r w:rsidRPr="005437F2">
              <w:rPr>
                <w:rFonts w:ascii="Garamond" w:hAnsi="Garamond"/>
                <w:lang w:val="en-AU"/>
              </w:rPr>
              <w:t xml:space="preserve"> K Okeng’o</w:t>
            </w:r>
            <w:r>
              <w:rPr>
                <w:rFonts w:ascii="Garamond" w:hAnsi="Garamond"/>
                <w:lang w:val="en-AU"/>
              </w:rPr>
              <w:t>)</w:t>
            </w:r>
          </w:p>
          <w:p w:rsidR="005437F2" w:rsidRDefault="005437F2" w:rsidP="005437F2">
            <w:pPr>
              <w:pStyle w:val="ListParagraph"/>
              <w:numPr>
                <w:ilvl w:val="0"/>
                <w:numId w:val="14"/>
              </w:numPr>
              <w:jc w:val="both"/>
              <w:rPr>
                <w:rFonts w:ascii="Garamond" w:hAnsi="Garamond"/>
                <w:lang w:val="en-AU"/>
              </w:rPr>
            </w:pPr>
            <w:r w:rsidRPr="005437F2">
              <w:rPr>
                <w:rFonts w:ascii="Garamond" w:hAnsi="Garamond"/>
                <w:lang w:val="en-AU"/>
              </w:rPr>
              <w:t xml:space="preserve">Validity of </w:t>
            </w:r>
            <w:r w:rsidRPr="005437F2">
              <w:rPr>
                <w:rFonts w:ascii="Garamond" w:hAnsi="Garamond"/>
                <w:b/>
                <w:lang w:val="en-AU"/>
              </w:rPr>
              <w:t>World Health Organisation prescribing indicators</w:t>
            </w:r>
            <w:r w:rsidRPr="005437F2">
              <w:rPr>
                <w:rFonts w:ascii="Garamond" w:hAnsi="Garamond"/>
                <w:lang w:val="en-AU"/>
              </w:rPr>
              <w:t xml:space="preserve"> in Namibia’s primary healthcare: findings and implications (Q Niaz; B Godman; A Massele; S Campbell; A Kurdi</w:t>
            </w:r>
            <w:r>
              <w:rPr>
                <w:rFonts w:ascii="Garamond" w:hAnsi="Garamond"/>
                <w:lang w:val="en-AU"/>
              </w:rPr>
              <w:t xml:space="preserve">; </w:t>
            </w:r>
            <w:r w:rsidRPr="005437F2">
              <w:rPr>
                <w:rFonts w:ascii="Garamond" w:hAnsi="Garamond"/>
                <w:lang w:val="en-AU"/>
              </w:rPr>
              <w:t>H R Kagoya</w:t>
            </w:r>
            <w:r>
              <w:rPr>
                <w:rFonts w:ascii="Garamond" w:hAnsi="Garamond"/>
                <w:lang w:val="en-AU"/>
              </w:rPr>
              <w:t>;</w:t>
            </w:r>
            <w:r w:rsidRPr="005437F2">
              <w:rPr>
                <w:rFonts w:ascii="Garamond" w:hAnsi="Garamond"/>
                <w:lang w:val="en-AU"/>
              </w:rPr>
              <w:t xml:space="preserve"> D Kibuule</w:t>
            </w:r>
            <w:r>
              <w:rPr>
                <w:rFonts w:ascii="Garamond" w:hAnsi="Garamond"/>
                <w:lang w:val="en-AU"/>
              </w:rPr>
              <w:t>)</w:t>
            </w:r>
          </w:p>
          <w:p w:rsidR="005437F2" w:rsidRDefault="005437F2" w:rsidP="005437F2">
            <w:pPr>
              <w:pStyle w:val="ListParagraph"/>
              <w:numPr>
                <w:ilvl w:val="0"/>
                <w:numId w:val="14"/>
              </w:numPr>
              <w:jc w:val="both"/>
              <w:rPr>
                <w:rFonts w:ascii="Garamond" w:hAnsi="Garamond"/>
                <w:lang w:val="en-AU"/>
              </w:rPr>
            </w:pPr>
            <w:r w:rsidRPr="005437F2">
              <w:rPr>
                <w:rFonts w:ascii="Garamond" w:hAnsi="Garamond"/>
                <w:lang w:val="en-AU"/>
              </w:rPr>
              <w:t xml:space="preserve">Clustered domestic model of </w:t>
            </w:r>
            <w:r w:rsidRPr="005437F2">
              <w:rPr>
                <w:rFonts w:ascii="Garamond" w:hAnsi="Garamond"/>
                <w:b/>
                <w:lang w:val="en-AU"/>
              </w:rPr>
              <w:t>residential care</w:t>
            </w:r>
            <w:r w:rsidRPr="005437F2">
              <w:rPr>
                <w:rFonts w:ascii="Garamond" w:hAnsi="Garamond"/>
                <w:lang w:val="en-AU"/>
              </w:rPr>
              <w:t xml:space="preserve"> is associated with better consumer rated quality of care (Emmanuel S. Gnanamanickam; Suzanne M. </w:t>
            </w:r>
            <w:r w:rsidRPr="005437F2">
              <w:rPr>
                <w:rFonts w:ascii="Garamond" w:hAnsi="Garamond"/>
                <w:lang w:val="en-AU"/>
              </w:rPr>
              <w:lastRenderedPageBreak/>
              <w:t>Dyer; Rachel Milte; Enwu Liu; Julie Ratcliffe</w:t>
            </w:r>
            <w:r>
              <w:rPr>
                <w:rFonts w:ascii="Garamond" w:hAnsi="Garamond"/>
                <w:lang w:val="en-AU"/>
              </w:rPr>
              <w:t xml:space="preserve">; </w:t>
            </w:r>
            <w:r w:rsidRPr="005437F2">
              <w:rPr>
                <w:rFonts w:ascii="Garamond" w:hAnsi="Garamond"/>
                <w:lang w:val="en-AU"/>
              </w:rPr>
              <w:t>Maria Crotty</w:t>
            </w:r>
            <w:r>
              <w:rPr>
                <w:rFonts w:ascii="Garamond" w:hAnsi="Garamond"/>
                <w:lang w:val="en-AU"/>
              </w:rPr>
              <w:t>)</w:t>
            </w:r>
          </w:p>
          <w:p w:rsidR="000E077D" w:rsidRPr="000E077D" w:rsidRDefault="000E077D" w:rsidP="000E077D">
            <w:pPr>
              <w:pStyle w:val="ListParagraph"/>
              <w:numPr>
                <w:ilvl w:val="0"/>
                <w:numId w:val="14"/>
              </w:numPr>
              <w:jc w:val="both"/>
              <w:rPr>
                <w:rFonts w:ascii="Garamond" w:hAnsi="Garamond"/>
                <w:lang w:val="en-AU"/>
              </w:rPr>
            </w:pPr>
            <w:r w:rsidRPr="000E077D">
              <w:rPr>
                <w:rFonts w:ascii="Garamond" w:hAnsi="Garamond"/>
                <w:lang w:val="en-AU"/>
              </w:rPr>
              <w:t xml:space="preserve">Cost-effectiveness of a mentorship and quality improvement intervention to enhance the </w:t>
            </w:r>
            <w:r w:rsidRPr="000E077D">
              <w:rPr>
                <w:rFonts w:ascii="Garamond" w:hAnsi="Garamond"/>
                <w:b/>
                <w:lang w:val="en-AU"/>
              </w:rPr>
              <w:t>quality of antenatal care</w:t>
            </w:r>
            <w:r w:rsidRPr="000E077D">
              <w:rPr>
                <w:rFonts w:ascii="Garamond" w:hAnsi="Garamond"/>
                <w:lang w:val="en-AU"/>
              </w:rPr>
              <w:t xml:space="preserve"> at rural health centers in Rwanda (Anatole Manzi; Jean Claude Mugunga; Laetitia Nyirazinyoye; Hari S Iyer; Bethany Hedt-Gauthier</w:t>
            </w:r>
            <w:r>
              <w:rPr>
                <w:rFonts w:ascii="Garamond" w:hAnsi="Garamond"/>
                <w:lang w:val="en-AU"/>
              </w:rPr>
              <w:t xml:space="preserve">; </w:t>
            </w:r>
            <w:r w:rsidRPr="000E077D">
              <w:rPr>
                <w:rFonts w:ascii="Garamond" w:hAnsi="Garamond"/>
                <w:lang w:val="en-AU"/>
              </w:rPr>
              <w:t>Lisa R Hirschhorn</w:t>
            </w:r>
            <w:r>
              <w:rPr>
                <w:rFonts w:ascii="Garamond" w:hAnsi="Garamond"/>
                <w:lang w:val="en-AU"/>
              </w:rPr>
              <w:t>;</w:t>
            </w:r>
            <w:r w:rsidRPr="000E077D">
              <w:rPr>
                <w:rFonts w:ascii="Garamond" w:hAnsi="Garamond"/>
                <w:lang w:val="en-AU"/>
              </w:rPr>
              <w:t xml:space="preserve"> Joseph Ntaganira</w:t>
            </w:r>
            <w:r>
              <w:rPr>
                <w:rFonts w:ascii="Garamond" w:hAnsi="Garamond"/>
                <w:lang w:val="en-AU"/>
              </w:rPr>
              <w:t>)</w:t>
            </w:r>
          </w:p>
          <w:p w:rsidR="000E077D" w:rsidRPr="000E077D" w:rsidRDefault="000E077D" w:rsidP="000E077D">
            <w:pPr>
              <w:pStyle w:val="ListParagraph"/>
              <w:numPr>
                <w:ilvl w:val="0"/>
                <w:numId w:val="14"/>
              </w:numPr>
              <w:jc w:val="both"/>
              <w:rPr>
                <w:rFonts w:ascii="Garamond" w:hAnsi="Garamond"/>
                <w:lang w:val="en-AU"/>
              </w:rPr>
            </w:pPr>
            <w:r w:rsidRPr="000E077D">
              <w:rPr>
                <w:rFonts w:ascii="Garamond" w:hAnsi="Garamond"/>
                <w:lang w:val="en-AU"/>
              </w:rPr>
              <w:t xml:space="preserve">Utilization of the </w:t>
            </w:r>
            <w:r w:rsidRPr="000E077D">
              <w:rPr>
                <w:rFonts w:ascii="Garamond" w:hAnsi="Garamond"/>
                <w:b/>
                <w:lang w:val="en-AU"/>
              </w:rPr>
              <w:t>Ghana National Health Insurance Scheme</w:t>
            </w:r>
            <w:r w:rsidRPr="000E077D">
              <w:rPr>
                <w:rFonts w:ascii="Garamond" w:hAnsi="Garamond"/>
                <w:lang w:val="en-AU"/>
              </w:rPr>
              <w:t xml:space="preserve"> and its association with patient perceptions on healthcare quality (Nel Jason L Haw</w:t>
            </w:r>
            <w:r>
              <w:rPr>
                <w:rFonts w:ascii="Garamond" w:hAnsi="Garamond"/>
                <w:lang w:val="en-AU"/>
              </w:rPr>
              <w:t>)</w:t>
            </w:r>
          </w:p>
          <w:p w:rsidR="000E077D" w:rsidRPr="000E077D" w:rsidRDefault="000E077D" w:rsidP="000E077D">
            <w:pPr>
              <w:pStyle w:val="ListParagraph"/>
              <w:numPr>
                <w:ilvl w:val="0"/>
                <w:numId w:val="14"/>
              </w:numPr>
              <w:jc w:val="both"/>
              <w:rPr>
                <w:rFonts w:ascii="Garamond" w:hAnsi="Garamond"/>
                <w:lang w:val="en-AU"/>
              </w:rPr>
            </w:pPr>
            <w:r w:rsidRPr="000E077D">
              <w:rPr>
                <w:rFonts w:ascii="Garamond" w:hAnsi="Garamond"/>
                <w:lang w:val="en-AU"/>
              </w:rPr>
              <w:t xml:space="preserve">The </w:t>
            </w:r>
            <w:r w:rsidRPr="000E077D">
              <w:rPr>
                <w:rFonts w:ascii="Garamond" w:hAnsi="Garamond"/>
                <w:b/>
                <w:lang w:val="en-AU"/>
              </w:rPr>
              <w:t>Korean Triage and Acuity Scale</w:t>
            </w:r>
            <w:r w:rsidRPr="000E077D">
              <w:rPr>
                <w:rFonts w:ascii="Garamond" w:hAnsi="Garamond"/>
                <w:lang w:val="en-AU"/>
              </w:rPr>
              <w:t>: associations with admission, disposition, mortality and length of stay in the emergency department (Hyuksool Kwon; Yu Jin Kim; You Hwan Jo; Jae Hyuk Lee; Jin Hee Lee</w:t>
            </w:r>
            <w:r>
              <w:rPr>
                <w:rFonts w:ascii="Garamond" w:hAnsi="Garamond"/>
                <w:lang w:val="en-AU"/>
              </w:rPr>
              <w:t xml:space="preserve">; </w:t>
            </w:r>
            <w:r w:rsidRPr="000E077D">
              <w:rPr>
                <w:rFonts w:ascii="Garamond" w:hAnsi="Garamond"/>
                <w:lang w:val="en-AU"/>
              </w:rPr>
              <w:t>Joonghee Kim</w:t>
            </w:r>
            <w:r>
              <w:rPr>
                <w:rFonts w:ascii="Garamond" w:hAnsi="Garamond"/>
                <w:lang w:val="en-AU"/>
              </w:rPr>
              <w:t>;</w:t>
            </w:r>
            <w:r w:rsidRPr="000E077D">
              <w:rPr>
                <w:rFonts w:ascii="Garamond" w:hAnsi="Garamond"/>
                <w:lang w:val="en-AU"/>
              </w:rPr>
              <w:t xml:space="preserve"> Ji Eun Hwang</w:t>
            </w:r>
            <w:r>
              <w:rPr>
                <w:rFonts w:ascii="Garamond" w:hAnsi="Garamond"/>
                <w:lang w:val="en-AU"/>
              </w:rPr>
              <w:t>;</w:t>
            </w:r>
            <w:r w:rsidRPr="000E077D">
              <w:rPr>
                <w:rFonts w:ascii="Garamond" w:hAnsi="Garamond"/>
                <w:lang w:val="en-AU"/>
              </w:rPr>
              <w:t xml:space="preserve"> Joo Jeong</w:t>
            </w:r>
            <w:r>
              <w:rPr>
                <w:rFonts w:ascii="Garamond" w:hAnsi="Garamond"/>
                <w:lang w:val="en-AU"/>
              </w:rPr>
              <w:t>;</w:t>
            </w:r>
            <w:r w:rsidRPr="000E077D">
              <w:rPr>
                <w:rFonts w:ascii="Garamond" w:hAnsi="Garamond"/>
                <w:lang w:val="en-AU"/>
              </w:rPr>
              <w:t xml:space="preserve"> Yoo Jin Choi</w:t>
            </w:r>
            <w:r>
              <w:rPr>
                <w:rFonts w:ascii="Garamond" w:hAnsi="Garamond"/>
                <w:lang w:val="en-AU"/>
              </w:rPr>
              <w:t>)</w:t>
            </w:r>
          </w:p>
          <w:p w:rsidR="000E077D" w:rsidRPr="000E077D" w:rsidRDefault="000E077D" w:rsidP="000E077D">
            <w:pPr>
              <w:pStyle w:val="ListParagraph"/>
              <w:numPr>
                <w:ilvl w:val="0"/>
                <w:numId w:val="14"/>
              </w:numPr>
              <w:jc w:val="both"/>
              <w:rPr>
                <w:rFonts w:ascii="Garamond" w:hAnsi="Garamond"/>
                <w:lang w:val="en-AU"/>
              </w:rPr>
            </w:pPr>
            <w:r w:rsidRPr="000E077D">
              <w:rPr>
                <w:rFonts w:ascii="Garamond" w:hAnsi="Garamond"/>
                <w:b/>
                <w:lang w:val="en-AU"/>
              </w:rPr>
              <w:t>Anticoagulant medication errors</w:t>
            </w:r>
            <w:r w:rsidRPr="000E077D">
              <w:rPr>
                <w:rFonts w:ascii="Garamond" w:hAnsi="Garamond"/>
                <w:lang w:val="en-AU"/>
              </w:rPr>
              <w:t xml:space="preserve"> in hospitals and primary care: a cross-sectional study (Albert R Dreijer; Jeroen Diepstraten; Vera E Bukkems; Pete</w:t>
            </w:r>
            <w:r>
              <w:rPr>
                <w:rFonts w:ascii="Garamond" w:hAnsi="Garamond"/>
                <w:lang w:val="en-AU"/>
              </w:rPr>
              <w:t xml:space="preserve">r G M Mol; Frank W G Leebeek; </w:t>
            </w:r>
            <w:r w:rsidRPr="000E077D">
              <w:rPr>
                <w:rFonts w:ascii="Garamond" w:hAnsi="Garamond"/>
                <w:lang w:val="en-AU"/>
              </w:rPr>
              <w:t>Marieke J H A Kruip</w:t>
            </w:r>
            <w:r>
              <w:rPr>
                <w:rFonts w:ascii="Garamond" w:hAnsi="Garamond"/>
                <w:lang w:val="en-AU"/>
              </w:rPr>
              <w:t>;</w:t>
            </w:r>
            <w:r w:rsidRPr="000E077D">
              <w:rPr>
                <w:rFonts w:ascii="Garamond" w:hAnsi="Garamond"/>
                <w:lang w:val="en-AU"/>
              </w:rPr>
              <w:t xml:space="preserve"> P M L A van den Bemt</w:t>
            </w:r>
            <w:r>
              <w:rPr>
                <w:rFonts w:ascii="Garamond" w:hAnsi="Garamond"/>
                <w:lang w:val="en-AU"/>
              </w:rPr>
              <w:t>)</w:t>
            </w:r>
          </w:p>
          <w:p w:rsidR="000E077D" w:rsidRPr="000E077D" w:rsidRDefault="000E077D" w:rsidP="000E077D">
            <w:pPr>
              <w:pStyle w:val="ListParagraph"/>
              <w:numPr>
                <w:ilvl w:val="0"/>
                <w:numId w:val="14"/>
              </w:numPr>
              <w:jc w:val="both"/>
              <w:rPr>
                <w:rFonts w:ascii="Garamond" w:hAnsi="Garamond"/>
                <w:lang w:val="en-AU"/>
              </w:rPr>
            </w:pPr>
            <w:r w:rsidRPr="000E077D">
              <w:rPr>
                <w:rFonts w:ascii="Garamond" w:hAnsi="Garamond"/>
                <w:lang w:val="en-AU"/>
              </w:rPr>
              <w:t xml:space="preserve">Overview of </w:t>
            </w:r>
            <w:r w:rsidRPr="000E077D">
              <w:rPr>
                <w:rFonts w:ascii="Garamond" w:hAnsi="Garamond"/>
                <w:b/>
                <w:lang w:val="en-AU"/>
              </w:rPr>
              <w:t>quality management models for inpatient healthcare settings</w:t>
            </w:r>
            <w:r w:rsidRPr="000E077D">
              <w:rPr>
                <w:rFonts w:ascii="Garamond" w:hAnsi="Garamond"/>
                <w:lang w:val="en-AU"/>
              </w:rPr>
              <w:t>. A scoping review (Roxanne Maritz; Anke Scheel-Sailer; Klaus Schmitt; Birgit Prodinger</w:t>
            </w:r>
            <w:r>
              <w:rPr>
                <w:rFonts w:ascii="Garamond" w:hAnsi="Garamond"/>
                <w:lang w:val="en-AU"/>
              </w:rPr>
              <w:t>)</w:t>
            </w:r>
          </w:p>
          <w:p w:rsidR="000E077D" w:rsidRPr="000E077D" w:rsidRDefault="000E077D" w:rsidP="000E077D">
            <w:pPr>
              <w:pStyle w:val="ListParagraph"/>
              <w:numPr>
                <w:ilvl w:val="0"/>
                <w:numId w:val="14"/>
              </w:numPr>
              <w:jc w:val="both"/>
              <w:rPr>
                <w:rFonts w:ascii="Garamond" w:hAnsi="Garamond"/>
                <w:lang w:val="en-AU"/>
              </w:rPr>
            </w:pPr>
            <w:r w:rsidRPr="000E077D">
              <w:rPr>
                <w:rFonts w:ascii="Garamond" w:hAnsi="Garamond"/>
                <w:lang w:val="en-AU"/>
              </w:rPr>
              <w:t xml:space="preserve">Differences in healthcare outcomes between teaching and non teaching hospitals for patients with </w:t>
            </w:r>
            <w:r w:rsidRPr="000E077D">
              <w:rPr>
                <w:rFonts w:ascii="Garamond" w:hAnsi="Garamond"/>
                <w:b/>
                <w:lang w:val="en-AU"/>
              </w:rPr>
              <w:t>delirium</w:t>
            </w:r>
            <w:r w:rsidRPr="000E077D">
              <w:rPr>
                <w:rFonts w:ascii="Garamond" w:hAnsi="Garamond"/>
                <w:lang w:val="en-AU"/>
              </w:rPr>
              <w:t>: a retrospective cohort study (Susrutha Kotwal; Marwan S Abougergi; Scott Wright</w:t>
            </w:r>
            <w:r>
              <w:rPr>
                <w:rFonts w:ascii="Garamond" w:hAnsi="Garamond"/>
                <w:lang w:val="en-AU"/>
              </w:rPr>
              <w:t>)</w:t>
            </w:r>
          </w:p>
          <w:p w:rsidR="008F617D" w:rsidRPr="00DA6435" w:rsidRDefault="000E077D" w:rsidP="000E077D">
            <w:pPr>
              <w:pStyle w:val="ListParagraph"/>
              <w:numPr>
                <w:ilvl w:val="0"/>
                <w:numId w:val="14"/>
              </w:numPr>
              <w:jc w:val="both"/>
              <w:rPr>
                <w:rFonts w:ascii="Garamond" w:hAnsi="Garamond"/>
                <w:lang w:val="en-AU"/>
              </w:rPr>
            </w:pPr>
            <w:r w:rsidRPr="000E077D">
              <w:rPr>
                <w:rFonts w:ascii="Garamond" w:hAnsi="Garamond"/>
                <w:lang w:val="en-AU"/>
              </w:rPr>
              <w:t xml:space="preserve">An international systems-theoretic comparison of </w:t>
            </w:r>
            <w:r w:rsidRPr="000E077D">
              <w:rPr>
                <w:rFonts w:ascii="Garamond" w:hAnsi="Garamond"/>
                <w:b/>
                <w:lang w:val="en-AU"/>
              </w:rPr>
              <w:t>hospital accreditation</w:t>
            </w:r>
            <w:r w:rsidRPr="000E077D">
              <w:rPr>
                <w:rFonts w:ascii="Garamond" w:hAnsi="Garamond"/>
                <w:lang w:val="en-AU"/>
              </w:rPr>
              <w:t xml:space="preserve">: developing an implementation typology </w:t>
            </w:r>
            <w:r>
              <w:rPr>
                <w:rFonts w:ascii="Garamond" w:hAnsi="Garamond"/>
                <w:lang w:val="en-AU"/>
              </w:rPr>
              <w:t>(</w:t>
            </w:r>
            <w:r w:rsidRPr="000E077D">
              <w:rPr>
                <w:rFonts w:ascii="Garamond" w:hAnsi="Garamond"/>
                <w:lang w:val="en-AU"/>
              </w:rPr>
              <w:t>Sheuwen Chuang; Peter H Howley; Shawon S Gonzales</w:t>
            </w:r>
            <w:r>
              <w:rPr>
                <w:rFonts w:ascii="Garamond" w:hAnsi="Garamond"/>
                <w:lang w:val="en-AU"/>
              </w:rPr>
              <w:t>)</w:t>
            </w:r>
          </w:p>
        </w:tc>
      </w:tr>
    </w:tbl>
    <w:p w:rsidR="009A34AA" w:rsidRDefault="009A34AA" w:rsidP="00070CFE">
      <w:pPr>
        <w:rPr>
          <w:rFonts w:ascii="Garamond" w:hAnsi="Garamond"/>
          <w:lang w:val="en-AU"/>
        </w:rPr>
      </w:pPr>
    </w:p>
    <w:p w:rsidR="005C1511" w:rsidRDefault="005C1511">
      <w:pPr>
        <w:rPr>
          <w:rFonts w:ascii="Garamond" w:hAnsi="Garamond"/>
          <w:b/>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D24202" w:rsidRPr="007A47A8" w:rsidRDefault="00D24202" w:rsidP="00D24202">
      <w:pPr>
        <w:keepNext/>
        <w:keepLines/>
        <w:rPr>
          <w:rFonts w:ascii="Garamond" w:hAnsi="Garamond"/>
          <w:i/>
          <w:lang w:val="en-AU"/>
        </w:rPr>
      </w:pPr>
      <w:r w:rsidRPr="007A47A8">
        <w:rPr>
          <w:rFonts w:ascii="Garamond" w:hAnsi="Garamond"/>
          <w:i/>
          <w:lang w:val="en-AU"/>
        </w:rPr>
        <w:t>[UK] National Institute for Health Research</w:t>
      </w:r>
    </w:p>
    <w:p w:rsidR="00D24202" w:rsidRPr="007A47A8" w:rsidRDefault="00D24202" w:rsidP="00D24202">
      <w:pPr>
        <w:keepNext/>
        <w:keepLines/>
        <w:rPr>
          <w:rStyle w:val="Hyperlink"/>
          <w:rFonts w:ascii="Garamond" w:hAnsi="Garamond"/>
          <w:lang w:val="en-AU"/>
        </w:rPr>
      </w:pPr>
      <w:r w:rsidRPr="0054200E">
        <w:rPr>
          <w:rStyle w:val="Hyperlink"/>
          <w:rFonts w:ascii="Garamond" w:hAnsi="Garamond"/>
          <w:lang w:val="en-AU"/>
        </w:rPr>
        <w:t>https://discover.dc.nihr.ac.uk/portal/search/signals</w:t>
      </w:r>
    </w:p>
    <w:p w:rsidR="00D24202" w:rsidRDefault="00D24202" w:rsidP="00D24202">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E3549F" w:rsidRPr="00E3549F" w:rsidRDefault="00E3549F" w:rsidP="00E3549F">
      <w:pPr>
        <w:pStyle w:val="ListParagraph"/>
        <w:keepNext/>
        <w:keepLines/>
        <w:numPr>
          <w:ilvl w:val="0"/>
          <w:numId w:val="14"/>
        </w:numPr>
        <w:rPr>
          <w:rFonts w:ascii="Garamond" w:hAnsi="Garamond"/>
          <w:lang w:val="en-AU"/>
        </w:rPr>
      </w:pPr>
      <w:r w:rsidRPr="00E3549F">
        <w:rPr>
          <w:rFonts w:ascii="Garamond" w:hAnsi="Garamond"/>
          <w:lang w:val="en-AU"/>
        </w:rPr>
        <w:t xml:space="preserve">Cognitive behavioural therapy could benefit </w:t>
      </w:r>
      <w:r w:rsidRPr="00E3549F">
        <w:rPr>
          <w:rFonts w:ascii="Garamond" w:hAnsi="Garamond"/>
          <w:b/>
          <w:lang w:val="en-AU"/>
        </w:rPr>
        <w:t>adults</w:t>
      </w:r>
      <w:r w:rsidRPr="00E3549F">
        <w:rPr>
          <w:rFonts w:ascii="Garamond" w:hAnsi="Garamond"/>
          <w:lang w:val="en-AU"/>
        </w:rPr>
        <w:t xml:space="preserve"> with </w:t>
      </w:r>
      <w:r w:rsidRPr="00E3549F">
        <w:rPr>
          <w:rFonts w:ascii="Garamond" w:hAnsi="Garamond"/>
          <w:b/>
          <w:lang w:val="en-AU"/>
        </w:rPr>
        <w:t xml:space="preserve">attention deficit hyperactivity disorder </w:t>
      </w:r>
      <w:r w:rsidRPr="00E3549F">
        <w:rPr>
          <w:rFonts w:ascii="Garamond" w:hAnsi="Garamond"/>
          <w:lang w:val="en-AU"/>
        </w:rPr>
        <w:t xml:space="preserve">(ADHD) </w:t>
      </w:r>
    </w:p>
    <w:p w:rsidR="00E3549F" w:rsidRPr="00E3549F" w:rsidRDefault="00E3549F" w:rsidP="00E3549F">
      <w:pPr>
        <w:pStyle w:val="ListParagraph"/>
        <w:keepNext/>
        <w:keepLines/>
        <w:numPr>
          <w:ilvl w:val="0"/>
          <w:numId w:val="14"/>
        </w:numPr>
        <w:rPr>
          <w:rFonts w:ascii="Garamond" w:hAnsi="Garamond"/>
          <w:lang w:val="en-AU"/>
        </w:rPr>
      </w:pPr>
      <w:r w:rsidRPr="00E3549F">
        <w:rPr>
          <w:rFonts w:ascii="Garamond" w:hAnsi="Garamond"/>
          <w:lang w:val="en-AU"/>
        </w:rPr>
        <w:t xml:space="preserve">People with </w:t>
      </w:r>
      <w:r w:rsidRPr="00E3549F">
        <w:rPr>
          <w:rFonts w:ascii="Garamond" w:hAnsi="Garamond"/>
          <w:b/>
          <w:lang w:val="en-AU"/>
        </w:rPr>
        <w:t>osteoarthritis</w:t>
      </w:r>
      <w:r w:rsidRPr="00E3549F">
        <w:rPr>
          <w:rFonts w:ascii="Garamond" w:hAnsi="Garamond"/>
          <w:lang w:val="en-AU"/>
        </w:rPr>
        <w:t xml:space="preserve"> can benefit from exercise but may harbour</w:t>
      </w:r>
      <w:r>
        <w:rPr>
          <w:rFonts w:ascii="Garamond" w:hAnsi="Garamond"/>
          <w:lang w:val="en-AU"/>
        </w:rPr>
        <w:t xml:space="preserve"> myths about safety</w:t>
      </w:r>
    </w:p>
    <w:p w:rsidR="00E3549F" w:rsidRPr="00E3549F" w:rsidRDefault="00E3549F" w:rsidP="00E3549F">
      <w:pPr>
        <w:pStyle w:val="ListParagraph"/>
        <w:keepNext/>
        <w:keepLines/>
        <w:numPr>
          <w:ilvl w:val="0"/>
          <w:numId w:val="14"/>
        </w:numPr>
        <w:rPr>
          <w:rFonts w:ascii="Garamond" w:hAnsi="Garamond"/>
          <w:lang w:val="en-AU"/>
        </w:rPr>
      </w:pPr>
      <w:r w:rsidRPr="00E3549F">
        <w:rPr>
          <w:rFonts w:ascii="Garamond" w:hAnsi="Garamond"/>
          <w:lang w:val="en-AU"/>
        </w:rPr>
        <w:t xml:space="preserve">‘Virtual wards’ reduce readmissions in people after hospitalisation for </w:t>
      </w:r>
      <w:r w:rsidRPr="00E3549F">
        <w:rPr>
          <w:rFonts w:ascii="Garamond" w:hAnsi="Garamond"/>
          <w:b/>
          <w:lang w:val="en-AU"/>
        </w:rPr>
        <w:t>heart failure</w:t>
      </w:r>
    </w:p>
    <w:p w:rsidR="00E3549F" w:rsidRPr="00E3549F" w:rsidRDefault="00E3549F" w:rsidP="00E3549F">
      <w:pPr>
        <w:pStyle w:val="ListParagraph"/>
        <w:keepNext/>
        <w:keepLines/>
        <w:numPr>
          <w:ilvl w:val="0"/>
          <w:numId w:val="14"/>
        </w:numPr>
        <w:rPr>
          <w:rFonts w:ascii="Garamond" w:hAnsi="Garamond"/>
          <w:lang w:val="en-AU"/>
        </w:rPr>
      </w:pPr>
      <w:r w:rsidRPr="00E3549F">
        <w:rPr>
          <w:rFonts w:ascii="Garamond" w:hAnsi="Garamond"/>
          <w:lang w:val="en-AU"/>
        </w:rPr>
        <w:t xml:space="preserve">Daily low-dose antibiotics halve </w:t>
      </w:r>
      <w:r w:rsidRPr="00E3549F">
        <w:rPr>
          <w:rFonts w:ascii="Garamond" w:hAnsi="Garamond"/>
          <w:b/>
          <w:lang w:val="en-AU"/>
        </w:rPr>
        <w:t>urinary tract infections</w:t>
      </w:r>
      <w:r>
        <w:rPr>
          <w:rFonts w:ascii="Garamond" w:hAnsi="Garamond"/>
          <w:lang w:val="en-AU"/>
        </w:rPr>
        <w:t xml:space="preserve"> in people who self-catheterise</w:t>
      </w:r>
    </w:p>
    <w:p w:rsidR="00E3549F" w:rsidRPr="00E3549F" w:rsidRDefault="00E3549F" w:rsidP="00E3549F">
      <w:pPr>
        <w:pStyle w:val="ListParagraph"/>
        <w:keepNext/>
        <w:keepLines/>
        <w:numPr>
          <w:ilvl w:val="0"/>
          <w:numId w:val="14"/>
        </w:numPr>
        <w:rPr>
          <w:rFonts w:ascii="Garamond" w:hAnsi="Garamond"/>
          <w:lang w:val="en-AU"/>
        </w:rPr>
      </w:pPr>
      <w:r w:rsidRPr="00E3549F">
        <w:rPr>
          <w:rFonts w:ascii="Garamond" w:hAnsi="Garamond"/>
          <w:lang w:val="en-AU"/>
        </w:rPr>
        <w:t xml:space="preserve">UK-wide study reveals a pattern of delay in referrals to specialist </w:t>
      </w:r>
      <w:r w:rsidRPr="00E3549F">
        <w:rPr>
          <w:rFonts w:ascii="Garamond" w:hAnsi="Garamond"/>
          <w:b/>
          <w:lang w:val="en-AU"/>
        </w:rPr>
        <w:t>end-of-life care</w:t>
      </w:r>
    </w:p>
    <w:p w:rsidR="00E3549F" w:rsidRPr="00E3549F" w:rsidRDefault="00E3549F" w:rsidP="00E3549F">
      <w:pPr>
        <w:pStyle w:val="ListParagraph"/>
        <w:keepNext/>
        <w:keepLines/>
        <w:numPr>
          <w:ilvl w:val="0"/>
          <w:numId w:val="14"/>
        </w:numPr>
        <w:rPr>
          <w:rFonts w:ascii="Garamond" w:hAnsi="Garamond"/>
          <w:lang w:val="en-AU"/>
        </w:rPr>
      </w:pPr>
      <w:r w:rsidRPr="00E3549F">
        <w:rPr>
          <w:rFonts w:ascii="Garamond" w:hAnsi="Garamond"/>
          <w:lang w:val="en-AU"/>
        </w:rPr>
        <w:t xml:space="preserve">Adding emollients to the bath unlikely to help children with </w:t>
      </w:r>
      <w:r w:rsidRPr="00E3549F">
        <w:rPr>
          <w:rFonts w:ascii="Garamond" w:hAnsi="Garamond"/>
          <w:b/>
          <w:lang w:val="en-AU"/>
        </w:rPr>
        <w:t>eczema</w:t>
      </w:r>
    </w:p>
    <w:p w:rsidR="00E3549F" w:rsidRPr="00E3549F" w:rsidRDefault="00E3549F" w:rsidP="00E3549F">
      <w:pPr>
        <w:pStyle w:val="ListParagraph"/>
        <w:keepNext/>
        <w:keepLines/>
        <w:numPr>
          <w:ilvl w:val="0"/>
          <w:numId w:val="14"/>
        </w:numPr>
        <w:rPr>
          <w:rFonts w:ascii="Garamond" w:hAnsi="Garamond"/>
          <w:lang w:val="en-AU"/>
        </w:rPr>
      </w:pPr>
      <w:r w:rsidRPr="00E3549F">
        <w:rPr>
          <w:rFonts w:ascii="Garamond" w:hAnsi="Garamond"/>
          <w:lang w:val="en-AU"/>
        </w:rPr>
        <w:t>Factors in men’s choice of active surveillan</w:t>
      </w:r>
      <w:r>
        <w:rPr>
          <w:rFonts w:ascii="Garamond" w:hAnsi="Garamond"/>
          <w:lang w:val="en-AU"/>
        </w:rPr>
        <w:t xml:space="preserve">ce for </w:t>
      </w:r>
      <w:r w:rsidRPr="00E3549F">
        <w:rPr>
          <w:rFonts w:ascii="Garamond" w:hAnsi="Garamond"/>
          <w:b/>
          <w:lang w:val="en-AU"/>
        </w:rPr>
        <w:t>low-risk prostate cancer</w:t>
      </w:r>
    </w:p>
    <w:p w:rsidR="00E3549F" w:rsidRPr="00E3549F" w:rsidRDefault="00E3549F" w:rsidP="00E3549F">
      <w:pPr>
        <w:pStyle w:val="ListParagraph"/>
        <w:keepNext/>
        <w:keepLines/>
        <w:numPr>
          <w:ilvl w:val="0"/>
          <w:numId w:val="14"/>
        </w:numPr>
        <w:rPr>
          <w:rFonts w:ascii="Garamond" w:hAnsi="Garamond"/>
          <w:lang w:val="en-AU"/>
        </w:rPr>
      </w:pPr>
      <w:r w:rsidRPr="00E3549F">
        <w:rPr>
          <w:rFonts w:ascii="Garamond" w:hAnsi="Garamond"/>
          <w:lang w:val="en-AU"/>
        </w:rPr>
        <w:t xml:space="preserve">Music can reduce pain and anxiety following </w:t>
      </w:r>
      <w:r w:rsidRPr="00E3549F">
        <w:rPr>
          <w:rFonts w:ascii="Garamond" w:hAnsi="Garamond"/>
          <w:b/>
          <w:lang w:val="en-AU"/>
        </w:rPr>
        <w:t>surgery</w:t>
      </w:r>
    </w:p>
    <w:p w:rsidR="00D24202" w:rsidRPr="00D24202" w:rsidRDefault="00E3549F" w:rsidP="00E3549F">
      <w:pPr>
        <w:pStyle w:val="ListParagraph"/>
        <w:keepNext/>
        <w:keepLines/>
        <w:numPr>
          <w:ilvl w:val="0"/>
          <w:numId w:val="14"/>
        </w:numPr>
        <w:rPr>
          <w:rFonts w:ascii="Garamond" w:hAnsi="Garamond"/>
          <w:lang w:val="en-AU"/>
        </w:rPr>
      </w:pPr>
      <w:r w:rsidRPr="00E3549F">
        <w:rPr>
          <w:rFonts w:ascii="Garamond" w:hAnsi="Garamond"/>
          <w:lang w:val="en-AU"/>
        </w:rPr>
        <w:t xml:space="preserve">A fifth of people, who have no improvement on </w:t>
      </w:r>
      <w:r w:rsidRPr="00E3549F">
        <w:rPr>
          <w:rFonts w:ascii="Garamond" w:hAnsi="Garamond"/>
          <w:b/>
          <w:lang w:val="en-AU"/>
        </w:rPr>
        <w:t>antidepressants</w:t>
      </w:r>
      <w:r w:rsidRPr="00E3549F">
        <w:rPr>
          <w:rFonts w:ascii="Garamond" w:hAnsi="Garamond"/>
          <w:lang w:val="en-AU"/>
        </w:rPr>
        <w:t xml:space="preserve"> at four weeks, respond if given more time</w:t>
      </w:r>
      <w:r>
        <w:rPr>
          <w:rFonts w:ascii="Garamond" w:hAnsi="Garamond"/>
          <w:lang w:val="en-AU"/>
        </w:rPr>
        <w:t>.</w:t>
      </w:r>
    </w:p>
    <w:p w:rsidR="00D24202" w:rsidRDefault="00D24202" w:rsidP="00EC0C87">
      <w:pPr>
        <w:keepLines/>
        <w:rPr>
          <w:rFonts w:ascii="Garamond" w:hAnsi="Garamond"/>
          <w:lang w:val="en-AU"/>
        </w:rPr>
      </w:pPr>
    </w:p>
    <w:p w:rsidR="00D144E9" w:rsidRDefault="00D144E9">
      <w:pPr>
        <w:rPr>
          <w:rFonts w:ascii="Garamond" w:hAnsi="Garamond"/>
          <w:i/>
          <w:lang w:val="en-AU"/>
        </w:rPr>
      </w:pPr>
      <w:r>
        <w:rPr>
          <w:rFonts w:ascii="Garamond" w:hAnsi="Garamond"/>
          <w:i/>
          <w:lang w:val="en-AU"/>
        </w:rPr>
        <w:br w:type="page"/>
      </w:r>
    </w:p>
    <w:p w:rsidR="00D144E9" w:rsidRPr="006F3731" w:rsidRDefault="00D144E9" w:rsidP="00D144E9">
      <w:pPr>
        <w:rPr>
          <w:rFonts w:ascii="Garamond" w:hAnsi="Garamond"/>
          <w:i/>
          <w:lang w:val="en-AU"/>
        </w:rPr>
      </w:pPr>
      <w:r w:rsidRPr="006F3731">
        <w:rPr>
          <w:rFonts w:ascii="Garamond" w:hAnsi="Garamond"/>
          <w:i/>
          <w:lang w:val="en-AU"/>
        </w:rPr>
        <w:lastRenderedPageBreak/>
        <w:t>[USA] CDC's Antibiotic Stewardship Training Series</w:t>
      </w:r>
    </w:p>
    <w:bookmarkStart w:id="1" w:name="_GoBack"/>
    <w:p w:rsidR="00D144E9" w:rsidRDefault="00E2164F" w:rsidP="00D144E9">
      <w:pPr>
        <w:rPr>
          <w:rFonts w:ascii="Garamond" w:hAnsi="Garamond"/>
          <w:lang w:val="en-AU"/>
        </w:rPr>
      </w:pPr>
      <w:r>
        <w:fldChar w:fldCharType="begin"/>
      </w:r>
      <w:r>
        <w:instrText xml:space="preserve"> HYPERLINK "https://www.train.org/cdctrain/training_plan/3697" </w:instrText>
      </w:r>
      <w:r>
        <w:fldChar w:fldCharType="separate"/>
      </w:r>
      <w:r w:rsidR="00D144E9" w:rsidRPr="005A31E6">
        <w:rPr>
          <w:rStyle w:val="Hyperlink"/>
          <w:rFonts w:ascii="Garamond" w:hAnsi="Garamond"/>
          <w:lang w:val="en-AU"/>
        </w:rPr>
        <w:t>https://www.train.org/cdctrain/training_plan/3697</w:t>
      </w:r>
      <w:r>
        <w:rPr>
          <w:rStyle w:val="Hyperlink"/>
          <w:rFonts w:ascii="Garamond" w:hAnsi="Garamond"/>
          <w:lang w:val="en-AU"/>
        </w:rPr>
        <w:fldChar w:fldCharType="end"/>
      </w:r>
    </w:p>
    <w:p w:rsidR="00D144E9" w:rsidRDefault="00D144E9" w:rsidP="00D144E9">
      <w:pPr>
        <w:rPr>
          <w:rFonts w:ascii="Garamond" w:hAnsi="Garamond"/>
          <w:lang w:val="en-AU"/>
        </w:rPr>
      </w:pPr>
      <w:r>
        <w:rPr>
          <w:rFonts w:ascii="Garamond" w:hAnsi="Garamond"/>
          <w:lang w:val="en-AU"/>
        </w:rPr>
        <w:t xml:space="preserve">The [US] </w:t>
      </w:r>
      <w:r w:rsidRPr="006F3731">
        <w:rPr>
          <w:rFonts w:ascii="Garamond" w:hAnsi="Garamond"/>
          <w:lang w:val="en-AU"/>
        </w:rPr>
        <w:t xml:space="preserve">Centers for Disease Control and Prevention </w:t>
      </w:r>
      <w:r>
        <w:rPr>
          <w:rFonts w:ascii="Garamond" w:hAnsi="Garamond"/>
          <w:lang w:val="en-AU"/>
        </w:rPr>
        <w:t xml:space="preserve">has </w:t>
      </w:r>
      <w:r w:rsidRPr="006F3731">
        <w:rPr>
          <w:rFonts w:ascii="Garamond" w:hAnsi="Garamond"/>
          <w:lang w:val="en-AU"/>
        </w:rPr>
        <w:t>posted the final two modules in its four-part free online antibiotic stewardship training series. The new modules address antibiotic stewardship for urinary tract infections (UTIs), skin and other soft-tissue infections, and upper and lower respiratory tract infections and conditions, along with considerations for dental offices, emergency departments, hospitals, and nursing homes</w:t>
      </w:r>
      <w:r>
        <w:rPr>
          <w:rFonts w:ascii="Garamond" w:hAnsi="Garamond"/>
          <w:lang w:val="en-AU"/>
        </w:rPr>
        <w:t>.</w:t>
      </w:r>
    </w:p>
    <w:p w:rsidR="00D144E9" w:rsidRDefault="00D144E9" w:rsidP="00D144E9">
      <w:pPr>
        <w:rPr>
          <w:rFonts w:ascii="Garamond" w:hAnsi="Garamond"/>
          <w:lang w:val="en-AU"/>
        </w:rPr>
      </w:pPr>
    </w:p>
    <w:p w:rsidR="00D144E9" w:rsidRDefault="00D144E9" w:rsidP="00D144E9">
      <w:pPr>
        <w:rPr>
          <w:rFonts w:ascii="Garamond" w:hAnsi="Garamond"/>
          <w:lang w:val="en-AU"/>
        </w:rPr>
      </w:pPr>
      <w:r>
        <w:rPr>
          <w:rFonts w:ascii="Garamond" w:hAnsi="Garamond"/>
          <w:lang w:val="en-AU"/>
        </w:rPr>
        <w:t xml:space="preserve">For information about the Commission’s work on antimicrobial stewardship, see </w:t>
      </w:r>
      <w:hyperlink r:id="rId28" w:history="1">
        <w:r w:rsidRPr="005A31E6">
          <w:rPr>
            <w:rStyle w:val="Hyperlink"/>
            <w:rFonts w:ascii="Garamond" w:hAnsi="Garamond"/>
            <w:lang w:val="en-AU"/>
          </w:rPr>
          <w:t>https://www.safetyandquality.gov.au/our-work/healthcare-associated-infection/antimicrobial-stewardship/</w:t>
        </w:r>
      </w:hyperlink>
    </w:p>
    <w:bookmarkEnd w:id="1"/>
    <w:p w:rsidR="00D144E9" w:rsidRDefault="00D144E9" w:rsidP="00D144E9">
      <w:pPr>
        <w:keepLines/>
        <w:jc w:val="both"/>
        <w:rPr>
          <w:rFonts w:ascii="Garamond" w:hAnsi="Garamond"/>
          <w:lang w:val="en-AU"/>
        </w:rPr>
      </w:pPr>
    </w:p>
    <w:p w:rsidR="00D144E9" w:rsidRPr="004964A4" w:rsidRDefault="00D144E9" w:rsidP="00EC0C87">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29"/>
      <w:footerReference w:type="default" r:id="rId3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7D" w:rsidRDefault="00146D7D">
      <w:r>
        <w:separator/>
      </w:r>
    </w:p>
  </w:endnote>
  <w:endnote w:type="continuationSeparator" w:id="0">
    <w:p w:rsidR="00146D7D" w:rsidRDefault="0014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7D" w:rsidRDefault="00146D7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2164F">
      <w:rPr>
        <w:rStyle w:val="PageNumber"/>
        <w:noProof/>
      </w:rPr>
      <w:t>6</w:t>
    </w:r>
    <w:r>
      <w:rPr>
        <w:rStyle w:val="PageNumber"/>
      </w:rPr>
      <w:fldChar w:fldCharType="end"/>
    </w:r>
  </w:p>
  <w:p w:rsidR="00146D7D" w:rsidRPr="001E78F0" w:rsidRDefault="00146D7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C81CB9">
      <w:rPr>
        <w:rFonts w:ascii="Garamond" w:hAnsi="Garamond"/>
      </w:rPr>
      <w:t xml:space="preserve"> Issue 38</w:t>
    </w:r>
    <w:r w:rsidR="008C7B4B">
      <w:rPr>
        <w:rFonts w:ascii="Garamond" w:hAnsi="Garamond"/>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7D" w:rsidRPr="001E78F0" w:rsidRDefault="00146D7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E2164F">
      <w:rPr>
        <w:rStyle w:val="PageNumber"/>
        <w:rFonts w:ascii="Garamond" w:hAnsi="Garamond"/>
        <w:noProof/>
      </w:rPr>
      <w:t>5</w:t>
    </w:r>
    <w:r w:rsidRPr="001E78F0">
      <w:rPr>
        <w:rStyle w:val="PageNumber"/>
        <w:rFonts w:ascii="Garamond" w:hAnsi="Garamond"/>
      </w:rPr>
      <w:fldChar w:fldCharType="end"/>
    </w:r>
  </w:p>
  <w:p w:rsidR="00146D7D" w:rsidRPr="001E78F0" w:rsidRDefault="00146D7D"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8C7B4B">
      <w:rPr>
        <w:rFonts w:ascii="Garamond" w:hAnsi="Garamond"/>
      </w:rPr>
      <w:t xml:space="preserve"> Issue 385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7D" w:rsidRDefault="00146D7D">
      <w:r>
        <w:separator/>
      </w:r>
    </w:p>
  </w:footnote>
  <w:footnote w:type="continuationSeparator" w:id="0">
    <w:p w:rsidR="00146D7D" w:rsidRDefault="00146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A37D7"/>
    <w:multiLevelType w:val="hybridMultilevel"/>
    <w:tmpl w:val="D52E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D3E36E7"/>
    <w:multiLevelType w:val="hybridMultilevel"/>
    <w:tmpl w:val="121C0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AA5733"/>
    <w:multiLevelType w:val="hybridMultilevel"/>
    <w:tmpl w:val="FD18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9A64BC"/>
    <w:multiLevelType w:val="hybridMultilevel"/>
    <w:tmpl w:val="839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E608CC"/>
    <w:multiLevelType w:val="hybridMultilevel"/>
    <w:tmpl w:val="7A36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951E6D"/>
    <w:multiLevelType w:val="hybridMultilevel"/>
    <w:tmpl w:val="D3BC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5B58A0"/>
    <w:multiLevelType w:val="hybridMultilevel"/>
    <w:tmpl w:val="75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46B32EB"/>
    <w:multiLevelType w:val="hybridMultilevel"/>
    <w:tmpl w:val="6028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0D2370"/>
    <w:multiLevelType w:val="hybridMultilevel"/>
    <w:tmpl w:val="4E1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E041D6"/>
    <w:multiLevelType w:val="hybridMultilevel"/>
    <w:tmpl w:val="F710E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8"/>
  </w:num>
  <w:num w:numId="15">
    <w:abstractNumId w:val="19"/>
  </w:num>
  <w:num w:numId="16">
    <w:abstractNumId w:val="12"/>
  </w:num>
  <w:num w:numId="17">
    <w:abstractNumId w:val="14"/>
  </w:num>
  <w:num w:numId="18">
    <w:abstractNumId w:val="22"/>
  </w:num>
  <w:num w:numId="19">
    <w:abstractNumId w:val="21"/>
  </w:num>
  <w:num w:numId="20">
    <w:abstractNumId w:val="15"/>
  </w:num>
  <w:num w:numId="21">
    <w:abstractNumId w:val="13"/>
  </w:num>
  <w:num w:numId="22">
    <w:abstractNumId w:val="10"/>
  </w:num>
  <w:num w:numId="23">
    <w:abstractNumId w:val="16"/>
  </w:num>
  <w:num w:numId="24">
    <w:abstractNumId w:val="11"/>
  </w:num>
  <w:num w:numId="2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77D"/>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7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94"/>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AEC"/>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8B"/>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4D5A"/>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7F2"/>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829"/>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4B3"/>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2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766"/>
    <w:rsid w:val="00743AF2"/>
    <w:rsid w:val="007442A3"/>
    <w:rsid w:val="007442C9"/>
    <w:rsid w:val="007444B0"/>
    <w:rsid w:val="00744805"/>
    <w:rsid w:val="007448AE"/>
    <w:rsid w:val="00744911"/>
    <w:rsid w:val="0074499B"/>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15C"/>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4C"/>
    <w:rsid w:val="0098457B"/>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77"/>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2B3"/>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F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579"/>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4E9"/>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202"/>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4F"/>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49F"/>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0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13B"/>
    <w:rsid w:val="00FF5448"/>
    <w:rsid w:val="00FF54E0"/>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racgp.org.au/your-practice/guidelines/musculoskeletal/hipandkneeosteoarthritis/" TargetMode="External"/><Relationship Id="rId26" Type="http://schemas.openxmlformats.org/officeDocument/2006/relationships/hyperlink" Target="https://qualitysafety.bmj.com/content/early/recent" TargetMode="External"/><Relationship Id="rId3" Type="http://schemas.openxmlformats.org/officeDocument/2006/relationships/styles" Target="styles.xml"/><Relationship Id="rId21" Type="http://schemas.openxmlformats.org/officeDocument/2006/relationships/hyperlink" Target="https://www.safetyandquality.gov.au/our-work/shared-decision-making/"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health.org.uk/reducing-emergency-admissions-better-manage-long-term-conditions" TargetMode="External"/><Relationship Id="rId25" Type="http://schemas.openxmlformats.org/officeDocument/2006/relationships/hyperlink" Target="https://doi.org/10.1097/NCQ.0000000000000334" TargetMode="External"/><Relationship Id="rId2" Type="http://schemas.openxmlformats.org/officeDocument/2006/relationships/numbering" Target="numbering.xml"/><Relationship Id="rId16" Type="http://schemas.openxmlformats.org/officeDocument/2006/relationships/hyperlink" Target="https://doi.org/10.17226/25152" TargetMode="External"/><Relationship Id="rId20" Type="http://schemas.openxmlformats.org/officeDocument/2006/relationships/hyperlink" Target="https://www.safetyandquality.gov.au/our-work/clinical-care-standard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www.safetyandquality.gov.au/our-work/medication-safe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1093/intqhc/mzy177" TargetMode="External"/><Relationship Id="rId28" Type="http://schemas.openxmlformats.org/officeDocument/2006/relationships/hyperlink" Target="https://www.safetyandquality.gov.au/our-work/healthcare-associated-infection/antimicrobial-stewardship/"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blogs.bmj.com/bmj/2018/08/29/when-patients-choose-wisely-empowering-patients-with-evidence-to-resist-low-value-car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bhi.nsw.gov.au/BHI_reports/healthcare_in_focus/2017" TargetMode="External"/><Relationship Id="rId27" Type="http://schemas.openxmlformats.org/officeDocument/2006/relationships/hyperlink" Target="https://academic.oup.com/intqhc/advance-acces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F523A-423D-4D05-A6C1-6D6DC983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6</Pages>
  <Words>2319</Words>
  <Characters>14449</Characters>
  <Application>Microsoft Office Word</Application>
  <DocSecurity>0</DocSecurity>
  <Lines>307</Lines>
  <Paragraphs>153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16615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17</cp:revision>
  <cp:lastPrinted>2018-03-02T02:34:00Z</cp:lastPrinted>
  <dcterms:created xsi:type="dcterms:W3CDTF">2018-08-26T22:00:00Z</dcterms:created>
  <dcterms:modified xsi:type="dcterms:W3CDTF">2018-08-31T05:24:00Z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