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1F0F10">
      <w:pPr>
        <w:pStyle w:val="Heading1"/>
        <w:ind w:left="2160" w:hanging="216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DE7ED3">
        <w:rPr>
          <w:rFonts w:ascii="Bookman Old Style" w:hAnsi="Bookman Old Style"/>
          <w:sz w:val="48"/>
          <w:szCs w:val="48"/>
          <w:lang w:val="en-AU"/>
        </w:rPr>
        <w:t>O</w:t>
      </w:r>
      <w:r w:rsidR="00B160EF" w:rsidRPr="000170DA">
        <w:rPr>
          <w:rFonts w:ascii="Bookman Old Style" w:hAnsi="Bookman Old Style"/>
          <w:sz w:val="48"/>
          <w:szCs w:val="48"/>
          <w:lang w:val="en-AU"/>
        </w:rPr>
        <w:t>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D763DB">
        <w:rPr>
          <w:rFonts w:ascii="Garamond" w:hAnsi="Garamond"/>
          <w:color w:val="000000"/>
          <w:lang w:val="en-AU"/>
        </w:rPr>
        <w:t>9</w:t>
      </w:r>
      <w:r w:rsidR="00C8358F">
        <w:rPr>
          <w:rFonts w:ascii="Garamond" w:hAnsi="Garamond"/>
          <w:color w:val="000000"/>
          <w:lang w:val="en-AU"/>
        </w:rPr>
        <w:t>1</w:t>
      </w:r>
    </w:p>
    <w:p w:rsidR="00755242" w:rsidRPr="00467B47" w:rsidRDefault="00C8358F" w:rsidP="00F738B5">
      <w:pPr>
        <w:rPr>
          <w:rFonts w:ascii="Garamond" w:hAnsi="Garamond"/>
          <w:lang w:val="en-AU"/>
        </w:rPr>
      </w:pPr>
      <w:r>
        <w:rPr>
          <w:rFonts w:ascii="Garamond" w:hAnsi="Garamond"/>
          <w:lang w:val="en-AU"/>
        </w:rPr>
        <w:t>15</w:t>
      </w:r>
      <w:r w:rsidR="008C7B4B">
        <w:rPr>
          <w:rFonts w:ascii="Garamond" w:hAnsi="Garamond"/>
          <w:lang w:val="en-AU"/>
        </w:rPr>
        <w:t xml:space="preserve"> </w:t>
      </w:r>
      <w:r w:rsidR="00D763DB">
        <w:rPr>
          <w:rFonts w:ascii="Garamond" w:hAnsi="Garamond"/>
          <w:lang w:val="en-AU"/>
        </w:rPr>
        <w:t>Oc</w:t>
      </w:r>
      <w:r w:rsidR="008C7B4B">
        <w:rPr>
          <w:rFonts w:ascii="Garamond" w:hAnsi="Garamond"/>
          <w:lang w:val="en-AU"/>
        </w:rPr>
        <w:t>t</w:t>
      </w:r>
      <w:r w:rsidR="00D763DB">
        <w:rPr>
          <w:rFonts w:ascii="Garamond" w:hAnsi="Garamond"/>
          <w:lang w:val="en-AU"/>
        </w:rPr>
        <w:t>obe</w:t>
      </w:r>
      <w:r w:rsidR="008C7B4B">
        <w:rPr>
          <w:rFonts w:ascii="Garamond" w:hAnsi="Garamond"/>
          <w:lang w:val="en-AU"/>
        </w:rPr>
        <w:t xml:space="preserve">r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 xml:space="preserve">Niall </w:t>
      </w:r>
      <w:proofErr w:type="gramStart"/>
      <w:r w:rsidR="0056339A" w:rsidRPr="00467B47">
        <w:rPr>
          <w:rFonts w:ascii="Garamond" w:hAnsi="Garamond"/>
          <w:bCs/>
          <w:lang w:val="en-AU"/>
        </w:rPr>
        <w:t>Johnson</w:t>
      </w:r>
      <w:bookmarkEnd w:id="0"/>
      <w:r w:rsidR="00F70D6D" w:rsidRPr="00F70D6D">
        <w:rPr>
          <w:rFonts w:ascii="Arial" w:hAnsi="Arial" w:cs="Arial"/>
          <w:color w:val="717171"/>
          <w:sz w:val="18"/>
          <w:szCs w:val="18"/>
          <w:shd w:val="clear" w:color="auto" w:fill="FFFFFF"/>
        </w:rPr>
        <w:t xml:space="preserve"> </w:t>
      </w:r>
      <w:r w:rsidR="00F70D6D">
        <w:rPr>
          <w:rFonts w:ascii="Arial" w:hAnsi="Arial" w:cs="Arial"/>
          <w:color w:val="717171"/>
          <w:sz w:val="18"/>
          <w:szCs w:val="18"/>
          <w:shd w:val="clear" w:color="auto" w:fill="FFFFFF"/>
        </w:rPr>
        <w:t>,</w:t>
      </w:r>
      <w:proofErr w:type="gramEnd"/>
      <w:r w:rsidR="00F70D6D">
        <w:rPr>
          <w:rFonts w:ascii="Arial" w:hAnsi="Arial" w:cs="Arial"/>
          <w:color w:val="717171"/>
          <w:sz w:val="18"/>
          <w:szCs w:val="18"/>
          <w:shd w:val="clear" w:color="auto" w:fill="FFFFFF"/>
        </w:rPr>
        <w:t xml:space="preserve"> Emma </w:t>
      </w:r>
      <w:proofErr w:type="spellStart"/>
      <w:r w:rsidR="00F70D6D">
        <w:rPr>
          <w:rFonts w:ascii="Arial" w:hAnsi="Arial" w:cs="Arial"/>
          <w:color w:val="717171"/>
          <w:sz w:val="18"/>
          <w:szCs w:val="18"/>
          <w:shd w:val="clear" w:color="auto" w:fill="FFFFFF"/>
        </w:rPr>
        <w:t>Mathison</w:t>
      </w:r>
      <w:proofErr w:type="spellEnd"/>
    </w:p>
    <w:p w:rsidR="0022004C" w:rsidRDefault="0022004C" w:rsidP="00691DE3">
      <w:pPr>
        <w:keepLines/>
        <w:autoSpaceDE w:val="0"/>
        <w:autoSpaceDN w:val="0"/>
        <w:adjustRightInd w:val="0"/>
        <w:rPr>
          <w:rFonts w:ascii="Garamond" w:hAnsi="Garamond"/>
          <w:lang w:val="en-AU"/>
        </w:rPr>
      </w:pPr>
    </w:p>
    <w:p w:rsidR="005D04D0" w:rsidRDefault="005D04D0" w:rsidP="00691DE3">
      <w:pPr>
        <w:keepLines/>
        <w:autoSpaceDE w:val="0"/>
        <w:autoSpaceDN w:val="0"/>
        <w:adjustRightInd w:val="0"/>
        <w:rPr>
          <w:rFonts w:ascii="Garamond" w:hAnsi="Garamond"/>
          <w:lang w:val="en-AU"/>
        </w:rPr>
      </w:pPr>
    </w:p>
    <w:p w:rsidR="005D04D0" w:rsidRPr="005D04D0" w:rsidRDefault="005D04D0" w:rsidP="005D04D0">
      <w:pPr>
        <w:rPr>
          <w:rFonts w:ascii="Garamond" w:hAnsi="Garamond"/>
          <w:b/>
          <w:lang w:val="en-AU"/>
        </w:rPr>
      </w:pPr>
      <w:r w:rsidRPr="005D04D0">
        <w:rPr>
          <w:rFonts w:ascii="Garamond" w:hAnsi="Garamond"/>
          <w:b/>
          <w:lang w:val="en-AU"/>
        </w:rPr>
        <w:t>Venous Thromboembolism Prevention Clinical Care Standard</w:t>
      </w:r>
    </w:p>
    <w:p w:rsidR="005D04D0" w:rsidRPr="005D04D0" w:rsidRDefault="005D04D0" w:rsidP="005D04D0">
      <w:pPr>
        <w:rPr>
          <w:rFonts w:ascii="Garamond" w:hAnsi="Garamond"/>
          <w:lang w:val="en-AU"/>
        </w:rPr>
      </w:pPr>
      <w:r w:rsidRPr="005D04D0">
        <w:rPr>
          <w:rFonts w:ascii="Garamond" w:hAnsi="Garamond"/>
          <w:lang w:val="en-AU"/>
        </w:rPr>
        <w:t>Australian Commission on Safety and Quality in Health Care</w:t>
      </w:r>
    </w:p>
    <w:p w:rsidR="005D04D0" w:rsidRPr="005D04D0" w:rsidRDefault="005D04D0" w:rsidP="005D04D0">
      <w:pPr>
        <w:rPr>
          <w:rFonts w:ascii="Garamond" w:hAnsi="Garamond"/>
          <w:lang w:val="en-AU"/>
        </w:rPr>
      </w:pPr>
      <w:r w:rsidRPr="005D04D0">
        <w:rPr>
          <w:rFonts w:ascii="Garamond" w:hAnsi="Garamond"/>
          <w:lang w:val="en-AU"/>
        </w:rPr>
        <w:t>Sydney: ACSQHC; 2018.</w:t>
      </w:r>
    </w:p>
    <w:p w:rsidR="005D04D0" w:rsidRDefault="00510822" w:rsidP="005D04D0">
      <w:pPr>
        <w:rPr>
          <w:rFonts w:ascii="Garamond" w:hAnsi="Garamond"/>
          <w:lang w:val="en-AU"/>
        </w:rPr>
      </w:pPr>
      <w:hyperlink r:id="rId16" w:history="1">
        <w:r w:rsidR="005D04D0" w:rsidRPr="004C35FA">
          <w:rPr>
            <w:rStyle w:val="Hyperlink"/>
            <w:rFonts w:ascii="Garamond" w:hAnsi="Garamond"/>
            <w:lang w:val="en-AU"/>
          </w:rPr>
          <w:t>https://www.safetyandquality.gov.au/our-work/clinical-care-standards/venous-thromboembolism-prevention-clinical-care-standard/</w:t>
        </w:r>
      </w:hyperlink>
    </w:p>
    <w:p w:rsidR="005D04D0" w:rsidRDefault="005D04D0" w:rsidP="005D04D0">
      <w:pPr>
        <w:rPr>
          <w:rFonts w:ascii="Garamond" w:hAnsi="Garamond"/>
          <w:lang w:val="en-AU"/>
        </w:rPr>
      </w:pPr>
      <w:r w:rsidRPr="005D04D0">
        <w:rPr>
          <w:rFonts w:ascii="Garamond" w:hAnsi="Garamond"/>
          <w:lang w:val="en-AU"/>
        </w:rPr>
        <w:t>https://www.safetyandquality.gov.au/our-work/clinical-care-standards/</w:t>
      </w:r>
    </w:p>
    <w:p w:rsidR="005D04D0" w:rsidRPr="005D04D0" w:rsidRDefault="005D04D0" w:rsidP="005D04D0">
      <w:pPr>
        <w:rPr>
          <w:rFonts w:ascii="Garamond" w:hAnsi="Garamond"/>
          <w:lang w:val="en-AU"/>
        </w:rPr>
      </w:pPr>
    </w:p>
    <w:p w:rsidR="005D04D0" w:rsidRPr="005D04D0" w:rsidRDefault="005D04D0" w:rsidP="005D04D0">
      <w:pPr>
        <w:rPr>
          <w:rFonts w:ascii="Garamond" w:hAnsi="Garamond"/>
          <w:lang w:val="en-AU"/>
        </w:rPr>
      </w:pPr>
      <w:r w:rsidRPr="005D04D0">
        <w:rPr>
          <w:rFonts w:ascii="Garamond" w:hAnsi="Garamond"/>
          <w:lang w:val="en-AU"/>
        </w:rPr>
        <w:t xml:space="preserve">The Australian Commission on Safety and Quality in Health Care, in collaboration with consumers, clinicians, researchers and health organisations, has developed the </w:t>
      </w:r>
      <w:r w:rsidRPr="005D04D0">
        <w:rPr>
          <w:rFonts w:ascii="Garamond" w:hAnsi="Garamond"/>
          <w:i/>
          <w:lang w:val="en-AU"/>
        </w:rPr>
        <w:t>Venous Thromboembolism Prevention Clinical Care Standard</w:t>
      </w:r>
      <w:r w:rsidRPr="005D04D0">
        <w:rPr>
          <w:rFonts w:ascii="Garamond" w:hAnsi="Garamond"/>
          <w:lang w:val="en-AU"/>
        </w:rPr>
        <w:t xml:space="preserve"> and resources to guide and support its implementation.</w:t>
      </w:r>
    </w:p>
    <w:p w:rsidR="005D04D0" w:rsidRPr="005D04D0" w:rsidRDefault="005D04D0" w:rsidP="005D04D0">
      <w:pPr>
        <w:rPr>
          <w:rFonts w:ascii="Garamond" w:hAnsi="Garamond"/>
          <w:lang w:val="en-AU"/>
        </w:rPr>
      </w:pPr>
      <w:r w:rsidRPr="005D04D0">
        <w:rPr>
          <w:rFonts w:ascii="Garamond" w:hAnsi="Garamond"/>
          <w:lang w:val="en-AU"/>
        </w:rPr>
        <w:t xml:space="preserve"> </w:t>
      </w:r>
    </w:p>
    <w:p w:rsidR="005D04D0" w:rsidRPr="005D04D0" w:rsidRDefault="005D04D0" w:rsidP="005D04D0">
      <w:pPr>
        <w:rPr>
          <w:rFonts w:ascii="Garamond" w:hAnsi="Garamond"/>
          <w:lang w:val="en-AU"/>
        </w:rPr>
      </w:pPr>
      <w:r w:rsidRPr="005D04D0">
        <w:rPr>
          <w:rFonts w:ascii="Garamond" w:hAnsi="Garamond"/>
          <w:lang w:val="en-AU"/>
        </w:rPr>
        <w:t xml:space="preserve">The </w:t>
      </w:r>
      <w:r w:rsidRPr="005D04D0">
        <w:rPr>
          <w:rFonts w:ascii="Garamond" w:hAnsi="Garamond"/>
          <w:i/>
          <w:lang w:val="en-AU"/>
        </w:rPr>
        <w:t>Venous Thromboembolism Prevention Clinical Care Standard</w:t>
      </w:r>
      <w:r w:rsidRPr="005D04D0">
        <w:rPr>
          <w:rFonts w:ascii="Garamond" w:hAnsi="Garamond"/>
          <w:lang w:val="en-AU"/>
        </w:rPr>
        <w:t xml:space="preserve"> offers guidance to patients, clinicians and health services on the delivery of high-quality care to prevent </w:t>
      </w:r>
      <w:r>
        <w:rPr>
          <w:rFonts w:ascii="Garamond" w:hAnsi="Garamond"/>
          <w:lang w:val="en-AU"/>
        </w:rPr>
        <w:t>v</w:t>
      </w:r>
      <w:r w:rsidRPr="005D04D0">
        <w:rPr>
          <w:rFonts w:ascii="Garamond" w:hAnsi="Garamond"/>
          <w:lang w:val="en-AU"/>
        </w:rPr>
        <w:t xml:space="preserve">enous </w:t>
      </w:r>
      <w:r>
        <w:rPr>
          <w:rFonts w:ascii="Garamond" w:hAnsi="Garamond"/>
          <w:lang w:val="en-AU"/>
        </w:rPr>
        <w:t>t</w:t>
      </w:r>
      <w:r w:rsidRPr="005D04D0">
        <w:rPr>
          <w:rFonts w:ascii="Garamond" w:hAnsi="Garamond"/>
          <w:lang w:val="en-AU"/>
        </w:rPr>
        <w:t xml:space="preserve">hromboembolism </w:t>
      </w:r>
      <w:r>
        <w:rPr>
          <w:rFonts w:ascii="Garamond" w:hAnsi="Garamond"/>
          <w:lang w:val="en-AU"/>
        </w:rPr>
        <w:t>(</w:t>
      </w:r>
      <w:r w:rsidRPr="005D04D0">
        <w:rPr>
          <w:rFonts w:ascii="Garamond" w:hAnsi="Garamond"/>
          <w:lang w:val="en-AU"/>
        </w:rPr>
        <w:t>VTE</w:t>
      </w:r>
      <w:r>
        <w:rPr>
          <w:rFonts w:ascii="Garamond" w:hAnsi="Garamond"/>
          <w:lang w:val="en-AU"/>
        </w:rPr>
        <w:t>)</w:t>
      </w:r>
      <w:r w:rsidRPr="005D04D0">
        <w:rPr>
          <w:rFonts w:ascii="Garamond" w:hAnsi="Garamond"/>
          <w:lang w:val="en-AU"/>
        </w:rPr>
        <w:t xml:space="preserve"> acquired in hospital or after discharge, with the goal of reducing avoidable death or disability caused by hospital-acquired VTE.</w:t>
      </w:r>
    </w:p>
    <w:p w:rsidR="005D04D0" w:rsidRPr="005D04D0" w:rsidRDefault="005D04D0" w:rsidP="005D04D0">
      <w:pPr>
        <w:rPr>
          <w:rFonts w:ascii="Garamond" w:hAnsi="Garamond"/>
          <w:lang w:val="en-AU"/>
        </w:rPr>
      </w:pPr>
      <w:r w:rsidRPr="005D04D0">
        <w:rPr>
          <w:rFonts w:ascii="Garamond" w:hAnsi="Garamond"/>
          <w:lang w:val="en-AU"/>
        </w:rPr>
        <w:t xml:space="preserve"> </w:t>
      </w:r>
    </w:p>
    <w:p w:rsidR="005D04D0" w:rsidRPr="005D04D0" w:rsidRDefault="005D04D0" w:rsidP="005D04D0">
      <w:pPr>
        <w:rPr>
          <w:rFonts w:ascii="Garamond" w:hAnsi="Garamond"/>
          <w:lang w:val="en-AU"/>
        </w:rPr>
      </w:pPr>
      <w:r w:rsidRPr="005D04D0">
        <w:rPr>
          <w:rFonts w:ascii="Garamond" w:hAnsi="Garamond"/>
          <w:lang w:val="en-AU"/>
        </w:rPr>
        <w:t xml:space="preserve">The </w:t>
      </w:r>
      <w:r w:rsidRPr="005D04D0">
        <w:rPr>
          <w:rFonts w:ascii="Garamond" w:hAnsi="Garamond"/>
          <w:i/>
          <w:lang w:val="en-AU"/>
        </w:rPr>
        <w:t>Venous Thromboembolism Prevention Clinical Care Standard</w:t>
      </w:r>
      <w:r w:rsidRPr="005D04D0">
        <w:rPr>
          <w:rFonts w:ascii="Garamond" w:hAnsi="Garamond"/>
          <w:lang w:val="en-AU"/>
        </w:rPr>
        <w:t xml:space="preserve"> was developed with the input of consumers and contains information designed to inform patients of the importance of risk assessment, appropriate VTE prevention methods and continuing care so they can share in decisions with their clinicians, both in and out of hospital, about their care and ways to prevent VTE.</w:t>
      </w:r>
    </w:p>
    <w:p w:rsidR="005D04D0" w:rsidRPr="005D04D0" w:rsidRDefault="005D04D0" w:rsidP="005D04D0">
      <w:pPr>
        <w:rPr>
          <w:rFonts w:ascii="Garamond" w:hAnsi="Garamond"/>
          <w:lang w:val="en-AU"/>
        </w:rPr>
      </w:pPr>
    </w:p>
    <w:p w:rsidR="00F72564" w:rsidRDefault="005D04D0" w:rsidP="005D04D0">
      <w:pPr>
        <w:rPr>
          <w:rFonts w:ascii="Garamond" w:hAnsi="Garamond"/>
          <w:lang w:val="en-AU"/>
        </w:rPr>
      </w:pPr>
      <w:r w:rsidRPr="005D04D0">
        <w:rPr>
          <w:rFonts w:ascii="Garamond" w:hAnsi="Garamond"/>
          <w:lang w:val="en-AU"/>
        </w:rPr>
        <w:lastRenderedPageBreak/>
        <w:t>Additional resources include fact sheets for clinicians and consumers and an Indicator Specification – a set of suggested indicators to assist clinicians and health services to monitor the implementation of the quality statements included in the clinical care standard, and support improvement as needed.</w:t>
      </w:r>
    </w:p>
    <w:p w:rsidR="005D04D0" w:rsidRDefault="005D04D0" w:rsidP="005D04D0">
      <w:pPr>
        <w:rPr>
          <w:rFonts w:ascii="Garamond" w:hAnsi="Garamond"/>
          <w:lang w:val="en-AU"/>
        </w:rPr>
      </w:pPr>
    </w:p>
    <w:p w:rsidR="005D04D0" w:rsidRDefault="005D04D0" w:rsidP="005D04D0">
      <w:pPr>
        <w:rPr>
          <w:rFonts w:ascii="Garamond" w:hAnsi="Garamond"/>
          <w:lang w:val="en-AU"/>
        </w:rPr>
      </w:pPr>
      <w:r>
        <w:rPr>
          <w:rFonts w:ascii="Garamond" w:hAnsi="Garamond"/>
          <w:noProof/>
          <w:lang w:val="en-AU" w:eastAsia="en-AU"/>
        </w:rPr>
        <w:drawing>
          <wp:inline distT="0" distB="0" distL="0" distR="0">
            <wp:extent cx="6118860" cy="7823200"/>
            <wp:effectExtent l="0" t="0" r="0" b="6350"/>
            <wp:docPr id="1" name="Picture 1" descr="\\central.health\dfsuserenv\Users\User_07\johnni\Desktop\VTE C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VTE CCS.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8860" cy="7823200"/>
                    </a:xfrm>
                    <a:prstGeom prst="rect">
                      <a:avLst/>
                    </a:prstGeom>
                    <a:noFill/>
                    <a:ln>
                      <a:noFill/>
                    </a:ln>
                  </pic:spPr>
                </pic:pic>
              </a:graphicData>
            </a:graphic>
          </wp:inline>
        </w:drawing>
      </w:r>
    </w:p>
    <w:p w:rsidR="005D04D0" w:rsidRPr="00F72564" w:rsidRDefault="005D04D0" w:rsidP="005D04D0">
      <w:pPr>
        <w:rPr>
          <w:rFonts w:ascii="Garamond" w:hAnsi="Garamond"/>
          <w:lang w:val="en-AU"/>
        </w:rPr>
      </w:pPr>
    </w:p>
    <w:p w:rsidR="005D04D0" w:rsidRDefault="005D04D0">
      <w:pPr>
        <w:rPr>
          <w:rFonts w:ascii="Garamond" w:hAnsi="Garamond"/>
          <w:b/>
          <w:lang w:val="en-AU"/>
        </w:rPr>
      </w:pPr>
      <w:r>
        <w:rPr>
          <w:rFonts w:ascii="Garamond" w:hAnsi="Garamond"/>
          <w:b/>
          <w:lang w:val="en-AU"/>
        </w:rPr>
        <w:br w:type="page"/>
      </w:r>
    </w:p>
    <w:p w:rsidR="00C8358F" w:rsidRDefault="00C8358F">
      <w:pPr>
        <w:rPr>
          <w:rFonts w:ascii="Garamond" w:hAnsi="Garamond"/>
          <w:b/>
          <w:lang w:val="en-AU"/>
        </w:rPr>
      </w:pPr>
      <w:r>
        <w:rPr>
          <w:rFonts w:ascii="Garamond" w:hAnsi="Garamond"/>
          <w:b/>
          <w:lang w:val="en-AU"/>
        </w:rPr>
        <w:lastRenderedPageBreak/>
        <w:t>Books</w:t>
      </w:r>
    </w:p>
    <w:p w:rsidR="00C8358F" w:rsidRDefault="00C8358F" w:rsidP="00C8358F">
      <w:pPr>
        <w:keepLines/>
        <w:autoSpaceDE w:val="0"/>
        <w:autoSpaceDN w:val="0"/>
        <w:adjustRightInd w:val="0"/>
        <w:rPr>
          <w:rFonts w:ascii="Garamond" w:hAnsi="Garamond"/>
          <w:lang w:val="en-AU"/>
        </w:rPr>
      </w:pPr>
    </w:p>
    <w:p w:rsidR="00501AA7" w:rsidRPr="00501AA7" w:rsidRDefault="00501AA7" w:rsidP="00501AA7">
      <w:pPr>
        <w:rPr>
          <w:rFonts w:ascii="Garamond" w:hAnsi="Garamond"/>
          <w:i/>
          <w:lang w:val="en-AU"/>
        </w:rPr>
      </w:pPr>
      <w:r w:rsidRPr="00501AA7">
        <w:rPr>
          <w:rFonts w:ascii="Garamond" w:hAnsi="Garamond"/>
          <w:i/>
          <w:lang w:val="en-AU"/>
        </w:rPr>
        <w:t>Implementing Quality Measures for Accountability in Community-Based Care for People with Serious Illness: Proceedings of a Workshop</w:t>
      </w:r>
    </w:p>
    <w:p w:rsidR="00B61229" w:rsidRDefault="00B61229" w:rsidP="00501AA7">
      <w:pPr>
        <w:keepLines/>
        <w:autoSpaceDE w:val="0"/>
        <w:autoSpaceDN w:val="0"/>
        <w:adjustRightInd w:val="0"/>
        <w:rPr>
          <w:rFonts w:ascii="Garamond" w:hAnsi="Garamond"/>
          <w:lang w:val="en-AU"/>
        </w:rPr>
      </w:pPr>
      <w:r w:rsidRPr="00B61229">
        <w:rPr>
          <w:rFonts w:ascii="Garamond" w:hAnsi="Garamond"/>
          <w:lang w:val="en-AU"/>
        </w:rPr>
        <w:t>National Academies of Sciences, Engineering, Medicine</w:t>
      </w:r>
    </w:p>
    <w:p w:rsidR="00B61229" w:rsidRDefault="00B61229" w:rsidP="00501AA7">
      <w:pPr>
        <w:keepLines/>
        <w:autoSpaceDE w:val="0"/>
        <w:autoSpaceDN w:val="0"/>
        <w:adjustRightInd w:val="0"/>
        <w:rPr>
          <w:rFonts w:ascii="Garamond" w:hAnsi="Garamond"/>
          <w:lang w:val="en-AU"/>
        </w:rPr>
      </w:pPr>
      <w:r w:rsidRPr="00B61229">
        <w:rPr>
          <w:rFonts w:ascii="Garamond" w:hAnsi="Garamond"/>
          <w:lang w:val="en-AU"/>
        </w:rPr>
        <w:t>Graig L, Cruz SM, Alper J, editors</w:t>
      </w:r>
    </w:p>
    <w:p w:rsidR="00501AA7" w:rsidRDefault="00B61229" w:rsidP="00501AA7">
      <w:pPr>
        <w:keepLines/>
        <w:autoSpaceDE w:val="0"/>
        <w:autoSpaceDN w:val="0"/>
        <w:adjustRightInd w:val="0"/>
        <w:rPr>
          <w:rFonts w:ascii="Garamond" w:hAnsi="Garamond"/>
          <w:lang w:val="en-AU"/>
        </w:rPr>
      </w:pPr>
      <w:r w:rsidRPr="00B61229">
        <w:rPr>
          <w:rFonts w:ascii="Garamond" w:hAnsi="Garamond"/>
          <w:lang w:val="en-AU"/>
        </w:rPr>
        <w:t>Washington, DC: The National Academies Press; 2018.</w:t>
      </w:r>
    </w:p>
    <w:tbl>
      <w:tblPr>
        <w:tblStyle w:val="TableGrid"/>
        <w:tblW w:w="0" w:type="auto"/>
        <w:tblInd w:w="288" w:type="dxa"/>
        <w:tblLayout w:type="fixed"/>
        <w:tblLook w:val="01E0" w:firstRow="1" w:lastRow="1" w:firstColumn="1" w:lastColumn="1" w:noHBand="0" w:noVBand="0"/>
      </w:tblPr>
      <w:tblGrid>
        <w:gridCol w:w="1080"/>
        <w:gridCol w:w="8280"/>
      </w:tblGrid>
      <w:tr w:rsidR="00501AA7" w:rsidRPr="000170DA" w:rsidTr="00FF234D">
        <w:tc>
          <w:tcPr>
            <w:tcW w:w="1080" w:type="dxa"/>
            <w:tcBorders>
              <w:top w:val="single" w:sz="4" w:space="0" w:color="auto"/>
              <w:left w:val="single" w:sz="4" w:space="0" w:color="auto"/>
              <w:bottom w:val="single" w:sz="4" w:space="0" w:color="auto"/>
              <w:right w:val="single" w:sz="4" w:space="0" w:color="auto"/>
            </w:tcBorders>
            <w:vAlign w:val="center"/>
          </w:tcPr>
          <w:p w:rsidR="00501AA7" w:rsidRPr="000170DA" w:rsidRDefault="00501AA7" w:rsidP="00FF234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01AA7" w:rsidRPr="000170DA" w:rsidRDefault="00510822" w:rsidP="00FF234D">
            <w:pPr>
              <w:rPr>
                <w:rStyle w:val="Hyperlink"/>
                <w:rFonts w:ascii="Garamond" w:hAnsi="Garamond"/>
                <w:color w:val="auto"/>
                <w:u w:val="none"/>
                <w:lang w:val="en-AU"/>
              </w:rPr>
            </w:pPr>
            <w:hyperlink r:id="rId18" w:history="1">
              <w:r w:rsidR="00501AA7" w:rsidRPr="00193648">
                <w:rPr>
                  <w:rStyle w:val="Hyperlink"/>
                  <w:rFonts w:ascii="Garamond" w:hAnsi="Garamond"/>
                  <w:lang w:val="en-AU"/>
                </w:rPr>
                <w:t>https://doi.org/10.17226/25202</w:t>
              </w:r>
            </w:hyperlink>
          </w:p>
        </w:tc>
      </w:tr>
      <w:tr w:rsidR="00501AA7" w:rsidRPr="000170DA" w:rsidTr="00FF234D">
        <w:tc>
          <w:tcPr>
            <w:tcW w:w="1080" w:type="dxa"/>
            <w:tcBorders>
              <w:top w:val="single" w:sz="4" w:space="0" w:color="auto"/>
              <w:left w:val="single" w:sz="4" w:space="0" w:color="auto"/>
              <w:bottom w:val="single" w:sz="4" w:space="0" w:color="auto"/>
              <w:right w:val="single" w:sz="4" w:space="0" w:color="auto"/>
            </w:tcBorders>
            <w:vAlign w:val="center"/>
          </w:tcPr>
          <w:p w:rsidR="00501AA7" w:rsidRPr="000170DA" w:rsidRDefault="00501AA7" w:rsidP="00FF234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D0A5B" w:rsidRPr="00DC06D2" w:rsidRDefault="006D0A5B" w:rsidP="00B61229">
            <w:pPr>
              <w:rPr>
                <w:rFonts w:ascii="Garamond" w:hAnsi="Garamond"/>
                <w:lang w:val="en-AU"/>
              </w:rPr>
            </w:pPr>
            <w:r>
              <w:rPr>
                <w:rFonts w:ascii="Garamond" w:hAnsi="Garamond"/>
                <w:lang w:val="en-AU"/>
              </w:rPr>
              <w:t xml:space="preserve">The [US] </w:t>
            </w:r>
            <w:r w:rsidRPr="006D0A5B">
              <w:rPr>
                <w:rFonts w:ascii="Garamond" w:hAnsi="Garamond"/>
                <w:lang w:val="en-AU"/>
              </w:rPr>
              <w:t>National Academies of Sciences, Engineering and Medicine</w:t>
            </w:r>
            <w:r>
              <w:rPr>
                <w:rFonts w:ascii="Garamond" w:hAnsi="Garamond"/>
                <w:lang w:val="en-AU"/>
              </w:rPr>
              <w:t xml:space="preserve"> convenes the</w:t>
            </w:r>
            <w:r w:rsidR="00B61229">
              <w:rPr>
                <w:rFonts w:ascii="Garamond" w:hAnsi="Garamond"/>
                <w:lang w:val="en-AU"/>
              </w:rPr>
              <w:t xml:space="preserve"> </w:t>
            </w:r>
            <w:r w:rsidRPr="006D0A5B">
              <w:rPr>
                <w:rFonts w:ascii="Garamond" w:hAnsi="Garamond"/>
                <w:lang w:val="en-AU"/>
              </w:rPr>
              <w:t>Roundtable on Quality Care for People with Serious Illness</w:t>
            </w:r>
            <w:r>
              <w:rPr>
                <w:rFonts w:ascii="Garamond" w:hAnsi="Garamond"/>
                <w:lang w:val="en-AU"/>
              </w:rPr>
              <w:t xml:space="preserve">. This </w:t>
            </w:r>
            <w:r w:rsidRPr="006D0A5B">
              <w:rPr>
                <w:rFonts w:ascii="Garamond" w:hAnsi="Garamond"/>
                <w:lang w:val="en-AU"/>
              </w:rPr>
              <w:t xml:space="preserve">Roundtable held a public workshop on </w:t>
            </w:r>
            <w:r>
              <w:rPr>
                <w:rFonts w:ascii="Garamond" w:hAnsi="Garamond"/>
                <w:lang w:val="en-AU"/>
              </w:rPr>
              <w:t xml:space="preserve">17 </w:t>
            </w:r>
            <w:r w:rsidRPr="006D0A5B">
              <w:rPr>
                <w:rFonts w:ascii="Garamond" w:hAnsi="Garamond"/>
                <w:lang w:val="en-AU"/>
              </w:rPr>
              <w:t xml:space="preserve">April 2018 to explore the challenges and opportunities related to implementing quality measures for accountability purposes in community-based care for people with serious illness. The workshop </w:t>
            </w:r>
            <w:r w:rsidR="00B61229">
              <w:rPr>
                <w:rFonts w:ascii="Garamond" w:hAnsi="Garamond"/>
                <w:lang w:val="en-AU"/>
              </w:rPr>
              <w:t xml:space="preserve">participants had </w:t>
            </w:r>
            <w:r w:rsidRPr="006D0A5B">
              <w:rPr>
                <w:rFonts w:ascii="Garamond" w:hAnsi="Garamond"/>
                <w:lang w:val="en-AU"/>
              </w:rPr>
              <w:t xml:space="preserve">a broad range of perspectives, including clinical care team members, health care payers, researchers, policy analysts, patient and family caregivers, those involved in health care accreditation and representatives of federal agencies. </w:t>
            </w:r>
            <w:r w:rsidR="00B61229">
              <w:rPr>
                <w:rFonts w:ascii="Garamond" w:hAnsi="Garamond"/>
                <w:lang w:val="en-AU"/>
              </w:rPr>
              <w:t>P</w:t>
            </w:r>
            <w:r w:rsidRPr="006D0A5B">
              <w:rPr>
                <w:rFonts w:ascii="Garamond" w:hAnsi="Garamond"/>
                <w:lang w:val="en-AU"/>
              </w:rPr>
              <w:t xml:space="preserve">resentations </w:t>
            </w:r>
            <w:r w:rsidR="00B61229">
              <w:rPr>
                <w:rFonts w:ascii="Garamond" w:hAnsi="Garamond"/>
                <w:lang w:val="en-AU"/>
              </w:rPr>
              <w:t xml:space="preserve">at the workshop </w:t>
            </w:r>
            <w:r w:rsidRPr="006D0A5B">
              <w:rPr>
                <w:rFonts w:ascii="Garamond" w:hAnsi="Garamond"/>
                <w:lang w:val="en-AU"/>
              </w:rPr>
              <w:t>examined the current state of quality measurement and explored approaches to the use of measures to enhance accountability and drive improvement in the quality of care for people with serious illness, their families and caregivers.</w:t>
            </w:r>
            <w:r w:rsidR="00B61229">
              <w:rPr>
                <w:rFonts w:ascii="Garamond" w:hAnsi="Garamond"/>
                <w:lang w:val="en-AU"/>
              </w:rPr>
              <w:t xml:space="preserve"> The document summaries the workshop.</w:t>
            </w:r>
          </w:p>
        </w:tc>
      </w:tr>
    </w:tbl>
    <w:p w:rsidR="00501AA7" w:rsidRDefault="00501AA7" w:rsidP="00501AA7">
      <w:pPr>
        <w:rPr>
          <w:rFonts w:ascii="Garamond" w:hAnsi="Garamond"/>
          <w:lang w:val="en-AU"/>
        </w:rPr>
      </w:pPr>
    </w:p>
    <w:p w:rsidR="00C8358F" w:rsidRDefault="00C8358F" w:rsidP="00C8358F">
      <w:pPr>
        <w:rPr>
          <w:rFonts w:ascii="Garamond" w:hAnsi="Garamond"/>
          <w:lang w:val="en-AU"/>
        </w:rPr>
      </w:pPr>
    </w:p>
    <w:p w:rsidR="00282D29" w:rsidRDefault="00282D29">
      <w:pPr>
        <w:rPr>
          <w:rFonts w:ascii="Garamond" w:hAnsi="Garamond"/>
          <w:b/>
          <w:lang w:val="en-AU"/>
        </w:rPr>
      </w:pPr>
      <w:r>
        <w:rPr>
          <w:rFonts w:ascii="Garamond" w:hAnsi="Garamond"/>
          <w:b/>
          <w:lang w:val="en-AU"/>
        </w:rPr>
        <w:t>Reports</w:t>
      </w:r>
    </w:p>
    <w:p w:rsidR="00C3692E" w:rsidRDefault="00C3692E" w:rsidP="00C3692E">
      <w:pPr>
        <w:keepLines/>
        <w:autoSpaceDE w:val="0"/>
        <w:autoSpaceDN w:val="0"/>
        <w:adjustRightInd w:val="0"/>
        <w:rPr>
          <w:rFonts w:ascii="Garamond" w:hAnsi="Garamond"/>
          <w:lang w:val="en-AU"/>
        </w:rPr>
      </w:pPr>
    </w:p>
    <w:p w:rsidR="00D46F19" w:rsidRDefault="00501AA7" w:rsidP="004310CA">
      <w:pPr>
        <w:rPr>
          <w:rFonts w:ascii="Garamond" w:hAnsi="Garamond"/>
          <w:i/>
          <w:lang w:val="en-AU"/>
        </w:rPr>
      </w:pPr>
      <w:r w:rsidRPr="00501AA7">
        <w:rPr>
          <w:rFonts w:ascii="Garamond" w:hAnsi="Garamond"/>
          <w:i/>
          <w:lang w:val="en-AU"/>
        </w:rPr>
        <w:t>Improving people’s health: applying behavioural and social sciences</w:t>
      </w:r>
    </w:p>
    <w:p w:rsidR="00F369F9" w:rsidRDefault="00F369F9" w:rsidP="00F369F9">
      <w:pPr>
        <w:keepLines/>
        <w:autoSpaceDE w:val="0"/>
        <w:autoSpaceDN w:val="0"/>
        <w:adjustRightInd w:val="0"/>
        <w:rPr>
          <w:rFonts w:ascii="Garamond" w:hAnsi="Garamond"/>
          <w:lang w:val="en-AU"/>
        </w:rPr>
      </w:pPr>
      <w:r w:rsidRPr="00F369F9">
        <w:rPr>
          <w:rFonts w:ascii="Garamond" w:hAnsi="Garamond"/>
          <w:lang w:val="en-AU"/>
        </w:rPr>
        <w:t>Public Health England</w:t>
      </w:r>
    </w:p>
    <w:p w:rsidR="00501AA7" w:rsidRPr="00501AA7" w:rsidRDefault="00F369F9" w:rsidP="00F369F9">
      <w:pPr>
        <w:rPr>
          <w:rFonts w:ascii="Garamond" w:hAnsi="Garamond"/>
          <w:i/>
          <w:lang w:val="en-AU"/>
        </w:rPr>
      </w:pPr>
      <w:r w:rsidRPr="00F369F9">
        <w:rPr>
          <w:rFonts w:ascii="Garamond" w:hAnsi="Garamond"/>
          <w:lang w:val="en-AU"/>
        </w:rPr>
        <w:t xml:space="preserve">London: Public Health England; 2018. </w:t>
      </w:r>
      <w:proofErr w:type="gramStart"/>
      <w:r w:rsidRPr="00F369F9">
        <w:rPr>
          <w:rFonts w:ascii="Garamond" w:hAnsi="Garamond"/>
          <w:lang w:val="en-AU"/>
        </w:rPr>
        <w:t>p. 57.</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501AA7" w:rsidRPr="000170DA" w:rsidTr="00FF234D">
        <w:tc>
          <w:tcPr>
            <w:tcW w:w="1080" w:type="dxa"/>
            <w:tcBorders>
              <w:top w:val="single" w:sz="4" w:space="0" w:color="auto"/>
              <w:left w:val="single" w:sz="4" w:space="0" w:color="auto"/>
              <w:bottom w:val="single" w:sz="4" w:space="0" w:color="auto"/>
              <w:right w:val="single" w:sz="4" w:space="0" w:color="auto"/>
            </w:tcBorders>
            <w:vAlign w:val="center"/>
          </w:tcPr>
          <w:p w:rsidR="00501AA7" w:rsidRPr="000170DA" w:rsidRDefault="00501AA7" w:rsidP="00FF234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01AA7" w:rsidRPr="000170DA" w:rsidRDefault="00510822" w:rsidP="00FF234D">
            <w:pPr>
              <w:rPr>
                <w:rStyle w:val="Hyperlink"/>
                <w:rFonts w:ascii="Garamond" w:hAnsi="Garamond"/>
                <w:color w:val="auto"/>
                <w:u w:val="none"/>
                <w:lang w:val="en-AU"/>
              </w:rPr>
            </w:pPr>
            <w:hyperlink r:id="rId19" w:history="1">
              <w:r w:rsidR="00501AA7" w:rsidRPr="00193648">
                <w:rPr>
                  <w:rStyle w:val="Hyperlink"/>
                  <w:rFonts w:ascii="Garamond" w:hAnsi="Garamond"/>
                  <w:lang w:val="en-AU"/>
                </w:rPr>
                <w:t>https://www.gov.uk/government/publications/improving-peoples-health-applying-behavioural-and-social-sciences</w:t>
              </w:r>
            </w:hyperlink>
          </w:p>
        </w:tc>
      </w:tr>
      <w:tr w:rsidR="00501AA7" w:rsidRPr="000170DA" w:rsidTr="00FF234D">
        <w:tc>
          <w:tcPr>
            <w:tcW w:w="1080" w:type="dxa"/>
            <w:tcBorders>
              <w:top w:val="single" w:sz="4" w:space="0" w:color="auto"/>
              <w:left w:val="single" w:sz="4" w:space="0" w:color="auto"/>
              <w:bottom w:val="single" w:sz="4" w:space="0" w:color="auto"/>
              <w:right w:val="single" w:sz="4" w:space="0" w:color="auto"/>
            </w:tcBorders>
            <w:vAlign w:val="center"/>
          </w:tcPr>
          <w:p w:rsidR="00501AA7" w:rsidRPr="000170DA" w:rsidRDefault="00501AA7" w:rsidP="00FF234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93025" w:rsidRDefault="00F369F9" w:rsidP="00F369F9">
            <w:pPr>
              <w:rPr>
                <w:rFonts w:ascii="Garamond" w:hAnsi="Garamond"/>
                <w:lang w:val="en-AU"/>
              </w:rPr>
            </w:pPr>
            <w:r>
              <w:rPr>
                <w:rFonts w:ascii="Garamond" w:hAnsi="Garamond"/>
                <w:lang w:val="en-AU"/>
              </w:rPr>
              <w:t xml:space="preserve">Public Health England has developed this </w:t>
            </w:r>
            <w:r w:rsidRPr="00F369F9">
              <w:rPr>
                <w:rFonts w:ascii="Garamond" w:hAnsi="Garamond"/>
                <w:lang w:val="en-AU"/>
              </w:rPr>
              <w:t>strategy to enable public health professionals to use behavioural and social sciences to improve health and wellbeing.</w:t>
            </w:r>
            <w:r w:rsidR="00993025">
              <w:rPr>
                <w:rFonts w:ascii="Garamond" w:hAnsi="Garamond"/>
                <w:lang w:val="en-AU"/>
              </w:rPr>
              <w:t xml:space="preserve"> The report identifies eight p</w:t>
            </w:r>
            <w:r w:rsidR="00993025" w:rsidRPr="00993025">
              <w:rPr>
                <w:rFonts w:ascii="Garamond" w:hAnsi="Garamond"/>
                <w:lang w:val="en-AU"/>
              </w:rPr>
              <w:t>riority themes and actions to support people in developing and applying behavioural and social science</w:t>
            </w:r>
            <w:r w:rsidR="00993025">
              <w:rPr>
                <w:rFonts w:ascii="Garamond" w:hAnsi="Garamond"/>
                <w:lang w:val="en-AU"/>
              </w:rPr>
              <w:t>.</w:t>
            </w:r>
          </w:p>
          <w:p w:rsidR="006D0A5B" w:rsidRDefault="006D0A5B" w:rsidP="00F369F9">
            <w:pPr>
              <w:rPr>
                <w:rFonts w:ascii="Garamond" w:hAnsi="Garamond"/>
                <w:lang w:val="en-AU"/>
              </w:rPr>
            </w:pPr>
          </w:p>
          <w:tbl>
            <w:tblPr>
              <w:tblStyle w:val="TableGrid"/>
              <w:tblW w:w="0" w:type="auto"/>
              <w:tblLayout w:type="fixed"/>
              <w:tblLook w:val="04A0" w:firstRow="1" w:lastRow="0" w:firstColumn="1" w:lastColumn="0" w:noHBand="0" w:noVBand="1"/>
            </w:tblPr>
            <w:tblGrid>
              <w:gridCol w:w="612"/>
              <w:gridCol w:w="2835"/>
              <w:gridCol w:w="4602"/>
            </w:tblGrid>
            <w:tr w:rsidR="00993025" w:rsidTr="00993025">
              <w:tc>
                <w:tcPr>
                  <w:tcW w:w="612" w:type="dxa"/>
                </w:tcPr>
                <w:p w:rsidR="00993025" w:rsidRDefault="00993025" w:rsidP="00F369F9">
                  <w:pPr>
                    <w:rPr>
                      <w:rFonts w:ascii="Garamond" w:hAnsi="Garamond"/>
                      <w:lang w:val="en-AU"/>
                    </w:rPr>
                  </w:pPr>
                </w:p>
              </w:tc>
              <w:tc>
                <w:tcPr>
                  <w:tcW w:w="2835" w:type="dxa"/>
                </w:tcPr>
                <w:p w:rsidR="00993025" w:rsidRPr="006D0A5B" w:rsidRDefault="00993025" w:rsidP="00F369F9">
                  <w:pPr>
                    <w:rPr>
                      <w:rFonts w:ascii="Garamond" w:hAnsi="Garamond"/>
                      <w:b/>
                      <w:lang w:val="en-AU"/>
                    </w:rPr>
                  </w:pPr>
                  <w:r w:rsidRPr="006D0A5B">
                    <w:rPr>
                      <w:rFonts w:ascii="Garamond" w:hAnsi="Garamond"/>
                      <w:b/>
                      <w:lang w:val="en-AU"/>
                    </w:rPr>
                    <w:t>Priority theme</w:t>
                  </w:r>
                </w:p>
              </w:tc>
              <w:tc>
                <w:tcPr>
                  <w:tcW w:w="4602" w:type="dxa"/>
                </w:tcPr>
                <w:p w:rsidR="00993025" w:rsidRPr="00993025" w:rsidRDefault="00993025" w:rsidP="00F369F9">
                  <w:pPr>
                    <w:rPr>
                      <w:rFonts w:ascii="Garamond" w:hAnsi="Garamond"/>
                      <w:b/>
                      <w:lang w:val="en-AU"/>
                    </w:rPr>
                  </w:pPr>
                  <w:r w:rsidRPr="00993025">
                    <w:rPr>
                      <w:rFonts w:ascii="Garamond" w:hAnsi="Garamond"/>
                      <w:b/>
                      <w:lang w:val="en-AU"/>
                    </w:rPr>
                    <w:t>Actions</w:t>
                  </w:r>
                </w:p>
              </w:tc>
            </w:tr>
            <w:tr w:rsidR="00993025" w:rsidTr="00993025">
              <w:tc>
                <w:tcPr>
                  <w:tcW w:w="612" w:type="dxa"/>
                </w:tcPr>
                <w:p w:rsidR="00993025" w:rsidRDefault="00993025" w:rsidP="00F369F9">
                  <w:pPr>
                    <w:rPr>
                      <w:rFonts w:ascii="Garamond" w:hAnsi="Garamond"/>
                      <w:lang w:val="en-AU"/>
                    </w:rPr>
                  </w:pPr>
                  <w:r>
                    <w:rPr>
                      <w:rFonts w:ascii="Garamond" w:hAnsi="Garamond"/>
                      <w:lang w:val="en-AU"/>
                    </w:rPr>
                    <w:t>1</w:t>
                  </w:r>
                </w:p>
              </w:tc>
              <w:tc>
                <w:tcPr>
                  <w:tcW w:w="2835" w:type="dxa"/>
                </w:tcPr>
                <w:p w:rsidR="00993025" w:rsidRPr="006D0A5B" w:rsidRDefault="00993025" w:rsidP="00993025">
                  <w:pPr>
                    <w:rPr>
                      <w:rFonts w:ascii="Garamond" w:hAnsi="Garamond"/>
                      <w:b/>
                      <w:lang w:val="en-AU"/>
                    </w:rPr>
                  </w:pPr>
                  <w:r w:rsidRPr="006D0A5B">
                    <w:rPr>
                      <w:rFonts w:ascii="Garamond" w:hAnsi="Garamond"/>
                      <w:b/>
                      <w:lang w:val="en-AU"/>
                    </w:rPr>
                    <w:t>Evidence and theory</w:t>
                  </w:r>
                </w:p>
              </w:tc>
              <w:tc>
                <w:tcPr>
                  <w:tcW w:w="4602" w:type="dxa"/>
                </w:tcPr>
                <w:p w:rsidR="00993025" w:rsidRDefault="00993025" w:rsidP="00F369F9">
                  <w:pPr>
                    <w:rPr>
                      <w:rFonts w:ascii="Garamond" w:hAnsi="Garamond"/>
                      <w:lang w:val="en-AU"/>
                    </w:rPr>
                  </w:pPr>
                  <w:r w:rsidRPr="00993025">
                    <w:rPr>
                      <w:rFonts w:ascii="Garamond" w:hAnsi="Garamond"/>
                      <w:lang w:val="en-AU"/>
                    </w:rPr>
                    <w:t>Increase the number of programmes, policies, and interventions that are (i) underpinned by evidence, principles, and methods from the behavioural and social sciences and (ii) aligned with evidence-based guidelines where available</w:t>
                  </w:r>
                </w:p>
              </w:tc>
            </w:tr>
            <w:tr w:rsidR="00993025" w:rsidTr="00993025">
              <w:tc>
                <w:tcPr>
                  <w:tcW w:w="612" w:type="dxa"/>
                </w:tcPr>
                <w:p w:rsidR="00993025" w:rsidRDefault="00993025" w:rsidP="00F369F9">
                  <w:pPr>
                    <w:rPr>
                      <w:rFonts w:ascii="Garamond" w:hAnsi="Garamond"/>
                      <w:lang w:val="en-AU"/>
                    </w:rPr>
                  </w:pPr>
                  <w:r>
                    <w:rPr>
                      <w:rFonts w:ascii="Garamond" w:hAnsi="Garamond"/>
                      <w:lang w:val="en-AU"/>
                    </w:rPr>
                    <w:t>2</w:t>
                  </w:r>
                </w:p>
              </w:tc>
              <w:tc>
                <w:tcPr>
                  <w:tcW w:w="2835" w:type="dxa"/>
                </w:tcPr>
                <w:p w:rsidR="00993025" w:rsidRPr="006D0A5B" w:rsidRDefault="00993025" w:rsidP="00F369F9">
                  <w:pPr>
                    <w:rPr>
                      <w:rFonts w:ascii="Garamond" w:hAnsi="Garamond"/>
                      <w:b/>
                      <w:lang w:val="en-AU"/>
                    </w:rPr>
                  </w:pPr>
                  <w:r w:rsidRPr="006D0A5B">
                    <w:rPr>
                      <w:rFonts w:ascii="Garamond" w:hAnsi="Garamond"/>
                      <w:b/>
                      <w:lang w:val="en-AU"/>
                    </w:rPr>
                    <w:t>Leadership of organisation</w:t>
                  </w:r>
                </w:p>
              </w:tc>
              <w:tc>
                <w:tcPr>
                  <w:tcW w:w="4602" w:type="dxa"/>
                </w:tcPr>
                <w:p w:rsidR="00993025" w:rsidRDefault="00993025" w:rsidP="00F369F9">
                  <w:pPr>
                    <w:rPr>
                      <w:rFonts w:ascii="Garamond" w:hAnsi="Garamond"/>
                      <w:lang w:val="en-AU"/>
                    </w:rPr>
                  </w:pPr>
                  <w:r w:rsidRPr="00993025">
                    <w:rPr>
                      <w:rFonts w:ascii="Garamond" w:hAnsi="Garamond"/>
                      <w:lang w:val="en-AU"/>
                    </w:rPr>
                    <w:t>Make knowledge and skills from the behavioural and social sciences mainstream in all our organisations that commission, research, design, deliver or evaluate public health services</w:t>
                  </w:r>
                </w:p>
              </w:tc>
            </w:tr>
            <w:tr w:rsidR="00993025" w:rsidTr="00993025">
              <w:tc>
                <w:tcPr>
                  <w:tcW w:w="612" w:type="dxa"/>
                </w:tcPr>
                <w:p w:rsidR="00993025" w:rsidRDefault="00993025" w:rsidP="00F369F9">
                  <w:pPr>
                    <w:rPr>
                      <w:rFonts w:ascii="Garamond" w:hAnsi="Garamond"/>
                      <w:lang w:val="en-AU"/>
                    </w:rPr>
                  </w:pPr>
                  <w:r>
                    <w:rPr>
                      <w:rFonts w:ascii="Garamond" w:hAnsi="Garamond"/>
                      <w:lang w:val="en-AU"/>
                    </w:rPr>
                    <w:t>3</w:t>
                  </w:r>
                </w:p>
              </w:tc>
              <w:tc>
                <w:tcPr>
                  <w:tcW w:w="2835" w:type="dxa"/>
                </w:tcPr>
                <w:p w:rsidR="00993025" w:rsidRPr="006D0A5B" w:rsidRDefault="00993025" w:rsidP="00F369F9">
                  <w:pPr>
                    <w:rPr>
                      <w:rFonts w:ascii="Garamond" w:hAnsi="Garamond"/>
                      <w:b/>
                      <w:lang w:val="en-AU"/>
                    </w:rPr>
                  </w:pPr>
                  <w:r w:rsidRPr="006D0A5B">
                    <w:rPr>
                      <w:rFonts w:ascii="Garamond" w:hAnsi="Garamond"/>
                      <w:b/>
                      <w:lang w:val="en-AU"/>
                    </w:rPr>
                    <w:t>Wider system leadership</w:t>
                  </w:r>
                </w:p>
              </w:tc>
              <w:tc>
                <w:tcPr>
                  <w:tcW w:w="4602" w:type="dxa"/>
                </w:tcPr>
                <w:p w:rsidR="00993025" w:rsidRDefault="00993025" w:rsidP="00F369F9">
                  <w:pPr>
                    <w:rPr>
                      <w:rFonts w:ascii="Garamond" w:hAnsi="Garamond"/>
                      <w:lang w:val="en-AU"/>
                    </w:rPr>
                  </w:pPr>
                  <w:r w:rsidRPr="00993025">
                    <w:rPr>
                      <w:rFonts w:ascii="Garamond" w:hAnsi="Garamond"/>
                      <w:lang w:val="en-AU"/>
                    </w:rPr>
                    <w:t>Embed behavioural and social science skills, tools and frameworks across sectors of the public health workforce</w:t>
                  </w:r>
                </w:p>
              </w:tc>
            </w:tr>
            <w:tr w:rsidR="00993025" w:rsidTr="00993025">
              <w:tc>
                <w:tcPr>
                  <w:tcW w:w="612" w:type="dxa"/>
                </w:tcPr>
                <w:p w:rsidR="00993025" w:rsidRDefault="00993025" w:rsidP="00F369F9">
                  <w:pPr>
                    <w:rPr>
                      <w:rFonts w:ascii="Garamond" w:hAnsi="Garamond"/>
                      <w:lang w:val="en-AU"/>
                    </w:rPr>
                  </w:pPr>
                  <w:r>
                    <w:rPr>
                      <w:rFonts w:ascii="Garamond" w:hAnsi="Garamond"/>
                      <w:lang w:val="en-AU"/>
                    </w:rPr>
                    <w:t>4</w:t>
                  </w:r>
                </w:p>
              </w:tc>
              <w:tc>
                <w:tcPr>
                  <w:tcW w:w="2835" w:type="dxa"/>
                </w:tcPr>
                <w:p w:rsidR="00993025" w:rsidRPr="006D0A5B" w:rsidRDefault="00993025" w:rsidP="00F369F9">
                  <w:pPr>
                    <w:rPr>
                      <w:rFonts w:ascii="Garamond" w:hAnsi="Garamond"/>
                      <w:b/>
                      <w:lang w:val="en-AU"/>
                    </w:rPr>
                  </w:pPr>
                  <w:r w:rsidRPr="006D0A5B">
                    <w:rPr>
                      <w:rFonts w:ascii="Garamond" w:hAnsi="Garamond"/>
                      <w:b/>
                      <w:lang w:val="en-AU"/>
                    </w:rPr>
                    <w:t>Access to expertise</w:t>
                  </w:r>
                </w:p>
              </w:tc>
              <w:tc>
                <w:tcPr>
                  <w:tcW w:w="4602" w:type="dxa"/>
                </w:tcPr>
                <w:p w:rsidR="00993025" w:rsidRDefault="00993025" w:rsidP="00F369F9">
                  <w:pPr>
                    <w:rPr>
                      <w:rFonts w:ascii="Garamond" w:hAnsi="Garamond"/>
                      <w:lang w:val="en-AU"/>
                    </w:rPr>
                  </w:pPr>
                  <w:r w:rsidRPr="00993025">
                    <w:rPr>
                      <w:rFonts w:ascii="Garamond" w:hAnsi="Garamond"/>
                      <w:lang w:val="en-AU"/>
                    </w:rPr>
                    <w:t xml:space="preserve">Assist commissioners, decision makers and practitioners to understand and apply evidence and approaches from the behavioural and </w:t>
                  </w:r>
                  <w:r w:rsidRPr="00993025">
                    <w:rPr>
                      <w:rFonts w:ascii="Garamond" w:hAnsi="Garamond"/>
                      <w:lang w:val="en-AU"/>
                    </w:rPr>
                    <w:lastRenderedPageBreak/>
                    <w:t>social sciences to public health issues</w:t>
                  </w:r>
                </w:p>
              </w:tc>
            </w:tr>
            <w:tr w:rsidR="00993025" w:rsidTr="00993025">
              <w:tc>
                <w:tcPr>
                  <w:tcW w:w="612" w:type="dxa"/>
                </w:tcPr>
                <w:p w:rsidR="00993025" w:rsidRDefault="00993025" w:rsidP="00F369F9">
                  <w:pPr>
                    <w:rPr>
                      <w:rFonts w:ascii="Garamond" w:hAnsi="Garamond"/>
                      <w:lang w:val="en-AU"/>
                    </w:rPr>
                  </w:pPr>
                  <w:r>
                    <w:rPr>
                      <w:rFonts w:ascii="Garamond" w:hAnsi="Garamond"/>
                      <w:lang w:val="en-AU"/>
                    </w:rPr>
                    <w:lastRenderedPageBreak/>
                    <w:t>5</w:t>
                  </w:r>
                </w:p>
              </w:tc>
              <w:tc>
                <w:tcPr>
                  <w:tcW w:w="2835" w:type="dxa"/>
                </w:tcPr>
                <w:p w:rsidR="00993025" w:rsidRPr="006D0A5B" w:rsidRDefault="00993025" w:rsidP="00F369F9">
                  <w:pPr>
                    <w:rPr>
                      <w:rFonts w:ascii="Garamond" w:hAnsi="Garamond"/>
                      <w:b/>
                      <w:lang w:val="en-AU"/>
                    </w:rPr>
                  </w:pPr>
                  <w:r w:rsidRPr="006D0A5B">
                    <w:rPr>
                      <w:rFonts w:ascii="Garamond" w:hAnsi="Garamond"/>
                      <w:b/>
                      <w:lang w:val="en-AU"/>
                    </w:rPr>
                    <w:t>Tools and resources</w:t>
                  </w:r>
                </w:p>
              </w:tc>
              <w:tc>
                <w:tcPr>
                  <w:tcW w:w="4602" w:type="dxa"/>
                </w:tcPr>
                <w:p w:rsidR="00993025" w:rsidRDefault="00993025" w:rsidP="00F369F9">
                  <w:pPr>
                    <w:rPr>
                      <w:rFonts w:ascii="Garamond" w:hAnsi="Garamond"/>
                      <w:lang w:val="en-AU"/>
                    </w:rPr>
                  </w:pPr>
                  <w:r w:rsidRPr="00993025">
                    <w:rPr>
                      <w:rFonts w:ascii="Garamond" w:hAnsi="Garamond"/>
                      <w:lang w:val="en-AU"/>
                    </w:rPr>
                    <w:t>Provide a range of tools, methods and resources to support the use of approaches from the behavioural and social sciences</w:t>
                  </w:r>
                </w:p>
              </w:tc>
            </w:tr>
            <w:tr w:rsidR="00993025" w:rsidTr="00993025">
              <w:tc>
                <w:tcPr>
                  <w:tcW w:w="612" w:type="dxa"/>
                </w:tcPr>
                <w:p w:rsidR="00993025" w:rsidRDefault="00993025" w:rsidP="00F369F9">
                  <w:pPr>
                    <w:rPr>
                      <w:rFonts w:ascii="Garamond" w:hAnsi="Garamond"/>
                      <w:lang w:val="en-AU"/>
                    </w:rPr>
                  </w:pPr>
                  <w:r>
                    <w:rPr>
                      <w:rFonts w:ascii="Garamond" w:hAnsi="Garamond"/>
                      <w:lang w:val="en-AU"/>
                    </w:rPr>
                    <w:t>6</w:t>
                  </w:r>
                </w:p>
              </w:tc>
              <w:tc>
                <w:tcPr>
                  <w:tcW w:w="2835" w:type="dxa"/>
                </w:tcPr>
                <w:p w:rsidR="00993025" w:rsidRPr="006D0A5B" w:rsidRDefault="00993025" w:rsidP="00F369F9">
                  <w:pPr>
                    <w:rPr>
                      <w:rFonts w:ascii="Garamond" w:hAnsi="Garamond"/>
                      <w:b/>
                      <w:lang w:val="en-AU"/>
                    </w:rPr>
                  </w:pPr>
                  <w:r w:rsidRPr="006D0A5B">
                    <w:rPr>
                      <w:rFonts w:ascii="Garamond" w:hAnsi="Garamond"/>
                      <w:b/>
                      <w:lang w:val="en-AU"/>
                    </w:rPr>
                    <w:t>Capacity building</w:t>
                  </w:r>
                </w:p>
              </w:tc>
              <w:tc>
                <w:tcPr>
                  <w:tcW w:w="4602" w:type="dxa"/>
                </w:tcPr>
                <w:p w:rsidR="00993025" w:rsidRDefault="00993025" w:rsidP="00F369F9">
                  <w:pPr>
                    <w:rPr>
                      <w:rFonts w:ascii="Garamond" w:hAnsi="Garamond"/>
                      <w:lang w:val="en-AU"/>
                    </w:rPr>
                  </w:pPr>
                  <w:r w:rsidRPr="00993025">
                    <w:rPr>
                      <w:rFonts w:ascii="Garamond" w:hAnsi="Garamond"/>
                      <w:lang w:val="en-AU"/>
                    </w:rPr>
                    <w:t>Develop the skills and competencies of the public health workforce, so they can commission and deliver behaviour change interventions and programmes underpinned by behavioural and social science theory and evidence</w:t>
                  </w:r>
                </w:p>
              </w:tc>
            </w:tr>
            <w:tr w:rsidR="00993025" w:rsidTr="00993025">
              <w:tc>
                <w:tcPr>
                  <w:tcW w:w="612" w:type="dxa"/>
                </w:tcPr>
                <w:p w:rsidR="00993025" w:rsidRDefault="00993025" w:rsidP="00F369F9">
                  <w:pPr>
                    <w:rPr>
                      <w:rFonts w:ascii="Garamond" w:hAnsi="Garamond"/>
                      <w:lang w:val="en-AU"/>
                    </w:rPr>
                  </w:pPr>
                  <w:r>
                    <w:rPr>
                      <w:rFonts w:ascii="Garamond" w:hAnsi="Garamond"/>
                      <w:lang w:val="en-AU"/>
                    </w:rPr>
                    <w:t>7</w:t>
                  </w:r>
                </w:p>
              </w:tc>
              <w:tc>
                <w:tcPr>
                  <w:tcW w:w="2835" w:type="dxa"/>
                </w:tcPr>
                <w:p w:rsidR="00993025" w:rsidRPr="006D0A5B" w:rsidRDefault="00993025" w:rsidP="00F369F9">
                  <w:pPr>
                    <w:rPr>
                      <w:rFonts w:ascii="Garamond" w:hAnsi="Garamond"/>
                      <w:b/>
                      <w:lang w:val="en-AU"/>
                    </w:rPr>
                  </w:pPr>
                  <w:r w:rsidRPr="006D0A5B">
                    <w:rPr>
                      <w:rFonts w:ascii="Garamond" w:hAnsi="Garamond"/>
                      <w:b/>
                      <w:lang w:val="en-AU"/>
                    </w:rPr>
                    <w:t>Research and translation</w:t>
                  </w:r>
                </w:p>
              </w:tc>
              <w:tc>
                <w:tcPr>
                  <w:tcW w:w="4602" w:type="dxa"/>
                </w:tcPr>
                <w:p w:rsidR="00993025" w:rsidRDefault="00993025" w:rsidP="00F369F9">
                  <w:pPr>
                    <w:rPr>
                      <w:rFonts w:ascii="Garamond" w:hAnsi="Garamond"/>
                      <w:lang w:val="en-AU"/>
                    </w:rPr>
                  </w:pPr>
                  <w:r w:rsidRPr="00993025">
                    <w:rPr>
                      <w:rFonts w:ascii="Garamond" w:hAnsi="Garamond"/>
                      <w:lang w:val="en-AU"/>
                    </w:rPr>
                    <w:t>Encourage behavioural and social science research funding streams (including streams that are integrated with other public health disciplines) and the development of collaborative and multidisciplinary research capacity (with a focus on applied approaches) and dissemination</w:t>
                  </w:r>
                </w:p>
              </w:tc>
            </w:tr>
            <w:tr w:rsidR="00993025" w:rsidTr="00993025">
              <w:tc>
                <w:tcPr>
                  <w:tcW w:w="612" w:type="dxa"/>
                </w:tcPr>
                <w:p w:rsidR="00993025" w:rsidRDefault="00993025" w:rsidP="00F369F9">
                  <w:pPr>
                    <w:rPr>
                      <w:rFonts w:ascii="Garamond" w:hAnsi="Garamond"/>
                      <w:lang w:val="en-AU"/>
                    </w:rPr>
                  </w:pPr>
                  <w:r>
                    <w:rPr>
                      <w:rFonts w:ascii="Garamond" w:hAnsi="Garamond"/>
                      <w:lang w:val="en-AU"/>
                    </w:rPr>
                    <w:t>8</w:t>
                  </w:r>
                </w:p>
              </w:tc>
              <w:tc>
                <w:tcPr>
                  <w:tcW w:w="2835" w:type="dxa"/>
                </w:tcPr>
                <w:p w:rsidR="00993025" w:rsidRPr="006D0A5B" w:rsidRDefault="00993025" w:rsidP="00F369F9">
                  <w:pPr>
                    <w:rPr>
                      <w:rFonts w:ascii="Garamond" w:hAnsi="Garamond"/>
                      <w:b/>
                      <w:lang w:val="en-AU"/>
                    </w:rPr>
                  </w:pPr>
                  <w:r w:rsidRPr="006D0A5B">
                    <w:rPr>
                      <w:rFonts w:ascii="Garamond" w:hAnsi="Garamond"/>
                      <w:b/>
                      <w:lang w:val="en-AU"/>
                    </w:rPr>
                    <w:t>Communities of practice</w:t>
                  </w:r>
                </w:p>
              </w:tc>
              <w:tc>
                <w:tcPr>
                  <w:tcW w:w="4602" w:type="dxa"/>
                </w:tcPr>
                <w:p w:rsidR="00993025" w:rsidRDefault="00993025" w:rsidP="00F369F9">
                  <w:pPr>
                    <w:rPr>
                      <w:rFonts w:ascii="Garamond" w:hAnsi="Garamond"/>
                      <w:lang w:val="en-AU"/>
                    </w:rPr>
                  </w:pPr>
                  <w:r w:rsidRPr="00993025">
                    <w:rPr>
                      <w:rFonts w:ascii="Garamond" w:hAnsi="Garamond"/>
                      <w:lang w:val="en-AU"/>
                    </w:rPr>
                    <w:t>Strengthen or establish vibrant networks/communities of practice, improve quality of service, and promote exchanges of scientific information and professional experience</w:t>
                  </w:r>
                </w:p>
              </w:tc>
            </w:tr>
          </w:tbl>
          <w:p w:rsidR="006D0A5B" w:rsidRDefault="006D0A5B" w:rsidP="006D0A5B">
            <w:pPr>
              <w:keepNext/>
            </w:pPr>
            <w:r>
              <w:rPr>
                <w:rFonts w:ascii="Garamond" w:hAnsi="Garamond"/>
                <w:noProof/>
                <w:lang w:val="en-AU" w:eastAsia="en-AU"/>
              </w:rPr>
              <w:drawing>
                <wp:inline distT="0" distB="0" distL="0" distR="0" wp14:anchorId="5780587F" wp14:editId="71CFDE3E">
                  <wp:extent cx="5124450" cy="4895850"/>
                  <wp:effectExtent l="0" t="0" r="0" b="0"/>
                  <wp:docPr id="2" name="Picture 2" descr="\\central.health\dfsuserenv\Users\User_07\johnni\Desktop\PHE conce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PHE concept.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24450" cy="4895850"/>
                          </a:xfrm>
                          <a:prstGeom prst="rect">
                            <a:avLst/>
                          </a:prstGeom>
                          <a:noFill/>
                          <a:ln>
                            <a:noFill/>
                          </a:ln>
                        </pic:spPr>
                      </pic:pic>
                    </a:graphicData>
                  </a:graphic>
                </wp:inline>
              </w:drawing>
            </w:r>
          </w:p>
          <w:p w:rsidR="00993025" w:rsidRPr="00DC06D2" w:rsidRDefault="006D0A5B" w:rsidP="006D0A5B">
            <w:pPr>
              <w:pStyle w:val="Caption"/>
              <w:rPr>
                <w:rFonts w:ascii="Garamond" w:hAnsi="Garamond"/>
                <w:lang w:val="en-AU"/>
              </w:rPr>
            </w:pPr>
            <w:r>
              <w:t xml:space="preserve">Figure </w:t>
            </w:r>
            <w:r>
              <w:fldChar w:fldCharType="begin"/>
            </w:r>
            <w:r>
              <w:instrText xml:space="preserve"> SEQ Figure \* ARABIC </w:instrText>
            </w:r>
            <w:r>
              <w:fldChar w:fldCharType="separate"/>
            </w:r>
            <w:r>
              <w:rPr>
                <w:noProof/>
              </w:rPr>
              <w:t>1</w:t>
            </w:r>
            <w:r>
              <w:fldChar w:fldCharType="end"/>
            </w:r>
            <w:r>
              <w:t xml:space="preserve"> </w:t>
            </w:r>
            <w:r w:rsidRPr="00874F51">
              <w:t>Conceptualising the contributions of behavioural and social science disciplines</w:t>
            </w:r>
          </w:p>
        </w:tc>
      </w:tr>
    </w:tbl>
    <w:p w:rsidR="00A45977" w:rsidRPr="00D36688" w:rsidRDefault="00A45977" w:rsidP="00A45977">
      <w:pPr>
        <w:keepLines/>
        <w:autoSpaceDE w:val="0"/>
        <w:autoSpaceDN w:val="0"/>
        <w:adjustRightInd w:val="0"/>
        <w:rPr>
          <w:rFonts w:ascii="Garamond" w:hAnsi="Garamond"/>
          <w:i/>
          <w:lang w:val="en-AU"/>
        </w:rPr>
      </w:pPr>
      <w:r w:rsidRPr="00D36688">
        <w:rPr>
          <w:rFonts w:ascii="Garamond" w:hAnsi="Garamond"/>
          <w:i/>
          <w:lang w:val="en-AU"/>
        </w:rPr>
        <w:lastRenderedPageBreak/>
        <w:t>The Core Elements of Human Antibiotic Stewardship Programs in Resource-Limited Settings: National and Hospital Levels</w:t>
      </w:r>
    </w:p>
    <w:p w:rsidR="00A45977" w:rsidRDefault="00A45977" w:rsidP="00A45977">
      <w:pPr>
        <w:keepLines/>
        <w:autoSpaceDE w:val="0"/>
        <w:autoSpaceDN w:val="0"/>
        <w:adjustRightInd w:val="0"/>
        <w:rPr>
          <w:rFonts w:ascii="Garamond" w:hAnsi="Garamond"/>
          <w:lang w:val="en-AU"/>
        </w:rPr>
      </w:pPr>
      <w:r w:rsidRPr="005F12D0">
        <w:rPr>
          <w:rFonts w:ascii="Garamond" w:hAnsi="Garamond"/>
          <w:lang w:val="en-AU"/>
        </w:rPr>
        <w:t>Centers for Disease Control and Prevention</w:t>
      </w:r>
    </w:p>
    <w:p w:rsidR="00A45977" w:rsidRDefault="00A45977" w:rsidP="00A45977">
      <w:pPr>
        <w:keepLines/>
        <w:autoSpaceDE w:val="0"/>
        <w:autoSpaceDN w:val="0"/>
        <w:adjustRightInd w:val="0"/>
        <w:rPr>
          <w:rFonts w:ascii="Garamond" w:hAnsi="Garamond"/>
          <w:lang w:val="en-AU"/>
        </w:rPr>
      </w:pPr>
      <w:r w:rsidRPr="005F12D0">
        <w:rPr>
          <w:rFonts w:ascii="Garamond" w:hAnsi="Garamond"/>
          <w:lang w:val="en-AU"/>
        </w:rPr>
        <w:t xml:space="preserve">Atlanta: US Department of Health and Human Services, CDC; 2018. </w:t>
      </w:r>
      <w:proofErr w:type="gramStart"/>
      <w:r w:rsidRPr="005F12D0">
        <w:rPr>
          <w:rFonts w:ascii="Garamond" w:hAnsi="Garamond"/>
          <w:lang w:val="en-AU"/>
        </w:rPr>
        <w:t>p. 28.</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A45977" w:rsidRPr="000170DA" w:rsidTr="003363AE">
        <w:tc>
          <w:tcPr>
            <w:tcW w:w="1080" w:type="dxa"/>
            <w:tcBorders>
              <w:top w:val="single" w:sz="4" w:space="0" w:color="auto"/>
              <w:left w:val="single" w:sz="4" w:space="0" w:color="auto"/>
              <w:bottom w:val="single" w:sz="4" w:space="0" w:color="auto"/>
              <w:right w:val="single" w:sz="4" w:space="0" w:color="auto"/>
            </w:tcBorders>
            <w:vAlign w:val="center"/>
          </w:tcPr>
          <w:p w:rsidR="00A45977" w:rsidRPr="000170DA" w:rsidRDefault="00A45977" w:rsidP="003363AE">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45977" w:rsidRDefault="00510822" w:rsidP="003363AE">
            <w:pPr>
              <w:rPr>
                <w:rStyle w:val="Hyperlink"/>
                <w:rFonts w:ascii="Garamond" w:hAnsi="Garamond"/>
                <w:color w:val="auto"/>
                <w:u w:val="none"/>
                <w:lang w:val="en-AU"/>
              </w:rPr>
            </w:pPr>
            <w:hyperlink r:id="rId21" w:history="1">
              <w:r w:rsidR="00A45977" w:rsidRPr="00A66102">
                <w:rPr>
                  <w:rStyle w:val="Hyperlink"/>
                  <w:rFonts w:ascii="Garamond" w:hAnsi="Garamond"/>
                  <w:lang w:val="en-AU"/>
                </w:rPr>
                <w:t>https://www.cdc.gov/antibiotic-use/healthcare/implementation.html</w:t>
              </w:r>
            </w:hyperlink>
          </w:p>
          <w:p w:rsidR="00A45977" w:rsidRPr="000170DA" w:rsidRDefault="00510822" w:rsidP="003363AE">
            <w:pPr>
              <w:rPr>
                <w:rStyle w:val="Hyperlink"/>
                <w:rFonts w:ascii="Garamond" w:hAnsi="Garamond"/>
                <w:color w:val="auto"/>
                <w:u w:val="none"/>
                <w:lang w:val="en-AU"/>
              </w:rPr>
            </w:pPr>
            <w:hyperlink r:id="rId22" w:history="1">
              <w:r w:rsidR="00A45977" w:rsidRPr="00A66102">
                <w:rPr>
                  <w:rStyle w:val="Hyperlink"/>
                  <w:rFonts w:ascii="Garamond" w:hAnsi="Garamond"/>
                  <w:lang w:val="en-AU"/>
                </w:rPr>
                <w:t>https://www.cdc.gov/antibiotic-use/healthcare/pdfs/18-295875-A-ASP-CE-Web-508.pdf</w:t>
              </w:r>
            </w:hyperlink>
          </w:p>
        </w:tc>
      </w:tr>
      <w:tr w:rsidR="00A45977" w:rsidRPr="000170DA" w:rsidTr="003363AE">
        <w:tc>
          <w:tcPr>
            <w:tcW w:w="1080" w:type="dxa"/>
            <w:tcBorders>
              <w:top w:val="single" w:sz="4" w:space="0" w:color="auto"/>
              <w:left w:val="single" w:sz="4" w:space="0" w:color="auto"/>
              <w:bottom w:val="single" w:sz="4" w:space="0" w:color="auto"/>
              <w:right w:val="single" w:sz="4" w:space="0" w:color="auto"/>
            </w:tcBorders>
            <w:vAlign w:val="center"/>
          </w:tcPr>
          <w:p w:rsidR="00A45977" w:rsidRPr="000170DA" w:rsidRDefault="00A45977" w:rsidP="003363A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45977" w:rsidRPr="00DC06D2" w:rsidRDefault="00A45977" w:rsidP="003363AE">
            <w:pPr>
              <w:rPr>
                <w:rFonts w:ascii="Garamond" w:hAnsi="Garamond"/>
                <w:lang w:val="en-AU"/>
              </w:rPr>
            </w:pPr>
            <w:r>
              <w:rPr>
                <w:rFonts w:ascii="Garamond" w:hAnsi="Garamond"/>
                <w:lang w:val="en-AU"/>
              </w:rPr>
              <w:t xml:space="preserve">The [US] </w:t>
            </w:r>
            <w:r w:rsidRPr="00D36688">
              <w:rPr>
                <w:rFonts w:ascii="Garamond" w:hAnsi="Garamond"/>
                <w:lang w:val="en-AU"/>
              </w:rPr>
              <w:t xml:space="preserve">US Centers for Disease Control and Prevention </w:t>
            </w:r>
            <w:r>
              <w:rPr>
                <w:rFonts w:ascii="Garamond" w:hAnsi="Garamond"/>
                <w:lang w:val="en-AU"/>
              </w:rPr>
              <w:t xml:space="preserve">(CDC) has </w:t>
            </w:r>
            <w:r w:rsidRPr="00D36688">
              <w:rPr>
                <w:rFonts w:ascii="Garamond" w:hAnsi="Garamond"/>
                <w:lang w:val="en-AU"/>
              </w:rPr>
              <w:t xml:space="preserve">released </w:t>
            </w:r>
            <w:r>
              <w:rPr>
                <w:rFonts w:ascii="Garamond" w:hAnsi="Garamond"/>
                <w:lang w:val="en-AU"/>
              </w:rPr>
              <w:t xml:space="preserve">this </w:t>
            </w:r>
            <w:r w:rsidRPr="00D36688">
              <w:rPr>
                <w:rFonts w:ascii="Garamond" w:hAnsi="Garamond"/>
                <w:lang w:val="en-AU"/>
              </w:rPr>
              <w:t xml:space="preserve">guide </w:t>
            </w:r>
            <w:r>
              <w:rPr>
                <w:rFonts w:ascii="Garamond" w:hAnsi="Garamond"/>
                <w:lang w:val="en-AU"/>
              </w:rPr>
              <w:t xml:space="preserve">that </w:t>
            </w:r>
            <w:r w:rsidRPr="00D36688">
              <w:rPr>
                <w:rFonts w:ascii="Garamond" w:hAnsi="Garamond"/>
                <w:lang w:val="en-AU"/>
              </w:rPr>
              <w:t xml:space="preserve">provides a framework for implementing antibiotic stewardship programs in resource-limited settings. The guide contains practical, high-yield strategies based on expert opinion </w:t>
            </w:r>
            <w:r>
              <w:rPr>
                <w:rFonts w:ascii="Garamond" w:hAnsi="Garamond"/>
                <w:lang w:val="en-AU"/>
              </w:rPr>
              <w:t xml:space="preserve">and </w:t>
            </w:r>
            <w:r w:rsidRPr="00D36688">
              <w:rPr>
                <w:rFonts w:ascii="Garamond" w:hAnsi="Garamond"/>
                <w:lang w:val="en-AU"/>
              </w:rPr>
              <w:t>experiences in implementing antibiotic stewardship programs at the national and facility-levels. The guide provides a range of activities that a government or individual facility can implement based on the resources available.</w:t>
            </w:r>
          </w:p>
        </w:tc>
      </w:tr>
    </w:tbl>
    <w:p w:rsidR="00A45977" w:rsidRDefault="00A45977" w:rsidP="00A45977">
      <w:pPr>
        <w:rPr>
          <w:rFonts w:ascii="Garamond" w:hAnsi="Garamond"/>
          <w:lang w:val="en-AU"/>
        </w:rPr>
      </w:pPr>
    </w:p>
    <w:p w:rsidR="00A45977" w:rsidRDefault="00A45977" w:rsidP="00A45977">
      <w:pPr>
        <w:rPr>
          <w:rFonts w:ascii="Garamond" w:hAnsi="Garamond"/>
          <w:lang w:val="en-AU"/>
        </w:rPr>
      </w:pPr>
      <w:r w:rsidRPr="005051ED">
        <w:rPr>
          <w:rFonts w:ascii="Garamond" w:hAnsi="Garamond"/>
          <w:lang w:val="en-AU"/>
        </w:rPr>
        <w:t xml:space="preserve">For more </w:t>
      </w:r>
      <w:r>
        <w:rPr>
          <w:rFonts w:ascii="Garamond" w:hAnsi="Garamond"/>
          <w:lang w:val="en-AU"/>
        </w:rPr>
        <w:t xml:space="preserve">information about the Commission’s work on antimicrobial stewardship, see </w:t>
      </w:r>
      <w:hyperlink r:id="rId23" w:history="1">
        <w:r w:rsidRPr="00A66102">
          <w:rPr>
            <w:rStyle w:val="Hyperlink"/>
            <w:rFonts w:ascii="Garamond" w:hAnsi="Garamond"/>
            <w:lang w:val="en-AU"/>
          </w:rPr>
          <w:t>https://www.safetyandquality.gov.au/our-work/healthcare-associated-infection/antimicrobial-stewardship/</w:t>
        </w:r>
      </w:hyperlink>
    </w:p>
    <w:p w:rsidR="00B61229" w:rsidRDefault="00B61229" w:rsidP="00B61229">
      <w:pPr>
        <w:rPr>
          <w:rFonts w:ascii="Garamond" w:hAnsi="Garamond"/>
          <w:lang w:val="en-AU"/>
        </w:rPr>
      </w:pPr>
    </w:p>
    <w:p w:rsidR="005F12D0" w:rsidRPr="00D90F5B" w:rsidRDefault="00D90F5B" w:rsidP="00D90F5B">
      <w:pPr>
        <w:rPr>
          <w:rFonts w:ascii="Garamond" w:hAnsi="Garamond"/>
          <w:i/>
          <w:lang w:val="en-AU"/>
        </w:rPr>
      </w:pPr>
      <w:r w:rsidRPr="00D90F5B">
        <w:rPr>
          <w:rFonts w:ascii="Garamond" w:hAnsi="Garamond"/>
          <w:i/>
          <w:lang w:val="en-AU"/>
        </w:rPr>
        <w:t>Making hospitals safe</w:t>
      </w:r>
      <w:r>
        <w:rPr>
          <w:rFonts w:ascii="Garamond" w:hAnsi="Garamond"/>
          <w:i/>
          <w:lang w:val="en-AU"/>
        </w:rPr>
        <w:t xml:space="preserve"> </w:t>
      </w:r>
      <w:r w:rsidRPr="00D90F5B">
        <w:rPr>
          <w:rFonts w:ascii="Garamond" w:hAnsi="Garamond"/>
          <w:i/>
          <w:lang w:val="en-AU"/>
        </w:rPr>
        <w:t>for people with diabetes</w:t>
      </w:r>
    </w:p>
    <w:p w:rsidR="00D90F5B" w:rsidRDefault="00D90F5B" w:rsidP="004310CA">
      <w:pPr>
        <w:rPr>
          <w:rFonts w:ascii="Garamond" w:hAnsi="Garamond"/>
          <w:lang w:val="en-AU"/>
        </w:rPr>
      </w:pPr>
      <w:r w:rsidRPr="00D90F5B">
        <w:rPr>
          <w:rFonts w:ascii="Garamond" w:hAnsi="Garamond"/>
          <w:lang w:val="en-AU"/>
        </w:rPr>
        <w:t>Watts E, Rayman G</w:t>
      </w:r>
    </w:p>
    <w:p w:rsidR="00D90F5B" w:rsidRDefault="00D90F5B" w:rsidP="004310CA">
      <w:pPr>
        <w:rPr>
          <w:rFonts w:ascii="Garamond" w:hAnsi="Garamond"/>
          <w:lang w:val="en-AU"/>
        </w:rPr>
      </w:pPr>
      <w:r w:rsidRPr="00D90F5B">
        <w:rPr>
          <w:rFonts w:ascii="Garamond" w:hAnsi="Garamond"/>
          <w:lang w:val="en-AU"/>
        </w:rPr>
        <w:t xml:space="preserve">London: Diabetes UK; 2018. </w:t>
      </w:r>
      <w:proofErr w:type="gramStart"/>
      <w:r w:rsidRPr="00D90F5B">
        <w:rPr>
          <w:rFonts w:ascii="Garamond" w:hAnsi="Garamond"/>
          <w:lang w:val="en-AU"/>
        </w:rPr>
        <w:t>p. 24.</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D90F5B" w:rsidRPr="000170DA" w:rsidTr="003363AE">
        <w:tc>
          <w:tcPr>
            <w:tcW w:w="1080" w:type="dxa"/>
            <w:tcBorders>
              <w:top w:val="single" w:sz="4" w:space="0" w:color="auto"/>
              <w:left w:val="single" w:sz="4" w:space="0" w:color="auto"/>
              <w:bottom w:val="single" w:sz="4" w:space="0" w:color="auto"/>
              <w:right w:val="single" w:sz="4" w:space="0" w:color="auto"/>
            </w:tcBorders>
            <w:vAlign w:val="center"/>
          </w:tcPr>
          <w:p w:rsidR="00D90F5B" w:rsidRPr="000170DA" w:rsidRDefault="00D90F5B" w:rsidP="003363AE">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90F5B" w:rsidRPr="000170DA" w:rsidRDefault="00510822" w:rsidP="003363AE">
            <w:pPr>
              <w:rPr>
                <w:rStyle w:val="Hyperlink"/>
                <w:rFonts w:ascii="Garamond" w:hAnsi="Garamond"/>
                <w:color w:val="auto"/>
                <w:u w:val="none"/>
                <w:lang w:val="en-AU"/>
              </w:rPr>
            </w:pPr>
            <w:hyperlink r:id="rId24" w:history="1">
              <w:r w:rsidR="00D90F5B" w:rsidRPr="00A66102">
                <w:rPr>
                  <w:rStyle w:val="Hyperlink"/>
                  <w:rFonts w:ascii="Garamond" w:hAnsi="Garamond"/>
                  <w:lang w:val="en-AU"/>
                </w:rPr>
                <w:t>https://www.diabetes.org.uk/professionals/resources/shared-practice/inpatient-and-hospital-care</w:t>
              </w:r>
            </w:hyperlink>
          </w:p>
        </w:tc>
      </w:tr>
      <w:tr w:rsidR="00D90F5B" w:rsidRPr="000170DA" w:rsidTr="003363AE">
        <w:tc>
          <w:tcPr>
            <w:tcW w:w="1080" w:type="dxa"/>
            <w:tcBorders>
              <w:top w:val="single" w:sz="4" w:space="0" w:color="auto"/>
              <w:left w:val="single" w:sz="4" w:space="0" w:color="auto"/>
              <w:bottom w:val="single" w:sz="4" w:space="0" w:color="auto"/>
              <w:right w:val="single" w:sz="4" w:space="0" w:color="auto"/>
            </w:tcBorders>
            <w:vAlign w:val="center"/>
          </w:tcPr>
          <w:p w:rsidR="00D90F5B" w:rsidRPr="000170DA" w:rsidRDefault="00D90F5B" w:rsidP="003363A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90F5B" w:rsidRDefault="00D90F5B" w:rsidP="00D90F5B">
            <w:pPr>
              <w:rPr>
                <w:rFonts w:ascii="Garamond" w:hAnsi="Garamond"/>
                <w:lang w:val="en-AU"/>
              </w:rPr>
            </w:pPr>
            <w:r>
              <w:rPr>
                <w:rFonts w:ascii="Garamond" w:hAnsi="Garamond"/>
                <w:lang w:val="en-AU"/>
              </w:rPr>
              <w:t xml:space="preserve">The prevalence of diabetes seems to be increasing almost inexorably. It can be a significant co-morbidity and hospitalised patients with diabetes can require additional care. According to this report from Diabetes UK, </w:t>
            </w:r>
            <w:r w:rsidRPr="00D90F5B">
              <w:rPr>
                <w:rFonts w:ascii="Garamond" w:hAnsi="Garamond"/>
                <w:b/>
                <w:lang w:val="en-AU"/>
              </w:rPr>
              <w:t>people with diabetes</w:t>
            </w:r>
            <w:r w:rsidRPr="00D90F5B">
              <w:rPr>
                <w:rFonts w:ascii="Garamond" w:hAnsi="Garamond"/>
                <w:lang w:val="en-AU"/>
              </w:rPr>
              <w:t xml:space="preserve"> who are admitted to hospital </w:t>
            </w:r>
            <w:r w:rsidRPr="00D90F5B">
              <w:rPr>
                <w:rFonts w:ascii="Garamond" w:hAnsi="Garamond"/>
                <w:b/>
                <w:lang w:val="en-AU"/>
              </w:rPr>
              <w:t>must be cared</w:t>
            </w:r>
            <w:r w:rsidRPr="00D90F5B">
              <w:rPr>
                <w:rFonts w:ascii="Garamond" w:hAnsi="Garamond"/>
                <w:lang w:val="en-AU"/>
              </w:rPr>
              <w:t xml:space="preserve"> for by appropriately </w:t>
            </w:r>
            <w:r w:rsidRPr="00D90F5B">
              <w:rPr>
                <w:rFonts w:ascii="Garamond" w:hAnsi="Garamond"/>
                <w:b/>
                <w:lang w:val="en-AU"/>
              </w:rPr>
              <w:t>trained staff</w:t>
            </w:r>
            <w:r w:rsidRPr="00D90F5B">
              <w:rPr>
                <w:rFonts w:ascii="Garamond" w:hAnsi="Garamond"/>
                <w:lang w:val="en-AU"/>
              </w:rPr>
              <w:t xml:space="preserve">, provided with access to a </w:t>
            </w:r>
            <w:r w:rsidRPr="00D90F5B">
              <w:rPr>
                <w:rFonts w:ascii="Garamond" w:hAnsi="Garamond"/>
                <w:b/>
                <w:lang w:val="en-AU"/>
              </w:rPr>
              <w:t>specialist diabetes team</w:t>
            </w:r>
            <w:r w:rsidRPr="00D90F5B">
              <w:rPr>
                <w:rFonts w:ascii="Garamond" w:hAnsi="Garamond"/>
                <w:lang w:val="en-AU"/>
              </w:rPr>
              <w:t xml:space="preserve"> and given the </w:t>
            </w:r>
            <w:r w:rsidRPr="00D90F5B">
              <w:rPr>
                <w:rFonts w:ascii="Garamond" w:hAnsi="Garamond"/>
                <w:b/>
                <w:lang w:val="en-AU"/>
              </w:rPr>
              <w:t>choice of self-monitoring</w:t>
            </w:r>
            <w:r w:rsidRPr="00D90F5B">
              <w:rPr>
                <w:rFonts w:ascii="Garamond" w:hAnsi="Garamond"/>
                <w:lang w:val="en-AU"/>
              </w:rPr>
              <w:t xml:space="preserve"> and managing their own insulin.</w:t>
            </w:r>
            <w:r>
              <w:rPr>
                <w:rFonts w:ascii="Garamond" w:hAnsi="Garamond"/>
                <w:lang w:val="en-AU"/>
              </w:rPr>
              <w:t xml:space="preserve"> The </w:t>
            </w:r>
            <w:r w:rsidRPr="00D90F5B">
              <w:rPr>
                <w:rFonts w:ascii="Garamond" w:hAnsi="Garamond"/>
                <w:lang w:val="en-AU"/>
              </w:rPr>
              <w:t xml:space="preserve">report has been developed through conversations with people with diabetes, diabetes inpatient teams, healthcare professionals working in hospitals and hospital managers. It highlights the challenges facing diabetes inpatient services and shows what should be in place in all hospitals. </w:t>
            </w:r>
            <w:r>
              <w:rPr>
                <w:rFonts w:ascii="Garamond" w:hAnsi="Garamond"/>
                <w:lang w:val="en-AU"/>
              </w:rPr>
              <w:t>Properly</w:t>
            </w:r>
            <w:r w:rsidRPr="00D90F5B">
              <w:rPr>
                <w:rFonts w:ascii="Garamond" w:hAnsi="Garamond"/>
                <w:lang w:val="en-AU"/>
              </w:rPr>
              <w:t xml:space="preserve"> resourced, proactive diabetes inpatient teams and an educated inpatient workforce lead to improved patient satisfaction and shorter lengths of stay.</w:t>
            </w:r>
            <w:r>
              <w:rPr>
                <w:rFonts w:ascii="Garamond" w:hAnsi="Garamond"/>
                <w:lang w:val="en-AU"/>
              </w:rPr>
              <w:t xml:space="preserve"> W</w:t>
            </w:r>
            <w:r w:rsidRPr="00D90F5B">
              <w:rPr>
                <w:rFonts w:ascii="Garamond" w:hAnsi="Garamond"/>
                <w:lang w:val="en-AU"/>
              </w:rPr>
              <w:t>hen proper systems are in place, healthcare professionals can manage their workload better and make sure they are prioritising those most in need.</w:t>
            </w:r>
            <w:r>
              <w:rPr>
                <w:rFonts w:ascii="Garamond" w:hAnsi="Garamond"/>
                <w:lang w:val="en-AU"/>
              </w:rPr>
              <w:t xml:space="preserve"> Along with the report, other resources are available, including a self-assessment checklist.</w:t>
            </w:r>
          </w:p>
          <w:p w:rsidR="00D90F5B" w:rsidRPr="000365E9" w:rsidRDefault="00D90F5B" w:rsidP="00D90F5B">
            <w:pPr>
              <w:rPr>
                <w:rFonts w:ascii="Garamond" w:hAnsi="Garamond"/>
                <w:lang w:val="en-AU"/>
              </w:rPr>
            </w:pPr>
            <w:r>
              <w:rPr>
                <w:rFonts w:ascii="Garamond" w:hAnsi="Garamond"/>
                <w:noProof/>
                <w:lang w:val="en-AU" w:eastAsia="en-AU"/>
              </w:rPr>
              <w:drawing>
                <wp:inline distT="0" distB="0" distL="0" distR="0">
                  <wp:extent cx="5113655" cy="1648460"/>
                  <wp:effectExtent l="0" t="0" r="0" b="8890"/>
                  <wp:docPr id="4" name="Picture 4" descr="\\central.health\dfsuserenv\Users\User_07\JOHNNI\Desktop\diabetes 1 in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Desktop\diabetes 1 in 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13655" cy="1648460"/>
                          </a:xfrm>
                          <a:prstGeom prst="rect">
                            <a:avLst/>
                          </a:prstGeom>
                          <a:noFill/>
                          <a:ln>
                            <a:noFill/>
                          </a:ln>
                        </pic:spPr>
                      </pic:pic>
                    </a:graphicData>
                  </a:graphic>
                </wp:inline>
              </w:drawing>
            </w:r>
          </w:p>
        </w:tc>
      </w:tr>
    </w:tbl>
    <w:p w:rsidR="00D90F5B" w:rsidRDefault="00D90F5B" w:rsidP="00D90F5B">
      <w:pPr>
        <w:keepNext/>
        <w:keepLines/>
        <w:autoSpaceDE w:val="0"/>
        <w:autoSpaceDN w:val="0"/>
        <w:adjustRightInd w:val="0"/>
        <w:rPr>
          <w:rFonts w:ascii="Garamond" w:hAnsi="Garamond"/>
          <w:i/>
          <w:lang w:val="en-AU"/>
        </w:rPr>
      </w:pPr>
    </w:p>
    <w:p w:rsidR="00A45977" w:rsidRDefault="00A45977">
      <w:pPr>
        <w:rPr>
          <w:rFonts w:ascii="Garamond" w:hAnsi="Garamond"/>
          <w:i/>
          <w:lang w:val="en-AU"/>
        </w:rPr>
      </w:pPr>
      <w:r>
        <w:rPr>
          <w:rFonts w:ascii="Garamond" w:hAnsi="Garamond"/>
          <w:i/>
          <w:lang w:val="en-AU"/>
        </w:rPr>
        <w:br w:type="page"/>
      </w:r>
    </w:p>
    <w:p w:rsidR="00A45977" w:rsidRPr="00603672" w:rsidRDefault="00A45977" w:rsidP="00A45977">
      <w:pPr>
        <w:keepLines/>
        <w:autoSpaceDE w:val="0"/>
        <w:autoSpaceDN w:val="0"/>
        <w:adjustRightInd w:val="0"/>
        <w:rPr>
          <w:rFonts w:ascii="Garamond" w:hAnsi="Garamond"/>
          <w:i/>
          <w:lang w:val="en-AU"/>
        </w:rPr>
      </w:pPr>
      <w:r w:rsidRPr="00603672">
        <w:rPr>
          <w:rFonts w:ascii="Garamond" w:hAnsi="Garamond"/>
          <w:i/>
          <w:lang w:val="en-AU"/>
        </w:rPr>
        <w:lastRenderedPageBreak/>
        <w:t>Approaches to better value: improving quality and cost</w:t>
      </w:r>
    </w:p>
    <w:p w:rsidR="00A45977" w:rsidRDefault="00A45977" w:rsidP="00A45977">
      <w:pPr>
        <w:keepLines/>
        <w:autoSpaceDE w:val="0"/>
        <w:autoSpaceDN w:val="0"/>
        <w:adjustRightInd w:val="0"/>
        <w:rPr>
          <w:rFonts w:ascii="Garamond" w:hAnsi="Garamond"/>
          <w:lang w:val="en-AU"/>
        </w:rPr>
      </w:pPr>
      <w:r w:rsidRPr="006D0A5B">
        <w:rPr>
          <w:rFonts w:ascii="Garamond" w:hAnsi="Garamond"/>
          <w:lang w:val="en-AU"/>
        </w:rPr>
        <w:t>Jabbal J, Lewis M</w:t>
      </w:r>
    </w:p>
    <w:p w:rsidR="00A45977" w:rsidRDefault="00A45977" w:rsidP="00A45977">
      <w:pPr>
        <w:keepLines/>
        <w:autoSpaceDE w:val="0"/>
        <w:autoSpaceDN w:val="0"/>
        <w:adjustRightInd w:val="0"/>
        <w:rPr>
          <w:rFonts w:ascii="Garamond" w:hAnsi="Garamond"/>
          <w:lang w:val="en-AU"/>
        </w:rPr>
      </w:pPr>
      <w:r w:rsidRPr="006D0A5B">
        <w:rPr>
          <w:rFonts w:ascii="Garamond" w:hAnsi="Garamond"/>
          <w:lang w:val="en-AU"/>
        </w:rPr>
        <w:t xml:space="preserve">London: The King's Fund; 2018. </w:t>
      </w:r>
      <w:proofErr w:type="gramStart"/>
      <w:r w:rsidRPr="006D0A5B">
        <w:rPr>
          <w:rFonts w:ascii="Garamond" w:hAnsi="Garamond"/>
          <w:lang w:val="en-AU"/>
        </w:rPr>
        <w:t>p. 51.</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A45977" w:rsidRPr="000170DA" w:rsidTr="003363AE">
        <w:tc>
          <w:tcPr>
            <w:tcW w:w="1080" w:type="dxa"/>
            <w:tcBorders>
              <w:top w:val="single" w:sz="4" w:space="0" w:color="auto"/>
              <w:left w:val="single" w:sz="4" w:space="0" w:color="auto"/>
              <w:bottom w:val="single" w:sz="4" w:space="0" w:color="auto"/>
              <w:right w:val="single" w:sz="4" w:space="0" w:color="auto"/>
            </w:tcBorders>
            <w:vAlign w:val="center"/>
          </w:tcPr>
          <w:p w:rsidR="00A45977" w:rsidRPr="000170DA" w:rsidRDefault="00A45977" w:rsidP="003363AE">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45977" w:rsidRPr="000170DA" w:rsidRDefault="00510822" w:rsidP="003363AE">
            <w:pPr>
              <w:rPr>
                <w:rStyle w:val="Hyperlink"/>
                <w:rFonts w:ascii="Garamond" w:hAnsi="Garamond"/>
                <w:color w:val="auto"/>
                <w:u w:val="none"/>
                <w:lang w:val="en-AU"/>
              </w:rPr>
            </w:pPr>
            <w:hyperlink r:id="rId26" w:history="1">
              <w:r w:rsidR="00A45977" w:rsidRPr="00193648">
                <w:rPr>
                  <w:rStyle w:val="Hyperlink"/>
                  <w:rFonts w:ascii="Garamond" w:hAnsi="Garamond"/>
                  <w:lang w:val="en-AU"/>
                </w:rPr>
                <w:t>https://www.kingsfund.org.uk/publications/approaches-better-value</w:t>
              </w:r>
            </w:hyperlink>
          </w:p>
        </w:tc>
      </w:tr>
      <w:tr w:rsidR="00A45977" w:rsidRPr="000170DA" w:rsidTr="003363AE">
        <w:tc>
          <w:tcPr>
            <w:tcW w:w="1080" w:type="dxa"/>
            <w:tcBorders>
              <w:top w:val="single" w:sz="4" w:space="0" w:color="auto"/>
              <w:left w:val="single" w:sz="4" w:space="0" w:color="auto"/>
              <w:bottom w:val="single" w:sz="4" w:space="0" w:color="auto"/>
              <w:right w:val="single" w:sz="4" w:space="0" w:color="auto"/>
            </w:tcBorders>
            <w:vAlign w:val="center"/>
          </w:tcPr>
          <w:p w:rsidR="00A45977" w:rsidRPr="000170DA" w:rsidRDefault="00A45977" w:rsidP="003363A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45977" w:rsidRDefault="00A45977" w:rsidP="003363AE">
            <w:pPr>
              <w:rPr>
                <w:rFonts w:ascii="Garamond" w:hAnsi="Garamond"/>
                <w:lang w:val="en-AU"/>
              </w:rPr>
            </w:pPr>
            <w:r>
              <w:rPr>
                <w:rFonts w:ascii="Garamond" w:hAnsi="Garamond"/>
                <w:lang w:val="en-AU"/>
              </w:rPr>
              <w:t xml:space="preserve">The search for value (whether in limited terms of costs and value for money, or the broader sense of care that accords with individual’s values) motivates many. The King’s Fund in the UK has published this report seeking to share </w:t>
            </w:r>
            <w:r w:rsidRPr="006D0A5B">
              <w:rPr>
                <w:rFonts w:ascii="Garamond" w:hAnsi="Garamond"/>
                <w:lang w:val="en-AU"/>
              </w:rPr>
              <w:t>learning and insight from three NHS hospital trusts that have developed organisation-wide strategies for value improvement.</w:t>
            </w:r>
            <w:r>
              <w:rPr>
                <w:rFonts w:ascii="Garamond" w:hAnsi="Garamond"/>
                <w:lang w:val="en-AU"/>
              </w:rPr>
              <w:t xml:space="preserve"> These experiences not only reveal </w:t>
            </w:r>
            <w:r w:rsidRPr="006D0A5B">
              <w:rPr>
                <w:rFonts w:ascii="Garamond" w:hAnsi="Garamond"/>
                <w:lang w:val="en-AU"/>
              </w:rPr>
              <w:t xml:space="preserve">differences in how organisations are approaching value improvement, </w:t>
            </w:r>
            <w:r>
              <w:rPr>
                <w:rFonts w:ascii="Garamond" w:hAnsi="Garamond"/>
                <w:lang w:val="en-AU"/>
              </w:rPr>
              <w:t xml:space="preserve">they also show </w:t>
            </w:r>
            <w:r w:rsidRPr="006D0A5B">
              <w:rPr>
                <w:rFonts w:ascii="Garamond" w:hAnsi="Garamond"/>
                <w:lang w:val="en-AU"/>
              </w:rPr>
              <w:t>several common conditions for success. These include</w:t>
            </w:r>
            <w:r>
              <w:rPr>
                <w:rFonts w:ascii="Garamond" w:hAnsi="Garamond"/>
                <w:lang w:val="en-AU"/>
              </w:rPr>
              <w:t>:</w:t>
            </w:r>
          </w:p>
          <w:p w:rsidR="00A45977" w:rsidRDefault="00A45977" w:rsidP="003363AE">
            <w:pPr>
              <w:pStyle w:val="ListParagraph"/>
              <w:numPr>
                <w:ilvl w:val="0"/>
                <w:numId w:val="33"/>
              </w:numPr>
              <w:rPr>
                <w:rFonts w:ascii="Garamond" w:hAnsi="Garamond"/>
                <w:lang w:val="en-AU"/>
              </w:rPr>
            </w:pPr>
            <w:r w:rsidRPr="006D0A5B">
              <w:rPr>
                <w:rFonts w:ascii="Garamond" w:hAnsi="Garamond"/>
                <w:lang w:val="en-AU"/>
              </w:rPr>
              <w:t xml:space="preserve">fidelity to a </w:t>
            </w:r>
            <w:r w:rsidRPr="006D0A5B">
              <w:rPr>
                <w:rFonts w:ascii="Garamond" w:hAnsi="Garamond"/>
                <w:b/>
                <w:lang w:val="en-AU"/>
              </w:rPr>
              <w:t>clearly defined strategy</w:t>
            </w:r>
            <w:r w:rsidRPr="006D0A5B">
              <w:rPr>
                <w:rFonts w:ascii="Garamond" w:hAnsi="Garamond"/>
                <w:lang w:val="en-AU"/>
              </w:rPr>
              <w:t xml:space="preserve"> that brings the various strands of value improvement work </w:t>
            </w:r>
            <w:r>
              <w:rPr>
                <w:rFonts w:ascii="Garamond" w:hAnsi="Garamond"/>
                <w:lang w:val="en-AU"/>
              </w:rPr>
              <w:t>together</w:t>
            </w:r>
          </w:p>
          <w:p w:rsidR="00A45977" w:rsidRDefault="00A45977" w:rsidP="003363AE">
            <w:pPr>
              <w:pStyle w:val="ListParagraph"/>
              <w:numPr>
                <w:ilvl w:val="0"/>
                <w:numId w:val="33"/>
              </w:numPr>
              <w:rPr>
                <w:rFonts w:ascii="Garamond" w:hAnsi="Garamond"/>
                <w:lang w:val="en-AU"/>
              </w:rPr>
            </w:pPr>
            <w:r w:rsidRPr="006D0A5B">
              <w:rPr>
                <w:rFonts w:ascii="Garamond" w:hAnsi="Garamond"/>
                <w:lang w:val="en-AU"/>
              </w:rPr>
              <w:t xml:space="preserve">recognition that </w:t>
            </w:r>
            <w:r w:rsidRPr="006D0A5B">
              <w:rPr>
                <w:rFonts w:ascii="Garamond" w:hAnsi="Garamond"/>
                <w:b/>
                <w:lang w:val="en-AU"/>
              </w:rPr>
              <w:t>value improvement</w:t>
            </w:r>
            <w:r w:rsidRPr="006D0A5B">
              <w:rPr>
                <w:rFonts w:ascii="Garamond" w:hAnsi="Garamond"/>
                <w:lang w:val="en-AU"/>
              </w:rPr>
              <w:t xml:space="preserve"> is </w:t>
            </w:r>
            <w:r w:rsidRPr="006D0A5B">
              <w:rPr>
                <w:rFonts w:ascii="Garamond" w:hAnsi="Garamond"/>
                <w:b/>
                <w:lang w:val="en-AU"/>
              </w:rPr>
              <w:t>a long-term commitment</w:t>
            </w:r>
            <w:r w:rsidRPr="006D0A5B">
              <w:rPr>
                <w:rFonts w:ascii="Garamond" w:hAnsi="Garamond"/>
                <w:lang w:val="en-AU"/>
              </w:rPr>
              <w:t xml:space="preserve"> that will require considerable staff </w:t>
            </w:r>
            <w:r w:rsidRPr="006D0A5B">
              <w:rPr>
                <w:rFonts w:ascii="Garamond" w:hAnsi="Garamond"/>
                <w:b/>
                <w:lang w:val="en-AU"/>
              </w:rPr>
              <w:t>time and resources</w:t>
            </w:r>
            <w:r w:rsidRPr="006D0A5B">
              <w:rPr>
                <w:rFonts w:ascii="Garamond" w:hAnsi="Garamond"/>
                <w:lang w:val="en-AU"/>
              </w:rPr>
              <w:t>;</w:t>
            </w:r>
          </w:p>
          <w:p w:rsidR="00A45977" w:rsidRPr="006D0A5B" w:rsidRDefault="00A45977" w:rsidP="003363AE">
            <w:pPr>
              <w:pStyle w:val="ListParagraph"/>
              <w:numPr>
                <w:ilvl w:val="0"/>
                <w:numId w:val="33"/>
              </w:numPr>
              <w:rPr>
                <w:rFonts w:ascii="Garamond" w:hAnsi="Garamond"/>
                <w:lang w:val="en-AU"/>
              </w:rPr>
            </w:pPr>
            <w:proofErr w:type="gramStart"/>
            <w:r w:rsidRPr="006D0A5B">
              <w:rPr>
                <w:rFonts w:ascii="Garamond" w:hAnsi="Garamond"/>
                <w:b/>
                <w:lang w:val="en-AU"/>
              </w:rPr>
              <w:t>leadership</w:t>
            </w:r>
            <w:proofErr w:type="gramEnd"/>
            <w:r w:rsidRPr="006D0A5B">
              <w:rPr>
                <w:rFonts w:ascii="Garamond" w:hAnsi="Garamond"/>
                <w:lang w:val="en-AU"/>
              </w:rPr>
              <w:t xml:space="preserve"> approach that requires </w:t>
            </w:r>
            <w:r w:rsidRPr="006D0A5B">
              <w:rPr>
                <w:rFonts w:ascii="Garamond" w:hAnsi="Garamond"/>
                <w:b/>
                <w:lang w:val="en-AU"/>
              </w:rPr>
              <w:t>continuous engagement</w:t>
            </w:r>
            <w:r w:rsidRPr="006D0A5B">
              <w:rPr>
                <w:rFonts w:ascii="Garamond" w:hAnsi="Garamond"/>
                <w:lang w:val="en-AU"/>
              </w:rPr>
              <w:t xml:space="preserve"> with </w:t>
            </w:r>
            <w:r w:rsidRPr="006D0A5B">
              <w:rPr>
                <w:rFonts w:ascii="Garamond" w:hAnsi="Garamond"/>
                <w:b/>
                <w:lang w:val="en-AU"/>
              </w:rPr>
              <w:t>frontline clinicians and managers</w:t>
            </w:r>
            <w:r w:rsidRPr="006D0A5B">
              <w:rPr>
                <w:rFonts w:ascii="Garamond" w:hAnsi="Garamond"/>
                <w:lang w:val="en-AU"/>
              </w:rPr>
              <w:t>.</w:t>
            </w:r>
          </w:p>
        </w:tc>
      </w:tr>
    </w:tbl>
    <w:p w:rsidR="00A45977" w:rsidRDefault="00A45977" w:rsidP="00A45977">
      <w:pPr>
        <w:rPr>
          <w:rFonts w:ascii="Garamond" w:hAnsi="Garamond"/>
          <w:lang w:val="en-AU"/>
        </w:rPr>
      </w:pPr>
    </w:p>
    <w:p w:rsidR="00D90F5B" w:rsidRDefault="00D90F5B" w:rsidP="004310CA">
      <w:pPr>
        <w:rPr>
          <w:rFonts w:ascii="Garamond" w:hAnsi="Garamond"/>
          <w:lang w:val="en-AU"/>
        </w:rPr>
      </w:pPr>
    </w:p>
    <w:p w:rsidR="00836E90" w:rsidRDefault="00836E90" w:rsidP="004310CA">
      <w:pPr>
        <w:rPr>
          <w:rFonts w:ascii="Garamond" w:hAnsi="Garamond"/>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5F7C5E" w:rsidRDefault="005F7C5E" w:rsidP="005F7C5E">
      <w:pPr>
        <w:keepLines/>
        <w:autoSpaceDE w:val="0"/>
        <w:autoSpaceDN w:val="0"/>
        <w:adjustRightInd w:val="0"/>
        <w:rPr>
          <w:rFonts w:ascii="Garamond" w:hAnsi="Garamond"/>
          <w:lang w:val="en-AU"/>
        </w:rPr>
      </w:pPr>
    </w:p>
    <w:p w:rsidR="00824A73" w:rsidRPr="00DF7AC0" w:rsidRDefault="00DF7AC0" w:rsidP="00226B7A">
      <w:pPr>
        <w:keepNext/>
        <w:keepLines/>
        <w:autoSpaceDE w:val="0"/>
        <w:autoSpaceDN w:val="0"/>
        <w:adjustRightInd w:val="0"/>
        <w:rPr>
          <w:rFonts w:ascii="Garamond" w:hAnsi="Garamond"/>
          <w:i/>
          <w:lang w:val="en-AU"/>
        </w:rPr>
      </w:pPr>
      <w:r w:rsidRPr="00DF7AC0">
        <w:rPr>
          <w:rFonts w:ascii="Garamond" w:hAnsi="Garamond"/>
          <w:i/>
          <w:lang w:val="en-AU"/>
        </w:rPr>
        <w:t>Hospital staffing and health care–associated infections: a systematic review of the literature</w:t>
      </w:r>
    </w:p>
    <w:p w:rsidR="000B4595" w:rsidRDefault="000B4595" w:rsidP="00226B7A">
      <w:pPr>
        <w:keepNext/>
        <w:keepLines/>
        <w:autoSpaceDE w:val="0"/>
        <w:autoSpaceDN w:val="0"/>
        <w:adjustRightInd w:val="0"/>
        <w:rPr>
          <w:rFonts w:ascii="Garamond" w:hAnsi="Garamond"/>
          <w:lang w:val="en-AU"/>
        </w:rPr>
      </w:pPr>
      <w:r w:rsidRPr="000B4595">
        <w:rPr>
          <w:rFonts w:ascii="Garamond" w:hAnsi="Garamond"/>
          <w:lang w:val="en-AU"/>
        </w:rPr>
        <w:t>Mitchell BG, Gardner A, Stone PW, Hall L, Pogorzelska-Maziarz M</w:t>
      </w:r>
    </w:p>
    <w:p w:rsidR="00DF7AC0" w:rsidRPr="00E566B0" w:rsidRDefault="000B4595" w:rsidP="00226B7A">
      <w:pPr>
        <w:keepNext/>
        <w:keepLines/>
        <w:autoSpaceDE w:val="0"/>
        <w:autoSpaceDN w:val="0"/>
        <w:adjustRightInd w:val="0"/>
        <w:rPr>
          <w:rFonts w:ascii="Garamond" w:hAnsi="Garamond"/>
          <w:lang w:val="en-AU"/>
        </w:rPr>
      </w:pPr>
      <w:proofErr w:type="gramStart"/>
      <w:r w:rsidRPr="000B4595">
        <w:rPr>
          <w:rFonts w:ascii="Garamond" w:hAnsi="Garamond"/>
          <w:lang w:val="en-AU"/>
        </w:rPr>
        <w:t>Joint Commission Journal on Quality and Patient Safety.</w:t>
      </w:r>
      <w:proofErr w:type="gramEnd"/>
      <w:r w:rsidRPr="000B4595">
        <w:rPr>
          <w:rFonts w:ascii="Garamond" w:hAnsi="Garamond"/>
          <w:lang w:val="en-AU"/>
        </w:rPr>
        <w:t xml:space="preserve"> 2018</w:t>
      </w:r>
      <w:proofErr w:type="gramStart"/>
      <w:r w:rsidRPr="000B4595">
        <w:rPr>
          <w:rFonts w:ascii="Garamond" w:hAnsi="Garamond"/>
          <w:lang w:val="en-AU"/>
        </w:rPr>
        <w:t>;44</w:t>
      </w:r>
      <w:proofErr w:type="gramEnd"/>
      <w:r w:rsidRPr="000B4595">
        <w:rPr>
          <w:rFonts w:ascii="Garamond" w:hAnsi="Garamond"/>
          <w:lang w:val="en-AU"/>
        </w:rPr>
        <w:t>(10):613-22.</w:t>
      </w:r>
    </w:p>
    <w:tbl>
      <w:tblPr>
        <w:tblStyle w:val="TableGrid"/>
        <w:tblW w:w="0" w:type="auto"/>
        <w:tblInd w:w="288" w:type="dxa"/>
        <w:tblLayout w:type="fixed"/>
        <w:tblLook w:val="01E0" w:firstRow="1" w:lastRow="1" w:firstColumn="1" w:lastColumn="1" w:noHBand="0" w:noVBand="0"/>
      </w:tblPr>
      <w:tblGrid>
        <w:gridCol w:w="1080"/>
        <w:gridCol w:w="8280"/>
      </w:tblGrid>
      <w:tr w:rsidR="00226B7A" w:rsidRPr="000170DA" w:rsidTr="00044A8B">
        <w:tc>
          <w:tcPr>
            <w:tcW w:w="1080" w:type="dxa"/>
            <w:tcBorders>
              <w:top w:val="single" w:sz="4" w:space="0" w:color="auto"/>
              <w:left w:val="single" w:sz="4" w:space="0" w:color="auto"/>
              <w:bottom w:val="single" w:sz="4" w:space="0" w:color="auto"/>
              <w:right w:val="single" w:sz="4" w:space="0" w:color="auto"/>
            </w:tcBorders>
            <w:vAlign w:val="center"/>
          </w:tcPr>
          <w:p w:rsidR="00226B7A" w:rsidRPr="000170DA" w:rsidRDefault="00226B7A" w:rsidP="00044A8B">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26B7A" w:rsidRPr="000170DA" w:rsidRDefault="00510822" w:rsidP="00044A8B">
            <w:pPr>
              <w:rPr>
                <w:rStyle w:val="Hyperlink"/>
                <w:rFonts w:ascii="Garamond" w:hAnsi="Garamond"/>
                <w:color w:val="auto"/>
                <w:u w:val="none"/>
                <w:lang w:val="en-AU"/>
              </w:rPr>
            </w:pPr>
            <w:hyperlink r:id="rId27" w:history="1">
              <w:r w:rsidR="005051ED" w:rsidRPr="004C35FA">
                <w:rPr>
                  <w:rStyle w:val="Hyperlink"/>
                  <w:rFonts w:ascii="Garamond" w:hAnsi="Garamond"/>
                  <w:lang w:val="en-AU"/>
                </w:rPr>
                <w:t>http://doi.org/10.1016/j.jcjq.2018.02.002</w:t>
              </w:r>
            </w:hyperlink>
          </w:p>
        </w:tc>
      </w:tr>
      <w:tr w:rsidR="00226B7A" w:rsidRPr="000170DA" w:rsidTr="00044A8B">
        <w:tc>
          <w:tcPr>
            <w:tcW w:w="1080" w:type="dxa"/>
            <w:tcBorders>
              <w:top w:val="single" w:sz="4" w:space="0" w:color="auto"/>
              <w:left w:val="single" w:sz="4" w:space="0" w:color="auto"/>
              <w:bottom w:val="single" w:sz="4" w:space="0" w:color="auto"/>
              <w:right w:val="single" w:sz="4" w:space="0" w:color="auto"/>
            </w:tcBorders>
            <w:vAlign w:val="center"/>
          </w:tcPr>
          <w:p w:rsidR="00226B7A" w:rsidRPr="000170DA" w:rsidRDefault="00226B7A" w:rsidP="00044A8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051ED" w:rsidRPr="000365E9" w:rsidRDefault="005051ED" w:rsidP="000B4595">
            <w:pPr>
              <w:rPr>
                <w:rFonts w:ascii="Garamond" w:hAnsi="Garamond"/>
                <w:lang w:val="en-AU"/>
              </w:rPr>
            </w:pPr>
            <w:r>
              <w:rPr>
                <w:rFonts w:ascii="Garamond" w:hAnsi="Garamond"/>
                <w:lang w:val="en-AU"/>
              </w:rPr>
              <w:t xml:space="preserve">Paper reporting on a systematic review that sought </w:t>
            </w:r>
            <w:r w:rsidR="000B4595">
              <w:rPr>
                <w:rFonts w:ascii="Garamond" w:hAnsi="Garamond"/>
                <w:lang w:val="en-AU"/>
              </w:rPr>
              <w:t xml:space="preserve">to examine </w:t>
            </w:r>
            <w:r w:rsidR="000B4595" w:rsidRPr="000B4595">
              <w:rPr>
                <w:rFonts w:ascii="Garamond" w:hAnsi="Garamond"/>
                <w:lang w:val="en-AU"/>
              </w:rPr>
              <w:t xml:space="preserve">recent research on the relationship of hospital staffing and </w:t>
            </w:r>
            <w:r w:rsidR="000B4595">
              <w:rPr>
                <w:rFonts w:ascii="Garamond" w:hAnsi="Garamond"/>
                <w:lang w:val="en-AU"/>
              </w:rPr>
              <w:t>healthcare associated infection (</w:t>
            </w:r>
            <w:r w:rsidR="000B4595" w:rsidRPr="000B4595">
              <w:rPr>
                <w:rFonts w:ascii="Garamond" w:hAnsi="Garamond"/>
                <w:lang w:val="en-AU"/>
              </w:rPr>
              <w:t>HAI</w:t>
            </w:r>
            <w:r w:rsidR="000B4595">
              <w:rPr>
                <w:rFonts w:ascii="Garamond" w:hAnsi="Garamond"/>
                <w:lang w:val="en-AU"/>
              </w:rPr>
              <w:t>)</w:t>
            </w:r>
            <w:r w:rsidR="000B4595" w:rsidRPr="000B4595">
              <w:rPr>
                <w:rFonts w:ascii="Garamond" w:hAnsi="Garamond"/>
                <w:lang w:val="en-AU"/>
              </w:rPr>
              <w:t xml:space="preserve"> risk</w:t>
            </w:r>
            <w:r w:rsidR="000B4595">
              <w:rPr>
                <w:rFonts w:ascii="Garamond" w:hAnsi="Garamond"/>
                <w:lang w:val="en-AU"/>
              </w:rPr>
              <w:t>. Based on the review of 54 studies, t</w:t>
            </w:r>
            <w:r>
              <w:rPr>
                <w:rFonts w:ascii="Garamond" w:hAnsi="Garamond"/>
                <w:lang w:val="en-AU"/>
              </w:rPr>
              <w:t xml:space="preserve">he authors report that </w:t>
            </w:r>
            <w:r w:rsidR="000B4595">
              <w:rPr>
                <w:rFonts w:ascii="Garamond" w:hAnsi="Garamond"/>
                <w:lang w:val="en-AU"/>
              </w:rPr>
              <w:t xml:space="preserve">the </w:t>
            </w:r>
            <w:proofErr w:type="gramStart"/>
            <w:r w:rsidR="000B4595">
              <w:rPr>
                <w:rFonts w:ascii="Garamond" w:hAnsi="Garamond"/>
                <w:lang w:val="en-AU"/>
              </w:rPr>
              <w:t>review “</w:t>
            </w:r>
            <w:r w:rsidR="000B4595" w:rsidRPr="000B4595">
              <w:rPr>
                <w:rFonts w:ascii="Garamond" w:hAnsi="Garamond"/>
                <w:lang w:val="en-AU"/>
              </w:rPr>
              <w:t>demonstrate</w:t>
            </w:r>
            <w:r w:rsidR="000B4595">
              <w:rPr>
                <w:rFonts w:ascii="Garamond" w:hAnsi="Garamond"/>
                <w:lang w:val="en-AU"/>
              </w:rPr>
              <w:t>[</w:t>
            </w:r>
            <w:proofErr w:type="gramEnd"/>
            <w:r w:rsidR="000B4595">
              <w:rPr>
                <w:rFonts w:ascii="Garamond" w:hAnsi="Garamond"/>
                <w:lang w:val="en-AU"/>
              </w:rPr>
              <w:t>d]</w:t>
            </w:r>
            <w:r w:rsidR="000B4595" w:rsidRPr="000B4595">
              <w:rPr>
                <w:rFonts w:ascii="Garamond" w:hAnsi="Garamond"/>
                <w:lang w:val="en-AU"/>
              </w:rPr>
              <w:t xml:space="preserve"> that </w:t>
            </w:r>
            <w:r w:rsidR="000B4595" w:rsidRPr="000B4595">
              <w:rPr>
                <w:rFonts w:ascii="Garamond" w:hAnsi="Garamond"/>
                <w:b/>
                <w:lang w:val="en-AU"/>
              </w:rPr>
              <w:t>increased staffing is related to decreased risk of acquiring HAIs</w:t>
            </w:r>
            <w:r w:rsidR="000B4595">
              <w:rPr>
                <w:rFonts w:ascii="Garamond" w:hAnsi="Garamond"/>
                <w:lang w:val="en-AU"/>
              </w:rPr>
              <w:t>”</w:t>
            </w:r>
            <w:r w:rsidR="000B4595" w:rsidRPr="000B4595">
              <w:rPr>
                <w:rFonts w:ascii="Garamond" w:hAnsi="Garamond"/>
                <w:lang w:val="en-AU"/>
              </w:rPr>
              <w:t>.</w:t>
            </w:r>
            <w:r w:rsidR="000B4595">
              <w:rPr>
                <w:rFonts w:ascii="Garamond" w:hAnsi="Garamond"/>
                <w:lang w:val="en-AU"/>
              </w:rPr>
              <w:t xml:space="preserve"> The majority </w:t>
            </w:r>
            <w:r w:rsidR="000B4595" w:rsidRPr="000B4595">
              <w:rPr>
                <w:rFonts w:ascii="Garamond" w:hAnsi="Garamond"/>
                <w:lang w:val="en-AU"/>
              </w:rPr>
              <w:t xml:space="preserve">of </w:t>
            </w:r>
            <w:r w:rsidR="000B4595">
              <w:rPr>
                <w:rFonts w:ascii="Garamond" w:hAnsi="Garamond"/>
                <w:lang w:val="en-AU"/>
              </w:rPr>
              <w:t xml:space="preserve">the </w:t>
            </w:r>
            <w:r w:rsidR="000B4595" w:rsidRPr="000B4595">
              <w:rPr>
                <w:rFonts w:ascii="Garamond" w:hAnsi="Garamond"/>
                <w:lang w:val="en-AU"/>
              </w:rPr>
              <w:t xml:space="preserve">studies </w:t>
            </w:r>
            <w:r w:rsidR="000B4595">
              <w:rPr>
                <w:rFonts w:ascii="Garamond" w:hAnsi="Garamond"/>
                <w:lang w:val="en-AU"/>
              </w:rPr>
              <w:t xml:space="preserve">looked at “the </w:t>
            </w:r>
            <w:r w:rsidR="000B4595" w:rsidRPr="000B4595">
              <w:rPr>
                <w:rFonts w:ascii="Garamond" w:hAnsi="Garamond"/>
                <w:lang w:val="en-AU"/>
              </w:rPr>
              <w:t>relationship between nurse staffing and HAIs (n</w:t>
            </w:r>
            <w:r w:rsidR="000B4595" w:rsidRPr="000B4595">
              <w:rPr>
                <w:lang w:val="en-AU"/>
              </w:rPr>
              <w:t> </w:t>
            </w:r>
            <w:r w:rsidR="000B4595" w:rsidRPr="000B4595">
              <w:rPr>
                <w:rFonts w:ascii="Garamond" w:hAnsi="Garamond"/>
                <w:lang w:val="en-AU"/>
              </w:rPr>
              <w:t>=</w:t>
            </w:r>
            <w:r w:rsidR="000B4595" w:rsidRPr="000B4595">
              <w:rPr>
                <w:lang w:val="en-AU"/>
              </w:rPr>
              <w:t> </w:t>
            </w:r>
            <w:r w:rsidR="000B4595" w:rsidRPr="000B4595">
              <w:rPr>
                <w:rFonts w:ascii="Garamond" w:hAnsi="Garamond"/>
                <w:lang w:val="en-AU"/>
              </w:rPr>
              <w:t>50, 92.6%) and found nurse staffing variables to be associated with an increase in HAI rates (n</w:t>
            </w:r>
            <w:r w:rsidR="000B4595" w:rsidRPr="000B4595">
              <w:rPr>
                <w:lang w:val="en-AU"/>
              </w:rPr>
              <w:t> </w:t>
            </w:r>
            <w:r w:rsidR="000B4595" w:rsidRPr="000B4595">
              <w:rPr>
                <w:rFonts w:ascii="Garamond" w:hAnsi="Garamond"/>
                <w:lang w:val="en-AU"/>
              </w:rPr>
              <w:t>=</w:t>
            </w:r>
            <w:r w:rsidR="000B4595" w:rsidRPr="000B4595">
              <w:rPr>
                <w:lang w:val="en-AU"/>
              </w:rPr>
              <w:t> </w:t>
            </w:r>
            <w:r w:rsidR="000B4595" w:rsidRPr="000B4595">
              <w:rPr>
                <w:rFonts w:ascii="Garamond" w:hAnsi="Garamond"/>
                <w:lang w:val="en-AU"/>
              </w:rPr>
              <w:t>40, 74.1%).</w:t>
            </w:r>
            <w:r w:rsidR="000B4595">
              <w:rPr>
                <w:rFonts w:ascii="Garamond" w:hAnsi="Garamond"/>
                <w:lang w:val="en-AU"/>
              </w:rPr>
              <w:t>”</w:t>
            </w:r>
          </w:p>
        </w:tc>
      </w:tr>
    </w:tbl>
    <w:p w:rsidR="00836E90" w:rsidRDefault="00836E90" w:rsidP="004F24EA">
      <w:pPr>
        <w:keepNext/>
        <w:keepLines/>
        <w:autoSpaceDE w:val="0"/>
        <w:autoSpaceDN w:val="0"/>
        <w:adjustRightInd w:val="0"/>
        <w:rPr>
          <w:rFonts w:ascii="Garamond" w:hAnsi="Garamond"/>
          <w:lang w:val="en-AU"/>
        </w:rPr>
      </w:pPr>
    </w:p>
    <w:p w:rsidR="005051ED" w:rsidRPr="005051ED" w:rsidRDefault="005051ED" w:rsidP="004F24EA">
      <w:pPr>
        <w:keepNext/>
        <w:keepLines/>
        <w:autoSpaceDE w:val="0"/>
        <w:autoSpaceDN w:val="0"/>
        <w:adjustRightInd w:val="0"/>
        <w:rPr>
          <w:rFonts w:ascii="Garamond" w:hAnsi="Garamond"/>
          <w:lang w:val="en-AU"/>
        </w:rPr>
      </w:pPr>
      <w:r w:rsidRPr="005051ED">
        <w:rPr>
          <w:rFonts w:ascii="Garamond" w:hAnsi="Garamond"/>
          <w:lang w:val="en-AU"/>
        </w:rPr>
        <w:t xml:space="preserve">For more </w:t>
      </w:r>
      <w:r>
        <w:rPr>
          <w:rFonts w:ascii="Garamond" w:hAnsi="Garamond"/>
          <w:lang w:val="en-AU"/>
        </w:rPr>
        <w:t xml:space="preserve">information about the Commission’s work on healthcare associated infection, see </w:t>
      </w:r>
      <w:hyperlink r:id="rId28" w:history="1">
        <w:r w:rsidRPr="004C35FA">
          <w:rPr>
            <w:rStyle w:val="Hyperlink"/>
            <w:rFonts w:ascii="Garamond" w:hAnsi="Garamond"/>
            <w:lang w:val="en-AU"/>
          </w:rPr>
          <w:t>https://www.safetyandquality.gov.au/our-work/healthcare-associated-infection/</w:t>
        </w:r>
      </w:hyperlink>
    </w:p>
    <w:p w:rsidR="005051ED" w:rsidRDefault="005051ED" w:rsidP="004F24EA">
      <w:pPr>
        <w:keepNext/>
        <w:keepLines/>
        <w:autoSpaceDE w:val="0"/>
        <w:autoSpaceDN w:val="0"/>
        <w:adjustRightInd w:val="0"/>
        <w:rPr>
          <w:rFonts w:ascii="Garamond" w:hAnsi="Garamond"/>
          <w:i/>
          <w:lang w:val="en-AU"/>
        </w:rPr>
      </w:pPr>
    </w:p>
    <w:p w:rsidR="003E6A90" w:rsidRPr="003E6A90" w:rsidRDefault="003E6A90" w:rsidP="003E6A90">
      <w:pPr>
        <w:keepNext/>
        <w:keepLines/>
        <w:autoSpaceDE w:val="0"/>
        <w:autoSpaceDN w:val="0"/>
        <w:adjustRightInd w:val="0"/>
        <w:rPr>
          <w:rFonts w:ascii="Garamond" w:hAnsi="Garamond"/>
          <w:i/>
          <w:lang w:val="en-AU"/>
        </w:rPr>
      </w:pPr>
      <w:r w:rsidRPr="003E6A90">
        <w:rPr>
          <w:rFonts w:ascii="Garamond" w:hAnsi="Garamond"/>
          <w:i/>
          <w:lang w:val="en-AU"/>
        </w:rPr>
        <w:t>Australian Health Review</w:t>
      </w:r>
    </w:p>
    <w:p w:rsidR="003E6A90" w:rsidRPr="00E566B0" w:rsidRDefault="003E6A90" w:rsidP="003E6A90">
      <w:pPr>
        <w:keepNext/>
        <w:keepLines/>
        <w:autoSpaceDE w:val="0"/>
        <w:autoSpaceDN w:val="0"/>
        <w:adjustRightInd w:val="0"/>
        <w:rPr>
          <w:rFonts w:ascii="Garamond" w:hAnsi="Garamond"/>
          <w:lang w:val="en-AU"/>
        </w:rPr>
      </w:pPr>
      <w:r w:rsidRPr="003E6A90">
        <w:rPr>
          <w:rFonts w:ascii="Garamond" w:hAnsi="Garamond"/>
          <w:lang w:val="en-AU"/>
        </w:rPr>
        <w:t>Volume 42 Number 5 2018</w:t>
      </w:r>
    </w:p>
    <w:tbl>
      <w:tblPr>
        <w:tblStyle w:val="TableGrid"/>
        <w:tblW w:w="0" w:type="auto"/>
        <w:tblInd w:w="288" w:type="dxa"/>
        <w:tblLayout w:type="fixed"/>
        <w:tblLook w:val="01E0" w:firstRow="1" w:lastRow="1" w:firstColumn="1" w:lastColumn="1" w:noHBand="0" w:noVBand="0"/>
      </w:tblPr>
      <w:tblGrid>
        <w:gridCol w:w="1080"/>
        <w:gridCol w:w="8280"/>
      </w:tblGrid>
      <w:tr w:rsidR="003E6A90" w:rsidRPr="000170DA" w:rsidTr="00FF234D">
        <w:tc>
          <w:tcPr>
            <w:tcW w:w="1080" w:type="dxa"/>
            <w:tcBorders>
              <w:top w:val="single" w:sz="4" w:space="0" w:color="auto"/>
              <w:left w:val="single" w:sz="4" w:space="0" w:color="auto"/>
              <w:bottom w:val="single" w:sz="4" w:space="0" w:color="auto"/>
              <w:right w:val="single" w:sz="4" w:space="0" w:color="auto"/>
            </w:tcBorders>
            <w:vAlign w:val="center"/>
          </w:tcPr>
          <w:p w:rsidR="003E6A90" w:rsidRPr="000170DA" w:rsidRDefault="003E6A90" w:rsidP="00FF234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E6A90" w:rsidRPr="000170DA" w:rsidRDefault="00510822" w:rsidP="00FF234D">
            <w:pPr>
              <w:rPr>
                <w:rStyle w:val="Hyperlink"/>
                <w:rFonts w:ascii="Garamond" w:hAnsi="Garamond"/>
                <w:color w:val="auto"/>
                <w:u w:val="none"/>
                <w:lang w:val="en-AU"/>
              </w:rPr>
            </w:pPr>
            <w:hyperlink r:id="rId29" w:history="1">
              <w:r w:rsidR="003E6A90" w:rsidRPr="00193648">
                <w:rPr>
                  <w:rStyle w:val="Hyperlink"/>
                  <w:rFonts w:ascii="Garamond" w:hAnsi="Garamond"/>
                  <w:lang w:val="en-AU"/>
                </w:rPr>
                <w:t>http://www.publish.csiro.au/ah/issue/8887</w:t>
              </w:r>
            </w:hyperlink>
          </w:p>
        </w:tc>
      </w:tr>
      <w:tr w:rsidR="003E6A90" w:rsidRPr="000170DA" w:rsidTr="00FF234D">
        <w:tc>
          <w:tcPr>
            <w:tcW w:w="1080" w:type="dxa"/>
            <w:tcBorders>
              <w:top w:val="single" w:sz="4" w:space="0" w:color="auto"/>
              <w:left w:val="single" w:sz="4" w:space="0" w:color="auto"/>
              <w:bottom w:val="single" w:sz="4" w:space="0" w:color="auto"/>
              <w:right w:val="single" w:sz="4" w:space="0" w:color="auto"/>
            </w:tcBorders>
            <w:vAlign w:val="center"/>
          </w:tcPr>
          <w:p w:rsidR="003E6A90" w:rsidRPr="000170DA" w:rsidRDefault="003E6A90" w:rsidP="00FF234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E6A90" w:rsidRDefault="003E6A90" w:rsidP="003E6A90">
            <w:pPr>
              <w:rPr>
                <w:rFonts w:ascii="Garamond" w:hAnsi="Garamond"/>
                <w:lang w:val="en-AU"/>
              </w:rPr>
            </w:pPr>
            <w:r w:rsidRPr="003E6A90">
              <w:rPr>
                <w:rFonts w:ascii="Garamond" w:hAnsi="Garamond"/>
                <w:lang w:val="en-AU"/>
              </w:rPr>
              <w:t xml:space="preserve">A new issue of </w:t>
            </w:r>
            <w:r w:rsidRPr="003E6A90">
              <w:rPr>
                <w:rFonts w:ascii="Garamond" w:hAnsi="Garamond"/>
                <w:i/>
                <w:lang w:val="en-AU"/>
              </w:rPr>
              <w:t>Australian Health Review</w:t>
            </w:r>
            <w:r w:rsidRPr="003E6A90">
              <w:rPr>
                <w:rFonts w:ascii="Garamond" w:hAnsi="Garamond"/>
                <w:lang w:val="en-AU"/>
              </w:rPr>
              <w:t xml:space="preserve"> has been published. Articles in this issue </w:t>
            </w:r>
            <w:r>
              <w:rPr>
                <w:rFonts w:ascii="Garamond" w:hAnsi="Garamond"/>
                <w:lang w:val="en-AU"/>
              </w:rPr>
              <w:t xml:space="preserve">of </w:t>
            </w:r>
            <w:r w:rsidRPr="003E6A90">
              <w:rPr>
                <w:rFonts w:ascii="Garamond" w:hAnsi="Garamond"/>
                <w:i/>
                <w:lang w:val="en-AU"/>
              </w:rPr>
              <w:t>Australian Health Review</w:t>
            </w:r>
            <w:r w:rsidRPr="003E6A90">
              <w:rPr>
                <w:rFonts w:ascii="Garamond" w:hAnsi="Garamond"/>
                <w:lang w:val="en-AU"/>
              </w:rPr>
              <w:t xml:space="preserve"> include:</w:t>
            </w:r>
          </w:p>
          <w:p w:rsidR="003E6A90" w:rsidRPr="00B9547A" w:rsidRDefault="003E6A90" w:rsidP="003E6A90">
            <w:pPr>
              <w:pStyle w:val="ListParagraph"/>
              <w:numPr>
                <w:ilvl w:val="0"/>
                <w:numId w:val="32"/>
              </w:numPr>
              <w:rPr>
                <w:rFonts w:ascii="Garamond" w:hAnsi="Garamond"/>
                <w:lang w:val="en-AU"/>
              </w:rPr>
            </w:pPr>
            <w:r w:rsidRPr="00B9547A">
              <w:rPr>
                <w:rFonts w:ascii="Garamond" w:hAnsi="Garamond"/>
                <w:lang w:val="en-AU"/>
              </w:rPr>
              <w:t xml:space="preserve">A time for </w:t>
            </w:r>
            <w:r w:rsidRPr="00B9547A">
              <w:rPr>
                <w:rFonts w:ascii="Garamond" w:hAnsi="Garamond"/>
                <w:b/>
                <w:lang w:val="en-AU"/>
              </w:rPr>
              <w:t>reflection...then action</w:t>
            </w:r>
            <w:r w:rsidRPr="00B9547A">
              <w:rPr>
                <w:rFonts w:ascii="Garamond" w:hAnsi="Garamond"/>
                <w:lang w:val="en-AU"/>
              </w:rPr>
              <w:t xml:space="preserve"> </w:t>
            </w:r>
            <w:r w:rsidR="00B9547A" w:rsidRPr="00B9547A">
              <w:rPr>
                <w:rFonts w:ascii="Garamond" w:hAnsi="Garamond"/>
                <w:lang w:val="en-AU"/>
              </w:rPr>
              <w:t>(</w:t>
            </w:r>
            <w:r w:rsidR="00B9547A">
              <w:rPr>
                <w:rFonts w:ascii="Garamond" w:hAnsi="Garamond"/>
                <w:lang w:val="en-AU"/>
              </w:rPr>
              <w:t>Gary E Day)</w:t>
            </w:r>
          </w:p>
          <w:p w:rsidR="003E6A90" w:rsidRPr="00B9547A" w:rsidRDefault="003E6A90" w:rsidP="003E6A90">
            <w:pPr>
              <w:pStyle w:val="ListParagraph"/>
              <w:numPr>
                <w:ilvl w:val="0"/>
                <w:numId w:val="32"/>
              </w:numPr>
              <w:rPr>
                <w:rFonts w:ascii="Garamond" w:hAnsi="Garamond"/>
                <w:lang w:val="en-AU"/>
              </w:rPr>
            </w:pPr>
            <w:r w:rsidRPr="00B9547A">
              <w:rPr>
                <w:rFonts w:ascii="Garamond" w:hAnsi="Garamond"/>
                <w:lang w:val="en-AU"/>
              </w:rPr>
              <w:t xml:space="preserve">Cost savings from a </w:t>
            </w:r>
            <w:r w:rsidRPr="00B9547A">
              <w:rPr>
                <w:rFonts w:ascii="Garamond" w:hAnsi="Garamond"/>
                <w:b/>
                <w:lang w:val="en-AU"/>
              </w:rPr>
              <w:t>teledentistry</w:t>
            </w:r>
            <w:r w:rsidRPr="00B9547A">
              <w:rPr>
                <w:rFonts w:ascii="Garamond" w:hAnsi="Garamond"/>
                <w:lang w:val="en-AU"/>
              </w:rPr>
              <w:t xml:space="preserve"> model for </w:t>
            </w:r>
            <w:r w:rsidRPr="00B9547A">
              <w:rPr>
                <w:rFonts w:ascii="Garamond" w:hAnsi="Garamond"/>
                <w:b/>
                <w:lang w:val="en-AU"/>
              </w:rPr>
              <w:t>school dental screening</w:t>
            </w:r>
            <w:r w:rsidRPr="00B9547A">
              <w:rPr>
                <w:rFonts w:ascii="Garamond" w:hAnsi="Garamond"/>
                <w:lang w:val="en-AU"/>
              </w:rPr>
              <w:t xml:space="preserve">: an Australian health system perspective </w:t>
            </w:r>
            <w:r w:rsidR="00B9547A" w:rsidRPr="00B9547A">
              <w:rPr>
                <w:rFonts w:ascii="Garamond" w:hAnsi="Garamond"/>
                <w:lang w:val="en-AU"/>
              </w:rPr>
              <w:t>(</w:t>
            </w:r>
            <w:r w:rsidRPr="00B9547A">
              <w:rPr>
                <w:rFonts w:ascii="Garamond" w:hAnsi="Garamond"/>
                <w:lang w:val="en-AU"/>
              </w:rPr>
              <w:t xml:space="preserve">Mohamed Estai, Stuart Bunt, Yogesan Kanagasingam and Marc Tennant </w:t>
            </w:r>
          </w:p>
          <w:p w:rsidR="003E6A90" w:rsidRPr="00B9547A" w:rsidRDefault="003E6A90" w:rsidP="003E6A90">
            <w:pPr>
              <w:pStyle w:val="ListParagraph"/>
              <w:numPr>
                <w:ilvl w:val="0"/>
                <w:numId w:val="32"/>
              </w:numPr>
              <w:rPr>
                <w:rFonts w:ascii="Garamond" w:hAnsi="Garamond"/>
                <w:lang w:val="en-AU"/>
              </w:rPr>
            </w:pPr>
            <w:r w:rsidRPr="00B9547A">
              <w:rPr>
                <w:rFonts w:ascii="Garamond" w:hAnsi="Garamond"/>
                <w:lang w:val="en-AU"/>
              </w:rPr>
              <w:t xml:space="preserve">Developing </w:t>
            </w:r>
            <w:r w:rsidRPr="00B9547A">
              <w:rPr>
                <w:rFonts w:ascii="Garamond" w:hAnsi="Garamond"/>
                <w:b/>
                <w:lang w:val="en-AU"/>
              </w:rPr>
              <w:t>key performance indicators</w:t>
            </w:r>
            <w:r w:rsidRPr="00B9547A">
              <w:rPr>
                <w:rFonts w:ascii="Garamond" w:hAnsi="Garamond"/>
                <w:lang w:val="en-AU"/>
              </w:rPr>
              <w:t xml:space="preserve"> for a</w:t>
            </w:r>
            <w:r w:rsidRPr="00B9547A">
              <w:rPr>
                <w:rFonts w:ascii="Garamond" w:hAnsi="Garamond"/>
                <w:b/>
                <w:lang w:val="en-AU"/>
              </w:rPr>
              <w:t xml:space="preserve"> tertiary children’s hospital network</w:t>
            </w:r>
            <w:r w:rsidRPr="00B9547A">
              <w:rPr>
                <w:rFonts w:ascii="Garamond" w:hAnsi="Garamond"/>
                <w:lang w:val="en-AU"/>
              </w:rPr>
              <w:t xml:space="preserve"> </w:t>
            </w:r>
            <w:r w:rsidR="00B9547A" w:rsidRPr="00B9547A">
              <w:rPr>
                <w:rFonts w:ascii="Garamond" w:hAnsi="Garamond"/>
                <w:lang w:val="en-AU"/>
              </w:rPr>
              <w:t>(</w:t>
            </w:r>
            <w:r w:rsidRPr="00B9547A">
              <w:rPr>
                <w:rFonts w:ascii="Garamond" w:hAnsi="Garamond"/>
                <w:lang w:val="en-AU"/>
              </w:rPr>
              <w:t>Christopher Elliot, Cheryl Mcullag</w:t>
            </w:r>
            <w:r w:rsidR="00B9547A">
              <w:rPr>
                <w:rFonts w:ascii="Garamond" w:hAnsi="Garamond"/>
                <w:lang w:val="en-AU"/>
              </w:rPr>
              <w:t>h, Michael Brydon and K Zwi)</w:t>
            </w:r>
          </w:p>
          <w:p w:rsidR="003E6A90" w:rsidRPr="00B9547A" w:rsidRDefault="003E6A90" w:rsidP="003E6A90">
            <w:pPr>
              <w:pStyle w:val="ListParagraph"/>
              <w:numPr>
                <w:ilvl w:val="0"/>
                <w:numId w:val="32"/>
              </w:numPr>
              <w:rPr>
                <w:rFonts w:ascii="Garamond" w:hAnsi="Garamond"/>
                <w:lang w:val="en-AU"/>
              </w:rPr>
            </w:pPr>
            <w:r w:rsidRPr="00B9547A">
              <w:rPr>
                <w:rFonts w:ascii="Garamond" w:hAnsi="Garamond"/>
                <w:lang w:val="en-AU"/>
              </w:rPr>
              <w:t xml:space="preserve">Is capital investment in Australian hospitals effectively funding </w:t>
            </w:r>
            <w:r w:rsidRPr="00B9547A">
              <w:rPr>
                <w:rFonts w:ascii="Garamond" w:hAnsi="Garamond"/>
                <w:b/>
                <w:lang w:val="en-AU"/>
              </w:rPr>
              <w:t>patient access to efficient public hospital care</w:t>
            </w:r>
            <w:r w:rsidRPr="00B9547A">
              <w:rPr>
                <w:rFonts w:ascii="Garamond" w:hAnsi="Garamond"/>
                <w:lang w:val="en-AU"/>
              </w:rPr>
              <w:t xml:space="preserve">? </w:t>
            </w:r>
            <w:r w:rsidR="00B9547A" w:rsidRPr="00B9547A">
              <w:rPr>
                <w:rFonts w:ascii="Garamond" w:hAnsi="Garamond"/>
                <w:lang w:val="en-AU"/>
              </w:rPr>
              <w:t>(</w:t>
            </w:r>
            <w:r w:rsidRPr="00B9547A">
              <w:rPr>
                <w:rFonts w:ascii="Garamond" w:hAnsi="Garamond"/>
                <w:lang w:val="en-AU"/>
              </w:rPr>
              <w:t>R</w:t>
            </w:r>
            <w:r w:rsidR="00B9547A">
              <w:rPr>
                <w:rFonts w:ascii="Garamond" w:hAnsi="Garamond"/>
                <w:lang w:val="en-AU"/>
              </w:rPr>
              <w:t>honda Kerr and Delia V Hendrie)</w:t>
            </w:r>
          </w:p>
          <w:p w:rsidR="003E6A90" w:rsidRPr="00B9547A" w:rsidRDefault="003E6A90" w:rsidP="003E6A90">
            <w:pPr>
              <w:pStyle w:val="ListParagraph"/>
              <w:numPr>
                <w:ilvl w:val="0"/>
                <w:numId w:val="32"/>
              </w:numPr>
              <w:rPr>
                <w:rFonts w:ascii="Garamond" w:hAnsi="Garamond"/>
                <w:lang w:val="en-AU"/>
              </w:rPr>
            </w:pPr>
            <w:r w:rsidRPr="00B9547A">
              <w:rPr>
                <w:rFonts w:ascii="Garamond" w:hAnsi="Garamond"/>
                <w:b/>
                <w:lang w:val="en-AU"/>
              </w:rPr>
              <w:lastRenderedPageBreak/>
              <w:t>Mental health consultations in the perinatal period</w:t>
            </w:r>
            <w:r w:rsidRPr="00B9547A">
              <w:rPr>
                <w:rFonts w:ascii="Garamond" w:hAnsi="Garamond"/>
                <w:lang w:val="en-AU"/>
              </w:rPr>
              <w:t xml:space="preserve">: a cost-analysis of Medicare services provided to women during a period of intense mental health reform in Australia </w:t>
            </w:r>
            <w:r w:rsidR="00B9547A" w:rsidRPr="00B9547A">
              <w:rPr>
                <w:rFonts w:ascii="Garamond" w:hAnsi="Garamond"/>
                <w:lang w:val="en-AU"/>
              </w:rPr>
              <w:t>(</w:t>
            </w:r>
            <w:r w:rsidRPr="00B9547A">
              <w:rPr>
                <w:rFonts w:ascii="Garamond" w:hAnsi="Garamond"/>
                <w:lang w:val="en-AU"/>
              </w:rPr>
              <w:t>Georgina M Chambers, Sean Randall, Cathrine Mihalopoulos, Nicole Reilly, Elizabeth A Sullivan, Nicole Highet, Vera A Morgan, Maxine L Croft, Mary Lou Ch</w:t>
            </w:r>
            <w:r w:rsidR="00B9547A">
              <w:rPr>
                <w:rFonts w:ascii="Garamond" w:hAnsi="Garamond"/>
                <w:lang w:val="en-AU"/>
              </w:rPr>
              <w:t>atterton and Marie-Paule Austin)</w:t>
            </w:r>
          </w:p>
          <w:p w:rsidR="003E6A90" w:rsidRPr="00B9547A" w:rsidRDefault="003E6A90" w:rsidP="003E6A90">
            <w:pPr>
              <w:pStyle w:val="ListParagraph"/>
              <w:numPr>
                <w:ilvl w:val="0"/>
                <w:numId w:val="32"/>
              </w:numPr>
              <w:rPr>
                <w:rFonts w:ascii="Garamond" w:hAnsi="Garamond"/>
                <w:lang w:val="en-AU"/>
              </w:rPr>
            </w:pPr>
            <w:r w:rsidRPr="00B9547A">
              <w:rPr>
                <w:rFonts w:ascii="Garamond" w:hAnsi="Garamond"/>
                <w:lang w:val="en-AU"/>
              </w:rPr>
              <w:t xml:space="preserve">Economic modelling of </w:t>
            </w:r>
            <w:r w:rsidRPr="00B9547A">
              <w:rPr>
                <w:rFonts w:ascii="Garamond" w:hAnsi="Garamond"/>
                <w:b/>
                <w:lang w:val="en-AU"/>
              </w:rPr>
              <w:t>telehealth</w:t>
            </w:r>
            <w:r w:rsidRPr="00B9547A">
              <w:rPr>
                <w:rFonts w:ascii="Garamond" w:hAnsi="Garamond"/>
                <w:lang w:val="en-AU"/>
              </w:rPr>
              <w:t xml:space="preserve"> substitution of face-to-face </w:t>
            </w:r>
            <w:r w:rsidRPr="00B9547A">
              <w:rPr>
                <w:rFonts w:ascii="Garamond" w:hAnsi="Garamond"/>
                <w:b/>
                <w:lang w:val="en-AU"/>
              </w:rPr>
              <w:t>specialist outpatient consultations</w:t>
            </w:r>
            <w:r w:rsidRPr="00B9547A">
              <w:rPr>
                <w:rFonts w:ascii="Garamond" w:hAnsi="Garamond"/>
                <w:lang w:val="en-AU"/>
              </w:rPr>
              <w:t xml:space="preserve"> for Queensland correctional facilities </w:t>
            </w:r>
            <w:r w:rsidR="00B9547A" w:rsidRPr="00B9547A">
              <w:rPr>
                <w:rFonts w:ascii="Garamond" w:hAnsi="Garamond"/>
                <w:lang w:val="en-AU"/>
              </w:rPr>
              <w:t>(</w:t>
            </w:r>
            <w:r w:rsidRPr="00B9547A">
              <w:rPr>
                <w:rFonts w:ascii="Garamond" w:hAnsi="Garamond"/>
                <w:lang w:val="en-AU"/>
              </w:rPr>
              <w:t>Monica Taylor, Liam J Caffery, Paul A</w:t>
            </w:r>
            <w:r w:rsidR="00B9547A">
              <w:rPr>
                <w:rFonts w:ascii="Garamond" w:hAnsi="Garamond"/>
                <w:lang w:val="en-AU"/>
              </w:rPr>
              <w:t xml:space="preserve"> Scuffham and Anthony C Smith)</w:t>
            </w:r>
          </w:p>
          <w:p w:rsidR="003E6A90" w:rsidRPr="00B9547A" w:rsidRDefault="003E6A90" w:rsidP="003E6A90">
            <w:pPr>
              <w:pStyle w:val="ListParagraph"/>
              <w:numPr>
                <w:ilvl w:val="0"/>
                <w:numId w:val="32"/>
              </w:numPr>
              <w:rPr>
                <w:rFonts w:ascii="Garamond" w:hAnsi="Garamond"/>
                <w:lang w:val="en-AU"/>
              </w:rPr>
            </w:pPr>
            <w:r w:rsidRPr="00B9547A">
              <w:rPr>
                <w:rFonts w:ascii="Garamond" w:hAnsi="Garamond"/>
                <w:b/>
                <w:lang w:val="en-AU"/>
              </w:rPr>
              <w:t>Person-centred care in a digital hospital</w:t>
            </w:r>
            <w:r w:rsidRPr="00B9547A">
              <w:rPr>
                <w:rFonts w:ascii="Garamond" w:hAnsi="Garamond"/>
                <w:lang w:val="en-AU"/>
              </w:rPr>
              <w:t xml:space="preserve">: observations and perspectives from a specialist rehabilitation setting </w:t>
            </w:r>
            <w:r w:rsidR="00B9547A" w:rsidRPr="00B9547A">
              <w:rPr>
                <w:rFonts w:ascii="Garamond" w:hAnsi="Garamond"/>
                <w:lang w:val="en-AU"/>
              </w:rPr>
              <w:t>(</w:t>
            </w:r>
            <w:r w:rsidRPr="00B9547A">
              <w:rPr>
                <w:rFonts w:ascii="Garamond" w:hAnsi="Garamond"/>
                <w:lang w:val="en-AU"/>
              </w:rPr>
              <w:t>Letitia Burridge, Michele Foster, Rachel Jones, Timo</w:t>
            </w:r>
            <w:r w:rsidR="00B9547A">
              <w:rPr>
                <w:rFonts w:ascii="Garamond" w:hAnsi="Garamond"/>
                <w:lang w:val="en-AU"/>
              </w:rPr>
              <w:t>thy Geraghty and Sridhar Atresh)</w:t>
            </w:r>
          </w:p>
          <w:p w:rsidR="003E6A90" w:rsidRPr="00B9547A" w:rsidRDefault="003E6A90" w:rsidP="003E6A90">
            <w:pPr>
              <w:pStyle w:val="ListParagraph"/>
              <w:numPr>
                <w:ilvl w:val="0"/>
                <w:numId w:val="32"/>
              </w:numPr>
              <w:rPr>
                <w:rFonts w:ascii="Garamond" w:hAnsi="Garamond"/>
                <w:lang w:val="en-AU"/>
              </w:rPr>
            </w:pPr>
            <w:r w:rsidRPr="00B9547A">
              <w:rPr>
                <w:rFonts w:ascii="Garamond" w:hAnsi="Garamond"/>
                <w:lang w:val="en-AU"/>
              </w:rPr>
              <w:t xml:space="preserve">Strengthening the </w:t>
            </w:r>
            <w:r w:rsidRPr="00B9547A">
              <w:rPr>
                <w:rFonts w:ascii="Garamond" w:hAnsi="Garamond"/>
                <w:b/>
                <w:lang w:val="en-AU"/>
              </w:rPr>
              <w:t>primary care workforce</w:t>
            </w:r>
            <w:r w:rsidRPr="00B9547A">
              <w:rPr>
                <w:rFonts w:ascii="Garamond" w:hAnsi="Garamond"/>
                <w:lang w:val="en-AU"/>
              </w:rPr>
              <w:t xml:space="preserve"> to deliver community case management for </w:t>
            </w:r>
            <w:r w:rsidRPr="00B9547A">
              <w:rPr>
                <w:rFonts w:ascii="Garamond" w:hAnsi="Garamond"/>
                <w:b/>
                <w:lang w:val="en-AU"/>
              </w:rPr>
              <w:t>child health in rural Indonesia</w:t>
            </w:r>
            <w:r w:rsidRPr="00B9547A">
              <w:rPr>
                <w:rFonts w:ascii="Garamond" w:hAnsi="Garamond"/>
                <w:lang w:val="en-AU"/>
              </w:rPr>
              <w:t xml:space="preserve"> </w:t>
            </w:r>
            <w:r w:rsidR="00B9547A" w:rsidRPr="00B9547A">
              <w:rPr>
                <w:rFonts w:ascii="Garamond" w:hAnsi="Garamond"/>
                <w:lang w:val="en-AU"/>
              </w:rPr>
              <w:t>(</w:t>
            </w:r>
            <w:r w:rsidRPr="00B9547A">
              <w:rPr>
                <w:rFonts w:ascii="Garamond" w:hAnsi="Garamond"/>
                <w:lang w:val="en-AU"/>
              </w:rPr>
              <w:t>A</w:t>
            </w:r>
            <w:r w:rsidR="00B9547A">
              <w:rPr>
                <w:rFonts w:ascii="Garamond" w:hAnsi="Garamond"/>
                <w:lang w:val="en-AU"/>
              </w:rPr>
              <w:t>gus Setiawan and Angela Dawson)</w:t>
            </w:r>
          </w:p>
          <w:p w:rsidR="003E6A90" w:rsidRPr="00B9547A" w:rsidRDefault="003E6A90" w:rsidP="003E6A90">
            <w:pPr>
              <w:pStyle w:val="ListParagraph"/>
              <w:numPr>
                <w:ilvl w:val="0"/>
                <w:numId w:val="32"/>
              </w:numPr>
              <w:rPr>
                <w:rFonts w:ascii="Garamond" w:hAnsi="Garamond"/>
                <w:lang w:val="en-AU"/>
              </w:rPr>
            </w:pPr>
            <w:r w:rsidRPr="00B9547A">
              <w:rPr>
                <w:rFonts w:ascii="Garamond" w:hAnsi="Garamond"/>
                <w:b/>
                <w:lang w:val="en-AU"/>
              </w:rPr>
              <w:t>Managing chronic conditions care</w:t>
            </w:r>
            <w:r w:rsidRPr="00B9547A">
              <w:rPr>
                <w:rFonts w:ascii="Garamond" w:hAnsi="Garamond"/>
                <w:lang w:val="en-AU"/>
              </w:rPr>
              <w:t xml:space="preserve"> across primary care and hospital systems: lessons from an Australian Hospital Avoidance Risk Program using the </w:t>
            </w:r>
            <w:r w:rsidRPr="00B9547A">
              <w:rPr>
                <w:rFonts w:ascii="Garamond" w:hAnsi="Garamond"/>
                <w:b/>
                <w:lang w:val="en-AU"/>
              </w:rPr>
              <w:t>Flinders Chronic Condition Management Program</w:t>
            </w:r>
            <w:r w:rsidRPr="00B9547A">
              <w:rPr>
                <w:rFonts w:ascii="Garamond" w:hAnsi="Garamond"/>
                <w:lang w:val="en-AU"/>
              </w:rPr>
              <w:t xml:space="preserve"> </w:t>
            </w:r>
            <w:r w:rsidR="00B9547A" w:rsidRPr="00B9547A">
              <w:rPr>
                <w:rFonts w:ascii="Garamond" w:hAnsi="Garamond"/>
                <w:lang w:val="en-AU"/>
              </w:rPr>
              <w:t>(</w:t>
            </w:r>
            <w:r w:rsidRPr="00B9547A">
              <w:rPr>
                <w:rFonts w:ascii="Garamond" w:hAnsi="Garamond"/>
                <w:lang w:val="en-AU"/>
              </w:rPr>
              <w:t>Sharon Lawn, Sara Zabeen, David Smith, E Wilson, C Miller, M</w:t>
            </w:r>
            <w:r w:rsidR="00B9547A">
              <w:rPr>
                <w:rFonts w:ascii="Garamond" w:hAnsi="Garamond"/>
                <w:lang w:val="en-AU"/>
              </w:rPr>
              <w:t xml:space="preserve"> Battersby and K Masman)</w:t>
            </w:r>
          </w:p>
          <w:p w:rsidR="003E6A90" w:rsidRPr="00B9547A" w:rsidRDefault="003E6A90" w:rsidP="003E6A90">
            <w:pPr>
              <w:pStyle w:val="ListParagraph"/>
              <w:numPr>
                <w:ilvl w:val="0"/>
                <w:numId w:val="32"/>
              </w:numPr>
              <w:rPr>
                <w:rFonts w:ascii="Garamond" w:hAnsi="Garamond"/>
                <w:lang w:val="en-AU"/>
              </w:rPr>
            </w:pPr>
            <w:r w:rsidRPr="00B9547A">
              <w:rPr>
                <w:rFonts w:ascii="Garamond" w:hAnsi="Garamond"/>
                <w:b/>
                <w:lang w:val="en-AU"/>
              </w:rPr>
              <w:t>Partnering with consumers</w:t>
            </w:r>
            <w:r w:rsidRPr="00B9547A">
              <w:rPr>
                <w:rFonts w:ascii="Garamond" w:hAnsi="Garamond"/>
                <w:lang w:val="en-AU"/>
              </w:rPr>
              <w:t xml:space="preserve"> in the </w:t>
            </w:r>
            <w:r w:rsidRPr="00B9547A">
              <w:rPr>
                <w:rFonts w:ascii="Garamond" w:hAnsi="Garamond"/>
                <w:b/>
                <w:lang w:val="en-AU"/>
              </w:rPr>
              <w:t>public reporting of quality of care</w:t>
            </w:r>
            <w:r w:rsidRPr="00B9547A">
              <w:rPr>
                <w:rFonts w:ascii="Garamond" w:hAnsi="Garamond"/>
                <w:lang w:val="en-AU"/>
              </w:rPr>
              <w:t xml:space="preserve">: review of the Victorian quality of care reports </w:t>
            </w:r>
            <w:r w:rsidR="00B9547A" w:rsidRPr="00B9547A">
              <w:rPr>
                <w:rFonts w:ascii="Garamond" w:hAnsi="Garamond"/>
                <w:lang w:val="en-AU"/>
              </w:rPr>
              <w:t>(</w:t>
            </w:r>
            <w:r w:rsidRPr="00B9547A">
              <w:rPr>
                <w:rFonts w:ascii="Garamond" w:hAnsi="Garamond"/>
                <w:lang w:val="en-AU"/>
              </w:rPr>
              <w:t>Charissa Zaga</w:t>
            </w:r>
            <w:r w:rsidR="00B9547A">
              <w:rPr>
                <w:rFonts w:ascii="Garamond" w:hAnsi="Garamond"/>
                <w:lang w:val="en-AU"/>
              </w:rPr>
              <w:t>, Sandra Leggat and Sophie Hill)</w:t>
            </w:r>
          </w:p>
          <w:p w:rsidR="003E6A90" w:rsidRPr="00B9547A" w:rsidRDefault="003E6A90" w:rsidP="003E6A90">
            <w:pPr>
              <w:pStyle w:val="ListParagraph"/>
              <w:numPr>
                <w:ilvl w:val="0"/>
                <w:numId w:val="32"/>
              </w:numPr>
              <w:rPr>
                <w:rFonts w:ascii="Garamond" w:hAnsi="Garamond"/>
                <w:lang w:val="en-AU"/>
              </w:rPr>
            </w:pPr>
            <w:r w:rsidRPr="00B9547A">
              <w:rPr>
                <w:rFonts w:ascii="Garamond" w:hAnsi="Garamond"/>
                <w:lang w:val="en-AU"/>
              </w:rPr>
              <w:t xml:space="preserve">Participation in </w:t>
            </w:r>
            <w:r w:rsidRPr="00B9547A">
              <w:rPr>
                <w:rFonts w:ascii="Garamond" w:hAnsi="Garamond"/>
                <w:b/>
                <w:lang w:val="en-AU"/>
              </w:rPr>
              <w:t>Hospital in the Home</w:t>
            </w:r>
            <w:r w:rsidRPr="00B9547A">
              <w:rPr>
                <w:rFonts w:ascii="Garamond" w:hAnsi="Garamond"/>
                <w:lang w:val="en-AU"/>
              </w:rPr>
              <w:t xml:space="preserve"> for patients in inner metropolitan Sydney: implications for </w:t>
            </w:r>
            <w:r w:rsidRPr="00B9547A">
              <w:rPr>
                <w:rFonts w:ascii="Garamond" w:hAnsi="Garamond"/>
                <w:b/>
                <w:lang w:val="en-AU"/>
              </w:rPr>
              <w:t>access and equity</w:t>
            </w:r>
            <w:r w:rsidRPr="00B9547A">
              <w:rPr>
                <w:rFonts w:ascii="Garamond" w:hAnsi="Garamond"/>
                <w:lang w:val="en-AU"/>
              </w:rPr>
              <w:t xml:space="preserve"> </w:t>
            </w:r>
            <w:r w:rsidR="00B9547A" w:rsidRPr="00B9547A">
              <w:rPr>
                <w:rFonts w:ascii="Garamond" w:hAnsi="Garamond"/>
                <w:lang w:val="en-AU"/>
              </w:rPr>
              <w:t>(</w:t>
            </w:r>
            <w:r w:rsidRPr="00B9547A">
              <w:rPr>
                <w:rFonts w:ascii="Garamond" w:hAnsi="Garamond"/>
                <w:lang w:val="en-AU"/>
              </w:rPr>
              <w:t>Jude Page, Elizabeth Comino, Mandy Burgess, J</w:t>
            </w:r>
            <w:r w:rsidR="00B9547A">
              <w:rPr>
                <w:rFonts w:ascii="Garamond" w:hAnsi="Garamond"/>
                <w:lang w:val="en-AU"/>
              </w:rPr>
              <w:t>ohn Cullen and Elizabeth Harris)</w:t>
            </w:r>
          </w:p>
          <w:p w:rsidR="003E6A90" w:rsidRPr="00B9547A" w:rsidRDefault="003E6A90" w:rsidP="003E6A90">
            <w:pPr>
              <w:pStyle w:val="ListParagraph"/>
              <w:numPr>
                <w:ilvl w:val="0"/>
                <w:numId w:val="32"/>
              </w:numPr>
              <w:rPr>
                <w:rFonts w:ascii="Garamond" w:hAnsi="Garamond"/>
                <w:lang w:val="en-AU"/>
              </w:rPr>
            </w:pPr>
            <w:r w:rsidRPr="00B9547A">
              <w:rPr>
                <w:rFonts w:ascii="Garamond" w:hAnsi="Garamond"/>
                <w:b/>
                <w:lang w:val="en-AU"/>
              </w:rPr>
              <w:t>Datasets collected in general practice</w:t>
            </w:r>
            <w:r w:rsidRPr="00B9547A">
              <w:rPr>
                <w:rFonts w:ascii="Garamond" w:hAnsi="Garamond"/>
                <w:lang w:val="en-AU"/>
              </w:rPr>
              <w:t xml:space="preserve">: an international comparison using the example of obesity </w:t>
            </w:r>
            <w:r w:rsidR="00B9547A" w:rsidRPr="00B9547A">
              <w:rPr>
                <w:rFonts w:ascii="Garamond" w:hAnsi="Garamond"/>
                <w:lang w:val="en-AU"/>
              </w:rPr>
              <w:t>(</w:t>
            </w:r>
            <w:r w:rsidRPr="00B9547A">
              <w:rPr>
                <w:rFonts w:ascii="Garamond" w:hAnsi="Garamond"/>
                <w:lang w:val="en-AU"/>
              </w:rPr>
              <w:t>Elizab</w:t>
            </w:r>
            <w:r w:rsidR="00B9547A">
              <w:rPr>
                <w:rFonts w:ascii="Garamond" w:hAnsi="Garamond"/>
                <w:lang w:val="en-AU"/>
              </w:rPr>
              <w:t>eth Sturgiss and Kees van Boven)</w:t>
            </w:r>
          </w:p>
          <w:p w:rsidR="00B9547A" w:rsidRDefault="003E6A90" w:rsidP="003E6A90">
            <w:pPr>
              <w:pStyle w:val="ListParagraph"/>
              <w:numPr>
                <w:ilvl w:val="0"/>
                <w:numId w:val="32"/>
              </w:numPr>
              <w:rPr>
                <w:rFonts w:ascii="Garamond" w:hAnsi="Garamond"/>
                <w:lang w:val="en-AU"/>
              </w:rPr>
            </w:pPr>
            <w:r w:rsidRPr="00B9547A">
              <w:rPr>
                <w:rFonts w:ascii="Garamond" w:hAnsi="Garamond"/>
                <w:b/>
                <w:lang w:val="en-AU"/>
              </w:rPr>
              <w:t>Effects of eHealth on hospital practice</w:t>
            </w:r>
            <w:r w:rsidRPr="00B9547A">
              <w:rPr>
                <w:rFonts w:ascii="Garamond" w:hAnsi="Garamond"/>
                <w:lang w:val="en-AU"/>
              </w:rPr>
              <w:t xml:space="preserve">: synthesis of the current literature </w:t>
            </w:r>
            <w:r w:rsidR="00B9547A" w:rsidRPr="00B9547A">
              <w:rPr>
                <w:rFonts w:ascii="Garamond" w:hAnsi="Garamond"/>
                <w:lang w:val="en-AU"/>
              </w:rPr>
              <w:t>(</w:t>
            </w:r>
            <w:r w:rsidRPr="00B9547A">
              <w:rPr>
                <w:rFonts w:ascii="Garamond" w:hAnsi="Garamond"/>
                <w:lang w:val="en-AU"/>
              </w:rPr>
              <w:t>Rebekah Eden, Andrew Burton-Jones, Ian Scott, A Staib and C Sullivan</w:t>
            </w:r>
            <w:r w:rsidR="00B9547A">
              <w:rPr>
                <w:rFonts w:ascii="Garamond" w:hAnsi="Garamond"/>
                <w:lang w:val="en-AU"/>
              </w:rPr>
              <w:t>)</w:t>
            </w:r>
          </w:p>
          <w:p w:rsidR="00B9547A" w:rsidRDefault="003E6A90" w:rsidP="003E6A90">
            <w:pPr>
              <w:pStyle w:val="ListParagraph"/>
              <w:numPr>
                <w:ilvl w:val="0"/>
                <w:numId w:val="32"/>
              </w:numPr>
              <w:rPr>
                <w:rFonts w:ascii="Garamond" w:hAnsi="Garamond"/>
                <w:lang w:val="en-AU"/>
              </w:rPr>
            </w:pPr>
            <w:r w:rsidRPr="00B9547A">
              <w:rPr>
                <w:rFonts w:ascii="Garamond" w:hAnsi="Garamond"/>
                <w:b/>
                <w:lang w:val="en-AU"/>
              </w:rPr>
              <w:t>Comparison of specialist and generalist care</w:t>
            </w:r>
            <w:r w:rsidRPr="00B9547A">
              <w:rPr>
                <w:rFonts w:ascii="Garamond" w:hAnsi="Garamond"/>
                <w:lang w:val="en-AU"/>
              </w:rPr>
              <w:t xml:space="preserve"> </w:t>
            </w:r>
            <w:r w:rsidR="00B9547A" w:rsidRPr="00B9547A">
              <w:rPr>
                <w:rFonts w:ascii="Garamond" w:hAnsi="Garamond"/>
                <w:lang w:val="en-AU"/>
              </w:rPr>
              <w:t>(</w:t>
            </w:r>
            <w:r w:rsidRPr="00B9547A">
              <w:rPr>
                <w:rFonts w:ascii="Garamond" w:hAnsi="Garamond"/>
                <w:lang w:val="en-AU"/>
              </w:rPr>
              <w:t>C M Horwood, P Hakendorf and C H Thompson</w:t>
            </w:r>
            <w:r w:rsidR="00B9547A">
              <w:rPr>
                <w:rFonts w:ascii="Garamond" w:hAnsi="Garamond"/>
                <w:lang w:val="en-AU"/>
              </w:rPr>
              <w:t>)</w:t>
            </w:r>
          </w:p>
          <w:p w:rsidR="003E6A90" w:rsidRPr="00B9547A" w:rsidRDefault="003E6A90" w:rsidP="003E6A90">
            <w:pPr>
              <w:pStyle w:val="ListParagraph"/>
              <w:numPr>
                <w:ilvl w:val="0"/>
                <w:numId w:val="32"/>
              </w:numPr>
              <w:rPr>
                <w:rFonts w:ascii="Garamond" w:hAnsi="Garamond"/>
                <w:lang w:val="en-AU"/>
              </w:rPr>
            </w:pPr>
            <w:r w:rsidRPr="00B9547A">
              <w:rPr>
                <w:rFonts w:ascii="Garamond" w:hAnsi="Garamond"/>
                <w:lang w:val="en-AU"/>
              </w:rPr>
              <w:t xml:space="preserve">Recent trends in the use of </w:t>
            </w:r>
            <w:r w:rsidRPr="00B9547A">
              <w:rPr>
                <w:rFonts w:ascii="Garamond" w:hAnsi="Garamond"/>
                <w:b/>
                <w:lang w:val="en-AU"/>
              </w:rPr>
              <w:t>linked data</w:t>
            </w:r>
            <w:r w:rsidRPr="00B9547A">
              <w:rPr>
                <w:rFonts w:ascii="Garamond" w:hAnsi="Garamond"/>
                <w:lang w:val="en-AU"/>
              </w:rPr>
              <w:t xml:space="preserve"> in Australia </w:t>
            </w:r>
            <w:r w:rsidR="00B9547A" w:rsidRPr="00B9547A">
              <w:rPr>
                <w:rFonts w:ascii="Garamond" w:hAnsi="Garamond"/>
                <w:lang w:val="en-AU"/>
              </w:rPr>
              <w:t>(</w:t>
            </w:r>
            <w:r w:rsidR="00B9547A">
              <w:rPr>
                <w:rFonts w:ascii="Garamond" w:hAnsi="Garamond"/>
                <w:lang w:val="en-AU"/>
              </w:rPr>
              <w:t>A Young and F Flack)</w:t>
            </w:r>
          </w:p>
          <w:p w:rsidR="003E6A90" w:rsidRPr="00B9547A" w:rsidRDefault="003E6A90" w:rsidP="003E6A90">
            <w:pPr>
              <w:pStyle w:val="ListParagraph"/>
              <w:numPr>
                <w:ilvl w:val="0"/>
                <w:numId w:val="32"/>
              </w:numPr>
              <w:rPr>
                <w:rFonts w:ascii="Garamond" w:hAnsi="Garamond"/>
                <w:lang w:val="en-AU"/>
              </w:rPr>
            </w:pPr>
            <w:r w:rsidRPr="00B9547A">
              <w:rPr>
                <w:rFonts w:ascii="Garamond" w:hAnsi="Garamond"/>
                <w:b/>
                <w:lang w:val="en-AU"/>
              </w:rPr>
              <w:t>Public reporting of hospital performance data</w:t>
            </w:r>
            <w:r w:rsidRPr="00B9547A">
              <w:rPr>
                <w:rFonts w:ascii="Garamond" w:hAnsi="Garamond"/>
                <w:lang w:val="en-AU"/>
              </w:rPr>
              <w:t xml:space="preserve">: views of senior medical directors in Victoria, Australia </w:t>
            </w:r>
            <w:r w:rsidR="00B9547A" w:rsidRPr="00B9547A">
              <w:rPr>
                <w:rFonts w:ascii="Garamond" w:hAnsi="Garamond"/>
                <w:lang w:val="en-AU"/>
              </w:rPr>
              <w:t>(</w:t>
            </w:r>
            <w:r w:rsidRPr="00B9547A">
              <w:rPr>
                <w:rFonts w:ascii="Garamond" w:hAnsi="Garamond"/>
                <w:lang w:val="en-AU"/>
              </w:rPr>
              <w:t xml:space="preserve">Rachel Canaway, Marie Bismark, </w:t>
            </w:r>
            <w:r w:rsidR="00B9547A">
              <w:rPr>
                <w:rFonts w:ascii="Garamond" w:hAnsi="Garamond"/>
                <w:lang w:val="en-AU"/>
              </w:rPr>
              <w:t>David Dunt and Margaret Kelaher)</w:t>
            </w:r>
          </w:p>
          <w:p w:rsidR="003E6A90" w:rsidRPr="00B9547A" w:rsidRDefault="003E6A90" w:rsidP="003E6A90">
            <w:pPr>
              <w:pStyle w:val="ListParagraph"/>
              <w:numPr>
                <w:ilvl w:val="0"/>
                <w:numId w:val="32"/>
              </w:numPr>
              <w:rPr>
                <w:rFonts w:ascii="Garamond" w:hAnsi="Garamond"/>
                <w:lang w:val="en-AU"/>
              </w:rPr>
            </w:pPr>
            <w:r w:rsidRPr="00B9547A">
              <w:rPr>
                <w:rFonts w:ascii="Garamond" w:hAnsi="Garamond"/>
                <w:lang w:val="en-AU"/>
              </w:rPr>
              <w:t xml:space="preserve">Examining the </w:t>
            </w:r>
            <w:r w:rsidRPr="00B9547A">
              <w:rPr>
                <w:rFonts w:ascii="Garamond" w:hAnsi="Garamond"/>
                <w:b/>
                <w:lang w:val="en-AU"/>
              </w:rPr>
              <w:t>high users of hospital resources</w:t>
            </w:r>
            <w:r w:rsidRPr="00B9547A">
              <w:rPr>
                <w:rFonts w:ascii="Garamond" w:hAnsi="Garamond"/>
                <w:lang w:val="en-AU"/>
              </w:rPr>
              <w:t xml:space="preserve">: implications of a profile developed from Australian health insurance claims data </w:t>
            </w:r>
            <w:r w:rsidR="00B9547A" w:rsidRPr="00B9547A">
              <w:rPr>
                <w:rFonts w:ascii="Garamond" w:hAnsi="Garamond"/>
                <w:lang w:val="en-AU"/>
              </w:rPr>
              <w:t>(</w:t>
            </w:r>
            <w:r w:rsidRPr="00B9547A">
              <w:rPr>
                <w:rFonts w:ascii="Garamond" w:hAnsi="Garamond"/>
                <w:lang w:val="en-AU"/>
              </w:rPr>
              <w:t>Joanna Kh</w:t>
            </w:r>
            <w:r w:rsidR="00B9547A">
              <w:rPr>
                <w:rFonts w:ascii="Garamond" w:hAnsi="Garamond"/>
                <w:lang w:val="en-AU"/>
              </w:rPr>
              <w:t>oo, Helen Hasan and Kathy Eagar)</w:t>
            </w:r>
          </w:p>
          <w:p w:rsidR="003E6A90" w:rsidRPr="003E6A90" w:rsidRDefault="003E6A90" w:rsidP="00B9547A">
            <w:pPr>
              <w:pStyle w:val="ListParagraph"/>
              <w:numPr>
                <w:ilvl w:val="0"/>
                <w:numId w:val="32"/>
              </w:numPr>
              <w:rPr>
                <w:rFonts w:ascii="Garamond" w:hAnsi="Garamond"/>
                <w:lang w:val="en-AU"/>
              </w:rPr>
            </w:pPr>
            <w:r w:rsidRPr="00B9547A">
              <w:rPr>
                <w:rFonts w:ascii="Garamond" w:hAnsi="Garamond"/>
                <w:lang w:val="en-AU"/>
              </w:rPr>
              <w:t xml:space="preserve">Use of medical emergency call data as a marker of </w:t>
            </w:r>
            <w:r w:rsidRPr="00B9547A">
              <w:rPr>
                <w:rFonts w:ascii="Garamond" w:hAnsi="Garamond"/>
                <w:b/>
                <w:lang w:val="en-AU"/>
              </w:rPr>
              <w:t>quality of emergency department care</w:t>
            </w:r>
            <w:r w:rsidRPr="00B9547A">
              <w:rPr>
                <w:rFonts w:ascii="Garamond" w:hAnsi="Garamond"/>
                <w:lang w:val="en-AU"/>
              </w:rPr>
              <w:t xml:space="preserve"> in the post-National Emergency Access Target era </w:t>
            </w:r>
            <w:r w:rsidR="00B9547A" w:rsidRPr="00B9547A">
              <w:rPr>
                <w:rFonts w:ascii="Garamond" w:hAnsi="Garamond"/>
                <w:lang w:val="en-AU"/>
              </w:rPr>
              <w:t>(</w:t>
            </w:r>
            <w:r w:rsidRPr="00B9547A">
              <w:rPr>
                <w:rFonts w:ascii="Garamond" w:hAnsi="Garamond"/>
                <w:lang w:val="en-AU"/>
              </w:rPr>
              <w:t>Lorraine Westacott, Judy Graves, Mohsina Khatun and John Burke</w:t>
            </w:r>
            <w:r w:rsidR="00B9547A">
              <w:rPr>
                <w:rFonts w:ascii="Garamond" w:hAnsi="Garamond"/>
                <w:lang w:val="en-AU"/>
              </w:rPr>
              <w:t>)</w:t>
            </w:r>
          </w:p>
        </w:tc>
      </w:tr>
    </w:tbl>
    <w:p w:rsidR="00A45977" w:rsidRDefault="00A45977" w:rsidP="00A45977">
      <w:pPr>
        <w:keepNext/>
        <w:keepLines/>
        <w:autoSpaceDE w:val="0"/>
        <w:autoSpaceDN w:val="0"/>
        <w:adjustRightInd w:val="0"/>
        <w:rPr>
          <w:rFonts w:ascii="Garamond" w:hAnsi="Garamond"/>
          <w:i/>
          <w:lang w:val="en-AU"/>
        </w:rPr>
      </w:pPr>
    </w:p>
    <w:p w:rsidR="00A45977" w:rsidRPr="00A45977" w:rsidRDefault="00A45977" w:rsidP="00A45977">
      <w:pPr>
        <w:keepNext/>
        <w:keepLines/>
        <w:autoSpaceDE w:val="0"/>
        <w:autoSpaceDN w:val="0"/>
        <w:adjustRightInd w:val="0"/>
        <w:rPr>
          <w:rFonts w:ascii="Garamond" w:hAnsi="Garamond"/>
          <w:i/>
          <w:lang w:val="en-AU"/>
        </w:rPr>
      </w:pPr>
      <w:r>
        <w:rPr>
          <w:rFonts w:ascii="Garamond" w:hAnsi="Garamond"/>
          <w:i/>
          <w:lang w:val="en-AU"/>
        </w:rPr>
        <w:t>Healthcare Papers</w:t>
      </w:r>
    </w:p>
    <w:p w:rsidR="00A45977" w:rsidRPr="00A45977" w:rsidRDefault="00A45977" w:rsidP="00A45977">
      <w:pPr>
        <w:keepNext/>
        <w:keepLines/>
        <w:autoSpaceDE w:val="0"/>
        <w:autoSpaceDN w:val="0"/>
        <w:adjustRightInd w:val="0"/>
        <w:rPr>
          <w:rFonts w:ascii="Garamond" w:hAnsi="Garamond"/>
          <w:lang w:val="en-AU"/>
        </w:rPr>
      </w:pPr>
      <w:r w:rsidRPr="00A45977">
        <w:rPr>
          <w:rFonts w:ascii="Garamond" w:hAnsi="Garamond"/>
          <w:lang w:val="en-AU"/>
        </w:rPr>
        <w:t>Volume 17, Number 4, 2018</w:t>
      </w:r>
    </w:p>
    <w:tbl>
      <w:tblPr>
        <w:tblStyle w:val="TableGrid"/>
        <w:tblW w:w="0" w:type="auto"/>
        <w:tblInd w:w="288" w:type="dxa"/>
        <w:tblLayout w:type="fixed"/>
        <w:tblLook w:val="01E0" w:firstRow="1" w:lastRow="1" w:firstColumn="1" w:lastColumn="1" w:noHBand="0" w:noVBand="0"/>
      </w:tblPr>
      <w:tblGrid>
        <w:gridCol w:w="1080"/>
        <w:gridCol w:w="8280"/>
      </w:tblGrid>
      <w:tr w:rsidR="00A45977" w:rsidRPr="000170DA" w:rsidTr="003363AE">
        <w:tc>
          <w:tcPr>
            <w:tcW w:w="1080" w:type="dxa"/>
            <w:tcBorders>
              <w:top w:val="single" w:sz="4" w:space="0" w:color="auto"/>
              <w:left w:val="single" w:sz="4" w:space="0" w:color="auto"/>
              <w:bottom w:val="single" w:sz="4" w:space="0" w:color="auto"/>
              <w:right w:val="single" w:sz="4" w:space="0" w:color="auto"/>
            </w:tcBorders>
            <w:vAlign w:val="center"/>
          </w:tcPr>
          <w:p w:rsidR="00A45977" w:rsidRPr="000170DA" w:rsidRDefault="00A45977" w:rsidP="003363AE">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45977" w:rsidRPr="000170DA" w:rsidRDefault="00510822" w:rsidP="00A45977">
            <w:pPr>
              <w:rPr>
                <w:rStyle w:val="Hyperlink"/>
                <w:rFonts w:ascii="Garamond" w:hAnsi="Garamond"/>
                <w:color w:val="auto"/>
                <w:u w:val="none"/>
                <w:lang w:val="en-AU"/>
              </w:rPr>
            </w:pPr>
            <w:hyperlink r:id="rId30" w:history="1">
              <w:r w:rsidR="00A45977" w:rsidRPr="00A66102">
                <w:rPr>
                  <w:rStyle w:val="Hyperlink"/>
                  <w:rFonts w:ascii="Garamond" w:hAnsi="Garamond"/>
                  <w:lang w:val="en-AU"/>
                </w:rPr>
                <w:t>https://www.longwoods.com/publications/healthcarepapers/25570</w:t>
              </w:r>
            </w:hyperlink>
          </w:p>
        </w:tc>
      </w:tr>
      <w:tr w:rsidR="00A45977" w:rsidRPr="000170DA" w:rsidTr="003363AE">
        <w:tc>
          <w:tcPr>
            <w:tcW w:w="1080" w:type="dxa"/>
            <w:tcBorders>
              <w:top w:val="single" w:sz="4" w:space="0" w:color="auto"/>
              <w:left w:val="single" w:sz="4" w:space="0" w:color="auto"/>
              <w:bottom w:val="single" w:sz="4" w:space="0" w:color="auto"/>
              <w:right w:val="single" w:sz="4" w:space="0" w:color="auto"/>
            </w:tcBorders>
            <w:vAlign w:val="center"/>
          </w:tcPr>
          <w:p w:rsidR="00A45977" w:rsidRPr="000170DA" w:rsidRDefault="00A45977" w:rsidP="003363A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45977" w:rsidRDefault="00A45977" w:rsidP="00A45977">
            <w:pPr>
              <w:rPr>
                <w:rFonts w:ascii="Garamond" w:hAnsi="Garamond"/>
                <w:lang w:val="en-AU"/>
              </w:rPr>
            </w:pPr>
            <w:r w:rsidRPr="003E6A90">
              <w:rPr>
                <w:rFonts w:ascii="Garamond" w:hAnsi="Garamond"/>
                <w:lang w:val="en-AU"/>
              </w:rPr>
              <w:t xml:space="preserve">A new issue of </w:t>
            </w:r>
            <w:r>
              <w:rPr>
                <w:rFonts w:ascii="Garamond" w:hAnsi="Garamond"/>
                <w:i/>
                <w:lang w:val="en-AU"/>
              </w:rPr>
              <w:t>Healthcare Papers</w:t>
            </w:r>
            <w:r w:rsidRPr="003E6A90">
              <w:rPr>
                <w:rFonts w:ascii="Garamond" w:hAnsi="Garamond"/>
                <w:i/>
                <w:lang w:val="en-AU"/>
              </w:rPr>
              <w:t xml:space="preserve"> </w:t>
            </w:r>
            <w:r w:rsidRPr="003E6A90">
              <w:rPr>
                <w:rFonts w:ascii="Garamond" w:hAnsi="Garamond"/>
                <w:lang w:val="en-AU"/>
              </w:rPr>
              <w:t xml:space="preserve">has been published. Articles in this issue </w:t>
            </w:r>
            <w:r>
              <w:rPr>
                <w:rFonts w:ascii="Garamond" w:hAnsi="Garamond"/>
                <w:lang w:val="en-AU"/>
              </w:rPr>
              <w:t xml:space="preserve">of </w:t>
            </w:r>
            <w:r>
              <w:rPr>
                <w:rFonts w:ascii="Garamond" w:hAnsi="Garamond"/>
                <w:i/>
                <w:lang w:val="en-AU"/>
              </w:rPr>
              <w:t>Healthcare Papers</w:t>
            </w:r>
            <w:r w:rsidRPr="003E6A90">
              <w:rPr>
                <w:rFonts w:ascii="Garamond" w:hAnsi="Garamond"/>
                <w:lang w:val="en-AU"/>
              </w:rPr>
              <w:t xml:space="preserve"> include:</w:t>
            </w:r>
          </w:p>
          <w:p w:rsidR="00A45977" w:rsidRPr="00A45977" w:rsidRDefault="00A45977" w:rsidP="00A45977">
            <w:pPr>
              <w:pStyle w:val="ListParagraph"/>
              <w:numPr>
                <w:ilvl w:val="0"/>
                <w:numId w:val="34"/>
              </w:numPr>
              <w:rPr>
                <w:rFonts w:ascii="Garamond" w:hAnsi="Garamond"/>
                <w:lang w:val="en-AU"/>
              </w:rPr>
            </w:pPr>
            <w:r w:rsidRPr="00A45977">
              <w:rPr>
                <w:rFonts w:ascii="Garamond" w:hAnsi="Garamond"/>
                <w:b/>
                <w:lang w:val="en-AU"/>
              </w:rPr>
              <w:t>Physician Compensation, Accountability and Performance</w:t>
            </w:r>
            <w:r w:rsidRPr="00A45977">
              <w:rPr>
                <w:rFonts w:ascii="Garamond" w:hAnsi="Garamond"/>
                <w:lang w:val="en-AU"/>
              </w:rPr>
              <w:t xml:space="preserve"> in Canada: Changing the </w:t>
            </w:r>
            <w:r w:rsidRPr="00A45977">
              <w:rPr>
                <w:rFonts w:ascii="Garamond" w:hAnsi="Garamond"/>
                <w:i/>
                <w:lang w:val="en-AU"/>
              </w:rPr>
              <w:t>Pas de Deux</w:t>
            </w:r>
            <w:r w:rsidRPr="00A45977">
              <w:rPr>
                <w:rFonts w:ascii="Garamond" w:hAnsi="Garamond"/>
                <w:lang w:val="en-AU"/>
              </w:rPr>
              <w:t xml:space="preserve"> (Terrence Sullivan</w:t>
            </w:r>
            <w:r>
              <w:rPr>
                <w:rFonts w:ascii="Garamond" w:hAnsi="Garamond"/>
                <w:lang w:val="en-AU"/>
              </w:rPr>
              <w:t>)</w:t>
            </w:r>
          </w:p>
          <w:p w:rsidR="00A45977" w:rsidRPr="00A45977" w:rsidRDefault="00A45977" w:rsidP="00A45977">
            <w:pPr>
              <w:pStyle w:val="ListParagraph"/>
              <w:numPr>
                <w:ilvl w:val="0"/>
                <w:numId w:val="34"/>
              </w:numPr>
              <w:rPr>
                <w:rFonts w:ascii="Garamond" w:hAnsi="Garamond"/>
                <w:lang w:val="en-AU"/>
              </w:rPr>
            </w:pPr>
            <w:r w:rsidRPr="00A45977">
              <w:rPr>
                <w:rFonts w:ascii="Garamond" w:hAnsi="Garamond"/>
                <w:b/>
                <w:lang w:val="en-AU"/>
              </w:rPr>
              <w:t>Doctors and Canadian Medicare: Improving Accountability and Performance</w:t>
            </w:r>
            <w:r w:rsidRPr="00A45977">
              <w:rPr>
                <w:rFonts w:ascii="Garamond" w:hAnsi="Garamond"/>
                <w:lang w:val="en-AU"/>
              </w:rPr>
              <w:t xml:space="preserve"> (</w:t>
            </w:r>
            <w:r>
              <w:rPr>
                <w:rFonts w:ascii="Garamond" w:hAnsi="Garamond"/>
                <w:lang w:val="en-AU"/>
              </w:rPr>
              <w:t>Gregory P</w:t>
            </w:r>
            <w:r w:rsidRPr="00A45977">
              <w:rPr>
                <w:rFonts w:ascii="Garamond" w:hAnsi="Garamond"/>
                <w:lang w:val="en-AU"/>
              </w:rPr>
              <w:t xml:space="preserve"> Marchildon and Michael Sherar</w:t>
            </w:r>
            <w:r>
              <w:rPr>
                <w:rFonts w:ascii="Garamond" w:hAnsi="Garamond"/>
                <w:lang w:val="en-AU"/>
              </w:rPr>
              <w:t>)</w:t>
            </w:r>
          </w:p>
          <w:p w:rsidR="00A45977" w:rsidRPr="00A45977" w:rsidRDefault="00A45977" w:rsidP="00A45977">
            <w:pPr>
              <w:pStyle w:val="ListParagraph"/>
              <w:numPr>
                <w:ilvl w:val="0"/>
                <w:numId w:val="34"/>
              </w:numPr>
              <w:rPr>
                <w:rFonts w:ascii="Garamond" w:hAnsi="Garamond"/>
                <w:lang w:val="en-AU"/>
              </w:rPr>
            </w:pPr>
            <w:r w:rsidRPr="00A45977">
              <w:rPr>
                <w:rFonts w:ascii="Garamond" w:hAnsi="Garamond"/>
                <w:b/>
                <w:lang w:val="en-AU"/>
              </w:rPr>
              <w:lastRenderedPageBreak/>
              <w:t>Physician Service Costs</w:t>
            </w:r>
            <w:r w:rsidRPr="00A45977">
              <w:rPr>
                <w:rFonts w:ascii="Garamond" w:hAnsi="Garamond"/>
                <w:lang w:val="en-AU"/>
              </w:rPr>
              <w:t>: Is there Blame to Share Around? (Audrey Laporte</w:t>
            </w:r>
            <w:r>
              <w:rPr>
                <w:rFonts w:ascii="Garamond" w:hAnsi="Garamond"/>
                <w:lang w:val="en-AU"/>
              </w:rPr>
              <w:t>)</w:t>
            </w:r>
          </w:p>
          <w:p w:rsidR="00A45977" w:rsidRPr="00A45977" w:rsidRDefault="00A45977" w:rsidP="00A45977">
            <w:pPr>
              <w:pStyle w:val="ListParagraph"/>
              <w:numPr>
                <w:ilvl w:val="0"/>
                <w:numId w:val="34"/>
              </w:numPr>
              <w:rPr>
                <w:rFonts w:ascii="Garamond" w:hAnsi="Garamond"/>
                <w:lang w:val="en-AU"/>
              </w:rPr>
            </w:pPr>
            <w:r w:rsidRPr="00A45977">
              <w:rPr>
                <w:rFonts w:ascii="Garamond" w:hAnsi="Garamond"/>
                <w:b/>
                <w:lang w:val="en-AU"/>
              </w:rPr>
              <w:t>Healthcare Delivery and Physician Accountability</w:t>
            </w:r>
            <w:r w:rsidRPr="00A45977">
              <w:rPr>
                <w:rFonts w:ascii="Garamond" w:hAnsi="Garamond"/>
                <w:lang w:val="en-AU"/>
              </w:rPr>
              <w:t xml:space="preserve"> in Quebec: A System Ready for Change</w:t>
            </w:r>
            <w:r>
              <w:rPr>
                <w:rFonts w:ascii="Garamond" w:hAnsi="Garamond"/>
                <w:lang w:val="en-AU"/>
              </w:rPr>
              <w:t xml:space="preserve"> </w:t>
            </w:r>
            <w:r w:rsidRPr="00A45977">
              <w:rPr>
                <w:rFonts w:ascii="Garamond" w:hAnsi="Garamond"/>
                <w:lang w:val="en-AU"/>
              </w:rPr>
              <w:t>(Lawrence Rosenberg</w:t>
            </w:r>
            <w:r>
              <w:rPr>
                <w:rFonts w:ascii="Garamond" w:hAnsi="Garamond"/>
                <w:lang w:val="en-AU"/>
              </w:rPr>
              <w:t>)</w:t>
            </w:r>
          </w:p>
          <w:p w:rsidR="00A45977" w:rsidRPr="00A45977" w:rsidRDefault="00A45977" w:rsidP="00A45977">
            <w:pPr>
              <w:pStyle w:val="ListParagraph"/>
              <w:numPr>
                <w:ilvl w:val="0"/>
                <w:numId w:val="34"/>
              </w:numPr>
              <w:rPr>
                <w:rFonts w:ascii="Garamond" w:hAnsi="Garamond"/>
                <w:lang w:val="en-AU"/>
              </w:rPr>
            </w:pPr>
            <w:r w:rsidRPr="00A45977">
              <w:rPr>
                <w:rFonts w:ascii="Garamond" w:hAnsi="Garamond"/>
                <w:lang w:val="en-AU"/>
              </w:rPr>
              <w:t xml:space="preserve">Doctors and Canadian Medicare: </w:t>
            </w:r>
            <w:r w:rsidRPr="00A45977">
              <w:rPr>
                <w:rFonts w:ascii="Garamond" w:hAnsi="Garamond"/>
                <w:b/>
                <w:lang w:val="en-AU"/>
              </w:rPr>
              <w:t>Improving System Performance</w:t>
            </w:r>
            <w:r w:rsidRPr="00A45977">
              <w:rPr>
                <w:rFonts w:ascii="Garamond" w:hAnsi="Garamond"/>
                <w:lang w:val="en-AU"/>
              </w:rPr>
              <w:t xml:space="preserve"> Requires System Change (Richard H Glazier and Tara Kiran</w:t>
            </w:r>
            <w:r>
              <w:rPr>
                <w:rFonts w:ascii="Garamond" w:hAnsi="Garamond"/>
                <w:lang w:val="en-AU"/>
              </w:rPr>
              <w:t>)</w:t>
            </w:r>
          </w:p>
          <w:p w:rsidR="00A45977" w:rsidRPr="00A45977" w:rsidRDefault="00A45977" w:rsidP="00A45977">
            <w:pPr>
              <w:pStyle w:val="ListParagraph"/>
              <w:numPr>
                <w:ilvl w:val="0"/>
                <w:numId w:val="34"/>
              </w:numPr>
              <w:rPr>
                <w:rFonts w:ascii="Garamond" w:hAnsi="Garamond"/>
                <w:lang w:val="en-AU"/>
              </w:rPr>
            </w:pPr>
            <w:r w:rsidRPr="00A45977">
              <w:rPr>
                <w:rFonts w:ascii="Garamond" w:hAnsi="Garamond"/>
                <w:lang w:val="en-AU"/>
              </w:rPr>
              <w:t>Improving</w:t>
            </w:r>
            <w:r w:rsidRPr="00A45977">
              <w:rPr>
                <w:rFonts w:ascii="Garamond" w:hAnsi="Garamond"/>
                <w:b/>
                <w:lang w:val="en-AU"/>
              </w:rPr>
              <w:t xml:space="preserve"> Physician Accountability Through Primary Care Reform</w:t>
            </w:r>
            <w:r w:rsidRPr="00A45977">
              <w:rPr>
                <w:rFonts w:ascii="Garamond" w:hAnsi="Garamond"/>
                <w:lang w:val="en-AU"/>
              </w:rPr>
              <w:t xml:space="preserve"> in Alberta (John Church, Rob Skrypnek and Neale Smith</w:t>
            </w:r>
            <w:r>
              <w:rPr>
                <w:rFonts w:ascii="Garamond" w:hAnsi="Garamond"/>
                <w:lang w:val="en-AU"/>
              </w:rPr>
              <w:t>)</w:t>
            </w:r>
          </w:p>
          <w:p w:rsidR="00A45977" w:rsidRPr="00A45977" w:rsidRDefault="00A45977" w:rsidP="00A45977">
            <w:pPr>
              <w:pStyle w:val="ListParagraph"/>
              <w:numPr>
                <w:ilvl w:val="0"/>
                <w:numId w:val="34"/>
              </w:numPr>
              <w:rPr>
                <w:rFonts w:ascii="Garamond" w:hAnsi="Garamond"/>
                <w:lang w:val="en-AU"/>
              </w:rPr>
            </w:pPr>
            <w:r w:rsidRPr="00A45977">
              <w:rPr>
                <w:rFonts w:ascii="Garamond" w:hAnsi="Garamond"/>
                <w:lang w:val="en-AU"/>
              </w:rPr>
              <w:t xml:space="preserve">From Autonomous Gatekeepers to System Stewards: Can the Alberta Agreement </w:t>
            </w:r>
            <w:r w:rsidRPr="00A45977">
              <w:rPr>
                <w:rFonts w:ascii="Garamond" w:hAnsi="Garamond"/>
                <w:b/>
                <w:lang w:val="en-AU"/>
              </w:rPr>
              <w:t>Change the Role of Physicians</w:t>
            </w:r>
            <w:r w:rsidRPr="00A45977">
              <w:rPr>
                <w:rFonts w:ascii="Garamond" w:hAnsi="Garamond"/>
                <w:lang w:val="en-AU"/>
              </w:rPr>
              <w:t xml:space="preserve"> in Canadian Medicare? (Tom McIntosh</w:t>
            </w:r>
            <w:r>
              <w:rPr>
                <w:rFonts w:ascii="Garamond" w:hAnsi="Garamond"/>
                <w:lang w:val="en-AU"/>
              </w:rPr>
              <w:t>)</w:t>
            </w:r>
          </w:p>
          <w:p w:rsidR="00A45977" w:rsidRPr="00A45977" w:rsidRDefault="00A45977" w:rsidP="00A45977">
            <w:pPr>
              <w:pStyle w:val="ListParagraph"/>
              <w:numPr>
                <w:ilvl w:val="0"/>
                <w:numId w:val="34"/>
              </w:numPr>
              <w:rPr>
                <w:rFonts w:ascii="Garamond" w:hAnsi="Garamond"/>
                <w:lang w:val="en-AU"/>
              </w:rPr>
            </w:pPr>
            <w:r w:rsidRPr="00A45977">
              <w:rPr>
                <w:rFonts w:ascii="Garamond" w:hAnsi="Garamond"/>
                <w:b/>
                <w:lang w:val="en-AU"/>
              </w:rPr>
              <w:t>Canada’s Ailing Healthcare System</w:t>
            </w:r>
            <w:r w:rsidRPr="00A45977">
              <w:rPr>
                <w:rFonts w:ascii="Garamond" w:hAnsi="Garamond"/>
                <w:lang w:val="en-AU"/>
              </w:rPr>
              <w:t>: It’s the Doctors’ Fault? (</w:t>
            </w:r>
            <w:r>
              <w:rPr>
                <w:rFonts w:ascii="Garamond" w:hAnsi="Garamond"/>
                <w:lang w:val="en-AU"/>
              </w:rPr>
              <w:t>Jack M</w:t>
            </w:r>
            <w:r w:rsidRPr="00A45977">
              <w:rPr>
                <w:rFonts w:ascii="Garamond" w:hAnsi="Garamond"/>
                <w:lang w:val="en-AU"/>
              </w:rPr>
              <w:t xml:space="preserve"> Mintz</w:t>
            </w:r>
            <w:r>
              <w:rPr>
                <w:rFonts w:ascii="Garamond" w:hAnsi="Garamond"/>
                <w:lang w:val="en-AU"/>
              </w:rPr>
              <w:t>)</w:t>
            </w:r>
          </w:p>
          <w:p w:rsidR="00A45977" w:rsidRPr="00A45977" w:rsidRDefault="00A45977" w:rsidP="00A45977">
            <w:pPr>
              <w:pStyle w:val="ListParagraph"/>
              <w:numPr>
                <w:ilvl w:val="0"/>
                <w:numId w:val="34"/>
              </w:numPr>
              <w:rPr>
                <w:rFonts w:ascii="Garamond" w:hAnsi="Garamond"/>
                <w:lang w:val="en-AU"/>
              </w:rPr>
            </w:pPr>
            <w:r w:rsidRPr="00A45977">
              <w:rPr>
                <w:rFonts w:ascii="Garamond" w:hAnsi="Garamond"/>
                <w:lang w:val="en-AU"/>
              </w:rPr>
              <w:t xml:space="preserve">Building on </w:t>
            </w:r>
            <w:r w:rsidRPr="00A45977">
              <w:rPr>
                <w:rFonts w:ascii="Garamond" w:hAnsi="Garamond"/>
                <w:b/>
                <w:lang w:val="en-AU"/>
              </w:rPr>
              <w:t>Primary Care Reforms and Indigenous Self-Determination</w:t>
            </w:r>
            <w:r w:rsidRPr="00A45977">
              <w:rPr>
                <w:rFonts w:ascii="Garamond" w:hAnsi="Garamond"/>
                <w:lang w:val="en-AU"/>
              </w:rPr>
              <w:t xml:space="preserve"> in the Northwest Territories: Physician Accountability and Performance in Context (Susan Chatwood</w:t>
            </w:r>
            <w:r>
              <w:rPr>
                <w:rFonts w:ascii="Garamond" w:hAnsi="Garamond"/>
                <w:lang w:val="en-AU"/>
              </w:rPr>
              <w:t>)</w:t>
            </w:r>
          </w:p>
          <w:p w:rsidR="00A45977" w:rsidRPr="00A45977" w:rsidRDefault="00A45977" w:rsidP="00A45977">
            <w:pPr>
              <w:pStyle w:val="ListParagraph"/>
              <w:numPr>
                <w:ilvl w:val="0"/>
                <w:numId w:val="34"/>
              </w:numPr>
              <w:rPr>
                <w:rFonts w:ascii="Garamond" w:hAnsi="Garamond"/>
                <w:lang w:val="en-AU"/>
              </w:rPr>
            </w:pPr>
            <w:r w:rsidRPr="00A45977">
              <w:rPr>
                <w:rFonts w:ascii="Garamond" w:hAnsi="Garamond"/>
                <w:lang w:val="en-AU"/>
              </w:rPr>
              <w:t xml:space="preserve">Measuring </w:t>
            </w:r>
            <w:r w:rsidRPr="00A45977">
              <w:rPr>
                <w:rFonts w:ascii="Garamond" w:hAnsi="Garamond"/>
                <w:b/>
                <w:lang w:val="en-AU"/>
              </w:rPr>
              <w:t>Physicians’ Incomes</w:t>
            </w:r>
            <w:r w:rsidRPr="00A45977">
              <w:rPr>
                <w:rFonts w:ascii="Garamond" w:hAnsi="Garamond"/>
                <w:lang w:val="en-AU"/>
              </w:rPr>
              <w:t xml:space="preserve"> with a Focus on Canadian-Controlled Private Corporations (Lars Nielsen and Arthur Sweetman</w:t>
            </w:r>
            <w:r>
              <w:rPr>
                <w:rFonts w:ascii="Garamond" w:hAnsi="Garamond"/>
                <w:lang w:val="en-AU"/>
              </w:rPr>
              <w:t>)</w:t>
            </w:r>
          </w:p>
          <w:p w:rsidR="00A45977" w:rsidRPr="00A45977" w:rsidRDefault="00A45977" w:rsidP="00A45977">
            <w:pPr>
              <w:pStyle w:val="ListParagraph"/>
              <w:numPr>
                <w:ilvl w:val="0"/>
                <w:numId w:val="34"/>
              </w:numPr>
              <w:rPr>
                <w:rFonts w:ascii="Garamond" w:hAnsi="Garamond"/>
                <w:lang w:val="en-AU"/>
              </w:rPr>
            </w:pPr>
            <w:r w:rsidRPr="00A45977">
              <w:rPr>
                <w:rFonts w:ascii="Garamond" w:hAnsi="Garamond"/>
                <w:b/>
                <w:lang w:val="en-AU"/>
              </w:rPr>
              <w:t>Value for Money through Effective Stewardship</w:t>
            </w:r>
            <w:r w:rsidRPr="00A45977">
              <w:rPr>
                <w:rFonts w:ascii="Garamond" w:hAnsi="Garamond"/>
                <w:lang w:val="en-AU"/>
              </w:rPr>
              <w:t xml:space="preserve"> </w:t>
            </w:r>
            <w:r>
              <w:rPr>
                <w:rFonts w:ascii="Garamond" w:hAnsi="Garamond"/>
                <w:lang w:val="en-AU"/>
              </w:rPr>
              <w:t>(</w:t>
            </w:r>
            <w:r w:rsidRPr="00A45977">
              <w:rPr>
                <w:rFonts w:ascii="Garamond" w:hAnsi="Garamond"/>
                <w:lang w:val="en-AU"/>
              </w:rPr>
              <w:t>Gregory P Marchildon and Michael Sherar</w:t>
            </w:r>
            <w:r>
              <w:rPr>
                <w:rFonts w:ascii="Garamond" w:hAnsi="Garamond"/>
                <w:lang w:val="en-AU"/>
              </w:rPr>
              <w:t>)</w:t>
            </w:r>
          </w:p>
        </w:tc>
      </w:tr>
    </w:tbl>
    <w:p w:rsidR="00A45977" w:rsidRDefault="00A45977" w:rsidP="003E6A90">
      <w:pPr>
        <w:keepNext/>
        <w:keepLines/>
        <w:autoSpaceDE w:val="0"/>
        <w:autoSpaceDN w:val="0"/>
        <w:adjustRightInd w:val="0"/>
        <w:rPr>
          <w:rFonts w:ascii="Garamond" w:hAnsi="Garamond"/>
          <w:lang w:val="en-AU"/>
        </w:rPr>
      </w:pPr>
    </w:p>
    <w:p w:rsidR="00836E90" w:rsidRPr="00467B47" w:rsidRDefault="00836E90" w:rsidP="00836E90">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836E90" w:rsidRPr="00467B47" w:rsidTr="003363AE">
        <w:tc>
          <w:tcPr>
            <w:tcW w:w="1080" w:type="dxa"/>
            <w:tcBorders>
              <w:top w:val="single" w:sz="4" w:space="0" w:color="auto"/>
              <w:left w:val="single" w:sz="4" w:space="0" w:color="auto"/>
              <w:bottom w:val="single" w:sz="4" w:space="0" w:color="auto"/>
              <w:right w:val="single" w:sz="4" w:space="0" w:color="auto"/>
            </w:tcBorders>
            <w:vAlign w:val="center"/>
          </w:tcPr>
          <w:p w:rsidR="00836E90" w:rsidRPr="00467B47" w:rsidRDefault="00836E90" w:rsidP="003363AE">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36E90" w:rsidRPr="00467B47" w:rsidRDefault="00510822" w:rsidP="003363AE">
            <w:pPr>
              <w:keepNext/>
              <w:rPr>
                <w:rFonts w:ascii="Garamond" w:hAnsi="Garamond"/>
                <w:lang w:val="en-AU"/>
              </w:rPr>
            </w:pPr>
            <w:hyperlink r:id="rId31" w:history="1">
              <w:r w:rsidR="00836E90" w:rsidRPr="00ED00B3">
                <w:rPr>
                  <w:rStyle w:val="Hyperlink"/>
                  <w:rFonts w:ascii="Garamond" w:hAnsi="Garamond"/>
                  <w:lang w:val="en-AU"/>
                </w:rPr>
                <w:t>https://academic.oup.com/intqhc/advance-access</w:t>
              </w:r>
            </w:hyperlink>
          </w:p>
        </w:tc>
      </w:tr>
      <w:tr w:rsidR="00836E90" w:rsidRPr="00467B47" w:rsidTr="003363AE">
        <w:tc>
          <w:tcPr>
            <w:tcW w:w="1080" w:type="dxa"/>
            <w:tcBorders>
              <w:top w:val="single" w:sz="4" w:space="0" w:color="auto"/>
              <w:left w:val="single" w:sz="4" w:space="0" w:color="auto"/>
              <w:bottom w:val="single" w:sz="4" w:space="0" w:color="auto"/>
              <w:right w:val="single" w:sz="4" w:space="0" w:color="auto"/>
            </w:tcBorders>
            <w:vAlign w:val="center"/>
          </w:tcPr>
          <w:p w:rsidR="00836E90" w:rsidRPr="00467B47" w:rsidRDefault="00836E90" w:rsidP="003363AE">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36E90" w:rsidRPr="00467B47" w:rsidRDefault="00836E90" w:rsidP="003363AE">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836E90" w:rsidRPr="00313677" w:rsidRDefault="00836E90" w:rsidP="003363AE">
            <w:pPr>
              <w:pStyle w:val="ListParagraph"/>
              <w:numPr>
                <w:ilvl w:val="0"/>
                <w:numId w:val="14"/>
              </w:numPr>
              <w:jc w:val="both"/>
              <w:rPr>
                <w:rFonts w:ascii="Garamond" w:hAnsi="Garamond"/>
                <w:lang w:val="en-AU"/>
              </w:rPr>
            </w:pPr>
            <w:r w:rsidRPr="00313677">
              <w:rPr>
                <w:rFonts w:ascii="Garamond" w:hAnsi="Garamond"/>
                <w:b/>
                <w:lang w:val="en-AU"/>
              </w:rPr>
              <w:t>Automated extraction of quality indicators</w:t>
            </w:r>
            <w:r w:rsidRPr="00313677">
              <w:rPr>
                <w:rFonts w:ascii="Garamond" w:hAnsi="Garamond"/>
                <w:lang w:val="en-AU"/>
              </w:rPr>
              <w:t xml:space="preserve"> for treatment of children with complex developmental disorders: A feasibility study using the example of attention-deficit/hyperactivity disorder (Peter Borusiak; Karin A Hameister; Dennis Jozwiak; Inga M Saatz; Lutz Mathea</w:t>
            </w:r>
            <w:r>
              <w:rPr>
                <w:rFonts w:ascii="Garamond" w:hAnsi="Garamond"/>
                <w:lang w:val="en-AU"/>
              </w:rPr>
              <w:t xml:space="preserve">; </w:t>
            </w:r>
            <w:r w:rsidRPr="00313677">
              <w:rPr>
                <w:rFonts w:ascii="Garamond" w:hAnsi="Garamond"/>
                <w:lang w:val="en-AU"/>
              </w:rPr>
              <w:t>Stephan Schilling</w:t>
            </w:r>
            <w:r>
              <w:rPr>
                <w:rFonts w:ascii="Garamond" w:hAnsi="Garamond"/>
                <w:lang w:val="en-AU"/>
              </w:rPr>
              <w:t>;</w:t>
            </w:r>
            <w:r w:rsidRPr="00313677">
              <w:rPr>
                <w:rFonts w:ascii="Garamond" w:hAnsi="Garamond"/>
                <w:lang w:val="en-AU"/>
              </w:rPr>
              <w:t xml:space="preserve"> Johannes Buckard</w:t>
            </w:r>
            <w:r>
              <w:rPr>
                <w:rFonts w:ascii="Garamond" w:hAnsi="Garamond"/>
                <w:lang w:val="en-AU"/>
              </w:rPr>
              <w:t>;</w:t>
            </w:r>
            <w:r w:rsidRPr="00313677">
              <w:rPr>
                <w:rFonts w:ascii="Garamond" w:hAnsi="Garamond"/>
                <w:lang w:val="en-AU"/>
              </w:rPr>
              <w:t xml:space="preserve"> Armin Wegener</w:t>
            </w:r>
            <w:r>
              <w:rPr>
                <w:rFonts w:ascii="Garamond" w:hAnsi="Garamond"/>
                <w:lang w:val="en-AU"/>
              </w:rPr>
              <w:t>)</w:t>
            </w:r>
          </w:p>
          <w:p w:rsidR="00836E90" w:rsidRPr="00313677" w:rsidRDefault="00836E90" w:rsidP="003363AE">
            <w:pPr>
              <w:pStyle w:val="ListParagraph"/>
              <w:numPr>
                <w:ilvl w:val="0"/>
                <w:numId w:val="14"/>
              </w:numPr>
              <w:jc w:val="both"/>
              <w:rPr>
                <w:rFonts w:ascii="Garamond" w:hAnsi="Garamond"/>
                <w:lang w:val="en-AU"/>
              </w:rPr>
            </w:pPr>
            <w:r w:rsidRPr="00313677">
              <w:rPr>
                <w:rFonts w:ascii="Garamond" w:hAnsi="Garamond"/>
                <w:lang w:val="en-AU"/>
              </w:rPr>
              <w:t xml:space="preserve">Is a modified </w:t>
            </w:r>
            <w:r w:rsidRPr="00313677">
              <w:rPr>
                <w:rFonts w:ascii="Garamond" w:hAnsi="Garamond"/>
                <w:b/>
                <w:lang w:val="en-AU"/>
              </w:rPr>
              <w:t>Global Trigger Tool</w:t>
            </w:r>
            <w:r w:rsidRPr="00313677">
              <w:rPr>
                <w:rFonts w:ascii="Garamond" w:hAnsi="Garamond"/>
                <w:lang w:val="en-AU"/>
              </w:rPr>
              <w:t xml:space="preserve"> method using automatic trigger identification valid when measuring </w:t>
            </w:r>
            <w:r w:rsidRPr="00313677">
              <w:rPr>
                <w:rFonts w:ascii="Garamond" w:hAnsi="Garamond"/>
                <w:b/>
                <w:lang w:val="en-AU"/>
              </w:rPr>
              <w:t>adverse events</w:t>
            </w:r>
            <w:r w:rsidRPr="00313677">
              <w:rPr>
                <w:rFonts w:ascii="Garamond" w:hAnsi="Garamond"/>
                <w:lang w:val="en-AU"/>
              </w:rPr>
              <w:t>?: A comparison of review methods using automatic and manual trigger identification (Kjersti Mevik; Tonje E Hansen; Ellen C Deilkås; Alexander M Ringdal; Barthold Vonen</w:t>
            </w:r>
            <w:r>
              <w:rPr>
                <w:rFonts w:ascii="Garamond" w:hAnsi="Garamond"/>
                <w:lang w:val="en-AU"/>
              </w:rPr>
              <w:t>)</w:t>
            </w:r>
          </w:p>
          <w:p w:rsidR="00836E90" w:rsidRPr="00313677" w:rsidRDefault="00836E90" w:rsidP="003363AE">
            <w:pPr>
              <w:pStyle w:val="ListParagraph"/>
              <w:numPr>
                <w:ilvl w:val="0"/>
                <w:numId w:val="14"/>
              </w:numPr>
              <w:jc w:val="both"/>
              <w:rPr>
                <w:rFonts w:ascii="Garamond" w:hAnsi="Garamond"/>
                <w:lang w:val="en-AU"/>
              </w:rPr>
            </w:pPr>
            <w:r w:rsidRPr="00313677">
              <w:rPr>
                <w:rFonts w:ascii="Garamond" w:hAnsi="Garamond"/>
                <w:b/>
                <w:lang w:val="en-AU"/>
              </w:rPr>
              <w:t>Quality assessment indicators in antenatal care</w:t>
            </w:r>
            <w:r w:rsidRPr="00313677">
              <w:rPr>
                <w:rFonts w:ascii="Garamond" w:hAnsi="Garamond"/>
                <w:lang w:val="en-AU"/>
              </w:rPr>
              <w:t xml:space="preserve"> worldwide: a systematic review (Lina Sofia Morón-Duarte; Andrea Ramirez Varela; Omar Segura; Mariângela Freitas da Silveira</w:t>
            </w:r>
            <w:r>
              <w:rPr>
                <w:rFonts w:ascii="Garamond" w:hAnsi="Garamond"/>
                <w:lang w:val="en-AU"/>
              </w:rPr>
              <w:t>)</w:t>
            </w:r>
          </w:p>
          <w:p w:rsidR="00836E90" w:rsidRPr="00DA6435" w:rsidRDefault="00836E90" w:rsidP="003363AE">
            <w:pPr>
              <w:pStyle w:val="ListParagraph"/>
              <w:numPr>
                <w:ilvl w:val="0"/>
                <w:numId w:val="14"/>
              </w:numPr>
              <w:jc w:val="both"/>
              <w:rPr>
                <w:rFonts w:ascii="Garamond" w:hAnsi="Garamond"/>
                <w:lang w:val="en-AU"/>
              </w:rPr>
            </w:pPr>
            <w:r w:rsidRPr="00313677">
              <w:rPr>
                <w:rFonts w:ascii="Garamond" w:hAnsi="Garamond"/>
                <w:lang w:val="en-AU"/>
              </w:rPr>
              <w:t xml:space="preserve">Unstructured brainstorming is not enough: structured brainstorming based on four verification and validation questions yields </w:t>
            </w:r>
            <w:r w:rsidRPr="00313677">
              <w:rPr>
                <w:rFonts w:ascii="Garamond" w:hAnsi="Garamond"/>
                <w:b/>
                <w:lang w:val="en-AU"/>
              </w:rPr>
              <w:t>better hazard identification in healthcare</w:t>
            </w:r>
            <w:r w:rsidRPr="00313677">
              <w:rPr>
                <w:rFonts w:ascii="Garamond" w:hAnsi="Garamond"/>
                <w:lang w:val="en-AU"/>
              </w:rPr>
              <w:t xml:space="preserve"> </w:t>
            </w:r>
            <w:r>
              <w:rPr>
                <w:rFonts w:ascii="Garamond" w:hAnsi="Garamond"/>
                <w:lang w:val="en-AU"/>
              </w:rPr>
              <w:t>(</w:t>
            </w:r>
            <w:r w:rsidRPr="00313677">
              <w:rPr>
                <w:rFonts w:ascii="Garamond" w:hAnsi="Garamond"/>
                <w:lang w:val="en-AU"/>
              </w:rPr>
              <w:t>Ayala Kobo-Greenhut; Haim Reuveni; Izhar Ben Shlomo; Racheli Megnezi</w:t>
            </w:r>
            <w:r>
              <w:rPr>
                <w:rFonts w:ascii="Garamond" w:hAnsi="Garamond"/>
                <w:lang w:val="en-AU"/>
              </w:rPr>
              <w:t>)</w:t>
            </w:r>
          </w:p>
        </w:tc>
      </w:tr>
    </w:tbl>
    <w:p w:rsidR="00836E90" w:rsidRDefault="00836E90" w:rsidP="00836E90">
      <w:pPr>
        <w:rPr>
          <w:rFonts w:ascii="Garamond" w:hAnsi="Garamond"/>
          <w:lang w:val="en-AU"/>
        </w:rPr>
      </w:pPr>
    </w:p>
    <w:p w:rsidR="001C0CF1" w:rsidRPr="00467B47" w:rsidRDefault="001C0CF1" w:rsidP="001C0CF1">
      <w:pPr>
        <w:keepNext/>
        <w:rPr>
          <w:rFonts w:ascii="Garamond" w:hAnsi="Garamond"/>
          <w:lang w:val="en-AU"/>
        </w:rPr>
      </w:pPr>
      <w:r w:rsidRPr="00467B47">
        <w:rPr>
          <w:rFonts w:ascii="Garamond" w:hAnsi="Garamond"/>
          <w:i/>
          <w:lang w:val="en-AU"/>
        </w:rPr>
        <w:lastRenderedPageBreak/>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C0CF1" w:rsidRPr="00467B47" w:rsidTr="00836E90">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C0CF1" w:rsidRPr="00467B47" w:rsidRDefault="00510822" w:rsidP="00900052">
            <w:pPr>
              <w:keepNext/>
              <w:rPr>
                <w:rFonts w:ascii="Garamond" w:hAnsi="Garamond"/>
                <w:lang w:val="en-AU"/>
              </w:rPr>
            </w:pPr>
            <w:hyperlink r:id="rId32" w:history="1">
              <w:r w:rsidR="001C0CF1" w:rsidRPr="00467B47">
                <w:rPr>
                  <w:rStyle w:val="Hyperlink"/>
                  <w:rFonts w:ascii="Garamond" w:hAnsi="Garamond"/>
                  <w:lang w:val="en-AU"/>
                </w:rPr>
                <w:t>https://qualitysafety.bmj.com/content/early/recent</w:t>
              </w:r>
            </w:hyperlink>
          </w:p>
        </w:tc>
      </w:tr>
      <w:tr w:rsidR="001C0CF1" w:rsidRPr="00467B47" w:rsidTr="00040018">
        <w:trPr>
          <w:trHeight w:val="6240"/>
        </w:trPr>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C0CF1" w:rsidRPr="00467B47" w:rsidRDefault="001C0CF1" w:rsidP="00900052">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836E90" w:rsidRDefault="00836E90" w:rsidP="00313677">
            <w:pPr>
              <w:pStyle w:val="ListParagraph"/>
              <w:numPr>
                <w:ilvl w:val="0"/>
                <w:numId w:val="14"/>
              </w:numPr>
              <w:rPr>
                <w:rFonts w:ascii="Garamond" w:hAnsi="Garamond"/>
                <w:lang w:val="en-AU"/>
              </w:rPr>
            </w:pPr>
            <w:r w:rsidRPr="00B93713">
              <w:rPr>
                <w:rFonts w:ascii="Garamond" w:hAnsi="Garamond"/>
                <w:lang w:val="en-AU"/>
              </w:rPr>
              <w:t xml:space="preserve">Editorial: Research paradigm that tackles the complexity of in situ care: </w:t>
            </w:r>
            <w:r w:rsidRPr="00B93713">
              <w:rPr>
                <w:rFonts w:ascii="Garamond" w:hAnsi="Garamond"/>
                <w:b/>
                <w:lang w:val="en-AU"/>
              </w:rPr>
              <w:t>video reflexivity</w:t>
            </w:r>
            <w:r w:rsidRPr="00B93713">
              <w:rPr>
                <w:rFonts w:ascii="Garamond" w:hAnsi="Garamond"/>
                <w:lang w:val="en-AU"/>
              </w:rPr>
              <w:t xml:space="preserve"> (Rick Iedema)</w:t>
            </w:r>
          </w:p>
          <w:p w:rsidR="00313677" w:rsidRPr="00313677" w:rsidRDefault="00313677" w:rsidP="00313677">
            <w:pPr>
              <w:pStyle w:val="ListParagraph"/>
              <w:numPr>
                <w:ilvl w:val="0"/>
                <w:numId w:val="14"/>
              </w:numPr>
              <w:rPr>
                <w:rFonts w:ascii="Garamond" w:hAnsi="Garamond"/>
                <w:lang w:val="en-AU"/>
              </w:rPr>
            </w:pPr>
            <w:r w:rsidRPr="00313677">
              <w:rPr>
                <w:rFonts w:ascii="Garamond" w:hAnsi="Garamond"/>
                <w:lang w:val="en-AU"/>
              </w:rPr>
              <w:t xml:space="preserve">Editorial: </w:t>
            </w:r>
            <w:r w:rsidRPr="00313677">
              <w:rPr>
                <w:rFonts w:ascii="Garamond" w:hAnsi="Garamond"/>
                <w:b/>
                <w:lang w:val="en-AU"/>
              </w:rPr>
              <w:t>Mortality alerts, actions taken and declining mortality</w:t>
            </w:r>
            <w:r w:rsidRPr="00313677">
              <w:rPr>
                <w:rFonts w:ascii="Garamond" w:hAnsi="Garamond"/>
                <w:lang w:val="en-AU"/>
              </w:rPr>
              <w:t>: true effect or regression to the mean? (Perla J Marang-van de Mheen, Gary A Abel, Kaveh G Shojania</w:t>
            </w:r>
            <w:r>
              <w:rPr>
                <w:rFonts w:ascii="Garamond" w:hAnsi="Garamond"/>
                <w:lang w:val="en-AU"/>
              </w:rPr>
              <w:t>)</w:t>
            </w:r>
          </w:p>
          <w:p w:rsidR="00313677" w:rsidRPr="00313677" w:rsidRDefault="00313677" w:rsidP="00313677">
            <w:pPr>
              <w:pStyle w:val="ListParagraph"/>
              <w:numPr>
                <w:ilvl w:val="0"/>
                <w:numId w:val="14"/>
              </w:numPr>
              <w:rPr>
                <w:rFonts w:ascii="Garamond" w:hAnsi="Garamond"/>
                <w:lang w:val="en-AU"/>
              </w:rPr>
            </w:pPr>
            <w:r w:rsidRPr="00313677">
              <w:rPr>
                <w:rFonts w:ascii="Garamond" w:hAnsi="Garamond"/>
                <w:lang w:val="en-AU"/>
              </w:rPr>
              <w:t xml:space="preserve">Effectiveness of a multistate quality improvement campaign in reducing risk of </w:t>
            </w:r>
            <w:r w:rsidRPr="00313677">
              <w:rPr>
                <w:rFonts w:ascii="Garamond" w:hAnsi="Garamond"/>
                <w:b/>
                <w:lang w:val="en-AU"/>
              </w:rPr>
              <w:t>surgical site infections following hip and knee arthroplasty</w:t>
            </w:r>
            <w:r w:rsidRPr="00313677">
              <w:rPr>
                <w:rFonts w:ascii="Garamond" w:hAnsi="Garamond"/>
                <w:lang w:val="en-AU"/>
              </w:rPr>
              <w:t xml:space="preserve"> (Michael S Calderwood, Deborah S Yokoe, Michael V Murphy, Katherine O DeBartolo, Kathy Duncan, C Chan, E C Schneider, G Parry, D Goldmann, S Huang</w:t>
            </w:r>
            <w:r>
              <w:rPr>
                <w:rFonts w:ascii="Garamond" w:hAnsi="Garamond"/>
                <w:lang w:val="en-AU"/>
              </w:rPr>
              <w:t>)</w:t>
            </w:r>
          </w:p>
          <w:p w:rsidR="00313677" w:rsidRPr="00313677" w:rsidRDefault="00313677" w:rsidP="00313677">
            <w:pPr>
              <w:pStyle w:val="ListParagraph"/>
              <w:numPr>
                <w:ilvl w:val="0"/>
                <w:numId w:val="14"/>
              </w:numPr>
              <w:rPr>
                <w:rFonts w:ascii="Garamond" w:hAnsi="Garamond"/>
                <w:lang w:val="en-AU"/>
              </w:rPr>
            </w:pPr>
            <w:r w:rsidRPr="00313677">
              <w:rPr>
                <w:rFonts w:ascii="Garamond" w:hAnsi="Garamond"/>
                <w:b/>
                <w:lang w:val="en-AU"/>
              </w:rPr>
              <w:t>National hospital mortality surveillance system</w:t>
            </w:r>
            <w:r w:rsidRPr="00313677">
              <w:rPr>
                <w:rFonts w:ascii="Garamond" w:hAnsi="Garamond"/>
                <w:lang w:val="en-AU"/>
              </w:rPr>
              <w:t>: a descriptive analysis (Elizabeth Cecil, Samantha Wilkinson, Alex Bottle, Aneez Esmail, Charles Vincent, Paul P Aylin</w:t>
            </w:r>
            <w:r>
              <w:rPr>
                <w:rFonts w:ascii="Garamond" w:hAnsi="Garamond"/>
                <w:lang w:val="en-AU"/>
              </w:rPr>
              <w:t>)</w:t>
            </w:r>
          </w:p>
          <w:p w:rsidR="00417B5E" w:rsidRDefault="00313677" w:rsidP="00313677">
            <w:pPr>
              <w:pStyle w:val="ListParagraph"/>
              <w:numPr>
                <w:ilvl w:val="0"/>
                <w:numId w:val="14"/>
              </w:numPr>
              <w:rPr>
                <w:rFonts w:ascii="Garamond" w:hAnsi="Garamond"/>
                <w:lang w:val="en-AU"/>
              </w:rPr>
            </w:pPr>
            <w:r w:rsidRPr="00313677">
              <w:rPr>
                <w:rFonts w:ascii="Garamond" w:hAnsi="Garamond"/>
                <w:lang w:val="en-AU"/>
              </w:rPr>
              <w:t xml:space="preserve">Editorial: </w:t>
            </w:r>
            <w:r w:rsidRPr="00313677">
              <w:rPr>
                <w:rFonts w:ascii="Garamond" w:hAnsi="Garamond"/>
                <w:b/>
                <w:lang w:val="en-AU"/>
              </w:rPr>
              <w:t>EHR-related alert fatigue</w:t>
            </w:r>
            <w:r w:rsidRPr="00313677">
              <w:rPr>
                <w:rFonts w:ascii="Garamond" w:hAnsi="Garamond"/>
                <w:lang w:val="en-AU"/>
              </w:rPr>
              <w:t xml:space="preserve">: minimal progress to date, but much more can be done </w:t>
            </w:r>
            <w:r>
              <w:rPr>
                <w:rFonts w:ascii="Garamond" w:hAnsi="Garamond"/>
                <w:lang w:val="en-AU"/>
              </w:rPr>
              <w:t>(</w:t>
            </w:r>
            <w:r w:rsidRPr="00313677">
              <w:rPr>
                <w:rFonts w:ascii="Garamond" w:hAnsi="Garamond"/>
                <w:lang w:val="en-AU"/>
              </w:rPr>
              <w:t>Thomas H Payne</w:t>
            </w:r>
            <w:r>
              <w:rPr>
                <w:rFonts w:ascii="Garamond" w:hAnsi="Garamond"/>
                <w:lang w:val="en-AU"/>
              </w:rPr>
              <w:t>)</w:t>
            </w:r>
          </w:p>
          <w:p w:rsidR="00DF7AC0" w:rsidRPr="00DF7AC0" w:rsidRDefault="00DF7AC0" w:rsidP="00DF7AC0">
            <w:pPr>
              <w:pStyle w:val="ListParagraph"/>
              <w:numPr>
                <w:ilvl w:val="0"/>
                <w:numId w:val="14"/>
              </w:numPr>
              <w:rPr>
                <w:rFonts w:ascii="Garamond" w:hAnsi="Garamond"/>
                <w:lang w:val="en-AU"/>
              </w:rPr>
            </w:pPr>
            <w:r w:rsidRPr="00DF7AC0">
              <w:rPr>
                <w:rFonts w:ascii="Garamond" w:hAnsi="Garamond"/>
                <w:b/>
                <w:lang w:val="en-AU"/>
              </w:rPr>
              <w:t>Impact of decision aids</w:t>
            </w:r>
            <w:r w:rsidRPr="00DF7AC0">
              <w:rPr>
                <w:rFonts w:ascii="Garamond" w:hAnsi="Garamond"/>
                <w:lang w:val="en-AU"/>
              </w:rPr>
              <w:t xml:space="preserve"> used during clinical encounters on clinician outcomes and consultation length: a systematic review (Claudia Caroline Dobler, Manuel Sanchez, Michael R Gionfriddo, Neri A Alvarez-Villalobos, Naykky Singh Ospina, Gabriela Spencer-Bonilla, Bjorg Thorsteinsdottir, Raed Benkhadra, Patricia J Erwin, C P West, J P Brito, M H Murad, V M M</w:t>
            </w:r>
            <w:r>
              <w:rPr>
                <w:rFonts w:ascii="Garamond" w:hAnsi="Garamond"/>
                <w:lang w:val="en-AU"/>
              </w:rPr>
              <w:t>ontori)</w:t>
            </w:r>
          </w:p>
          <w:p w:rsidR="00DF7AC0" w:rsidRDefault="00DF7AC0" w:rsidP="00DF7AC0">
            <w:pPr>
              <w:pStyle w:val="ListParagraph"/>
              <w:numPr>
                <w:ilvl w:val="0"/>
                <w:numId w:val="14"/>
              </w:numPr>
              <w:rPr>
                <w:rFonts w:ascii="Garamond" w:hAnsi="Garamond"/>
                <w:lang w:val="en-AU"/>
              </w:rPr>
            </w:pPr>
            <w:r w:rsidRPr="00DF7AC0">
              <w:rPr>
                <w:rFonts w:ascii="Garamond" w:hAnsi="Garamond"/>
                <w:lang w:val="en-AU"/>
              </w:rPr>
              <w:t xml:space="preserve">Sicker patients account for the </w:t>
            </w:r>
            <w:r w:rsidRPr="00DF7AC0">
              <w:rPr>
                <w:rFonts w:ascii="Garamond" w:hAnsi="Garamond"/>
                <w:b/>
                <w:lang w:val="en-AU"/>
              </w:rPr>
              <w:t>weekend mortality effect</w:t>
            </w:r>
            <w:r w:rsidRPr="00DF7AC0">
              <w:rPr>
                <w:rFonts w:ascii="Garamond" w:hAnsi="Garamond"/>
                <w:lang w:val="en-AU"/>
              </w:rPr>
              <w:t xml:space="preserve"> among adult emergency admiss</w:t>
            </w:r>
            <w:r>
              <w:rPr>
                <w:rFonts w:ascii="Garamond" w:hAnsi="Garamond"/>
                <w:lang w:val="en-AU"/>
              </w:rPr>
              <w:t>ions to a large hospital trust (</w:t>
            </w:r>
            <w:r w:rsidRPr="00DF7AC0">
              <w:rPr>
                <w:rFonts w:ascii="Garamond" w:hAnsi="Garamond"/>
                <w:lang w:val="en-AU"/>
              </w:rPr>
              <w:t>Jianxia Sun, Alan J Girling, Cassie Aldridge, F Evison, C Beet, A Boyal, G Rudge, R J Lilford, J Bion</w:t>
            </w:r>
            <w:r>
              <w:rPr>
                <w:rFonts w:ascii="Garamond" w:hAnsi="Garamond"/>
                <w:lang w:val="en-AU"/>
              </w:rPr>
              <w:t>)</w:t>
            </w:r>
          </w:p>
          <w:p w:rsidR="00B93713" w:rsidRPr="00B93713" w:rsidRDefault="00B93713" w:rsidP="00B93713">
            <w:pPr>
              <w:pStyle w:val="ListParagraph"/>
              <w:numPr>
                <w:ilvl w:val="0"/>
                <w:numId w:val="14"/>
              </w:numPr>
              <w:rPr>
                <w:rFonts w:ascii="Garamond" w:hAnsi="Garamond"/>
                <w:lang w:val="en-AU"/>
              </w:rPr>
            </w:pPr>
            <w:r w:rsidRPr="00B93713">
              <w:rPr>
                <w:rFonts w:ascii="Garamond" w:hAnsi="Garamond"/>
                <w:lang w:val="en-AU"/>
              </w:rPr>
              <w:t xml:space="preserve">Work-life balance behaviours cluster in work settings and relate to </w:t>
            </w:r>
            <w:r w:rsidRPr="00B93713">
              <w:rPr>
                <w:rFonts w:ascii="Garamond" w:hAnsi="Garamond"/>
                <w:b/>
                <w:lang w:val="en-AU"/>
              </w:rPr>
              <w:t>burnout and safety culture</w:t>
            </w:r>
            <w:r w:rsidRPr="00B93713">
              <w:rPr>
                <w:rFonts w:ascii="Garamond" w:hAnsi="Garamond"/>
                <w:lang w:val="en-AU"/>
              </w:rPr>
              <w:t>: a cross-sectional survey analysis (Stephanie P Schwartz, Kathryn C Adair, J Bae, K J Rehder, T D Shanafelt, J Profit, J B Sexton</w:t>
            </w:r>
            <w:r>
              <w:rPr>
                <w:rFonts w:ascii="Garamond" w:hAnsi="Garamond"/>
                <w:lang w:val="en-AU"/>
              </w:rPr>
              <w:t>)</w:t>
            </w:r>
          </w:p>
          <w:p w:rsidR="00836E90" w:rsidRPr="00B93713" w:rsidRDefault="00B93713" w:rsidP="00836E90">
            <w:pPr>
              <w:pStyle w:val="ListParagraph"/>
              <w:numPr>
                <w:ilvl w:val="0"/>
                <w:numId w:val="14"/>
              </w:numPr>
              <w:rPr>
                <w:rFonts w:ascii="Garamond" w:hAnsi="Garamond"/>
                <w:lang w:val="en-AU"/>
              </w:rPr>
            </w:pPr>
            <w:r w:rsidRPr="00B93713">
              <w:rPr>
                <w:rFonts w:ascii="Garamond" w:hAnsi="Garamond"/>
                <w:b/>
                <w:lang w:val="en-AU"/>
              </w:rPr>
              <w:t>Measuring the teamwork performance</w:t>
            </w:r>
            <w:r w:rsidRPr="00B93713">
              <w:rPr>
                <w:rFonts w:ascii="Garamond" w:hAnsi="Garamond"/>
                <w:lang w:val="en-AU"/>
              </w:rPr>
              <w:t xml:space="preserve"> of teams in crisis situations: a systematic review of assessment tools and their measurement properties (Sylvain Boet, Nicole Etherington, Sarah Larrigan, Li Yin, Hira Khan, Katrina Sullivan, James J Jung, Teodor P Grantcharov</w:t>
            </w:r>
            <w:r>
              <w:rPr>
                <w:rFonts w:ascii="Garamond" w:hAnsi="Garamond"/>
                <w:lang w:val="en-AU"/>
              </w:rPr>
              <w:t>)</w:t>
            </w:r>
          </w:p>
        </w:tc>
      </w:tr>
    </w:tbl>
    <w:p w:rsidR="00D46F19" w:rsidRDefault="00D46F19" w:rsidP="008F5418">
      <w:pPr>
        <w:keepNext/>
        <w:rPr>
          <w:rFonts w:ascii="Garamond" w:hAnsi="Garamond"/>
          <w:i/>
          <w:lang w:val="en-AU"/>
        </w:rPr>
      </w:pPr>
    </w:p>
    <w:p w:rsidR="00E7643F" w:rsidRDefault="001C0CF1" w:rsidP="00070CFE">
      <w:pPr>
        <w:rPr>
          <w:rFonts w:ascii="Garamond" w:hAnsi="Garamond"/>
          <w:b/>
          <w:lang w:val="en-AU"/>
        </w:rPr>
      </w:pPr>
      <w:r w:rsidRPr="001C0CF1">
        <w:rPr>
          <w:rFonts w:ascii="Garamond" w:hAnsi="Garamond"/>
          <w:b/>
          <w:lang w:val="en-AU"/>
        </w:rPr>
        <w:t>Online resources</w:t>
      </w:r>
    </w:p>
    <w:p w:rsidR="00836E90" w:rsidRPr="001C0CF1" w:rsidRDefault="00836E90" w:rsidP="00070CFE">
      <w:pPr>
        <w:rPr>
          <w:rFonts w:ascii="Garamond" w:hAnsi="Garamond"/>
          <w:b/>
          <w:lang w:val="en-AU"/>
        </w:rPr>
      </w:pPr>
    </w:p>
    <w:p w:rsidR="00040018" w:rsidRPr="000170DA" w:rsidRDefault="00040018" w:rsidP="00040018">
      <w:pPr>
        <w:keepNext/>
        <w:keepLines/>
        <w:rPr>
          <w:rFonts w:ascii="Garamond" w:hAnsi="Garamond"/>
          <w:i/>
          <w:lang w:val="en-AU"/>
        </w:rPr>
      </w:pPr>
      <w:r w:rsidRPr="000170DA">
        <w:rPr>
          <w:rFonts w:ascii="Garamond" w:hAnsi="Garamond"/>
          <w:i/>
          <w:lang w:val="en-AU"/>
        </w:rPr>
        <w:t>[USA] Effective Health Care Program reports</w:t>
      </w:r>
    </w:p>
    <w:bookmarkStart w:id="1" w:name="_GoBack"/>
    <w:p w:rsidR="00040018" w:rsidRPr="000170DA" w:rsidRDefault="00510822" w:rsidP="00040018">
      <w:pPr>
        <w:keepNext/>
        <w:keepLines/>
        <w:rPr>
          <w:rFonts w:ascii="Garamond" w:hAnsi="Garamond"/>
          <w:u w:val="single"/>
          <w:lang w:val="en-AU"/>
        </w:rPr>
      </w:pPr>
      <w:r>
        <w:fldChar w:fldCharType="begin"/>
      </w:r>
      <w:r>
        <w:instrText xml:space="preserve"> HYPERLINK "https://effectivehealthcare.ahrq.gov/" </w:instrText>
      </w:r>
      <w:r>
        <w:fldChar w:fldCharType="separate"/>
      </w:r>
      <w:r w:rsidR="00040018" w:rsidRPr="000170DA">
        <w:rPr>
          <w:rStyle w:val="Hyperlink"/>
          <w:rFonts w:ascii="Garamond" w:hAnsi="Garamond"/>
          <w:lang w:val="en-AU"/>
        </w:rPr>
        <w:t>https://effectivehealthcare.ahrq.gov/</w:t>
      </w:r>
      <w:r>
        <w:rPr>
          <w:rStyle w:val="Hyperlink"/>
          <w:rFonts w:ascii="Garamond" w:hAnsi="Garamond"/>
          <w:lang w:val="en-AU"/>
        </w:rPr>
        <w:fldChar w:fldCharType="end"/>
      </w:r>
    </w:p>
    <w:p w:rsidR="00040018" w:rsidRDefault="00040018" w:rsidP="00040018">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040018" w:rsidRDefault="00040018" w:rsidP="00040018">
      <w:pPr>
        <w:pStyle w:val="ListParagraph"/>
        <w:keepNext/>
        <w:keepLines/>
        <w:numPr>
          <w:ilvl w:val="0"/>
          <w:numId w:val="14"/>
        </w:numPr>
        <w:rPr>
          <w:rFonts w:ascii="Garamond" w:hAnsi="Garamond"/>
          <w:lang w:val="en-AU"/>
        </w:rPr>
      </w:pPr>
      <w:r w:rsidRPr="00040018">
        <w:rPr>
          <w:rFonts w:ascii="Garamond" w:hAnsi="Garamond"/>
          <w:i/>
          <w:lang w:val="en-AU"/>
        </w:rPr>
        <w:t xml:space="preserve">EPC Pilot Project: A Dual Approach </w:t>
      </w:r>
      <w:proofErr w:type="gramStart"/>
      <w:r w:rsidRPr="00040018">
        <w:rPr>
          <w:rFonts w:ascii="Garamond" w:hAnsi="Garamond"/>
          <w:i/>
          <w:lang w:val="en-AU"/>
        </w:rPr>
        <w:t>To</w:t>
      </w:r>
      <w:proofErr w:type="gramEnd"/>
      <w:r w:rsidRPr="00040018">
        <w:rPr>
          <w:rFonts w:ascii="Garamond" w:hAnsi="Garamond"/>
          <w:i/>
          <w:lang w:val="en-AU"/>
        </w:rPr>
        <w:t xml:space="preserve"> Facilitate </w:t>
      </w:r>
      <w:r w:rsidRPr="00040018">
        <w:rPr>
          <w:rFonts w:ascii="Garamond" w:hAnsi="Garamond"/>
          <w:b/>
          <w:i/>
          <w:lang w:val="en-AU"/>
        </w:rPr>
        <w:t>Health Systems Uptake of Evidence</w:t>
      </w:r>
      <w:r w:rsidRPr="00040018">
        <w:rPr>
          <w:rFonts w:ascii="Garamond" w:hAnsi="Garamond"/>
          <w:i/>
          <w:lang w:val="en-AU"/>
        </w:rPr>
        <w:t xml:space="preserve"> Synthesis Reports. </w:t>
      </w:r>
      <w:r w:rsidRPr="00040018">
        <w:rPr>
          <w:rFonts w:ascii="Garamond" w:hAnsi="Garamond"/>
          <w:b/>
          <w:i/>
          <w:lang w:val="en-AU"/>
        </w:rPr>
        <w:t>Anxiety in Children</w:t>
      </w:r>
      <w:r>
        <w:rPr>
          <w:rFonts w:ascii="Garamond" w:hAnsi="Garamond"/>
          <w:lang w:val="en-AU"/>
        </w:rPr>
        <w:br/>
      </w:r>
      <w:hyperlink r:id="rId33" w:history="1">
        <w:r w:rsidR="00510822" w:rsidRPr="00A66102">
          <w:rPr>
            <w:rStyle w:val="Hyperlink"/>
            <w:rFonts w:ascii="Garamond" w:hAnsi="Garamond"/>
            <w:lang w:val="en-AU"/>
          </w:rPr>
          <w:t>https://effectivehealthcare.ahrq.gov/topics/anxiety-children/methods-report</w:t>
        </w:r>
      </w:hyperlink>
    </w:p>
    <w:bookmarkEnd w:id="1"/>
    <w:p w:rsidR="00040018" w:rsidRPr="000170DA" w:rsidRDefault="00040018" w:rsidP="00040018">
      <w:pPr>
        <w:keepNext/>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4"/>
      <w:footerReference w:type="default" r:id="rId3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A8B" w:rsidRDefault="00044A8B">
      <w:r>
        <w:separator/>
      </w:r>
    </w:p>
  </w:endnote>
  <w:endnote w:type="continuationSeparator" w:id="0">
    <w:p w:rsidR="00044A8B" w:rsidRDefault="0004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8B" w:rsidRDefault="00044A8B"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10822">
      <w:rPr>
        <w:rStyle w:val="PageNumber"/>
        <w:noProof/>
      </w:rPr>
      <w:t>8</w:t>
    </w:r>
    <w:r>
      <w:rPr>
        <w:rStyle w:val="PageNumber"/>
      </w:rPr>
      <w:fldChar w:fldCharType="end"/>
    </w:r>
  </w:p>
  <w:p w:rsidR="00044A8B" w:rsidRPr="001E78F0" w:rsidRDefault="00044A8B"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39</w:t>
    </w:r>
    <w:r w:rsidR="00C8358F">
      <w:rPr>
        <w:rFonts w:ascii="Garamond" w:hAnsi="Garamond"/>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8B" w:rsidRPr="001E78F0" w:rsidRDefault="00044A8B"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510822">
      <w:rPr>
        <w:rStyle w:val="PageNumber"/>
        <w:rFonts w:ascii="Garamond" w:hAnsi="Garamond"/>
        <w:noProof/>
      </w:rPr>
      <w:t>9</w:t>
    </w:r>
    <w:r w:rsidRPr="001E78F0">
      <w:rPr>
        <w:rStyle w:val="PageNumber"/>
        <w:rFonts w:ascii="Garamond" w:hAnsi="Garamond"/>
      </w:rPr>
      <w:fldChar w:fldCharType="end"/>
    </w:r>
  </w:p>
  <w:p w:rsidR="00044A8B" w:rsidRPr="001E78F0" w:rsidRDefault="00044A8B"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39</w:t>
    </w:r>
    <w:r w:rsidR="00C8358F">
      <w:rPr>
        <w:rFonts w:ascii="Garamond" w:hAnsi="Garamon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A8B" w:rsidRDefault="00044A8B">
      <w:r>
        <w:separator/>
      </w:r>
    </w:p>
  </w:footnote>
  <w:footnote w:type="continuationSeparator" w:id="0">
    <w:p w:rsidR="00044A8B" w:rsidRDefault="00044A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4A37D7"/>
    <w:multiLevelType w:val="hybridMultilevel"/>
    <w:tmpl w:val="D52ED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ED6640E"/>
    <w:multiLevelType w:val="hybridMultilevel"/>
    <w:tmpl w:val="7DF0F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12A1BF8"/>
    <w:multiLevelType w:val="hybridMultilevel"/>
    <w:tmpl w:val="5CBC1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4BF247B"/>
    <w:multiLevelType w:val="hybridMultilevel"/>
    <w:tmpl w:val="5E7E7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8AA5733"/>
    <w:multiLevelType w:val="hybridMultilevel"/>
    <w:tmpl w:val="FD180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09A64BC"/>
    <w:multiLevelType w:val="hybridMultilevel"/>
    <w:tmpl w:val="83921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329098F"/>
    <w:multiLevelType w:val="hybridMultilevel"/>
    <w:tmpl w:val="DAC2D74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7">
    <w:nsid w:val="296546F3"/>
    <w:multiLevelType w:val="hybridMultilevel"/>
    <w:tmpl w:val="46DCB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1E608CC"/>
    <w:multiLevelType w:val="hybridMultilevel"/>
    <w:tmpl w:val="7A360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A951E6D"/>
    <w:multiLevelType w:val="hybridMultilevel"/>
    <w:tmpl w:val="D3BC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BF63F5"/>
    <w:multiLevelType w:val="hybridMultilevel"/>
    <w:tmpl w:val="8CA05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25B58A0"/>
    <w:multiLevelType w:val="hybridMultilevel"/>
    <w:tmpl w:val="758C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4262B8A"/>
    <w:multiLevelType w:val="hybridMultilevel"/>
    <w:tmpl w:val="32E6F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8B4362"/>
    <w:multiLevelType w:val="hybridMultilevel"/>
    <w:tmpl w:val="6D5CF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C212F10"/>
    <w:multiLevelType w:val="hybridMultilevel"/>
    <w:tmpl w:val="89449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E506EE6"/>
    <w:multiLevelType w:val="hybridMultilevel"/>
    <w:tmpl w:val="96F4A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1EA2693"/>
    <w:multiLevelType w:val="hybridMultilevel"/>
    <w:tmpl w:val="17580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46B32EB"/>
    <w:multiLevelType w:val="hybridMultilevel"/>
    <w:tmpl w:val="60283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4BF304A"/>
    <w:multiLevelType w:val="hybridMultilevel"/>
    <w:tmpl w:val="940E5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F0D2370"/>
    <w:multiLevelType w:val="hybridMultilevel"/>
    <w:tmpl w:val="4E103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9A22134"/>
    <w:multiLevelType w:val="hybridMultilevel"/>
    <w:tmpl w:val="FD38D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21"/>
  </w:num>
  <w:num w:numId="15">
    <w:abstractNumId w:val="22"/>
  </w:num>
  <w:num w:numId="16">
    <w:abstractNumId w:val="12"/>
  </w:num>
  <w:num w:numId="17">
    <w:abstractNumId w:val="15"/>
  </w:num>
  <w:num w:numId="18">
    <w:abstractNumId w:val="31"/>
  </w:num>
  <w:num w:numId="19">
    <w:abstractNumId w:val="29"/>
  </w:num>
  <w:num w:numId="20">
    <w:abstractNumId w:val="18"/>
  </w:num>
  <w:num w:numId="21">
    <w:abstractNumId w:val="14"/>
  </w:num>
  <w:num w:numId="22">
    <w:abstractNumId w:val="10"/>
  </w:num>
  <w:num w:numId="23">
    <w:abstractNumId w:val="19"/>
  </w:num>
  <w:num w:numId="24">
    <w:abstractNumId w:val="23"/>
  </w:num>
  <w:num w:numId="25">
    <w:abstractNumId w:val="13"/>
  </w:num>
  <w:num w:numId="26">
    <w:abstractNumId w:val="33"/>
  </w:num>
  <w:num w:numId="27">
    <w:abstractNumId w:val="28"/>
  </w:num>
  <w:num w:numId="28">
    <w:abstractNumId w:val="17"/>
  </w:num>
  <w:num w:numId="29">
    <w:abstractNumId w:val="11"/>
  </w:num>
  <w:num w:numId="30">
    <w:abstractNumId w:val="25"/>
  </w:num>
  <w:num w:numId="31">
    <w:abstractNumId w:val="30"/>
  </w:num>
  <w:num w:numId="32">
    <w:abstractNumId w:val="26"/>
  </w:num>
  <w:num w:numId="33">
    <w:abstractNumId w:val="16"/>
  </w:num>
  <w:num w:numId="34">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19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A1C"/>
    <w:rsid w:val="00004CB5"/>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925"/>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917"/>
    <w:rsid w:val="00032B41"/>
    <w:rsid w:val="00032BD7"/>
    <w:rsid w:val="00032C75"/>
    <w:rsid w:val="0003319C"/>
    <w:rsid w:val="000331B2"/>
    <w:rsid w:val="0003320D"/>
    <w:rsid w:val="000333A7"/>
    <w:rsid w:val="000334B0"/>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18"/>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900"/>
    <w:rsid w:val="00047AF4"/>
    <w:rsid w:val="00047B64"/>
    <w:rsid w:val="00047C44"/>
    <w:rsid w:val="00047D8A"/>
    <w:rsid w:val="00047DE3"/>
    <w:rsid w:val="00047E39"/>
    <w:rsid w:val="00047F42"/>
    <w:rsid w:val="00050848"/>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C2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87D62"/>
    <w:rsid w:val="000905A0"/>
    <w:rsid w:val="000906BC"/>
    <w:rsid w:val="00090868"/>
    <w:rsid w:val="00090A55"/>
    <w:rsid w:val="00090B02"/>
    <w:rsid w:val="0009119F"/>
    <w:rsid w:val="000911D9"/>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595"/>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C1A"/>
    <w:rsid w:val="000F1E80"/>
    <w:rsid w:val="000F1FD1"/>
    <w:rsid w:val="000F2054"/>
    <w:rsid w:val="000F214D"/>
    <w:rsid w:val="000F2187"/>
    <w:rsid w:val="000F22A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0F8"/>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1DE"/>
    <w:rsid w:val="001873D0"/>
    <w:rsid w:val="00187569"/>
    <w:rsid w:val="00187BCA"/>
    <w:rsid w:val="00187CCE"/>
    <w:rsid w:val="00187F57"/>
    <w:rsid w:val="00187FFE"/>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72D"/>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016"/>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1F2B"/>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4E"/>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04C"/>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8F"/>
    <w:rsid w:val="00241CDB"/>
    <w:rsid w:val="00241E34"/>
    <w:rsid w:val="00241F88"/>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5C7"/>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31B"/>
    <w:rsid w:val="00313534"/>
    <w:rsid w:val="00313677"/>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28"/>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6BF"/>
    <w:rsid w:val="0035270B"/>
    <w:rsid w:val="00352A80"/>
    <w:rsid w:val="00352A9B"/>
    <w:rsid w:val="00352EE4"/>
    <w:rsid w:val="00353026"/>
    <w:rsid w:val="00353533"/>
    <w:rsid w:val="003537CA"/>
    <w:rsid w:val="00353AAC"/>
    <w:rsid w:val="00353DBF"/>
    <w:rsid w:val="00353E62"/>
    <w:rsid w:val="00353F91"/>
    <w:rsid w:val="0035408C"/>
    <w:rsid w:val="003540E0"/>
    <w:rsid w:val="003541B3"/>
    <w:rsid w:val="003547D2"/>
    <w:rsid w:val="00354906"/>
    <w:rsid w:val="00354B63"/>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3CA1"/>
    <w:rsid w:val="003844BA"/>
    <w:rsid w:val="00384572"/>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A90"/>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3D5"/>
    <w:rsid w:val="004124D2"/>
    <w:rsid w:val="004129AD"/>
    <w:rsid w:val="00412A60"/>
    <w:rsid w:val="00412AF7"/>
    <w:rsid w:val="00412B8B"/>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B5E"/>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2B"/>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57F88"/>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AA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1ED"/>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22"/>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54E4"/>
    <w:rsid w:val="005157B1"/>
    <w:rsid w:val="00515B83"/>
    <w:rsid w:val="00516102"/>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AE4"/>
    <w:rsid w:val="0059705A"/>
    <w:rsid w:val="00597659"/>
    <w:rsid w:val="0059769A"/>
    <w:rsid w:val="00597A27"/>
    <w:rsid w:val="00597B4F"/>
    <w:rsid w:val="00597C33"/>
    <w:rsid w:val="005A0212"/>
    <w:rsid w:val="005A046B"/>
    <w:rsid w:val="005A057E"/>
    <w:rsid w:val="005A05D8"/>
    <w:rsid w:val="005A07D3"/>
    <w:rsid w:val="005A089E"/>
    <w:rsid w:val="005A0B66"/>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4D0"/>
    <w:rsid w:val="005D0E8B"/>
    <w:rsid w:val="005D10AE"/>
    <w:rsid w:val="005D1136"/>
    <w:rsid w:val="005D12BF"/>
    <w:rsid w:val="005D14A4"/>
    <w:rsid w:val="005D16B8"/>
    <w:rsid w:val="005D174A"/>
    <w:rsid w:val="005D188B"/>
    <w:rsid w:val="005D1DEC"/>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2D0"/>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18BC"/>
    <w:rsid w:val="0060203B"/>
    <w:rsid w:val="0060221A"/>
    <w:rsid w:val="0060257E"/>
    <w:rsid w:val="006025E1"/>
    <w:rsid w:val="00602A61"/>
    <w:rsid w:val="00602FBB"/>
    <w:rsid w:val="0060314C"/>
    <w:rsid w:val="006031AC"/>
    <w:rsid w:val="00603349"/>
    <w:rsid w:val="00603501"/>
    <w:rsid w:val="0060362A"/>
    <w:rsid w:val="00603669"/>
    <w:rsid w:val="00603672"/>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B81"/>
    <w:rsid w:val="006C5D76"/>
    <w:rsid w:val="006C5F95"/>
    <w:rsid w:val="006C61E6"/>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A5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84"/>
    <w:rsid w:val="00703176"/>
    <w:rsid w:val="0070336B"/>
    <w:rsid w:val="00703C35"/>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3E"/>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68E"/>
    <w:rsid w:val="007A67AD"/>
    <w:rsid w:val="007A68BB"/>
    <w:rsid w:val="007A6A0B"/>
    <w:rsid w:val="007A6C01"/>
    <w:rsid w:val="007A6C29"/>
    <w:rsid w:val="007A6DC2"/>
    <w:rsid w:val="007A73B7"/>
    <w:rsid w:val="007A75CC"/>
    <w:rsid w:val="007A795F"/>
    <w:rsid w:val="007A7AE1"/>
    <w:rsid w:val="007A7B94"/>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C4F"/>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CA2"/>
    <w:rsid w:val="007D0E02"/>
    <w:rsid w:val="007D0F16"/>
    <w:rsid w:val="007D127D"/>
    <w:rsid w:val="007D13EC"/>
    <w:rsid w:val="007D1446"/>
    <w:rsid w:val="007D1509"/>
    <w:rsid w:val="007D1841"/>
    <w:rsid w:val="007D1873"/>
    <w:rsid w:val="007D1A8C"/>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9D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1DF"/>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A7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6E90"/>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D2F"/>
    <w:rsid w:val="00890EE2"/>
    <w:rsid w:val="00891518"/>
    <w:rsid w:val="0089166D"/>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824"/>
    <w:rsid w:val="00973977"/>
    <w:rsid w:val="00973EC2"/>
    <w:rsid w:val="009741F4"/>
    <w:rsid w:val="0097436A"/>
    <w:rsid w:val="009746BA"/>
    <w:rsid w:val="009747A9"/>
    <w:rsid w:val="00974AD4"/>
    <w:rsid w:val="00975117"/>
    <w:rsid w:val="0097567E"/>
    <w:rsid w:val="00975699"/>
    <w:rsid w:val="00975D36"/>
    <w:rsid w:val="00975E22"/>
    <w:rsid w:val="0097611D"/>
    <w:rsid w:val="00976605"/>
    <w:rsid w:val="00976692"/>
    <w:rsid w:val="0097683F"/>
    <w:rsid w:val="00976975"/>
    <w:rsid w:val="00976A01"/>
    <w:rsid w:val="00976CA5"/>
    <w:rsid w:val="00976E19"/>
    <w:rsid w:val="00977225"/>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25"/>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2FA2"/>
    <w:rsid w:val="00A032ED"/>
    <w:rsid w:val="00A0333D"/>
    <w:rsid w:val="00A034A7"/>
    <w:rsid w:val="00A03686"/>
    <w:rsid w:val="00A03792"/>
    <w:rsid w:val="00A03839"/>
    <w:rsid w:val="00A03928"/>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93D"/>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12B"/>
    <w:rsid w:val="00A363F5"/>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977"/>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AD"/>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6DC0"/>
    <w:rsid w:val="00A570DA"/>
    <w:rsid w:val="00A5721A"/>
    <w:rsid w:val="00A57447"/>
    <w:rsid w:val="00A57550"/>
    <w:rsid w:val="00A57687"/>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AA7"/>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263"/>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229"/>
    <w:rsid w:val="00B619E5"/>
    <w:rsid w:val="00B61B90"/>
    <w:rsid w:val="00B61CFF"/>
    <w:rsid w:val="00B61E01"/>
    <w:rsid w:val="00B62517"/>
    <w:rsid w:val="00B62593"/>
    <w:rsid w:val="00B6289C"/>
    <w:rsid w:val="00B62B1F"/>
    <w:rsid w:val="00B62DEC"/>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13"/>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47A"/>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6246"/>
    <w:rsid w:val="00BB6247"/>
    <w:rsid w:val="00BB63F5"/>
    <w:rsid w:val="00BB6406"/>
    <w:rsid w:val="00BB64BE"/>
    <w:rsid w:val="00BB6563"/>
    <w:rsid w:val="00BB695C"/>
    <w:rsid w:val="00BB6C4F"/>
    <w:rsid w:val="00BB6C79"/>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42A"/>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2DF"/>
    <w:rsid w:val="00BF7553"/>
    <w:rsid w:val="00BF75FB"/>
    <w:rsid w:val="00BF79DA"/>
    <w:rsid w:val="00BF7F4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6F85"/>
    <w:rsid w:val="00C4753D"/>
    <w:rsid w:val="00C476DD"/>
    <w:rsid w:val="00C4772B"/>
    <w:rsid w:val="00C47A3E"/>
    <w:rsid w:val="00C47F83"/>
    <w:rsid w:val="00C47FF9"/>
    <w:rsid w:val="00C500BD"/>
    <w:rsid w:val="00C5040B"/>
    <w:rsid w:val="00C50736"/>
    <w:rsid w:val="00C50AB3"/>
    <w:rsid w:val="00C50C12"/>
    <w:rsid w:val="00C50C7A"/>
    <w:rsid w:val="00C50D6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2B"/>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58F"/>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C6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688"/>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2CD"/>
    <w:rsid w:val="00D4645F"/>
    <w:rsid w:val="00D4648B"/>
    <w:rsid w:val="00D464BB"/>
    <w:rsid w:val="00D4660B"/>
    <w:rsid w:val="00D46692"/>
    <w:rsid w:val="00D467AE"/>
    <w:rsid w:val="00D467FD"/>
    <w:rsid w:val="00D468C9"/>
    <w:rsid w:val="00D469AD"/>
    <w:rsid w:val="00D46C3E"/>
    <w:rsid w:val="00D46F19"/>
    <w:rsid w:val="00D46FAF"/>
    <w:rsid w:val="00D4707B"/>
    <w:rsid w:val="00D47254"/>
    <w:rsid w:val="00D47409"/>
    <w:rsid w:val="00D47772"/>
    <w:rsid w:val="00D47D0C"/>
    <w:rsid w:val="00D47FD2"/>
    <w:rsid w:val="00D50074"/>
    <w:rsid w:val="00D501B6"/>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4EE2"/>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0F5B"/>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74E"/>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ED3"/>
    <w:rsid w:val="00DE7FAD"/>
    <w:rsid w:val="00DE7FF6"/>
    <w:rsid w:val="00DF0710"/>
    <w:rsid w:val="00DF0763"/>
    <w:rsid w:val="00DF08B0"/>
    <w:rsid w:val="00DF0932"/>
    <w:rsid w:val="00DF0B43"/>
    <w:rsid w:val="00DF0D88"/>
    <w:rsid w:val="00DF1080"/>
    <w:rsid w:val="00DF1339"/>
    <w:rsid w:val="00DF1B5D"/>
    <w:rsid w:val="00DF1C0E"/>
    <w:rsid w:val="00DF225B"/>
    <w:rsid w:val="00DF249D"/>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AC0"/>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758"/>
    <w:rsid w:val="00E14D42"/>
    <w:rsid w:val="00E150D0"/>
    <w:rsid w:val="00E151AE"/>
    <w:rsid w:val="00E15653"/>
    <w:rsid w:val="00E158AE"/>
    <w:rsid w:val="00E15D5B"/>
    <w:rsid w:val="00E15E79"/>
    <w:rsid w:val="00E16364"/>
    <w:rsid w:val="00E164FC"/>
    <w:rsid w:val="00E1676B"/>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A79"/>
    <w:rsid w:val="00EB0C51"/>
    <w:rsid w:val="00EB0DD3"/>
    <w:rsid w:val="00EB0FFF"/>
    <w:rsid w:val="00EB1118"/>
    <w:rsid w:val="00EB116D"/>
    <w:rsid w:val="00EB144C"/>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E"/>
    <w:rsid w:val="00F3147F"/>
    <w:rsid w:val="00F316CE"/>
    <w:rsid w:val="00F31879"/>
    <w:rsid w:val="00F318D6"/>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9F9"/>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D6D"/>
    <w:rsid w:val="00F70F13"/>
    <w:rsid w:val="00F7102D"/>
    <w:rsid w:val="00F714F3"/>
    <w:rsid w:val="00F717DC"/>
    <w:rsid w:val="00F7196B"/>
    <w:rsid w:val="00F719DB"/>
    <w:rsid w:val="00F71C74"/>
    <w:rsid w:val="00F71CA8"/>
    <w:rsid w:val="00F722C8"/>
    <w:rsid w:val="00F72371"/>
    <w:rsid w:val="00F724E1"/>
    <w:rsid w:val="00F72564"/>
    <w:rsid w:val="00F72841"/>
    <w:rsid w:val="00F72BAE"/>
    <w:rsid w:val="00F72E53"/>
    <w:rsid w:val="00F72E99"/>
    <w:rsid w:val="00F72F73"/>
    <w:rsid w:val="00F730A0"/>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616"/>
    <w:rsid w:val="00F8566A"/>
    <w:rsid w:val="00F85979"/>
    <w:rsid w:val="00F85A78"/>
    <w:rsid w:val="00F85AD5"/>
    <w:rsid w:val="00F85CA1"/>
    <w:rsid w:val="00F85E64"/>
    <w:rsid w:val="00F85EE9"/>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960"/>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9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F5B"/>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F5B"/>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405418">
      <w:bodyDiv w:val="1"/>
      <w:marLeft w:val="0"/>
      <w:marRight w:val="0"/>
      <w:marTop w:val="0"/>
      <w:marBottom w:val="0"/>
      <w:divBdr>
        <w:top w:val="none" w:sz="0" w:space="0" w:color="auto"/>
        <w:left w:val="none" w:sz="0" w:space="0" w:color="auto"/>
        <w:bottom w:val="none" w:sz="0" w:space="0" w:color="auto"/>
        <w:right w:val="none" w:sz="0" w:space="0" w:color="auto"/>
      </w:divBdr>
      <w:divsChild>
        <w:div w:id="636227250">
          <w:marLeft w:val="0"/>
          <w:marRight w:val="0"/>
          <w:marTop w:val="0"/>
          <w:marBottom w:val="0"/>
          <w:divBdr>
            <w:top w:val="none" w:sz="0" w:space="0" w:color="auto"/>
            <w:left w:val="none" w:sz="0" w:space="0" w:color="auto"/>
            <w:bottom w:val="none" w:sz="0" w:space="0" w:color="auto"/>
            <w:right w:val="none" w:sz="0" w:space="0" w:color="auto"/>
          </w:divBdr>
          <w:divsChild>
            <w:div w:id="1585845958">
              <w:marLeft w:val="0"/>
              <w:marRight w:val="0"/>
              <w:marTop w:val="0"/>
              <w:marBottom w:val="0"/>
              <w:divBdr>
                <w:top w:val="none" w:sz="0" w:space="0" w:color="auto"/>
                <w:left w:val="none" w:sz="0" w:space="0" w:color="auto"/>
                <w:bottom w:val="none" w:sz="0" w:space="0" w:color="auto"/>
                <w:right w:val="none" w:sz="0" w:space="0" w:color="auto"/>
              </w:divBdr>
              <w:divsChild>
                <w:div w:id="1083604157">
                  <w:marLeft w:val="0"/>
                  <w:marRight w:val="0"/>
                  <w:marTop w:val="0"/>
                  <w:marBottom w:val="0"/>
                  <w:divBdr>
                    <w:top w:val="none" w:sz="0" w:space="0" w:color="auto"/>
                    <w:left w:val="none" w:sz="0" w:space="0" w:color="auto"/>
                    <w:bottom w:val="none" w:sz="0" w:space="0" w:color="auto"/>
                    <w:right w:val="none" w:sz="0" w:space="0" w:color="auto"/>
                  </w:divBdr>
                </w:div>
                <w:div w:id="2340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4977">
          <w:marLeft w:val="0"/>
          <w:marRight w:val="0"/>
          <w:marTop w:val="0"/>
          <w:marBottom w:val="0"/>
          <w:divBdr>
            <w:top w:val="none" w:sz="0" w:space="0" w:color="auto"/>
            <w:left w:val="none" w:sz="0" w:space="0" w:color="auto"/>
            <w:bottom w:val="none" w:sz="0" w:space="0" w:color="auto"/>
            <w:right w:val="none" w:sz="0" w:space="0" w:color="auto"/>
          </w:divBdr>
          <w:divsChild>
            <w:div w:id="779493372">
              <w:marLeft w:val="0"/>
              <w:marRight w:val="0"/>
              <w:marTop w:val="0"/>
              <w:marBottom w:val="0"/>
              <w:divBdr>
                <w:top w:val="none" w:sz="0" w:space="0" w:color="auto"/>
                <w:left w:val="none" w:sz="0" w:space="0" w:color="auto"/>
                <w:bottom w:val="none" w:sz="0" w:space="0" w:color="auto"/>
                <w:right w:val="none" w:sz="0" w:space="0" w:color="auto"/>
              </w:divBdr>
              <w:divsChild>
                <w:div w:id="1228609605">
                  <w:marLeft w:val="0"/>
                  <w:marRight w:val="0"/>
                  <w:marTop w:val="0"/>
                  <w:marBottom w:val="0"/>
                  <w:divBdr>
                    <w:top w:val="none" w:sz="0" w:space="0" w:color="auto"/>
                    <w:left w:val="none" w:sz="0" w:space="0" w:color="auto"/>
                    <w:bottom w:val="none" w:sz="0" w:space="0" w:color="auto"/>
                    <w:right w:val="none" w:sz="0" w:space="0" w:color="auto"/>
                  </w:divBdr>
                </w:div>
                <w:div w:id="791677418">
                  <w:marLeft w:val="0"/>
                  <w:marRight w:val="0"/>
                  <w:marTop w:val="0"/>
                  <w:marBottom w:val="0"/>
                  <w:divBdr>
                    <w:top w:val="none" w:sz="0" w:space="0" w:color="auto"/>
                    <w:left w:val="none" w:sz="0" w:space="0" w:color="auto"/>
                    <w:bottom w:val="none" w:sz="0" w:space="0" w:color="auto"/>
                    <w:right w:val="none" w:sz="0" w:space="0" w:color="auto"/>
                  </w:divBdr>
                </w:div>
                <w:div w:id="1888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4012">
          <w:marLeft w:val="0"/>
          <w:marRight w:val="0"/>
          <w:marTop w:val="0"/>
          <w:marBottom w:val="0"/>
          <w:divBdr>
            <w:top w:val="none" w:sz="0" w:space="0" w:color="auto"/>
            <w:left w:val="none" w:sz="0" w:space="0" w:color="auto"/>
            <w:bottom w:val="none" w:sz="0" w:space="0" w:color="auto"/>
            <w:right w:val="none" w:sz="0" w:space="0" w:color="auto"/>
          </w:divBdr>
          <w:divsChild>
            <w:div w:id="115562701">
              <w:marLeft w:val="0"/>
              <w:marRight w:val="0"/>
              <w:marTop w:val="0"/>
              <w:marBottom w:val="0"/>
              <w:divBdr>
                <w:top w:val="none" w:sz="0" w:space="0" w:color="auto"/>
                <w:left w:val="none" w:sz="0" w:space="0" w:color="auto"/>
                <w:bottom w:val="none" w:sz="0" w:space="0" w:color="auto"/>
                <w:right w:val="none" w:sz="0" w:space="0" w:color="auto"/>
              </w:divBdr>
              <w:divsChild>
                <w:div w:id="1231230886">
                  <w:marLeft w:val="0"/>
                  <w:marRight w:val="0"/>
                  <w:marTop w:val="0"/>
                  <w:marBottom w:val="0"/>
                  <w:divBdr>
                    <w:top w:val="none" w:sz="0" w:space="0" w:color="auto"/>
                    <w:left w:val="none" w:sz="0" w:space="0" w:color="auto"/>
                    <w:bottom w:val="none" w:sz="0" w:space="0" w:color="auto"/>
                    <w:right w:val="none" w:sz="0" w:space="0" w:color="auto"/>
                  </w:divBdr>
                </w:div>
                <w:div w:id="959072908">
                  <w:marLeft w:val="0"/>
                  <w:marRight w:val="0"/>
                  <w:marTop w:val="0"/>
                  <w:marBottom w:val="0"/>
                  <w:divBdr>
                    <w:top w:val="none" w:sz="0" w:space="0" w:color="auto"/>
                    <w:left w:val="none" w:sz="0" w:space="0" w:color="auto"/>
                    <w:bottom w:val="none" w:sz="0" w:space="0" w:color="auto"/>
                    <w:right w:val="none" w:sz="0" w:space="0" w:color="auto"/>
                  </w:divBdr>
                </w:div>
                <w:div w:id="20763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4126331">
      <w:bodyDiv w:val="1"/>
      <w:marLeft w:val="0"/>
      <w:marRight w:val="0"/>
      <w:marTop w:val="0"/>
      <w:marBottom w:val="0"/>
      <w:divBdr>
        <w:top w:val="none" w:sz="0" w:space="0" w:color="auto"/>
        <w:left w:val="none" w:sz="0" w:space="0" w:color="auto"/>
        <w:bottom w:val="none" w:sz="0" w:space="0" w:color="auto"/>
        <w:right w:val="none" w:sz="0" w:space="0" w:color="auto"/>
      </w:divBdr>
      <w:divsChild>
        <w:div w:id="1282954558">
          <w:marLeft w:val="0"/>
          <w:marRight w:val="0"/>
          <w:marTop w:val="0"/>
          <w:marBottom w:val="0"/>
          <w:divBdr>
            <w:top w:val="none" w:sz="0" w:space="0" w:color="auto"/>
            <w:left w:val="none" w:sz="0" w:space="0" w:color="auto"/>
            <w:bottom w:val="none" w:sz="0" w:space="0" w:color="auto"/>
            <w:right w:val="none" w:sz="0" w:space="0" w:color="auto"/>
          </w:divBdr>
          <w:divsChild>
            <w:div w:id="1078867203">
              <w:marLeft w:val="0"/>
              <w:marRight w:val="0"/>
              <w:marTop w:val="0"/>
              <w:marBottom w:val="0"/>
              <w:divBdr>
                <w:top w:val="none" w:sz="0" w:space="0" w:color="auto"/>
                <w:left w:val="none" w:sz="0" w:space="0" w:color="auto"/>
                <w:bottom w:val="none" w:sz="0" w:space="0" w:color="auto"/>
                <w:right w:val="none" w:sz="0" w:space="0" w:color="auto"/>
              </w:divBdr>
              <w:divsChild>
                <w:div w:id="1242837735">
                  <w:marLeft w:val="0"/>
                  <w:marRight w:val="0"/>
                  <w:marTop w:val="0"/>
                  <w:marBottom w:val="0"/>
                  <w:divBdr>
                    <w:top w:val="none" w:sz="0" w:space="0" w:color="auto"/>
                    <w:left w:val="none" w:sz="0" w:space="0" w:color="auto"/>
                    <w:bottom w:val="none" w:sz="0" w:space="0" w:color="auto"/>
                    <w:right w:val="none" w:sz="0" w:space="0" w:color="auto"/>
                  </w:divBdr>
                </w:div>
                <w:div w:id="13782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5765">
          <w:marLeft w:val="0"/>
          <w:marRight w:val="0"/>
          <w:marTop w:val="0"/>
          <w:marBottom w:val="0"/>
          <w:divBdr>
            <w:top w:val="none" w:sz="0" w:space="0" w:color="auto"/>
            <w:left w:val="none" w:sz="0" w:space="0" w:color="auto"/>
            <w:bottom w:val="none" w:sz="0" w:space="0" w:color="auto"/>
            <w:right w:val="none" w:sz="0" w:space="0" w:color="auto"/>
          </w:divBdr>
          <w:divsChild>
            <w:div w:id="1235702852">
              <w:marLeft w:val="0"/>
              <w:marRight w:val="0"/>
              <w:marTop w:val="0"/>
              <w:marBottom w:val="0"/>
              <w:divBdr>
                <w:top w:val="none" w:sz="0" w:space="0" w:color="auto"/>
                <w:left w:val="none" w:sz="0" w:space="0" w:color="auto"/>
                <w:bottom w:val="none" w:sz="0" w:space="0" w:color="auto"/>
                <w:right w:val="none" w:sz="0" w:space="0" w:color="auto"/>
              </w:divBdr>
              <w:divsChild>
                <w:div w:id="1272206149">
                  <w:marLeft w:val="0"/>
                  <w:marRight w:val="0"/>
                  <w:marTop w:val="0"/>
                  <w:marBottom w:val="0"/>
                  <w:divBdr>
                    <w:top w:val="none" w:sz="0" w:space="0" w:color="auto"/>
                    <w:left w:val="none" w:sz="0" w:space="0" w:color="auto"/>
                    <w:bottom w:val="none" w:sz="0" w:space="0" w:color="auto"/>
                    <w:right w:val="none" w:sz="0" w:space="0" w:color="auto"/>
                  </w:divBdr>
                </w:div>
                <w:div w:id="453839561">
                  <w:marLeft w:val="0"/>
                  <w:marRight w:val="0"/>
                  <w:marTop w:val="0"/>
                  <w:marBottom w:val="0"/>
                  <w:divBdr>
                    <w:top w:val="none" w:sz="0" w:space="0" w:color="auto"/>
                    <w:left w:val="none" w:sz="0" w:space="0" w:color="auto"/>
                    <w:bottom w:val="none" w:sz="0" w:space="0" w:color="auto"/>
                    <w:right w:val="none" w:sz="0" w:space="0" w:color="auto"/>
                  </w:divBdr>
                </w:div>
                <w:div w:id="10138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10165">
          <w:marLeft w:val="0"/>
          <w:marRight w:val="0"/>
          <w:marTop w:val="0"/>
          <w:marBottom w:val="0"/>
          <w:divBdr>
            <w:top w:val="none" w:sz="0" w:space="0" w:color="auto"/>
            <w:left w:val="none" w:sz="0" w:space="0" w:color="auto"/>
            <w:bottom w:val="none" w:sz="0" w:space="0" w:color="auto"/>
            <w:right w:val="none" w:sz="0" w:space="0" w:color="auto"/>
          </w:divBdr>
          <w:divsChild>
            <w:div w:id="528644990">
              <w:marLeft w:val="0"/>
              <w:marRight w:val="0"/>
              <w:marTop w:val="0"/>
              <w:marBottom w:val="0"/>
              <w:divBdr>
                <w:top w:val="none" w:sz="0" w:space="0" w:color="auto"/>
                <w:left w:val="none" w:sz="0" w:space="0" w:color="auto"/>
                <w:bottom w:val="none" w:sz="0" w:space="0" w:color="auto"/>
                <w:right w:val="none" w:sz="0" w:space="0" w:color="auto"/>
              </w:divBdr>
              <w:divsChild>
                <w:div w:id="90785539">
                  <w:marLeft w:val="0"/>
                  <w:marRight w:val="0"/>
                  <w:marTop w:val="0"/>
                  <w:marBottom w:val="0"/>
                  <w:divBdr>
                    <w:top w:val="none" w:sz="0" w:space="0" w:color="auto"/>
                    <w:left w:val="none" w:sz="0" w:space="0" w:color="auto"/>
                    <w:bottom w:val="none" w:sz="0" w:space="0" w:color="auto"/>
                    <w:right w:val="none" w:sz="0" w:space="0" w:color="auto"/>
                  </w:divBdr>
                </w:div>
                <w:div w:id="1734619434">
                  <w:marLeft w:val="0"/>
                  <w:marRight w:val="0"/>
                  <w:marTop w:val="0"/>
                  <w:marBottom w:val="0"/>
                  <w:divBdr>
                    <w:top w:val="none" w:sz="0" w:space="0" w:color="auto"/>
                    <w:left w:val="none" w:sz="0" w:space="0" w:color="auto"/>
                    <w:bottom w:val="none" w:sz="0" w:space="0" w:color="auto"/>
                    <w:right w:val="none" w:sz="0" w:space="0" w:color="auto"/>
                  </w:divBdr>
                </w:div>
                <w:div w:id="7494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doi.org/10.17226/25202" TargetMode="External"/><Relationship Id="rId26" Type="http://schemas.openxmlformats.org/officeDocument/2006/relationships/hyperlink" Target="https://www.kingsfund.org.uk/publications/approaches-better-value" TargetMode="External"/><Relationship Id="rId3" Type="http://schemas.openxmlformats.org/officeDocument/2006/relationships/styles" Target="styles.xml"/><Relationship Id="rId21" Type="http://schemas.openxmlformats.org/officeDocument/2006/relationships/hyperlink" Target="https://www.cdc.gov/antibiotic-use/healthcare/implementation.html"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image" Target="media/image4.png"/><Relationship Id="rId33" Type="http://schemas.openxmlformats.org/officeDocument/2006/relationships/hyperlink" Target="https://effectivehealthcare.ahrq.gov/topics/anxiety-children/methods-report" TargetMode="External"/><Relationship Id="rId2" Type="http://schemas.openxmlformats.org/officeDocument/2006/relationships/numbering" Target="numbering.xml"/><Relationship Id="rId16" Type="http://schemas.openxmlformats.org/officeDocument/2006/relationships/hyperlink" Target="https://www.safetyandquality.gov.au/our-work/clinical-care-standards/venous-thromboembolism-prevention-clinical-care-standard/" TargetMode="External"/><Relationship Id="rId20" Type="http://schemas.openxmlformats.org/officeDocument/2006/relationships/image" Target="media/image3.png"/><Relationship Id="rId29" Type="http://schemas.openxmlformats.org/officeDocument/2006/relationships/hyperlink" Target="http://www.publish.csiro.au/ah/issue/88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www.diabetes.org.uk/professionals/resources/shared-practice/inpatient-and-hospital-care" TargetMode="External"/><Relationship Id="rId32" Type="http://schemas.openxmlformats.org/officeDocument/2006/relationships/hyperlink" Target="https://qualitysafety.bmj.com/content/early/recent"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our-work/healthcare-associated-infection/antimicrobial-stewardship/" TargetMode="External"/><Relationship Id="rId28" Type="http://schemas.openxmlformats.org/officeDocument/2006/relationships/hyperlink" Target="https://www.safetyandquality.gov.au/our-work/healthcare-associated-infection/" TargetMode="External"/><Relationship Id="rId36" Type="http://schemas.openxmlformats.org/officeDocument/2006/relationships/fontTable" Target="fontTable.xm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www.gov.uk/government/publications/improving-peoples-health-applying-behavioural-and-social-sciences" TargetMode="External"/><Relationship Id="rId31" Type="http://schemas.openxmlformats.org/officeDocument/2006/relationships/hyperlink" Target="https://academic.oup.com/intqhc/advance-access"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www.cdc.gov/antibiotic-use/healthcare/pdfs/18-295875-A-ASP-CE-Web-508.pdf" TargetMode="External"/><Relationship Id="rId27" Type="http://schemas.openxmlformats.org/officeDocument/2006/relationships/hyperlink" Target="http://doi.org/10.1016/j.jcjq.2018.02.002" TargetMode="External"/><Relationship Id="rId30" Type="http://schemas.openxmlformats.org/officeDocument/2006/relationships/hyperlink" Target="https://www.longwoods.com/publications/healthcarepapers/25570"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B5FA4-7DCB-46EB-A99E-E28208EDF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9</Pages>
  <Words>3452</Words>
  <Characters>18366</Characters>
  <Application>Microsoft Office Word</Application>
  <DocSecurity>0</DocSecurity>
  <Lines>510</Lines>
  <Paragraphs>227</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21591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13</cp:revision>
  <cp:lastPrinted>2018-03-02T02:34:00Z</cp:lastPrinted>
  <dcterms:created xsi:type="dcterms:W3CDTF">2018-10-08T21:08:00Z</dcterms:created>
  <dcterms:modified xsi:type="dcterms:W3CDTF">2018-10-12T02:55:00Z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