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D763DB">
        <w:rPr>
          <w:rFonts w:ascii="Garamond" w:hAnsi="Garamond"/>
          <w:color w:val="000000"/>
          <w:lang w:val="en-AU"/>
        </w:rPr>
        <w:t>9</w:t>
      </w:r>
      <w:r w:rsidR="007A6A88">
        <w:rPr>
          <w:rFonts w:ascii="Garamond" w:hAnsi="Garamond"/>
          <w:color w:val="000000"/>
          <w:lang w:val="en-AU"/>
        </w:rPr>
        <w:t>9</w:t>
      </w:r>
    </w:p>
    <w:p w:rsidR="00755242" w:rsidRPr="00467B47" w:rsidRDefault="007A6A88" w:rsidP="00F738B5">
      <w:pPr>
        <w:rPr>
          <w:rFonts w:ascii="Garamond" w:hAnsi="Garamond"/>
          <w:lang w:val="en-AU"/>
        </w:rPr>
      </w:pPr>
      <w:r>
        <w:rPr>
          <w:rFonts w:ascii="Garamond" w:hAnsi="Garamond"/>
          <w:lang w:val="en-AU"/>
        </w:rPr>
        <w:t>10</w:t>
      </w:r>
      <w:r w:rsidR="005D5B69">
        <w:rPr>
          <w:rFonts w:ascii="Garamond" w:hAnsi="Garamond"/>
          <w:lang w:val="en-AU"/>
        </w:rPr>
        <w:t xml:space="preserve"> </w:t>
      </w:r>
      <w:r w:rsidR="003A7789">
        <w:rPr>
          <w:rFonts w:ascii="Garamond" w:hAnsi="Garamond"/>
          <w:lang w:val="en-AU"/>
        </w:rPr>
        <w:t>Dec</w:t>
      </w:r>
      <w:r w:rsidR="005D5B69">
        <w:rPr>
          <w:rFonts w:ascii="Garamond" w:hAnsi="Garamond"/>
          <w:lang w:val="en-AU"/>
        </w:rPr>
        <w:t>em</w:t>
      </w:r>
      <w:r w:rsidR="00D763DB">
        <w:rPr>
          <w:rFonts w:ascii="Garamond" w:hAnsi="Garamond"/>
          <w:lang w:val="en-AU"/>
        </w:rPr>
        <w:t>be</w:t>
      </w:r>
      <w:r w:rsidR="008C7B4B">
        <w:rPr>
          <w:rFonts w:ascii="Garamond" w:hAnsi="Garamond"/>
          <w:lang w:val="en-AU"/>
        </w:rPr>
        <w:t xml:space="preserv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r w:rsidR="0016673A" w:rsidRPr="0016673A">
        <w:t xml:space="preserve"> </w:t>
      </w:r>
      <w:r w:rsidR="0016673A" w:rsidRPr="0016673A">
        <w:rPr>
          <w:rStyle w:val="Hyperlink"/>
          <w:rFonts w:ascii="Garamond" w:hAnsi="Garamond"/>
          <w:lang w:val="en-AU"/>
        </w:rPr>
        <w:t>10.1136/bmjqs-2018-008219</w:t>
      </w:r>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proofErr w:type="spellStart"/>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proofErr w:type="spellStart"/>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B61745">
        <w:rPr>
          <w:rFonts w:ascii="Garamond" w:hAnsi="Garamond"/>
          <w:bCs/>
          <w:lang w:val="en-AU"/>
        </w:rPr>
        <w:t>, Kim Stewart</w:t>
      </w:r>
      <w:r w:rsidR="00497E3B">
        <w:rPr>
          <w:rFonts w:ascii="Garamond" w:hAnsi="Garamond"/>
          <w:bCs/>
          <w:lang w:val="en-AU"/>
        </w:rPr>
        <w:t xml:space="preserve">, Kristin </w:t>
      </w:r>
      <w:proofErr w:type="spellStart"/>
      <w:r w:rsidR="00497E3B">
        <w:rPr>
          <w:rFonts w:ascii="Garamond" w:hAnsi="Garamond"/>
          <w:bCs/>
          <w:lang w:val="en-AU"/>
        </w:rPr>
        <w:t>Xenos</w:t>
      </w:r>
      <w:proofErr w:type="spellEnd"/>
    </w:p>
    <w:p w:rsidR="00727B35" w:rsidRPr="0087751E" w:rsidRDefault="00727B35" w:rsidP="00691DE3">
      <w:pPr>
        <w:keepLines/>
        <w:autoSpaceDE w:val="0"/>
        <w:autoSpaceDN w:val="0"/>
        <w:adjustRightInd w:val="0"/>
        <w:rPr>
          <w:rFonts w:ascii="Garamond" w:hAnsi="Garamond"/>
          <w:lang w:val="en-AU"/>
        </w:rPr>
      </w:pPr>
    </w:p>
    <w:p w:rsidR="00B61745" w:rsidRPr="0087751E" w:rsidRDefault="00B61745" w:rsidP="00B61745">
      <w:pPr>
        <w:rPr>
          <w:rFonts w:ascii="Garamond" w:hAnsi="Garamond"/>
          <w:b/>
        </w:rPr>
      </w:pPr>
      <w:proofErr w:type="gramStart"/>
      <w:r w:rsidRPr="0087751E">
        <w:rPr>
          <w:rFonts w:ascii="Garamond" w:hAnsi="Garamond"/>
          <w:b/>
        </w:rPr>
        <w:t>Australian Passive Antimicrobial Resistance Surveillance.</w:t>
      </w:r>
      <w:proofErr w:type="gramEnd"/>
      <w:r w:rsidRPr="0087751E">
        <w:rPr>
          <w:rFonts w:ascii="Garamond" w:hAnsi="Garamond"/>
          <w:b/>
        </w:rPr>
        <w:t xml:space="preserve"> First report: multi-resistant organisms</w:t>
      </w:r>
    </w:p>
    <w:p w:rsidR="00B61745" w:rsidRPr="0087751E" w:rsidRDefault="00B61745" w:rsidP="0031036D">
      <w:pPr>
        <w:rPr>
          <w:rFonts w:ascii="Garamond" w:hAnsi="Garamond"/>
        </w:rPr>
      </w:pPr>
      <w:r w:rsidRPr="0087751E">
        <w:rPr>
          <w:rFonts w:ascii="Garamond" w:hAnsi="Garamond"/>
        </w:rPr>
        <w:t>Australian Commission on Safety and Quality in Health Care</w:t>
      </w:r>
    </w:p>
    <w:p w:rsidR="008A21D2" w:rsidRPr="0087751E" w:rsidRDefault="00B61745" w:rsidP="0031036D">
      <w:pPr>
        <w:rPr>
          <w:rFonts w:ascii="Garamond" w:hAnsi="Garamond"/>
        </w:rPr>
      </w:pPr>
      <w:r w:rsidRPr="0087751E">
        <w:rPr>
          <w:rFonts w:ascii="Garamond" w:hAnsi="Garamond"/>
        </w:rPr>
        <w:t>Sydney: ACSQHC; 2018</w:t>
      </w:r>
      <w:r w:rsidR="00FA138B" w:rsidRPr="0087751E">
        <w:rPr>
          <w:rFonts w:ascii="Garamond" w:hAnsi="Garamond"/>
        </w:rPr>
        <w:t xml:space="preserve">. </w:t>
      </w:r>
      <w:proofErr w:type="gramStart"/>
      <w:r w:rsidR="00FA138B" w:rsidRPr="0087751E">
        <w:rPr>
          <w:rFonts w:ascii="Garamond" w:hAnsi="Garamond"/>
        </w:rPr>
        <w:t>p.37.</w:t>
      </w:r>
      <w:proofErr w:type="gramEnd"/>
    </w:p>
    <w:p w:rsidR="005232D0" w:rsidRPr="0087751E" w:rsidRDefault="00D73D0F" w:rsidP="0031036D">
      <w:pPr>
        <w:rPr>
          <w:rFonts w:ascii="Garamond" w:hAnsi="Garamond"/>
        </w:rPr>
      </w:pPr>
      <w:hyperlink r:id="rId16" w:history="1">
        <w:r w:rsidR="005232D0" w:rsidRPr="0087751E">
          <w:rPr>
            <w:rStyle w:val="Hyperlink"/>
            <w:rFonts w:ascii="Garamond" w:hAnsi="Garamond"/>
          </w:rPr>
          <w:t>https://www.safetyandquality.gov.au/antimicrobial-use-and-resistance-in-australia/apas/</w:t>
        </w:r>
      </w:hyperlink>
    </w:p>
    <w:p w:rsidR="00B61745" w:rsidRPr="0087751E" w:rsidRDefault="00B61745" w:rsidP="0031036D">
      <w:pPr>
        <w:rPr>
          <w:rFonts w:ascii="Garamond" w:hAnsi="Garamond"/>
        </w:rPr>
      </w:pPr>
    </w:p>
    <w:p w:rsidR="00B61745" w:rsidRPr="0087751E" w:rsidRDefault="00B61745" w:rsidP="00B61745">
      <w:pPr>
        <w:rPr>
          <w:rFonts w:ascii="Garamond" w:hAnsi="Garamond"/>
        </w:rPr>
      </w:pPr>
      <w:r w:rsidRPr="0087751E">
        <w:rPr>
          <w:rFonts w:ascii="Garamond" w:hAnsi="Garamond"/>
        </w:rPr>
        <w:t>The Australian Passive AMR Surveillance (APAS) program at the Australian Commission on Safety and Quality in Health Care has released its first report on multi resistant organisms. Set up with the support of Queensland Health, APAS currently has over 50 million antimicrobial resistance (AMR) records from 2006 to 2018, enabling trend analysis and examination of patterns across Australia.</w:t>
      </w:r>
    </w:p>
    <w:p w:rsidR="00B61745" w:rsidRPr="0087751E" w:rsidRDefault="00B61745" w:rsidP="00B61745">
      <w:pPr>
        <w:rPr>
          <w:rFonts w:ascii="Garamond" w:hAnsi="Garamond"/>
        </w:rPr>
      </w:pPr>
    </w:p>
    <w:p w:rsidR="00B61745" w:rsidRPr="0087751E" w:rsidRDefault="00B61745" w:rsidP="00B61745">
      <w:pPr>
        <w:rPr>
          <w:rFonts w:ascii="Garamond" w:hAnsi="Garamond"/>
        </w:rPr>
      </w:pPr>
      <w:r w:rsidRPr="0087751E">
        <w:rPr>
          <w:rFonts w:ascii="Garamond" w:hAnsi="Garamond"/>
        </w:rPr>
        <w:t>This report highlights concerning results for three types of significant re</w:t>
      </w:r>
      <w:r w:rsidR="005232D0" w:rsidRPr="0087751E">
        <w:rPr>
          <w:rFonts w:ascii="Garamond" w:hAnsi="Garamond"/>
        </w:rPr>
        <w:t>sistances in Australia.</w:t>
      </w:r>
    </w:p>
    <w:p w:rsidR="00B61745" w:rsidRPr="0087751E" w:rsidRDefault="00B61745" w:rsidP="00B61745">
      <w:pPr>
        <w:rPr>
          <w:rFonts w:ascii="Garamond" w:hAnsi="Garamond"/>
          <w:i/>
        </w:rPr>
      </w:pPr>
      <w:r w:rsidRPr="0087751E">
        <w:rPr>
          <w:rFonts w:ascii="Garamond" w:hAnsi="Garamond"/>
          <w:i/>
        </w:rPr>
        <w:t>Methicillin resistance in Staphylococcus aureus (MRSA):</w:t>
      </w:r>
    </w:p>
    <w:p w:rsidR="00B61745" w:rsidRPr="0087751E" w:rsidRDefault="00B61745" w:rsidP="00B61745">
      <w:pPr>
        <w:pStyle w:val="ListParagraph"/>
        <w:numPr>
          <w:ilvl w:val="0"/>
          <w:numId w:val="34"/>
        </w:numPr>
        <w:rPr>
          <w:rFonts w:ascii="Garamond" w:hAnsi="Garamond"/>
        </w:rPr>
      </w:pPr>
      <w:r w:rsidRPr="0087751E">
        <w:rPr>
          <w:rFonts w:ascii="Garamond" w:hAnsi="Garamond"/>
        </w:rPr>
        <w:t xml:space="preserve">Has risen from 8.5% in the community in 2006, to 14.6% in 2014, and 19.1% in 2017 </w:t>
      </w:r>
    </w:p>
    <w:p w:rsidR="00B61745" w:rsidRPr="0087751E" w:rsidRDefault="00B61745" w:rsidP="00B61745">
      <w:pPr>
        <w:pStyle w:val="ListParagraph"/>
        <w:numPr>
          <w:ilvl w:val="0"/>
          <w:numId w:val="34"/>
        </w:numPr>
        <w:rPr>
          <w:rFonts w:ascii="Garamond" w:hAnsi="Garamond"/>
        </w:rPr>
      </w:pPr>
      <w:r w:rsidRPr="0087751E">
        <w:rPr>
          <w:rFonts w:ascii="Garamond" w:hAnsi="Garamond"/>
        </w:rPr>
        <w:t>Is worsening in remote and very remote areas of Australia (40.6% and 40.2%, respectively, in 2017)</w:t>
      </w:r>
    </w:p>
    <w:p w:rsidR="00B61745" w:rsidRPr="0087751E" w:rsidRDefault="00B61745" w:rsidP="00B61745">
      <w:pPr>
        <w:pStyle w:val="ListParagraph"/>
        <w:numPr>
          <w:ilvl w:val="0"/>
          <w:numId w:val="34"/>
        </w:numPr>
        <w:rPr>
          <w:rFonts w:ascii="Garamond" w:hAnsi="Garamond"/>
        </w:rPr>
      </w:pPr>
      <w:r w:rsidRPr="0087751E">
        <w:rPr>
          <w:rFonts w:ascii="Garamond" w:hAnsi="Garamond"/>
        </w:rPr>
        <w:t xml:space="preserve">Is worsening in aged care homes (increasing from 25.1% in 2006 to 36.2% in 2014 from long term APAS contributor data; and was 32.1% in 2017 for all contributing laboratories). </w:t>
      </w:r>
    </w:p>
    <w:p w:rsidR="00B61745" w:rsidRPr="0087751E" w:rsidRDefault="00B61745" w:rsidP="00B61745">
      <w:pPr>
        <w:rPr>
          <w:rFonts w:ascii="Garamond" w:hAnsi="Garamond"/>
        </w:rPr>
      </w:pPr>
    </w:p>
    <w:p w:rsidR="00B61745" w:rsidRPr="0087751E" w:rsidRDefault="00B61745" w:rsidP="005232D0">
      <w:pPr>
        <w:keepNext/>
        <w:rPr>
          <w:rFonts w:ascii="Garamond" w:hAnsi="Garamond"/>
          <w:i/>
        </w:rPr>
      </w:pPr>
      <w:r w:rsidRPr="0087751E">
        <w:rPr>
          <w:rFonts w:ascii="Garamond" w:hAnsi="Garamond"/>
          <w:i/>
        </w:rPr>
        <w:lastRenderedPageBreak/>
        <w:t>Fluoroquinolone non-susceptibility in Escherichia coli:</w:t>
      </w:r>
    </w:p>
    <w:p w:rsidR="00B61745" w:rsidRPr="0087751E" w:rsidRDefault="00B61745" w:rsidP="00B61745">
      <w:pPr>
        <w:pStyle w:val="ListParagraph"/>
        <w:numPr>
          <w:ilvl w:val="0"/>
          <w:numId w:val="35"/>
        </w:numPr>
        <w:rPr>
          <w:rFonts w:ascii="Garamond" w:hAnsi="Garamond"/>
        </w:rPr>
      </w:pPr>
      <w:r w:rsidRPr="0087751E">
        <w:rPr>
          <w:rFonts w:ascii="Garamond" w:hAnsi="Garamond"/>
        </w:rPr>
        <w:t xml:space="preserve">Proportion of non-susceptibility to fluoroquinolones in E. coli has risen from 2% in 2006 to 11.8% in 2017 (despite significant restriction of fluoroquinolones in hospitals and the community) </w:t>
      </w:r>
    </w:p>
    <w:p w:rsidR="00B61745" w:rsidRPr="0087751E" w:rsidRDefault="00B61745" w:rsidP="00B61745">
      <w:pPr>
        <w:pStyle w:val="ListParagraph"/>
        <w:numPr>
          <w:ilvl w:val="0"/>
          <w:numId w:val="35"/>
        </w:numPr>
        <w:rPr>
          <w:rFonts w:ascii="Garamond" w:hAnsi="Garamond"/>
        </w:rPr>
      </w:pPr>
      <w:r w:rsidRPr="0087751E">
        <w:rPr>
          <w:rFonts w:ascii="Garamond" w:hAnsi="Garamond"/>
        </w:rPr>
        <w:t>In 2017 the proportion of fluoroquinolone non-susceptibility in E. coli were highest in aged care homes (18.1%), followed by hospitals (12.1%), and the community (10.2%).</w:t>
      </w:r>
    </w:p>
    <w:p w:rsidR="00B61745" w:rsidRPr="0087751E" w:rsidRDefault="00B61745" w:rsidP="00B61745">
      <w:pPr>
        <w:rPr>
          <w:rFonts w:ascii="Garamond" w:hAnsi="Garamond"/>
        </w:rPr>
      </w:pPr>
    </w:p>
    <w:p w:rsidR="00B61745" w:rsidRPr="0087751E" w:rsidRDefault="00B61745" w:rsidP="00B61745">
      <w:pPr>
        <w:rPr>
          <w:rFonts w:ascii="Garamond" w:hAnsi="Garamond"/>
          <w:i/>
        </w:rPr>
      </w:pPr>
      <w:r w:rsidRPr="0087751E">
        <w:rPr>
          <w:rFonts w:ascii="Garamond" w:hAnsi="Garamond"/>
          <w:i/>
        </w:rPr>
        <w:t xml:space="preserve">Vancomycin non-susceptibility in Enterococcus </w:t>
      </w:r>
      <w:proofErr w:type="spellStart"/>
      <w:r w:rsidRPr="0087751E">
        <w:rPr>
          <w:rFonts w:ascii="Garamond" w:hAnsi="Garamond"/>
          <w:i/>
        </w:rPr>
        <w:t>faecium</w:t>
      </w:r>
      <w:proofErr w:type="spellEnd"/>
      <w:r w:rsidRPr="0087751E">
        <w:rPr>
          <w:rFonts w:ascii="Garamond" w:hAnsi="Garamond"/>
          <w:i/>
        </w:rPr>
        <w:t>:</w:t>
      </w:r>
    </w:p>
    <w:p w:rsidR="00B61745" w:rsidRPr="0087751E" w:rsidRDefault="00B61745" w:rsidP="00B61745">
      <w:pPr>
        <w:pStyle w:val="ListParagraph"/>
        <w:numPr>
          <w:ilvl w:val="0"/>
          <w:numId w:val="36"/>
        </w:numPr>
        <w:rPr>
          <w:rFonts w:ascii="Garamond" w:hAnsi="Garamond"/>
        </w:rPr>
      </w:pPr>
      <w:r w:rsidRPr="0087751E">
        <w:rPr>
          <w:rFonts w:ascii="Garamond" w:hAnsi="Garamond"/>
        </w:rPr>
        <w:t xml:space="preserve">Strains are now very common across Australia, exceeding 40% of all E. </w:t>
      </w:r>
      <w:proofErr w:type="spellStart"/>
      <w:r w:rsidRPr="0087751E">
        <w:rPr>
          <w:rFonts w:ascii="Garamond" w:hAnsi="Garamond"/>
        </w:rPr>
        <w:t>faecium</w:t>
      </w:r>
      <w:proofErr w:type="spellEnd"/>
      <w:r w:rsidRPr="0087751E">
        <w:rPr>
          <w:rFonts w:ascii="Garamond" w:hAnsi="Garamond"/>
        </w:rPr>
        <w:t xml:space="preserve"> for all specimen types since 2010 </w:t>
      </w:r>
    </w:p>
    <w:p w:rsidR="00B61745" w:rsidRPr="0087751E" w:rsidRDefault="00B61745" w:rsidP="00B61745">
      <w:pPr>
        <w:pStyle w:val="ListParagraph"/>
        <w:numPr>
          <w:ilvl w:val="0"/>
          <w:numId w:val="36"/>
        </w:numPr>
        <w:rPr>
          <w:rFonts w:ascii="Garamond" w:hAnsi="Garamond"/>
        </w:rPr>
      </w:pPr>
      <w:r w:rsidRPr="0087751E">
        <w:rPr>
          <w:rFonts w:ascii="Garamond" w:hAnsi="Garamond"/>
        </w:rPr>
        <w:t>Principally seen in hospitals in urban settings; there is evidence that rates are decreasing nationally over the last three years, from 51% in 2015 to 42% in 2017.</w:t>
      </w:r>
    </w:p>
    <w:p w:rsidR="00B61745" w:rsidRPr="0087751E" w:rsidRDefault="00B61745" w:rsidP="0031036D">
      <w:pPr>
        <w:rPr>
          <w:rFonts w:ascii="Garamond" w:hAnsi="Garamond"/>
        </w:rPr>
      </w:pPr>
    </w:p>
    <w:p w:rsidR="00B61745" w:rsidRDefault="00B61745" w:rsidP="0031036D"/>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F728EA" w:rsidRDefault="00F728EA" w:rsidP="00F728EA">
      <w:pPr>
        <w:keepNext/>
        <w:keepLines/>
        <w:autoSpaceDE w:val="0"/>
        <w:autoSpaceDN w:val="0"/>
        <w:adjustRightInd w:val="0"/>
        <w:rPr>
          <w:rFonts w:ascii="Garamond" w:hAnsi="Garamond"/>
          <w:i/>
          <w:lang w:val="en-AU"/>
        </w:rPr>
      </w:pPr>
      <w:r w:rsidRPr="00F728EA">
        <w:rPr>
          <w:rFonts w:ascii="Garamond" w:hAnsi="Garamond"/>
          <w:i/>
          <w:lang w:val="en-AU"/>
        </w:rPr>
        <w:t>Help at Home - Use of assistive technology for older people</w:t>
      </w:r>
    </w:p>
    <w:p w:rsidR="00F728EA" w:rsidRPr="009A2BEC" w:rsidRDefault="00F728EA" w:rsidP="00F728EA">
      <w:pPr>
        <w:keepNext/>
        <w:keepLines/>
        <w:autoSpaceDE w:val="0"/>
        <w:autoSpaceDN w:val="0"/>
        <w:adjustRightInd w:val="0"/>
        <w:rPr>
          <w:rFonts w:ascii="Garamond" w:hAnsi="Garamond"/>
          <w:lang w:val="en-AU"/>
        </w:rPr>
      </w:pPr>
      <w:r w:rsidRPr="009A2BEC">
        <w:rPr>
          <w:rFonts w:ascii="Garamond" w:hAnsi="Garamond"/>
          <w:lang w:val="en-AU"/>
        </w:rPr>
        <w:t>Themed review</w:t>
      </w:r>
    </w:p>
    <w:p w:rsidR="00F728EA" w:rsidRPr="009A2BEC" w:rsidRDefault="00F728EA" w:rsidP="00F728EA">
      <w:pPr>
        <w:keepNext/>
        <w:keepLines/>
        <w:autoSpaceDE w:val="0"/>
        <w:autoSpaceDN w:val="0"/>
        <w:adjustRightInd w:val="0"/>
        <w:rPr>
          <w:rFonts w:ascii="Garamond" w:hAnsi="Garamond"/>
          <w:lang w:val="en-AU"/>
        </w:rPr>
      </w:pPr>
      <w:r w:rsidRPr="009A2BEC">
        <w:rPr>
          <w:rFonts w:ascii="Garamond" w:hAnsi="Garamond"/>
          <w:lang w:val="en-AU"/>
        </w:rPr>
        <w:t>National Institute for Health Research</w:t>
      </w:r>
    </w:p>
    <w:p w:rsidR="000E346E" w:rsidRPr="009A2BEC" w:rsidRDefault="000E346E" w:rsidP="00F728EA">
      <w:pPr>
        <w:keepNext/>
        <w:keepLines/>
        <w:autoSpaceDE w:val="0"/>
        <w:autoSpaceDN w:val="0"/>
        <w:adjustRightInd w:val="0"/>
        <w:rPr>
          <w:rFonts w:ascii="Garamond" w:hAnsi="Garamond"/>
          <w:lang w:val="en-AU"/>
        </w:rPr>
      </w:pPr>
      <w:r w:rsidRPr="000E346E">
        <w:rPr>
          <w:rFonts w:ascii="Garamond" w:hAnsi="Garamond"/>
          <w:lang w:val="en-AU"/>
        </w:rPr>
        <w:t xml:space="preserve">London: NHS NIHR; 2018. </w:t>
      </w:r>
      <w:proofErr w:type="gramStart"/>
      <w:r w:rsidRPr="000E346E">
        <w:rPr>
          <w:rFonts w:ascii="Garamond" w:hAnsi="Garamond"/>
          <w:lang w:val="en-AU"/>
        </w:rPr>
        <w:t>p. 42.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728EA" w:rsidRPr="000170DA" w:rsidTr="00493D1F">
        <w:tc>
          <w:tcPr>
            <w:tcW w:w="1080" w:type="dxa"/>
            <w:tcBorders>
              <w:top w:val="single" w:sz="4" w:space="0" w:color="auto"/>
              <w:left w:val="single" w:sz="4" w:space="0" w:color="auto"/>
              <w:bottom w:val="single" w:sz="4" w:space="0" w:color="auto"/>
              <w:right w:val="single" w:sz="4" w:space="0" w:color="auto"/>
            </w:tcBorders>
            <w:vAlign w:val="center"/>
          </w:tcPr>
          <w:p w:rsidR="00F728EA" w:rsidRPr="000170DA" w:rsidRDefault="00F728EA" w:rsidP="00493D1F">
            <w:pPr>
              <w:rPr>
                <w:rStyle w:val="Hyperlink"/>
                <w:rFonts w:ascii="Garamond" w:hAnsi="Garamond"/>
                <w:lang w:val="en-AU"/>
              </w:rPr>
            </w:pPr>
            <w:r>
              <w:rPr>
                <w:rFonts w:ascii="Garamond" w:hAnsi="Garamond"/>
                <w:lang w:val="en-AU"/>
              </w:rPr>
              <w:t xml:space="preserve">URL / </w:t>
            </w:r>
            <w:r>
              <w:rPr>
                <w:rFonts w:ascii="Garamond" w:hAnsi="Garamond"/>
                <w:lang w:val="en-AU"/>
              </w:rPr>
              <w:br/>
              <w:t>DOI</w:t>
            </w:r>
          </w:p>
        </w:tc>
        <w:tc>
          <w:tcPr>
            <w:tcW w:w="8280" w:type="dxa"/>
            <w:tcBorders>
              <w:top w:val="single" w:sz="4" w:space="0" w:color="auto"/>
              <w:left w:val="single" w:sz="4" w:space="0" w:color="auto"/>
              <w:bottom w:val="single" w:sz="4" w:space="0" w:color="auto"/>
              <w:right w:val="single" w:sz="4" w:space="0" w:color="auto"/>
            </w:tcBorders>
            <w:vAlign w:val="center"/>
          </w:tcPr>
          <w:p w:rsidR="00F728EA" w:rsidRDefault="00D73D0F" w:rsidP="00493D1F">
            <w:pPr>
              <w:rPr>
                <w:rStyle w:val="Hyperlink"/>
                <w:rFonts w:ascii="Garamond" w:hAnsi="Garamond"/>
                <w:color w:val="auto"/>
                <w:u w:val="none"/>
                <w:lang w:val="en-AU"/>
              </w:rPr>
            </w:pPr>
            <w:hyperlink r:id="rId17" w:history="1">
              <w:r w:rsidR="00F728EA" w:rsidRPr="006F4D09">
                <w:rPr>
                  <w:rStyle w:val="Hyperlink"/>
                  <w:rFonts w:ascii="Garamond" w:hAnsi="Garamond"/>
                  <w:lang w:val="en-AU"/>
                </w:rPr>
                <w:t>https://www.dc.nihr.ac.uk/themed-reviews/research-on-assistive-technology.htm</w:t>
              </w:r>
            </w:hyperlink>
          </w:p>
          <w:p w:rsidR="00F728EA" w:rsidRPr="000170DA" w:rsidRDefault="00D73D0F" w:rsidP="00F728EA">
            <w:pPr>
              <w:rPr>
                <w:rStyle w:val="Hyperlink"/>
                <w:rFonts w:ascii="Garamond" w:hAnsi="Garamond"/>
                <w:color w:val="auto"/>
                <w:u w:val="none"/>
                <w:lang w:val="en-AU"/>
              </w:rPr>
            </w:pPr>
            <w:hyperlink r:id="rId18" w:history="1">
              <w:r w:rsidR="00F728EA" w:rsidRPr="006F4D09">
                <w:rPr>
                  <w:rStyle w:val="Hyperlink"/>
                  <w:rFonts w:ascii="Garamond" w:hAnsi="Garamond"/>
                  <w:lang w:val="en-AU"/>
                </w:rPr>
                <w:t>https://doi.org/10.3310/themedreview-03345</w:t>
              </w:r>
            </w:hyperlink>
          </w:p>
        </w:tc>
      </w:tr>
      <w:tr w:rsidR="00F728EA" w:rsidRPr="000170DA" w:rsidTr="00493D1F">
        <w:tc>
          <w:tcPr>
            <w:tcW w:w="1080" w:type="dxa"/>
            <w:tcBorders>
              <w:top w:val="single" w:sz="4" w:space="0" w:color="auto"/>
              <w:left w:val="single" w:sz="4" w:space="0" w:color="auto"/>
              <w:bottom w:val="single" w:sz="4" w:space="0" w:color="auto"/>
              <w:right w:val="single" w:sz="4" w:space="0" w:color="auto"/>
            </w:tcBorders>
            <w:vAlign w:val="center"/>
          </w:tcPr>
          <w:p w:rsidR="00F728EA" w:rsidRPr="000170DA" w:rsidRDefault="00F728EA" w:rsidP="00493D1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28EA" w:rsidRPr="00F728EA" w:rsidRDefault="00F728EA" w:rsidP="00F728EA">
            <w:pPr>
              <w:rPr>
                <w:rFonts w:ascii="Garamond" w:hAnsi="Garamond"/>
                <w:lang w:val="en-AU"/>
              </w:rPr>
            </w:pPr>
            <w:r w:rsidRPr="009A2BEC">
              <w:rPr>
                <w:rFonts w:ascii="Garamond" w:hAnsi="Garamond"/>
                <w:lang w:val="en-AU"/>
              </w:rPr>
              <w:t xml:space="preserve">The UK’s National Institute for Health Research (NIHR) has produced this themed review </w:t>
            </w:r>
            <w:r>
              <w:rPr>
                <w:rFonts w:ascii="Garamond" w:hAnsi="Garamond"/>
                <w:lang w:val="en-AU"/>
              </w:rPr>
              <w:t xml:space="preserve">of the </w:t>
            </w:r>
            <w:r w:rsidRPr="00D37B26">
              <w:rPr>
                <w:rFonts w:ascii="Garamond" w:hAnsi="Garamond"/>
                <w:lang w:val="en-AU"/>
              </w:rPr>
              <w:t xml:space="preserve">evidence from the NIHR and others </w:t>
            </w:r>
            <w:r w:rsidRPr="00F728EA">
              <w:rPr>
                <w:rFonts w:ascii="Garamond" w:hAnsi="Garamond"/>
                <w:lang w:val="en-AU"/>
              </w:rPr>
              <w:t>around the use of technology in the home, remote monitoring systems and designing better environments for older people.</w:t>
            </w:r>
            <w:r>
              <w:rPr>
                <w:rFonts w:ascii="Garamond" w:hAnsi="Garamond"/>
                <w:lang w:val="en-AU"/>
              </w:rPr>
              <w:t xml:space="preserve"> The review </w:t>
            </w:r>
            <w:r w:rsidRPr="00F728EA">
              <w:rPr>
                <w:rFonts w:ascii="Garamond" w:hAnsi="Garamond"/>
                <w:lang w:val="en-AU"/>
              </w:rPr>
              <w:t>features:</w:t>
            </w:r>
          </w:p>
          <w:p w:rsidR="00F728EA" w:rsidRPr="00F728EA" w:rsidRDefault="00F728EA" w:rsidP="00F728EA">
            <w:pPr>
              <w:pStyle w:val="ListParagraph"/>
              <w:numPr>
                <w:ilvl w:val="0"/>
                <w:numId w:val="38"/>
              </w:numPr>
              <w:rPr>
                <w:rFonts w:ascii="Garamond" w:hAnsi="Garamond"/>
                <w:lang w:val="en-AU"/>
              </w:rPr>
            </w:pPr>
            <w:r w:rsidRPr="00F728EA">
              <w:rPr>
                <w:rFonts w:ascii="Garamond" w:hAnsi="Garamond"/>
                <w:lang w:val="en-AU"/>
              </w:rPr>
              <w:t xml:space="preserve">40 published studies </w:t>
            </w:r>
          </w:p>
          <w:p w:rsidR="00F728EA" w:rsidRDefault="00F728EA" w:rsidP="00F728EA">
            <w:pPr>
              <w:pStyle w:val="ListParagraph"/>
              <w:numPr>
                <w:ilvl w:val="0"/>
                <w:numId w:val="38"/>
              </w:numPr>
              <w:rPr>
                <w:rFonts w:ascii="Garamond" w:hAnsi="Garamond"/>
                <w:lang w:val="en-AU"/>
              </w:rPr>
            </w:pPr>
            <w:r w:rsidRPr="00F728EA">
              <w:rPr>
                <w:rFonts w:ascii="Garamond" w:hAnsi="Garamond"/>
                <w:lang w:val="en-AU"/>
              </w:rPr>
              <w:t>Questions to ask about how technology can support older people living with complex conditions and what designs could help create an ageing friendly environment</w:t>
            </w:r>
            <w:r w:rsidR="00A43A50">
              <w:rPr>
                <w:rFonts w:ascii="Garamond" w:hAnsi="Garamond"/>
                <w:lang w:val="en-AU"/>
              </w:rPr>
              <w:t>.</w:t>
            </w:r>
          </w:p>
          <w:p w:rsidR="00A43A50" w:rsidRPr="00A43A50" w:rsidRDefault="00A43A50" w:rsidP="00A43A50">
            <w:pPr>
              <w:rPr>
                <w:rFonts w:ascii="Garamond" w:hAnsi="Garamond"/>
                <w:lang w:val="en-AU"/>
              </w:rPr>
            </w:pPr>
            <w:r>
              <w:rPr>
                <w:rFonts w:ascii="Garamond" w:hAnsi="Garamond"/>
                <w:noProof/>
                <w:lang w:val="en-AU" w:eastAsia="en-AU"/>
              </w:rPr>
              <w:drawing>
                <wp:inline distT="0" distB="0" distL="0" distR="0" wp14:anchorId="513038EA" wp14:editId="42043AAE">
                  <wp:extent cx="5114925" cy="3619500"/>
                  <wp:effectExtent l="0" t="0" r="9525" b="0"/>
                  <wp:docPr id="1" name="Picture 1" descr="https://www.dc.nihr.ac.uk/themed-reviews/research-on-assistive-technology.htm" title="Infographic indicating the impact of ageing in the 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Themed review Captur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4925" cy="3619500"/>
                          </a:xfrm>
                          <a:prstGeom prst="rect">
                            <a:avLst/>
                          </a:prstGeom>
                          <a:noFill/>
                          <a:ln>
                            <a:noFill/>
                          </a:ln>
                        </pic:spPr>
                      </pic:pic>
                    </a:graphicData>
                  </a:graphic>
                </wp:inline>
              </w:drawing>
            </w:r>
          </w:p>
        </w:tc>
      </w:tr>
    </w:tbl>
    <w:p w:rsidR="00D73D0F" w:rsidRPr="003B67B8" w:rsidRDefault="00D73D0F" w:rsidP="00D73D0F">
      <w:pPr>
        <w:keepLines/>
        <w:autoSpaceDE w:val="0"/>
        <w:autoSpaceDN w:val="0"/>
        <w:adjustRightInd w:val="0"/>
        <w:rPr>
          <w:rFonts w:ascii="Garamond" w:hAnsi="Garamond"/>
          <w:i/>
          <w:lang w:val="en-AU"/>
        </w:rPr>
      </w:pPr>
      <w:r w:rsidRPr="003B67B8">
        <w:rPr>
          <w:rFonts w:ascii="Garamond" w:hAnsi="Garamond"/>
          <w:i/>
          <w:lang w:val="en-AU"/>
        </w:rPr>
        <w:lastRenderedPageBreak/>
        <w:t>A Patient-Safe Future</w:t>
      </w:r>
      <w:r>
        <w:rPr>
          <w:rFonts w:ascii="Garamond" w:hAnsi="Garamond"/>
          <w:i/>
          <w:lang w:val="en-AU"/>
        </w:rPr>
        <w:t xml:space="preserve">: </w:t>
      </w:r>
      <w:r w:rsidRPr="003B67B8">
        <w:rPr>
          <w:rFonts w:ascii="Garamond" w:hAnsi="Garamond"/>
          <w:i/>
          <w:lang w:val="en-AU"/>
        </w:rPr>
        <w:t>A Patient Safety Learning</w:t>
      </w:r>
      <w:r>
        <w:rPr>
          <w:rFonts w:ascii="Garamond" w:hAnsi="Garamond"/>
          <w:i/>
          <w:lang w:val="en-AU"/>
        </w:rPr>
        <w:t xml:space="preserve"> </w:t>
      </w:r>
      <w:r w:rsidRPr="003B67B8">
        <w:rPr>
          <w:rFonts w:ascii="Garamond" w:hAnsi="Garamond"/>
          <w:i/>
          <w:lang w:val="en-AU"/>
        </w:rPr>
        <w:t>Green Paper</w:t>
      </w:r>
    </w:p>
    <w:p w:rsidR="00D73D0F" w:rsidRDefault="00D73D0F" w:rsidP="00D73D0F">
      <w:pPr>
        <w:keepLines/>
        <w:autoSpaceDE w:val="0"/>
        <w:autoSpaceDN w:val="0"/>
        <w:adjustRightInd w:val="0"/>
        <w:rPr>
          <w:rFonts w:ascii="Garamond" w:hAnsi="Garamond"/>
          <w:lang w:val="en-AU"/>
        </w:rPr>
      </w:pPr>
      <w:r w:rsidRPr="003B67B8">
        <w:rPr>
          <w:rFonts w:ascii="Garamond" w:hAnsi="Garamond"/>
          <w:lang w:val="en-AU"/>
        </w:rPr>
        <w:t>Patient Safety Learning: London; 2018</w:t>
      </w:r>
      <w:r>
        <w:rPr>
          <w:rFonts w:ascii="Garamond" w:hAnsi="Garamond"/>
          <w:lang w:val="en-AU"/>
        </w:rPr>
        <w:t>, p.45</w:t>
      </w:r>
      <w:r w:rsidRPr="003B67B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73D0F" w:rsidRPr="000170DA" w:rsidTr="002C1B37">
        <w:tc>
          <w:tcPr>
            <w:tcW w:w="1080" w:type="dxa"/>
            <w:tcBorders>
              <w:top w:val="single" w:sz="4" w:space="0" w:color="auto"/>
              <w:left w:val="single" w:sz="4" w:space="0" w:color="auto"/>
              <w:bottom w:val="single" w:sz="4" w:space="0" w:color="auto"/>
              <w:right w:val="single" w:sz="4" w:space="0" w:color="auto"/>
            </w:tcBorders>
            <w:vAlign w:val="center"/>
          </w:tcPr>
          <w:p w:rsidR="00D73D0F" w:rsidRPr="000170DA" w:rsidRDefault="00D73D0F" w:rsidP="002C1B3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73D0F" w:rsidRPr="000170DA" w:rsidRDefault="00D73D0F" w:rsidP="002C1B37">
            <w:pPr>
              <w:rPr>
                <w:rStyle w:val="Hyperlink"/>
                <w:rFonts w:ascii="Garamond" w:hAnsi="Garamond"/>
                <w:color w:val="auto"/>
                <w:u w:val="none"/>
                <w:lang w:val="en-AU"/>
              </w:rPr>
            </w:pPr>
            <w:hyperlink r:id="rId20" w:history="1">
              <w:r w:rsidRPr="006F4D09">
                <w:rPr>
                  <w:rStyle w:val="Hyperlink"/>
                  <w:rFonts w:ascii="Garamond" w:hAnsi="Garamond"/>
                  <w:lang w:val="en-AU"/>
                </w:rPr>
                <w:t>https://www.patientsafetylearning.org/blog/a-patient-safe-future</w:t>
              </w:r>
            </w:hyperlink>
          </w:p>
        </w:tc>
      </w:tr>
      <w:tr w:rsidR="00D73D0F" w:rsidRPr="000170DA" w:rsidTr="002C1B37">
        <w:tc>
          <w:tcPr>
            <w:tcW w:w="1080" w:type="dxa"/>
            <w:tcBorders>
              <w:top w:val="single" w:sz="4" w:space="0" w:color="auto"/>
              <w:left w:val="single" w:sz="4" w:space="0" w:color="auto"/>
              <w:bottom w:val="single" w:sz="4" w:space="0" w:color="auto"/>
              <w:right w:val="single" w:sz="4" w:space="0" w:color="auto"/>
            </w:tcBorders>
            <w:vAlign w:val="center"/>
          </w:tcPr>
          <w:p w:rsidR="00D73D0F" w:rsidRPr="000170DA" w:rsidRDefault="00D73D0F" w:rsidP="002C1B3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73D0F" w:rsidRPr="003B67B8" w:rsidRDefault="00D73D0F" w:rsidP="002C1B37">
            <w:pPr>
              <w:rPr>
                <w:rFonts w:ascii="Garamond" w:hAnsi="Garamond"/>
                <w:lang w:val="en-AU"/>
              </w:rPr>
            </w:pPr>
            <w:r>
              <w:rPr>
                <w:rFonts w:ascii="Garamond" w:hAnsi="Garamond"/>
                <w:lang w:val="en-AU"/>
              </w:rPr>
              <w:t xml:space="preserve">The UK’s Patient Safety Learning (an </w:t>
            </w:r>
            <w:r w:rsidRPr="003B67B8">
              <w:rPr>
                <w:rFonts w:ascii="Garamond" w:hAnsi="Garamond"/>
                <w:lang w:val="en-AU"/>
              </w:rPr>
              <w:t>independent, non</w:t>
            </w:r>
            <w:r>
              <w:rPr>
                <w:rFonts w:ascii="Garamond" w:hAnsi="Garamond"/>
                <w:lang w:val="en-AU"/>
              </w:rPr>
              <w:t>-</w:t>
            </w:r>
            <w:r w:rsidRPr="003B67B8">
              <w:rPr>
                <w:rFonts w:ascii="Garamond" w:hAnsi="Garamond"/>
                <w:lang w:val="en-AU"/>
              </w:rPr>
              <w:t>political and not</w:t>
            </w:r>
            <w:r>
              <w:rPr>
                <w:rFonts w:ascii="Garamond" w:hAnsi="Garamond"/>
                <w:lang w:val="en-AU"/>
              </w:rPr>
              <w:t>-</w:t>
            </w:r>
            <w:r w:rsidRPr="003B67B8">
              <w:rPr>
                <w:rFonts w:ascii="Garamond" w:hAnsi="Garamond"/>
                <w:lang w:val="en-AU"/>
              </w:rPr>
              <w:t>for</w:t>
            </w:r>
            <w:r>
              <w:rPr>
                <w:rFonts w:ascii="Garamond" w:hAnsi="Garamond"/>
                <w:lang w:val="en-AU"/>
              </w:rPr>
              <w:t>-</w:t>
            </w:r>
            <w:r w:rsidRPr="003B67B8">
              <w:rPr>
                <w:rFonts w:ascii="Garamond" w:hAnsi="Garamond"/>
                <w:lang w:val="en-AU"/>
              </w:rPr>
              <w:t>profit organisation</w:t>
            </w:r>
            <w:r>
              <w:rPr>
                <w:rFonts w:ascii="Garamond" w:hAnsi="Garamond"/>
                <w:lang w:val="en-AU"/>
              </w:rPr>
              <w:t xml:space="preserve">) has produced this green paper on how the (UK) health system could better support patient-safe care. The </w:t>
            </w:r>
            <w:r w:rsidRPr="003B67B8">
              <w:rPr>
                <w:rFonts w:ascii="Garamond" w:hAnsi="Garamond"/>
                <w:lang w:val="en-AU"/>
              </w:rPr>
              <w:t>paper focuses on:</w:t>
            </w:r>
          </w:p>
          <w:p w:rsidR="00D73D0F" w:rsidRPr="003B67B8" w:rsidRDefault="00D73D0F" w:rsidP="002C1B37">
            <w:pPr>
              <w:pStyle w:val="ListParagraph"/>
              <w:numPr>
                <w:ilvl w:val="0"/>
                <w:numId w:val="39"/>
              </w:numPr>
              <w:rPr>
                <w:rFonts w:ascii="Garamond" w:hAnsi="Garamond"/>
                <w:lang w:val="en-AU"/>
              </w:rPr>
            </w:pPr>
            <w:r w:rsidRPr="003B67B8">
              <w:rPr>
                <w:rFonts w:ascii="Garamond" w:hAnsi="Garamond"/>
                <w:lang w:val="en-AU"/>
              </w:rPr>
              <w:t>Patient safety today: an overview of the patient safety landscape</w:t>
            </w:r>
          </w:p>
          <w:p w:rsidR="00D73D0F" w:rsidRPr="003B67B8" w:rsidRDefault="00D73D0F" w:rsidP="002C1B37">
            <w:pPr>
              <w:pStyle w:val="ListParagraph"/>
              <w:numPr>
                <w:ilvl w:val="0"/>
                <w:numId w:val="39"/>
              </w:numPr>
              <w:rPr>
                <w:rFonts w:ascii="Garamond" w:hAnsi="Garamond"/>
                <w:lang w:val="en-AU"/>
              </w:rPr>
            </w:pPr>
            <w:r w:rsidRPr="003B67B8">
              <w:rPr>
                <w:rFonts w:ascii="Garamond" w:hAnsi="Garamond"/>
                <w:lang w:val="en-AU"/>
              </w:rPr>
              <w:t>The persistence of patient harm: a diagnosis of why problems continue</w:t>
            </w:r>
          </w:p>
          <w:p w:rsidR="00D73D0F" w:rsidRPr="003B67B8" w:rsidRDefault="00D73D0F" w:rsidP="002C1B37">
            <w:pPr>
              <w:pStyle w:val="ListParagraph"/>
              <w:numPr>
                <w:ilvl w:val="0"/>
                <w:numId w:val="39"/>
              </w:numPr>
              <w:rPr>
                <w:rFonts w:ascii="Garamond" w:hAnsi="Garamond"/>
                <w:lang w:val="en-AU"/>
              </w:rPr>
            </w:pPr>
            <w:r w:rsidRPr="003B67B8">
              <w:rPr>
                <w:rFonts w:ascii="Garamond" w:hAnsi="Garamond"/>
                <w:lang w:val="en-AU"/>
              </w:rPr>
              <w:t>The future: what a patient-safe future looks like</w:t>
            </w:r>
          </w:p>
          <w:p w:rsidR="00D73D0F" w:rsidRPr="003B67B8" w:rsidRDefault="00D73D0F" w:rsidP="002C1B37">
            <w:pPr>
              <w:pStyle w:val="ListParagraph"/>
              <w:numPr>
                <w:ilvl w:val="0"/>
                <w:numId w:val="39"/>
              </w:numPr>
              <w:rPr>
                <w:rFonts w:ascii="Garamond" w:hAnsi="Garamond"/>
                <w:lang w:val="en-AU"/>
              </w:rPr>
            </w:pPr>
            <w:r w:rsidRPr="003B67B8">
              <w:rPr>
                <w:rFonts w:ascii="Garamond" w:hAnsi="Garamond"/>
                <w:lang w:val="en-AU"/>
              </w:rPr>
              <w:t>Our role: how Patient Safety Learning proposes how to help make a difference</w:t>
            </w:r>
          </w:p>
          <w:p w:rsidR="00D73D0F" w:rsidRPr="003B67B8" w:rsidRDefault="00D73D0F" w:rsidP="002C1B37">
            <w:pPr>
              <w:pStyle w:val="ListParagraph"/>
              <w:numPr>
                <w:ilvl w:val="0"/>
                <w:numId w:val="39"/>
              </w:numPr>
              <w:rPr>
                <w:rFonts w:ascii="Garamond" w:hAnsi="Garamond"/>
                <w:lang w:val="en-AU"/>
              </w:rPr>
            </w:pPr>
            <w:r w:rsidRPr="003B67B8">
              <w:rPr>
                <w:rFonts w:ascii="Garamond" w:hAnsi="Garamond"/>
                <w:lang w:val="en-AU"/>
              </w:rPr>
              <w:t>System wide proposals: our thoughts on changes that we believe are needed in the wider healthcare system</w:t>
            </w:r>
            <w:r>
              <w:rPr>
                <w:rFonts w:ascii="Garamond" w:hAnsi="Garamond"/>
                <w:lang w:val="en-AU"/>
              </w:rPr>
              <w:t>.</w:t>
            </w:r>
          </w:p>
        </w:tc>
      </w:tr>
    </w:tbl>
    <w:p w:rsidR="00D73D0F" w:rsidRDefault="00D73D0F" w:rsidP="00D73D0F">
      <w:pPr>
        <w:rPr>
          <w:rFonts w:ascii="Garamond" w:hAnsi="Garamond"/>
          <w:lang w:val="en-AU"/>
        </w:rPr>
      </w:pPr>
    </w:p>
    <w:p w:rsidR="00D73D0F" w:rsidRDefault="00D73D0F" w:rsidP="00D73D0F">
      <w:pPr>
        <w:rPr>
          <w:rFonts w:ascii="Garamond" w:hAnsi="Garamond"/>
          <w:i/>
          <w:lang w:val="en-AU"/>
        </w:rPr>
      </w:pPr>
      <w:r w:rsidRPr="006F43F5">
        <w:rPr>
          <w:rFonts w:ascii="Garamond" w:hAnsi="Garamond"/>
          <w:i/>
          <w:lang w:val="en-AU"/>
        </w:rPr>
        <w:t xml:space="preserve">Shifting gears: </w:t>
      </w:r>
      <w:r>
        <w:rPr>
          <w:rFonts w:ascii="Garamond" w:hAnsi="Garamond"/>
          <w:i/>
          <w:lang w:val="en-AU"/>
        </w:rPr>
        <w:t>C</w:t>
      </w:r>
      <w:r w:rsidRPr="006F43F5">
        <w:rPr>
          <w:rFonts w:ascii="Garamond" w:hAnsi="Garamond"/>
          <w:i/>
          <w:lang w:val="en-AU"/>
        </w:rPr>
        <w:t>onsumers transforming health</w:t>
      </w:r>
    </w:p>
    <w:p w:rsidR="00D73D0F" w:rsidRPr="006F43F5" w:rsidRDefault="00D73D0F" w:rsidP="00D73D0F">
      <w:pPr>
        <w:rPr>
          <w:rFonts w:ascii="Garamond" w:hAnsi="Garamond"/>
          <w:lang w:val="en-AU"/>
        </w:rPr>
      </w:pPr>
      <w:r w:rsidRPr="006F43F5">
        <w:rPr>
          <w:rFonts w:ascii="Garamond" w:hAnsi="Garamond"/>
          <w:lang w:val="en-AU"/>
        </w:rPr>
        <w:t>Consumers Health Forum of Australia</w:t>
      </w:r>
      <w:r>
        <w:rPr>
          <w:rFonts w:ascii="Garamond" w:hAnsi="Garamond"/>
          <w:lang w:val="en-AU"/>
        </w:rPr>
        <w:t>: Canberra; 2018, p.18.</w:t>
      </w:r>
    </w:p>
    <w:tbl>
      <w:tblPr>
        <w:tblStyle w:val="TableGrid"/>
        <w:tblW w:w="0" w:type="auto"/>
        <w:tblInd w:w="288" w:type="dxa"/>
        <w:tblLayout w:type="fixed"/>
        <w:tblLook w:val="01E0" w:firstRow="1" w:lastRow="1" w:firstColumn="1" w:lastColumn="1" w:noHBand="0" w:noVBand="0"/>
      </w:tblPr>
      <w:tblGrid>
        <w:gridCol w:w="1080"/>
        <w:gridCol w:w="8280"/>
      </w:tblGrid>
      <w:tr w:rsidR="00D73D0F" w:rsidRPr="000170DA" w:rsidTr="002C1B37">
        <w:tc>
          <w:tcPr>
            <w:tcW w:w="1080" w:type="dxa"/>
            <w:tcBorders>
              <w:top w:val="single" w:sz="4" w:space="0" w:color="auto"/>
              <w:left w:val="single" w:sz="4" w:space="0" w:color="auto"/>
              <w:bottom w:val="single" w:sz="4" w:space="0" w:color="auto"/>
              <w:right w:val="single" w:sz="4" w:space="0" w:color="auto"/>
            </w:tcBorders>
            <w:vAlign w:val="center"/>
          </w:tcPr>
          <w:p w:rsidR="00D73D0F" w:rsidRPr="000170DA" w:rsidRDefault="00D73D0F" w:rsidP="002C1B3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73D0F" w:rsidRPr="000170DA" w:rsidRDefault="00D73D0F" w:rsidP="002C1B37">
            <w:pPr>
              <w:rPr>
                <w:rStyle w:val="Hyperlink"/>
                <w:rFonts w:ascii="Garamond" w:hAnsi="Garamond"/>
                <w:color w:val="auto"/>
                <w:u w:val="none"/>
                <w:lang w:val="en-AU"/>
              </w:rPr>
            </w:pPr>
            <w:hyperlink r:id="rId21" w:history="1">
              <w:r w:rsidRPr="00DC32F9">
                <w:rPr>
                  <w:rStyle w:val="Hyperlink"/>
                  <w:rFonts w:ascii="Garamond" w:hAnsi="Garamond"/>
                  <w:lang w:val="en-AU"/>
                </w:rPr>
                <w:t>https://chf.org.au/media-releases/shifting-gears-consumer-health</w:t>
              </w:r>
            </w:hyperlink>
          </w:p>
        </w:tc>
      </w:tr>
      <w:tr w:rsidR="00D73D0F" w:rsidRPr="000170DA" w:rsidTr="002C1B37">
        <w:tc>
          <w:tcPr>
            <w:tcW w:w="1080" w:type="dxa"/>
            <w:tcBorders>
              <w:top w:val="single" w:sz="4" w:space="0" w:color="auto"/>
              <w:left w:val="single" w:sz="4" w:space="0" w:color="auto"/>
              <w:bottom w:val="single" w:sz="4" w:space="0" w:color="auto"/>
              <w:right w:val="single" w:sz="4" w:space="0" w:color="auto"/>
            </w:tcBorders>
            <w:vAlign w:val="center"/>
          </w:tcPr>
          <w:p w:rsidR="00D73D0F" w:rsidRPr="000170DA" w:rsidRDefault="00D73D0F" w:rsidP="002C1B3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73D0F" w:rsidRPr="000365E9" w:rsidRDefault="00D73D0F" w:rsidP="002C1B37">
            <w:pPr>
              <w:rPr>
                <w:rFonts w:ascii="Garamond" w:hAnsi="Garamond"/>
                <w:lang w:val="en-AU"/>
              </w:rPr>
            </w:pPr>
            <w:r>
              <w:rPr>
                <w:rFonts w:ascii="Garamond" w:hAnsi="Garamond"/>
                <w:lang w:val="en-AU"/>
              </w:rPr>
              <w:t xml:space="preserve">The </w:t>
            </w:r>
            <w:r w:rsidRPr="006F43F5">
              <w:rPr>
                <w:rFonts w:ascii="Garamond" w:hAnsi="Garamond"/>
                <w:lang w:val="en-AU"/>
              </w:rPr>
              <w:t>Consumers Health Forum of Australia</w:t>
            </w:r>
            <w:r>
              <w:rPr>
                <w:rFonts w:ascii="Garamond" w:hAnsi="Garamond"/>
                <w:lang w:val="en-AU"/>
              </w:rPr>
              <w:t xml:space="preserve"> has produced this white paper that looks at the role consumers have had and may have in influencing the health system. The reports seeks to </w:t>
            </w:r>
            <w:r w:rsidRPr="00C314DE">
              <w:rPr>
                <w:rFonts w:ascii="Garamond" w:hAnsi="Garamond"/>
                <w:lang w:val="en-AU"/>
              </w:rPr>
              <w:t>set out the transformational changes needed to deliver a person-centred health care system and a program for training and developing health consumer leaders in a range of roles which would foster more dynamic and responsive health care.</w:t>
            </w:r>
            <w:r>
              <w:rPr>
                <w:rFonts w:ascii="Garamond" w:hAnsi="Garamond"/>
                <w:lang w:val="en-AU"/>
              </w:rPr>
              <w:t xml:space="preserve"> The report </w:t>
            </w:r>
            <w:r w:rsidRPr="00C314DE">
              <w:rPr>
                <w:rFonts w:ascii="Garamond" w:hAnsi="Garamond"/>
                <w:lang w:val="en-AU"/>
              </w:rPr>
              <w:t>proposes key roles for consumers</w:t>
            </w:r>
            <w:r>
              <w:rPr>
                <w:rFonts w:ascii="Garamond" w:hAnsi="Garamond"/>
                <w:lang w:val="en-AU"/>
              </w:rPr>
              <w:t xml:space="preserve">, including the expert patient, </w:t>
            </w:r>
            <w:r w:rsidRPr="00C314DE">
              <w:rPr>
                <w:rFonts w:ascii="Garamond" w:hAnsi="Garamond"/>
                <w:lang w:val="en-AU"/>
              </w:rPr>
              <w:t>change agents, policy influencers, educators, research collaborators</w:t>
            </w:r>
            <w:r>
              <w:rPr>
                <w:rFonts w:ascii="Garamond" w:hAnsi="Garamond"/>
                <w:lang w:val="en-AU"/>
              </w:rPr>
              <w:t xml:space="preserve">, co-designers, and </w:t>
            </w:r>
            <w:r w:rsidRPr="00C314DE">
              <w:rPr>
                <w:rFonts w:ascii="Garamond" w:hAnsi="Garamond"/>
                <w:lang w:val="en-AU"/>
              </w:rPr>
              <w:t>community mobilisers.</w:t>
            </w:r>
          </w:p>
        </w:tc>
      </w:tr>
    </w:tbl>
    <w:p w:rsidR="00D73D0F" w:rsidRDefault="00D73D0F" w:rsidP="00D73D0F">
      <w:pPr>
        <w:keepNext/>
        <w:keepLines/>
        <w:autoSpaceDE w:val="0"/>
        <w:autoSpaceDN w:val="0"/>
        <w:adjustRightInd w:val="0"/>
        <w:rPr>
          <w:rFonts w:ascii="Garamond" w:hAnsi="Garamond"/>
          <w:i/>
          <w:lang w:val="en-AU"/>
        </w:rPr>
      </w:pPr>
    </w:p>
    <w:p w:rsidR="00D73D0F" w:rsidRDefault="00D73D0F" w:rsidP="00D73D0F">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w:t>
      </w:r>
      <w:r w:rsidRPr="006F43F5">
        <w:rPr>
          <w:rFonts w:ascii="Garamond" w:hAnsi="Garamond"/>
          <w:lang w:val="en-AU"/>
        </w:rPr>
        <w:t>patient</w:t>
      </w:r>
      <w:r>
        <w:rPr>
          <w:rFonts w:ascii="Garamond" w:hAnsi="Garamond"/>
          <w:lang w:val="en-AU"/>
        </w:rPr>
        <w:t xml:space="preserve"> </w:t>
      </w:r>
      <w:r w:rsidRPr="006F43F5">
        <w:rPr>
          <w:rFonts w:ascii="Garamond" w:hAnsi="Garamond"/>
          <w:lang w:val="en-AU"/>
        </w:rPr>
        <w:t>and</w:t>
      </w:r>
      <w:r>
        <w:rPr>
          <w:rFonts w:ascii="Garamond" w:hAnsi="Garamond"/>
          <w:lang w:val="en-AU"/>
        </w:rPr>
        <w:t xml:space="preserve"> </w:t>
      </w:r>
      <w:r w:rsidRPr="006F43F5">
        <w:rPr>
          <w:rFonts w:ascii="Garamond" w:hAnsi="Garamond"/>
          <w:lang w:val="en-AU"/>
        </w:rPr>
        <w:t>consumer</w:t>
      </w:r>
      <w:r>
        <w:rPr>
          <w:rFonts w:ascii="Garamond" w:hAnsi="Garamond"/>
          <w:lang w:val="en-AU"/>
        </w:rPr>
        <w:t xml:space="preserve"> </w:t>
      </w:r>
      <w:r w:rsidRPr="006F43F5">
        <w:rPr>
          <w:rFonts w:ascii="Garamond" w:hAnsi="Garamond"/>
          <w:lang w:val="en-AU"/>
        </w:rPr>
        <w:t>centred</w:t>
      </w:r>
      <w:r>
        <w:rPr>
          <w:rFonts w:ascii="Garamond" w:hAnsi="Garamond"/>
          <w:lang w:val="en-AU"/>
        </w:rPr>
        <w:t xml:space="preserve"> </w:t>
      </w:r>
      <w:r w:rsidRPr="006F43F5">
        <w:rPr>
          <w:rFonts w:ascii="Garamond" w:hAnsi="Garamond"/>
          <w:lang w:val="en-AU"/>
        </w:rPr>
        <w:t>care</w:t>
      </w:r>
      <w:r>
        <w:rPr>
          <w:rFonts w:ascii="Garamond" w:hAnsi="Garamond"/>
          <w:lang w:val="en-AU"/>
        </w:rPr>
        <w:t xml:space="preserve">, see </w:t>
      </w:r>
      <w:hyperlink r:id="rId22" w:history="1">
        <w:r w:rsidRPr="00DC32F9">
          <w:rPr>
            <w:rStyle w:val="Hyperlink"/>
            <w:rFonts w:ascii="Garamond" w:hAnsi="Garamond"/>
            <w:lang w:val="en-AU"/>
          </w:rPr>
          <w:t>https://www.safetyandquality.gov.au/our-work/patient-and-consumer-centred-care/</w:t>
        </w:r>
      </w:hyperlink>
    </w:p>
    <w:p w:rsidR="00D73D0F" w:rsidRDefault="00D73D0F" w:rsidP="00D73D0F">
      <w:pPr>
        <w:keepNext/>
        <w:keepLines/>
        <w:autoSpaceDE w:val="0"/>
        <w:autoSpaceDN w:val="0"/>
        <w:adjustRightInd w:val="0"/>
        <w:rPr>
          <w:rFonts w:ascii="Garamond" w:hAnsi="Garamond"/>
          <w:lang w:val="en-AU"/>
        </w:rPr>
      </w:pPr>
    </w:p>
    <w:p w:rsidR="00D73D0F" w:rsidRDefault="00D73D0F" w:rsidP="00D73D0F">
      <w:pPr>
        <w:keepNext/>
        <w:keepLines/>
        <w:autoSpaceDE w:val="0"/>
        <w:autoSpaceDN w:val="0"/>
        <w:adjustRightInd w:val="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D73D0F" w:rsidRDefault="00D73D0F" w:rsidP="00D73D0F">
      <w:pPr>
        <w:keepNext/>
        <w:keepLines/>
        <w:autoSpaceDE w:val="0"/>
        <w:autoSpaceDN w:val="0"/>
        <w:adjustRightInd w:val="0"/>
        <w:rPr>
          <w:rFonts w:ascii="Garamond" w:hAnsi="Garamond"/>
          <w:i/>
          <w:lang w:val="en-AU"/>
        </w:rPr>
      </w:pPr>
    </w:p>
    <w:p w:rsidR="00D73D0F" w:rsidRDefault="00D73D0F" w:rsidP="00D73D0F">
      <w:pPr>
        <w:keepNext/>
        <w:keepLines/>
        <w:autoSpaceDE w:val="0"/>
        <w:autoSpaceDN w:val="0"/>
        <w:adjustRightInd w:val="0"/>
        <w:rPr>
          <w:rFonts w:ascii="Garamond" w:hAnsi="Garamond"/>
          <w:i/>
          <w:lang w:val="en-AU"/>
        </w:rPr>
      </w:pPr>
      <w:r w:rsidRPr="006C5A52">
        <w:rPr>
          <w:rFonts w:ascii="Garamond" w:hAnsi="Garamond"/>
          <w:i/>
          <w:lang w:val="en-AU"/>
        </w:rPr>
        <w:t>Dissecting Communication Barriers in Healthcare: A Path to Enhancing Communication Resiliency, Reliability, and Patient Safety</w:t>
      </w:r>
    </w:p>
    <w:p w:rsidR="00D73D0F" w:rsidRPr="006C5A52" w:rsidRDefault="00D73D0F" w:rsidP="00D73D0F">
      <w:pPr>
        <w:keepNext/>
        <w:keepLines/>
        <w:autoSpaceDE w:val="0"/>
        <w:autoSpaceDN w:val="0"/>
        <w:adjustRightInd w:val="0"/>
        <w:rPr>
          <w:rFonts w:ascii="Garamond" w:hAnsi="Garamond"/>
          <w:lang w:val="en-AU"/>
        </w:rPr>
      </w:pPr>
      <w:proofErr w:type="spellStart"/>
      <w:r w:rsidRPr="006C5A52">
        <w:rPr>
          <w:rFonts w:ascii="Garamond" w:hAnsi="Garamond"/>
          <w:lang w:val="en-AU"/>
        </w:rPr>
        <w:t>Guttman</w:t>
      </w:r>
      <w:proofErr w:type="spellEnd"/>
      <w:r w:rsidRPr="006C5A52">
        <w:rPr>
          <w:rFonts w:ascii="Garamond" w:hAnsi="Garamond"/>
          <w:lang w:val="en-AU"/>
        </w:rPr>
        <w:t xml:space="preserve"> OT, </w:t>
      </w:r>
      <w:proofErr w:type="spellStart"/>
      <w:r w:rsidRPr="006C5A52">
        <w:rPr>
          <w:rFonts w:ascii="Garamond" w:hAnsi="Garamond"/>
          <w:lang w:val="en-AU"/>
        </w:rPr>
        <w:t>Lazzara</w:t>
      </w:r>
      <w:proofErr w:type="spellEnd"/>
      <w:r w:rsidRPr="006C5A52">
        <w:rPr>
          <w:rFonts w:ascii="Garamond" w:hAnsi="Garamond"/>
          <w:lang w:val="en-AU"/>
        </w:rPr>
        <w:t xml:space="preserve"> EH, Keebler JR, Webster KLW, </w:t>
      </w:r>
      <w:proofErr w:type="spellStart"/>
      <w:r w:rsidRPr="006C5A52">
        <w:rPr>
          <w:rFonts w:ascii="Garamond" w:hAnsi="Garamond"/>
          <w:lang w:val="en-AU"/>
        </w:rPr>
        <w:t>Gisick</w:t>
      </w:r>
      <w:proofErr w:type="spellEnd"/>
      <w:r w:rsidRPr="006C5A52">
        <w:rPr>
          <w:rFonts w:ascii="Garamond" w:hAnsi="Garamond"/>
          <w:lang w:val="en-AU"/>
        </w:rPr>
        <w:t xml:space="preserve"> LM, Baker AL</w:t>
      </w:r>
    </w:p>
    <w:p w:rsidR="00D73D0F" w:rsidRPr="006C5A52" w:rsidRDefault="00D73D0F" w:rsidP="00D73D0F">
      <w:pPr>
        <w:keepNext/>
        <w:keepLines/>
        <w:autoSpaceDE w:val="0"/>
        <w:autoSpaceDN w:val="0"/>
        <w:adjustRightInd w:val="0"/>
        <w:rPr>
          <w:rFonts w:ascii="Garamond" w:hAnsi="Garamond"/>
          <w:lang w:val="en-AU"/>
        </w:rPr>
      </w:pPr>
      <w:proofErr w:type="gramStart"/>
      <w:r w:rsidRPr="006C5A52">
        <w:rPr>
          <w:rFonts w:ascii="Garamond" w:hAnsi="Garamond"/>
          <w:lang w:val="en-AU"/>
        </w:rPr>
        <w:t>Journal of Patient Safety.</w:t>
      </w:r>
      <w:proofErr w:type="gramEnd"/>
      <w:r w:rsidRPr="006C5A52">
        <w:rPr>
          <w:rFonts w:ascii="Garamond" w:hAnsi="Garamond"/>
          <w:lang w:val="en-AU"/>
        </w:rPr>
        <w:t xml:space="preserve"> </w:t>
      </w:r>
      <w:proofErr w:type="gramStart"/>
      <w:r w:rsidRPr="006C5A52">
        <w:rPr>
          <w:rFonts w:ascii="Garamond" w:hAnsi="Garamond"/>
          <w:lang w:val="en-AU"/>
        </w:rPr>
        <w:t>2018</w:t>
      </w:r>
      <w:r>
        <w:rPr>
          <w:rFonts w:ascii="Garamond" w:hAnsi="Garamond"/>
          <w:lang w:val="en-AU"/>
        </w:rPr>
        <w:t xml:space="preserve"> [</w:t>
      </w:r>
      <w:proofErr w:type="spellStart"/>
      <w:r>
        <w:rPr>
          <w:rFonts w:ascii="Garamond" w:hAnsi="Garamond"/>
          <w:lang w:val="en-AU"/>
        </w:rPr>
        <w:t>epub</w:t>
      </w:r>
      <w:proofErr w:type="spellEnd"/>
      <w:r>
        <w:rPr>
          <w:rFonts w:ascii="Garamond" w:hAnsi="Garamond"/>
          <w:lang w:val="en-AU"/>
        </w:rPr>
        <w:t>]</w:t>
      </w:r>
      <w:r w:rsidRPr="006C5A52">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73D0F" w:rsidRPr="000170DA" w:rsidTr="002C1B37">
        <w:tc>
          <w:tcPr>
            <w:tcW w:w="1080" w:type="dxa"/>
            <w:tcBorders>
              <w:top w:val="single" w:sz="4" w:space="0" w:color="auto"/>
              <w:left w:val="single" w:sz="4" w:space="0" w:color="auto"/>
              <w:bottom w:val="single" w:sz="4" w:space="0" w:color="auto"/>
              <w:right w:val="single" w:sz="4" w:space="0" w:color="auto"/>
            </w:tcBorders>
            <w:vAlign w:val="center"/>
          </w:tcPr>
          <w:p w:rsidR="00D73D0F" w:rsidRPr="000170DA" w:rsidRDefault="00D73D0F" w:rsidP="002C1B3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73D0F" w:rsidRPr="000170DA" w:rsidRDefault="00D73D0F" w:rsidP="002C1B37">
            <w:pPr>
              <w:rPr>
                <w:rStyle w:val="Hyperlink"/>
                <w:rFonts w:ascii="Garamond" w:hAnsi="Garamond"/>
                <w:color w:val="auto"/>
                <w:u w:val="none"/>
                <w:lang w:val="en-AU"/>
              </w:rPr>
            </w:pPr>
            <w:hyperlink r:id="rId23" w:history="1">
              <w:r w:rsidRPr="00382650">
                <w:rPr>
                  <w:rStyle w:val="Hyperlink"/>
                  <w:rFonts w:ascii="Garamond" w:hAnsi="Garamond"/>
                  <w:lang w:val="en-AU"/>
                </w:rPr>
                <w:t>https://doi.org/10.1097/PTS.0000000000000541</w:t>
              </w:r>
            </w:hyperlink>
          </w:p>
        </w:tc>
      </w:tr>
      <w:tr w:rsidR="00D73D0F" w:rsidRPr="000170DA" w:rsidTr="002C1B37">
        <w:tc>
          <w:tcPr>
            <w:tcW w:w="1080" w:type="dxa"/>
            <w:tcBorders>
              <w:top w:val="single" w:sz="4" w:space="0" w:color="auto"/>
              <w:left w:val="single" w:sz="4" w:space="0" w:color="auto"/>
              <w:bottom w:val="single" w:sz="4" w:space="0" w:color="auto"/>
              <w:right w:val="single" w:sz="4" w:space="0" w:color="auto"/>
            </w:tcBorders>
            <w:vAlign w:val="center"/>
          </w:tcPr>
          <w:p w:rsidR="00D73D0F" w:rsidRPr="000170DA" w:rsidRDefault="00D73D0F" w:rsidP="002C1B3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73D0F" w:rsidRPr="000365E9" w:rsidRDefault="00D73D0F" w:rsidP="002C1B37">
            <w:pPr>
              <w:rPr>
                <w:rFonts w:ascii="Garamond" w:hAnsi="Garamond"/>
                <w:lang w:val="en-AU"/>
              </w:rPr>
            </w:pPr>
            <w:r>
              <w:rPr>
                <w:rFonts w:ascii="Garamond" w:hAnsi="Garamond"/>
                <w:lang w:val="en-AU"/>
              </w:rPr>
              <w:t>The importance and role of communication in both good and lesser quality and safety of health care is not always appreciated. However, as the authors of this Editorial note, ‘</w:t>
            </w:r>
            <w:r w:rsidRPr="006C5A52">
              <w:rPr>
                <w:rFonts w:ascii="Garamond" w:hAnsi="Garamond"/>
                <w:lang w:val="en-AU"/>
              </w:rPr>
              <w:t>Suboptimal exchange of information can have tragic consequences to patient's safety and survival</w:t>
            </w:r>
            <w:r>
              <w:rPr>
                <w:rFonts w:ascii="Garamond" w:hAnsi="Garamond"/>
                <w:lang w:val="en-AU"/>
              </w:rPr>
              <w:t>…</w:t>
            </w:r>
            <w:r w:rsidRPr="006C5A52">
              <w:rPr>
                <w:rFonts w:ascii="Garamond" w:hAnsi="Garamond"/>
                <w:lang w:val="en-AU"/>
              </w:rPr>
              <w:t>the Joint Commission lists communication error among the most common attributable causes of sentinel events</w:t>
            </w:r>
            <w:r>
              <w:rPr>
                <w:rFonts w:ascii="Garamond" w:hAnsi="Garamond"/>
                <w:lang w:val="en-AU"/>
              </w:rPr>
              <w:t>’ and ‘</w:t>
            </w:r>
            <w:r w:rsidRPr="006C5A52">
              <w:rPr>
                <w:rFonts w:ascii="Garamond" w:hAnsi="Garamond"/>
                <w:lang w:val="en-AU"/>
              </w:rPr>
              <w:t>risk management literature ascribing communication error as a major factor (70%) in adverse events</w:t>
            </w:r>
            <w:r>
              <w:rPr>
                <w:rFonts w:ascii="Garamond" w:hAnsi="Garamond"/>
                <w:lang w:val="en-AU"/>
              </w:rPr>
              <w:t>.’ However, they go on to observe that ‘</w:t>
            </w:r>
            <w:r w:rsidRPr="006C5A52">
              <w:rPr>
                <w:rFonts w:ascii="Garamond" w:hAnsi="Garamond"/>
                <w:lang w:val="en-AU"/>
              </w:rPr>
              <w:t>Attributing a breakdown in information exchange to simply a generic “communication error” without further specification is ineffective and a gross oversimplification of a complex phenomenon.</w:t>
            </w:r>
            <w:r>
              <w:rPr>
                <w:rFonts w:ascii="Garamond" w:hAnsi="Garamond"/>
                <w:lang w:val="en-AU"/>
              </w:rPr>
              <w:t>’ In the editorial the authors describe their efforts to break down ‘</w:t>
            </w:r>
            <w:r w:rsidRPr="006C5A52">
              <w:rPr>
                <w:rFonts w:ascii="Garamond" w:hAnsi="Garamond"/>
                <w:lang w:val="en-AU"/>
              </w:rPr>
              <w:t>communication in healthcare into its elemental parts</w:t>
            </w:r>
            <w:r>
              <w:rPr>
                <w:rFonts w:ascii="Garamond" w:hAnsi="Garamond"/>
                <w:lang w:val="en-AU"/>
              </w:rPr>
              <w:t>’ as part of</w:t>
            </w:r>
            <w:r w:rsidRPr="006C5A52">
              <w:rPr>
                <w:rFonts w:ascii="Garamond" w:hAnsi="Garamond"/>
                <w:lang w:val="en-AU"/>
              </w:rPr>
              <w:t xml:space="preserve"> a </w:t>
            </w:r>
            <w:r>
              <w:rPr>
                <w:rFonts w:ascii="Garamond" w:hAnsi="Garamond"/>
                <w:lang w:val="en-AU"/>
              </w:rPr>
              <w:t>‘</w:t>
            </w:r>
            <w:r w:rsidRPr="006C5A52">
              <w:rPr>
                <w:rFonts w:ascii="Garamond" w:hAnsi="Garamond"/>
                <w:lang w:val="en-AU"/>
              </w:rPr>
              <w:t>more effective organizational learning strategy</w:t>
            </w:r>
            <w:r>
              <w:rPr>
                <w:rFonts w:ascii="Garamond" w:hAnsi="Garamond"/>
                <w:lang w:val="en-AU"/>
              </w:rPr>
              <w:t>…</w:t>
            </w:r>
            <w:r w:rsidRPr="006C5A52">
              <w:rPr>
                <w:rFonts w:ascii="Garamond" w:hAnsi="Garamond"/>
                <w:lang w:val="en-AU"/>
              </w:rPr>
              <w:t>to enable more focused patient safety improvement efforts</w:t>
            </w:r>
            <w:r>
              <w:rPr>
                <w:rFonts w:ascii="Garamond" w:hAnsi="Garamond"/>
                <w:lang w:val="en-AU"/>
              </w:rPr>
              <w:t>’</w:t>
            </w:r>
            <w:r w:rsidRPr="006C5A52">
              <w:rPr>
                <w:rFonts w:ascii="Garamond" w:hAnsi="Garamond"/>
                <w:lang w:val="en-AU"/>
              </w:rPr>
              <w:t>.</w:t>
            </w:r>
            <w:r>
              <w:rPr>
                <w:rFonts w:ascii="Garamond" w:hAnsi="Garamond"/>
                <w:lang w:val="en-AU"/>
              </w:rPr>
              <w:t xml:space="preserve"> This in turn allows them to attempt to ‘</w:t>
            </w:r>
            <w:r w:rsidRPr="006C5A52">
              <w:rPr>
                <w:rFonts w:ascii="Garamond" w:hAnsi="Garamond"/>
                <w:lang w:val="en-AU"/>
              </w:rPr>
              <w:t xml:space="preserve">map evidence-based recovery strategies and tools </w:t>
            </w:r>
            <w:r>
              <w:rPr>
                <w:rFonts w:ascii="Garamond" w:hAnsi="Garamond"/>
                <w:lang w:val="en-AU"/>
              </w:rPr>
              <w:t>…</w:t>
            </w:r>
            <w:r w:rsidRPr="006C5A52">
              <w:rPr>
                <w:rFonts w:ascii="Garamond" w:hAnsi="Garamond"/>
                <w:lang w:val="en-AU"/>
              </w:rPr>
              <w:t>enhance the reliability and validity of information exchange within healthcare</w:t>
            </w:r>
            <w:r>
              <w:rPr>
                <w:rFonts w:ascii="Garamond" w:hAnsi="Garamond"/>
                <w:lang w:val="en-AU"/>
              </w:rPr>
              <w:t>.’</w:t>
            </w:r>
          </w:p>
        </w:tc>
      </w:tr>
    </w:tbl>
    <w:p w:rsidR="00D73D0F" w:rsidRDefault="00D73D0F" w:rsidP="00D73D0F">
      <w:pPr>
        <w:keepNext/>
        <w:keepLines/>
        <w:autoSpaceDE w:val="0"/>
        <w:autoSpaceDN w:val="0"/>
        <w:adjustRightInd w:val="0"/>
        <w:rPr>
          <w:rFonts w:ascii="Garamond" w:hAnsi="Garamond"/>
          <w:lang w:val="en-AU"/>
        </w:rPr>
      </w:pPr>
      <w:r>
        <w:rPr>
          <w:rFonts w:ascii="Garamond" w:hAnsi="Garamond"/>
          <w:lang w:val="en-AU"/>
        </w:rPr>
        <w:lastRenderedPageBreak/>
        <w:t xml:space="preserve">For information about the Commission’s work on clinical communications, see </w:t>
      </w:r>
      <w:hyperlink r:id="rId24" w:history="1">
        <w:r w:rsidRPr="00382650">
          <w:rPr>
            <w:rStyle w:val="Hyperlink"/>
            <w:rFonts w:ascii="Garamond" w:hAnsi="Garamond"/>
            <w:lang w:val="en-AU"/>
          </w:rPr>
          <w:t>https://www.safetyandquality.gov.au/our-work/clinical-communications/</w:t>
        </w:r>
      </w:hyperlink>
    </w:p>
    <w:p w:rsidR="00D73D0F" w:rsidRDefault="00D73D0F" w:rsidP="00D73D0F">
      <w:pPr>
        <w:keepNext/>
        <w:keepLines/>
        <w:autoSpaceDE w:val="0"/>
        <w:autoSpaceDN w:val="0"/>
        <w:adjustRightInd w:val="0"/>
        <w:rPr>
          <w:rFonts w:ascii="Garamond" w:hAnsi="Garamond"/>
          <w:i/>
          <w:lang w:val="en-AU"/>
        </w:rPr>
      </w:pPr>
    </w:p>
    <w:p w:rsidR="00497E3B" w:rsidRPr="00497E3B" w:rsidRDefault="00497E3B" w:rsidP="00497E3B">
      <w:pPr>
        <w:keepNext/>
        <w:keepLines/>
        <w:autoSpaceDE w:val="0"/>
        <w:autoSpaceDN w:val="0"/>
        <w:adjustRightInd w:val="0"/>
        <w:rPr>
          <w:rFonts w:ascii="Garamond" w:hAnsi="Garamond"/>
          <w:i/>
          <w:lang w:val="en-AU"/>
        </w:rPr>
      </w:pPr>
      <w:r w:rsidRPr="00497E3B">
        <w:rPr>
          <w:rFonts w:ascii="Garamond" w:hAnsi="Garamond"/>
          <w:i/>
          <w:lang w:val="en-AU"/>
        </w:rPr>
        <w:t>It is time to define antimicrobial never events</w:t>
      </w:r>
    </w:p>
    <w:p w:rsidR="00497E3B" w:rsidRDefault="00497E3B" w:rsidP="0016673A">
      <w:pPr>
        <w:keepNext/>
        <w:keepLines/>
        <w:autoSpaceDE w:val="0"/>
        <w:autoSpaceDN w:val="0"/>
        <w:adjustRightInd w:val="0"/>
        <w:rPr>
          <w:rFonts w:ascii="Garamond" w:hAnsi="Garamond"/>
          <w:lang w:val="en-AU"/>
        </w:rPr>
      </w:pPr>
      <w:r w:rsidRPr="00497E3B">
        <w:rPr>
          <w:rFonts w:ascii="Garamond" w:hAnsi="Garamond"/>
          <w:lang w:val="en-AU"/>
        </w:rPr>
        <w:t xml:space="preserve">Liu J, Kaye KS, </w:t>
      </w:r>
      <w:proofErr w:type="spellStart"/>
      <w:r w:rsidRPr="00497E3B">
        <w:rPr>
          <w:rFonts w:ascii="Garamond" w:hAnsi="Garamond"/>
          <w:lang w:val="en-AU"/>
        </w:rPr>
        <w:t>Mercuro</w:t>
      </w:r>
      <w:proofErr w:type="spellEnd"/>
      <w:r w:rsidRPr="00497E3B">
        <w:rPr>
          <w:rFonts w:ascii="Garamond" w:hAnsi="Garamond"/>
          <w:lang w:val="en-AU"/>
        </w:rPr>
        <w:t xml:space="preserve"> NJ, Davis SL, Patel TS, Petty LA, et al</w:t>
      </w:r>
    </w:p>
    <w:p w:rsidR="001D3352" w:rsidRPr="00E566B0" w:rsidRDefault="00497E3B" w:rsidP="0016673A">
      <w:pPr>
        <w:keepNext/>
        <w:keepLines/>
        <w:autoSpaceDE w:val="0"/>
        <w:autoSpaceDN w:val="0"/>
        <w:adjustRightInd w:val="0"/>
        <w:rPr>
          <w:rFonts w:ascii="Garamond" w:hAnsi="Garamond"/>
          <w:lang w:val="en-AU"/>
        </w:rPr>
      </w:pPr>
      <w:proofErr w:type="gramStart"/>
      <w:r w:rsidRPr="00497E3B">
        <w:rPr>
          <w:rFonts w:ascii="Garamond" w:hAnsi="Garamond"/>
          <w:lang w:val="en-AU"/>
        </w:rPr>
        <w:t>Infection Control &amp; Hospital Epidemiology.</w:t>
      </w:r>
      <w:proofErr w:type="gramEnd"/>
      <w:r w:rsidRPr="00497E3B">
        <w:rPr>
          <w:rFonts w:ascii="Garamond" w:hAnsi="Garamond"/>
          <w:lang w:val="en-AU"/>
        </w:rPr>
        <w:t xml:space="preserve"> </w:t>
      </w:r>
      <w:proofErr w:type="gramStart"/>
      <w:r w:rsidRPr="00497E3B">
        <w:rPr>
          <w:rFonts w:ascii="Garamond" w:hAnsi="Garamond"/>
          <w:lang w:val="en-AU"/>
        </w:rPr>
        <w:t>2018</w:t>
      </w:r>
      <w:r>
        <w:rPr>
          <w:rFonts w:ascii="Garamond" w:hAnsi="Garamond"/>
          <w:lang w:val="en-AU"/>
        </w:rPr>
        <w:t xml:space="preserve"> [</w:t>
      </w:r>
      <w:proofErr w:type="spellStart"/>
      <w:r>
        <w:rPr>
          <w:rFonts w:ascii="Garamond" w:hAnsi="Garamond"/>
          <w:lang w:val="en-AU"/>
        </w:rPr>
        <w:t>epub</w:t>
      </w:r>
      <w:proofErr w:type="spellEnd"/>
      <w:r>
        <w:rPr>
          <w:rFonts w:ascii="Garamond" w:hAnsi="Garamond"/>
          <w:lang w:val="en-AU"/>
        </w:rPr>
        <w:t>]</w:t>
      </w:r>
      <w:r w:rsidRPr="00497E3B">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6673A"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16673A" w:rsidRPr="000170DA" w:rsidRDefault="0016673A" w:rsidP="0063740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6673A" w:rsidRPr="000170DA" w:rsidRDefault="00D94C5C" w:rsidP="001D3352">
            <w:pPr>
              <w:rPr>
                <w:rStyle w:val="Hyperlink"/>
                <w:rFonts w:ascii="Garamond" w:hAnsi="Garamond"/>
                <w:color w:val="auto"/>
                <w:u w:val="none"/>
                <w:lang w:val="en-AU"/>
              </w:rPr>
            </w:pPr>
            <w:hyperlink r:id="rId25" w:history="1">
              <w:r w:rsidRPr="00382650">
                <w:rPr>
                  <w:rStyle w:val="Hyperlink"/>
                  <w:rFonts w:ascii="Garamond" w:hAnsi="Garamond"/>
                  <w:lang w:val="en-AU"/>
                </w:rPr>
                <w:t>https://doi.org/10.1017/ice.2018.313</w:t>
              </w:r>
            </w:hyperlink>
          </w:p>
        </w:tc>
      </w:tr>
      <w:tr w:rsidR="0016673A"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16673A" w:rsidRPr="000170DA" w:rsidRDefault="0016673A" w:rsidP="0063740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6673A" w:rsidRDefault="00D94C5C" w:rsidP="00637408">
            <w:pPr>
              <w:rPr>
                <w:rFonts w:ascii="Garamond" w:hAnsi="Garamond"/>
                <w:lang w:val="en-AU"/>
              </w:rPr>
            </w:pPr>
            <w:r w:rsidRPr="00D94C5C">
              <w:rPr>
                <w:rFonts w:ascii="Garamond" w:hAnsi="Garamond"/>
                <w:lang w:val="en-AU"/>
              </w:rPr>
              <w:t>This article explores the application of the concept “never events” to antibiotic prescribing. Never events are a familiar paradigm in patient safety to describe medical errors that should never occur. Antimicrobial use can often be perceived as a low risk to patients. The authors propose that some indications for antimicrobial use should be classified as “never events”. The risks associated with antibiotic use include adverse drug events, downstream antibiotic collateral damage (</w:t>
            </w:r>
            <w:proofErr w:type="spellStart"/>
            <w:r w:rsidRPr="00D94C5C">
              <w:rPr>
                <w:rFonts w:ascii="Garamond" w:hAnsi="Garamond"/>
                <w:lang w:val="en-AU"/>
              </w:rPr>
              <w:t>eg</w:t>
            </w:r>
            <w:proofErr w:type="spellEnd"/>
            <w:r w:rsidRPr="00D94C5C">
              <w:rPr>
                <w:rFonts w:ascii="Garamond" w:hAnsi="Garamond"/>
                <w:lang w:val="en-AU"/>
              </w:rPr>
              <w:t xml:space="preserve"> </w:t>
            </w:r>
            <w:r w:rsidRPr="00D94C5C">
              <w:rPr>
                <w:rFonts w:ascii="Garamond" w:hAnsi="Garamond"/>
                <w:i/>
                <w:lang w:val="en-AU"/>
              </w:rPr>
              <w:t xml:space="preserve">C </w:t>
            </w:r>
            <w:proofErr w:type="spellStart"/>
            <w:r w:rsidRPr="00D94C5C">
              <w:rPr>
                <w:rFonts w:ascii="Garamond" w:hAnsi="Garamond"/>
                <w:i/>
                <w:lang w:val="en-AU"/>
              </w:rPr>
              <w:t>difficle</w:t>
            </w:r>
            <w:proofErr w:type="spellEnd"/>
            <w:r w:rsidRPr="00D94C5C">
              <w:rPr>
                <w:rFonts w:ascii="Garamond" w:hAnsi="Garamond"/>
                <w:lang w:val="en-AU"/>
              </w:rPr>
              <w:t xml:space="preserve"> infection) and the transformation of susceptible organisms into resistant pathogens.</w:t>
            </w:r>
          </w:p>
          <w:p w:rsidR="00D94C5C" w:rsidRPr="000365E9" w:rsidRDefault="00D94C5C" w:rsidP="00637408">
            <w:pPr>
              <w:rPr>
                <w:rFonts w:ascii="Garamond" w:hAnsi="Garamond"/>
                <w:lang w:val="en-AU"/>
              </w:rPr>
            </w:pPr>
            <w:r>
              <w:rPr>
                <w:rFonts w:ascii="Garamond" w:hAnsi="Garamond"/>
                <w:noProof/>
                <w:lang w:val="en-AU" w:eastAsia="en-AU"/>
              </w:rPr>
              <w:drawing>
                <wp:inline distT="0" distB="0" distL="0" distR="0" wp14:anchorId="1F0780A0" wp14:editId="7DDE371D">
                  <wp:extent cx="5118100" cy="2642870"/>
                  <wp:effectExtent l="0" t="0" r="6350" b="5080"/>
                  <wp:docPr id="4" name="Picture 4" descr="https://doi.org/10.1017/ice.2018.313" title="A listing of antibiotic never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Antibiotic Never Event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18100" cy="2642870"/>
                          </a:xfrm>
                          <a:prstGeom prst="rect">
                            <a:avLst/>
                          </a:prstGeom>
                          <a:noFill/>
                          <a:ln>
                            <a:noFill/>
                          </a:ln>
                        </pic:spPr>
                      </pic:pic>
                    </a:graphicData>
                  </a:graphic>
                </wp:inline>
              </w:drawing>
            </w:r>
          </w:p>
        </w:tc>
      </w:tr>
    </w:tbl>
    <w:p w:rsidR="001D3352" w:rsidRDefault="001D3352" w:rsidP="00032917">
      <w:pPr>
        <w:keepNext/>
        <w:keepLines/>
        <w:autoSpaceDE w:val="0"/>
        <w:autoSpaceDN w:val="0"/>
        <w:adjustRightInd w:val="0"/>
        <w:rPr>
          <w:rFonts w:ascii="Garamond" w:hAnsi="Garamond"/>
          <w:i/>
          <w:lang w:val="en-AU"/>
        </w:rPr>
      </w:pPr>
    </w:p>
    <w:p w:rsidR="00D73D0F" w:rsidRDefault="00D73D0F" w:rsidP="00032917">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w:t>
      </w:r>
      <w:r w:rsidRPr="00D73D0F">
        <w:rPr>
          <w:rFonts w:ascii="Garamond" w:hAnsi="Garamond"/>
          <w:lang w:val="en-AU"/>
        </w:rPr>
        <w:t>antimicrobial</w:t>
      </w:r>
      <w:r>
        <w:rPr>
          <w:rFonts w:ascii="Garamond" w:hAnsi="Garamond"/>
          <w:lang w:val="en-AU"/>
        </w:rPr>
        <w:t xml:space="preserve"> </w:t>
      </w:r>
      <w:r w:rsidRPr="00D73D0F">
        <w:rPr>
          <w:rFonts w:ascii="Garamond" w:hAnsi="Garamond"/>
          <w:lang w:val="en-AU"/>
        </w:rPr>
        <w:t>use</w:t>
      </w:r>
      <w:r>
        <w:rPr>
          <w:rFonts w:ascii="Garamond" w:hAnsi="Garamond"/>
          <w:lang w:val="en-AU"/>
        </w:rPr>
        <w:t xml:space="preserve"> </w:t>
      </w:r>
      <w:r w:rsidRPr="00D73D0F">
        <w:rPr>
          <w:rFonts w:ascii="Garamond" w:hAnsi="Garamond"/>
          <w:lang w:val="en-AU"/>
        </w:rPr>
        <w:t>and</w:t>
      </w:r>
      <w:r>
        <w:rPr>
          <w:rFonts w:ascii="Garamond" w:hAnsi="Garamond"/>
          <w:lang w:val="en-AU"/>
        </w:rPr>
        <w:t xml:space="preserve"> </w:t>
      </w:r>
      <w:r w:rsidRPr="00D73D0F">
        <w:rPr>
          <w:rFonts w:ascii="Garamond" w:hAnsi="Garamond"/>
          <w:lang w:val="en-AU"/>
        </w:rPr>
        <w:t>resistance</w:t>
      </w:r>
      <w:r>
        <w:rPr>
          <w:rFonts w:ascii="Garamond" w:hAnsi="Garamond"/>
          <w:lang w:val="en-AU"/>
        </w:rPr>
        <w:t xml:space="preserve"> </w:t>
      </w:r>
      <w:r w:rsidRPr="00D73D0F">
        <w:rPr>
          <w:rFonts w:ascii="Garamond" w:hAnsi="Garamond"/>
          <w:lang w:val="en-AU"/>
        </w:rPr>
        <w:t>in</w:t>
      </w:r>
      <w:r>
        <w:rPr>
          <w:rFonts w:ascii="Garamond" w:hAnsi="Garamond"/>
          <w:lang w:val="en-AU"/>
        </w:rPr>
        <w:t xml:space="preserve"> A</w:t>
      </w:r>
      <w:r w:rsidRPr="00D73D0F">
        <w:rPr>
          <w:rFonts w:ascii="Garamond" w:hAnsi="Garamond"/>
          <w:lang w:val="en-AU"/>
        </w:rPr>
        <w:t>ustralia</w:t>
      </w:r>
      <w:r>
        <w:rPr>
          <w:rFonts w:ascii="Garamond" w:hAnsi="Garamond"/>
          <w:lang w:val="en-AU"/>
        </w:rPr>
        <w:t>, see</w:t>
      </w:r>
      <w:r>
        <w:rPr>
          <w:rFonts w:ascii="Garamond" w:hAnsi="Garamond"/>
          <w:lang w:val="en-AU"/>
        </w:rPr>
        <w:t xml:space="preserve"> </w:t>
      </w:r>
      <w:hyperlink r:id="rId27" w:history="1">
        <w:r w:rsidRPr="00382650">
          <w:rPr>
            <w:rStyle w:val="Hyperlink"/>
            <w:rFonts w:ascii="Garamond" w:hAnsi="Garamond"/>
            <w:lang w:val="en-AU"/>
          </w:rPr>
          <w:t>https://www.safetyandquality.gov.au/antimicrobial-use-and-resistance-in-australia/</w:t>
        </w:r>
      </w:hyperlink>
    </w:p>
    <w:p w:rsidR="00D73D0F" w:rsidRDefault="00D73D0F" w:rsidP="00032917">
      <w:pPr>
        <w:keepNext/>
        <w:keepLines/>
        <w:autoSpaceDE w:val="0"/>
        <w:autoSpaceDN w:val="0"/>
        <w:adjustRightInd w:val="0"/>
        <w:rPr>
          <w:rFonts w:ascii="Garamond" w:hAnsi="Garamond"/>
          <w:i/>
          <w:lang w:val="en-AU"/>
        </w:rPr>
      </w:pPr>
    </w:p>
    <w:p w:rsidR="00D73D0F" w:rsidRDefault="00D73D0F" w:rsidP="00032917">
      <w:pPr>
        <w:keepNext/>
        <w:keepLines/>
        <w:autoSpaceDE w:val="0"/>
        <w:autoSpaceDN w:val="0"/>
        <w:adjustRightInd w:val="0"/>
        <w:rPr>
          <w:rFonts w:ascii="Garamond" w:hAnsi="Garamond"/>
          <w:i/>
          <w:lang w:val="en-AU"/>
        </w:rPr>
      </w:pPr>
    </w:p>
    <w:p w:rsidR="008C34D3" w:rsidRPr="008C34D3" w:rsidRDefault="00B46A17" w:rsidP="008C34D3">
      <w:pPr>
        <w:keepNext/>
        <w:keepLines/>
        <w:autoSpaceDE w:val="0"/>
        <w:autoSpaceDN w:val="0"/>
        <w:adjustRightInd w:val="0"/>
        <w:rPr>
          <w:rFonts w:ascii="Garamond" w:hAnsi="Garamond"/>
          <w:i/>
          <w:lang w:val="en-AU"/>
        </w:rPr>
      </w:pPr>
      <w:r>
        <w:rPr>
          <w:rFonts w:ascii="Garamond" w:hAnsi="Garamond"/>
          <w:i/>
          <w:lang w:val="en-AU"/>
        </w:rPr>
        <w:t>Australian Health Review</w:t>
      </w:r>
    </w:p>
    <w:p w:rsidR="008C34D3" w:rsidRPr="008C34D3" w:rsidRDefault="008C34D3" w:rsidP="008C34D3">
      <w:pPr>
        <w:keepNext/>
        <w:keepLines/>
        <w:autoSpaceDE w:val="0"/>
        <w:autoSpaceDN w:val="0"/>
        <w:adjustRightInd w:val="0"/>
        <w:rPr>
          <w:rFonts w:ascii="Garamond" w:hAnsi="Garamond"/>
          <w:lang w:val="en-AU"/>
        </w:rPr>
      </w:pPr>
      <w:r w:rsidRPr="008C34D3">
        <w:rPr>
          <w:rFonts w:ascii="Garamond" w:hAnsi="Garamond"/>
          <w:lang w:val="en-AU"/>
        </w:rPr>
        <w:t>Volume 42(6) 2018</w:t>
      </w:r>
    </w:p>
    <w:tbl>
      <w:tblPr>
        <w:tblStyle w:val="TableGrid"/>
        <w:tblW w:w="0" w:type="auto"/>
        <w:tblInd w:w="288" w:type="dxa"/>
        <w:tblLayout w:type="fixed"/>
        <w:tblLook w:val="01E0" w:firstRow="1" w:lastRow="1" w:firstColumn="1" w:lastColumn="1" w:noHBand="0" w:noVBand="0"/>
      </w:tblPr>
      <w:tblGrid>
        <w:gridCol w:w="1080"/>
        <w:gridCol w:w="8280"/>
      </w:tblGrid>
      <w:tr w:rsidR="008C34D3" w:rsidRPr="000170DA" w:rsidTr="00BD4055">
        <w:tc>
          <w:tcPr>
            <w:tcW w:w="1080" w:type="dxa"/>
            <w:tcBorders>
              <w:top w:val="single" w:sz="4" w:space="0" w:color="auto"/>
              <w:left w:val="single" w:sz="4" w:space="0" w:color="auto"/>
              <w:bottom w:val="single" w:sz="4" w:space="0" w:color="auto"/>
              <w:right w:val="single" w:sz="4" w:space="0" w:color="auto"/>
            </w:tcBorders>
            <w:vAlign w:val="center"/>
          </w:tcPr>
          <w:p w:rsidR="008C34D3" w:rsidRPr="000170DA" w:rsidRDefault="008C34D3" w:rsidP="00BD405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C34D3" w:rsidRPr="000170DA" w:rsidRDefault="00D73D0F" w:rsidP="00BD4055">
            <w:pPr>
              <w:rPr>
                <w:rStyle w:val="Hyperlink"/>
                <w:rFonts w:ascii="Garamond" w:hAnsi="Garamond"/>
                <w:color w:val="auto"/>
                <w:u w:val="none"/>
                <w:lang w:val="en-AU"/>
              </w:rPr>
            </w:pPr>
            <w:hyperlink r:id="rId28" w:history="1">
              <w:r w:rsidR="008C34D3" w:rsidRPr="00DC32F9">
                <w:rPr>
                  <w:rStyle w:val="Hyperlink"/>
                  <w:rFonts w:ascii="Garamond" w:hAnsi="Garamond"/>
                  <w:lang w:val="en-AU"/>
                </w:rPr>
                <w:t>http://www.publish.csiro.au/ah/issue/8889</w:t>
              </w:r>
            </w:hyperlink>
          </w:p>
        </w:tc>
      </w:tr>
      <w:tr w:rsidR="008C34D3" w:rsidRPr="000170DA" w:rsidTr="00BD4055">
        <w:tc>
          <w:tcPr>
            <w:tcW w:w="1080" w:type="dxa"/>
            <w:tcBorders>
              <w:top w:val="single" w:sz="4" w:space="0" w:color="auto"/>
              <w:left w:val="single" w:sz="4" w:space="0" w:color="auto"/>
              <w:bottom w:val="single" w:sz="4" w:space="0" w:color="auto"/>
              <w:right w:val="single" w:sz="4" w:space="0" w:color="auto"/>
            </w:tcBorders>
            <w:vAlign w:val="center"/>
          </w:tcPr>
          <w:p w:rsidR="008C34D3" w:rsidRPr="000170DA" w:rsidRDefault="008C34D3" w:rsidP="00BD40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C34D3" w:rsidRDefault="008C34D3" w:rsidP="008C34D3">
            <w:pPr>
              <w:rPr>
                <w:rFonts w:ascii="Garamond" w:hAnsi="Garamond"/>
                <w:lang w:val="en-AU"/>
              </w:rPr>
            </w:pPr>
            <w:r w:rsidRPr="001450F8">
              <w:rPr>
                <w:rFonts w:ascii="Garamond" w:hAnsi="Garamond"/>
                <w:lang w:val="en-AU"/>
              </w:rPr>
              <w:t xml:space="preserve">A new issue of </w:t>
            </w:r>
            <w:r w:rsidRPr="008C34D3">
              <w:rPr>
                <w:rFonts w:ascii="Garamond" w:hAnsi="Garamond"/>
                <w:i/>
                <w:lang w:val="en-AU"/>
              </w:rPr>
              <w:t>Australian Health Review</w:t>
            </w:r>
            <w:r>
              <w:rPr>
                <w:rFonts w:ascii="Garamond" w:hAnsi="Garamond"/>
                <w:i/>
                <w:lang w:val="en-AU"/>
              </w:rPr>
              <w:t xml:space="preserve"> </w:t>
            </w:r>
            <w:r w:rsidRPr="001450F8">
              <w:rPr>
                <w:rFonts w:ascii="Garamond" w:hAnsi="Garamond"/>
                <w:lang w:val="en-AU"/>
              </w:rPr>
              <w:t xml:space="preserve">has been published. Articles in this issue of </w:t>
            </w:r>
            <w:r w:rsidRPr="008C34D3">
              <w:rPr>
                <w:rFonts w:ascii="Garamond" w:hAnsi="Garamond"/>
                <w:i/>
                <w:lang w:val="en-AU"/>
              </w:rPr>
              <w:t>Australian Health Review</w:t>
            </w:r>
            <w:r>
              <w:rPr>
                <w:rFonts w:ascii="Garamond" w:hAnsi="Garamond"/>
                <w:i/>
                <w:lang w:val="en-AU"/>
              </w:rPr>
              <w:t xml:space="preserve"> </w:t>
            </w:r>
            <w:r w:rsidRPr="001450F8">
              <w:rPr>
                <w:rFonts w:ascii="Garamond" w:hAnsi="Garamond"/>
                <w:lang w:val="en-AU"/>
              </w:rPr>
              <w:t>include:</w:t>
            </w:r>
          </w:p>
          <w:p w:rsidR="008C34D3" w:rsidRPr="008C34D3" w:rsidRDefault="008C34D3" w:rsidP="008C34D3">
            <w:pPr>
              <w:pStyle w:val="ListParagraph"/>
              <w:numPr>
                <w:ilvl w:val="0"/>
                <w:numId w:val="40"/>
              </w:numPr>
              <w:rPr>
                <w:rFonts w:ascii="Garamond" w:hAnsi="Garamond"/>
                <w:lang w:val="en-AU"/>
              </w:rPr>
            </w:pPr>
            <w:r w:rsidRPr="008C34D3">
              <w:rPr>
                <w:rFonts w:ascii="Garamond" w:hAnsi="Garamond"/>
                <w:lang w:val="en-AU"/>
              </w:rPr>
              <w:t xml:space="preserve">Future of </w:t>
            </w:r>
            <w:r w:rsidRPr="008C34D3">
              <w:rPr>
                <w:rFonts w:ascii="Garamond" w:hAnsi="Garamond"/>
                <w:b/>
                <w:lang w:val="en-AU"/>
              </w:rPr>
              <w:t>assisted dying</w:t>
            </w:r>
            <w:r w:rsidRPr="008C34D3">
              <w:rPr>
                <w:rFonts w:ascii="Garamond" w:hAnsi="Garamond"/>
                <w:lang w:val="en-AU"/>
              </w:rPr>
              <w:t xml:space="preserve"> reform in Australia (</w:t>
            </w:r>
            <w:r>
              <w:rPr>
                <w:rFonts w:ascii="Garamond" w:hAnsi="Garamond"/>
                <w:lang w:val="en-AU"/>
              </w:rPr>
              <w:t>Ben White and Lindy Willmott)</w:t>
            </w:r>
          </w:p>
          <w:p w:rsidR="008C34D3" w:rsidRPr="008C34D3" w:rsidRDefault="008C34D3" w:rsidP="008C34D3">
            <w:pPr>
              <w:pStyle w:val="ListParagraph"/>
              <w:numPr>
                <w:ilvl w:val="0"/>
                <w:numId w:val="40"/>
              </w:numPr>
              <w:rPr>
                <w:rFonts w:ascii="Garamond" w:hAnsi="Garamond"/>
                <w:lang w:val="en-AU"/>
              </w:rPr>
            </w:pPr>
            <w:r w:rsidRPr="008C34D3">
              <w:rPr>
                <w:rFonts w:ascii="Garamond" w:hAnsi="Garamond"/>
                <w:lang w:val="en-AU"/>
              </w:rPr>
              <w:t xml:space="preserve">Documenting the process of developing the Victorian </w:t>
            </w:r>
            <w:r w:rsidRPr="008C34D3">
              <w:rPr>
                <w:rFonts w:ascii="Garamond" w:hAnsi="Garamond"/>
                <w:b/>
                <w:lang w:val="en-AU"/>
              </w:rPr>
              <w:t xml:space="preserve">voluntary assisted dying </w:t>
            </w:r>
            <w:r w:rsidRPr="008C34D3">
              <w:rPr>
                <w:rFonts w:ascii="Garamond" w:hAnsi="Garamond"/>
                <w:lang w:val="en-AU"/>
              </w:rPr>
              <w:t xml:space="preserve">legislation (Margaret M O'Connor, Roger W Hunt, Julian Gardner, Mary Draper, Ian </w:t>
            </w:r>
            <w:proofErr w:type="spellStart"/>
            <w:r w:rsidRPr="008C34D3">
              <w:rPr>
                <w:rFonts w:ascii="Garamond" w:hAnsi="Garamond"/>
                <w:lang w:val="en-AU"/>
              </w:rPr>
              <w:t>Maddocks</w:t>
            </w:r>
            <w:proofErr w:type="spellEnd"/>
            <w:r w:rsidRPr="008C34D3">
              <w:rPr>
                <w:rFonts w:ascii="Garamond" w:hAnsi="Garamond"/>
                <w:lang w:val="en-AU"/>
              </w:rPr>
              <w:t>, Tr</w:t>
            </w:r>
            <w:r>
              <w:rPr>
                <w:rFonts w:ascii="Garamond" w:hAnsi="Garamond"/>
                <w:lang w:val="en-AU"/>
              </w:rPr>
              <w:t xml:space="preserve">ish </w:t>
            </w:r>
            <w:proofErr w:type="spellStart"/>
            <w:r>
              <w:rPr>
                <w:rFonts w:ascii="Garamond" w:hAnsi="Garamond"/>
                <w:lang w:val="en-AU"/>
              </w:rPr>
              <w:t>Malowney</w:t>
            </w:r>
            <w:proofErr w:type="spellEnd"/>
            <w:r>
              <w:rPr>
                <w:rFonts w:ascii="Garamond" w:hAnsi="Garamond"/>
                <w:lang w:val="en-AU"/>
              </w:rPr>
              <w:t xml:space="preserve"> and Brian K </w:t>
            </w:r>
            <w:proofErr w:type="spellStart"/>
            <w:r>
              <w:rPr>
                <w:rFonts w:ascii="Garamond" w:hAnsi="Garamond"/>
                <w:lang w:val="en-AU"/>
              </w:rPr>
              <w:t>Owler</w:t>
            </w:r>
            <w:proofErr w:type="spellEnd"/>
            <w:r>
              <w:rPr>
                <w:rFonts w:ascii="Garamond" w:hAnsi="Garamond"/>
                <w:lang w:val="en-AU"/>
              </w:rPr>
              <w:t>)</w:t>
            </w:r>
          </w:p>
          <w:p w:rsidR="008C34D3" w:rsidRPr="008C34D3" w:rsidRDefault="008C34D3" w:rsidP="008C34D3">
            <w:pPr>
              <w:pStyle w:val="ListParagraph"/>
              <w:numPr>
                <w:ilvl w:val="0"/>
                <w:numId w:val="40"/>
              </w:numPr>
              <w:rPr>
                <w:rFonts w:ascii="Garamond" w:hAnsi="Garamond"/>
                <w:lang w:val="en-AU"/>
              </w:rPr>
            </w:pPr>
            <w:r w:rsidRPr="008C34D3">
              <w:rPr>
                <w:rFonts w:ascii="Garamond" w:hAnsi="Garamond"/>
                <w:lang w:val="en-AU"/>
              </w:rPr>
              <w:t xml:space="preserve">Should </w:t>
            </w:r>
            <w:r w:rsidRPr="008C34D3">
              <w:rPr>
                <w:rFonts w:ascii="Garamond" w:hAnsi="Garamond"/>
                <w:b/>
                <w:lang w:val="en-AU"/>
              </w:rPr>
              <w:t>endometriosis</w:t>
            </w:r>
            <w:r w:rsidRPr="008C34D3">
              <w:rPr>
                <w:rFonts w:ascii="Garamond" w:hAnsi="Garamond"/>
                <w:lang w:val="en-AU"/>
              </w:rPr>
              <w:t xml:space="preserve"> be managed within a chronic disease framework? An analysis of national policy documents (Rebecca O'Hara, Heather Rowe,</w:t>
            </w:r>
            <w:r>
              <w:rPr>
                <w:rFonts w:ascii="Garamond" w:hAnsi="Garamond"/>
                <w:lang w:val="en-AU"/>
              </w:rPr>
              <w:t xml:space="preserve"> Louise </w:t>
            </w:r>
            <w:proofErr w:type="spellStart"/>
            <w:r>
              <w:rPr>
                <w:rFonts w:ascii="Garamond" w:hAnsi="Garamond"/>
                <w:lang w:val="en-AU"/>
              </w:rPr>
              <w:t>Roufeil</w:t>
            </w:r>
            <w:proofErr w:type="spellEnd"/>
            <w:r>
              <w:rPr>
                <w:rFonts w:ascii="Garamond" w:hAnsi="Garamond"/>
                <w:lang w:val="en-AU"/>
              </w:rPr>
              <w:t xml:space="preserve"> and Jane Fisher)</w:t>
            </w:r>
          </w:p>
          <w:p w:rsidR="008C34D3" w:rsidRPr="008C34D3" w:rsidRDefault="008C34D3" w:rsidP="008C34D3">
            <w:pPr>
              <w:pStyle w:val="ListParagraph"/>
              <w:numPr>
                <w:ilvl w:val="0"/>
                <w:numId w:val="40"/>
              </w:numPr>
              <w:rPr>
                <w:rFonts w:ascii="Garamond" w:hAnsi="Garamond"/>
                <w:lang w:val="en-AU"/>
              </w:rPr>
            </w:pPr>
            <w:r w:rsidRPr="008C34D3">
              <w:rPr>
                <w:rFonts w:ascii="Garamond" w:hAnsi="Garamond"/>
                <w:lang w:val="en-AU"/>
              </w:rPr>
              <w:t xml:space="preserve">Time to establish </w:t>
            </w:r>
            <w:r w:rsidRPr="008C34D3">
              <w:rPr>
                <w:rFonts w:ascii="Garamond" w:hAnsi="Garamond"/>
                <w:b/>
                <w:lang w:val="en-AU"/>
              </w:rPr>
              <w:t>comprehensive long-term monitoring of Australian medical graduates</w:t>
            </w:r>
            <w:r w:rsidRPr="008C34D3">
              <w:rPr>
                <w:rFonts w:ascii="Garamond" w:hAnsi="Garamond"/>
                <w:lang w:val="en-AU"/>
              </w:rPr>
              <w:t xml:space="preserve">? (Christine </w:t>
            </w:r>
            <w:proofErr w:type="spellStart"/>
            <w:r>
              <w:rPr>
                <w:rFonts w:ascii="Garamond" w:hAnsi="Garamond"/>
                <w:lang w:val="en-AU"/>
              </w:rPr>
              <w:t>Jorm</w:t>
            </w:r>
            <w:proofErr w:type="spellEnd"/>
            <w:r>
              <w:rPr>
                <w:rFonts w:ascii="Garamond" w:hAnsi="Garamond"/>
                <w:lang w:val="en-AU"/>
              </w:rPr>
              <w:t xml:space="preserve">, Jane </w:t>
            </w:r>
            <w:proofErr w:type="spellStart"/>
            <w:r>
              <w:rPr>
                <w:rFonts w:ascii="Garamond" w:hAnsi="Garamond"/>
                <w:lang w:val="en-AU"/>
              </w:rPr>
              <w:t>Bleasel</w:t>
            </w:r>
            <w:proofErr w:type="spellEnd"/>
            <w:r>
              <w:rPr>
                <w:rFonts w:ascii="Garamond" w:hAnsi="Garamond"/>
                <w:lang w:val="en-AU"/>
              </w:rPr>
              <w:t xml:space="preserve"> and </w:t>
            </w:r>
            <w:proofErr w:type="spellStart"/>
            <w:r>
              <w:rPr>
                <w:rFonts w:ascii="Garamond" w:hAnsi="Garamond"/>
                <w:lang w:val="en-AU"/>
              </w:rPr>
              <w:t>Inam</w:t>
            </w:r>
            <w:proofErr w:type="spellEnd"/>
            <w:r>
              <w:rPr>
                <w:rFonts w:ascii="Garamond" w:hAnsi="Garamond"/>
                <w:lang w:val="en-AU"/>
              </w:rPr>
              <w:t xml:space="preserve"> </w:t>
            </w:r>
            <w:proofErr w:type="spellStart"/>
            <w:r>
              <w:rPr>
                <w:rFonts w:ascii="Garamond" w:hAnsi="Garamond"/>
                <w:lang w:val="en-AU"/>
              </w:rPr>
              <w:t>Haq</w:t>
            </w:r>
            <w:proofErr w:type="spellEnd"/>
            <w:r>
              <w:rPr>
                <w:rFonts w:ascii="Garamond" w:hAnsi="Garamond"/>
                <w:lang w:val="en-AU"/>
              </w:rPr>
              <w:t>)</w:t>
            </w:r>
          </w:p>
          <w:p w:rsidR="008C34D3" w:rsidRPr="008C34D3" w:rsidRDefault="008C34D3" w:rsidP="008C34D3">
            <w:pPr>
              <w:pStyle w:val="ListParagraph"/>
              <w:numPr>
                <w:ilvl w:val="0"/>
                <w:numId w:val="40"/>
              </w:numPr>
              <w:rPr>
                <w:rFonts w:ascii="Garamond" w:hAnsi="Garamond"/>
                <w:lang w:val="en-AU"/>
              </w:rPr>
            </w:pPr>
            <w:r w:rsidRPr="008C34D3">
              <w:rPr>
                <w:rFonts w:ascii="Garamond" w:hAnsi="Garamond"/>
                <w:lang w:val="en-AU"/>
              </w:rPr>
              <w:t xml:space="preserve">Achieving self-sufficiency: </w:t>
            </w:r>
            <w:r w:rsidRPr="008C34D3">
              <w:rPr>
                <w:rFonts w:ascii="Garamond" w:hAnsi="Garamond"/>
                <w:b/>
                <w:lang w:val="en-AU"/>
              </w:rPr>
              <w:t>training Australia’s future medical workforce</w:t>
            </w:r>
            <w:r w:rsidRPr="008C34D3">
              <w:rPr>
                <w:rFonts w:ascii="Garamond" w:hAnsi="Garamond"/>
                <w:lang w:val="en-AU"/>
              </w:rPr>
              <w:t xml:space="preserve"> (Brian </w:t>
            </w:r>
            <w:proofErr w:type="spellStart"/>
            <w:r w:rsidRPr="008C34D3">
              <w:rPr>
                <w:rFonts w:ascii="Garamond" w:hAnsi="Garamond"/>
                <w:lang w:val="en-AU"/>
              </w:rPr>
              <w:t>Fernandes</w:t>
            </w:r>
            <w:proofErr w:type="spellEnd"/>
            <w:r w:rsidRPr="008C34D3">
              <w:rPr>
                <w:rFonts w:ascii="Garamond" w:hAnsi="Garamond"/>
                <w:lang w:val="en-AU"/>
              </w:rPr>
              <w:t xml:space="preserve">, Edward R </w:t>
            </w:r>
            <w:proofErr w:type="spellStart"/>
            <w:r w:rsidRPr="008C34D3">
              <w:rPr>
                <w:rFonts w:ascii="Garamond" w:hAnsi="Garamond"/>
                <w:lang w:val="en-AU"/>
              </w:rPr>
              <w:t>Sche</w:t>
            </w:r>
            <w:r>
              <w:rPr>
                <w:rFonts w:ascii="Garamond" w:hAnsi="Garamond"/>
                <w:lang w:val="en-AU"/>
              </w:rPr>
              <w:t>ffer</w:t>
            </w:r>
            <w:proofErr w:type="spellEnd"/>
            <w:r>
              <w:rPr>
                <w:rFonts w:ascii="Garamond" w:hAnsi="Garamond"/>
                <w:lang w:val="en-AU"/>
              </w:rPr>
              <w:t xml:space="preserve"> Cliff and Amelia Chowdhury)</w:t>
            </w:r>
          </w:p>
          <w:p w:rsidR="008C34D3" w:rsidRPr="008C34D3" w:rsidRDefault="008C34D3" w:rsidP="008C34D3">
            <w:pPr>
              <w:pStyle w:val="ListParagraph"/>
              <w:numPr>
                <w:ilvl w:val="0"/>
                <w:numId w:val="40"/>
              </w:numPr>
              <w:rPr>
                <w:rFonts w:ascii="Garamond" w:hAnsi="Garamond"/>
                <w:lang w:val="en-AU"/>
              </w:rPr>
            </w:pPr>
            <w:r w:rsidRPr="008C34D3">
              <w:rPr>
                <w:rFonts w:ascii="Garamond" w:hAnsi="Garamond"/>
                <w:lang w:val="en-AU"/>
              </w:rPr>
              <w:lastRenderedPageBreak/>
              <w:t xml:space="preserve">Maintaining capacity for in-practice </w:t>
            </w:r>
            <w:r w:rsidRPr="008C34D3">
              <w:rPr>
                <w:rFonts w:ascii="Garamond" w:hAnsi="Garamond"/>
                <w:b/>
                <w:lang w:val="en-AU"/>
              </w:rPr>
              <w:t>teaching and supervision of students and general practice trainees</w:t>
            </w:r>
            <w:r w:rsidRPr="008C34D3">
              <w:rPr>
                <w:rFonts w:ascii="Garamond" w:hAnsi="Garamond"/>
                <w:lang w:val="en-AU"/>
              </w:rPr>
              <w:t xml:space="preserve">: a cross-sectional study of early career general practitioners (Nigel </w:t>
            </w:r>
            <w:proofErr w:type="spellStart"/>
            <w:r w:rsidRPr="008C34D3">
              <w:rPr>
                <w:rFonts w:ascii="Garamond" w:hAnsi="Garamond"/>
                <w:lang w:val="en-AU"/>
              </w:rPr>
              <w:t>Catzikiris</w:t>
            </w:r>
            <w:proofErr w:type="spellEnd"/>
            <w:r w:rsidRPr="008C34D3">
              <w:rPr>
                <w:rFonts w:ascii="Garamond" w:hAnsi="Garamond"/>
                <w:lang w:val="en-AU"/>
              </w:rPr>
              <w:t xml:space="preserve">, Amanda </w:t>
            </w:r>
            <w:proofErr w:type="spellStart"/>
            <w:r w:rsidRPr="008C34D3">
              <w:rPr>
                <w:rFonts w:ascii="Garamond" w:hAnsi="Garamond"/>
                <w:lang w:val="en-AU"/>
              </w:rPr>
              <w:t>Tapley</w:t>
            </w:r>
            <w:proofErr w:type="spellEnd"/>
            <w:r w:rsidRPr="008C34D3">
              <w:rPr>
                <w:rFonts w:ascii="Garamond" w:hAnsi="Garamond"/>
                <w:lang w:val="en-AU"/>
              </w:rPr>
              <w:t>, Simon Morgan, Elizabeth G Holliday, Jean Ball, Kim Henderson, T Elliott, N Spik</w:t>
            </w:r>
            <w:r>
              <w:rPr>
                <w:rFonts w:ascii="Garamond" w:hAnsi="Garamond"/>
                <w:lang w:val="en-AU"/>
              </w:rPr>
              <w:t xml:space="preserve">e, C Regan and P </w:t>
            </w:r>
            <w:proofErr w:type="spellStart"/>
            <w:r>
              <w:rPr>
                <w:rFonts w:ascii="Garamond" w:hAnsi="Garamond"/>
                <w:lang w:val="en-AU"/>
              </w:rPr>
              <w:t>Magin</w:t>
            </w:r>
            <w:proofErr w:type="spellEnd"/>
            <w:r>
              <w:rPr>
                <w:rFonts w:ascii="Garamond" w:hAnsi="Garamond"/>
                <w:lang w:val="en-AU"/>
              </w:rPr>
              <w:t>)</w:t>
            </w:r>
          </w:p>
          <w:p w:rsidR="008C34D3" w:rsidRPr="008C34D3" w:rsidRDefault="008C34D3" w:rsidP="008C34D3">
            <w:pPr>
              <w:pStyle w:val="ListParagraph"/>
              <w:numPr>
                <w:ilvl w:val="0"/>
                <w:numId w:val="40"/>
              </w:numPr>
              <w:rPr>
                <w:rFonts w:ascii="Garamond" w:hAnsi="Garamond"/>
                <w:lang w:val="en-AU"/>
              </w:rPr>
            </w:pPr>
            <w:r w:rsidRPr="008C34D3">
              <w:rPr>
                <w:rFonts w:ascii="Garamond" w:hAnsi="Garamond"/>
                <w:lang w:val="en-AU"/>
              </w:rPr>
              <w:t xml:space="preserve">Does the </w:t>
            </w:r>
            <w:r w:rsidRPr="008C34D3">
              <w:rPr>
                <w:rFonts w:ascii="Garamond" w:hAnsi="Garamond"/>
                <w:b/>
                <w:lang w:val="en-AU"/>
              </w:rPr>
              <w:t>professional attitude of physicians</w:t>
            </w:r>
            <w:r w:rsidRPr="008C34D3">
              <w:rPr>
                <w:rFonts w:ascii="Garamond" w:hAnsi="Garamond"/>
                <w:lang w:val="en-AU"/>
              </w:rPr>
              <w:t xml:space="preserve"> always affect their </w:t>
            </w:r>
            <w:r w:rsidRPr="008C34D3">
              <w:rPr>
                <w:rFonts w:ascii="Garamond" w:hAnsi="Garamond"/>
                <w:b/>
                <w:lang w:val="en-AU"/>
              </w:rPr>
              <w:t>professional behaviour</w:t>
            </w:r>
            <w:r w:rsidRPr="008C34D3">
              <w:rPr>
                <w:rFonts w:ascii="Garamond" w:hAnsi="Garamond"/>
                <w:lang w:val="en-AU"/>
              </w:rPr>
              <w:t>? A survey in tertiary hospitals in Nanchang City, China (Xuan Wang, Xin D</w:t>
            </w:r>
            <w:r>
              <w:rPr>
                <w:rFonts w:ascii="Garamond" w:hAnsi="Garamond"/>
                <w:lang w:val="en-AU"/>
              </w:rPr>
              <w:t xml:space="preserve">u, </w:t>
            </w:r>
            <w:proofErr w:type="spellStart"/>
            <w:r>
              <w:rPr>
                <w:rFonts w:ascii="Garamond" w:hAnsi="Garamond"/>
                <w:lang w:val="en-AU"/>
              </w:rPr>
              <w:t>Chenxi</w:t>
            </w:r>
            <w:proofErr w:type="spellEnd"/>
            <w:r>
              <w:rPr>
                <w:rFonts w:ascii="Garamond" w:hAnsi="Garamond"/>
                <w:lang w:val="en-AU"/>
              </w:rPr>
              <w:t xml:space="preserve"> Liu and </w:t>
            </w:r>
            <w:proofErr w:type="spellStart"/>
            <w:r>
              <w:rPr>
                <w:rFonts w:ascii="Garamond" w:hAnsi="Garamond"/>
                <w:lang w:val="en-AU"/>
              </w:rPr>
              <w:t>Xinping</w:t>
            </w:r>
            <w:proofErr w:type="spellEnd"/>
            <w:r>
              <w:rPr>
                <w:rFonts w:ascii="Garamond" w:hAnsi="Garamond"/>
                <w:lang w:val="en-AU"/>
              </w:rPr>
              <w:t xml:space="preserve"> Zhang)</w:t>
            </w:r>
          </w:p>
          <w:p w:rsidR="008C34D3" w:rsidRPr="003F5500" w:rsidRDefault="008C34D3" w:rsidP="008C34D3">
            <w:pPr>
              <w:pStyle w:val="ListParagraph"/>
              <w:numPr>
                <w:ilvl w:val="0"/>
                <w:numId w:val="40"/>
              </w:numPr>
              <w:rPr>
                <w:rFonts w:ascii="Garamond" w:hAnsi="Garamond"/>
                <w:lang w:val="en-AU"/>
              </w:rPr>
            </w:pPr>
            <w:r w:rsidRPr="003F5500">
              <w:rPr>
                <w:rFonts w:ascii="Garamond" w:hAnsi="Garamond"/>
                <w:b/>
                <w:lang w:val="en-AU"/>
              </w:rPr>
              <w:t>Skill sharing and delegation practice</w:t>
            </w:r>
            <w:r w:rsidRPr="003F5500">
              <w:rPr>
                <w:rFonts w:ascii="Garamond" w:hAnsi="Garamond"/>
                <w:lang w:val="en-AU"/>
              </w:rPr>
              <w:t xml:space="preserve"> in two Queensland regional allied health cancer care services: a comparison of tasks </w:t>
            </w:r>
            <w:r w:rsidR="003F5500">
              <w:rPr>
                <w:rFonts w:ascii="Garamond" w:hAnsi="Garamond"/>
                <w:lang w:val="en-AU"/>
              </w:rPr>
              <w:t>(</w:t>
            </w:r>
            <w:proofErr w:type="spellStart"/>
            <w:r w:rsidRPr="003F5500">
              <w:rPr>
                <w:rFonts w:ascii="Garamond" w:hAnsi="Garamond"/>
                <w:lang w:val="en-AU"/>
              </w:rPr>
              <w:t>Juanine</w:t>
            </w:r>
            <w:proofErr w:type="spellEnd"/>
            <w:r w:rsidRPr="003F5500">
              <w:rPr>
                <w:rFonts w:ascii="Garamond" w:hAnsi="Garamond"/>
                <w:lang w:val="en-AU"/>
              </w:rPr>
              <w:t xml:space="preserve"> </w:t>
            </w:r>
            <w:proofErr w:type="spellStart"/>
            <w:r w:rsidRPr="003F5500">
              <w:rPr>
                <w:rFonts w:ascii="Garamond" w:hAnsi="Garamond"/>
                <w:lang w:val="en-AU"/>
              </w:rPr>
              <w:t>Passfield</w:t>
            </w:r>
            <w:proofErr w:type="spellEnd"/>
            <w:r w:rsidRPr="003F5500">
              <w:rPr>
                <w:rFonts w:ascii="Garamond" w:hAnsi="Garamond"/>
                <w:lang w:val="en-AU"/>
              </w:rPr>
              <w:t xml:space="preserve">, </w:t>
            </w:r>
            <w:proofErr w:type="spellStart"/>
            <w:r w:rsidRPr="003F5500">
              <w:rPr>
                <w:rFonts w:ascii="Garamond" w:hAnsi="Garamond"/>
                <w:lang w:val="en-AU"/>
              </w:rPr>
              <w:t>Ilsa</w:t>
            </w:r>
            <w:proofErr w:type="spellEnd"/>
            <w:r w:rsidRPr="003F5500">
              <w:rPr>
                <w:rFonts w:ascii="Garamond" w:hAnsi="Garamond"/>
                <w:lang w:val="en-AU"/>
              </w:rPr>
              <w:t xml:space="preserve"> Nielsen, </w:t>
            </w:r>
            <w:r w:rsidR="003F5500">
              <w:rPr>
                <w:rFonts w:ascii="Garamond" w:hAnsi="Garamond"/>
                <w:lang w:val="en-AU"/>
              </w:rPr>
              <w:t xml:space="preserve">Neil </w:t>
            </w:r>
            <w:proofErr w:type="spellStart"/>
            <w:r w:rsidR="003F5500">
              <w:rPr>
                <w:rFonts w:ascii="Garamond" w:hAnsi="Garamond"/>
                <w:lang w:val="en-AU"/>
              </w:rPr>
              <w:t>Brebner</w:t>
            </w:r>
            <w:proofErr w:type="spellEnd"/>
            <w:r w:rsidR="003F5500">
              <w:rPr>
                <w:rFonts w:ascii="Garamond" w:hAnsi="Garamond"/>
                <w:lang w:val="en-AU"/>
              </w:rPr>
              <w:t xml:space="preserve"> and Cara Johnstone)</w:t>
            </w:r>
          </w:p>
          <w:p w:rsidR="003F5500" w:rsidRDefault="008C34D3" w:rsidP="008C34D3">
            <w:pPr>
              <w:pStyle w:val="ListParagraph"/>
              <w:numPr>
                <w:ilvl w:val="0"/>
                <w:numId w:val="40"/>
              </w:numPr>
              <w:rPr>
                <w:rFonts w:ascii="Garamond" w:hAnsi="Garamond"/>
                <w:lang w:val="en-AU"/>
              </w:rPr>
            </w:pPr>
            <w:r w:rsidRPr="003F5500">
              <w:rPr>
                <w:rFonts w:ascii="Garamond" w:hAnsi="Garamond"/>
                <w:lang w:val="en-AU"/>
              </w:rPr>
              <w:t xml:space="preserve">Clinical activity profile of </w:t>
            </w:r>
            <w:r w:rsidRPr="003F5500">
              <w:rPr>
                <w:rFonts w:ascii="Garamond" w:hAnsi="Garamond"/>
                <w:b/>
                <w:lang w:val="en-AU"/>
              </w:rPr>
              <w:t>preregistration physiotherapy students</w:t>
            </w:r>
            <w:r w:rsidRPr="003F5500">
              <w:rPr>
                <w:rFonts w:ascii="Garamond" w:hAnsi="Garamond"/>
                <w:lang w:val="en-AU"/>
              </w:rPr>
              <w:t xml:space="preserve"> during clinical placements </w:t>
            </w:r>
            <w:r w:rsidR="003F5500" w:rsidRPr="003F5500">
              <w:rPr>
                <w:rFonts w:ascii="Garamond" w:hAnsi="Garamond"/>
                <w:lang w:val="en-AU"/>
              </w:rPr>
              <w:t>(</w:t>
            </w:r>
            <w:r w:rsidRPr="003F5500">
              <w:rPr>
                <w:rFonts w:ascii="Garamond" w:hAnsi="Garamond"/>
                <w:lang w:val="en-AU"/>
              </w:rPr>
              <w:t xml:space="preserve">Susan </w:t>
            </w:r>
            <w:proofErr w:type="spellStart"/>
            <w:r w:rsidRPr="003F5500">
              <w:rPr>
                <w:rFonts w:ascii="Garamond" w:hAnsi="Garamond"/>
                <w:lang w:val="en-AU"/>
              </w:rPr>
              <w:t>Stoikov</w:t>
            </w:r>
            <w:proofErr w:type="spellEnd"/>
            <w:r w:rsidRPr="003F5500">
              <w:rPr>
                <w:rFonts w:ascii="Garamond" w:hAnsi="Garamond"/>
                <w:lang w:val="en-AU"/>
              </w:rPr>
              <w:t xml:space="preserve">, Kassie </w:t>
            </w:r>
            <w:proofErr w:type="spellStart"/>
            <w:r w:rsidRPr="003F5500">
              <w:rPr>
                <w:rFonts w:ascii="Garamond" w:hAnsi="Garamond"/>
                <w:lang w:val="en-AU"/>
              </w:rPr>
              <w:t>Shardlow</w:t>
            </w:r>
            <w:proofErr w:type="spellEnd"/>
            <w:r w:rsidRPr="003F5500">
              <w:rPr>
                <w:rFonts w:ascii="Garamond" w:hAnsi="Garamond"/>
                <w:lang w:val="en-AU"/>
              </w:rPr>
              <w:t xml:space="preserve">, M Gooding and S </w:t>
            </w:r>
            <w:proofErr w:type="spellStart"/>
            <w:r w:rsidRPr="003F5500">
              <w:rPr>
                <w:rFonts w:ascii="Garamond" w:hAnsi="Garamond"/>
                <w:lang w:val="en-AU"/>
              </w:rPr>
              <w:t>Kuys</w:t>
            </w:r>
            <w:proofErr w:type="spellEnd"/>
            <w:r w:rsidR="003F5500">
              <w:rPr>
                <w:rFonts w:ascii="Garamond" w:hAnsi="Garamond"/>
                <w:lang w:val="en-AU"/>
              </w:rPr>
              <w:t>)</w:t>
            </w:r>
          </w:p>
          <w:p w:rsidR="008C34D3" w:rsidRPr="003F5500" w:rsidRDefault="008C34D3" w:rsidP="008C34D3">
            <w:pPr>
              <w:pStyle w:val="ListParagraph"/>
              <w:numPr>
                <w:ilvl w:val="0"/>
                <w:numId w:val="40"/>
              </w:numPr>
              <w:rPr>
                <w:rFonts w:ascii="Garamond" w:hAnsi="Garamond"/>
                <w:lang w:val="en-AU"/>
              </w:rPr>
            </w:pPr>
            <w:r w:rsidRPr="003F5500">
              <w:rPr>
                <w:rFonts w:ascii="Garamond" w:hAnsi="Garamond"/>
                <w:lang w:val="en-AU"/>
              </w:rPr>
              <w:t xml:space="preserve">Effects and mechanisms of an </w:t>
            </w:r>
            <w:r w:rsidRPr="003F5500">
              <w:rPr>
                <w:rFonts w:ascii="Garamond" w:hAnsi="Garamond"/>
                <w:b/>
                <w:lang w:val="en-AU"/>
              </w:rPr>
              <w:t>allied health research position</w:t>
            </w:r>
            <w:r w:rsidRPr="003F5500">
              <w:rPr>
                <w:rFonts w:ascii="Garamond" w:hAnsi="Garamond"/>
                <w:lang w:val="en-AU"/>
              </w:rPr>
              <w:t xml:space="preserve"> in a Queensland regional and rural health service: a descriptive case study </w:t>
            </w:r>
            <w:r w:rsidR="003F5500" w:rsidRPr="003F5500">
              <w:rPr>
                <w:rFonts w:ascii="Garamond" w:hAnsi="Garamond"/>
                <w:lang w:val="en-AU"/>
              </w:rPr>
              <w:t>(</w:t>
            </w:r>
            <w:r w:rsidRPr="003F5500">
              <w:rPr>
                <w:rFonts w:ascii="Garamond" w:hAnsi="Garamond"/>
                <w:lang w:val="en-AU"/>
              </w:rPr>
              <w:t xml:space="preserve">Rachel J </w:t>
            </w:r>
            <w:proofErr w:type="spellStart"/>
            <w:r w:rsidRPr="003F5500">
              <w:rPr>
                <w:rFonts w:ascii="Garamond" w:hAnsi="Garamond"/>
                <w:lang w:val="en-AU"/>
              </w:rPr>
              <w:t>Wenke</w:t>
            </w:r>
            <w:proofErr w:type="spellEnd"/>
            <w:r w:rsidRPr="003F5500">
              <w:rPr>
                <w:rFonts w:ascii="Garamond" w:hAnsi="Garamond"/>
                <w:lang w:val="en-AU"/>
              </w:rPr>
              <w:t xml:space="preserve">, Anna Tynan, </w:t>
            </w:r>
            <w:r w:rsidR="003F5500">
              <w:rPr>
                <w:rFonts w:ascii="Garamond" w:hAnsi="Garamond"/>
                <w:lang w:val="en-AU"/>
              </w:rPr>
              <w:t xml:space="preserve">Annette Scott and Sharon </w:t>
            </w:r>
            <w:proofErr w:type="spellStart"/>
            <w:r w:rsidR="003F5500">
              <w:rPr>
                <w:rFonts w:ascii="Garamond" w:hAnsi="Garamond"/>
                <w:lang w:val="en-AU"/>
              </w:rPr>
              <w:t>Mickan</w:t>
            </w:r>
            <w:proofErr w:type="spellEnd"/>
            <w:r w:rsidR="003F5500">
              <w:rPr>
                <w:rFonts w:ascii="Garamond" w:hAnsi="Garamond"/>
                <w:lang w:val="en-AU"/>
              </w:rPr>
              <w:t>)</w:t>
            </w:r>
          </w:p>
          <w:p w:rsidR="008C34D3" w:rsidRPr="003F5500" w:rsidRDefault="008C34D3" w:rsidP="008C34D3">
            <w:pPr>
              <w:pStyle w:val="ListParagraph"/>
              <w:numPr>
                <w:ilvl w:val="0"/>
                <w:numId w:val="40"/>
              </w:numPr>
              <w:rPr>
                <w:rFonts w:ascii="Garamond" w:hAnsi="Garamond"/>
                <w:lang w:val="en-AU"/>
              </w:rPr>
            </w:pPr>
            <w:r w:rsidRPr="003F5500">
              <w:rPr>
                <w:rFonts w:ascii="Garamond" w:hAnsi="Garamond"/>
                <w:lang w:val="en-AU"/>
              </w:rPr>
              <w:t xml:space="preserve">Evaluation of Australia’s first </w:t>
            </w:r>
            <w:r w:rsidRPr="003F5500">
              <w:rPr>
                <w:rFonts w:ascii="Garamond" w:hAnsi="Garamond"/>
                <w:b/>
                <w:lang w:val="en-AU"/>
              </w:rPr>
              <w:t>older adult-specific early intervention for reducing alcohol-related harm</w:t>
            </w:r>
            <w:r w:rsidRPr="003F5500">
              <w:rPr>
                <w:rFonts w:ascii="Garamond" w:hAnsi="Garamond"/>
                <w:lang w:val="en-AU"/>
              </w:rPr>
              <w:t xml:space="preserve"> </w:t>
            </w:r>
            <w:r w:rsidR="003F5500" w:rsidRPr="003F5500">
              <w:rPr>
                <w:rFonts w:ascii="Garamond" w:hAnsi="Garamond"/>
                <w:lang w:val="en-AU"/>
              </w:rPr>
              <w:t>(</w:t>
            </w:r>
            <w:r w:rsidRPr="003F5500">
              <w:rPr>
                <w:rFonts w:ascii="Garamond" w:hAnsi="Garamond"/>
                <w:lang w:val="en-AU"/>
              </w:rPr>
              <w:t xml:space="preserve">Stephen </w:t>
            </w:r>
            <w:r w:rsidR="003F5500">
              <w:rPr>
                <w:rFonts w:ascii="Garamond" w:hAnsi="Garamond"/>
                <w:lang w:val="en-AU"/>
              </w:rPr>
              <w:t xml:space="preserve">J Bright and </w:t>
            </w:r>
            <w:proofErr w:type="spellStart"/>
            <w:r w:rsidR="003F5500">
              <w:rPr>
                <w:rFonts w:ascii="Garamond" w:hAnsi="Garamond"/>
                <w:lang w:val="en-AU"/>
              </w:rPr>
              <w:t>Cylie</w:t>
            </w:r>
            <w:proofErr w:type="spellEnd"/>
            <w:r w:rsidR="003F5500">
              <w:rPr>
                <w:rFonts w:ascii="Garamond" w:hAnsi="Garamond"/>
                <w:lang w:val="en-AU"/>
              </w:rPr>
              <w:t xml:space="preserve"> M Williams)</w:t>
            </w:r>
          </w:p>
          <w:p w:rsidR="008C34D3" w:rsidRPr="003F5500" w:rsidRDefault="008C34D3" w:rsidP="008C34D3">
            <w:pPr>
              <w:pStyle w:val="ListParagraph"/>
              <w:numPr>
                <w:ilvl w:val="0"/>
                <w:numId w:val="40"/>
              </w:numPr>
              <w:rPr>
                <w:rFonts w:ascii="Garamond" w:hAnsi="Garamond"/>
                <w:lang w:val="en-AU"/>
              </w:rPr>
            </w:pPr>
            <w:r w:rsidRPr="003F5500">
              <w:rPr>
                <w:rFonts w:ascii="Garamond" w:hAnsi="Garamond"/>
                <w:lang w:val="en-AU"/>
              </w:rPr>
              <w:t xml:space="preserve">Stakeholder perceptions on </w:t>
            </w:r>
            <w:r w:rsidRPr="003F5500">
              <w:rPr>
                <w:rFonts w:ascii="Garamond" w:hAnsi="Garamond"/>
                <w:b/>
                <w:lang w:val="en-AU"/>
              </w:rPr>
              <w:t>resident-to-resident aggression</w:t>
            </w:r>
            <w:r w:rsidRPr="003F5500">
              <w:rPr>
                <w:rFonts w:ascii="Garamond" w:hAnsi="Garamond"/>
                <w:lang w:val="en-AU"/>
              </w:rPr>
              <w:t xml:space="preserve">: implications for prevention </w:t>
            </w:r>
            <w:r w:rsidR="003F5500" w:rsidRPr="003F5500">
              <w:rPr>
                <w:rFonts w:ascii="Garamond" w:hAnsi="Garamond"/>
                <w:lang w:val="en-AU"/>
              </w:rPr>
              <w:t>(</w:t>
            </w:r>
            <w:proofErr w:type="spellStart"/>
            <w:r w:rsidRPr="003F5500">
              <w:rPr>
                <w:rFonts w:ascii="Garamond" w:hAnsi="Garamond"/>
                <w:lang w:val="en-AU"/>
              </w:rPr>
              <w:t>Briony</w:t>
            </w:r>
            <w:proofErr w:type="spellEnd"/>
            <w:r w:rsidRPr="003F5500">
              <w:rPr>
                <w:rFonts w:ascii="Garamond" w:hAnsi="Garamond"/>
                <w:lang w:val="en-AU"/>
              </w:rPr>
              <w:t xml:space="preserve"> Jain, Melissa Willoughby, Margaret </w:t>
            </w:r>
            <w:proofErr w:type="spellStart"/>
            <w:r w:rsidRPr="003F5500">
              <w:rPr>
                <w:rFonts w:ascii="Garamond" w:hAnsi="Garamond"/>
                <w:lang w:val="en-AU"/>
              </w:rPr>
              <w:t>Winbolt</w:t>
            </w:r>
            <w:proofErr w:type="spellEnd"/>
            <w:r w:rsidRPr="003F5500">
              <w:rPr>
                <w:rFonts w:ascii="Garamond" w:hAnsi="Garamond"/>
                <w:lang w:val="en-AU"/>
              </w:rPr>
              <w:t>, Din</w:t>
            </w:r>
            <w:r w:rsidR="003F5500">
              <w:rPr>
                <w:rFonts w:ascii="Garamond" w:hAnsi="Garamond"/>
                <w:lang w:val="en-AU"/>
              </w:rPr>
              <w:t xml:space="preserve">a Lo </w:t>
            </w:r>
            <w:proofErr w:type="spellStart"/>
            <w:r w:rsidR="003F5500">
              <w:rPr>
                <w:rFonts w:ascii="Garamond" w:hAnsi="Garamond"/>
                <w:lang w:val="en-AU"/>
              </w:rPr>
              <w:t>Giudice</w:t>
            </w:r>
            <w:proofErr w:type="spellEnd"/>
            <w:r w:rsidR="003F5500">
              <w:rPr>
                <w:rFonts w:ascii="Garamond" w:hAnsi="Garamond"/>
                <w:lang w:val="en-AU"/>
              </w:rPr>
              <w:t xml:space="preserve"> and Joseph Ibrahim)</w:t>
            </w:r>
          </w:p>
          <w:p w:rsidR="008C34D3" w:rsidRPr="003F5500" w:rsidRDefault="008C34D3" w:rsidP="008C34D3">
            <w:pPr>
              <w:pStyle w:val="ListParagraph"/>
              <w:numPr>
                <w:ilvl w:val="0"/>
                <w:numId w:val="40"/>
              </w:numPr>
              <w:rPr>
                <w:rFonts w:ascii="Garamond" w:hAnsi="Garamond"/>
                <w:lang w:val="en-AU"/>
              </w:rPr>
            </w:pPr>
            <w:r w:rsidRPr="003F5500">
              <w:rPr>
                <w:rFonts w:ascii="Garamond" w:hAnsi="Garamond"/>
                <w:b/>
                <w:lang w:val="en-AU"/>
              </w:rPr>
              <w:t>Food and nutrition programs for Aboriginal and Torres Strait Islander Australians</w:t>
            </w:r>
            <w:r w:rsidRPr="003F5500">
              <w:rPr>
                <w:rFonts w:ascii="Garamond" w:hAnsi="Garamond"/>
                <w:lang w:val="en-AU"/>
              </w:rPr>
              <w:t xml:space="preserve">: an overview of systematic reviews </w:t>
            </w:r>
            <w:r w:rsidR="003F5500" w:rsidRPr="003F5500">
              <w:rPr>
                <w:rFonts w:ascii="Garamond" w:hAnsi="Garamond"/>
                <w:lang w:val="en-AU"/>
              </w:rPr>
              <w:t>(</w:t>
            </w:r>
            <w:r w:rsidRPr="003F5500">
              <w:rPr>
                <w:rFonts w:ascii="Garamond" w:hAnsi="Garamond"/>
                <w:lang w:val="en-AU"/>
              </w:rPr>
              <w:t>Jennifer Browne, Karen Adams, Petah Atkinson, Deborah Gl</w:t>
            </w:r>
            <w:r w:rsidR="003F5500">
              <w:rPr>
                <w:rFonts w:ascii="Garamond" w:hAnsi="Garamond"/>
                <w:lang w:val="en-AU"/>
              </w:rPr>
              <w:t>eeson and Rick Hayes)</w:t>
            </w:r>
          </w:p>
          <w:p w:rsidR="008C34D3" w:rsidRPr="003F5500" w:rsidRDefault="008C34D3" w:rsidP="008C34D3">
            <w:pPr>
              <w:pStyle w:val="ListParagraph"/>
              <w:numPr>
                <w:ilvl w:val="0"/>
                <w:numId w:val="40"/>
              </w:numPr>
              <w:rPr>
                <w:rFonts w:ascii="Garamond" w:hAnsi="Garamond"/>
                <w:lang w:val="en-AU"/>
              </w:rPr>
            </w:pPr>
            <w:r w:rsidRPr="003F5500">
              <w:rPr>
                <w:rFonts w:ascii="Garamond" w:hAnsi="Garamond"/>
                <w:lang w:val="en-AU"/>
              </w:rPr>
              <w:t xml:space="preserve">Deconstructing the </w:t>
            </w:r>
            <w:r w:rsidRPr="003F5500">
              <w:rPr>
                <w:rFonts w:ascii="Garamond" w:hAnsi="Garamond"/>
                <w:b/>
                <w:lang w:val="en-AU"/>
              </w:rPr>
              <w:t>4-h rule for access to emergency care</w:t>
            </w:r>
            <w:r w:rsidRPr="003F5500">
              <w:rPr>
                <w:rFonts w:ascii="Garamond" w:hAnsi="Garamond"/>
                <w:lang w:val="en-AU"/>
              </w:rPr>
              <w:t xml:space="preserve"> and putting patients first </w:t>
            </w:r>
            <w:r w:rsidR="003F5500" w:rsidRPr="003F5500">
              <w:rPr>
                <w:rFonts w:ascii="Garamond" w:hAnsi="Garamond"/>
                <w:lang w:val="en-AU"/>
              </w:rPr>
              <w:t>(</w:t>
            </w:r>
            <w:r w:rsidRPr="003F5500">
              <w:rPr>
                <w:rFonts w:ascii="Garamond" w:hAnsi="Garamond"/>
                <w:lang w:val="en-AU"/>
              </w:rPr>
              <w:t>Ian Scott, Clair Sullivan</w:t>
            </w:r>
            <w:r w:rsidR="003F5500">
              <w:rPr>
                <w:rFonts w:ascii="Garamond" w:hAnsi="Garamond"/>
                <w:lang w:val="en-AU"/>
              </w:rPr>
              <w:t xml:space="preserve">, Andrew </w:t>
            </w:r>
            <w:proofErr w:type="spellStart"/>
            <w:r w:rsidR="003F5500">
              <w:rPr>
                <w:rFonts w:ascii="Garamond" w:hAnsi="Garamond"/>
                <w:lang w:val="en-AU"/>
              </w:rPr>
              <w:t>Staib</w:t>
            </w:r>
            <w:proofErr w:type="spellEnd"/>
            <w:r w:rsidR="003F5500">
              <w:rPr>
                <w:rFonts w:ascii="Garamond" w:hAnsi="Garamond"/>
                <w:lang w:val="en-AU"/>
              </w:rPr>
              <w:t xml:space="preserve"> and Anthony Bell)</w:t>
            </w:r>
          </w:p>
          <w:p w:rsidR="008C34D3" w:rsidRPr="003F5500" w:rsidRDefault="008C34D3" w:rsidP="008C34D3">
            <w:pPr>
              <w:pStyle w:val="ListParagraph"/>
              <w:numPr>
                <w:ilvl w:val="0"/>
                <w:numId w:val="40"/>
              </w:numPr>
              <w:rPr>
                <w:rFonts w:ascii="Garamond" w:hAnsi="Garamond"/>
                <w:lang w:val="en-AU"/>
              </w:rPr>
            </w:pPr>
            <w:r w:rsidRPr="003F5500">
              <w:rPr>
                <w:rFonts w:ascii="Garamond" w:hAnsi="Garamond"/>
                <w:lang w:val="en-AU"/>
              </w:rPr>
              <w:t xml:space="preserve">Changes in </w:t>
            </w:r>
            <w:r w:rsidRPr="003F5500">
              <w:rPr>
                <w:rFonts w:ascii="Garamond" w:hAnsi="Garamond"/>
                <w:b/>
                <w:lang w:val="en-AU"/>
              </w:rPr>
              <w:t>surgical team performance and safety climate attitudes</w:t>
            </w:r>
            <w:r w:rsidRPr="003F5500">
              <w:rPr>
                <w:rFonts w:ascii="Garamond" w:hAnsi="Garamond"/>
                <w:lang w:val="en-AU"/>
              </w:rPr>
              <w:t xml:space="preserve"> following expansion of perioperative services: a repeated-measures study </w:t>
            </w:r>
            <w:r w:rsidR="003F5500" w:rsidRPr="003F5500">
              <w:rPr>
                <w:rFonts w:ascii="Garamond" w:hAnsi="Garamond"/>
                <w:lang w:val="en-AU"/>
              </w:rPr>
              <w:t>(</w:t>
            </w:r>
            <w:r w:rsidRPr="003F5500">
              <w:rPr>
                <w:rFonts w:ascii="Garamond" w:hAnsi="Garamond"/>
                <w:lang w:val="en-AU"/>
              </w:rPr>
              <w:t xml:space="preserve">Brigid M Gillespie, Emma </w:t>
            </w:r>
            <w:proofErr w:type="spellStart"/>
            <w:r w:rsidRPr="003F5500">
              <w:rPr>
                <w:rFonts w:ascii="Garamond" w:hAnsi="Garamond"/>
                <w:lang w:val="en-AU"/>
              </w:rPr>
              <w:t>Harbeck</w:t>
            </w:r>
            <w:proofErr w:type="spellEnd"/>
            <w:r w:rsidRPr="003F5500">
              <w:rPr>
                <w:rFonts w:ascii="Garamond" w:hAnsi="Garamond"/>
                <w:lang w:val="en-AU"/>
              </w:rPr>
              <w:t xml:space="preserve">, Evelyn Kang, Catherine Steel, Nicole </w:t>
            </w:r>
            <w:proofErr w:type="spellStart"/>
            <w:r w:rsidRPr="003F5500">
              <w:rPr>
                <w:rFonts w:ascii="Garamond" w:hAnsi="Garamond"/>
                <w:lang w:val="en-AU"/>
              </w:rPr>
              <w:t>Fairwea</w:t>
            </w:r>
            <w:r w:rsidR="003F5500">
              <w:rPr>
                <w:rFonts w:ascii="Garamond" w:hAnsi="Garamond"/>
                <w:lang w:val="en-AU"/>
              </w:rPr>
              <w:t>ther</w:t>
            </w:r>
            <w:proofErr w:type="spellEnd"/>
            <w:r w:rsidR="003F5500">
              <w:rPr>
                <w:rFonts w:ascii="Garamond" w:hAnsi="Garamond"/>
                <w:lang w:val="en-AU"/>
              </w:rPr>
              <w:t xml:space="preserve"> and Wendy </w:t>
            </w:r>
            <w:proofErr w:type="spellStart"/>
            <w:r w:rsidR="003F5500">
              <w:rPr>
                <w:rFonts w:ascii="Garamond" w:hAnsi="Garamond"/>
                <w:lang w:val="en-AU"/>
              </w:rPr>
              <w:t>Chaboyer</w:t>
            </w:r>
            <w:proofErr w:type="spellEnd"/>
            <w:r w:rsidR="003F5500">
              <w:rPr>
                <w:rFonts w:ascii="Garamond" w:hAnsi="Garamond"/>
                <w:lang w:val="en-AU"/>
              </w:rPr>
              <w:t>)</w:t>
            </w:r>
          </w:p>
          <w:p w:rsidR="008C34D3" w:rsidRPr="003F5500" w:rsidRDefault="008C34D3" w:rsidP="008C34D3">
            <w:pPr>
              <w:pStyle w:val="ListParagraph"/>
              <w:numPr>
                <w:ilvl w:val="0"/>
                <w:numId w:val="40"/>
              </w:numPr>
              <w:rPr>
                <w:rFonts w:ascii="Garamond" w:hAnsi="Garamond"/>
                <w:lang w:val="en-AU"/>
              </w:rPr>
            </w:pPr>
            <w:r w:rsidRPr="003F5500">
              <w:rPr>
                <w:rFonts w:ascii="Garamond" w:hAnsi="Garamond"/>
                <w:lang w:val="en-AU"/>
              </w:rPr>
              <w:t xml:space="preserve">When is a </w:t>
            </w:r>
            <w:r w:rsidRPr="003F5500">
              <w:rPr>
                <w:rFonts w:ascii="Garamond" w:hAnsi="Garamond"/>
                <w:b/>
                <w:lang w:val="en-AU"/>
              </w:rPr>
              <w:t>medicine unwanted</w:t>
            </w:r>
            <w:r w:rsidRPr="003F5500">
              <w:rPr>
                <w:rFonts w:ascii="Garamond" w:hAnsi="Garamond"/>
                <w:lang w:val="en-AU"/>
              </w:rPr>
              <w:t xml:space="preserve">, how is it disposed, and how might safe disposal be promoted? Insights from the Australian population </w:t>
            </w:r>
            <w:r w:rsidR="003F5500" w:rsidRPr="003F5500">
              <w:rPr>
                <w:rFonts w:ascii="Garamond" w:hAnsi="Garamond"/>
                <w:lang w:val="en-AU"/>
              </w:rPr>
              <w:t>(</w:t>
            </w:r>
            <w:r w:rsidRPr="003F5500">
              <w:rPr>
                <w:rFonts w:ascii="Garamond" w:hAnsi="Garamond"/>
                <w:lang w:val="en-AU"/>
              </w:rPr>
              <w:t xml:space="preserve">Emilie </w:t>
            </w:r>
            <w:proofErr w:type="spellStart"/>
            <w:r w:rsidRPr="003F5500">
              <w:rPr>
                <w:rFonts w:ascii="Garamond" w:hAnsi="Garamond"/>
                <w:lang w:val="en-AU"/>
              </w:rPr>
              <w:t>Bettington</w:t>
            </w:r>
            <w:proofErr w:type="spellEnd"/>
            <w:r w:rsidRPr="003F5500">
              <w:rPr>
                <w:rFonts w:ascii="Garamond" w:hAnsi="Garamond"/>
                <w:lang w:val="en-AU"/>
              </w:rPr>
              <w:t xml:space="preserve">, Jean </w:t>
            </w:r>
            <w:proofErr w:type="spellStart"/>
            <w:r w:rsidRPr="003F5500">
              <w:rPr>
                <w:rFonts w:ascii="Garamond" w:hAnsi="Garamond"/>
                <w:lang w:val="en-AU"/>
              </w:rPr>
              <w:t>Spinks</w:t>
            </w:r>
            <w:proofErr w:type="spellEnd"/>
            <w:r w:rsidRPr="003F5500">
              <w:rPr>
                <w:rFonts w:ascii="Garamond" w:hAnsi="Garamond"/>
                <w:lang w:val="en-AU"/>
              </w:rPr>
              <w:t>, Fiona Kelly, Alejandra Gallardo-Godoy, Son Nghiem and Amanda J Wh</w:t>
            </w:r>
            <w:r w:rsidR="003F5500">
              <w:rPr>
                <w:rFonts w:ascii="Garamond" w:hAnsi="Garamond"/>
                <w:lang w:val="en-AU"/>
              </w:rPr>
              <w:t>eeler)</w:t>
            </w:r>
          </w:p>
          <w:p w:rsidR="008C34D3" w:rsidRPr="008C34D3" w:rsidRDefault="008C34D3" w:rsidP="003F5500">
            <w:pPr>
              <w:pStyle w:val="ListParagraph"/>
              <w:numPr>
                <w:ilvl w:val="0"/>
                <w:numId w:val="40"/>
              </w:numPr>
              <w:rPr>
                <w:rFonts w:ascii="Garamond" w:hAnsi="Garamond"/>
                <w:lang w:val="en-AU"/>
              </w:rPr>
            </w:pPr>
            <w:r w:rsidRPr="003F5500">
              <w:rPr>
                <w:rFonts w:ascii="Garamond" w:hAnsi="Garamond"/>
                <w:lang w:val="en-AU"/>
              </w:rPr>
              <w:t xml:space="preserve">Medicare needs to consider </w:t>
            </w:r>
            <w:r w:rsidRPr="003F5500">
              <w:rPr>
                <w:rFonts w:ascii="Garamond" w:hAnsi="Garamond"/>
                <w:b/>
                <w:lang w:val="en-AU"/>
              </w:rPr>
              <w:t>banning harmful knee osteoarthritis treatments</w:t>
            </w:r>
            <w:r w:rsidRPr="003F5500">
              <w:rPr>
                <w:rFonts w:ascii="Garamond" w:hAnsi="Garamond"/>
                <w:lang w:val="en-AU"/>
              </w:rPr>
              <w:t xml:space="preserve">, not effective ones </w:t>
            </w:r>
            <w:r w:rsidR="003F5500" w:rsidRPr="003F5500">
              <w:rPr>
                <w:rFonts w:ascii="Garamond" w:hAnsi="Garamond"/>
                <w:lang w:val="en-AU"/>
              </w:rPr>
              <w:t>(</w:t>
            </w:r>
            <w:r w:rsidRPr="003F5500">
              <w:rPr>
                <w:rFonts w:ascii="Garamond" w:hAnsi="Garamond"/>
                <w:lang w:val="en-AU"/>
              </w:rPr>
              <w:t xml:space="preserve">John </w:t>
            </w:r>
            <w:r w:rsidR="003F5500">
              <w:rPr>
                <w:rFonts w:ascii="Garamond" w:hAnsi="Garamond"/>
                <w:lang w:val="en-AU"/>
              </w:rPr>
              <w:t>W Orchard and Jessica J Orchard)</w:t>
            </w:r>
          </w:p>
        </w:tc>
      </w:tr>
    </w:tbl>
    <w:p w:rsidR="008C34D3" w:rsidRDefault="008C34D3" w:rsidP="008C34D3">
      <w:pPr>
        <w:keepNext/>
        <w:keepLines/>
        <w:autoSpaceDE w:val="0"/>
        <w:autoSpaceDN w:val="0"/>
        <w:adjustRightInd w:val="0"/>
        <w:rPr>
          <w:rFonts w:ascii="Garamond" w:hAnsi="Garamond"/>
          <w:i/>
          <w:lang w:val="en-AU"/>
        </w:rPr>
      </w:pPr>
    </w:p>
    <w:p w:rsidR="00D73D0F" w:rsidRDefault="00D73D0F" w:rsidP="008C34D3">
      <w:pPr>
        <w:keepNext/>
        <w:keepLines/>
        <w:autoSpaceDE w:val="0"/>
        <w:autoSpaceDN w:val="0"/>
        <w:adjustRightInd w:val="0"/>
        <w:rPr>
          <w:rFonts w:ascii="Garamond" w:hAnsi="Garamond"/>
          <w:i/>
          <w:lang w:val="en-AU"/>
        </w:rPr>
      </w:pPr>
    </w:p>
    <w:p w:rsidR="001D1E09" w:rsidRDefault="001D1E09" w:rsidP="001D1E09">
      <w:pPr>
        <w:keepNext/>
        <w:keepLines/>
        <w:autoSpaceDE w:val="0"/>
        <w:autoSpaceDN w:val="0"/>
        <w:adjustRightInd w:val="0"/>
        <w:rPr>
          <w:rFonts w:ascii="Garamond" w:hAnsi="Garamond"/>
          <w:i/>
          <w:lang w:val="en-AU"/>
        </w:rPr>
      </w:pPr>
      <w:r>
        <w:rPr>
          <w:rFonts w:ascii="Garamond" w:hAnsi="Garamond"/>
          <w:i/>
          <w:lang w:val="en-AU"/>
        </w:rPr>
        <w:t>Health Affairs</w:t>
      </w:r>
    </w:p>
    <w:p w:rsidR="001D1E09" w:rsidRPr="001450F8" w:rsidRDefault="001D1E09" w:rsidP="001D1E09">
      <w:pPr>
        <w:keepNext/>
        <w:keepLines/>
        <w:autoSpaceDE w:val="0"/>
        <w:autoSpaceDN w:val="0"/>
        <w:adjustRightInd w:val="0"/>
        <w:rPr>
          <w:rFonts w:ascii="Garamond" w:hAnsi="Garamond"/>
          <w:lang w:val="en-AU"/>
        </w:rPr>
      </w:pPr>
      <w:r w:rsidRPr="001450F8">
        <w:rPr>
          <w:rFonts w:ascii="Garamond" w:hAnsi="Garamond"/>
          <w:lang w:val="en-AU"/>
        </w:rPr>
        <w:t xml:space="preserve">Volume: 37, Number: </w:t>
      </w:r>
      <w:r>
        <w:rPr>
          <w:rFonts w:ascii="Garamond" w:hAnsi="Garamond"/>
          <w:lang w:val="en-AU"/>
        </w:rPr>
        <w:t>12</w:t>
      </w:r>
      <w:r w:rsidRPr="001450F8">
        <w:rPr>
          <w:rFonts w:ascii="Garamond" w:hAnsi="Garamond"/>
          <w:lang w:val="en-AU"/>
        </w:rPr>
        <w:t xml:space="preserve"> (</w:t>
      </w:r>
      <w:r>
        <w:rPr>
          <w:rFonts w:ascii="Garamond" w:hAnsi="Garamond"/>
          <w:lang w:val="en-AU"/>
        </w:rPr>
        <w:t>Decem</w:t>
      </w:r>
      <w:r w:rsidRPr="001450F8">
        <w:rPr>
          <w:rFonts w:ascii="Garamond" w:hAnsi="Garamond"/>
          <w:lang w:val="en-AU"/>
        </w:rPr>
        <w:t>ber 2018)</w:t>
      </w:r>
    </w:p>
    <w:tbl>
      <w:tblPr>
        <w:tblStyle w:val="TableGrid"/>
        <w:tblW w:w="0" w:type="auto"/>
        <w:tblInd w:w="288" w:type="dxa"/>
        <w:tblLayout w:type="fixed"/>
        <w:tblLook w:val="01E0" w:firstRow="1" w:lastRow="1" w:firstColumn="1" w:lastColumn="1" w:noHBand="0" w:noVBand="0"/>
      </w:tblPr>
      <w:tblGrid>
        <w:gridCol w:w="1080"/>
        <w:gridCol w:w="8280"/>
      </w:tblGrid>
      <w:tr w:rsidR="001D1E09" w:rsidRPr="000170DA" w:rsidTr="005F57AD">
        <w:tc>
          <w:tcPr>
            <w:tcW w:w="1080" w:type="dxa"/>
            <w:tcBorders>
              <w:top w:val="single" w:sz="4" w:space="0" w:color="auto"/>
              <w:left w:val="single" w:sz="4" w:space="0" w:color="auto"/>
              <w:bottom w:val="single" w:sz="4" w:space="0" w:color="auto"/>
              <w:right w:val="single" w:sz="4" w:space="0" w:color="auto"/>
            </w:tcBorders>
            <w:vAlign w:val="center"/>
          </w:tcPr>
          <w:p w:rsidR="001D1E09" w:rsidRPr="000170DA" w:rsidRDefault="001D1E09" w:rsidP="005F57A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D1E09" w:rsidRPr="000170DA" w:rsidRDefault="00D73D0F" w:rsidP="001D1E09">
            <w:pPr>
              <w:rPr>
                <w:rStyle w:val="Hyperlink"/>
                <w:rFonts w:ascii="Garamond" w:hAnsi="Garamond"/>
                <w:color w:val="auto"/>
                <w:u w:val="none"/>
                <w:lang w:val="en-AU"/>
              </w:rPr>
            </w:pPr>
            <w:hyperlink r:id="rId29" w:history="1">
              <w:r w:rsidR="001D1E09" w:rsidRPr="009B31C4">
                <w:rPr>
                  <w:rStyle w:val="Hyperlink"/>
                  <w:rFonts w:ascii="Garamond" w:hAnsi="Garamond"/>
                  <w:lang w:val="en-AU"/>
                </w:rPr>
                <w:t>https://www.healthaffairs.org/toc/hlthaff/37/12</w:t>
              </w:r>
            </w:hyperlink>
          </w:p>
        </w:tc>
      </w:tr>
      <w:tr w:rsidR="001D1E09" w:rsidRPr="000170DA" w:rsidTr="005F57AD">
        <w:tc>
          <w:tcPr>
            <w:tcW w:w="1080" w:type="dxa"/>
            <w:tcBorders>
              <w:top w:val="single" w:sz="4" w:space="0" w:color="auto"/>
              <w:left w:val="single" w:sz="4" w:space="0" w:color="auto"/>
              <w:bottom w:val="single" w:sz="4" w:space="0" w:color="auto"/>
              <w:right w:val="single" w:sz="4" w:space="0" w:color="auto"/>
            </w:tcBorders>
            <w:vAlign w:val="center"/>
          </w:tcPr>
          <w:p w:rsidR="001D1E09" w:rsidRPr="000170DA" w:rsidRDefault="001D1E09" w:rsidP="005F57A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D1E09" w:rsidRDefault="001D1E09" w:rsidP="005F57AD">
            <w:pPr>
              <w:rPr>
                <w:rFonts w:ascii="Garamond" w:hAnsi="Garamond"/>
                <w:lang w:val="en-AU"/>
              </w:rPr>
            </w:pPr>
            <w:r w:rsidRPr="001450F8">
              <w:rPr>
                <w:rFonts w:ascii="Garamond" w:hAnsi="Garamond"/>
                <w:lang w:val="en-AU"/>
              </w:rPr>
              <w:t xml:space="preserve">A new issue of </w:t>
            </w:r>
            <w:r w:rsidRPr="00FD7960">
              <w:rPr>
                <w:rFonts w:ascii="Garamond" w:hAnsi="Garamond"/>
                <w:i/>
                <w:lang w:val="en-AU"/>
              </w:rPr>
              <w:t>Health Affairs</w:t>
            </w:r>
            <w:r w:rsidRPr="001450F8">
              <w:rPr>
                <w:rFonts w:ascii="Garamond" w:hAnsi="Garamond"/>
                <w:lang w:val="en-AU"/>
              </w:rPr>
              <w:t xml:space="preserve"> has been published, with the theme </w:t>
            </w:r>
            <w:r>
              <w:rPr>
                <w:rFonts w:ascii="Garamond" w:hAnsi="Garamond"/>
                <w:lang w:val="en-AU"/>
              </w:rPr>
              <w:t xml:space="preserve">of </w:t>
            </w:r>
            <w:r w:rsidRPr="001450F8">
              <w:rPr>
                <w:rFonts w:ascii="Garamond" w:hAnsi="Garamond"/>
                <w:lang w:val="en-AU"/>
              </w:rPr>
              <w:t>‘</w:t>
            </w:r>
            <w:r>
              <w:rPr>
                <w:rFonts w:ascii="Garamond" w:hAnsi="Garamond"/>
                <w:b/>
                <w:lang w:val="en-AU"/>
              </w:rPr>
              <w:t>Telehealth</w:t>
            </w:r>
            <w:r w:rsidRPr="001450F8">
              <w:rPr>
                <w:rFonts w:ascii="Garamond" w:hAnsi="Garamond"/>
                <w:lang w:val="en-AU"/>
              </w:rPr>
              <w:t xml:space="preserve">’. Articles in this issue </w:t>
            </w:r>
            <w:r w:rsidR="008C34D3" w:rsidRPr="001450F8">
              <w:rPr>
                <w:rFonts w:ascii="Garamond" w:hAnsi="Garamond"/>
                <w:lang w:val="en-AU"/>
              </w:rPr>
              <w:t xml:space="preserve">of </w:t>
            </w:r>
            <w:r w:rsidR="008C34D3" w:rsidRPr="00FD7960">
              <w:rPr>
                <w:rFonts w:ascii="Garamond" w:hAnsi="Garamond"/>
                <w:i/>
                <w:lang w:val="en-AU"/>
              </w:rPr>
              <w:t>Health Affairs</w:t>
            </w:r>
            <w:r w:rsidR="008C34D3" w:rsidRPr="001450F8">
              <w:rPr>
                <w:rFonts w:ascii="Garamond" w:hAnsi="Garamond"/>
                <w:lang w:val="en-AU"/>
              </w:rPr>
              <w:t xml:space="preserve"> </w:t>
            </w:r>
            <w:r w:rsidRPr="001450F8">
              <w:rPr>
                <w:rFonts w:ascii="Garamond" w:hAnsi="Garamond"/>
                <w:lang w:val="en-AU"/>
              </w:rPr>
              <w:t>include:</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b/>
                <w:lang w:val="en-AU"/>
              </w:rPr>
              <w:t>Charting A Pathway To Better Health</w:t>
            </w:r>
            <w:r w:rsidRPr="00973907">
              <w:rPr>
                <w:rFonts w:ascii="Garamond" w:hAnsi="Garamond"/>
                <w:lang w:val="en-AU"/>
              </w:rPr>
              <w:t xml:space="preserve"> (T R Goldman</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t xml:space="preserve">The </w:t>
            </w:r>
            <w:r w:rsidRPr="00973907">
              <w:rPr>
                <w:rFonts w:ascii="Garamond" w:hAnsi="Garamond"/>
                <w:b/>
                <w:lang w:val="en-AU"/>
              </w:rPr>
              <w:t>Use Of Telemedicine By Physicians</w:t>
            </w:r>
            <w:r w:rsidRPr="00973907">
              <w:rPr>
                <w:rFonts w:ascii="Garamond" w:hAnsi="Garamond"/>
                <w:lang w:val="en-AU"/>
              </w:rPr>
              <w:t>: Still The Exception Rather Than The Rule (Carol K Kane and Kurt Gillis</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b/>
                <w:lang w:val="en-AU"/>
              </w:rPr>
              <w:t>Population-Level Estimates Of Telemedicine Service Provision</w:t>
            </w:r>
            <w:r w:rsidRPr="00973907">
              <w:rPr>
                <w:rFonts w:ascii="Garamond" w:hAnsi="Garamond"/>
                <w:lang w:val="en-AU"/>
              </w:rPr>
              <w:t xml:space="preserve"> Using An All-Payer Claims Database (</w:t>
            </w:r>
            <w:proofErr w:type="spellStart"/>
            <w:r w:rsidRPr="00973907">
              <w:rPr>
                <w:rFonts w:ascii="Garamond" w:hAnsi="Garamond"/>
                <w:lang w:val="en-AU"/>
              </w:rPr>
              <w:t>Jiani</w:t>
            </w:r>
            <w:proofErr w:type="spellEnd"/>
            <w:r w:rsidRPr="00973907">
              <w:rPr>
                <w:rFonts w:ascii="Garamond" w:hAnsi="Garamond"/>
                <w:lang w:val="en-AU"/>
              </w:rPr>
              <w:t xml:space="preserve"> Yu, Pamela J Mink, Peter J </w:t>
            </w:r>
            <w:proofErr w:type="spellStart"/>
            <w:r w:rsidRPr="00973907">
              <w:rPr>
                <w:rFonts w:ascii="Garamond" w:hAnsi="Garamond"/>
                <w:lang w:val="en-AU"/>
              </w:rPr>
              <w:t>Huckfeldt</w:t>
            </w:r>
            <w:proofErr w:type="spellEnd"/>
            <w:r w:rsidRPr="00973907">
              <w:rPr>
                <w:rFonts w:ascii="Garamond" w:hAnsi="Garamond"/>
                <w:lang w:val="en-AU"/>
              </w:rPr>
              <w:t xml:space="preserve">, Stefan </w:t>
            </w:r>
            <w:proofErr w:type="spellStart"/>
            <w:r w:rsidRPr="00973907">
              <w:rPr>
                <w:rFonts w:ascii="Garamond" w:hAnsi="Garamond"/>
                <w:lang w:val="en-AU"/>
              </w:rPr>
              <w:t>Gildemeister</w:t>
            </w:r>
            <w:proofErr w:type="spellEnd"/>
            <w:r w:rsidRPr="00973907">
              <w:rPr>
                <w:rFonts w:ascii="Garamond" w:hAnsi="Garamond"/>
                <w:lang w:val="en-AU"/>
              </w:rPr>
              <w:t>, and Jean M Abraham</w:t>
            </w:r>
            <w:r>
              <w:rPr>
                <w:rFonts w:ascii="Garamond" w:hAnsi="Garamond"/>
                <w:lang w:val="en-AU"/>
              </w:rPr>
              <w:t>)</w:t>
            </w:r>
            <w:r w:rsidR="00A93877">
              <w:rPr>
                <w:rFonts w:ascii="Garamond" w:hAnsi="Garamond"/>
                <w:lang w:val="en-AU"/>
              </w:rPr>
              <w:br/>
            </w:r>
            <w:r w:rsidR="00A93877">
              <w:rPr>
                <w:rFonts w:ascii="Garamond" w:hAnsi="Garamond"/>
                <w:noProof/>
                <w:lang w:val="en-AU" w:eastAsia="en-AU"/>
              </w:rPr>
              <w:lastRenderedPageBreak/>
              <w:drawing>
                <wp:inline distT="0" distB="0" distL="0" distR="0">
                  <wp:extent cx="4636256" cy="3228975"/>
                  <wp:effectExtent l="0" t="0" r="0" b="0"/>
                  <wp:docPr id="2" name="Picture 2" descr="\\central.health\dfsuserenv\Users\User_07\JOHNNI\Desktop\Health Affairs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Health Affairs Captur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36256" cy="3228975"/>
                          </a:xfrm>
                          <a:prstGeom prst="rect">
                            <a:avLst/>
                          </a:prstGeom>
                          <a:noFill/>
                          <a:ln>
                            <a:noFill/>
                          </a:ln>
                        </pic:spPr>
                      </pic:pic>
                    </a:graphicData>
                  </a:graphic>
                </wp:inline>
              </w:drawing>
            </w:r>
            <w:r w:rsidR="00D73D0F">
              <w:rPr>
                <w:rFonts w:ascii="Garamond" w:hAnsi="Garamond"/>
                <w:lang w:val="en-AU"/>
              </w:rPr>
              <w:br/>
            </w:r>
            <w:r w:rsidR="00A35430">
              <w:rPr>
                <w:rFonts w:ascii="Garamond" w:hAnsi="Garamond"/>
                <w:lang w:val="en-AU"/>
              </w:rPr>
              <w:br/>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t xml:space="preserve">How Is </w:t>
            </w:r>
            <w:r w:rsidRPr="00973907">
              <w:rPr>
                <w:rFonts w:ascii="Garamond" w:hAnsi="Garamond"/>
                <w:b/>
                <w:lang w:val="en-AU"/>
              </w:rPr>
              <w:t>Telemedicine</w:t>
            </w:r>
            <w:r w:rsidRPr="00973907">
              <w:rPr>
                <w:rFonts w:ascii="Garamond" w:hAnsi="Garamond"/>
                <w:lang w:val="en-AU"/>
              </w:rPr>
              <w:t xml:space="preserve"> Being Used In </w:t>
            </w:r>
            <w:r w:rsidRPr="00973907">
              <w:rPr>
                <w:rFonts w:ascii="Garamond" w:hAnsi="Garamond"/>
                <w:b/>
                <w:lang w:val="en-AU"/>
              </w:rPr>
              <w:t>Opioid And Other Substance Use Disorder Treatment</w:t>
            </w:r>
            <w:r w:rsidRPr="00973907">
              <w:rPr>
                <w:rFonts w:ascii="Garamond" w:hAnsi="Garamond"/>
                <w:lang w:val="en-AU"/>
              </w:rPr>
              <w:t xml:space="preserve">? (Haiden A </w:t>
            </w:r>
            <w:proofErr w:type="spellStart"/>
            <w:r w:rsidRPr="00973907">
              <w:rPr>
                <w:rFonts w:ascii="Garamond" w:hAnsi="Garamond"/>
                <w:lang w:val="en-AU"/>
              </w:rPr>
              <w:t>Huskamp</w:t>
            </w:r>
            <w:proofErr w:type="spellEnd"/>
            <w:r w:rsidRPr="00973907">
              <w:rPr>
                <w:rFonts w:ascii="Garamond" w:hAnsi="Garamond"/>
                <w:lang w:val="en-AU"/>
              </w:rPr>
              <w:t xml:space="preserve">, Alisa B Busch, Jeffrey Souza, Lori </w:t>
            </w:r>
            <w:proofErr w:type="spellStart"/>
            <w:r w:rsidRPr="00973907">
              <w:rPr>
                <w:rFonts w:ascii="Garamond" w:hAnsi="Garamond"/>
                <w:lang w:val="en-AU"/>
              </w:rPr>
              <w:t>Uscher</w:t>
            </w:r>
            <w:proofErr w:type="spellEnd"/>
            <w:r w:rsidRPr="00973907">
              <w:rPr>
                <w:rFonts w:ascii="Garamond" w:hAnsi="Garamond"/>
                <w:lang w:val="en-AU"/>
              </w:rPr>
              <w:t xml:space="preserve">-Pines, Sherri Rose, A Wilcock, B E Landon, and A </w:t>
            </w:r>
            <w:proofErr w:type="spellStart"/>
            <w:r w:rsidRPr="00973907">
              <w:rPr>
                <w:rFonts w:ascii="Garamond" w:hAnsi="Garamond"/>
                <w:lang w:val="en-AU"/>
              </w:rPr>
              <w:t>Mehrotra</w:t>
            </w:r>
            <w:proofErr w:type="spellEnd"/>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b/>
                <w:lang w:val="en-AU"/>
              </w:rPr>
              <w:t>Who Isn’t Using Patient Portals</w:t>
            </w:r>
            <w:r w:rsidRPr="00973907">
              <w:rPr>
                <w:rFonts w:ascii="Garamond" w:hAnsi="Garamond"/>
                <w:lang w:val="en-AU"/>
              </w:rPr>
              <w:t xml:space="preserve"> </w:t>
            </w:r>
            <w:proofErr w:type="gramStart"/>
            <w:r w:rsidRPr="00973907">
              <w:rPr>
                <w:rFonts w:ascii="Garamond" w:hAnsi="Garamond"/>
                <w:lang w:val="en-AU"/>
              </w:rPr>
              <w:t>And</w:t>
            </w:r>
            <w:proofErr w:type="gramEnd"/>
            <w:r w:rsidRPr="00973907">
              <w:rPr>
                <w:rFonts w:ascii="Garamond" w:hAnsi="Garamond"/>
                <w:lang w:val="en-AU"/>
              </w:rPr>
              <w:t xml:space="preserve"> Why? Evidence And Implications From A National Sample Of US Adults (Denise L Anthony, Celeste Campos-Castillo, and Paulina S Lim</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t xml:space="preserve">Challenges And Opportunities Faced By </w:t>
            </w:r>
            <w:r w:rsidRPr="00973907">
              <w:rPr>
                <w:rFonts w:ascii="Garamond" w:hAnsi="Garamond"/>
                <w:b/>
                <w:lang w:val="en-AU"/>
              </w:rPr>
              <w:t>Large Health Systems Implementing Telehealth</w:t>
            </w:r>
            <w:r w:rsidRPr="00973907">
              <w:rPr>
                <w:rFonts w:ascii="Garamond" w:hAnsi="Garamond"/>
                <w:lang w:val="en-AU"/>
              </w:rPr>
              <w:t xml:space="preserve"> (Chad </w:t>
            </w:r>
            <w:proofErr w:type="spellStart"/>
            <w:r w:rsidRPr="00973907">
              <w:rPr>
                <w:rFonts w:ascii="Garamond" w:hAnsi="Garamond"/>
                <w:lang w:val="en-AU"/>
              </w:rPr>
              <w:t>Ellimoottil</w:t>
            </w:r>
            <w:proofErr w:type="spellEnd"/>
            <w:r w:rsidRPr="00973907">
              <w:rPr>
                <w:rFonts w:ascii="Garamond" w:hAnsi="Garamond"/>
                <w:lang w:val="en-AU"/>
              </w:rPr>
              <w:t xml:space="preserve">, Lawrence An, Meagan Moyer, Sarah </w:t>
            </w:r>
            <w:proofErr w:type="spellStart"/>
            <w:r w:rsidRPr="00973907">
              <w:rPr>
                <w:rFonts w:ascii="Garamond" w:hAnsi="Garamond"/>
                <w:lang w:val="en-AU"/>
              </w:rPr>
              <w:t>Sossong</w:t>
            </w:r>
            <w:proofErr w:type="spellEnd"/>
            <w:r w:rsidRPr="00973907">
              <w:rPr>
                <w:rFonts w:ascii="Garamond" w:hAnsi="Garamond"/>
                <w:lang w:val="en-AU"/>
              </w:rPr>
              <w:t>, and Judd E Hollander</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t xml:space="preserve">Advancement Of </w:t>
            </w:r>
            <w:proofErr w:type="spellStart"/>
            <w:r w:rsidRPr="00973907">
              <w:rPr>
                <w:rFonts w:ascii="Garamond" w:hAnsi="Garamond"/>
                <w:b/>
                <w:lang w:val="en-AU"/>
              </w:rPr>
              <w:t>Teledentistry</w:t>
            </w:r>
            <w:proofErr w:type="spellEnd"/>
            <w:r w:rsidRPr="00973907">
              <w:rPr>
                <w:rFonts w:ascii="Garamond" w:hAnsi="Garamond"/>
                <w:lang w:val="en-AU"/>
              </w:rPr>
              <w:t xml:space="preserve"> At The University Of Rochester’s Eastman Institute For Oral Health (</w:t>
            </w:r>
            <w:proofErr w:type="spellStart"/>
            <w:r w:rsidRPr="00973907">
              <w:rPr>
                <w:rFonts w:ascii="Garamond" w:hAnsi="Garamond"/>
                <w:lang w:val="en-AU"/>
              </w:rPr>
              <w:t>Dorota</w:t>
            </w:r>
            <w:proofErr w:type="spellEnd"/>
            <w:r w:rsidRPr="00973907">
              <w:rPr>
                <w:rFonts w:ascii="Garamond" w:hAnsi="Garamond"/>
                <w:lang w:val="en-AU"/>
              </w:rPr>
              <w:t xml:space="preserve"> T </w:t>
            </w:r>
            <w:proofErr w:type="spellStart"/>
            <w:r w:rsidRPr="00973907">
              <w:rPr>
                <w:rFonts w:ascii="Garamond" w:hAnsi="Garamond"/>
                <w:lang w:val="en-AU"/>
              </w:rPr>
              <w:t>Kopycka-Kedzierawski</w:t>
            </w:r>
            <w:proofErr w:type="spellEnd"/>
            <w:r w:rsidRPr="00973907">
              <w:rPr>
                <w:rFonts w:ascii="Garamond" w:hAnsi="Garamond"/>
                <w:lang w:val="en-AU"/>
              </w:rPr>
              <w:t>, Sean W McLaren, and Ronald J Billings</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b/>
                <w:lang w:val="en-AU"/>
              </w:rPr>
              <w:t xml:space="preserve">Telehealth In Health </w:t>
            </w:r>
            <w:proofErr w:type="spellStart"/>
            <w:r w:rsidRPr="00973907">
              <w:rPr>
                <w:rFonts w:ascii="Garamond" w:hAnsi="Garamond"/>
                <w:b/>
                <w:lang w:val="en-AU"/>
              </w:rPr>
              <w:t>Centers</w:t>
            </w:r>
            <w:proofErr w:type="spellEnd"/>
            <w:r w:rsidRPr="00973907">
              <w:rPr>
                <w:rFonts w:ascii="Garamond" w:hAnsi="Garamond"/>
                <w:lang w:val="en-AU"/>
              </w:rPr>
              <w:t xml:space="preserve">: Key Adoption Factors, Barriers, And Opportunities (Ching-Ching Claire Lin, Anne </w:t>
            </w:r>
            <w:proofErr w:type="spellStart"/>
            <w:r w:rsidRPr="00973907">
              <w:rPr>
                <w:rFonts w:ascii="Garamond" w:hAnsi="Garamond"/>
                <w:lang w:val="en-AU"/>
              </w:rPr>
              <w:t>Dievler</w:t>
            </w:r>
            <w:proofErr w:type="spellEnd"/>
            <w:r w:rsidRPr="00973907">
              <w:rPr>
                <w:rFonts w:ascii="Garamond" w:hAnsi="Garamond"/>
                <w:lang w:val="en-AU"/>
              </w:rPr>
              <w:t xml:space="preserve">, Carolyn Robbins, Alek </w:t>
            </w:r>
            <w:proofErr w:type="spellStart"/>
            <w:r w:rsidRPr="00973907">
              <w:rPr>
                <w:rFonts w:ascii="Garamond" w:hAnsi="Garamond"/>
                <w:lang w:val="en-AU"/>
              </w:rPr>
              <w:t>Sripipatana</w:t>
            </w:r>
            <w:proofErr w:type="spellEnd"/>
            <w:r w:rsidRPr="00973907">
              <w:rPr>
                <w:rFonts w:ascii="Garamond" w:hAnsi="Garamond"/>
                <w:lang w:val="en-AU"/>
              </w:rPr>
              <w:t>, Matt Quinn, and Suma Nair</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t xml:space="preserve">The Current </w:t>
            </w:r>
            <w:r w:rsidRPr="00973907">
              <w:rPr>
                <w:rFonts w:ascii="Garamond" w:hAnsi="Garamond"/>
                <w:b/>
                <w:lang w:val="en-AU"/>
              </w:rPr>
              <w:t>State Of Telehealth Evidence</w:t>
            </w:r>
            <w:r w:rsidRPr="00973907">
              <w:rPr>
                <w:rFonts w:ascii="Garamond" w:hAnsi="Garamond"/>
                <w:lang w:val="en-AU"/>
              </w:rPr>
              <w:t xml:space="preserve">: A Rapid Review (Erin </w:t>
            </w:r>
            <w:proofErr w:type="spellStart"/>
            <w:r w:rsidRPr="00973907">
              <w:rPr>
                <w:rFonts w:ascii="Garamond" w:hAnsi="Garamond"/>
                <w:lang w:val="en-AU"/>
              </w:rPr>
              <w:t>Shigekawa</w:t>
            </w:r>
            <w:proofErr w:type="spellEnd"/>
            <w:r w:rsidRPr="00973907">
              <w:rPr>
                <w:rFonts w:ascii="Garamond" w:hAnsi="Garamond"/>
                <w:lang w:val="en-AU"/>
              </w:rPr>
              <w:t xml:space="preserve">, Margaret Fix, </w:t>
            </w:r>
            <w:proofErr w:type="spellStart"/>
            <w:r w:rsidRPr="00973907">
              <w:rPr>
                <w:rFonts w:ascii="Garamond" w:hAnsi="Garamond"/>
                <w:lang w:val="en-AU"/>
              </w:rPr>
              <w:t>Garen</w:t>
            </w:r>
            <w:proofErr w:type="spellEnd"/>
            <w:r w:rsidRPr="00973907">
              <w:rPr>
                <w:rFonts w:ascii="Garamond" w:hAnsi="Garamond"/>
                <w:lang w:val="en-AU"/>
              </w:rPr>
              <w:t xml:space="preserve"> Corbett, Dylan H Roby, and Janet Coffman</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b/>
                <w:lang w:val="en-AU"/>
              </w:rPr>
              <w:t xml:space="preserve">Home </w:t>
            </w:r>
            <w:proofErr w:type="spellStart"/>
            <w:r w:rsidRPr="00973907">
              <w:rPr>
                <w:rFonts w:ascii="Garamond" w:hAnsi="Garamond"/>
                <w:b/>
                <w:lang w:val="en-AU"/>
              </w:rPr>
              <w:t>Telemonitoring</w:t>
            </w:r>
            <w:proofErr w:type="spellEnd"/>
            <w:r w:rsidRPr="00973907">
              <w:rPr>
                <w:rFonts w:ascii="Garamond" w:hAnsi="Garamond"/>
                <w:b/>
                <w:lang w:val="en-AU"/>
              </w:rPr>
              <w:t xml:space="preserve"> In Heart Failure</w:t>
            </w:r>
            <w:r w:rsidRPr="00973907">
              <w:rPr>
                <w:rFonts w:ascii="Garamond" w:hAnsi="Garamond"/>
                <w:lang w:val="en-AU"/>
              </w:rPr>
              <w:t xml:space="preserve">: A Systematic Review And Meta-Analysis (Renee </w:t>
            </w:r>
            <w:proofErr w:type="spellStart"/>
            <w:r w:rsidRPr="00973907">
              <w:rPr>
                <w:rFonts w:ascii="Garamond" w:hAnsi="Garamond"/>
                <w:lang w:val="en-AU"/>
              </w:rPr>
              <w:t>Pekmezaris</w:t>
            </w:r>
            <w:proofErr w:type="spellEnd"/>
            <w:r w:rsidRPr="00973907">
              <w:rPr>
                <w:rFonts w:ascii="Garamond" w:hAnsi="Garamond"/>
                <w:lang w:val="en-AU"/>
              </w:rPr>
              <w:t xml:space="preserve">, Leanne </w:t>
            </w:r>
            <w:proofErr w:type="spellStart"/>
            <w:r w:rsidRPr="00973907">
              <w:rPr>
                <w:rFonts w:ascii="Garamond" w:hAnsi="Garamond"/>
                <w:lang w:val="en-AU"/>
              </w:rPr>
              <w:t>Tortez</w:t>
            </w:r>
            <w:proofErr w:type="spellEnd"/>
            <w:r w:rsidRPr="00973907">
              <w:rPr>
                <w:rFonts w:ascii="Garamond" w:hAnsi="Garamond"/>
                <w:lang w:val="en-AU"/>
              </w:rPr>
              <w:t xml:space="preserve">, </w:t>
            </w:r>
            <w:proofErr w:type="spellStart"/>
            <w:r w:rsidRPr="00973907">
              <w:rPr>
                <w:rFonts w:ascii="Garamond" w:hAnsi="Garamond"/>
                <w:lang w:val="en-AU"/>
              </w:rPr>
              <w:t>Myia</w:t>
            </w:r>
            <w:proofErr w:type="spellEnd"/>
            <w:r w:rsidRPr="00973907">
              <w:rPr>
                <w:rFonts w:ascii="Garamond" w:hAnsi="Garamond"/>
                <w:lang w:val="en-AU"/>
              </w:rPr>
              <w:t xml:space="preserve"> Williams, </w:t>
            </w:r>
            <w:proofErr w:type="spellStart"/>
            <w:r w:rsidRPr="00973907">
              <w:rPr>
                <w:rFonts w:ascii="Garamond" w:hAnsi="Garamond"/>
                <w:lang w:val="en-AU"/>
              </w:rPr>
              <w:t>Vidhi</w:t>
            </w:r>
            <w:proofErr w:type="spellEnd"/>
            <w:r w:rsidRPr="00973907">
              <w:rPr>
                <w:rFonts w:ascii="Garamond" w:hAnsi="Garamond"/>
                <w:lang w:val="en-AU"/>
              </w:rPr>
              <w:t xml:space="preserve"> Patel, </w:t>
            </w:r>
            <w:proofErr w:type="spellStart"/>
            <w:r w:rsidRPr="00973907">
              <w:rPr>
                <w:rFonts w:ascii="Garamond" w:hAnsi="Garamond"/>
                <w:lang w:val="en-AU"/>
              </w:rPr>
              <w:t>Amgad</w:t>
            </w:r>
            <w:proofErr w:type="spellEnd"/>
            <w:r w:rsidRPr="00973907">
              <w:rPr>
                <w:rFonts w:ascii="Garamond" w:hAnsi="Garamond"/>
                <w:lang w:val="en-AU"/>
              </w:rPr>
              <w:t xml:space="preserve"> </w:t>
            </w:r>
            <w:proofErr w:type="spellStart"/>
            <w:r w:rsidRPr="00973907">
              <w:rPr>
                <w:rFonts w:ascii="Garamond" w:hAnsi="Garamond"/>
                <w:lang w:val="en-AU"/>
              </w:rPr>
              <w:t>Makaryus</w:t>
            </w:r>
            <w:proofErr w:type="spellEnd"/>
            <w:r w:rsidRPr="00973907">
              <w:rPr>
                <w:rFonts w:ascii="Garamond" w:hAnsi="Garamond"/>
                <w:lang w:val="en-AU"/>
              </w:rPr>
              <w:t xml:space="preserve">, Roman </w:t>
            </w:r>
            <w:proofErr w:type="spellStart"/>
            <w:r w:rsidRPr="00973907">
              <w:rPr>
                <w:rFonts w:ascii="Garamond" w:hAnsi="Garamond"/>
                <w:lang w:val="en-AU"/>
              </w:rPr>
              <w:t>Zeltser</w:t>
            </w:r>
            <w:proofErr w:type="spellEnd"/>
            <w:r w:rsidRPr="00973907">
              <w:rPr>
                <w:rFonts w:ascii="Garamond" w:hAnsi="Garamond"/>
                <w:lang w:val="en-AU"/>
              </w:rPr>
              <w:t xml:space="preserve">, </w:t>
            </w:r>
            <w:proofErr w:type="spellStart"/>
            <w:r w:rsidRPr="00973907">
              <w:rPr>
                <w:rFonts w:ascii="Garamond" w:hAnsi="Garamond"/>
                <w:lang w:val="en-AU"/>
              </w:rPr>
              <w:t>Liron</w:t>
            </w:r>
            <w:proofErr w:type="spellEnd"/>
            <w:r w:rsidRPr="00973907">
              <w:rPr>
                <w:rFonts w:ascii="Garamond" w:hAnsi="Garamond"/>
                <w:lang w:val="en-AU"/>
              </w:rPr>
              <w:t xml:space="preserve"> </w:t>
            </w:r>
            <w:proofErr w:type="spellStart"/>
            <w:r w:rsidRPr="00973907">
              <w:rPr>
                <w:rFonts w:ascii="Garamond" w:hAnsi="Garamond"/>
                <w:lang w:val="en-AU"/>
              </w:rPr>
              <w:t>Sinvani</w:t>
            </w:r>
            <w:proofErr w:type="spellEnd"/>
            <w:r w:rsidRPr="00973907">
              <w:rPr>
                <w:rFonts w:ascii="Garamond" w:hAnsi="Garamond"/>
                <w:lang w:val="en-AU"/>
              </w:rPr>
              <w:t xml:space="preserve">, Gisele Wolf-Klein, Janice Lester, Cristina </w:t>
            </w:r>
            <w:proofErr w:type="spellStart"/>
            <w:r w:rsidRPr="00973907">
              <w:rPr>
                <w:rFonts w:ascii="Garamond" w:hAnsi="Garamond"/>
                <w:lang w:val="en-AU"/>
              </w:rPr>
              <w:t>Sison</w:t>
            </w:r>
            <w:proofErr w:type="spellEnd"/>
            <w:r w:rsidRPr="00973907">
              <w:rPr>
                <w:rFonts w:ascii="Garamond" w:hAnsi="Garamond"/>
                <w:lang w:val="en-AU"/>
              </w:rPr>
              <w:t xml:space="preserve">, Martin Lesser, and Andrzej </w:t>
            </w:r>
            <w:proofErr w:type="spellStart"/>
            <w:r w:rsidRPr="00973907">
              <w:rPr>
                <w:rFonts w:ascii="Garamond" w:hAnsi="Garamond"/>
                <w:lang w:val="en-AU"/>
              </w:rPr>
              <w:t>Kozikowski</w:t>
            </w:r>
            <w:proofErr w:type="spellEnd"/>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t xml:space="preserve">The Effect Of A </w:t>
            </w:r>
            <w:r w:rsidRPr="00973907">
              <w:rPr>
                <w:rFonts w:ascii="Garamond" w:hAnsi="Garamond"/>
                <w:b/>
                <w:lang w:val="en-AU"/>
              </w:rPr>
              <w:t>Newborn Telehealth</w:t>
            </w:r>
            <w:r w:rsidRPr="00973907">
              <w:rPr>
                <w:rFonts w:ascii="Garamond" w:hAnsi="Garamond"/>
                <w:lang w:val="en-AU"/>
              </w:rPr>
              <w:t xml:space="preserve"> Program On </w:t>
            </w:r>
            <w:r w:rsidRPr="00973907">
              <w:rPr>
                <w:rFonts w:ascii="Garamond" w:hAnsi="Garamond"/>
                <w:b/>
                <w:lang w:val="en-AU"/>
              </w:rPr>
              <w:t>Transfers Avoided</w:t>
            </w:r>
            <w:r w:rsidRPr="00973907">
              <w:rPr>
                <w:rFonts w:ascii="Garamond" w:hAnsi="Garamond"/>
                <w:lang w:val="en-AU"/>
              </w:rPr>
              <w:t xml:space="preserve">: A Multiple-Baseline Study (Jordan </w:t>
            </w:r>
            <w:proofErr w:type="spellStart"/>
            <w:r w:rsidRPr="00973907">
              <w:rPr>
                <w:rFonts w:ascii="Garamond" w:hAnsi="Garamond"/>
                <w:lang w:val="en-AU"/>
              </w:rPr>
              <w:t>Albritton</w:t>
            </w:r>
            <w:proofErr w:type="spellEnd"/>
            <w:r w:rsidRPr="00973907">
              <w:rPr>
                <w:rFonts w:ascii="Garamond" w:hAnsi="Garamond"/>
                <w:lang w:val="en-AU"/>
              </w:rPr>
              <w:t xml:space="preserve">, Lory Maddox, Joseph </w:t>
            </w:r>
            <w:proofErr w:type="spellStart"/>
            <w:r w:rsidRPr="00973907">
              <w:rPr>
                <w:rFonts w:ascii="Garamond" w:hAnsi="Garamond"/>
                <w:lang w:val="en-AU"/>
              </w:rPr>
              <w:t>Dalto</w:t>
            </w:r>
            <w:proofErr w:type="spellEnd"/>
            <w:r w:rsidRPr="00973907">
              <w:rPr>
                <w:rFonts w:ascii="Garamond" w:hAnsi="Garamond"/>
                <w:lang w:val="en-AU"/>
              </w:rPr>
              <w:t xml:space="preserve">, Erick </w:t>
            </w:r>
            <w:proofErr w:type="spellStart"/>
            <w:r w:rsidRPr="00973907">
              <w:rPr>
                <w:rFonts w:ascii="Garamond" w:hAnsi="Garamond"/>
                <w:lang w:val="en-AU"/>
              </w:rPr>
              <w:t>Ridout</w:t>
            </w:r>
            <w:proofErr w:type="spellEnd"/>
            <w:r w:rsidRPr="00973907">
              <w:rPr>
                <w:rFonts w:ascii="Garamond" w:hAnsi="Garamond"/>
                <w:lang w:val="en-AU"/>
              </w:rPr>
              <w:t>, and Stephen Minton</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b/>
                <w:lang w:val="en-AU"/>
              </w:rPr>
              <w:t>Tele-Triage Outcomes</w:t>
            </w:r>
            <w:r w:rsidRPr="00973907">
              <w:rPr>
                <w:rFonts w:ascii="Garamond" w:hAnsi="Garamond"/>
                <w:lang w:val="en-AU"/>
              </w:rPr>
              <w:t xml:space="preserve"> For Patients With </w:t>
            </w:r>
            <w:r w:rsidRPr="00973907">
              <w:rPr>
                <w:rFonts w:ascii="Garamond" w:hAnsi="Garamond"/>
                <w:b/>
                <w:lang w:val="en-AU"/>
              </w:rPr>
              <w:t>Chest Pain</w:t>
            </w:r>
            <w:r w:rsidRPr="00973907">
              <w:rPr>
                <w:rFonts w:ascii="Garamond" w:hAnsi="Garamond"/>
                <w:lang w:val="en-AU"/>
              </w:rPr>
              <w:t xml:space="preserve">: Comparing Physicians And Registered Nurses (Dana R Sax, David R Vinson, Cyrus K </w:t>
            </w:r>
            <w:proofErr w:type="spellStart"/>
            <w:r w:rsidRPr="00973907">
              <w:rPr>
                <w:rFonts w:ascii="Garamond" w:hAnsi="Garamond"/>
                <w:lang w:val="en-AU"/>
              </w:rPr>
              <w:t>Yamin</w:t>
            </w:r>
            <w:proofErr w:type="spellEnd"/>
            <w:r w:rsidRPr="00973907">
              <w:rPr>
                <w:rFonts w:ascii="Garamond" w:hAnsi="Garamond"/>
                <w:lang w:val="en-AU"/>
              </w:rPr>
              <w:t xml:space="preserve">, </w:t>
            </w:r>
            <w:proofErr w:type="spellStart"/>
            <w:r w:rsidRPr="00973907">
              <w:rPr>
                <w:rFonts w:ascii="Garamond" w:hAnsi="Garamond"/>
                <w:lang w:val="en-AU"/>
              </w:rPr>
              <w:t>Jie</w:t>
            </w:r>
            <w:proofErr w:type="spellEnd"/>
            <w:r w:rsidRPr="00973907">
              <w:rPr>
                <w:rFonts w:ascii="Garamond" w:hAnsi="Garamond"/>
                <w:lang w:val="en-AU"/>
              </w:rPr>
              <w:t xml:space="preserve"> Huang, Troy M </w:t>
            </w:r>
            <w:proofErr w:type="spellStart"/>
            <w:r w:rsidRPr="00973907">
              <w:rPr>
                <w:rFonts w:ascii="Garamond" w:hAnsi="Garamond"/>
                <w:lang w:val="en-AU"/>
              </w:rPr>
              <w:t>Falck</w:t>
            </w:r>
            <w:proofErr w:type="spellEnd"/>
            <w:r w:rsidRPr="00973907">
              <w:rPr>
                <w:rFonts w:ascii="Garamond" w:hAnsi="Garamond"/>
                <w:lang w:val="en-AU"/>
              </w:rPr>
              <w:t xml:space="preserve">, R Bhargava, D J </w:t>
            </w:r>
            <w:proofErr w:type="spellStart"/>
            <w:r w:rsidRPr="00973907">
              <w:rPr>
                <w:rFonts w:ascii="Garamond" w:hAnsi="Garamond"/>
                <w:lang w:val="en-AU"/>
              </w:rPr>
              <w:t>Amaral</w:t>
            </w:r>
            <w:proofErr w:type="spellEnd"/>
            <w:r w:rsidRPr="00973907">
              <w:rPr>
                <w:rFonts w:ascii="Garamond" w:hAnsi="Garamond"/>
                <w:lang w:val="en-AU"/>
              </w:rPr>
              <w:t>, and M E Reed</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t xml:space="preserve">Expansion Of </w:t>
            </w:r>
            <w:proofErr w:type="spellStart"/>
            <w:r w:rsidRPr="00973907">
              <w:rPr>
                <w:rFonts w:ascii="Garamond" w:hAnsi="Garamond"/>
                <w:b/>
                <w:lang w:val="en-AU"/>
              </w:rPr>
              <w:t>Telestroke</w:t>
            </w:r>
            <w:proofErr w:type="spellEnd"/>
            <w:r w:rsidRPr="00973907">
              <w:rPr>
                <w:rFonts w:ascii="Garamond" w:hAnsi="Garamond"/>
                <w:b/>
                <w:lang w:val="en-AU"/>
              </w:rPr>
              <w:t xml:space="preserve"> Services Improves Quality Of Care</w:t>
            </w:r>
            <w:r w:rsidRPr="00973907">
              <w:rPr>
                <w:rFonts w:ascii="Garamond" w:hAnsi="Garamond"/>
                <w:lang w:val="en-AU"/>
              </w:rPr>
              <w:t xml:space="preserve"> Provided In Super Rural Areas (</w:t>
            </w:r>
            <w:proofErr w:type="spellStart"/>
            <w:r w:rsidRPr="00973907">
              <w:rPr>
                <w:rFonts w:ascii="Garamond" w:hAnsi="Garamond"/>
                <w:lang w:val="en-AU"/>
              </w:rPr>
              <w:t>Donglan</w:t>
            </w:r>
            <w:proofErr w:type="spellEnd"/>
            <w:r w:rsidRPr="00973907">
              <w:rPr>
                <w:rFonts w:ascii="Garamond" w:hAnsi="Garamond"/>
                <w:lang w:val="en-AU"/>
              </w:rPr>
              <w:t xml:space="preserve"> Zhang, </w:t>
            </w:r>
            <w:proofErr w:type="spellStart"/>
            <w:r w:rsidRPr="00973907">
              <w:rPr>
                <w:rFonts w:ascii="Garamond" w:hAnsi="Garamond"/>
                <w:lang w:val="en-AU"/>
              </w:rPr>
              <w:t>Guijing</w:t>
            </w:r>
            <w:proofErr w:type="spellEnd"/>
            <w:r w:rsidRPr="00973907">
              <w:rPr>
                <w:rFonts w:ascii="Garamond" w:hAnsi="Garamond"/>
                <w:lang w:val="en-AU"/>
              </w:rPr>
              <w:t xml:space="preserve"> Wang, </w:t>
            </w:r>
            <w:proofErr w:type="spellStart"/>
            <w:r w:rsidRPr="00973907">
              <w:rPr>
                <w:rFonts w:ascii="Garamond" w:hAnsi="Garamond"/>
                <w:lang w:val="en-AU"/>
              </w:rPr>
              <w:t>Weiming</w:t>
            </w:r>
            <w:proofErr w:type="spellEnd"/>
            <w:r w:rsidRPr="00973907">
              <w:rPr>
                <w:rFonts w:ascii="Garamond" w:hAnsi="Garamond"/>
                <w:lang w:val="en-AU"/>
              </w:rPr>
              <w:t xml:space="preserve"> Zhu, Janani R </w:t>
            </w:r>
            <w:proofErr w:type="spellStart"/>
            <w:r w:rsidRPr="00973907">
              <w:rPr>
                <w:rFonts w:ascii="Garamond" w:hAnsi="Garamond"/>
                <w:lang w:val="en-AU"/>
              </w:rPr>
              <w:t>Thapa</w:t>
            </w:r>
            <w:proofErr w:type="spellEnd"/>
            <w:r w:rsidRPr="00973907">
              <w:rPr>
                <w:rFonts w:ascii="Garamond" w:hAnsi="Garamond"/>
                <w:lang w:val="en-AU"/>
              </w:rPr>
              <w:t>, Jeffrey A Switzer, David C Hess, Matthew L Smith, and M D Ritchey</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lastRenderedPageBreak/>
              <w:t xml:space="preserve">Quality Of Care For </w:t>
            </w:r>
            <w:r w:rsidRPr="00973907">
              <w:rPr>
                <w:rFonts w:ascii="Garamond" w:hAnsi="Garamond"/>
                <w:b/>
                <w:lang w:val="en-AU"/>
              </w:rPr>
              <w:t>Acute Respiratory Infections</w:t>
            </w:r>
            <w:r w:rsidRPr="00973907">
              <w:rPr>
                <w:rFonts w:ascii="Garamond" w:hAnsi="Garamond"/>
                <w:lang w:val="en-AU"/>
              </w:rPr>
              <w:t xml:space="preserve"> During Direct-To-Consumer </w:t>
            </w:r>
            <w:r w:rsidRPr="00973907">
              <w:rPr>
                <w:rFonts w:ascii="Garamond" w:hAnsi="Garamond"/>
                <w:b/>
                <w:lang w:val="en-AU"/>
              </w:rPr>
              <w:t>Telemedicine Visits</w:t>
            </w:r>
            <w:r w:rsidRPr="00973907">
              <w:rPr>
                <w:rFonts w:ascii="Garamond" w:hAnsi="Garamond"/>
                <w:lang w:val="en-AU"/>
              </w:rPr>
              <w:t xml:space="preserve"> For Adults (</w:t>
            </w:r>
            <w:proofErr w:type="spellStart"/>
            <w:r w:rsidRPr="00973907">
              <w:rPr>
                <w:rFonts w:ascii="Garamond" w:hAnsi="Garamond"/>
                <w:lang w:val="en-AU"/>
              </w:rPr>
              <w:t>Zhuo</w:t>
            </w:r>
            <w:proofErr w:type="spellEnd"/>
            <w:r w:rsidRPr="00973907">
              <w:rPr>
                <w:rFonts w:ascii="Garamond" w:hAnsi="Garamond"/>
                <w:lang w:val="en-AU"/>
              </w:rPr>
              <w:t xml:space="preserve"> Shi, </w:t>
            </w:r>
            <w:proofErr w:type="spellStart"/>
            <w:r w:rsidRPr="00973907">
              <w:rPr>
                <w:rFonts w:ascii="Garamond" w:hAnsi="Garamond"/>
                <w:lang w:val="en-AU"/>
              </w:rPr>
              <w:t>Ateev</w:t>
            </w:r>
            <w:proofErr w:type="spellEnd"/>
            <w:r w:rsidRPr="00973907">
              <w:rPr>
                <w:rFonts w:ascii="Garamond" w:hAnsi="Garamond"/>
                <w:lang w:val="en-AU"/>
              </w:rPr>
              <w:t xml:space="preserve"> </w:t>
            </w:r>
            <w:proofErr w:type="spellStart"/>
            <w:r w:rsidRPr="00973907">
              <w:rPr>
                <w:rFonts w:ascii="Garamond" w:hAnsi="Garamond"/>
                <w:lang w:val="en-AU"/>
              </w:rPr>
              <w:t>Mehrotra</w:t>
            </w:r>
            <w:proofErr w:type="spellEnd"/>
            <w:r w:rsidRPr="00973907">
              <w:rPr>
                <w:rFonts w:ascii="Garamond" w:hAnsi="Garamond"/>
                <w:lang w:val="en-AU"/>
              </w:rPr>
              <w:t xml:space="preserve">, Courtney A </w:t>
            </w:r>
            <w:proofErr w:type="spellStart"/>
            <w:r w:rsidRPr="00973907">
              <w:rPr>
                <w:rFonts w:ascii="Garamond" w:hAnsi="Garamond"/>
                <w:lang w:val="en-AU"/>
              </w:rPr>
              <w:t>Gidengil</w:t>
            </w:r>
            <w:proofErr w:type="spellEnd"/>
            <w:r w:rsidRPr="00973907">
              <w:rPr>
                <w:rFonts w:ascii="Garamond" w:hAnsi="Garamond"/>
                <w:lang w:val="en-AU"/>
              </w:rPr>
              <w:t xml:space="preserve">, Sabrina J Poon, Lori </w:t>
            </w:r>
            <w:proofErr w:type="spellStart"/>
            <w:r w:rsidRPr="00973907">
              <w:rPr>
                <w:rFonts w:ascii="Garamond" w:hAnsi="Garamond"/>
                <w:lang w:val="en-AU"/>
              </w:rPr>
              <w:t>Uscher</w:t>
            </w:r>
            <w:proofErr w:type="spellEnd"/>
            <w:r w:rsidRPr="00973907">
              <w:rPr>
                <w:rFonts w:ascii="Garamond" w:hAnsi="Garamond"/>
                <w:lang w:val="en-AU"/>
              </w:rPr>
              <w:t>-Pines, and Kristin N Ray</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b/>
                <w:lang w:val="en-AU"/>
              </w:rPr>
              <w:t>Electronic Visits For Common Acute Conditions</w:t>
            </w:r>
            <w:r w:rsidRPr="00973907">
              <w:rPr>
                <w:rFonts w:ascii="Garamond" w:hAnsi="Garamond"/>
                <w:lang w:val="en-AU"/>
              </w:rPr>
              <w:t xml:space="preserve">: Evaluation Of A Recently Established Program (Marty Player, Edward O’Bryan, Emily </w:t>
            </w:r>
            <w:proofErr w:type="spellStart"/>
            <w:r w:rsidRPr="00973907">
              <w:rPr>
                <w:rFonts w:ascii="Garamond" w:hAnsi="Garamond"/>
                <w:lang w:val="en-AU"/>
              </w:rPr>
              <w:t>Sederstrom</w:t>
            </w:r>
            <w:proofErr w:type="spellEnd"/>
            <w:r w:rsidRPr="00973907">
              <w:rPr>
                <w:rFonts w:ascii="Garamond" w:hAnsi="Garamond"/>
                <w:lang w:val="en-AU"/>
              </w:rPr>
              <w:t>, Jasmine Pinckney, and Vanessa Diaz</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b/>
                <w:lang w:val="en-AU"/>
              </w:rPr>
              <w:t>Reduced Cost Of Specialty Care Using Electronic Consultations</w:t>
            </w:r>
            <w:r w:rsidRPr="00973907">
              <w:rPr>
                <w:rFonts w:ascii="Garamond" w:hAnsi="Garamond"/>
                <w:lang w:val="en-AU"/>
              </w:rPr>
              <w:t xml:space="preserve"> For Medicaid Patients (Daren Anderson, Victor G </w:t>
            </w:r>
            <w:proofErr w:type="spellStart"/>
            <w:r w:rsidRPr="00973907">
              <w:rPr>
                <w:rFonts w:ascii="Garamond" w:hAnsi="Garamond"/>
                <w:lang w:val="en-AU"/>
              </w:rPr>
              <w:t>Villagra</w:t>
            </w:r>
            <w:proofErr w:type="spellEnd"/>
            <w:r w:rsidRPr="00973907">
              <w:rPr>
                <w:rFonts w:ascii="Garamond" w:hAnsi="Garamond"/>
                <w:lang w:val="en-AU"/>
              </w:rPr>
              <w:t xml:space="preserve">, Emil </w:t>
            </w:r>
            <w:proofErr w:type="spellStart"/>
            <w:r w:rsidRPr="00973907">
              <w:rPr>
                <w:rFonts w:ascii="Garamond" w:hAnsi="Garamond"/>
                <w:lang w:val="en-AU"/>
              </w:rPr>
              <w:t>Coman</w:t>
            </w:r>
            <w:proofErr w:type="spellEnd"/>
            <w:r w:rsidRPr="00973907">
              <w:rPr>
                <w:rFonts w:ascii="Garamond" w:hAnsi="Garamond"/>
                <w:lang w:val="en-AU"/>
              </w:rPr>
              <w:t xml:space="preserve">, </w:t>
            </w:r>
            <w:proofErr w:type="spellStart"/>
            <w:r w:rsidRPr="00973907">
              <w:rPr>
                <w:rFonts w:ascii="Garamond" w:hAnsi="Garamond"/>
                <w:lang w:val="en-AU"/>
              </w:rPr>
              <w:t>Tamim</w:t>
            </w:r>
            <w:proofErr w:type="spellEnd"/>
            <w:r w:rsidRPr="00973907">
              <w:rPr>
                <w:rFonts w:ascii="Garamond" w:hAnsi="Garamond"/>
                <w:lang w:val="en-AU"/>
              </w:rPr>
              <w:t xml:space="preserve"> Ahmed, Anthony Porto, Nicole </w:t>
            </w:r>
            <w:proofErr w:type="spellStart"/>
            <w:r w:rsidRPr="00973907">
              <w:rPr>
                <w:rFonts w:ascii="Garamond" w:hAnsi="Garamond"/>
                <w:lang w:val="en-AU"/>
              </w:rPr>
              <w:t>Jepeal</w:t>
            </w:r>
            <w:proofErr w:type="spellEnd"/>
            <w:r w:rsidRPr="00973907">
              <w:rPr>
                <w:rFonts w:ascii="Garamond" w:hAnsi="Garamond"/>
                <w:lang w:val="en-AU"/>
              </w:rPr>
              <w:t xml:space="preserve">, Giuseppe Maci, and Bridget </w:t>
            </w:r>
            <w:proofErr w:type="spellStart"/>
            <w:r w:rsidRPr="00973907">
              <w:rPr>
                <w:rFonts w:ascii="Garamond" w:hAnsi="Garamond"/>
                <w:lang w:val="en-AU"/>
              </w:rPr>
              <w:t>Teevan</w:t>
            </w:r>
            <w:proofErr w:type="spellEnd"/>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b/>
                <w:lang w:val="en-AU"/>
              </w:rPr>
              <w:t>Use Of Telemedicine For ED Physician Coverage</w:t>
            </w:r>
            <w:r w:rsidRPr="00973907">
              <w:rPr>
                <w:rFonts w:ascii="Garamond" w:hAnsi="Garamond"/>
                <w:lang w:val="en-AU"/>
              </w:rPr>
              <w:t xml:space="preserve"> In Critical Access Hospitals Increased After CMS Policy Clarification (Marcia M Ward, Kimberly A S Merchant, </w:t>
            </w:r>
            <w:proofErr w:type="spellStart"/>
            <w:r w:rsidRPr="00973907">
              <w:rPr>
                <w:rFonts w:ascii="Garamond" w:hAnsi="Garamond"/>
                <w:lang w:val="en-AU"/>
              </w:rPr>
              <w:t>Knute</w:t>
            </w:r>
            <w:proofErr w:type="spellEnd"/>
            <w:r w:rsidRPr="00973907">
              <w:rPr>
                <w:rFonts w:ascii="Garamond" w:hAnsi="Garamond"/>
                <w:lang w:val="en-AU"/>
              </w:rPr>
              <w:t xml:space="preserve"> D Carter, Xi Zhu, Fred Ullrich, A Wittrock, and A Bell</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b/>
                <w:lang w:val="en-AU"/>
              </w:rPr>
              <w:t>Virtual Visits</w:t>
            </w:r>
            <w:r w:rsidRPr="00973907">
              <w:rPr>
                <w:rFonts w:ascii="Garamond" w:hAnsi="Garamond"/>
                <w:lang w:val="en-AU"/>
              </w:rPr>
              <w:t xml:space="preserve"> Partially Replaced In-Person Visits In An ACO-Based Medical Specialty Practice (Sachin J Shah, Lee H </w:t>
            </w:r>
            <w:proofErr w:type="spellStart"/>
            <w:r w:rsidRPr="00973907">
              <w:rPr>
                <w:rFonts w:ascii="Garamond" w:hAnsi="Garamond"/>
                <w:lang w:val="en-AU"/>
              </w:rPr>
              <w:t>Schwamm</w:t>
            </w:r>
            <w:proofErr w:type="spellEnd"/>
            <w:r w:rsidRPr="00973907">
              <w:rPr>
                <w:rFonts w:ascii="Garamond" w:hAnsi="Garamond"/>
                <w:lang w:val="en-AU"/>
              </w:rPr>
              <w:t xml:space="preserve">, Adam B Cohen, Marcy R </w:t>
            </w:r>
            <w:proofErr w:type="spellStart"/>
            <w:r w:rsidRPr="00973907">
              <w:rPr>
                <w:rFonts w:ascii="Garamond" w:hAnsi="Garamond"/>
                <w:lang w:val="en-AU"/>
              </w:rPr>
              <w:t>Simoni</w:t>
            </w:r>
            <w:proofErr w:type="spellEnd"/>
            <w:r w:rsidRPr="00973907">
              <w:rPr>
                <w:rFonts w:ascii="Garamond" w:hAnsi="Garamond"/>
                <w:lang w:val="en-AU"/>
              </w:rPr>
              <w:t xml:space="preserve">, Juan Estrada, Marcelo </w:t>
            </w:r>
            <w:proofErr w:type="spellStart"/>
            <w:r w:rsidRPr="00973907">
              <w:rPr>
                <w:rFonts w:ascii="Garamond" w:hAnsi="Garamond"/>
                <w:lang w:val="en-AU"/>
              </w:rPr>
              <w:t>Matiello</w:t>
            </w:r>
            <w:proofErr w:type="spellEnd"/>
            <w:r w:rsidRPr="00973907">
              <w:rPr>
                <w:rFonts w:ascii="Garamond" w:hAnsi="Garamond"/>
                <w:lang w:val="en-AU"/>
              </w:rPr>
              <w:t xml:space="preserve">, A </w:t>
            </w:r>
            <w:proofErr w:type="spellStart"/>
            <w:r w:rsidRPr="00973907">
              <w:rPr>
                <w:rFonts w:ascii="Garamond" w:hAnsi="Garamond"/>
                <w:lang w:val="en-AU"/>
              </w:rPr>
              <w:t>Venkataramani</w:t>
            </w:r>
            <w:proofErr w:type="spellEnd"/>
            <w:r w:rsidRPr="00973907">
              <w:rPr>
                <w:rFonts w:ascii="Garamond" w:hAnsi="Garamond"/>
                <w:lang w:val="en-AU"/>
              </w:rPr>
              <w:t>, and S K Rao</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t xml:space="preserve">Building A </w:t>
            </w:r>
            <w:r w:rsidRPr="00973907">
              <w:rPr>
                <w:rFonts w:ascii="Garamond" w:hAnsi="Garamond"/>
                <w:b/>
                <w:lang w:val="en-AU"/>
              </w:rPr>
              <w:t>Regulatory And Payment Framework</w:t>
            </w:r>
            <w:r w:rsidRPr="00973907">
              <w:rPr>
                <w:rFonts w:ascii="Garamond" w:hAnsi="Garamond"/>
                <w:lang w:val="en-AU"/>
              </w:rPr>
              <w:t xml:space="preserve"> Flexible Enough To Withstand Technological Progress (David Flannery and Robert </w:t>
            </w:r>
            <w:proofErr w:type="spellStart"/>
            <w:r w:rsidRPr="00973907">
              <w:rPr>
                <w:rFonts w:ascii="Garamond" w:hAnsi="Garamond"/>
                <w:lang w:val="en-AU"/>
              </w:rPr>
              <w:t>Jarrin</w:t>
            </w:r>
            <w:proofErr w:type="spellEnd"/>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t xml:space="preserve">Are </w:t>
            </w:r>
            <w:r w:rsidRPr="00973907">
              <w:rPr>
                <w:rFonts w:ascii="Garamond" w:hAnsi="Garamond"/>
                <w:b/>
                <w:lang w:val="en-AU"/>
              </w:rPr>
              <w:t>State Telehealth Policies</w:t>
            </w:r>
            <w:r w:rsidRPr="00973907">
              <w:rPr>
                <w:rFonts w:ascii="Garamond" w:hAnsi="Garamond"/>
                <w:lang w:val="en-AU"/>
              </w:rPr>
              <w:t xml:space="preserve"> Associated With The Use Of Telehealth Services Among Underserved Populations? (</w:t>
            </w:r>
            <w:proofErr w:type="spellStart"/>
            <w:r w:rsidRPr="00973907">
              <w:rPr>
                <w:rFonts w:ascii="Garamond" w:hAnsi="Garamond"/>
                <w:lang w:val="en-AU"/>
              </w:rPr>
              <w:t>Jeongyoung</w:t>
            </w:r>
            <w:proofErr w:type="spellEnd"/>
            <w:r w:rsidRPr="00973907">
              <w:rPr>
                <w:rFonts w:ascii="Garamond" w:hAnsi="Garamond"/>
                <w:lang w:val="en-AU"/>
              </w:rPr>
              <w:t xml:space="preserve"> Park, </w:t>
            </w:r>
            <w:proofErr w:type="spellStart"/>
            <w:r w:rsidRPr="00973907">
              <w:rPr>
                <w:rFonts w:ascii="Garamond" w:hAnsi="Garamond"/>
                <w:lang w:val="en-AU"/>
              </w:rPr>
              <w:t>Clese</w:t>
            </w:r>
            <w:proofErr w:type="spellEnd"/>
            <w:r w:rsidRPr="00973907">
              <w:rPr>
                <w:rFonts w:ascii="Garamond" w:hAnsi="Garamond"/>
                <w:lang w:val="en-AU"/>
              </w:rPr>
              <w:t xml:space="preserve"> Erikson, </w:t>
            </w:r>
            <w:proofErr w:type="spellStart"/>
            <w:r w:rsidRPr="00973907">
              <w:rPr>
                <w:rFonts w:ascii="Garamond" w:hAnsi="Garamond"/>
                <w:lang w:val="en-AU"/>
              </w:rPr>
              <w:t>Xinxin</w:t>
            </w:r>
            <w:proofErr w:type="spellEnd"/>
            <w:r w:rsidRPr="00973907">
              <w:rPr>
                <w:rFonts w:ascii="Garamond" w:hAnsi="Garamond"/>
                <w:lang w:val="en-AU"/>
              </w:rPr>
              <w:t xml:space="preserve"> Han, and </w:t>
            </w:r>
            <w:proofErr w:type="spellStart"/>
            <w:r w:rsidRPr="00973907">
              <w:rPr>
                <w:rFonts w:ascii="Garamond" w:hAnsi="Garamond"/>
                <w:lang w:val="en-AU"/>
              </w:rPr>
              <w:t>Preeti</w:t>
            </w:r>
            <w:proofErr w:type="spellEnd"/>
            <w:r w:rsidRPr="00973907">
              <w:rPr>
                <w:rFonts w:ascii="Garamond" w:hAnsi="Garamond"/>
                <w:lang w:val="en-AU"/>
              </w:rPr>
              <w:t xml:space="preserve"> </w:t>
            </w:r>
            <w:proofErr w:type="spellStart"/>
            <w:r w:rsidRPr="00973907">
              <w:rPr>
                <w:rFonts w:ascii="Garamond" w:hAnsi="Garamond"/>
                <w:lang w:val="en-AU"/>
              </w:rPr>
              <w:t>Iyer</w:t>
            </w:r>
            <w:proofErr w:type="spellEnd"/>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b/>
                <w:lang w:val="en-AU"/>
              </w:rPr>
              <w:t>Retail Outlets Using Telehealth</w:t>
            </w:r>
            <w:r w:rsidRPr="00973907">
              <w:rPr>
                <w:rFonts w:ascii="Garamond" w:hAnsi="Garamond"/>
                <w:lang w:val="en-AU"/>
              </w:rPr>
              <w:t xml:space="preserve"> Pose Significant Policy Questions For Health Care (Keisuke Nakagawa, Joseph </w:t>
            </w:r>
            <w:proofErr w:type="spellStart"/>
            <w:r w:rsidRPr="00973907">
              <w:rPr>
                <w:rFonts w:ascii="Garamond" w:hAnsi="Garamond"/>
                <w:lang w:val="en-AU"/>
              </w:rPr>
              <w:t>Kvedar</w:t>
            </w:r>
            <w:proofErr w:type="spellEnd"/>
            <w:r w:rsidRPr="00973907">
              <w:rPr>
                <w:rFonts w:ascii="Garamond" w:hAnsi="Garamond"/>
                <w:lang w:val="en-AU"/>
              </w:rPr>
              <w:t xml:space="preserve">, and Peter </w:t>
            </w:r>
            <w:proofErr w:type="spellStart"/>
            <w:r w:rsidRPr="00973907">
              <w:rPr>
                <w:rFonts w:ascii="Garamond" w:hAnsi="Garamond"/>
                <w:lang w:val="en-AU"/>
              </w:rPr>
              <w:t>Yellowlees</w:t>
            </w:r>
            <w:proofErr w:type="spellEnd"/>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t xml:space="preserve">Getting Ready For Health Reform 2020: Republicans’ Options For </w:t>
            </w:r>
            <w:r w:rsidRPr="00973907">
              <w:rPr>
                <w:rFonts w:ascii="Garamond" w:hAnsi="Garamond"/>
                <w:b/>
                <w:lang w:val="en-AU"/>
              </w:rPr>
              <w:t>Improving Upon The State Innovation Approach</w:t>
            </w:r>
            <w:r w:rsidRPr="00973907">
              <w:rPr>
                <w:rFonts w:ascii="Garamond" w:hAnsi="Garamond"/>
                <w:lang w:val="en-AU"/>
              </w:rPr>
              <w:t xml:space="preserve"> (</w:t>
            </w:r>
            <w:proofErr w:type="spellStart"/>
            <w:r w:rsidRPr="00973907">
              <w:rPr>
                <w:rFonts w:ascii="Garamond" w:hAnsi="Garamond"/>
                <w:lang w:val="en-AU"/>
              </w:rPr>
              <w:t>Lanhee</w:t>
            </w:r>
            <w:proofErr w:type="spellEnd"/>
            <w:r w:rsidRPr="00973907">
              <w:rPr>
                <w:rFonts w:ascii="Garamond" w:hAnsi="Garamond"/>
                <w:lang w:val="en-AU"/>
              </w:rPr>
              <w:t xml:space="preserve"> J Chen</w:t>
            </w:r>
            <w:r>
              <w:rPr>
                <w:rFonts w:ascii="Garamond" w:hAnsi="Garamond"/>
                <w:lang w:val="en-AU"/>
              </w:rPr>
              <w:t>)</w:t>
            </w:r>
          </w:p>
          <w:p w:rsidR="00973907" w:rsidRPr="00973907" w:rsidRDefault="00973907" w:rsidP="00973907">
            <w:pPr>
              <w:pStyle w:val="ListParagraph"/>
              <w:numPr>
                <w:ilvl w:val="0"/>
                <w:numId w:val="33"/>
              </w:numPr>
              <w:rPr>
                <w:rFonts w:ascii="Garamond" w:hAnsi="Garamond"/>
                <w:lang w:val="en-AU"/>
              </w:rPr>
            </w:pPr>
            <w:r w:rsidRPr="00973907">
              <w:rPr>
                <w:rFonts w:ascii="Garamond" w:hAnsi="Garamond"/>
                <w:lang w:val="en-AU"/>
              </w:rPr>
              <w:t xml:space="preserve">How Democratic Candidates For The Presidency In 2020 Could Choose Among </w:t>
            </w:r>
            <w:r w:rsidRPr="00973907">
              <w:rPr>
                <w:rFonts w:ascii="Garamond" w:hAnsi="Garamond"/>
                <w:b/>
                <w:lang w:val="en-AU"/>
              </w:rPr>
              <w:t>Public Health Insurance</w:t>
            </w:r>
            <w:r w:rsidRPr="00973907">
              <w:rPr>
                <w:rFonts w:ascii="Garamond" w:hAnsi="Garamond"/>
                <w:lang w:val="en-AU"/>
              </w:rPr>
              <w:t xml:space="preserve"> Plans (Sherry A </w:t>
            </w:r>
            <w:proofErr w:type="spellStart"/>
            <w:r w:rsidRPr="00973907">
              <w:rPr>
                <w:rFonts w:ascii="Garamond" w:hAnsi="Garamond"/>
                <w:lang w:val="en-AU"/>
              </w:rPr>
              <w:t>Glied</w:t>
            </w:r>
            <w:proofErr w:type="spellEnd"/>
            <w:r w:rsidRPr="00973907">
              <w:rPr>
                <w:rFonts w:ascii="Garamond" w:hAnsi="Garamond"/>
                <w:lang w:val="en-AU"/>
              </w:rPr>
              <w:t xml:space="preserve"> and Jeanne M </w:t>
            </w:r>
            <w:proofErr w:type="spellStart"/>
            <w:r w:rsidRPr="00973907">
              <w:rPr>
                <w:rFonts w:ascii="Garamond" w:hAnsi="Garamond"/>
                <w:lang w:val="en-AU"/>
              </w:rPr>
              <w:t>Lambrew</w:t>
            </w:r>
            <w:proofErr w:type="spellEnd"/>
            <w:r>
              <w:rPr>
                <w:rFonts w:ascii="Garamond" w:hAnsi="Garamond"/>
                <w:lang w:val="en-AU"/>
              </w:rPr>
              <w:t>)</w:t>
            </w:r>
          </w:p>
          <w:p w:rsidR="00A93877" w:rsidRPr="00A93877" w:rsidRDefault="00973907" w:rsidP="00A93877">
            <w:pPr>
              <w:pStyle w:val="ListParagraph"/>
              <w:numPr>
                <w:ilvl w:val="0"/>
                <w:numId w:val="33"/>
              </w:numPr>
              <w:rPr>
                <w:rFonts w:ascii="Garamond" w:hAnsi="Garamond"/>
                <w:lang w:val="en-AU"/>
              </w:rPr>
            </w:pPr>
            <w:r w:rsidRPr="00973907">
              <w:rPr>
                <w:rFonts w:ascii="Garamond" w:hAnsi="Garamond"/>
                <w:lang w:val="en-AU"/>
              </w:rPr>
              <w:t xml:space="preserve">How </w:t>
            </w:r>
            <w:r w:rsidRPr="00973907">
              <w:rPr>
                <w:rFonts w:ascii="Garamond" w:hAnsi="Garamond"/>
                <w:b/>
                <w:lang w:val="en-AU"/>
              </w:rPr>
              <w:t>Telehealth Stopped A Contagious Outbreak</w:t>
            </w:r>
            <w:r w:rsidRPr="00973907">
              <w:rPr>
                <w:rFonts w:ascii="Garamond" w:hAnsi="Garamond"/>
                <w:lang w:val="en-AU"/>
              </w:rPr>
              <w:t xml:space="preserve"> At A School</w:t>
            </w:r>
            <w:r>
              <w:rPr>
                <w:rFonts w:ascii="Garamond" w:hAnsi="Garamond"/>
                <w:lang w:val="en-AU"/>
              </w:rPr>
              <w:t xml:space="preserve"> (Cynthia M</w:t>
            </w:r>
            <w:r w:rsidRPr="00973907">
              <w:rPr>
                <w:rFonts w:ascii="Garamond" w:hAnsi="Garamond"/>
                <w:lang w:val="en-AU"/>
              </w:rPr>
              <w:t xml:space="preserve"> </w:t>
            </w:r>
            <w:proofErr w:type="spellStart"/>
            <w:r w:rsidRPr="00973907">
              <w:rPr>
                <w:rFonts w:ascii="Garamond" w:hAnsi="Garamond"/>
                <w:lang w:val="en-AU"/>
              </w:rPr>
              <w:t>Zettler</w:t>
            </w:r>
            <w:proofErr w:type="spellEnd"/>
            <w:r w:rsidRPr="00973907">
              <w:rPr>
                <w:rFonts w:ascii="Garamond" w:hAnsi="Garamond"/>
                <w:lang w:val="en-AU"/>
              </w:rPr>
              <w:t>-Greeley</w:t>
            </w:r>
            <w:r>
              <w:rPr>
                <w:rFonts w:ascii="Garamond" w:hAnsi="Garamond"/>
                <w:lang w:val="en-AU"/>
              </w:rPr>
              <w:t>)</w:t>
            </w:r>
          </w:p>
        </w:tc>
      </w:tr>
    </w:tbl>
    <w:p w:rsidR="001D1E09" w:rsidRDefault="001D1E09" w:rsidP="00032917">
      <w:pPr>
        <w:keepNext/>
        <w:keepLines/>
        <w:autoSpaceDE w:val="0"/>
        <w:autoSpaceDN w:val="0"/>
        <w:adjustRightInd w:val="0"/>
        <w:rPr>
          <w:rFonts w:ascii="Garamond" w:hAnsi="Garamond"/>
          <w:i/>
          <w:lang w:val="en-AU"/>
        </w:rPr>
      </w:pPr>
    </w:p>
    <w:p w:rsidR="00D73D0F" w:rsidRDefault="00D73D0F" w:rsidP="00032917">
      <w:pPr>
        <w:keepNext/>
        <w:keepLines/>
        <w:autoSpaceDE w:val="0"/>
        <w:autoSpaceDN w:val="0"/>
        <w:adjustRightInd w:val="0"/>
        <w:rPr>
          <w:rFonts w:ascii="Garamond" w:hAnsi="Garamond"/>
          <w:i/>
          <w:lang w:val="en-AU"/>
        </w:rPr>
      </w:pPr>
    </w:p>
    <w:p w:rsidR="00124EBF" w:rsidRPr="003F6E6A" w:rsidRDefault="00124EBF" w:rsidP="003E0E20">
      <w:pPr>
        <w:keepNext/>
        <w:keepLines/>
        <w:autoSpaceDE w:val="0"/>
        <w:autoSpaceDN w:val="0"/>
        <w:adjustRightInd w:val="0"/>
        <w:rPr>
          <w:rFonts w:ascii="Garamond" w:hAnsi="Garamond"/>
          <w:i/>
          <w:lang w:val="en-AU"/>
        </w:rPr>
      </w:pPr>
      <w:r w:rsidRPr="003F6E6A">
        <w:rPr>
          <w:rFonts w:ascii="Garamond" w:hAnsi="Garamond"/>
          <w:i/>
          <w:lang w:val="en-AU"/>
        </w:rPr>
        <w:t>Public Health Research &amp; Practice</w:t>
      </w:r>
    </w:p>
    <w:p w:rsidR="00124EBF" w:rsidRPr="000170DA" w:rsidRDefault="00124EBF" w:rsidP="003E0E20">
      <w:pPr>
        <w:keepNext/>
        <w:keepLines/>
        <w:autoSpaceDE w:val="0"/>
        <w:autoSpaceDN w:val="0"/>
        <w:adjustRightInd w:val="0"/>
        <w:rPr>
          <w:rFonts w:ascii="Garamond" w:hAnsi="Garamond"/>
          <w:lang w:val="en-AU"/>
        </w:rPr>
      </w:pPr>
      <w:r>
        <w:rPr>
          <w:rFonts w:ascii="Garamond" w:hAnsi="Garamond"/>
          <w:lang w:val="en-AU"/>
        </w:rPr>
        <w:t>December 2018</w:t>
      </w:r>
      <w:r w:rsidRPr="003F6E6A">
        <w:rPr>
          <w:rFonts w:ascii="Garamond" w:hAnsi="Garamond"/>
          <w:lang w:val="en-AU"/>
        </w:rPr>
        <w:t>, Volume 2</w:t>
      </w:r>
      <w:r>
        <w:rPr>
          <w:rFonts w:ascii="Garamond" w:hAnsi="Garamond"/>
          <w:lang w:val="en-AU"/>
        </w:rPr>
        <w:t>8, Issue 4</w:t>
      </w:r>
    </w:p>
    <w:tbl>
      <w:tblPr>
        <w:tblStyle w:val="TableGrid"/>
        <w:tblW w:w="0" w:type="auto"/>
        <w:tblInd w:w="288" w:type="dxa"/>
        <w:tblLayout w:type="fixed"/>
        <w:tblLook w:val="01E0" w:firstRow="1" w:lastRow="1" w:firstColumn="1" w:lastColumn="1" w:noHBand="0" w:noVBand="0"/>
      </w:tblPr>
      <w:tblGrid>
        <w:gridCol w:w="1080"/>
        <w:gridCol w:w="8280"/>
      </w:tblGrid>
      <w:tr w:rsidR="00124EBF" w:rsidRPr="000170DA" w:rsidTr="0025531F">
        <w:tc>
          <w:tcPr>
            <w:tcW w:w="1080" w:type="dxa"/>
            <w:tcBorders>
              <w:top w:val="single" w:sz="4" w:space="0" w:color="auto"/>
              <w:left w:val="single" w:sz="4" w:space="0" w:color="auto"/>
              <w:bottom w:val="single" w:sz="4" w:space="0" w:color="auto"/>
              <w:right w:val="single" w:sz="4" w:space="0" w:color="auto"/>
            </w:tcBorders>
            <w:vAlign w:val="center"/>
          </w:tcPr>
          <w:p w:rsidR="00124EBF" w:rsidRPr="000170DA" w:rsidRDefault="00124EBF" w:rsidP="0025531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24EBF" w:rsidRPr="000170DA" w:rsidRDefault="00D73D0F" w:rsidP="00124EBF">
            <w:pPr>
              <w:rPr>
                <w:rStyle w:val="Hyperlink"/>
                <w:rFonts w:ascii="Garamond" w:hAnsi="Garamond"/>
                <w:color w:val="auto"/>
                <w:u w:val="none"/>
                <w:lang w:val="en-AU"/>
              </w:rPr>
            </w:pPr>
            <w:hyperlink r:id="rId31" w:history="1">
              <w:r w:rsidR="00124EBF" w:rsidRPr="002C46D8">
                <w:rPr>
                  <w:rStyle w:val="Hyperlink"/>
                  <w:rFonts w:ascii="Garamond" w:hAnsi="Garamond"/>
                  <w:lang w:val="en-AU"/>
                </w:rPr>
                <w:t>http://www.phrp.com.au/issues/december-2018-volume-28-issue-4</w:t>
              </w:r>
            </w:hyperlink>
            <w:r w:rsidR="00124EBF">
              <w:rPr>
                <w:rStyle w:val="Hyperlink"/>
                <w:rFonts w:ascii="Garamond" w:hAnsi="Garamond"/>
                <w:color w:val="auto"/>
                <w:u w:val="none"/>
                <w:lang w:val="en-AU"/>
              </w:rPr>
              <w:t>/</w:t>
            </w:r>
          </w:p>
        </w:tc>
      </w:tr>
      <w:tr w:rsidR="00124EBF" w:rsidRPr="000170DA" w:rsidTr="0025531F">
        <w:tc>
          <w:tcPr>
            <w:tcW w:w="1080" w:type="dxa"/>
            <w:tcBorders>
              <w:top w:val="single" w:sz="4" w:space="0" w:color="auto"/>
              <w:left w:val="single" w:sz="4" w:space="0" w:color="auto"/>
              <w:bottom w:val="single" w:sz="4" w:space="0" w:color="auto"/>
              <w:right w:val="single" w:sz="4" w:space="0" w:color="auto"/>
            </w:tcBorders>
            <w:vAlign w:val="center"/>
          </w:tcPr>
          <w:p w:rsidR="00124EBF" w:rsidRPr="000170DA" w:rsidRDefault="00124EBF" w:rsidP="0025531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24EBF" w:rsidRDefault="00124EBF" w:rsidP="0025531F">
            <w:pPr>
              <w:rPr>
                <w:rFonts w:ascii="Garamond" w:hAnsi="Garamond"/>
                <w:lang w:val="en-AU"/>
              </w:rPr>
            </w:pPr>
            <w:r w:rsidRPr="00A44A1F">
              <w:rPr>
                <w:rFonts w:ascii="Garamond" w:hAnsi="Garamond"/>
                <w:lang w:val="en-AU"/>
              </w:rPr>
              <w:t xml:space="preserve">A new issue of </w:t>
            </w:r>
            <w:r w:rsidRPr="003F6E6A">
              <w:rPr>
                <w:rFonts w:ascii="Garamond" w:hAnsi="Garamond"/>
                <w:i/>
                <w:lang w:val="en-AU"/>
              </w:rPr>
              <w:t>Public Health Research &amp; Practice</w:t>
            </w:r>
            <w:r w:rsidRPr="00A44A1F">
              <w:rPr>
                <w:rFonts w:ascii="Garamond" w:hAnsi="Garamond"/>
                <w:lang w:val="en-AU"/>
              </w:rPr>
              <w:t xml:space="preserve"> has been published</w:t>
            </w:r>
            <w:r>
              <w:rPr>
                <w:rFonts w:ascii="Garamond" w:hAnsi="Garamond"/>
                <w:lang w:val="en-AU"/>
              </w:rPr>
              <w:t xml:space="preserve"> with a focus on </w:t>
            </w:r>
            <w:r w:rsidRPr="00124EBF">
              <w:rPr>
                <w:rFonts w:ascii="Garamond" w:hAnsi="Garamond"/>
                <w:b/>
                <w:lang w:val="en-AU"/>
              </w:rPr>
              <w:t>health and climate change</w:t>
            </w:r>
            <w:r w:rsidR="00604D80">
              <w:rPr>
                <w:rFonts w:ascii="Garamond" w:hAnsi="Garamond"/>
                <w:b/>
                <w:lang w:val="en-AU"/>
              </w:rPr>
              <w:t xml:space="preserve"> </w:t>
            </w:r>
            <w:r w:rsidR="00604D80" w:rsidRPr="00604D80">
              <w:rPr>
                <w:rFonts w:ascii="Garamond" w:hAnsi="Garamond"/>
                <w:lang w:val="en-AU"/>
              </w:rPr>
              <w:t xml:space="preserve">with articles </w:t>
            </w:r>
            <w:r w:rsidR="00604D80">
              <w:rPr>
                <w:rFonts w:ascii="Garamond" w:hAnsi="Garamond"/>
                <w:lang w:val="en-AU"/>
              </w:rPr>
              <w:t>considering the issue in a number of ways</w:t>
            </w:r>
            <w:r w:rsidRPr="00032917">
              <w:rPr>
                <w:rFonts w:ascii="Garamond" w:hAnsi="Garamond"/>
                <w:lang w:val="en-AU"/>
              </w:rPr>
              <w:t>.</w:t>
            </w:r>
            <w:r w:rsidRPr="00A44A1F">
              <w:rPr>
                <w:rFonts w:ascii="Garamond" w:hAnsi="Garamond"/>
                <w:lang w:val="en-AU"/>
              </w:rPr>
              <w:t xml:space="preserve"> Articles in this issue of </w:t>
            </w:r>
            <w:r w:rsidRPr="003F6E6A">
              <w:rPr>
                <w:rFonts w:ascii="Garamond" w:hAnsi="Garamond"/>
                <w:i/>
                <w:lang w:val="en-AU"/>
              </w:rPr>
              <w:t>Public Health Research &amp; Practice</w:t>
            </w:r>
            <w:r w:rsidRPr="00A44A1F">
              <w:rPr>
                <w:rFonts w:ascii="Garamond" w:hAnsi="Garamond"/>
                <w:lang w:val="en-AU"/>
              </w:rPr>
              <w:t xml:space="preserve"> include:</w:t>
            </w:r>
          </w:p>
          <w:p w:rsidR="00604D80" w:rsidRPr="00604D80" w:rsidRDefault="00124EBF" w:rsidP="00604D80">
            <w:pPr>
              <w:pStyle w:val="ListParagraph"/>
              <w:numPr>
                <w:ilvl w:val="0"/>
                <w:numId w:val="25"/>
              </w:numPr>
              <w:rPr>
                <w:rFonts w:ascii="Garamond" w:hAnsi="Garamond"/>
                <w:lang w:val="en-AU"/>
              </w:rPr>
            </w:pPr>
            <w:r w:rsidRPr="00604D80">
              <w:rPr>
                <w:rFonts w:ascii="Garamond" w:hAnsi="Garamond"/>
                <w:lang w:val="en-AU"/>
              </w:rPr>
              <w:t xml:space="preserve">Editorial: </w:t>
            </w:r>
            <w:r w:rsidR="00604D80" w:rsidRPr="00604D80">
              <w:rPr>
                <w:rFonts w:ascii="Garamond" w:hAnsi="Garamond"/>
                <w:b/>
                <w:lang w:val="en-AU"/>
              </w:rPr>
              <w:t>Climate change and health</w:t>
            </w:r>
            <w:r w:rsidR="00604D80" w:rsidRPr="00604D80">
              <w:rPr>
                <w:rFonts w:ascii="Garamond" w:hAnsi="Garamond"/>
                <w:lang w:val="en-AU"/>
              </w:rPr>
              <w:t xml:space="preserve">: global issue, local responses (Anthony Capon, Carlos </w:t>
            </w:r>
            <w:proofErr w:type="spellStart"/>
            <w:r w:rsidR="00604D80" w:rsidRPr="00604D80">
              <w:rPr>
                <w:rFonts w:ascii="Garamond" w:hAnsi="Garamond"/>
                <w:lang w:val="en-AU"/>
              </w:rPr>
              <w:t>Corvalan</w:t>
            </w:r>
            <w:proofErr w:type="spellEnd"/>
            <w:r w:rsidR="00604D80">
              <w:rPr>
                <w:rFonts w:ascii="Garamond" w:hAnsi="Garamond"/>
                <w:lang w:val="en-AU"/>
              </w:rPr>
              <w:t>)</w:t>
            </w:r>
          </w:p>
          <w:p w:rsidR="00604D80" w:rsidRPr="00604D80" w:rsidRDefault="00604D80" w:rsidP="00604D80">
            <w:pPr>
              <w:pStyle w:val="ListParagraph"/>
              <w:numPr>
                <w:ilvl w:val="0"/>
                <w:numId w:val="25"/>
              </w:numPr>
              <w:rPr>
                <w:rFonts w:ascii="Garamond" w:hAnsi="Garamond"/>
                <w:lang w:val="en-AU"/>
              </w:rPr>
            </w:pPr>
            <w:r w:rsidRPr="00604D80">
              <w:rPr>
                <w:rFonts w:ascii="Garamond" w:hAnsi="Garamond"/>
                <w:b/>
                <w:lang w:val="en-AU"/>
              </w:rPr>
              <w:t>Climate change, health and wellbeing</w:t>
            </w:r>
            <w:r w:rsidRPr="00604D80">
              <w:rPr>
                <w:rFonts w:ascii="Garamond" w:hAnsi="Garamond"/>
                <w:lang w:val="en-AU"/>
              </w:rPr>
              <w:t xml:space="preserve">: challenges and opportunities in NSW, Australia (Neil </w:t>
            </w:r>
            <w:proofErr w:type="spellStart"/>
            <w:r w:rsidRPr="00604D80">
              <w:rPr>
                <w:rFonts w:ascii="Garamond" w:hAnsi="Garamond"/>
                <w:lang w:val="en-AU"/>
              </w:rPr>
              <w:t>Hime</w:t>
            </w:r>
            <w:proofErr w:type="spellEnd"/>
            <w:r w:rsidRPr="00604D80">
              <w:rPr>
                <w:rFonts w:ascii="Garamond" w:hAnsi="Garamond"/>
                <w:lang w:val="en-AU"/>
              </w:rPr>
              <w:t xml:space="preserve">, Aditya Vyas, </w:t>
            </w:r>
            <w:proofErr w:type="spellStart"/>
            <w:r w:rsidRPr="00604D80">
              <w:rPr>
                <w:rFonts w:ascii="Garamond" w:hAnsi="Garamond"/>
                <w:lang w:val="en-AU"/>
              </w:rPr>
              <w:t>Kishen</w:t>
            </w:r>
            <w:proofErr w:type="spellEnd"/>
            <w:r w:rsidRPr="00604D80">
              <w:rPr>
                <w:rFonts w:ascii="Garamond" w:hAnsi="Garamond"/>
                <w:lang w:val="en-AU"/>
              </w:rPr>
              <w:t xml:space="preserve"> </w:t>
            </w:r>
            <w:proofErr w:type="spellStart"/>
            <w:r w:rsidRPr="00604D80">
              <w:rPr>
                <w:rFonts w:ascii="Garamond" w:hAnsi="Garamond"/>
                <w:lang w:val="en-AU"/>
              </w:rPr>
              <w:t>Lachireddy</w:t>
            </w:r>
            <w:proofErr w:type="spellEnd"/>
            <w:r w:rsidRPr="00604D80">
              <w:rPr>
                <w:rFonts w:ascii="Garamond" w:hAnsi="Garamond"/>
                <w:lang w:val="en-AU"/>
              </w:rPr>
              <w:t xml:space="preserve">, Stacey </w:t>
            </w:r>
            <w:proofErr w:type="spellStart"/>
            <w:r w:rsidRPr="00604D80">
              <w:rPr>
                <w:rFonts w:ascii="Garamond" w:hAnsi="Garamond"/>
                <w:lang w:val="en-AU"/>
              </w:rPr>
              <w:t>Wyett</w:t>
            </w:r>
            <w:proofErr w:type="spellEnd"/>
            <w:r w:rsidRPr="00604D80">
              <w:rPr>
                <w:rFonts w:ascii="Garamond" w:hAnsi="Garamond"/>
                <w:lang w:val="en-AU"/>
              </w:rPr>
              <w:t xml:space="preserve">, Benjamin </w:t>
            </w:r>
            <w:proofErr w:type="spellStart"/>
            <w:r w:rsidRPr="00604D80">
              <w:rPr>
                <w:rFonts w:ascii="Garamond" w:hAnsi="Garamond"/>
                <w:lang w:val="en-AU"/>
              </w:rPr>
              <w:t>Scalley</w:t>
            </w:r>
            <w:proofErr w:type="spellEnd"/>
            <w:r w:rsidRPr="00604D80">
              <w:rPr>
                <w:rFonts w:ascii="Garamond" w:hAnsi="Garamond"/>
                <w:lang w:val="en-AU"/>
              </w:rPr>
              <w:t xml:space="preserve">, Carlos </w:t>
            </w:r>
            <w:proofErr w:type="spellStart"/>
            <w:r w:rsidRPr="00604D80">
              <w:rPr>
                <w:rFonts w:ascii="Garamond" w:hAnsi="Garamond"/>
                <w:lang w:val="en-AU"/>
              </w:rPr>
              <w:t>Corvalan</w:t>
            </w:r>
            <w:proofErr w:type="spellEnd"/>
            <w:r>
              <w:rPr>
                <w:rFonts w:ascii="Garamond" w:hAnsi="Garamond"/>
                <w:lang w:val="en-AU"/>
              </w:rPr>
              <w:t>)</w:t>
            </w:r>
          </w:p>
          <w:p w:rsidR="00604D80" w:rsidRPr="00604D80" w:rsidRDefault="00604D80" w:rsidP="00604D80">
            <w:pPr>
              <w:pStyle w:val="ListParagraph"/>
              <w:numPr>
                <w:ilvl w:val="0"/>
                <w:numId w:val="25"/>
              </w:numPr>
              <w:rPr>
                <w:rFonts w:ascii="Garamond" w:hAnsi="Garamond"/>
                <w:lang w:val="en-AU"/>
              </w:rPr>
            </w:pPr>
            <w:r w:rsidRPr="00604D80">
              <w:rPr>
                <w:rFonts w:ascii="Garamond" w:hAnsi="Garamond"/>
                <w:b/>
                <w:lang w:val="en-AU"/>
              </w:rPr>
              <w:t>Extreme events</w:t>
            </w:r>
            <w:r w:rsidRPr="00604D80">
              <w:rPr>
                <w:rFonts w:ascii="Garamond" w:hAnsi="Garamond"/>
                <w:lang w:val="en-AU"/>
              </w:rPr>
              <w:t xml:space="preserve"> in the context of climate change (Sarah Perkins-Kirkpatrick, Andy Pitman</w:t>
            </w:r>
            <w:r>
              <w:rPr>
                <w:rFonts w:ascii="Garamond" w:hAnsi="Garamond"/>
                <w:lang w:val="en-AU"/>
              </w:rPr>
              <w:t>)</w:t>
            </w:r>
          </w:p>
          <w:p w:rsidR="00604D80" w:rsidRPr="00604D80" w:rsidRDefault="00604D80" w:rsidP="00604D80">
            <w:pPr>
              <w:pStyle w:val="ListParagraph"/>
              <w:numPr>
                <w:ilvl w:val="0"/>
                <w:numId w:val="25"/>
              </w:numPr>
              <w:rPr>
                <w:rFonts w:ascii="Garamond" w:hAnsi="Garamond"/>
                <w:lang w:val="en-AU"/>
              </w:rPr>
            </w:pPr>
            <w:r w:rsidRPr="00604D80">
              <w:rPr>
                <w:rFonts w:ascii="Garamond" w:hAnsi="Garamond"/>
                <w:lang w:val="en-AU"/>
              </w:rPr>
              <w:t xml:space="preserve">A conceptual framework for </w:t>
            </w:r>
            <w:r w:rsidRPr="00604D80">
              <w:rPr>
                <w:rFonts w:ascii="Garamond" w:hAnsi="Garamond"/>
                <w:b/>
                <w:lang w:val="en-AU"/>
              </w:rPr>
              <w:t>climate change, health and wellbeing in NSW</w:t>
            </w:r>
            <w:r w:rsidRPr="00604D80">
              <w:rPr>
                <w:rFonts w:ascii="Garamond" w:hAnsi="Garamond"/>
                <w:lang w:val="en-AU"/>
              </w:rPr>
              <w:t xml:space="preserve">, Australia (Sinead Boylan, Kathleen Beyer, David Schlosberg, Anastasia Mortimer, Neil </w:t>
            </w:r>
            <w:proofErr w:type="spellStart"/>
            <w:r w:rsidRPr="00604D80">
              <w:rPr>
                <w:rFonts w:ascii="Garamond" w:hAnsi="Garamond"/>
                <w:lang w:val="en-AU"/>
              </w:rPr>
              <w:t>Hime</w:t>
            </w:r>
            <w:proofErr w:type="spellEnd"/>
            <w:r w:rsidRPr="00604D80">
              <w:rPr>
                <w:rFonts w:ascii="Garamond" w:hAnsi="Garamond"/>
                <w:lang w:val="en-AU"/>
              </w:rPr>
              <w:t xml:space="preserve">, Benjamin </w:t>
            </w:r>
            <w:proofErr w:type="spellStart"/>
            <w:r w:rsidRPr="00604D80">
              <w:rPr>
                <w:rFonts w:ascii="Garamond" w:hAnsi="Garamond"/>
                <w:lang w:val="en-AU"/>
              </w:rPr>
              <w:t>Scalley</w:t>
            </w:r>
            <w:proofErr w:type="spellEnd"/>
            <w:r w:rsidRPr="00604D80">
              <w:rPr>
                <w:rFonts w:ascii="Garamond" w:hAnsi="Garamond"/>
                <w:lang w:val="en-AU"/>
              </w:rPr>
              <w:t xml:space="preserve">, Robyn Alders, Carlos </w:t>
            </w:r>
            <w:proofErr w:type="spellStart"/>
            <w:r w:rsidRPr="00604D80">
              <w:rPr>
                <w:rFonts w:ascii="Garamond" w:hAnsi="Garamond"/>
                <w:lang w:val="en-AU"/>
              </w:rPr>
              <w:t>Corvalan</w:t>
            </w:r>
            <w:proofErr w:type="spellEnd"/>
            <w:r w:rsidRPr="00604D80">
              <w:rPr>
                <w:rFonts w:ascii="Garamond" w:hAnsi="Garamond"/>
                <w:lang w:val="en-AU"/>
              </w:rPr>
              <w:t>, Anthony Capon</w:t>
            </w:r>
            <w:r>
              <w:rPr>
                <w:rFonts w:ascii="Garamond" w:hAnsi="Garamond"/>
                <w:lang w:val="en-AU"/>
              </w:rPr>
              <w:t>)</w:t>
            </w:r>
          </w:p>
          <w:p w:rsidR="00604D80" w:rsidRPr="00604D80" w:rsidRDefault="00604D80" w:rsidP="00604D80">
            <w:pPr>
              <w:pStyle w:val="ListParagraph"/>
              <w:numPr>
                <w:ilvl w:val="0"/>
                <w:numId w:val="25"/>
              </w:numPr>
              <w:rPr>
                <w:rFonts w:ascii="Garamond" w:hAnsi="Garamond"/>
                <w:lang w:val="en-AU"/>
              </w:rPr>
            </w:pPr>
            <w:r w:rsidRPr="00604D80">
              <w:rPr>
                <w:rFonts w:ascii="Garamond" w:hAnsi="Garamond"/>
                <w:lang w:val="en-AU"/>
              </w:rPr>
              <w:t xml:space="preserve">Interview with Dr Colin </w:t>
            </w:r>
            <w:proofErr w:type="spellStart"/>
            <w:r w:rsidRPr="00604D80">
              <w:rPr>
                <w:rFonts w:ascii="Garamond" w:hAnsi="Garamond"/>
                <w:lang w:val="en-AU"/>
              </w:rPr>
              <w:t>Tukuitonga</w:t>
            </w:r>
            <w:proofErr w:type="spellEnd"/>
            <w:r w:rsidRPr="00604D80">
              <w:rPr>
                <w:rFonts w:ascii="Garamond" w:hAnsi="Garamond"/>
                <w:lang w:val="en-AU"/>
              </w:rPr>
              <w:t xml:space="preserve">: from </w:t>
            </w:r>
            <w:r w:rsidRPr="00604D80">
              <w:rPr>
                <w:rFonts w:ascii="Garamond" w:hAnsi="Garamond"/>
                <w:b/>
                <w:lang w:val="en-AU"/>
              </w:rPr>
              <w:t>crisis to action in Pacific communities</w:t>
            </w:r>
            <w:r w:rsidRPr="00604D80">
              <w:rPr>
                <w:rFonts w:ascii="Garamond" w:hAnsi="Garamond"/>
                <w:lang w:val="en-AU"/>
              </w:rPr>
              <w:t xml:space="preserve"> (Colin </w:t>
            </w:r>
            <w:proofErr w:type="spellStart"/>
            <w:r w:rsidRPr="00604D80">
              <w:rPr>
                <w:rFonts w:ascii="Garamond" w:hAnsi="Garamond"/>
                <w:lang w:val="en-AU"/>
              </w:rPr>
              <w:t>Tukuitonga</w:t>
            </w:r>
            <w:proofErr w:type="spellEnd"/>
            <w:r>
              <w:rPr>
                <w:rFonts w:ascii="Garamond" w:hAnsi="Garamond"/>
                <w:lang w:val="en-AU"/>
              </w:rPr>
              <w:t>)</w:t>
            </w:r>
          </w:p>
          <w:p w:rsidR="00604D80" w:rsidRPr="00604D80" w:rsidRDefault="00604D80" w:rsidP="00604D80">
            <w:pPr>
              <w:pStyle w:val="ListParagraph"/>
              <w:numPr>
                <w:ilvl w:val="0"/>
                <w:numId w:val="25"/>
              </w:numPr>
              <w:rPr>
                <w:rFonts w:ascii="Garamond" w:hAnsi="Garamond"/>
                <w:lang w:val="en-AU"/>
              </w:rPr>
            </w:pPr>
            <w:r w:rsidRPr="00604D80">
              <w:rPr>
                <w:rFonts w:ascii="Garamond" w:hAnsi="Garamond"/>
                <w:b/>
                <w:lang w:val="en-AU"/>
              </w:rPr>
              <w:lastRenderedPageBreak/>
              <w:t>Climate change and allergy in Australia</w:t>
            </w:r>
            <w:r w:rsidRPr="00604D80">
              <w:rPr>
                <w:rFonts w:ascii="Garamond" w:hAnsi="Garamond"/>
                <w:lang w:val="en-AU"/>
              </w:rPr>
              <w:t xml:space="preserve">: an innovative, high-income country, at potential risk (Paul J </w:t>
            </w:r>
            <w:proofErr w:type="spellStart"/>
            <w:r w:rsidRPr="00604D80">
              <w:rPr>
                <w:rFonts w:ascii="Garamond" w:hAnsi="Garamond"/>
                <w:lang w:val="en-AU"/>
              </w:rPr>
              <w:t>Beggs</w:t>
            </w:r>
            <w:proofErr w:type="spellEnd"/>
            <w:r>
              <w:rPr>
                <w:rFonts w:ascii="Garamond" w:hAnsi="Garamond"/>
                <w:lang w:val="en-AU"/>
              </w:rPr>
              <w:t>)</w:t>
            </w:r>
          </w:p>
          <w:p w:rsidR="00604D80" w:rsidRPr="00604D80" w:rsidRDefault="00604D80" w:rsidP="00604D80">
            <w:pPr>
              <w:pStyle w:val="ListParagraph"/>
              <w:numPr>
                <w:ilvl w:val="0"/>
                <w:numId w:val="25"/>
              </w:numPr>
              <w:rPr>
                <w:rFonts w:ascii="Garamond" w:hAnsi="Garamond"/>
                <w:lang w:val="en-AU"/>
              </w:rPr>
            </w:pPr>
            <w:r w:rsidRPr="00604D80">
              <w:rPr>
                <w:rFonts w:ascii="Garamond" w:hAnsi="Garamond"/>
                <w:b/>
                <w:lang w:val="en-AU"/>
              </w:rPr>
              <w:t>Improving the quality of healthcare</w:t>
            </w:r>
            <w:r w:rsidRPr="00604D80">
              <w:rPr>
                <w:rFonts w:ascii="Garamond" w:hAnsi="Garamond"/>
                <w:lang w:val="en-AU"/>
              </w:rPr>
              <w:t xml:space="preserve">: a cross-sectional study of the features of successful clinical networks (Mary M Haines, Bernadette Brown, Catherine A </w:t>
            </w:r>
            <w:proofErr w:type="spellStart"/>
            <w:r w:rsidRPr="00604D80">
              <w:rPr>
                <w:rFonts w:ascii="Garamond" w:hAnsi="Garamond"/>
                <w:lang w:val="en-AU"/>
              </w:rPr>
              <w:t>D’Este</w:t>
            </w:r>
            <w:proofErr w:type="spellEnd"/>
            <w:r w:rsidRPr="00604D80">
              <w:rPr>
                <w:rFonts w:ascii="Garamond" w:hAnsi="Garamond"/>
                <w:lang w:val="en-AU"/>
              </w:rPr>
              <w:t xml:space="preserve">, Elizabeth M Yano, Jonathan C Craig, Sandy Middleton, Peter A </w:t>
            </w:r>
            <w:proofErr w:type="spellStart"/>
            <w:r w:rsidRPr="00604D80">
              <w:rPr>
                <w:rFonts w:ascii="Garamond" w:hAnsi="Garamond"/>
                <w:lang w:val="en-AU"/>
              </w:rPr>
              <w:t>Castaldi</w:t>
            </w:r>
            <w:proofErr w:type="spellEnd"/>
            <w:r w:rsidRPr="00604D80">
              <w:rPr>
                <w:rFonts w:ascii="Garamond" w:hAnsi="Garamond"/>
                <w:lang w:val="en-AU"/>
              </w:rPr>
              <w:t xml:space="preserve">, Carol A Pollock, Kate Needham, William H Watt, Elizabeth J Elliott, Anthony Scott, Amanda </w:t>
            </w:r>
            <w:proofErr w:type="spellStart"/>
            <w:r w:rsidRPr="00604D80">
              <w:rPr>
                <w:rFonts w:ascii="Garamond" w:hAnsi="Garamond"/>
                <w:lang w:val="en-AU"/>
              </w:rPr>
              <w:t>Dominello</w:t>
            </w:r>
            <w:proofErr w:type="spellEnd"/>
            <w:r w:rsidRPr="00604D80">
              <w:rPr>
                <w:rFonts w:ascii="Garamond" w:hAnsi="Garamond"/>
                <w:lang w:val="en-AU"/>
              </w:rPr>
              <w:t xml:space="preserve">, Emily </w:t>
            </w:r>
            <w:proofErr w:type="spellStart"/>
            <w:r w:rsidRPr="00604D80">
              <w:rPr>
                <w:rFonts w:ascii="Garamond" w:hAnsi="Garamond"/>
                <w:lang w:val="en-AU"/>
              </w:rPr>
              <w:t>Klineberg</w:t>
            </w:r>
            <w:proofErr w:type="spellEnd"/>
            <w:r w:rsidRPr="00604D80">
              <w:rPr>
                <w:rFonts w:ascii="Garamond" w:hAnsi="Garamond"/>
                <w:lang w:val="en-AU"/>
              </w:rPr>
              <w:t>, Jo-An Atkinson, C Paul, S Redman, on behalf of the Clinical Networks Research Group</w:t>
            </w:r>
            <w:r>
              <w:rPr>
                <w:rFonts w:ascii="Garamond" w:hAnsi="Garamond"/>
                <w:lang w:val="en-AU"/>
              </w:rPr>
              <w:t>)</w:t>
            </w:r>
          </w:p>
          <w:p w:rsidR="00604D80" w:rsidRPr="00604D80" w:rsidRDefault="00604D80" w:rsidP="00604D80">
            <w:pPr>
              <w:pStyle w:val="ListParagraph"/>
              <w:numPr>
                <w:ilvl w:val="0"/>
                <w:numId w:val="25"/>
              </w:numPr>
              <w:rPr>
                <w:rFonts w:ascii="Garamond" w:hAnsi="Garamond"/>
                <w:lang w:val="en-AU"/>
              </w:rPr>
            </w:pPr>
            <w:r w:rsidRPr="00604D80">
              <w:rPr>
                <w:rFonts w:ascii="Garamond" w:hAnsi="Garamond"/>
                <w:lang w:val="en-AU"/>
              </w:rPr>
              <w:t xml:space="preserve">The </w:t>
            </w:r>
            <w:proofErr w:type="spellStart"/>
            <w:r w:rsidRPr="00604D80">
              <w:rPr>
                <w:rFonts w:ascii="Garamond" w:hAnsi="Garamond"/>
                <w:lang w:val="en-AU"/>
              </w:rPr>
              <w:t>EXpert</w:t>
            </w:r>
            <w:proofErr w:type="spellEnd"/>
            <w:r w:rsidRPr="00604D80">
              <w:rPr>
                <w:rFonts w:ascii="Garamond" w:hAnsi="Garamond"/>
                <w:lang w:val="en-AU"/>
              </w:rPr>
              <w:t xml:space="preserve"> </w:t>
            </w:r>
            <w:proofErr w:type="spellStart"/>
            <w:r w:rsidRPr="00604D80">
              <w:rPr>
                <w:rFonts w:ascii="Garamond" w:hAnsi="Garamond"/>
                <w:lang w:val="en-AU"/>
              </w:rPr>
              <w:t>PANel</w:t>
            </w:r>
            <w:proofErr w:type="spellEnd"/>
            <w:r w:rsidRPr="00604D80">
              <w:rPr>
                <w:rFonts w:ascii="Garamond" w:hAnsi="Garamond"/>
                <w:lang w:val="en-AU"/>
              </w:rPr>
              <w:t xml:space="preserve"> Decision (EXPAND) method: a way to measure the impact of diverse </w:t>
            </w:r>
            <w:r w:rsidRPr="00604D80">
              <w:rPr>
                <w:rFonts w:ascii="Garamond" w:hAnsi="Garamond"/>
                <w:b/>
                <w:lang w:val="en-AU"/>
              </w:rPr>
              <w:t>quality improvement activities of clinical networks</w:t>
            </w:r>
            <w:r w:rsidRPr="00604D80">
              <w:rPr>
                <w:rFonts w:ascii="Garamond" w:hAnsi="Garamond"/>
                <w:lang w:val="en-AU"/>
              </w:rPr>
              <w:t xml:space="preserve"> (Amanda </w:t>
            </w:r>
            <w:proofErr w:type="spellStart"/>
            <w:r w:rsidRPr="00604D80">
              <w:rPr>
                <w:rFonts w:ascii="Garamond" w:hAnsi="Garamond"/>
                <w:lang w:val="en-AU"/>
              </w:rPr>
              <w:t>Dominello</w:t>
            </w:r>
            <w:proofErr w:type="spellEnd"/>
            <w:r w:rsidRPr="00604D80">
              <w:rPr>
                <w:rFonts w:ascii="Garamond" w:hAnsi="Garamond"/>
                <w:lang w:val="en-AU"/>
              </w:rPr>
              <w:t xml:space="preserve">, Elizabeth M Yano, Emily </w:t>
            </w:r>
            <w:proofErr w:type="spellStart"/>
            <w:r w:rsidRPr="00604D80">
              <w:rPr>
                <w:rFonts w:ascii="Garamond" w:hAnsi="Garamond"/>
                <w:lang w:val="en-AU"/>
              </w:rPr>
              <w:t>Klineberg</w:t>
            </w:r>
            <w:proofErr w:type="spellEnd"/>
            <w:r w:rsidRPr="00604D80">
              <w:rPr>
                <w:rFonts w:ascii="Garamond" w:hAnsi="Garamond"/>
                <w:lang w:val="en-AU"/>
              </w:rPr>
              <w:t xml:space="preserve">, Sally Redman, Jonathan C Craig, Bernadette Brown, Deanna </w:t>
            </w:r>
            <w:proofErr w:type="spellStart"/>
            <w:r w:rsidRPr="00604D80">
              <w:rPr>
                <w:rFonts w:ascii="Garamond" w:hAnsi="Garamond"/>
                <w:lang w:val="en-AU"/>
              </w:rPr>
              <w:t>Kalucy</w:t>
            </w:r>
            <w:proofErr w:type="spellEnd"/>
            <w:r w:rsidRPr="00604D80">
              <w:rPr>
                <w:rFonts w:ascii="Garamond" w:hAnsi="Garamond"/>
                <w:lang w:val="en-AU"/>
              </w:rPr>
              <w:t>, Mary Haines</w:t>
            </w:r>
            <w:r>
              <w:rPr>
                <w:rFonts w:ascii="Garamond" w:hAnsi="Garamond"/>
                <w:lang w:val="en-AU"/>
              </w:rPr>
              <w:t>)</w:t>
            </w:r>
          </w:p>
          <w:p w:rsidR="00604D80" w:rsidRPr="00604D80" w:rsidRDefault="00604D80" w:rsidP="00604D80">
            <w:pPr>
              <w:pStyle w:val="ListParagraph"/>
              <w:numPr>
                <w:ilvl w:val="0"/>
                <w:numId w:val="25"/>
              </w:numPr>
              <w:rPr>
                <w:rFonts w:ascii="Garamond" w:hAnsi="Garamond"/>
                <w:lang w:val="en-AU"/>
              </w:rPr>
            </w:pPr>
            <w:r w:rsidRPr="00604D80">
              <w:rPr>
                <w:rFonts w:ascii="Garamond" w:hAnsi="Garamond"/>
                <w:lang w:val="en-AU"/>
              </w:rPr>
              <w:t xml:space="preserve">Addressing the </w:t>
            </w:r>
            <w:r w:rsidRPr="00604D80">
              <w:rPr>
                <w:rFonts w:ascii="Garamond" w:hAnsi="Garamond"/>
                <w:b/>
                <w:lang w:val="en-AU"/>
              </w:rPr>
              <w:t>carbon footprint of health organisations</w:t>
            </w:r>
            <w:r w:rsidRPr="00604D80">
              <w:rPr>
                <w:rFonts w:ascii="Garamond" w:hAnsi="Garamond"/>
                <w:lang w:val="en-AU"/>
              </w:rPr>
              <w:t>: eight lessons for implementation (Kate E Charlesworth, Gregory J Stewart, Peter Sainsbury</w:t>
            </w:r>
            <w:r>
              <w:rPr>
                <w:rFonts w:ascii="Garamond" w:hAnsi="Garamond"/>
                <w:lang w:val="en-AU"/>
              </w:rPr>
              <w:t>)</w:t>
            </w:r>
          </w:p>
          <w:p w:rsidR="00124EBF" w:rsidRPr="003F6E6A" w:rsidRDefault="00604D80" w:rsidP="00604D80">
            <w:pPr>
              <w:pStyle w:val="ListParagraph"/>
              <w:numPr>
                <w:ilvl w:val="0"/>
                <w:numId w:val="25"/>
              </w:numPr>
              <w:rPr>
                <w:rFonts w:ascii="Garamond" w:hAnsi="Garamond"/>
                <w:lang w:val="en-AU"/>
              </w:rPr>
            </w:pPr>
            <w:r w:rsidRPr="00604D80">
              <w:rPr>
                <w:rFonts w:ascii="Garamond" w:hAnsi="Garamond"/>
                <w:b/>
                <w:lang w:val="en-AU"/>
              </w:rPr>
              <w:t>Built environment interventions for human and planetary health</w:t>
            </w:r>
            <w:r w:rsidRPr="00604D80">
              <w:rPr>
                <w:rFonts w:ascii="Garamond" w:hAnsi="Garamond"/>
                <w:lang w:val="en-AU"/>
              </w:rPr>
              <w:t xml:space="preserve">: integrating health in climate change adaptation and mitigation (Jason H Prior, Irena LC </w:t>
            </w:r>
            <w:proofErr w:type="spellStart"/>
            <w:r w:rsidRPr="00604D80">
              <w:rPr>
                <w:rFonts w:ascii="Garamond" w:hAnsi="Garamond"/>
                <w:lang w:val="en-AU"/>
              </w:rPr>
              <w:t>Connon</w:t>
            </w:r>
            <w:proofErr w:type="spellEnd"/>
            <w:r w:rsidRPr="00604D80">
              <w:rPr>
                <w:rFonts w:ascii="Garamond" w:hAnsi="Garamond"/>
                <w:lang w:val="en-AU"/>
              </w:rPr>
              <w:t xml:space="preserve">, Erica McIntyre, Jon Adams, Anthony Capon, Jennifer Kent, Chris </w:t>
            </w:r>
            <w:proofErr w:type="spellStart"/>
            <w:r w:rsidRPr="00604D80">
              <w:rPr>
                <w:rFonts w:ascii="Garamond" w:hAnsi="Garamond"/>
                <w:lang w:val="en-AU"/>
              </w:rPr>
              <w:t>Rissel</w:t>
            </w:r>
            <w:proofErr w:type="spellEnd"/>
            <w:r w:rsidRPr="00604D80">
              <w:rPr>
                <w:rFonts w:ascii="Garamond" w:hAnsi="Garamond"/>
                <w:lang w:val="en-AU"/>
              </w:rPr>
              <w:t>, Leena E Thomas, Susan M Thompson, Harriet Westcott</w:t>
            </w:r>
            <w:r>
              <w:rPr>
                <w:rFonts w:ascii="Garamond" w:hAnsi="Garamond"/>
                <w:lang w:val="en-AU"/>
              </w:rPr>
              <w:t>)</w:t>
            </w:r>
          </w:p>
        </w:tc>
      </w:tr>
    </w:tbl>
    <w:p w:rsidR="00124EBF" w:rsidRDefault="00124EBF" w:rsidP="00032917">
      <w:pPr>
        <w:keepNext/>
        <w:keepLines/>
        <w:autoSpaceDE w:val="0"/>
        <w:autoSpaceDN w:val="0"/>
        <w:adjustRightInd w:val="0"/>
        <w:rPr>
          <w:rFonts w:ascii="Garamond" w:hAnsi="Garamond"/>
          <w:i/>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D73D0F" w:rsidP="00900052">
            <w:pPr>
              <w:keepNext/>
              <w:rPr>
                <w:rFonts w:ascii="Garamond" w:hAnsi="Garamond"/>
                <w:lang w:val="en-AU"/>
              </w:rPr>
            </w:pPr>
            <w:hyperlink r:id="rId32"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AE28B6" w:rsidRPr="00467B47" w:rsidRDefault="00474663" w:rsidP="00474663">
            <w:pPr>
              <w:pStyle w:val="ListParagraph"/>
              <w:numPr>
                <w:ilvl w:val="0"/>
                <w:numId w:val="14"/>
              </w:numPr>
              <w:rPr>
                <w:rFonts w:ascii="Garamond" w:hAnsi="Garamond"/>
                <w:lang w:val="en-AU"/>
              </w:rPr>
            </w:pPr>
            <w:r w:rsidRPr="00474663">
              <w:rPr>
                <w:rFonts w:ascii="Garamond" w:hAnsi="Garamond"/>
                <w:b/>
                <w:lang w:val="en-AU"/>
              </w:rPr>
              <w:t>Nurse staffing, nursing assistants and hospital mortality</w:t>
            </w:r>
            <w:r w:rsidRPr="00474663">
              <w:rPr>
                <w:rFonts w:ascii="Garamond" w:hAnsi="Garamond"/>
                <w:lang w:val="en-AU"/>
              </w:rPr>
              <w:t xml:space="preserve">: retrospective longitudinal cohort study </w:t>
            </w:r>
            <w:r>
              <w:rPr>
                <w:rFonts w:ascii="Garamond" w:hAnsi="Garamond"/>
                <w:lang w:val="en-AU"/>
              </w:rPr>
              <w:t>(</w:t>
            </w:r>
            <w:r w:rsidRPr="00474663">
              <w:rPr>
                <w:rFonts w:ascii="Garamond" w:hAnsi="Garamond"/>
                <w:lang w:val="en-AU"/>
              </w:rPr>
              <w:t xml:space="preserve">Peter Griffiths, Antonello </w:t>
            </w:r>
            <w:proofErr w:type="spellStart"/>
            <w:r w:rsidRPr="00474663">
              <w:rPr>
                <w:rFonts w:ascii="Garamond" w:hAnsi="Garamond"/>
                <w:lang w:val="en-AU"/>
              </w:rPr>
              <w:t>Maruotti</w:t>
            </w:r>
            <w:proofErr w:type="spellEnd"/>
            <w:r w:rsidRPr="00474663">
              <w:rPr>
                <w:rFonts w:ascii="Garamond" w:hAnsi="Garamond"/>
                <w:lang w:val="en-AU"/>
              </w:rPr>
              <w:t xml:space="preserve">, Alejandra </w:t>
            </w:r>
            <w:proofErr w:type="spellStart"/>
            <w:r w:rsidRPr="00474663">
              <w:rPr>
                <w:rFonts w:ascii="Garamond" w:hAnsi="Garamond"/>
                <w:lang w:val="en-AU"/>
              </w:rPr>
              <w:t>Recio</w:t>
            </w:r>
            <w:proofErr w:type="spellEnd"/>
            <w:r w:rsidRPr="00474663">
              <w:rPr>
                <w:rFonts w:ascii="Garamond" w:hAnsi="Garamond"/>
                <w:lang w:val="en-AU"/>
              </w:rPr>
              <w:t xml:space="preserve"> Saucedo, Oliver C Redfern, Jane E Ball, Jim Briggs, Chiara </w:t>
            </w:r>
            <w:proofErr w:type="spellStart"/>
            <w:r w:rsidRPr="00474663">
              <w:rPr>
                <w:rFonts w:ascii="Garamond" w:hAnsi="Garamond"/>
                <w:lang w:val="en-AU"/>
              </w:rPr>
              <w:t>Dall'Ora</w:t>
            </w:r>
            <w:proofErr w:type="spellEnd"/>
            <w:r w:rsidRPr="00474663">
              <w:rPr>
                <w:rFonts w:ascii="Garamond" w:hAnsi="Garamond"/>
                <w:lang w:val="en-AU"/>
              </w:rPr>
              <w:t>, Paul E Schmidt, Gary B Smith On behalf of Missed Care Study Group</w:t>
            </w:r>
            <w:r>
              <w:rPr>
                <w:rFonts w:ascii="Garamond" w:hAnsi="Garamond"/>
                <w:lang w:val="en-AU"/>
              </w:rPr>
              <w:t>)</w:t>
            </w:r>
          </w:p>
        </w:tc>
      </w:tr>
    </w:tbl>
    <w:p w:rsidR="00D46F19" w:rsidRDefault="00D46F19" w:rsidP="008F5418">
      <w:pPr>
        <w:keepNext/>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D73D0F" w:rsidP="00290461">
            <w:pPr>
              <w:keepNext/>
              <w:rPr>
                <w:rFonts w:ascii="Garamond" w:hAnsi="Garamond"/>
                <w:lang w:val="en-AU"/>
              </w:rPr>
            </w:pPr>
            <w:hyperlink r:id="rId33"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8F617D" w:rsidRPr="00DA6435" w:rsidRDefault="00F77D5E" w:rsidP="00F77D5E">
            <w:pPr>
              <w:pStyle w:val="ListParagraph"/>
              <w:numPr>
                <w:ilvl w:val="0"/>
                <w:numId w:val="14"/>
              </w:numPr>
              <w:jc w:val="both"/>
              <w:rPr>
                <w:rFonts w:ascii="Garamond" w:hAnsi="Garamond"/>
                <w:lang w:val="en-AU"/>
              </w:rPr>
            </w:pPr>
            <w:r w:rsidRPr="00F77D5E">
              <w:rPr>
                <w:rFonts w:ascii="Garamond" w:hAnsi="Garamond"/>
                <w:lang w:val="en-AU"/>
              </w:rPr>
              <w:t xml:space="preserve">Validation of the </w:t>
            </w:r>
            <w:r w:rsidRPr="00F77D5E">
              <w:rPr>
                <w:rFonts w:ascii="Garamond" w:hAnsi="Garamond"/>
                <w:b/>
                <w:lang w:val="en-AU"/>
              </w:rPr>
              <w:t>person-centred coordinated care experience questionnaire (P3CEQ)</w:t>
            </w:r>
            <w:r w:rsidRPr="00F77D5E">
              <w:rPr>
                <w:rFonts w:ascii="Garamond" w:hAnsi="Garamond"/>
                <w:lang w:val="en-AU"/>
              </w:rPr>
              <w:t xml:space="preserve"> </w:t>
            </w:r>
            <w:r>
              <w:rPr>
                <w:rFonts w:ascii="Garamond" w:hAnsi="Garamond"/>
                <w:lang w:val="en-AU"/>
              </w:rPr>
              <w:t>(</w:t>
            </w:r>
            <w:r w:rsidRPr="00F77D5E">
              <w:rPr>
                <w:rFonts w:ascii="Garamond" w:hAnsi="Garamond"/>
                <w:lang w:val="en-AU"/>
              </w:rPr>
              <w:t xml:space="preserve">Helen Lloyd; Ben </w:t>
            </w:r>
            <w:proofErr w:type="spellStart"/>
            <w:r w:rsidRPr="00F77D5E">
              <w:rPr>
                <w:rFonts w:ascii="Garamond" w:hAnsi="Garamond"/>
                <w:lang w:val="en-AU"/>
              </w:rPr>
              <w:t>Fosh</w:t>
            </w:r>
            <w:proofErr w:type="spellEnd"/>
            <w:r w:rsidRPr="00F77D5E">
              <w:rPr>
                <w:rFonts w:ascii="Garamond" w:hAnsi="Garamond"/>
                <w:lang w:val="en-AU"/>
              </w:rPr>
              <w:t xml:space="preserve">; Ben </w:t>
            </w:r>
            <w:proofErr w:type="spellStart"/>
            <w:r w:rsidRPr="00F77D5E">
              <w:rPr>
                <w:rFonts w:ascii="Garamond" w:hAnsi="Garamond"/>
                <w:lang w:val="en-AU"/>
              </w:rPr>
              <w:t>Whalley</w:t>
            </w:r>
            <w:proofErr w:type="spellEnd"/>
            <w:r w:rsidRPr="00F77D5E">
              <w:rPr>
                <w:rFonts w:ascii="Garamond" w:hAnsi="Garamond"/>
                <w:lang w:val="en-AU"/>
              </w:rPr>
              <w:t>; Richard Byng; James Close</w:t>
            </w:r>
            <w:r>
              <w:rPr>
                <w:rFonts w:ascii="Garamond" w:hAnsi="Garamond"/>
                <w:lang w:val="en-AU"/>
              </w:rPr>
              <w:t>)</w:t>
            </w:r>
          </w:p>
        </w:tc>
      </w:tr>
    </w:tbl>
    <w:p w:rsidR="009A34AA" w:rsidRDefault="009A34AA"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D73D0F" w:rsidRDefault="00D73D0F" w:rsidP="00D73D0F">
      <w:pPr>
        <w:keepNext/>
        <w:keepLines/>
        <w:rPr>
          <w:rFonts w:ascii="Garamond" w:hAnsi="Garamond"/>
          <w:i/>
          <w:lang w:val="en-AU"/>
        </w:rPr>
      </w:pPr>
      <w:r w:rsidRPr="003E0E20">
        <w:rPr>
          <w:rFonts w:ascii="Garamond" w:hAnsi="Garamond"/>
          <w:i/>
          <w:lang w:val="en-AU"/>
        </w:rPr>
        <w:t>The Pros and Cons of Patient Reported Outcome Measures (PROMs) and Patient Reported Experience Measures (PREMs</w:t>
      </w:r>
      <w:r>
        <w:rPr>
          <w:rFonts w:ascii="Garamond" w:hAnsi="Garamond"/>
          <w:i/>
          <w:lang w:val="en-AU"/>
        </w:rPr>
        <w:t>)</w:t>
      </w:r>
    </w:p>
    <w:p w:rsidR="00D73D0F" w:rsidRDefault="00D73D0F" w:rsidP="00D73D0F">
      <w:pPr>
        <w:keepNext/>
        <w:keepLines/>
        <w:rPr>
          <w:rFonts w:ascii="Garamond" w:hAnsi="Garamond"/>
          <w:lang w:val="en-AU"/>
        </w:rPr>
      </w:pPr>
      <w:hyperlink r:id="rId34" w:history="1">
        <w:r w:rsidRPr="00382650">
          <w:rPr>
            <w:rStyle w:val="Hyperlink"/>
            <w:rFonts w:ascii="Garamond" w:hAnsi="Garamond"/>
            <w:lang w:val="en-AU"/>
          </w:rPr>
          <w:t>http://www.hsraanz.org/the-pros-and-cons-of-patient-reported-outcome-measures-proms-and-patient-reported-experience-measures-prems-26-november-201/</w:t>
        </w:r>
      </w:hyperlink>
    </w:p>
    <w:p w:rsidR="00D73D0F" w:rsidRPr="003E0E20" w:rsidRDefault="00D73D0F" w:rsidP="00D73D0F">
      <w:pPr>
        <w:keepNext/>
        <w:keepLines/>
        <w:rPr>
          <w:rFonts w:ascii="Garamond" w:hAnsi="Garamond"/>
          <w:lang w:val="en-AU"/>
        </w:rPr>
      </w:pPr>
      <w:r w:rsidRPr="003E0E20">
        <w:rPr>
          <w:rFonts w:ascii="Garamond" w:hAnsi="Garamond"/>
          <w:lang w:val="en-AU"/>
        </w:rPr>
        <w:t xml:space="preserve">110 delegates gathered at the University of Sydney </w:t>
      </w:r>
      <w:r>
        <w:rPr>
          <w:rFonts w:ascii="Garamond" w:hAnsi="Garamond"/>
          <w:lang w:val="en-AU"/>
        </w:rPr>
        <w:t xml:space="preserve">on 26 November 2018 </w:t>
      </w:r>
      <w:r w:rsidRPr="003E0E20">
        <w:rPr>
          <w:rFonts w:ascii="Garamond" w:hAnsi="Garamond"/>
          <w:lang w:val="en-AU"/>
        </w:rPr>
        <w:t xml:space="preserve">to consider the pros and cons of PROMS and PREMS. The conference papers, slides and photos are </w:t>
      </w:r>
      <w:r>
        <w:rPr>
          <w:rFonts w:ascii="Garamond" w:hAnsi="Garamond"/>
          <w:lang w:val="en-AU"/>
        </w:rPr>
        <w:t xml:space="preserve">now </w:t>
      </w:r>
      <w:r w:rsidRPr="003E0E20">
        <w:rPr>
          <w:rFonts w:ascii="Garamond" w:hAnsi="Garamond"/>
          <w:lang w:val="en-AU"/>
        </w:rPr>
        <w:t>available</w:t>
      </w:r>
      <w:r>
        <w:rPr>
          <w:rFonts w:ascii="Garamond" w:hAnsi="Garamond"/>
          <w:lang w:val="en-AU"/>
        </w:rPr>
        <w:t xml:space="preserve">. </w:t>
      </w:r>
      <w:r w:rsidRPr="003E0E20">
        <w:rPr>
          <w:rFonts w:ascii="Garamond" w:hAnsi="Garamond"/>
          <w:lang w:val="en-AU"/>
        </w:rPr>
        <w:t>This one-day forum brought together stakeholders with experience in PROMS and PREMs to advance the health services research agenda.</w:t>
      </w:r>
      <w:r>
        <w:rPr>
          <w:rFonts w:ascii="Garamond" w:hAnsi="Garamond"/>
          <w:lang w:val="en-AU"/>
        </w:rPr>
        <w:t xml:space="preserve"> </w:t>
      </w:r>
      <w:r w:rsidRPr="003E0E20">
        <w:rPr>
          <w:rFonts w:ascii="Garamond" w:hAnsi="Garamond"/>
          <w:lang w:val="en-AU"/>
        </w:rPr>
        <w:t>During the morning delegates heard from experts in the field about the application of PROMs and PREMs in government programs, Clinical Practice, General Practice and NGOs and peak consumer bodies.</w:t>
      </w:r>
      <w:r>
        <w:rPr>
          <w:rFonts w:ascii="Garamond" w:hAnsi="Garamond"/>
          <w:lang w:val="en-AU"/>
        </w:rPr>
        <w:t xml:space="preserve"> </w:t>
      </w:r>
      <w:r w:rsidRPr="003E0E20">
        <w:rPr>
          <w:rFonts w:ascii="Garamond" w:hAnsi="Garamond"/>
          <w:lang w:val="en-AU"/>
        </w:rPr>
        <w:t>The afternoon featured short oral presentations in two streams and provided an opportunity to learn about the latest research and leadership in the areas of PROMs and PREMs for quality assurance and benchmarking and PROMs to guide clinical care.</w:t>
      </w:r>
    </w:p>
    <w:p w:rsidR="00D73D0F" w:rsidRPr="003E0E20" w:rsidRDefault="00D73D0F" w:rsidP="00D73D0F">
      <w:pPr>
        <w:keepLines/>
        <w:rPr>
          <w:rFonts w:ascii="Garamond" w:hAnsi="Garamond"/>
          <w:lang w:val="en-AU"/>
        </w:rPr>
      </w:pPr>
    </w:p>
    <w:p w:rsidR="00D73D0F" w:rsidRPr="003E0E20" w:rsidRDefault="00D73D0F" w:rsidP="00D73D0F">
      <w:pPr>
        <w:keepNext/>
        <w:keepLines/>
        <w:rPr>
          <w:rFonts w:ascii="Garamond" w:hAnsi="Garamond"/>
          <w:lang w:val="en-AU"/>
        </w:rPr>
      </w:pPr>
      <w:r w:rsidRPr="003E0E20">
        <w:rPr>
          <w:rFonts w:ascii="Garamond" w:hAnsi="Garamond"/>
          <w:lang w:val="en-AU"/>
        </w:rPr>
        <w:lastRenderedPageBreak/>
        <w:t xml:space="preserve">For information about the Commission’s work on </w:t>
      </w:r>
      <w:r>
        <w:rPr>
          <w:rFonts w:ascii="Garamond" w:hAnsi="Garamond"/>
          <w:lang w:val="en-AU"/>
        </w:rPr>
        <w:t>patient-reported outcome measures</w:t>
      </w:r>
      <w:r w:rsidRPr="003E0E20">
        <w:rPr>
          <w:rFonts w:ascii="Garamond" w:hAnsi="Garamond"/>
          <w:lang w:val="en-AU"/>
        </w:rPr>
        <w:t xml:space="preserve">, see </w:t>
      </w:r>
      <w:hyperlink r:id="rId35" w:history="1">
        <w:r w:rsidRPr="00382650">
          <w:rPr>
            <w:rStyle w:val="Hyperlink"/>
            <w:rFonts w:ascii="Garamond" w:hAnsi="Garamond"/>
            <w:lang w:val="en-AU"/>
          </w:rPr>
          <w:t>https://www.safetyandquality.gov.au/our-work/indicators/patient-reported-outcome-measures/</w:t>
        </w:r>
      </w:hyperlink>
    </w:p>
    <w:p w:rsidR="00D73D0F" w:rsidRDefault="00D73D0F" w:rsidP="00D73D0F">
      <w:pPr>
        <w:keepLines/>
        <w:rPr>
          <w:rFonts w:ascii="Garamond" w:hAnsi="Garamond"/>
          <w:i/>
          <w:lang w:val="en-AU"/>
        </w:rPr>
      </w:pPr>
    </w:p>
    <w:p w:rsidR="0042519F" w:rsidRPr="0042519F" w:rsidRDefault="0042519F" w:rsidP="0042519F">
      <w:pPr>
        <w:keepNext/>
        <w:keepLines/>
        <w:autoSpaceDE w:val="0"/>
        <w:autoSpaceDN w:val="0"/>
        <w:adjustRightInd w:val="0"/>
        <w:rPr>
          <w:rFonts w:ascii="Garamond" w:hAnsi="Garamond"/>
          <w:i/>
          <w:lang w:val="en-AU"/>
        </w:rPr>
      </w:pPr>
      <w:r w:rsidRPr="0042519F">
        <w:rPr>
          <w:rFonts w:ascii="Garamond" w:hAnsi="Garamond"/>
          <w:i/>
          <w:lang w:val="en-AU"/>
        </w:rPr>
        <w:t>Consumer Enablement: A Clinician’s Guide</w:t>
      </w:r>
    </w:p>
    <w:p w:rsidR="0042519F" w:rsidRDefault="00D73D0F" w:rsidP="0042519F">
      <w:pPr>
        <w:keepNext/>
        <w:keepLines/>
        <w:rPr>
          <w:rFonts w:ascii="Garamond" w:hAnsi="Garamond"/>
          <w:i/>
          <w:lang w:val="en-AU"/>
        </w:rPr>
      </w:pPr>
      <w:hyperlink r:id="rId36" w:history="1">
        <w:r w:rsidR="0042519F" w:rsidRPr="00EE573E">
          <w:rPr>
            <w:rStyle w:val="Hyperlink"/>
            <w:rFonts w:ascii="Garamond" w:hAnsi="Garamond"/>
            <w:lang w:val="en-AU"/>
          </w:rPr>
          <w:t>https://www.aci.health.nsw.gov.au/resources/chronic-care/consumer-enablement/guide</w:t>
        </w:r>
      </w:hyperlink>
    </w:p>
    <w:p w:rsidR="0042519F" w:rsidRPr="0042519F" w:rsidRDefault="0042519F" w:rsidP="00545BC3">
      <w:pPr>
        <w:keepNext/>
        <w:keepLines/>
        <w:rPr>
          <w:rFonts w:ascii="Garamond" w:hAnsi="Garamond"/>
          <w:lang w:val="en-AU"/>
        </w:rPr>
      </w:pPr>
      <w:r w:rsidRPr="0042519F">
        <w:rPr>
          <w:rFonts w:ascii="Garamond" w:hAnsi="Garamond"/>
          <w:lang w:val="en-AU"/>
        </w:rPr>
        <w:t>The New South Wa</w:t>
      </w:r>
      <w:r w:rsidR="00F77D5E">
        <w:rPr>
          <w:rFonts w:ascii="Garamond" w:hAnsi="Garamond"/>
          <w:lang w:val="en-AU"/>
        </w:rPr>
        <w:t>l</w:t>
      </w:r>
      <w:r w:rsidRPr="0042519F">
        <w:rPr>
          <w:rFonts w:ascii="Garamond" w:hAnsi="Garamond"/>
          <w:lang w:val="en-AU"/>
        </w:rPr>
        <w:t>es Agenc</w:t>
      </w:r>
      <w:r>
        <w:rPr>
          <w:rFonts w:ascii="Garamond" w:hAnsi="Garamond"/>
          <w:lang w:val="en-AU"/>
        </w:rPr>
        <w:t>y</w:t>
      </w:r>
      <w:r w:rsidRPr="0042519F">
        <w:rPr>
          <w:rFonts w:ascii="Garamond" w:hAnsi="Garamond"/>
          <w:lang w:val="en-AU"/>
        </w:rPr>
        <w:t xml:space="preserve"> for Clinical Innovation (ACI) </w:t>
      </w:r>
      <w:r>
        <w:rPr>
          <w:rFonts w:ascii="Garamond" w:hAnsi="Garamond"/>
          <w:lang w:val="en-AU"/>
        </w:rPr>
        <w:t>has developed this guide to aid clinicians with what they are terming ‘consumer enablement’. It includes information, tools and resources that clinicians may use to engage patients/</w:t>
      </w:r>
      <w:r w:rsidRPr="0042519F">
        <w:rPr>
          <w:rFonts w:ascii="Garamond" w:hAnsi="Garamond"/>
          <w:lang w:val="en-AU"/>
        </w:rPr>
        <w:t>consumers, carers and communities manage their own health and wellbeing</w:t>
      </w:r>
      <w:r>
        <w:rPr>
          <w:rFonts w:ascii="Garamond" w:hAnsi="Garamond"/>
          <w:lang w:val="en-AU"/>
        </w:rPr>
        <w:t>.</w:t>
      </w:r>
    </w:p>
    <w:p w:rsidR="0042519F" w:rsidRDefault="008859DB" w:rsidP="00545BC3">
      <w:pPr>
        <w:keepNext/>
        <w:keepLines/>
        <w:rPr>
          <w:rFonts w:ascii="Garamond" w:hAnsi="Garamond"/>
          <w:i/>
          <w:lang w:val="en-AU"/>
        </w:rPr>
      </w:pPr>
      <w:bookmarkStart w:id="1" w:name="_GoBack"/>
      <w:r>
        <w:rPr>
          <w:rFonts w:ascii="Garamond" w:hAnsi="Garamond"/>
          <w:i/>
          <w:noProof/>
          <w:lang w:val="en-AU" w:eastAsia="en-AU"/>
        </w:rPr>
        <w:drawing>
          <wp:inline distT="0" distB="0" distL="0" distR="0">
            <wp:extent cx="5531005" cy="3878760"/>
            <wp:effectExtent l="0" t="0" r="0" b="7620"/>
            <wp:docPr id="5" name="Picture 5" descr="\\central.health\dfsuserenv\Users\User_07\JOHNNI\Desktop\Consumer enab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Consumer enablement.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31024" cy="3878774"/>
                    </a:xfrm>
                    <a:prstGeom prst="rect">
                      <a:avLst/>
                    </a:prstGeom>
                    <a:noFill/>
                    <a:ln>
                      <a:noFill/>
                    </a:ln>
                  </pic:spPr>
                </pic:pic>
              </a:graphicData>
            </a:graphic>
          </wp:inline>
        </w:drawing>
      </w:r>
      <w:bookmarkEnd w:id="1"/>
    </w:p>
    <w:p w:rsidR="008859DB" w:rsidRDefault="008859DB" w:rsidP="00545BC3">
      <w:pPr>
        <w:keepNext/>
        <w:keepLines/>
        <w:rPr>
          <w:rFonts w:ascii="Garamond" w:hAnsi="Garamond"/>
          <w:i/>
          <w:lang w:val="en-AU"/>
        </w:rPr>
      </w:pPr>
    </w:p>
    <w:p w:rsidR="00545BC3" w:rsidRPr="000170DA" w:rsidRDefault="00545BC3" w:rsidP="00545BC3">
      <w:pPr>
        <w:keepNext/>
        <w:keepLines/>
        <w:rPr>
          <w:rFonts w:ascii="Garamond" w:hAnsi="Garamond"/>
          <w:i/>
          <w:lang w:val="en-AU"/>
        </w:rPr>
      </w:pPr>
      <w:r w:rsidRPr="000170DA">
        <w:rPr>
          <w:rFonts w:ascii="Garamond" w:hAnsi="Garamond"/>
          <w:i/>
          <w:lang w:val="en-AU"/>
        </w:rPr>
        <w:t>[UK] NICE Guidelines and Quality Standards</w:t>
      </w:r>
    </w:p>
    <w:p w:rsidR="00545BC3" w:rsidRPr="000170DA" w:rsidRDefault="00D73D0F" w:rsidP="00545BC3">
      <w:pPr>
        <w:keepNext/>
        <w:keepLines/>
        <w:rPr>
          <w:rFonts w:ascii="Garamond" w:hAnsi="Garamond"/>
          <w:u w:val="single"/>
          <w:lang w:val="en-AU"/>
        </w:rPr>
      </w:pPr>
      <w:hyperlink r:id="rId38" w:history="1">
        <w:r w:rsidR="00545BC3" w:rsidRPr="000170DA">
          <w:rPr>
            <w:rStyle w:val="Hyperlink"/>
            <w:rFonts w:ascii="Garamond" w:hAnsi="Garamond"/>
            <w:lang w:val="en-AU"/>
          </w:rPr>
          <w:t>https://www.nice.org.uk</w:t>
        </w:r>
      </w:hyperlink>
    </w:p>
    <w:p w:rsidR="00545BC3" w:rsidRPr="000170DA" w:rsidRDefault="00545BC3" w:rsidP="00545BC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545BC3" w:rsidRDefault="00604D80" w:rsidP="008959C9">
      <w:pPr>
        <w:pStyle w:val="ListParagraph"/>
        <w:keepNext/>
        <w:keepLines/>
        <w:numPr>
          <w:ilvl w:val="0"/>
          <w:numId w:val="14"/>
        </w:numPr>
        <w:rPr>
          <w:rFonts w:ascii="Garamond" w:hAnsi="Garamond"/>
          <w:lang w:val="en-AU"/>
        </w:rPr>
      </w:pPr>
      <w:r>
        <w:rPr>
          <w:rFonts w:ascii="Garamond" w:hAnsi="Garamond"/>
          <w:lang w:val="en-AU"/>
        </w:rPr>
        <w:t xml:space="preserve">NICE Guideline NG114 </w:t>
      </w:r>
      <w:r w:rsidRPr="008959C9">
        <w:rPr>
          <w:rFonts w:ascii="Garamond" w:hAnsi="Garamond"/>
          <w:b/>
          <w:i/>
          <w:lang w:val="en-AU"/>
        </w:rPr>
        <w:t>Chronic obstructive pulmonary disease</w:t>
      </w:r>
      <w:r w:rsidRPr="008959C9">
        <w:rPr>
          <w:rFonts w:ascii="Garamond" w:hAnsi="Garamond"/>
          <w:i/>
          <w:lang w:val="en-AU"/>
        </w:rPr>
        <w:t xml:space="preserve"> (acute exacerbation): </w:t>
      </w:r>
      <w:r w:rsidRPr="008959C9">
        <w:rPr>
          <w:rFonts w:ascii="Garamond" w:hAnsi="Garamond"/>
          <w:b/>
          <w:i/>
          <w:lang w:val="en-AU"/>
        </w:rPr>
        <w:t>antimicrobial prescribing</w:t>
      </w:r>
      <w:r w:rsidRPr="008959C9">
        <w:rPr>
          <w:rFonts w:ascii="Garamond" w:hAnsi="Garamond"/>
          <w:i/>
          <w:lang w:val="en-AU"/>
        </w:rPr>
        <w:t xml:space="preserve"> </w:t>
      </w:r>
      <w:hyperlink r:id="rId39" w:history="1">
        <w:r w:rsidR="008959C9" w:rsidRPr="002C46D8">
          <w:rPr>
            <w:rStyle w:val="Hyperlink"/>
            <w:rFonts w:ascii="Garamond" w:hAnsi="Garamond"/>
            <w:lang w:val="en-AU"/>
          </w:rPr>
          <w:t>https://www.nice.org.uk/guidance/ng114</w:t>
        </w:r>
      </w:hyperlink>
    </w:p>
    <w:p w:rsidR="00604D80" w:rsidRDefault="00604D80" w:rsidP="008959C9">
      <w:pPr>
        <w:pStyle w:val="ListParagraph"/>
        <w:keepNext/>
        <w:keepLines/>
        <w:numPr>
          <w:ilvl w:val="0"/>
          <w:numId w:val="14"/>
        </w:numPr>
        <w:rPr>
          <w:rFonts w:ascii="Garamond" w:hAnsi="Garamond"/>
          <w:lang w:val="en-AU"/>
        </w:rPr>
      </w:pPr>
      <w:r>
        <w:rPr>
          <w:rFonts w:ascii="Garamond" w:hAnsi="Garamond"/>
          <w:lang w:val="en-AU"/>
        </w:rPr>
        <w:t xml:space="preserve">NICE Guideline NG115 </w:t>
      </w:r>
      <w:r w:rsidRPr="008959C9">
        <w:rPr>
          <w:rFonts w:ascii="Garamond" w:hAnsi="Garamond"/>
          <w:b/>
          <w:i/>
          <w:lang w:val="en-AU"/>
        </w:rPr>
        <w:t>Chronic obstructive pulmonary disease</w:t>
      </w:r>
      <w:r w:rsidRPr="008959C9">
        <w:rPr>
          <w:rFonts w:ascii="Garamond" w:hAnsi="Garamond"/>
          <w:i/>
          <w:lang w:val="en-AU"/>
        </w:rPr>
        <w:t xml:space="preserve"> in over 16s: diagnosis and management</w:t>
      </w:r>
      <w:r>
        <w:rPr>
          <w:rFonts w:ascii="Garamond" w:hAnsi="Garamond"/>
          <w:lang w:val="en-AU"/>
        </w:rPr>
        <w:t xml:space="preserve"> </w:t>
      </w:r>
      <w:hyperlink r:id="rId40" w:history="1">
        <w:r w:rsidR="008959C9" w:rsidRPr="002C46D8">
          <w:rPr>
            <w:rStyle w:val="Hyperlink"/>
            <w:rFonts w:ascii="Garamond" w:hAnsi="Garamond"/>
            <w:lang w:val="en-AU"/>
          </w:rPr>
          <w:t>https://www.nice.org.uk/guidance/ng115</w:t>
        </w:r>
      </w:hyperlink>
    </w:p>
    <w:p w:rsidR="00604D80" w:rsidRDefault="00604D80" w:rsidP="00604D80">
      <w:pPr>
        <w:pStyle w:val="ListParagraph"/>
        <w:keepNext/>
        <w:keepLines/>
        <w:numPr>
          <w:ilvl w:val="0"/>
          <w:numId w:val="14"/>
        </w:numPr>
        <w:rPr>
          <w:rFonts w:ascii="Garamond" w:hAnsi="Garamond"/>
          <w:lang w:val="en-AU"/>
        </w:rPr>
      </w:pPr>
      <w:r>
        <w:rPr>
          <w:rFonts w:ascii="Garamond" w:hAnsi="Garamond"/>
          <w:lang w:val="en-AU"/>
        </w:rPr>
        <w:t xml:space="preserve">NICE Guideline NG116 </w:t>
      </w:r>
      <w:r w:rsidRPr="008959C9">
        <w:rPr>
          <w:rFonts w:ascii="Garamond" w:hAnsi="Garamond"/>
          <w:b/>
          <w:i/>
          <w:lang w:val="en-AU"/>
        </w:rPr>
        <w:t>Post-traumatic stress disorder</w:t>
      </w:r>
      <w:r>
        <w:rPr>
          <w:rFonts w:ascii="Garamond" w:hAnsi="Garamond"/>
          <w:lang w:val="en-AU"/>
        </w:rPr>
        <w:t xml:space="preserve"> </w:t>
      </w:r>
      <w:hyperlink r:id="rId41" w:history="1">
        <w:r w:rsidRPr="002C46D8">
          <w:rPr>
            <w:rStyle w:val="Hyperlink"/>
            <w:rFonts w:ascii="Garamond" w:hAnsi="Garamond"/>
            <w:lang w:val="en-AU"/>
          </w:rPr>
          <w:t>https://www.nice.org.uk/guidance/ng116</w:t>
        </w:r>
      </w:hyperlink>
    </w:p>
    <w:p w:rsidR="00310160" w:rsidRPr="004964A4" w:rsidRDefault="00310160"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8B" w:rsidRDefault="00044A8B">
      <w:r>
        <w:separator/>
      </w:r>
    </w:p>
  </w:endnote>
  <w:endnote w:type="continuationSeparator" w:id="0">
    <w:p w:rsidR="00044A8B" w:rsidRDefault="000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Default="00044A8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73D0F">
      <w:rPr>
        <w:rStyle w:val="PageNumber"/>
        <w:noProof/>
      </w:rPr>
      <w:t>10</w:t>
    </w:r>
    <w:r>
      <w:rPr>
        <w:rStyle w:val="PageNumber"/>
      </w:rPr>
      <w:fldChar w:fldCharType="end"/>
    </w:r>
  </w:p>
  <w:p w:rsidR="00044A8B" w:rsidRPr="001E78F0" w:rsidRDefault="00044A8B"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39</w:t>
    </w:r>
    <w:r w:rsidR="007A6A88">
      <w:rPr>
        <w:rFonts w:ascii="Garamond" w:hAnsi="Garamond"/>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Pr="001E78F0" w:rsidRDefault="00044A8B"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D73D0F">
      <w:rPr>
        <w:rStyle w:val="PageNumber"/>
        <w:rFonts w:ascii="Garamond" w:hAnsi="Garamond"/>
        <w:noProof/>
      </w:rPr>
      <w:t>9</w:t>
    </w:r>
    <w:r w:rsidRPr="001E78F0">
      <w:rPr>
        <w:rStyle w:val="PageNumber"/>
        <w:rFonts w:ascii="Garamond" w:hAnsi="Garamond"/>
      </w:rPr>
      <w:fldChar w:fldCharType="end"/>
    </w:r>
  </w:p>
  <w:p w:rsidR="00044A8B" w:rsidRPr="001E78F0" w:rsidRDefault="00044A8B"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39</w:t>
    </w:r>
    <w:r w:rsidR="007A6A88">
      <w:rPr>
        <w:rFonts w:ascii="Garamond" w:hAnsi="Garamond"/>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8B" w:rsidRDefault="00044A8B">
      <w:r>
        <w:separator/>
      </w:r>
    </w:p>
  </w:footnote>
  <w:footnote w:type="continuationSeparator" w:id="0">
    <w:p w:rsidR="00044A8B" w:rsidRDefault="0004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B7920"/>
    <w:multiLevelType w:val="hybridMultilevel"/>
    <w:tmpl w:val="0FDE2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8A4602"/>
    <w:multiLevelType w:val="hybridMultilevel"/>
    <w:tmpl w:val="11D46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9F9358A"/>
    <w:multiLevelType w:val="hybridMultilevel"/>
    <w:tmpl w:val="22160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B046D9"/>
    <w:multiLevelType w:val="hybridMultilevel"/>
    <w:tmpl w:val="7C1E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6546F3"/>
    <w:multiLevelType w:val="hybridMultilevel"/>
    <w:tmpl w:val="46D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B0645A4"/>
    <w:multiLevelType w:val="hybridMultilevel"/>
    <w:tmpl w:val="95742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345A00"/>
    <w:multiLevelType w:val="hybridMultilevel"/>
    <w:tmpl w:val="0AE4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8F0EB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9C793E"/>
    <w:multiLevelType w:val="hybridMultilevel"/>
    <w:tmpl w:val="45F88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A406E3"/>
    <w:multiLevelType w:val="hybridMultilevel"/>
    <w:tmpl w:val="BE3A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262B8A"/>
    <w:multiLevelType w:val="hybridMultilevel"/>
    <w:tmpl w:val="32E6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9911532"/>
    <w:multiLevelType w:val="hybridMultilevel"/>
    <w:tmpl w:val="85544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EA2693"/>
    <w:multiLevelType w:val="hybridMultilevel"/>
    <w:tmpl w:val="17580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BF304A"/>
    <w:multiLevelType w:val="hybridMultilevel"/>
    <w:tmpl w:val="940E5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E655E8"/>
    <w:multiLevelType w:val="hybridMultilevel"/>
    <w:tmpl w:val="D4C8A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A22134"/>
    <w:multiLevelType w:val="hybridMultilevel"/>
    <w:tmpl w:val="FD38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5"/>
  </w:num>
  <w:num w:numId="15">
    <w:abstractNumId w:val="28"/>
  </w:num>
  <w:num w:numId="16">
    <w:abstractNumId w:val="14"/>
  </w:num>
  <w:num w:numId="17">
    <w:abstractNumId w:val="18"/>
  </w:num>
  <w:num w:numId="18">
    <w:abstractNumId w:val="35"/>
  </w:num>
  <w:num w:numId="19">
    <w:abstractNumId w:val="33"/>
  </w:num>
  <w:num w:numId="20">
    <w:abstractNumId w:val="21"/>
  </w:num>
  <w:num w:numId="21">
    <w:abstractNumId w:val="17"/>
  </w:num>
  <w:num w:numId="22">
    <w:abstractNumId w:val="11"/>
  </w:num>
  <w:num w:numId="23">
    <w:abstractNumId w:val="23"/>
  </w:num>
  <w:num w:numId="24">
    <w:abstractNumId w:val="29"/>
  </w:num>
  <w:num w:numId="25">
    <w:abstractNumId w:val="16"/>
  </w:num>
  <w:num w:numId="26">
    <w:abstractNumId w:val="38"/>
  </w:num>
  <w:num w:numId="27">
    <w:abstractNumId w:val="32"/>
  </w:num>
  <w:num w:numId="28">
    <w:abstractNumId w:val="19"/>
  </w:num>
  <w:num w:numId="29">
    <w:abstractNumId w:val="12"/>
  </w:num>
  <w:num w:numId="30">
    <w:abstractNumId w:val="15"/>
  </w:num>
  <w:num w:numId="31">
    <w:abstractNumId w:val="39"/>
  </w:num>
  <w:num w:numId="32">
    <w:abstractNumId w:val="10"/>
  </w:num>
  <w:num w:numId="33">
    <w:abstractNumId w:val="34"/>
  </w:num>
  <w:num w:numId="34">
    <w:abstractNumId w:val="22"/>
  </w:num>
  <w:num w:numId="35">
    <w:abstractNumId w:val="13"/>
  </w:num>
  <w:num w:numId="36">
    <w:abstractNumId w:val="26"/>
  </w:num>
  <w:num w:numId="37">
    <w:abstractNumId w:val="20"/>
  </w:num>
  <w:num w:numId="38">
    <w:abstractNumId w:val="37"/>
  </w:num>
  <w:num w:numId="39">
    <w:abstractNumId w:val="30"/>
  </w:num>
  <w:num w:numId="4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9F8"/>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A5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208"/>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6E"/>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4EBF"/>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2D"/>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996"/>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0B4"/>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026"/>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716"/>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7B8"/>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20"/>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DDA"/>
    <w:rsid w:val="003F40F5"/>
    <w:rsid w:val="003F4118"/>
    <w:rsid w:val="003F412D"/>
    <w:rsid w:val="003F41B7"/>
    <w:rsid w:val="003F44A6"/>
    <w:rsid w:val="003F46F5"/>
    <w:rsid w:val="003F4920"/>
    <w:rsid w:val="003F4A3F"/>
    <w:rsid w:val="003F54E6"/>
    <w:rsid w:val="003F5500"/>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19F"/>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663"/>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E3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2D0"/>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DEC"/>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D8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A52"/>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3F5"/>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1E"/>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DB"/>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9C9"/>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4D3"/>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76"/>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430"/>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A50"/>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5CA"/>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961"/>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877"/>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17"/>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745"/>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4D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D0F"/>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C5C"/>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C5A"/>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8EA"/>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38B"/>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7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64326443">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oi.org/10.3310/themedreview-03345" TargetMode="External"/><Relationship Id="rId26" Type="http://schemas.openxmlformats.org/officeDocument/2006/relationships/image" Target="media/image3.jpeg"/><Relationship Id="rId39" Type="http://schemas.openxmlformats.org/officeDocument/2006/relationships/hyperlink" Target="https://www.nice.org.uk/guidance/ng114" TargetMode="External"/><Relationship Id="rId3" Type="http://schemas.openxmlformats.org/officeDocument/2006/relationships/styles" Target="styles.xml"/><Relationship Id="rId21" Type="http://schemas.openxmlformats.org/officeDocument/2006/relationships/hyperlink" Target="https://chf.org.au/media-releases/shifting-gears-consumer-health" TargetMode="External"/><Relationship Id="rId34" Type="http://schemas.openxmlformats.org/officeDocument/2006/relationships/hyperlink" Target="http://www.hsraanz.org/the-pros-and-cons-of-patient-reported-outcome-measures-proms-and-patient-reported-experience-measures-prems-26-november-201/"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dc.nihr.ac.uk/themed-reviews/research-on-assistive-technology.htm" TargetMode="External"/><Relationship Id="rId25" Type="http://schemas.openxmlformats.org/officeDocument/2006/relationships/hyperlink" Target="https://doi.org/10.1017/ice.2018.313" TargetMode="External"/><Relationship Id="rId33" Type="http://schemas.openxmlformats.org/officeDocument/2006/relationships/hyperlink" Target="https://academic.oup.com/intqhc/advance-access" TargetMode="External"/><Relationship Id="rId38" Type="http://schemas.openxmlformats.org/officeDocument/2006/relationships/hyperlink" Target="https://www.nice.org.uk" TargetMode="External"/><Relationship Id="rId2" Type="http://schemas.openxmlformats.org/officeDocument/2006/relationships/numbering" Target="numbering.xml"/><Relationship Id="rId16" Type="http://schemas.openxmlformats.org/officeDocument/2006/relationships/hyperlink" Target="https://www.safetyandquality.gov.au/antimicrobial-use-and-resistance-in-australia/apas/" TargetMode="External"/><Relationship Id="rId20" Type="http://schemas.openxmlformats.org/officeDocument/2006/relationships/hyperlink" Target="https://www.patientsafetylearning.org/blog/a-patient-safe-future" TargetMode="External"/><Relationship Id="rId29" Type="http://schemas.openxmlformats.org/officeDocument/2006/relationships/hyperlink" Target="https://www.healthaffairs.org/toc/hlthaff/37/12" TargetMode="External"/><Relationship Id="rId41" Type="http://schemas.openxmlformats.org/officeDocument/2006/relationships/hyperlink" Target="https://www.nice.org.uk/guidance/ng1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safetyandquality.gov.au/our-work/clinical-communications/" TargetMode="External"/><Relationship Id="rId32" Type="http://schemas.openxmlformats.org/officeDocument/2006/relationships/hyperlink" Target="https://qualitysafety.bmj.com/content/early/recent" TargetMode="External"/><Relationship Id="rId37" Type="http://schemas.openxmlformats.org/officeDocument/2006/relationships/image" Target="media/image5.png"/><Relationship Id="rId40" Type="http://schemas.openxmlformats.org/officeDocument/2006/relationships/hyperlink" Target="https://www.nice.org.uk/guidance/ng115"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097/PTS.0000000000000541" TargetMode="External"/><Relationship Id="rId28" Type="http://schemas.openxmlformats.org/officeDocument/2006/relationships/hyperlink" Target="http://www.publish.csiro.au/ah/issue/8889" TargetMode="External"/><Relationship Id="rId36" Type="http://schemas.openxmlformats.org/officeDocument/2006/relationships/hyperlink" Target="https://www.aci.health.nsw.gov.au/resources/chronic-care/consumer-enablement/guide"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image" Target="media/image2.png"/><Relationship Id="rId31" Type="http://schemas.openxmlformats.org/officeDocument/2006/relationships/hyperlink" Target="http://www.phrp.com.au/issues/december-2018-volume-28-issue-4"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patient-and-consumer-centred-care/" TargetMode="External"/><Relationship Id="rId27" Type="http://schemas.openxmlformats.org/officeDocument/2006/relationships/hyperlink" Target="https://www.safetyandquality.gov.au/antimicrobial-use-and-resistance-in-australia/" TargetMode="External"/><Relationship Id="rId30" Type="http://schemas.openxmlformats.org/officeDocument/2006/relationships/image" Target="media/image4.png"/><Relationship Id="rId35" Type="http://schemas.openxmlformats.org/officeDocument/2006/relationships/hyperlink" Target="https://www.safetyandquality.gov.au/our-work/indicators/patient-reported-outcome-measures/"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C18F-556A-41F2-A4B1-D1121D9A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9</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23835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21</cp:revision>
  <cp:lastPrinted>2018-03-02T02:34:00Z</cp:lastPrinted>
  <dcterms:created xsi:type="dcterms:W3CDTF">2018-12-02T20:37:00Z</dcterms:created>
  <dcterms:modified xsi:type="dcterms:W3CDTF">2018-12-07T02:59:00Z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