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54764A" w:rsidRDefault="00715F47" w:rsidP="00B160EF">
      <w:pPr>
        <w:rPr>
          <w:rFonts w:ascii="Garamond" w:hAnsi="Garamond"/>
          <w:color w:val="F79646" w:themeColor="accent6"/>
          <w:lang w:val="en-AU"/>
        </w:rPr>
      </w:pPr>
      <w:r w:rsidRPr="0054764A">
        <w:rPr>
          <w:rFonts w:ascii="Garamond" w:hAnsi="Garamond"/>
          <w:color w:val="F79646" w:themeColor="accent6"/>
          <w:lang w:val="en-AU"/>
        </w:rPr>
        <w:t xml:space="preserve">Issue </w:t>
      </w:r>
      <w:r w:rsidR="00AF58F1" w:rsidRPr="0054764A">
        <w:rPr>
          <w:rFonts w:ascii="Garamond" w:hAnsi="Garamond"/>
          <w:color w:val="F79646" w:themeColor="accent6"/>
          <w:lang w:val="en-AU"/>
        </w:rPr>
        <w:t>400</w:t>
      </w:r>
    </w:p>
    <w:p w:rsidR="00755242" w:rsidRPr="00467B47" w:rsidRDefault="007A6A88" w:rsidP="00F738B5">
      <w:pPr>
        <w:rPr>
          <w:rFonts w:ascii="Garamond" w:hAnsi="Garamond"/>
          <w:lang w:val="en-AU"/>
        </w:rPr>
      </w:pPr>
      <w:r>
        <w:rPr>
          <w:rFonts w:ascii="Garamond" w:hAnsi="Garamond"/>
          <w:lang w:val="en-AU"/>
        </w:rPr>
        <w:t>1</w:t>
      </w:r>
      <w:r w:rsidR="00AF58F1">
        <w:rPr>
          <w:rFonts w:ascii="Garamond" w:hAnsi="Garamond"/>
          <w:lang w:val="en-AU"/>
        </w:rPr>
        <w:t>7</w:t>
      </w:r>
      <w:r w:rsidR="005D5B69">
        <w:rPr>
          <w:rFonts w:ascii="Garamond" w:hAnsi="Garamond"/>
          <w:lang w:val="en-AU"/>
        </w:rPr>
        <w:t xml:space="preserve"> </w:t>
      </w:r>
      <w:r w:rsidR="003A7789">
        <w:rPr>
          <w:rFonts w:ascii="Garamond" w:hAnsi="Garamond"/>
          <w:lang w:val="en-AU"/>
        </w:rPr>
        <w:t>Dec</w:t>
      </w:r>
      <w:r w:rsidR="005D5B69">
        <w:rPr>
          <w:rFonts w:ascii="Garamond" w:hAnsi="Garamond"/>
          <w:lang w:val="en-AU"/>
        </w:rPr>
        <w:t>em</w:t>
      </w:r>
      <w:r w:rsidR="00D763DB">
        <w:rPr>
          <w:rFonts w:ascii="Garamond" w:hAnsi="Garamond"/>
          <w:lang w:val="en-AU"/>
        </w:rPr>
        <w:t>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F6188A">
        <w:rPr>
          <w:rFonts w:ascii="Garamond" w:hAnsi="Garamond"/>
          <w:bCs/>
          <w:lang w:val="en-AU"/>
        </w:rPr>
        <w:t xml:space="preserve">, </w:t>
      </w:r>
      <w:r w:rsidR="00182979">
        <w:rPr>
          <w:rFonts w:ascii="Garamond" w:hAnsi="Garamond"/>
          <w:bCs/>
          <w:lang w:val="en-AU"/>
        </w:rPr>
        <w:t>Alice Bhasale, Victoria Young</w:t>
      </w:r>
      <w:r w:rsidR="00A5267C">
        <w:rPr>
          <w:rFonts w:ascii="Garamond" w:hAnsi="Garamond"/>
          <w:bCs/>
          <w:lang w:val="en-AU"/>
        </w:rPr>
        <w:t>, Meredith Page</w:t>
      </w:r>
    </w:p>
    <w:p w:rsidR="008A21D2" w:rsidRDefault="008A21D2" w:rsidP="0031036D"/>
    <w:p w:rsidR="00FD132A" w:rsidRDefault="00FD132A" w:rsidP="0031036D"/>
    <w:p w:rsidR="000F260A" w:rsidRDefault="000F260A">
      <w:pPr>
        <w:rPr>
          <w:rFonts w:ascii="Garamond" w:hAnsi="Garamond"/>
          <w:b/>
          <w:lang w:val="en-AU"/>
        </w:rPr>
      </w:pPr>
      <w:r>
        <w:rPr>
          <w:rFonts w:ascii="Garamond" w:hAnsi="Garamond"/>
          <w:b/>
          <w:lang w:val="en-AU"/>
        </w:rPr>
        <w:t>Third Australian Atlas of Healthcare Variation</w:t>
      </w:r>
    </w:p>
    <w:p w:rsidR="000F260A" w:rsidRDefault="000F260A" w:rsidP="000F260A">
      <w:pPr>
        <w:rPr>
          <w:rFonts w:ascii="Garamond" w:hAnsi="Garamond"/>
          <w:lang w:val="en-AU"/>
        </w:rPr>
      </w:pPr>
      <w:r w:rsidRPr="000F260A">
        <w:rPr>
          <w:rFonts w:ascii="Garamond" w:hAnsi="Garamond"/>
          <w:lang w:val="en-AU"/>
        </w:rPr>
        <w:t>Australian Commission on Safety and Quality in Health Care and Australian Institute of Health</w:t>
      </w:r>
      <w:r w:rsidR="00985853">
        <w:rPr>
          <w:rFonts w:ascii="Garamond" w:hAnsi="Garamond"/>
          <w:lang w:val="en-AU"/>
        </w:rPr>
        <w:t xml:space="preserve"> a</w:t>
      </w:r>
      <w:r w:rsidRPr="000F260A">
        <w:rPr>
          <w:rFonts w:ascii="Garamond" w:hAnsi="Garamond"/>
          <w:lang w:val="en-AU"/>
        </w:rPr>
        <w:t>nd Welfare</w:t>
      </w:r>
    </w:p>
    <w:p w:rsidR="000F260A" w:rsidRPr="000F260A" w:rsidRDefault="000F260A" w:rsidP="000F260A">
      <w:pPr>
        <w:rPr>
          <w:rFonts w:ascii="Garamond" w:hAnsi="Garamond"/>
          <w:lang w:val="en-AU"/>
        </w:rPr>
      </w:pPr>
      <w:r w:rsidRPr="000F260A">
        <w:rPr>
          <w:rFonts w:ascii="Garamond" w:hAnsi="Garamond"/>
          <w:lang w:val="en-AU"/>
        </w:rPr>
        <w:t>Sydney: ACSQHC; 2018</w:t>
      </w:r>
      <w:r>
        <w:rPr>
          <w:rFonts w:ascii="Garamond" w:hAnsi="Garamond"/>
          <w:lang w:val="en-AU"/>
        </w:rPr>
        <w:t>. p.328</w:t>
      </w:r>
    </w:p>
    <w:p w:rsidR="000F260A" w:rsidRDefault="005D1FF8">
      <w:pPr>
        <w:rPr>
          <w:rFonts w:ascii="Garamond" w:hAnsi="Garamond"/>
          <w:lang w:val="en-AU"/>
        </w:rPr>
      </w:pPr>
      <w:hyperlink r:id="rId16" w:history="1">
        <w:r w:rsidR="00F6188A" w:rsidRPr="00D44627">
          <w:rPr>
            <w:rStyle w:val="Hyperlink"/>
            <w:rFonts w:ascii="Garamond" w:hAnsi="Garamond"/>
            <w:lang w:val="en-AU"/>
          </w:rPr>
          <w:t>https://safetyandquality.gov.au/atlas/</w:t>
        </w:r>
      </w:hyperlink>
    </w:p>
    <w:p w:rsidR="00F6188A" w:rsidRDefault="00F6188A">
      <w:pPr>
        <w:rPr>
          <w:rFonts w:ascii="Garamond" w:hAnsi="Garamond"/>
          <w:lang w:val="en-AU"/>
        </w:rPr>
      </w:pPr>
    </w:p>
    <w:p w:rsidR="00975155" w:rsidRDefault="00975155" w:rsidP="00975155">
      <w:pPr>
        <w:rPr>
          <w:rFonts w:ascii="Garamond" w:hAnsi="Garamond"/>
          <w:lang w:val="en-AU"/>
        </w:rPr>
      </w:pPr>
      <w:r w:rsidRPr="00975155">
        <w:rPr>
          <w:rFonts w:ascii="Garamond" w:hAnsi="Garamond"/>
          <w:lang w:val="en-AU"/>
        </w:rPr>
        <w:t xml:space="preserve">The </w:t>
      </w:r>
      <w:r w:rsidRPr="00975155">
        <w:rPr>
          <w:rFonts w:ascii="Garamond" w:hAnsi="Garamond"/>
          <w:i/>
          <w:lang w:val="en-AU"/>
        </w:rPr>
        <w:t>Third Australian Atlas of Healthcare Variation</w:t>
      </w:r>
      <w:r w:rsidRPr="00975155">
        <w:rPr>
          <w:rFonts w:ascii="Garamond" w:hAnsi="Garamond"/>
          <w:lang w:val="en-AU"/>
        </w:rPr>
        <w:t xml:space="preserve"> shows marked variations in the use of some common tests, treatments and procedures across Australia according to where people live. It provides valuable new information for clinicians and policy makers that will help them ensure more patients get a</w:t>
      </w:r>
      <w:r>
        <w:rPr>
          <w:rFonts w:ascii="Garamond" w:hAnsi="Garamond"/>
          <w:lang w:val="en-AU"/>
        </w:rPr>
        <w:t>ppropriate and effective care.</w:t>
      </w:r>
    </w:p>
    <w:p w:rsidR="00FD132A" w:rsidRPr="00975155" w:rsidRDefault="00FD132A" w:rsidP="00FD132A">
      <w:pPr>
        <w:rPr>
          <w:rFonts w:ascii="Garamond" w:hAnsi="Garamond"/>
          <w:lang w:val="en-AU"/>
        </w:rPr>
      </w:pPr>
    </w:p>
    <w:p w:rsidR="00FD132A" w:rsidRDefault="00FD132A" w:rsidP="00FD132A">
      <w:pPr>
        <w:rPr>
          <w:rFonts w:ascii="Garamond" w:hAnsi="Garamond"/>
          <w:lang w:val="en-AU"/>
        </w:rPr>
      </w:pPr>
      <w:r w:rsidRPr="00975155">
        <w:rPr>
          <w:rFonts w:ascii="Garamond" w:hAnsi="Garamond"/>
          <w:lang w:val="en-AU"/>
        </w:rPr>
        <w:t xml:space="preserve">The Atlas shows variation in the use of specific types of health care across </w:t>
      </w:r>
      <w:r w:rsidR="005D1FF8">
        <w:rPr>
          <w:rFonts w:ascii="Garamond" w:hAnsi="Garamond"/>
          <w:lang w:val="en-AU"/>
        </w:rPr>
        <w:t>Australia</w:t>
      </w:r>
      <w:r w:rsidRPr="00975155">
        <w:rPr>
          <w:rFonts w:ascii="Garamond" w:hAnsi="Garamond"/>
          <w:lang w:val="en-AU"/>
        </w:rPr>
        <w:t xml:space="preserve">, with chapters on </w:t>
      </w:r>
      <w:r w:rsidRPr="00975155">
        <w:rPr>
          <w:rFonts w:ascii="Garamond" w:hAnsi="Garamond"/>
          <w:b/>
          <w:lang w:val="en-AU"/>
        </w:rPr>
        <w:t>neonatal and paediatric health</w:t>
      </w:r>
      <w:r w:rsidRPr="00975155">
        <w:rPr>
          <w:rFonts w:ascii="Garamond" w:hAnsi="Garamond"/>
          <w:lang w:val="en-AU"/>
        </w:rPr>
        <w:t xml:space="preserve">, </w:t>
      </w:r>
      <w:r w:rsidRPr="00975155">
        <w:rPr>
          <w:rFonts w:ascii="Garamond" w:hAnsi="Garamond"/>
          <w:b/>
          <w:lang w:val="en-AU"/>
        </w:rPr>
        <w:t>gastrointestinal investigations and treatment</w:t>
      </w:r>
      <w:r w:rsidRPr="00975155">
        <w:rPr>
          <w:rFonts w:ascii="Garamond" w:hAnsi="Garamond"/>
          <w:lang w:val="en-AU"/>
        </w:rPr>
        <w:t xml:space="preserve">, </w:t>
      </w:r>
      <w:r w:rsidRPr="00975155">
        <w:rPr>
          <w:rFonts w:ascii="Garamond" w:hAnsi="Garamond"/>
          <w:b/>
          <w:lang w:val="en-AU"/>
        </w:rPr>
        <w:t>thyroid investigations and treatment</w:t>
      </w:r>
      <w:r w:rsidRPr="00975155">
        <w:rPr>
          <w:rFonts w:ascii="Garamond" w:hAnsi="Garamond"/>
          <w:lang w:val="en-AU"/>
        </w:rPr>
        <w:t xml:space="preserve">, and </w:t>
      </w:r>
      <w:r w:rsidRPr="00975155">
        <w:rPr>
          <w:rFonts w:ascii="Garamond" w:hAnsi="Garamond"/>
          <w:b/>
          <w:lang w:val="en-AU"/>
        </w:rPr>
        <w:t>cardiac tests</w:t>
      </w:r>
      <w:r>
        <w:rPr>
          <w:rFonts w:ascii="Garamond" w:hAnsi="Garamond"/>
          <w:lang w:val="en-AU"/>
        </w:rPr>
        <w:t>.</w:t>
      </w:r>
    </w:p>
    <w:p w:rsidR="00FD132A" w:rsidRPr="00975155" w:rsidRDefault="00FD132A" w:rsidP="00FD132A">
      <w:pPr>
        <w:rPr>
          <w:rFonts w:ascii="Garamond" w:hAnsi="Garamond"/>
          <w:lang w:val="en-AU"/>
        </w:rPr>
      </w:pPr>
    </w:p>
    <w:p w:rsidR="00FD132A" w:rsidRDefault="00975155" w:rsidP="00975155">
      <w:pPr>
        <w:jc w:val="center"/>
        <w:rPr>
          <w:rFonts w:ascii="Garamond" w:hAnsi="Garamond"/>
          <w:lang w:val="en-AU"/>
        </w:rPr>
      </w:pPr>
      <w:r>
        <w:rPr>
          <w:rFonts w:ascii="Garamond" w:hAnsi="Garamond"/>
          <w:b/>
          <w:noProof/>
          <w:lang w:val="en-AU" w:eastAsia="en-AU"/>
        </w:rPr>
        <w:lastRenderedPageBreak/>
        <w:drawing>
          <wp:inline distT="0" distB="0" distL="0" distR="0" wp14:anchorId="5B2AF1D7" wp14:editId="198CAAA3">
            <wp:extent cx="6096000" cy="2575426"/>
            <wp:effectExtent l="0" t="0" r="0" b="0"/>
            <wp:docPr id="2" name="Picture 2" descr="https://safetyandquality.gov.au/atlas/" title="Banner image for the Third Australian Atlas of Healthcare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Atlas Website-sliders-openers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3930" cy="2583001"/>
                    </a:xfrm>
                    <a:prstGeom prst="rect">
                      <a:avLst/>
                    </a:prstGeom>
                    <a:noFill/>
                    <a:ln>
                      <a:noFill/>
                    </a:ln>
                  </pic:spPr>
                </pic:pic>
              </a:graphicData>
            </a:graphic>
          </wp:inline>
        </w:drawing>
      </w:r>
    </w:p>
    <w:p w:rsidR="00FD132A" w:rsidRDefault="00FD132A" w:rsidP="00975155">
      <w:pPr>
        <w:rPr>
          <w:rFonts w:ascii="Garamond" w:hAnsi="Garamond"/>
          <w:b/>
          <w:lang w:val="en-AU"/>
        </w:rPr>
      </w:pPr>
    </w:p>
    <w:p w:rsidR="00975155" w:rsidRPr="00975155" w:rsidRDefault="00975155" w:rsidP="00975155">
      <w:pPr>
        <w:rPr>
          <w:rFonts w:ascii="Garamond" w:hAnsi="Garamond"/>
          <w:lang w:val="en-AU"/>
        </w:rPr>
      </w:pPr>
      <w:r w:rsidRPr="00975155">
        <w:rPr>
          <w:rFonts w:ascii="Garamond" w:hAnsi="Garamond"/>
          <w:b/>
          <w:lang w:val="en-AU"/>
        </w:rPr>
        <w:t>Early planned caesarean section</w:t>
      </w:r>
      <w:r w:rsidRPr="00975155">
        <w:rPr>
          <w:rFonts w:ascii="Garamond" w:hAnsi="Garamond"/>
          <w:lang w:val="en-AU"/>
        </w:rPr>
        <w:t xml:space="preserve"> before 39 weeks’ gestation can increase short-term risks to the baby (such as neonatal respiratory problems) and long-term developmental problems (such as poorer school performance). Waiting until 39 weeks’ gestation is recommended if there are no medical or obstetric reasons for an earlier birth. The Atlas found (based on reportable 2015 data from four states/territories) that:</w:t>
      </w:r>
    </w:p>
    <w:p w:rsidR="00975155" w:rsidRPr="00975155" w:rsidRDefault="00975155" w:rsidP="00975155">
      <w:pPr>
        <w:pStyle w:val="ListParagraph"/>
        <w:numPr>
          <w:ilvl w:val="0"/>
          <w:numId w:val="36"/>
        </w:numPr>
        <w:rPr>
          <w:rFonts w:ascii="Garamond" w:hAnsi="Garamond"/>
          <w:lang w:val="en-AU"/>
        </w:rPr>
      </w:pPr>
      <w:r w:rsidRPr="00975155">
        <w:rPr>
          <w:rFonts w:ascii="Garamond" w:hAnsi="Garamond"/>
          <w:lang w:val="en-AU"/>
        </w:rPr>
        <w:t>between 42% and 60% of planned caesarean sections performed before 39 weeks’ gestation did not have a medical or obstetric indication; and</w:t>
      </w:r>
    </w:p>
    <w:p w:rsidR="00975155" w:rsidRPr="00975155" w:rsidRDefault="00975155" w:rsidP="00975155">
      <w:pPr>
        <w:pStyle w:val="ListParagraph"/>
        <w:numPr>
          <w:ilvl w:val="0"/>
          <w:numId w:val="36"/>
        </w:numPr>
        <w:rPr>
          <w:rFonts w:ascii="Garamond" w:hAnsi="Garamond"/>
          <w:lang w:val="en-AU"/>
        </w:rPr>
      </w:pPr>
      <w:r w:rsidRPr="00975155">
        <w:rPr>
          <w:rFonts w:ascii="Garamond" w:hAnsi="Garamond"/>
          <w:lang w:val="en-AU"/>
        </w:rPr>
        <w:t xml:space="preserve">between 10% and 22% of caesarean sections performed before 37 weeks did not have a medical or obstetric indication. </w:t>
      </w:r>
    </w:p>
    <w:p w:rsidR="00975155" w:rsidRPr="00975155" w:rsidRDefault="00975155" w:rsidP="00975155">
      <w:pPr>
        <w:rPr>
          <w:rFonts w:ascii="Garamond" w:hAnsi="Garamond"/>
          <w:lang w:val="en-AU"/>
        </w:rPr>
      </w:pPr>
    </w:p>
    <w:p w:rsidR="00975155" w:rsidRDefault="00975155" w:rsidP="00975155">
      <w:pPr>
        <w:rPr>
          <w:rFonts w:ascii="Garamond" w:hAnsi="Garamond"/>
          <w:lang w:val="en-AU"/>
        </w:rPr>
      </w:pPr>
      <w:r w:rsidRPr="00975155">
        <w:rPr>
          <w:rFonts w:ascii="Garamond" w:hAnsi="Garamond"/>
          <w:lang w:val="en-AU"/>
        </w:rPr>
        <w:t xml:space="preserve">Providing prospective parents planning a caesarean section with clear information on the short-term risks and long-term problems of early birth </w:t>
      </w:r>
      <w:r w:rsidR="005D1FF8" w:rsidRPr="005D1FF8">
        <w:rPr>
          <w:rFonts w:ascii="Garamond" w:hAnsi="Garamond"/>
          <w:lang w:val="en-AU"/>
        </w:rPr>
        <w:t>is important for ensuring the decisions about timing of caesarean section are made in the best interests of the mother and baby</w:t>
      </w:r>
      <w:r w:rsidRPr="00975155">
        <w:rPr>
          <w:rFonts w:ascii="Garamond" w:hAnsi="Garamond"/>
          <w:lang w:val="en-AU"/>
        </w:rPr>
        <w:t>.</w:t>
      </w:r>
    </w:p>
    <w:p w:rsidR="00975155" w:rsidRDefault="00FD132A" w:rsidP="00975155">
      <w:pPr>
        <w:rPr>
          <w:rFonts w:ascii="Garamond" w:hAnsi="Garamond"/>
          <w:lang w:val="en-AU"/>
        </w:rPr>
      </w:pPr>
      <w:r>
        <w:rPr>
          <w:rFonts w:ascii="Garamond" w:hAnsi="Garamond"/>
          <w:noProof/>
          <w:lang w:val="en-AU" w:eastAsia="en-AU"/>
        </w:rPr>
        <w:drawing>
          <wp:inline distT="0" distB="0" distL="0" distR="0">
            <wp:extent cx="6118860" cy="3048000"/>
            <wp:effectExtent l="0" t="0" r="0" b="0"/>
            <wp:docPr id="4" name="Picture 4" descr="Early planned caesarean section without medical or obstetric indication&#10;42 to 60% of planned caesarean sections before 39 weeks gestation did not have a medical or obstetic reason.&#10;Every week counts - waiting until 39 weeks is recommended in health pregnancies." title="Early planned caesarean section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Caesarean - infographi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8860" cy="3048000"/>
                    </a:xfrm>
                    <a:prstGeom prst="rect">
                      <a:avLst/>
                    </a:prstGeom>
                    <a:noFill/>
                    <a:ln>
                      <a:noFill/>
                    </a:ln>
                  </pic:spPr>
                </pic:pic>
              </a:graphicData>
            </a:graphic>
          </wp:inline>
        </w:drawing>
      </w:r>
    </w:p>
    <w:p w:rsidR="00FD132A" w:rsidRPr="00975155" w:rsidRDefault="00FD132A" w:rsidP="00975155">
      <w:pPr>
        <w:rPr>
          <w:rFonts w:ascii="Garamond" w:hAnsi="Garamond"/>
          <w:lang w:val="en-AU"/>
        </w:rPr>
      </w:pPr>
    </w:p>
    <w:p w:rsidR="00FD132A" w:rsidRDefault="00975155" w:rsidP="00975155">
      <w:pPr>
        <w:rPr>
          <w:rFonts w:ascii="Garamond" w:hAnsi="Garamond"/>
          <w:lang w:val="en-AU"/>
        </w:rPr>
      </w:pPr>
      <w:r w:rsidRPr="00975155">
        <w:rPr>
          <w:rFonts w:ascii="Garamond" w:hAnsi="Garamond"/>
          <w:b/>
          <w:lang w:val="en-AU"/>
        </w:rPr>
        <w:t>Antibiotic medicines</w:t>
      </w:r>
      <w:r w:rsidRPr="00975155">
        <w:rPr>
          <w:rFonts w:ascii="Garamond" w:hAnsi="Garamond"/>
          <w:lang w:val="en-AU"/>
        </w:rPr>
        <w:t xml:space="preserve"> are prescribed in children at much higher rates than similar countries. The use of antibiotics in children aged 9 years and under in Australia was three times the use of Norway and the Netherlands in 2015. Early antibiotic use may increase the risk of chronic disease such as asthma, Crohn’s disease and obesity</w:t>
      </w:r>
      <w:bookmarkStart w:id="1" w:name="_GoBack"/>
      <w:bookmarkEnd w:id="1"/>
      <w:r w:rsidRPr="00975155">
        <w:rPr>
          <w:rFonts w:ascii="Garamond" w:hAnsi="Garamond"/>
          <w:lang w:val="en-AU"/>
        </w:rPr>
        <w:t>, potentially caused by the effect of antibi</w:t>
      </w:r>
      <w:r w:rsidR="002421F5">
        <w:rPr>
          <w:rFonts w:ascii="Garamond" w:hAnsi="Garamond"/>
          <w:lang w:val="en-AU"/>
        </w:rPr>
        <w:t>otics on normal gut microbiome.</w:t>
      </w:r>
    </w:p>
    <w:p w:rsidR="00975155" w:rsidRDefault="00975155" w:rsidP="00975155">
      <w:pPr>
        <w:rPr>
          <w:rFonts w:ascii="Garamond" w:hAnsi="Garamond"/>
          <w:lang w:val="en-AU"/>
        </w:rPr>
      </w:pPr>
      <w:r w:rsidRPr="00975155">
        <w:rPr>
          <w:rFonts w:ascii="Garamond" w:hAnsi="Garamond"/>
          <w:lang w:val="en-AU"/>
        </w:rPr>
        <w:lastRenderedPageBreak/>
        <w:t>The Atlas found more than 3 million antibiotic prescriptions were dispensed for children aged 0-9 years in 2016-17. The rate was 16.5 times as high in the area with the highest rate compared to the area with the lowest rate.  The Atlas also found that 45% of children aged 9 years and under had at least one prescription dispensed for an antibiotic in that year.  More attention needs to be given to strategies that encourage clinician adherence to guidelines on appropriate prescribing.</w:t>
      </w:r>
    </w:p>
    <w:p w:rsidR="00975155" w:rsidRDefault="00975155" w:rsidP="00975155">
      <w:pPr>
        <w:rPr>
          <w:rFonts w:ascii="Garamond" w:hAnsi="Garamond"/>
          <w:lang w:val="en-AU"/>
        </w:rPr>
      </w:pPr>
    </w:p>
    <w:p w:rsidR="00FD132A" w:rsidRDefault="00FD132A" w:rsidP="00975155">
      <w:pPr>
        <w:rPr>
          <w:rFonts w:ascii="Garamond" w:hAnsi="Garamond"/>
          <w:lang w:val="en-AU"/>
        </w:rPr>
      </w:pPr>
      <w:r>
        <w:rPr>
          <w:rFonts w:ascii="Garamond" w:hAnsi="Garamond"/>
          <w:noProof/>
          <w:lang w:val="en-AU" w:eastAsia="en-AU"/>
        </w:rPr>
        <w:drawing>
          <wp:inline distT="0" distB="0" distL="0" distR="0">
            <wp:extent cx="6118860" cy="3048000"/>
            <wp:effectExtent l="0" t="0" r="0" b="0"/>
            <wp:docPr id="5" name="Picture 5" descr="Over 3 million antibiotic prescriptions were dispensed for children in 2016-17.&#10;Australia uses three times more antibiotics for children than Norway and the Netherlands." title="Antibiotics dispensing in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Antibiotics in Children - infographic.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8860" cy="3048000"/>
                    </a:xfrm>
                    <a:prstGeom prst="rect">
                      <a:avLst/>
                    </a:prstGeom>
                    <a:noFill/>
                    <a:ln>
                      <a:noFill/>
                    </a:ln>
                  </pic:spPr>
                </pic:pic>
              </a:graphicData>
            </a:graphic>
          </wp:inline>
        </w:drawing>
      </w:r>
    </w:p>
    <w:p w:rsidR="00FD132A" w:rsidRPr="00975155" w:rsidRDefault="00FD132A" w:rsidP="00975155">
      <w:pPr>
        <w:rPr>
          <w:rFonts w:ascii="Garamond" w:hAnsi="Garamond"/>
          <w:lang w:val="en-AU"/>
        </w:rPr>
      </w:pPr>
    </w:p>
    <w:p w:rsidR="00975155" w:rsidRDefault="00975155" w:rsidP="00975155">
      <w:pPr>
        <w:rPr>
          <w:rFonts w:ascii="Garamond" w:hAnsi="Garamond"/>
          <w:lang w:val="en-AU"/>
        </w:rPr>
      </w:pPr>
      <w:r w:rsidRPr="00975155">
        <w:rPr>
          <w:rFonts w:ascii="Garamond" w:hAnsi="Garamond"/>
          <w:lang w:val="en-AU"/>
        </w:rPr>
        <w:t xml:space="preserve">The Atlas includes </w:t>
      </w:r>
      <w:r w:rsidRPr="00975155">
        <w:rPr>
          <w:rFonts w:ascii="Garamond" w:hAnsi="Garamond"/>
          <w:b/>
          <w:lang w:val="en-AU"/>
        </w:rPr>
        <w:t>45 recommendations</w:t>
      </w:r>
      <w:r w:rsidRPr="00975155">
        <w:rPr>
          <w:rFonts w:ascii="Garamond" w:hAnsi="Garamond"/>
          <w:lang w:val="en-AU"/>
        </w:rPr>
        <w:t xml:space="preserve"> for action across the health system to </w:t>
      </w:r>
      <w:r w:rsidRPr="00975155">
        <w:rPr>
          <w:rFonts w:ascii="Garamond" w:hAnsi="Garamond"/>
          <w:b/>
          <w:lang w:val="en-AU"/>
        </w:rPr>
        <w:t>address variation where it appears to be unwarranted</w:t>
      </w:r>
      <w:r w:rsidRPr="00975155">
        <w:rPr>
          <w:rFonts w:ascii="Garamond" w:hAnsi="Garamond"/>
          <w:lang w:val="en-AU"/>
        </w:rPr>
        <w:t>. It also includes information on rates for Aboriginal and Torres Strait Islander Australians, where possible, analysis by socioeconomic status for most items, and additional analysis for specific items to help identify sources of variation.</w:t>
      </w:r>
    </w:p>
    <w:p w:rsidR="00975155" w:rsidRPr="00975155" w:rsidRDefault="00975155" w:rsidP="00975155">
      <w:pPr>
        <w:rPr>
          <w:rFonts w:ascii="Garamond" w:hAnsi="Garamond"/>
          <w:lang w:val="en-AU"/>
        </w:rPr>
      </w:pPr>
    </w:p>
    <w:p w:rsidR="00975155" w:rsidRDefault="00975155" w:rsidP="00975155">
      <w:pPr>
        <w:rPr>
          <w:rFonts w:ascii="Garamond" w:hAnsi="Garamond"/>
          <w:lang w:val="en-AU"/>
        </w:rPr>
      </w:pPr>
      <w:r w:rsidRPr="00975155">
        <w:rPr>
          <w:rFonts w:ascii="Garamond" w:hAnsi="Garamond"/>
          <w:lang w:val="en-AU"/>
        </w:rPr>
        <w:t>The Commission partnered with the Australian Institute of Health and Welfare and collaborated with the Australian Government, state and territory governments, specialist medical colleges, clinicians and consumer representatives, to develop the Atlas.</w:t>
      </w:r>
    </w:p>
    <w:p w:rsidR="00975155" w:rsidRPr="00975155" w:rsidRDefault="00975155" w:rsidP="00975155">
      <w:pPr>
        <w:rPr>
          <w:rFonts w:ascii="Garamond" w:hAnsi="Garamond"/>
          <w:lang w:val="en-AU"/>
        </w:rPr>
      </w:pPr>
    </w:p>
    <w:p w:rsidR="003F1F1B" w:rsidRDefault="003F1F1B">
      <w:pPr>
        <w:rPr>
          <w:rFonts w:ascii="Garamond" w:hAnsi="Garamond"/>
          <w:lang w:val="en-AU"/>
        </w:rPr>
      </w:pPr>
      <w:r>
        <w:rPr>
          <w:rFonts w:ascii="Garamond" w:hAnsi="Garamond"/>
          <w:lang w:val="en-AU"/>
        </w:rPr>
        <w:t>The atlas has been produced i</w:t>
      </w:r>
      <w:r w:rsidR="00F6188A">
        <w:rPr>
          <w:rFonts w:ascii="Garamond" w:hAnsi="Garamond"/>
          <w:lang w:val="en-AU"/>
        </w:rPr>
        <w:t>n hardcopy, PDF and interactive forms</w:t>
      </w:r>
      <w:r>
        <w:rPr>
          <w:rFonts w:ascii="Garamond" w:hAnsi="Garamond"/>
          <w:lang w:val="en-AU"/>
        </w:rPr>
        <w:t xml:space="preserve">. </w:t>
      </w:r>
      <w:r w:rsidR="00975155">
        <w:rPr>
          <w:rFonts w:ascii="Garamond" w:hAnsi="Garamond"/>
          <w:lang w:val="en-AU"/>
        </w:rPr>
        <w:t>The interactive atlas incorporates a</w:t>
      </w:r>
      <w:r w:rsidR="00975155" w:rsidRPr="00975155">
        <w:rPr>
          <w:rFonts w:ascii="Garamond" w:hAnsi="Garamond"/>
          <w:lang w:val="en-AU"/>
        </w:rPr>
        <w:t>ll the content</w:t>
      </w:r>
      <w:r w:rsidR="00975155">
        <w:rPr>
          <w:rFonts w:ascii="Garamond" w:hAnsi="Garamond"/>
          <w:lang w:val="en-AU"/>
        </w:rPr>
        <w:t xml:space="preserve"> of the hardcopy</w:t>
      </w:r>
      <w:r w:rsidR="00975155" w:rsidRPr="00975155">
        <w:rPr>
          <w:rFonts w:ascii="Garamond" w:hAnsi="Garamond"/>
          <w:lang w:val="en-AU"/>
        </w:rPr>
        <w:t>, with additional functionality</w:t>
      </w:r>
      <w:r w:rsidR="00975155">
        <w:rPr>
          <w:rFonts w:ascii="Garamond" w:hAnsi="Garamond"/>
          <w:lang w:val="en-AU"/>
        </w:rPr>
        <w:t xml:space="preserve">. </w:t>
      </w:r>
      <w:r>
        <w:rPr>
          <w:rFonts w:ascii="Garamond" w:hAnsi="Garamond"/>
          <w:lang w:val="en-AU"/>
        </w:rPr>
        <w:t xml:space="preserve">The data used in creating the atlas </w:t>
      </w:r>
      <w:r w:rsidR="00975155">
        <w:rPr>
          <w:rFonts w:ascii="Garamond" w:hAnsi="Garamond"/>
          <w:lang w:val="en-AU"/>
        </w:rPr>
        <w:t xml:space="preserve">series </w:t>
      </w:r>
      <w:r>
        <w:rPr>
          <w:rFonts w:ascii="Garamond" w:hAnsi="Garamond"/>
          <w:lang w:val="en-AU"/>
        </w:rPr>
        <w:t xml:space="preserve">are also available from </w:t>
      </w:r>
      <w:hyperlink r:id="rId20" w:history="1">
        <w:r w:rsidRPr="00D44627">
          <w:rPr>
            <w:rStyle w:val="Hyperlink"/>
            <w:rFonts w:ascii="Garamond" w:hAnsi="Garamond"/>
            <w:lang w:val="en-AU"/>
          </w:rPr>
          <w:t>https://safetyandquality.gov.au/atlas/</w:t>
        </w:r>
      </w:hyperlink>
    </w:p>
    <w:p w:rsidR="000F260A" w:rsidRDefault="00F6188A" w:rsidP="00FD132A">
      <w:pPr>
        <w:jc w:val="center"/>
        <w:rPr>
          <w:rFonts w:ascii="Garamond" w:hAnsi="Garamond"/>
          <w:b/>
          <w:lang w:val="en-AU"/>
        </w:rPr>
      </w:pPr>
      <w:r>
        <w:rPr>
          <w:rFonts w:ascii="Garamond" w:hAnsi="Garamond"/>
          <w:b/>
          <w:noProof/>
          <w:lang w:val="en-AU" w:eastAsia="en-AU"/>
        </w:rPr>
        <w:drawing>
          <wp:inline distT="0" distB="0" distL="0" distR="0" wp14:anchorId="46D56EF8" wp14:editId="050EEFBF">
            <wp:extent cx="6092302" cy="2573866"/>
            <wp:effectExtent l="0" t="0" r="3810" b="0"/>
            <wp:docPr id="1" name="Picture 1" descr="https://safetyandquality.gov.au/atlas/" title="Out Now! The Third Australian Atlas of Healthcare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Atlas Website-sliders-opener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4648" cy="2574857"/>
                    </a:xfrm>
                    <a:prstGeom prst="rect">
                      <a:avLst/>
                    </a:prstGeom>
                    <a:noFill/>
                    <a:ln>
                      <a:noFill/>
                    </a:ln>
                  </pic:spPr>
                </pic:pic>
              </a:graphicData>
            </a:graphic>
          </wp:inline>
        </w:drawing>
      </w:r>
    </w:p>
    <w:p w:rsidR="00182979" w:rsidRPr="00182979" w:rsidRDefault="00182979" w:rsidP="00182979">
      <w:pPr>
        <w:rPr>
          <w:rFonts w:ascii="Garamond" w:hAnsi="Garamond"/>
          <w:b/>
          <w:lang w:val="en-AU"/>
        </w:rPr>
      </w:pPr>
      <w:r w:rsidRPr="00182979">
        <w:rPr>
          <w:rFonts w:ascii="Garamond" w:hAnsi="Garamond"/>
          <w:b/>
          <w:lang w:val="en-AU"/>
        </w:rPr>
        <w:lastRenderedPageBreak/>
        <w:t>National Safety and Quality Health Service (NSQHS) Standards (second edition) User Guide for Health Services Providing Care for People with Mental Health Issues</w:t>
      </w:r>
    </w:p>
    <w:p w:rsidR="00182979" w:rsidRDefault="00182979" w:rsidP="00182979">
      <w:pPr>
        <w:rPr>
          <w:rFonts w:ascii="Garamond" w:hAnsi="Garamond"/>
          <w:lang w:val="en-AU"/>
        </w:rPr>
      </w:pPr>
      <w:r w:rsidRPr="00182979">
        <w:rPr>
          <w:rFonts w:ascii="Garamond" w:hAnsi="Garamond"/>
          <w:lang w:val="en-AU"/>
        </w:rPr>
        <w:t>Australian Commission on Safety and Quality in Health Care</w:t>
      </w:r>
    </w:p>
    <w:p w:rsidR="00182979" w:rsidRDefault="00182979" w:rsidP="00182979">
      <w:pPr>
        <w:rPr>
          <w:rFonts w:ascii="Garamond" w:hAnsi="Garamond"/>
          <w:lang w:val="en-AU"/>
        </w:rPr>
      </w:pPr>
      <w:r w:rsidRPr="00182979">
        <w:rPr>
          <w:rFonts w:ascii="Garamond" w:hAnsi="Garamond"/>
          <w:lang w:val="en-AU"/>
        </w:rPr>
        <w:t>Sydney: ACSQHC; 2018. p. 120.</w:t>
      </w:r>
    </w:p>
    <w:p w:rsidR="00182979" w:rsidRDefault="005D1FF8" w:rsidP="00182979">
      <w:pPr>
        <w:rPr>
          <w:rFonts w:ascii="Garamond" w:hAnsi="Garamond"/>
          <w:lang w:val="en-AU"/>
        </w:rPr>
      </w:pPr>
      <w:hyperlink r:id="rId22" w:history="1">
        <w:r w:rsidR="00182979" w:rsidRPr="00C860D6">
          <w:rPr>
            <w:rStyle w:val="Hyperlink"/>
            <w:rFonts w:ascii="Garamond" w:hAnsi="Garamond"/>
            <w:lang w:val="en-AU"/>
          </w:rPr>
          <w:t>https://www.safetyandquality.gov.au/publications/nsqhs-standards-user-guide-for-health-services-providing-care-for-people-with-mental-health-issues/</w:t>
        </w:r>
      </w:hyperlink>
    </w:p>
    <w:p w:rsidR="00182979" w:rsidRPr="00182979" w:rsidRDefault="00182979" w:rsidP="00182979">
      <w:pPr>
        <w:rPr>
          <w:rFonts w:ascii="Garamond" w:hAnsi="Garamond"/>
          <w:lang w:val="en-AU"/>
        </w:rPr>
      </w:pPr>
    </w:p>
    <w:p w:rsidR="00182979" w:rsidRPr="00182979" w:rsidRDefault="00182979" w:rsidP="00182979">
      <w:pPr>
        <w:rPr>
          <w:rFonts w:ascii="Garamond" w:hAnsi="Garamond"/>
          <w:lang w:val="en-AU"/>
        </w:rPr>
      </w:pPr>
      <w:r w:rsidRPr="00182979">
        <w:rPr>
          <w:rFonts w:ascii="Garamond" w:hAnsi="Garamond"/>
          <w:lang w:val="en-AU"/>
        </w:rPr>
        <w:t xml:space="preserve">The Australian Commission on Safety and Quality in Health Care (the Commission) has developed a </w:t>
      </w:r>
      <w:r w:rsidRPr="007D5093">
        <w:rPr>
          <w:rFonts w:ascii="Garamond" w:hAnsi="Garamond"/>
          <w:i/>
          <w:lang w:val="en-AU"/>
        </w:rPr>
        <w:t>National Safety and Quality health Service (NSQHS) Standards (second edition) user guide for health services providing care for people with mental health issues</w:t>
      </w:r>
      <w:r w:rsidRPr="00182979">
        <w:rPr>
          <w:rFonts w:ascii="Garamond" w:hAnsi="Garamond"/>
          <w:lang w:val="en-AU"/>
        </w:rPr>
        <w:t xml:space="preserve"> (the user guide). The Commission </w:t>
      </w:r>
      <w:r>
        <w:rPr>
          <w:rFonts w:ascii="Garamond" w:hAnsi="Garamond"/>
          <w:lang w:val="en-AU"/>
        </w:rPr>
        <w:t>c</w:t>
      </w:r>
      <w:r w:rsidRPr="00182979">
        <w:rPr>
          <w:rFonts w:ascii="Garamond" w:hAnsi="Garamond"/>
          <w:lang w:val="en-AU"/>
        </w:rPr>
        <w:t>onsiders that implementation of the second edition of the NSQHS Standards provides a robust framework for safety and quality in mental health services in public and private hospitals, and community services provided by local health networks. The user guide includes examples of innovative approaches to providing optimal health care for people with comorbid mental and physical health issues.</w:t>
      </w:r>
    </w:p>
    <w:p w:rsidR="00182979" w:rsidRPr="00182979" w:rsidRDefault="00182979" w:rsidP="00182979">
      <w:pPr>
        <w:rPr>
          <w:rFonts w:ascii="Garamond" w:hAnsi="Garamond"/>
          <w:lang w:val="en-AU"/>
        </w:rPr>
      </w:pPr>
    </w:p>
    <w:p w:rsidR="00182979" w:rsidRPr="00182979" w:rsidRDefault="00182979" w:rsidP="00182979">
      <w:pPr>
        <w:rPr>
          <w:rFonts w:ascii="Garamond" w:hAnsi="Garamond"/>
          <w:b/>
          <w:lang w:val="en-AU"/>
        </w:rPr>
      </w:pPr>
      <w:r w:rsidRPr="00182979">
        <w:rPr>
          <w:rFonts w:ascii="Garamond" w:hAnsi="Garamond"/>
          <w:b/>
          <w:lang w:val="en-AU"/>
        </w:rPr>
        <w:t>Map of the National Safety and Quality Health Service (NSQHS) Standards (second edition) with the National Standards for Mental Health Services (NSMHS)</w:t>
      </w:r>
    </w:p>
    <w:p w:rsidR="00182979" w:rsidRDefault="00182979" w:rsidP="00182979">
      <w:pPr>
        <w:rPr>
          <w:rFonts w:ascii="Garamond" w:hAnsi="Garamond"/>
          <w:lang w:val="en-AU"/>
        </w:rPr>
      </w:pPr>
      <w:r w:rsidRPr="00182979">
        <w:rPr>
          <w:rFonts w:ascii="Garamond" w:hAnsi="Garamond"/>
          <w:lang w:val="en-AU"/>
        </w:rPr>
        <w:t>Australian Commission on Safety and Quality in Health Care</w:t>
      </w:r>
    </w:p>
    <w:p w:rsidR="00182979" w:rsidRDefault="00182979" w:rsidP="00182979">
      <w:pPr>
        <w:rPr>
          <w:rFonts w:ascii="Garamond" w:hAnsi="Garamond"/>
          <w:lang w:val="en-AU"/>
        </w:rPr>
      </w:pPr>
      <w:r w:rsidRPr="00182979">
        <w:rPr>
          <w:rFonts w:ascii="Garamond" w:hAnsi="Garamond"/>
          <w:lang w:val="en-AU"/>
        </w:rPr>
        <w:t>Sydney: ACSQHC; 2018. p. 125.</w:t>
      </w:r>
    </w:p>
    <w:p w:rsidR="00182979" w:rsidRDefault="005D1FF8" w:rsidP="00182979">
      <w:pPr>
        <w:rPr>
          <w:rFonts w:ascii="Garamond" w:hAnsi="Garamond"/>
          <w:lang w:val="en-AU"/>
        </w:rPr>
      </w:pPr>
      <w:hyperlink r:id="rId23" w:history="1">
        <w:r w:rsidR="00182979" w:rsidRPr="00C860D6">
          <w:rPr>
            <w:rStyle w:val="Hyperlink"/>
            <w:rFonts w:ascii="Garamond" w:hAnsi="Garamond"/>
            <w:lang w:val="en-AU"/>
          </w:rPr>
          <w:t>https://www.safetyandquality.gov.au/publications/map-of-the-second-edition-of-the-national-safety-and-quality-health-service-standards-with-the-national-standards-for-mental-health-services/</w:t>
        </w:r>
      </w:hyperlink>
      <w:r w:rsidR="00182979">
        <w:rPr>
          <w:rFonts w:ascii="Garamond" w:hAnsi="Garamond"/>
          <w:lang w:val="en-AU"/>
        </w:rPr>
        <w:t xml:space="preserve"> </w:t>
      </w:r>
    </w:p>
    <w:p w:rsidR="00182979" w:rsidRPr="00182979" w:rsidRDefault="00182979" w:rsidP="00182979">
      <w:pPr>
        <w:rPr>
          <w:rFonts w:ascii="Garamond" w:hAnsi="Garamond"/>
          <w:lang w:val="en-AU"/>
        </w:rPr>
      </w:pPr>
    </w:p>
    <w:p w:rsidR="00182979" w:rsidRPr="00182979" w:rsidRDefault="00182979" w:rsidP="00182979">
      <w:pPr>
        <w:rPr>
          <w:rFonts w:ascii="Garamond" w:hAnsi="Garamond"/>
          <w:lang w:val="en-AU"/>
        </w:rPr>
      </w:pPr>
      <w:r w:rsidRPr="00182979">
        <w:rPr>
          <w:rFonts w:ascii="Garamond" w:hAnsi="Garamond"/>
          <w:lang w:val="en-AU"/>
        </w:rPr>
        <w:t xml:space="preserve">The Australian Commission on Safety and Quality in Health Care has released the </w:t>
      </w:r>
      <w:r w:rsidRPr="007D5093">
        <w:rPr>
          <w:rFonts w:ascii="Garamond" w:hAnsi="Garamond"/>
          <w:i/>
          <w:lang w:val="en-AU"/>
        </w:rPr>
        <w:t>Map of the National Safety and Quality Health Service (NSQHS) Standards (second edition) with the National Standards for Mental Health Services (NSMHS)</w:t>
      </w:r>
      <w:r w:rsidRPr="00182979">
        <w:rPr>
          <w:rFonts w:ascii="Garamond" w:hAnsi="Garamond"/>
          <w:lang w:val="en-AU"/>
        </w:rPr>
        <w:t>. This document maps the second edition of the NSQHS Standards with the NSMHS to demonstrate to mental health stakeholders the extent of alignment between the two sets of national standards.</w:t>
      </w:r>
    </w:p>
    <w:p w:rsidR="00182979" w:rsidRDefault="00182979">
      <w:pPr>
        <w:rPr>
          <w:rFonts w:ascii="Garamond" w:hAnsi="Garamond"/>
          <w:b/>
          <w:lang w:val="en-AU"/>
        </w:rPr>
      </w:pPr>
    </w:p>
    <w:p w:rsidR="0055445F" w:rsidRDefault="0055445F">
      <w:pPr>
        <w:rPr>
          <w:rFonts w:ascii="Garamond" w:hAnsi="Garamond"/>
          <w:b/>
          <w:lang w:val="en-AU"/>
        </w:rPr>
      </w:pPr>
    </w:p>
    <w:p w:rsidR="0055445F" w:rsidRDefault="0055445F">
      <w:pPr>
        <w:rPr>
          <w:rFonts w:ascii="Garamond" w:hAnsi="Garamond"/>
          <w:b/>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1D3352" w:rsidRPr="00853A79" w:rsidRDefault="00853A79" w:rsidP="00C3692E">
      <w:pPr>
        <w:keepLines/>
        <w:autoSpaceDE w:val="0"/>
        <w:autoSpaceDN w:val="0"/>
        <w:adjustRightInd w:val="0"/>
        <w:rPr>
          <w:rFonts w:ascii="Garamond" w:hAnsi="Garamond"/>
          <w:i/>
          <w:lang w:val="en-AU"/>
        </w:rPr>
      </w:pPr>
      <w:r w:rsidRPr="00853A79">
        <w:rPr>
          <w:rFonts w:ascii="Garamond" w:hAnsi="Garamond"/>
          <w:i/>
          <w:lang w:val="en-AU"/>
        </w:rPr>
        <w:t>Framework for Effective Board Governance of Health System Quality</w:t>
      </w:r>
      <w:r w:rsidR="00362B77">
        <w:rPr>
          <w:rFonts w:ascii="Garamond" w:hAnsi="Garamond"/>
          <w:i/>
          <w:lang w:val="en-AU"/>
        </w:rPr>
        <w:t>. IHI White Paper</w:t>
      </w:r>
    </w:p>
    <w:p w:rsidR="00362B77" w:rsidRDefault="00362B77" w:rsidP="00C3692E">
      <w:pPr>
        <w:keepLines/>
        <w:autoSpaceDE w:val="0"/>
        <w:autoSpaceDN w:val="0"/>
        <w:adjustRightInd w:val="0"/>
        <w:rPr>
          <w:rFonts w:ascii="Garamond" w:hAnsi="Garamond"/>
          <w:lang w:val="en-AU"/>
        </w:rPr>
      </w:pPr>
      <w:r w:rsidRPr="00362B77">
        <w:rPr>
          <w:rFonts w:ascii="Garamond" w:hAnsi="Garamond"/>
          <w:lang w:val="en-AU"/>
        </w:rPr>
        <w:t>Daley Ullem E, Gandhi TK, Mate K, Whittington J, Renton M, Huebner J</w:t>
      </w:r>
    </w:p>
    <w:p w:rsidR="00853A79" w:rsidRDefault="00362B77" w:rsidP="00C3692E">
      <w:pPr>
        <w:keepLines/>
        <w:autoSpaceDE w:val="0"/>
        <w:autoSpaceDN w:val="0"/>
        <w:adjustRightInd w:val="0"/>
        <w:rPr>
          <w:rFonts w:ascii="Garamond" w:hAnsi="Garamond"/>
          <w:lang w:val="en-AU"/>
        </w:rPr>
      </w:pPr>
      <w:r w:rsidRPr="00362B77">
        <w:rPr>
          <w:rFonts w:ascii="Garamond" w:hAnsi="Garamond"/>
          <w:lang w:val="en-AU"/>
        </w:rPr>
        <w:t>Boston: Institute for Healthcare Improvement; 2018. p. 36.</w:t>
      </w:r>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D335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6637" w:rsidRPr="000170DA" w:rsidRDefault="005D1FF8" w:rsidP="00853A79">
            <w:pPr>
              <w:rPr>
                <w:rStyle w:val="Hyperlink"/>
                <w:rFonts w:ascii="Garamond" w:hAnsi="Garamond"/>
                <w:color w:val="auto"/>
                <w:u w:val="none"/>
                <w:lang w:val="en-AU"/>
              </w:rPr>
            </w:pPr>
            <w:hyperlink r:id="rId24" w:history="1">
              <w:r w:rsidR="00853A79" w:rsidRPr="00D44627">
                <w:rPr>
                  <w:rStyle w:val="Hyperlink"/>
                  <w:rFonts w:ascii="Garamond" w:hAnsi="Garamond"/>
                  <w:lang w:val="en-AU"/>
                </w:rPr>
                <w:t>https://www.ihi.org/resources/Pages/IHIWhitePapers/Framework-Effective-Board-Governance-Health-System-Quality.aspx</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2B77" w:rsidRPr="00362B77" w:rsidRDefault="00362B77" w:rsidP="00362B77">
            <w:pPr>
              <w:rPr>
                <w:rFonts w:ascii="Garamond" w:hAnsi="Garamond"/>
                <w:lang w:val="en-AU"/>
              </w:rPr>
            </w:pPr>
            <w:r>
              <w:rPr>
                <w:rFonts w:ascii="Garamond" w:hAnsi="Garamond"/>
                <w:lang w:val="en-AU"/>
              </w:rPr>
              <w:t xml:space="preserve">The US-based Institute for Healthcare Innovation (IHI) has developed this white paper to aid </w:t>
            </w:r>
            <w:r w:rsidRPr="00362B77">
              <w:rPr>
                <w:rFonts w:ascii="Garamond" w:hAnsi="Garamond"/>
                <w:lang w:val="en-AU"/>
              </w:rPr>
              <w:t>health system leaders and boards use their governance time effectively</w:t>
            </w:r>
            <w:r>
              <w:rPr>
                <w:rFonts w:ascii="Garamond" w:hAnsi="Garamond"/>
                <w:lang w:val="en-AU"/>
              </w:rPr>
              <w:t xml:space="preserve">. The </w:t>
            </w:r>
            <w:r w:rsidRPr="00362B77">
              <w:rPr>
                <w:rFonts w:ascii="Garamond" w:hAnsi="Garamond"/>
                <w:lang w:val="en-AU"/>
              </w:rPr>
              <w:t xml:space="preserve">white paper </w:t>
            </w:r>
            <w:r>
              <w:rPr>
                <w:rFonts w:ascii="Garamond" w:hAnsi="Garamond"/>
                <w:lang w:val="en-AU"/>
              </w:rPr>
              <w:t xml:space="preserve">has </w:t>
            </w:r>
            <w:r w:rsidRPr="00362B77">
              <w:rPr>
                <w:rFonts w:ascii="Garamond" w:hAnsi="Garamond"/>
                <w:lang w:val="en-AU"/>
              </w:rPr>
              <w:t>three components:</w:t>
            </w:r>
          </w:p>
          <w:p w:rsidR="00362B77" w:rsidRDefault="00362B77" w:rsidP="00362B77">
            <w:pPr>
              <w:pStyle w:val="ListParagraph"/>
              <w:numPr>
                <w:ilvl w:val="0"/>
                <w:numId w:val="35"/>
              </w:numPr>
              <w:rPr>
                <w:rFonts w:ascii="Garamond" w:hAnsi="Garamond"/>
                <w:lang w:val="en-AU"/>
              </w:rPr>
            </w:pPr>
            <w:r w:rsidRPr="00362B77">
              <w:rPr>
                <w:rFonts w:ascii="Garamond" w:hAnsi="Garamond"/>
                <w:b/>
                <w:lang w:val="en-AU"/>
              </w:rPr>
              <w:t>Framework for Governance of Health System Quality</w:t>
            </w:r>
          </w:p>
          <w:p w:rsidR="00E66CB7" w:rsidRPr="00E66CB7" w:rsidRDefault="00362B77" w:rsidP="00362B77">
            <w:pPr>
              <w:pStyle w:val="ListParagraph"/>
              <w:numPr>
                <w:ilvl w:val="0"/>
                <w:numId w:val="35"/>
              </w:numPr>
              <w:rPr>
                <w:rFonts w:ascii="Garamond" w:hAnsi="Garamond"/>
                <w:lang w:val="en-AU"/>
              </w:rPr>
            </w:pPr>
            <w:r w:rsidRPr="00E66CB7">
              <w:rPr>
                <w:rFonts w:ascii="Garamond" w:hAnsi="Garamond"/>
                <w:b/>
                <w:lang w:val="en-AU"/>
              </w:rPr>
              <w:t>Governance of Quality Assessment</w:t>
            </w:r>
          </w:p>
          <w:p w:rsidR="00362B77" w:rsidRPr="00E66CB7" w:rsidRDefault="00362B77" w:rsidP="00362B77">
            <w:pPr>
              <w:pStyle w:val="ListParagraph"/>
              <w:numPr>
                <w:ilvl w:val="0"/>
                <w:numId w:val="35"/>
              </w:numPr>
              <w:rPr>
                <w:rFonts w:ascii="Garamond" w:hAnsi="Garamond"/>
                <w:lang w:val="en-AU"/>
              </w:rPr>
            </w:pPr>
            <w:r w:rsidRPr="00E66CB7">
              <w:rPr>
                <w:rFonts w:ascii="Garamond" w:hAnsi="Garamond"/>
                <w:lang w:val="en-AU"/>
              </w:rPr>
              <w:t xml:space="preserve">Three </w:t>
            </w:r>
            <w:r w:rsidRPr="00E66CB7">
              <w:rPr>
                <w:rFonts w:ascii="Garamond" w:hAnsi="Garamond"/>
                <w:b/>
                <w:lang w:val="en-AU"/>
              </w:rPr>
              <w:t>Support Guides</w:t>
            </w:r>
            <w:r w:rsidRPr="00E66CB7">
              <w:rPr>
                <w:rFonts w:ascii="Garamond" w:hAnsi="Garamond"/>
                <w:lang w:val="en-AU"/>
              </w:rPr>
              <w:t xml:space="preserve">: </w:t>
            </w:r>
            <w:r w:rsidRPr="00E66CB7">
              <w:rPr>
                <w:rFonts w:ascii="Garamond" w:hAnsi="Garamond"/>
                <w:i/>
                <w:lang w:val="en-AU"/>
              </w:rPr>
              <w:t>Core Quality Knowledge</w:t>
            </w:r>
            <w:r w:rsidRPr="00E66CB7">
              <w:rPr>
                <w:rFonts w:ascii="Garamond" w:hAnsi="Garamond"/>
                <w:lang w:val="en-AU"/>
              </w:rPr>
              <w:t xml:space="preserve">, </w:t>
            </w:r>
            <w:r w:rsidRPr="00E66CB7">
              <w:rPr>
                <w:rFonts w:ascii="Garamond" w:hAnsi="Garamond"/>
                <w:i/>
                <w:lang w:val="en-AU"/>
              </w:rPr>
              <w:t>Core Improvement System Knowledge</w:t>
            </w:r>
            <w:r w:rsidRPr="00E66CB7">
              <w:rPr>
                <w:rFonts w:ascii="Garamond" w:hAnsi="Garamond"/>
                <w:lang w:val="en-AU"/>
              </w:rPr>
              <w:t xml:space="preserve">, and </w:t>
            </w:r>
            <w:r w:rsidRPr="00E66CB7">
              <w:rPr>
                <w:rFonts w:ascii="Garamond" w:hAnsi="Garamond"/>
                <w:i/>
                <w:lang w:val="en-AU"/>
              </w:rPr>
              <w:t>Board Culture and Commitment to Quality</w:t>
            </w:r>
            <w:r w:rsidR="007D5093">
              <w:rPr>
                <w:rFonts w:ascii="Garamond" w:hAnsi="Garamond"/>
                <w:i/>
                <w:lang w:val="en-AU"/>
              </w:rPr>
              <w:t>.</w:t>
            </w:r>
          </w:p>
          <w:p w:rsidR="00362B77" w:rsidRPr="00DC06D2" w:rsidRDefault="00362B77" w:rsidP="00E66CB7">
            <w:pPr>
              <w:rPr>
                <w:rFonts w:ascii="Garamond" w:hAnsi="Garamond"/>
                <w:lang w:val="en-AU"/>
              </w:rPr>
            </w:pPr>
            <w:r w:rsidRPr="00362B77">
              <w:rPr>
                <w:rFonts w:ascii="Garamond" w:hAnsi="Garamond"/>
                <w:lang w:val="en-AU"/>
              </w:rPr>
              <w:t>The framework, assessment tool, and support guides aim to reduce variation in and clarify trustee responsibilities for quality oversight, and also serve as practical tools for trustees and the health system leaders who support them to govern quality in a way that will deliver better care to patients and communities.</w:t>
            </w:r>
            <w:r w:rsidR="00E66CB7">
              <w:rPr>
                <w:rFonts w:ascii="Garamond" w:hAnsi="Garamond"/>
                <w:lang w:val="en-AU"/>
              </w:rPr>
              <w:t xml:space="preserve"> Safety and quality need to core responsibilities for the governing bodies and boards of health systems, not an add-on or ‘nice to have’.</w:t>
            </w:r>
          </w:p>
        </w:tc>
      </w:tr>
    </w:tbl>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16673A" w:rsidRDefault="0016673A" w:rsidP="0016673A">
      <w:pPr>
        <w:keepNext/>
        <w:keepLines/>
        <w:autoSpaceDE w:val="0"/>
        <w:autoSpaceDN w:val="0"/>
        <w:adjustRightInd w:val="0"/>
        <w:rPr>
          <w:rFonts w:ascii="Garamond" w:hAnsi="Garamond"/>
          <w:i/>
          <w:lang w:val="en-AU"/>
        </w:rPr>
      </w:pPr>
    </w:p>
    <w:p w:rsidR="00985853" w:rsidRPr="006357FE" w:rsidRDefault="00985853" w:rsidP="00985853">
      <w:pPr>
        <w:keepNext/>
        <w:keepLines/>
        <w:autoSpaceDE w:val="0"/>
        <w:autoSpaceDN w:val="0"/>
        <w:adjustRightInd w:val="0"/>
        <w:rPr>
          <w:rFonts w:ascii="Garamond" w:hAnsi="Garamond"/>
          <w:i/>
          <w:lang w:val="en-AU"/>
        </w:rPr>
      </w:pPr>
      <w:r w:rsidRPr="006357FE">
        <w:rPr>
          <w:rFonts w:ascii="Garamond" w:hAnsi="Garamond"/>
          <w:i/>
          <w:lang w:val="en-AU"/>
        </w:rPr>
        <w:t>The curious case of Patient K</w:t>
      </w:r>
    </w:p>
    <w:p w:rsidR="00985853" w:rsidRPr="006357FE" w:rsidRDefault="00985853" w:rsidP="00985853">
      <w:pPr>
        <w:keepNext/>
        <w:keepLines/>
        <w:autoSpaceDE w:val="0"/>
        <w:autoSpaceDN w:val="0"/>
        <w:adjustRightInd w:val="0"/>
        <w:rPr>
          <w:rFonts w:ascii="Garamond" w:hAnsi="Garamond"/>
          <w:lang w:val="en-AU"/>
        </w:rPr>
      </w:pPr>
      <w:r w:rsidRPr="006357FE">
        <w:rPr>
          <w:rFonts w:ascii="Garamond" w:hAnsi="Garamond"/>
          <w:lang w:val="en-AU"/>
        </w:rPr>
        <w:t>Ron Elisha</w:t>
      </w:r>
    </w:p>
    <w:p w:rsidR="00985853" w:rsidRDefault="00985853" w:rsidP="00985853">
      <w:pPr>
        <w:keepNext/>
        <w:keepLines/>
        <w:autoSpaceDE w:val="0"/>
        <w:autoSpaceDN w:val="0"/>
        <w:adjustRightInd w:val="0"/>
        <w:rPr>
          <w:rFonts w:ascii="Garamond" w:hAnsi="Garamond"/>
          <w:lang w:val="en-AU"/>
        </w:rPr>
      </w:pPr>
      <w:r w:rsidRPr="006357FE">
        <w:rPr>
          <w:rFonts w:ascii="Garamond" w:hAnsi="Garamond"/>
          <w:lang w:val="en-AU"/>
        </w:rPr>
        <w:t>Medical Journal of Australia. 2018;209(11):501-2.</w:t>
      </w:r>
    </w:p>
    <w:p w:rsidR="00985853" w:rsidRDefault="00985853" w:rsidP="00985853">
      <w:pPr>
        <w:keepNext/>
        <w:keepLines/>
        <w:autoSpaceDE w:val="0"/>
        <w:autoSpaceDN w:val="0"/>
        <w:adjustRightInd w:val="0"/>
        <w:rPr>
          <w:rFonts w:ascii="Garamond" w:hAnsi="Garamond"/>
          <w:lang w:val="en-AU"/>
        </w:rPr>
      </w:pPr>
    </w:p>
    <w:p w:rsidR="00985853" w:rsidRPr="006357FE" w:rsidRDefault="00985853" w:rsidP="00985853">
      <w:pPr>
        <w:keepNext/>
        <w:keepLines/>
        <w:autoSpaceDE w:val="0"/>
        <w:autoSpaceDN w:val="0"/>
        <w:adjustRightInd w:val="0"/>
        <w:rPr>
          <w:rFonts w:ascii="Garamond" w:hAnsi="Garamond"/>
          <w:i/>
          <w:lang w:val="en-AU"/>
        </w:rPr>
      </w:pPr>
      <w:r w:rsidRPr="006357FE">
        <w:rPr>
          <w:rFonts w:ascii="Garamond" w:hAnsi="Garamond"/>
          <w:i/>
          <w:lang w:val="en-AU"/>
        </w:rPr>
        <w:t>The emergence and characteristics of the Australian Mamil</w:t>
      </w:r>
    </w:p>
    <w:p w:rsidR="00985853" w:rsidRDefault="00985853" w:rsidP="00985853">
      <w:pPr>
        <w:keepNext/>
        <w:keepLines/>
        <w:autoSpaceDE w:val="0"/>
        <w:autoSpaceDN w:val="0"/>
        <w:adjustRightInd w:val="0"/>
        <w:rPr>
          <w:rFonts w:ascii="Garamond" w:hAnsi="Garamond"/>
          <w:lang w:val="en-AU"/>
        </w:rPr>
      </w:pPr>
      <w:r w:rsidRPr="006357FE">
        <w:rPr>
          <w:rFonts w:ascii="Garamond" w:hAnsi="Garamond"/>
          <w:lang w:val="en-AU"/>
        </w:rPr>
        <w:t>Bauman AE, Blazek K, Reece L, Bellew W</w:t>
      </w:r>
    </w:p>
    <w:p w:rsidR="00985853" w:rsidRDefault="00985853" w:rsidP="00985853">
      <w:pPr>
        <w:keepNext/>
        <w:keepLines/>
        <w:autoSpaceDE w:val="0"/>
        <w:autoSpaceDN w:val="0"/>
        <w:adjustRightInd w:val="0"/>
        <w:rPr>
          <w:rFonts w:ascii="Garamond" w:hAnsi="Garamond"/>
          <w:lang w:val="en-AU"/>
        </w:rPr>
      </w:pPr>
      <w:r w:rsidRPr="006357FE">
        <w:rPr>
          <w:rFonts w:ascii="Garamond" w:hAnsi="Garamond"/>
          <w:lang w:val="en-AU"/>
        </w:rPr>
        <w:t>Medical Journal of Australia. 2018;209(11):490-4.</w:t>
      </w:r>
    </w:p>
    <w:p w:rsidR="00985853" w:rsidRDefault="00985853" w:rsidP="00985853">
      <w:pPr>
        <w:keepNext/>
        <w:keepLines/>
        <w:autoSpaceDE w:val="0"/>
        <w:autoSpaceDN w:val="0"/>
        <w:adjustRightInd w:val="0"/>
        <w:rPr>
          <w:rFonts w:ascii="Garamond" w:hAnsi="Garamond"/>
          <w:lang w:val="en-AU"/>
        </w:rPr>
      </w:pPr>
    </w:p>
    <w:p w:rsidR="00985853" w:rsidRPr="00EB0565" w:rsidRDefault="00985853" w:rsidP="00985853">
      <w:pPr>
        <w:keepNext/>
        <w:keepLines/>
        <w:autoSpaceDE w:val="0"/>
        <w:autoSpaceDN w:val="0"/>
        <w:adjustRightInd w:val="0"/>
        <w:rPr>
          <w:rFonts w:ascii="Garamond" w:hAnsi="Garamond"/>
          <w:i/>
          <w:lang w:val="en-AU"/>
        </w:rPr>
      </w:pPr>
      <w:r w:rsidRPr="00EB0565">
        <w:rPr>
          <w:rFonts w:ascii="Garamond" w:hAnsi="Garamond"/>
          <w:i/>
          <w:lang w:val="en-AU"/>
        </w:rPr>
        <w:t>Licence to swill: James Bond’s drinking over six decades</w:t>
      </w:r>
    </w:p>
    <w:p w:rsidR="00985853" w:rsidRDefault="00985853" w:rsidP="00985853">
      <w:pPr>
        <w:keepNext/>
        <w:keepLines/>
        <w:autoSpaceDE w:val="0"/>
        <w:autoSpaceDN w:val="0"/>
        <w:adjustRightInd w:val="0"/>
        <w:rPr>
          <w:rFonts w:ascii="Garamond" w:hAnsi="Garamond"/>
          <w:lang w:val="en-AU"/>
        </w:rPr>
      </w:pPr>
      <w:r w:rsidRPr="00EB0565">
        <w:rPr>
          <w:rFonts w:ascii="Garamond" w:hAnsi="Garamond"/>
          <w:lang w:val="en-AU"/>
        </w:rPr>
        <w:t>Wilson N, Tucker A, Heath D, Scarborough P</w:t>
      </w:r>
    </w:p>
    <w:p w:rsidR="00985853" w:rsidRDefault="00985853" w:rsidP="00985853">
      <w:pPr>
        <w:keepNext/>
        <w:keepLines/>
        <w:autoSpaceDE w:val="0"/>
        <w:autoSpaceDN w:val="0"/>
        <w:adjustRightInd w:val="0"/>
        <w:rPr>
          <w:rFonts w:ascii="Garamond" w:hAnsi="Garamond"/>
          <w:lang w:val="en-AU"/>
        </w:rPr>
      </w:pPr>
      <w:r w:rsidRPr="00EB0565">
        <w:rPr>
          <w:rFonts w:ascii="Garamond" w:hAnsi="Garamond"/>
          <w:lang w:val="en-AU"/>
        </w:rPr>
        <w:t>Medical Journal of Australia. 2018;209(11):495-500.</w:t>
      </w:r>
    </w:p>
    <w:p w:rsidR="00985853" w:rsidRDefault="00985853" w:rsidP="00985853">
      <w:pPr>
        <w:keepNext/>
        <w:keepLines/>
        <w:autoSpaceDE w:val="0"/>
        <w:autoSpaceDN w:val="0"/>
        <w:adjustRightInd w:val="0"/>
        <w:rPr>
          <w:rFonts w:ascii="Garamond" w:hAnsi="Garamond"/>
          <w:lang w:val="en-AU"/>
        </w:rPr>
      </w:pPr>
    </w:p>
    <w:p w:rsidR="00985853" w:rsidRPr="00EB0565" w:rsidRDefault="00985853" w:rsidP="00985853">
      <w:pPr>
        <w:keepNext/>
        <w:keepLines/>
        <w:autoSpaceDE w:val="0"/>
        <w:autoSpaceDN w:val="0"/>
        <w:adjustRightInd w:val="0"/>
        <w:rPr>
          <w:rFonts w:ascii="Garamond" w:hAnsi="Garamond"/>
          <w:i/>
          <w:lang w:val="en-AU"/>
        </w:rPr>
      </w:pPr>
      <w:r w:rsidRPr="00EB0565">
        <w:rPr>
          <w:rFonts w:ascii="Garamond" w:hAnsi="Garamond"/>
          <w:i/>
          <w:lang w:val="en-AU"/>
        </w:rPr>
        <w:t>The Observational Physician and surGEon Automobile Response (TOP GEAR) survey</w:t>
      </w:r>
    </w:p>
    <w:p w:rsidR="00985853" w:rsidRDefault="00985853" w:rsidP="00985853">
      <w:pPr>
        <w:keepNext/>
        <w:keepLines/>
        <w:autoSpaceDE w:val="0"/>
        <w:autoSpaceDN w:val="0"/>
        <w:adjustRightInd w:val="0"/>
        <w:rPr>
          <w:rFonts w:ascii="Garamond" w:hAnsi="Garamond"/>
          <w:lang w:val="en-AU"/>
        </w:rPr>
      </w:pPr>
      <w:r w:rsidRPr="00EB0565">
        <w:rPr>
          <w:rFonts w:ascii="Garamond" w:hAnsi="Garamond"/>
          <w:lang w:val="en-AU"/>
        </w:rPr>
        <w:t>Ellis M, Sun M, Wood M, Chan W</w:t>
      </w:r>
    </w:p>
    <w:p w:rsidR="00985853" w:rsidRDefault="00985853" w:rsidP="00985853">
      <w:pPr>
        <w:keepNext/>
        <w:keepLines/>
        <w:autoSpaceDE w:val="0"/>
        <w:autoSpaceDN w:val="0"/>
        <w:adjustRightInd w:val="0"/>
        <w:rPr>
          <w:rFonts w:ascii="Garamond" w:hAnsi="Garamond"/>
          <w:lang w:val="en-AU"/>
        </w:rPr>
      </w:pPr>
      <w:r w:rsidRPr="00EB0565">
        <w:rPr>
          <w:rFonts w:ascii="Garamond" w:hAnsi="Garamond"/>
          <w:lang w:val="en-AU"/>
        </w:rPr>
        <w:t>Medical Journal of Australia. 2018;209(11):503-5.</w:t>
      </w:r>
    </w:p>
    <w:p w:rsidR="00985853" w:rsidRDefault="00985853" w:rsidP="00985853">
      <w:pPr>
        <w:keepNext/>
        <w:keepLines/>
        <w:autoSpaceDE w:val="0"/>
        <w:autoSpaceDN w:val="0"/>
        <w:adjustRightInd w:val="0"/>
        <w:rPr>
          <w:rFonts w:ascii="Garamond" w:hAnsi="Garamond"/>
          <w:lang w:val="en-AU"/>
        </w:rPr>
      </w:pPr>
    </w:p>
    <w:p w:rsidR="00F4232D" w:rsidRPr="00F321B0" w:rsidRDefault="00F4232D" w:rsidP="00F4232D">
      <w:pPr>
        <w:keepNext/>
        <w:keepLines/>
        <w:autoSpaceDE w:val="0"/>
        <w:autoSpaceDN w:val="0"/>
        <w:adjustRightInd w:val="0"/>
        <w:rPr>
          <w:rFonts w:ascii="Garamond" w:hAnsi="Garamond"/>
          <w:i/>
          <w:lang w:val="en-AU"/>
        </w:rPr>
      </w:pPr>
      <w:r w:rsidRPr="00F321B0">
        <w:rPr>
          <w:rFonts w:ascii="Garamond" w:hAnsi="Garamond"/>
          <w:i/>
          <w:lang w:val="en-AU"/>
        </w:rPr>
        <w:t>Parachute use to prevent death and major trauma when jumping from aircraft: randomized controlled trial</w:t>
      </w:r>
    </w:p>
    <w:p w:rsidR="00985853" w:rsidRDefault="00985853" w:rsidP="00985853">
      <w:pPr>
        <w:keepNext/>
        <w:keepLines/>
        <w:autoSpaceDE w:val="0"/>
        <w:autoSpaceDN w:val="0"/>
        <w:adjustRightInd w:val="0"/>
        <w:rPr>
          <w:rFonts w:ascii="Garamond" w:hAnsi="Garamond"/>
          <w:lang w:val="en-AU"/>
        </w:rPr>
      </w:pPr>
      <w:proofErr w:type="spellStart"/>
      <w:r w:rsidRPr="00F321B0">
        <w:rPr>
          <w:rFonts w:ascii="Garamond" w:hAnsi="Garamond"/>
          <w:lang w:val="en-AU"/>
        </w:rPr>
        <w:t>Yeh</w:t>
      </w:r>
      <w:proofErr w:type="spellEnd"/>
      <w:r w:rsidRPr="00F321B0">
        <w:rPr>
          <w:rFonts w:ascii="Garamond" w:hAnsi="Garamond"/>
          <w:lang w:val="en-AU"/>
        </w:rPr>
        <w:t xml:space="preserve"> RW, </w:t>
      </w:r>
      <w:proofErr w:type="spellStart"/>
      <w:r w:rsidRPr="00F321B0">
        <w:rPr>
          <w:rFonts w:ascii="Garamond" w:hAnsi="Garamond"/>
          <w:lang w:val="en-AU"/>
        </w:rPr>
        <w:t>Valsdottir</w:t>
      </w:r>
      <w:proofErr w:type="spellEnd"/>
      <w:r w:rsidRPr="00F321B0">
        <w:rPr>
          <w:rFonts w:ascii="Garamond" w:hAnsi="Garamond"/>
          <w:lang w:val="en-AU"/>
        </w:rPr>
        <w:t xml:space="preserve"> LR, </w:t>
      </w:r>
      <w:proofErr w:type="spellStart"/>
      <w:r w:rsidRPr="00F321B0">
        <w:rPr>
          <w:rFonts w:ascii="Garamond" w:hAnsi="Garamond"/>
          <w:lang w:val="en-AU"/>
        </w:rPr>
        <w:t>Yeh</w:t>
      </w:r>
      <w:proofErr w:type="spellEnd"/>
      <w:r w:rsidRPr="00F321B0">
        <w:rPr>
          <w:rFonts w:ascii="Garamond" w:hAnsi="Garamond"/>
          <w:lang w:val="en-AU"/>
        </w:rPr>
        <w:t xml:space="preserve"> MW, Shen C, Kramer DB, Strom JB, et al</w:t>
      </w:r>
    </w:p>
    <w:p w:rsidR="00985853" w:rsidRPr="00E566B0" w:rsidRDefault="00985853" w:rsidP="00985853">
      <w:pPr>
        <w:keepNext/>
        <w:keepLines/>
        <w:autoSpaceDE w:val="0"/>
        <w:autoSpaceDN w:val="0"/>
        <w:adjustRightInd w:val="0"/>
        <w:rPr>
          <w:rFonts w:ascii="Garamond" w:hAnsi="Garamond"/>
          <w:lang w:val="en-AU"/>
        </w:rPr>
      </w:pPr>
      <w:proofErr w:type="gramStart"/>
      <w:r w:rsidRPr="00F321B0">
        <w:rPr>
          <w:rFonts w:ascii="Garamond" w:hAnsi="Garamond"/>
          <w:lang w:val="en-AU"/>
        </w:rPr>
        <w:t>BMJ.</w:t>
      </w:r>
      <w:proofErr w:type="gramEnd"/>
      <w:r w:rsidRPr="00F321B0">
        <w:rPr>
          <w:rFonts w:ascii="Garamond" w:hAnsi="Garamond"/>
          <w:lang w:val="en-AU"/>
        </w:rPr>
        <w:t xml:space="preserve"> 2018;363:k5094.</w:t>
      </w:r>
    </w:p>
    <w:tbl>
      <w:tblPr>
        <w:tblStyle w:val="TableGrid"/>
        <w:tblW w:w="0" w:type="auto"/>
        <w:tblInd w:w="288" w:type="dxa"/>
        <w:tblLayout w:type="fixed"/>
        <w:tblLook w:val="01E0" w:firstRow="1" w:lastRow="1" w:firstColumn="1" w:lastColumn="1" w:noHBand="0" w:noVBand="0"/>
      </w:tblPr>
      <w:tblGrid>
        <w:gridCol w:w="1080"/>
        <w:gridCol w:w="8280"/>
      </w:tblGrid>
      <w:tr w:rsidR="00985853" w:rsidRPr="000170DA" w:rsidTr="00F04F5F">
        <w:tc>
          <w:tcPr>
            <w:tcW w:w="1080" w:type="dxa"/>
            <w:tcBorders>
              <w:top w:val="single" w:sz="4" w:space="0" w:color="auto"/>
              <w:left w:val="single" w:sz="4" w:space="0" w:color="auto"/>
              <w:bottom w:val="single" w:sz="4" w:space="0" w:color="auto"/>
              <w:right w:val="single" w:sz="4" w:space="0" w:color="auto"/>
            </w:tcBorders>
            <w:vAlign w:val="center"/>
          </w:tcPr>
          <w:p w:rsidR="00985853" w:rsidRPr="000170DA" w:rsidRDefault="00985853" w:rsidP="00F04F5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85853" w:rsidRDefault="00985853" w:rsidP="00F04F5F">
            <w:pPr>
              <w:rPr>
                <w:rFonts w:ascii="Garamond" w:hAnsi="Garamond"/>
                <w:lang w:val="en-AU"/>
              </w:rPr>
            </w:pPr>
            <w:r>
              <w:rPr>
                <w:rFonts w:ascii="Garamond" w:hAnsi="Garamond"/>
                <w:lang w:val="en-AU"/>
              </w:rPr>
              <w:t xml:space="preserve">Elisha </w:t>
            </w:r>
            <w:hyperlink r:id="rId25" w:history="1">
              <w:r w:rsidRPr="00BA579C">
                <w:rPr>
                  <w:rStyle w:val="Hyperlink"/>
                  <w:rFonts w:ascii="Garamond" w:hAnsi="Garamond"/>
                  <w:lang w:val="en-AU"/>
                </w:rPr>
                <w:t>https://doi.org/10.5694/mja18.00962</w:t>
              </w:r>
            </w:hyperlink>
          </w:p>
          <w:p w:rsidR="00985853" w:rsidRDefault="00985853" w:rsidP="00F04F5F">
            <w:pPr>
              <w:rPr>
                <w:rFonts w:ascii="Garamond" w:hAnsi="Garamond"/>
                <w:lang w:val="en-AU"/>
              </w:rPr>
            </w:pPr>
            <w:r>
              <w:rPr>
                <w:rFonts w:ascii="Garamond" w:hAnsi="Garamond"/>
                <w:lang w:val="en-AU"/>
              </w:rPr>
              <w:t xml:space="preserve">Bauman et al </w:t>
            </w:r>
            <w:hyperlink r:id="rId26" w:history="1">
              <w:r w:rsidRPr="00BA579C">
                <w:rPr>
                  <w:rStyle w:val="Hyperlink"/>
                  <w:rFonts w:ascii="Garamond" w:hAnsi="Garamond"/>
                  <w:lang w:val="en-AU"/>
                </w:rPr>
                <w:t>https://doi.org/10.5694/mja18.00841</w:t>
              </w:r>
            </w:hyperlink>
          </w:p>
          <w:p w:rsidR="00985853" w:rsidRDefault="00985853" w:rsidP="00F04F5F">
            <w:pPr>
              <w:rPr>
                <w:rFonts w:ascii="Garamond" w:hAnsi="Garamond"/>
                <w:lang w:val="en-AU"/>
              </w:rPr>
            </w:pPr>
            <w:r>
              <w:rPr>
                <w:rFonts w:ascii="Garamond" w:hAnsi="Garamond"/>
                <w:lang w:val="en-AU"/>
              </w:rPr>
              <w:t xml:space="preserve">Wilson et al </w:t>
            </w:r>
            <w:hyperlink r:id="rId27" w:history="1">
              <w:r w:rsidRPr="00BA579C">
                <w:rPr>
                  <w:rStyle w:val="Hyperlink"/>
                  <w:rFonts w:ascii="Garamond" w:hAnsi="Garamond"/>
                  <w:lang w:val="en-AU"/>
                </w:rPr>
                <w:t>https://doi.org/10.5694/mja18.00947</w:t>
              </w:r>
            </w:hyperlink>
          </w:p>
          <w:p w:rsidR="00985853" w:rsidRDefault="00985853" w:rsidP="00F04F5F">
            <w:pPr>
              <w:rPr>
                <w:rFonts w:ascii="Garamond" w:hAnsi="Garamond"/>
                <w:lang w:val="en-AU"/>
              </w:rPr>
            </w:pPr>
            <w:r>
              <w:rPr>
                <w:rFonts w:ascii="Garamond" w:hAnsi="Garamond"/>
                <w:lang w:val="en-AU"/>
              </w:rPr>
              <w:t xml:space="preserve">Ellis et al </w:t>
            </w:r>
            <w:hyperlink r:id="rId28" w:history="1">
              <w:r w:rsidRPr="00BA579C">
                <w:rPr>
                  <w:rStyle w:val="Hyperlink"/>
                  <w:rFonts w:ascii="Garamond" w:hAnsi="Garamond"/>
                  <w:lang w:val="en-AU"/>
                </w:rPr>
                <w:t>https://doi.org/10.5694/mja18.00890</w:t>
              </w:r>
            </w:hyperlink>
          </w:p>
          <w:p w:rsidR="00985853" w:rsidRPr="000170DA" w:rsidRDefault="00985853" w:rsidP="00F04F5F">
            <w:pPr>
              <w:rPr>
                <w:rStyle w:val="Hyperlink"/>
                <w:rFonts w:ascii="Garamond" w:hAnsi="Garamond"/>
                <w:color w:val="auto"/>
                <w:u w:val="none"/>
                <w:lang w:val="en-AU"/>
              </w:rPr>
            </w:pPr>
            <w:r>
              <w:rPr>
                <w:rStyle w:val="Hyperlink"/>
                <w:rFonts w:ascii="Garamond" w:hAnsi="Garamond"/>
                <w:color w:val="auto"/>
                <w:u w:val="none"/>
                <w:lang w:val="en-AU"/>
              </w:rPr>
              <w:t xml:space="preserve">Yeh et al </w:t>
            </w:r>
            <w:hyperlink r:id="rId29" w:history="1">
              <w:r w:rsidRPr="00BA579C">
                <w:rPr>
                  <w:rStyle w:val="Hyperlink"/>
                  <w:rFonts w:ascii="Garamond" w:hAnsi="Garamond"/>
                  <w:lang w:val="en-AU"/>
                </w:rPr>
                <w:t>https://doi.org/10.1136/bmj.k5094</w:t>
              </w:r>
            </w:hyperlink>
          </w:p>
        </w:tc>
      </w:tr>
      <w:tr w:rsidR="00985853" w:rsidRPr="000170DA" w:rsidTr="00F04F5F">
        <w:tc>
          <w:tcPr>
            <w:tcW w:w="1080" w:type="dxa"/>
            <w:tcBorders>
              <w:top w:val="single" w:sz="4" w:space="0" w:color="auto"/>
              <w:left w:val="single" w:sz="4" w:space="0" w:color="auto"/>
              <w:bottom w:val="single" w:sz="4" w:space="0" w:color="auto"/>
              <w:right w:val="single" w:sz="4" w:space="0" w:color="auto"/>
            </w:tcBorders>
            <w:vAlign w:val="center"/>
          </w:tcPr>
          <w:p w:rsidR="00985853" w:rsidRPr="000170DA" w:rsidRDefault="00985853" w:rsidP="00F04F5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5853" w:rsidRDefault="00985853" w:rsidP="00F04F5F">
            <w:pPr>
              <w:rPr>
                <w:rFonts w:ascii="Garamond" w:hAnsi="Garamond"/>
                <w:lang w:val="en-AU"/>
              </w:rPr>
            </w:pPr>
            <w:r>
              <w:rPr>
                <w:rFonts w:ascii="Garamond" w:hAnsi="Garamond"/>
                <w:lang w:val="en-AU"/>
              </w:rPr>
              <w:t xml:space="preserve">Each year many journals run a number of ‘seasonal’ stories. The latest issues of the </w:t>
            </w:r>
            <w:r w:rsidRPr="006357FE">
              <w:rPr>
                <w:rFonts w:ascii="Garamond" w:hAnsi="Garamond"/>
                <w:i/>
                <w:lang w:val="en-AU"/>
              </w:rPr>
              <w:t>Medical Journal of Australia</w:t>
            </w:r>
            <w:r>
              <w:rPr>
                <w:rFonts w:ascii="Garamond" w:hAnsi="Garamond"/>
                <w:lang w:val="en-AU"/>
              </w:rPr>
              <w:t xml:space="preserve"> (MJA) and the </w:t>
            </w:r>
            <w:r w:rsidRPr="006357FE">
              <w:rPr>
                <w:rFonts w:ascii="Garamond" w:hAnsi="Garamond"/>
                <w:i/>
                <w:lang w:val="en-AU"/>
              </w:rPr>
              <w:t>B</w:t>
            </w:r>
            <w:r>
              <w:rPr>
                <w:rFonts w:ascii="Garamond" w:hAnsi="Garamond"/>
                <w:i/>
                <w:lang w:val="en-AU"/>
              </w:rPr>
              <w:t>MJ</w:t>
            </w:r>
            <w:r>
              <w:rPr>
                <w:rFonts w:ascii="Garamond" w:hAnsi="Garamond"/>
                <w:lang w:val="en-AU"/>
              </w:rPr>
              <w:t xml:space="preserve"> continue this tradition, including:</w:t>
            </w:r>
          </w:p>
          <w:p w:rsidR="00985853" w:rsidRDefault="00985853" w:rsidP="00F04F5F">
            <w:pPr>
              <w:pStyle w:val="ListParagraph"/>
              <w:numPr>
                <w:ilvl w:val="0"/>
                <w:numId w:val="37"/>
              </w:numPr>
              <w:rPr>
                <w:rFonts w:ascii="Garamond" w:hAnsi="Garamond"/>
                <w:lang w:val="en-AU"/>
              </w:rPr>
            </w:pPr>
            <w:r w:rsidRPr="006357FE">
              <w:rPr>
                <w:rFonts w:ascii="Garamond" w:hAnsi="Garamond"/>
                <w:i/>
                <w:lang w:val="en-AU"/>
              </w:rPr>
              <w:t xml:space="preserve">The curious </w:t>
            </w:r>
            <w:r w:rsidR="00F4232D">
              <w:rPr>
                <w:rFonts w:ascii="Garamond" w:hAnsi="Garamond"/>
                <w:i/>
                <w:lang w:val="en-AU"/>
              </w:rPr>
              <w:t xml:space="preserve">case </w:t>
            </w:r>
            <w:r w:rsidRPr="006357FE">
              <w:rPr>
                <w:rFonts w:ascii="Garamond" w:hAnsi="Garamond"/>
                <w:i/>
                <w:lang w:val="en-AU"/>
              </w:rPr>
              <w:t>of Patient K</w:t>
            </w:r>
            <w:r>
              <w:rPr>
                <w:rFonts w:ascii="Garamond" w:hAnsi="Garamond"/>
                <w:lang w:val="en-AU"/>
              </w:rPr>
              <w:t xml:space="preserve"> – a </w:t>
            </w:r>
            <w:r w:rsidRPr="006357FE">
              <w:rPr>
                <w:rFonts w:ascii="Garamond" w:hAnsi="Garamond"/>
                <w:lang w:val="en-AU"/>
              </w:rPr>
              <w:t xml:space="preserve">man in his late 60s, moderately though not morbidly obese, with a ruddy complexion and a rather odd manner of dress. (He seemed </w:t>
            </w:r>
            <w:r w:rsidR="00F4232D">
              <w:rPr>
                <w:rFonts w:ascii="Garamond" w:hAnsi="Garamond"/>
                <w:lang w:val="en-AU"/>
              </w:rPr>
              <w:t>over-</w:t>
            </w:r>
            <w:r w:rsidRPr="006357FE">
              <w:rPr>
                <w:rFonts w:ascii="Garamond" w:hAnsi="Garamond"/>
                <w:lang w:val="en-AU"/>
              </w:rPr>
              <w:t>fond of the colour red</w:t>
            </w:r>
            <w:r>
              <w:rPr>
                <w:rFonts w:ascii="Garamond" w:hAnsi="Garamond"/>
                <w:lang w:val="en-AU"/>
              </w:rPr>
              <w:t>) with a number of comorbidities</w:t>
            </w:r>
          </w:p>
          <w:p w:rsidR="00985853" w:rsidRDefault="00985853" w:rsidP="00F04F5F">
            <w:pPr>
              <w:pStyle w:val="ListParagraph"/>
              <w:numPr>
                <w:ilvl w:val="0"/>
                <w:numId w:val="37"/>
              </w:numPr>
              <w:rPr>
                <w:rFonts w:ascii="Garamond" w:hAnsi="Garamond"/>
                <w:lang w:val="en-AU"/>
              </w:rPr>
            </w:pPr>
            <w:r w:rsidRPr="006357FE">
              <w:rPr>
                <w:rFonts w:ascii="Garamond" w:hAnsi="Garamond"/>
                <w:i/>
                <w:lang w:val="en-AU"/>
              </w:rPr>
              <w:t>The emergence and characteristics of the Australian Mamil</w:t>
            </w:r>
            <w:r>
              <w:rPr>
                <w:rFonts w:ascii="Garamond" w:hAnsi="Garamond"/>
                <w:lang w:val="en-AU"/>
              </w:rPr>
              <w:t xml:space="preserve"> – a study into this species that has been proliferating in recent years (accompanied by, but far more prevalent, other species, including the MAWIL and the OSAC)</w:t>
            </w:r>
          </w:p>
          <w:p w:rsidR="00985853" w:rsidRDefault="00985853" w:rsidP="00F04F5F">
            <w:pPr>
              <w:pStyle w:val="ListParagraph"/>
              <w:numPr>
                <w:ilvl w:val="0"/>
                <w:numId w:val="37"/>
              </w:numPr>
              <w:rPr>
                <w:rFonts w:ascii="Garamond" w:hAnsi="Garamond"/>
                <w:lang w:val="en-AU"/>
              </w:rPr>
            </w:pPr>
            <w:r w:rsidRPr="006357FE">
              <w:rPr>
                <w:rFonts w:ascii="Garamond" w:hAnsi="Garamond"/>
                <w:i/>
                <w:lang w:val="en-AU"/>
              </w:rPr>
              <w:t>Licence to swill: James Bond’s drinking over six decades</w:t>
            </w:r>
            <w:r>
              <w:rPr>
                <w:rFonts w:ascii="Garamond" w:hAnsi="Garamond"/>
                <w:lang w:val="en-AU"/>
              </w:rPr>
              <w:t xml:space="preserve"> – analysis of the </w:t>
            </w:r>
            <w:r w:rsidRPr="006357FE">
              <w:rPr>
                <w:rFonts w:ascii="Garamond" w:hAnsi="Garamond"/>
                <w:lang w:val="en-AU"/>
              </w:rPr>
              <w:t xml:space="preserve">patterns of alcohol use </w:t>
            </w:r>
            <w:proofErr w:type="gramStart"/>
            <w:r>
              <w:rPr>
                <w:rFonts w:ascii="Garamond" w:hAnsi="Garamond"/>
                <w:lang w:val="en-AU"/>
              </w:rPr>
              <w:t>by a</w:t>
            </w:r>
            <w:proofErr w:type="gramEnd"/>
            <w:r>
              <w:rPr>
                <w:rFonts w:ascii="Garamond" w:hAnsi="Garamond"/>
                <w:lang w:val="en-AU"/>
              </w:rPr>
              <w:t xml:space="preserve"> certain ‘</w:t>
            </w:r>
            <w:r w:rsidRPr="006357FE">
              <w:rPr>
                <w:rFonts w:ascii="Garamond" w:hAnsi="Garamond"/>
                <w:lang w:val="en-AU"/>
              </w:rPr>
              <w:t>James Bond</w:t>
            </w:r>
            <w:r>
              <w:rPr>
                <w:rFonts w:ascii="Garamond" w:hAnsi="Garamond"/>
                <w:lang w:val="en-AU"/>
              </w:rPr>
              <w:t>’ in which the authors conclude that subject “</w:t>
            </w:r>
            <w:r w:rsidRPr="006357FE">
              <w:rPr>
                <w:rFonts w:ascii="Garamond" w:hAnsi="Garamond"/>
                <w:lang w:val="en-AU"/>
              </w:rPr>
              <w:t>has a severe chronic alcohol problem. He should consider seeking professional help and find other strategies for managing on-the-job stress.</w:t>
            </w:r>
            <w:r>
              <w:rPr>
                <w:rFonts w:ascii="Garamond" w:hAnsi="Garamond"/>
                <w:lang w:val="en-AU"/>
              </w:rPr>
              <w:t>” Such findings may apply to other potential patients.</w:t>
            </w:r>
          </w:p>
          <w:p w:rsidR="00985853" w:rsidRDefault="00985853" w:rsidP="00F04F5F">
            <w:pPr>
              <w:pStyle w:val="ListParagraph"/>
              <w:numPr>
                <w:ilvl w:val="0"/>
                <w:numId w:val="37"/>
              </w:numPr>
              <w:rPr>
                <w:rFonts w:ascii="Garamond" w:hAnsi="Garamond"/>
                <w:lang w:val="en-AU"/>
              </w:rPr>
            </w:pPr>
            <w:r w:rsidRPr="006357FE">
              <w:rPr>
                <w:rFonts w:ascii="Garamond" w:hAnsi="Garamond"/>
                <w:i/>
                <w:lang w:val="en-AU"/>
              </w:rPr>
              <w:t>The Observational Physician and surGEon Automobile Response (TOP GEAR) survey</w:t>
            </w:r>
            <w:r>
              <w:rPr>
                <w:rFonts w:ascii="Garamond" w:hAnsi="Garamond"/>
                <w:lang w:val="en-AU"/>
              </w:rPr>
              <w:t xml:space="preserve"> – revealing survey that confirmed the previously widespread but untested belief that “</w:t>
            </w:r>
            <w:r w:rsidRPr="006357FE">
              <w:rPr>
                <w:rFonts w:ascii="Garamond" w:hAnsi="Garamond"/>
                <w:lang w:val="en-AU"/>
              </w:rPr>
              <w:t xml:space="preserve">Surgeons more frequently purchase their cars new and replace their cars earlier than </w:t>
            </w:r>
            <w:proofErr w:type="gramStart"/>
            <w:r w:rsidRPr="006357FE">
              <w:rPr>
                <w:rFonts w:ascii="Garamond" w:hAnsi="Garamond"/>
                <w:lang w:val="en-AU"/>
              </w:rPr>
              <w:t>non-surgeons,</w:t>
            </w:r>
            <w:proofErr w:type="gramEnd"/>
            <w:r w:rsidRPr="006357FE">
              <w:rPr>
                <w:rFonts w:ascii="Garamond" w:hAnsi="Garamond"/>
                <w:lang w:val="en-AU"/>
              </w:rPr>
              <w:t xml:space="preserve"> and the median value of their vehicles is higher. These findings were consistent across all levels of seniority.</w:t>
            </w:r>
            <w:r>
              <w:rPr>
                <w:rFonts w:ascii="Garamond" w:hAnsi="Garamond"/>
                <w:lang w:val="en-AU"/>
              </w:rPr>
              <w:t>”</w:t>
            </w:r>
          </w:p>
          <w:p w:rsidR="00985853" w:rsidRPr="006357FE" w:rsidRDefault="00985853" w:rsidP="00F04F5F">
            <w:pPr>
              <w:pStyle w:val="ListParagraph"/>
              <w:numPr>
                <w:ilvl w:val="0"/>
                <w:numId w:val="37"/>
              </w:numPr>
              <w:rPr>
                <w:rFonts w:ascii="Garamond" w:hAnsi="Garamond"/>
                <w:lang w:val="en-AU"/>
              </w:rPr>
            </w:pPr>
            <w:r w:rsidRPr="00F321B0">
              <w:rPr>
                <w:rFonts w:ascii="Garamond" w:hAnsi="Garamond"/>
                <w:i/>
                <w:lang w:val="en-AU"/>
              </w:rPr>
              <w:t>Parachute use to prevent death and major trauma when jumping from aircraft: randomized controlled trial</w:t>
            </w:r>
            <w:r>
              <w:rPr>
                <w:rFonts w:ascii="Garamond" w:hAnsi="Garamond"/>
                <w:lang w:val="en-AU"/>
              </w:rPr>
              <w:t xml:space="preserve"> – report on a randomised control trial (RCT) that found “</w:t>
            </w:r>
            <w:r w:rsidRPr="00F321B0">
              <w:rPr>
                <w:rFonts w:ascii="Garamond" w:hAnsi="Garamond"/>
                <w:lang w:val="en-AU"/>
              </w:rPr>
              <w:t>Parachute use did not reduce death or major traumatic injury when jumping from aircraft in the first randomized evaluation of this intervention.</w:t>
            </w:r>
            <w:r>
              <w:rPr>
                <w:rFonts w:ascii="Garamond" w:hAnsi="Garamond"/>
                <w:lang w:val="en-AU"/>
              </w:rPr>
              <w:t xml:space="preserve">” However, the details of the trial reveal some important factors and highlight the need to do </w:t>
            </w:r>
            <w:r w:rsidRPr="00F321B0">
              <w:rPr>
                <w:rFonts w:ascii="Garamond" w:hAnsi="Garamond"/>
                <w:lang w:val="en-AU"/>
              </w:rPr>
              <w:t>more than a cursory reading of the abstract</w:t>
            </w:r>
            <w:r>
              <w:rPr>
                <w:rFonts w:ascii="Garamond" w:hAnsi="Garamond"/>
                <w:lang w:val="en-AU"/>
              </w:rPr>
              <w:t xml:space="preserve"> to appreciate the true value of an RCT</w:t>
            </w:r>
            <w:r w:rsidRPr="00F321B0">
              <w:rPr>
                <w:rFonts w:ascii="Garamond" w:hAnsi="Garamond"/>
                <w:lang w:val="en-AU"/>
              </w:rPr>
              <w:t>.</w:t>
            </w:r>
          </w:p>
        </w:tc>
      </w:tr>
    </w:tbl>
    <w:p w:rsidR="008B2926" w:rsidRPr="00414361" w:rsidRDefault="00747756" w:rsidP="008B2926">
      <w:pPr>
        <w:keepNext/>
        <w:keepLines/>
        <w:autoSpaceDE w:val="0"/>
        <w:autoSpaceDN w:val="0"/>
        <w:adjustRightInd w:val="0"/>
        <w:rPr>
          <w:rFonts w:ascii="Garamond" w:hAnsi="Garamond"/>
          <w:i/>
          <w:lang w:val="en-AU"/>
        </w:rPr>
      </w:pPr>
      <w:r w:rsidRPr="00414361">
        <w:rPr>
          <w:rFonts w:ascii="Garamond" w:hAnsi="Garamond"/>
          <w:i/>
          <w:lang w:val="en-AU"/>
        </w:rPr>
        <w:lastRenderedPageBreak/>
        <w:t>Using a 10-step framework to support the implementation of an evidence-based clinical pathways programme</w:t>
      </w:r>
    </w:p>
    <w:p w:rsidR="00414361" w:rsidRDefault="00414361" w:rsidP="008B2926">
      <w:pPr>
        <w:keepNext/>
        <w:keepLines/>
        <w:autoSpaceDE w:val="0"/>
        <w:autoSpaceDN w:val="0"/>
        <w:adjustRightInd w:val="0"/>
        <w:rPr>
          <w:rFonts w:ascii="Garamond" w:hAnsi="Garamond"/>
          <w:lang w:val="en-AU"/>
        </w:rPr>
      </w:pPr>
      <w:r w:rsidRPr="00414361">
        <w:rPr>
          <w:rFonts w:ascii="Garamond" w:hAnsi="Garamond"/>
          <w:lang w:val="en-AU"/>
        </w:rPr>
        <w:t>Flores EJ, Mull NK, Lavenberg JG, Mitchell MD, Leas BF, Williams A, et al.</w:t>
      </w:r>
    </w:p>
    <w:p w:rsidR="00414361" w:rsidRPr="00E566B0" w:rsidRDefault="00414361" w:rsidP="008B2926">
      <w:pPr>
        <w:keepNext/>
        <w:keepLines/>
        <w:autoSpaceDE w:val="0"/>
        <w:autoSpaceDN w:val="0"/>
        <w:adjustRightInd w:val="0"/>
        <w:rPr>
          <w:rFonts w:ascii="Garamond" w:hAnsi="Garamond"/>
          <w:lang w:val="en-AU"/>
        </w:rPr>
      </w:pPr>
      <w:r w:rsidRPr="00414361">
        <w:rPr>
          <w:rFonts w:ascii="Garamond" w:hAnsi="Garamond"/>
          <w:lang w:val="en-AU"/>
        </w:rPr>
        <w:t>BMJ Quality &amp; Safety. 2018</w:t>
      </w:r>
      <w:r>
        <w:rPr>
          <w:rFonts w:ascii="Garamond" w:hAnsi="Garamond"/>
          <w:lang w:val="en-AU"/>
        </w:rPr>
        <w:t xml:space="preserve"> [epub]</w:t>
      </w:r>
      <w:r w:rsidRPr="0041436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8B2926"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41436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2926" w:rsidRPr="000170DA" w:rsidRDefault="005D1FF8" w:rsidP="00414361">
            <w:pPr>
              <w:rPr>
                <w:rStyle w:val="Hyperlink"/>
                <w:rFonts w:ascii="Garamond" w:hAnsi="Garamond"/>
                <w:color w:val="auto"/>
                <w:u w:val="none"/>
                <w:lang w:val="en-AU"/>
              </w:rPr>
            </w:pPr>
            <w:hyperlink r:id="rId30" w:history="1">
              <w:r w:rsidR="00414361" w:rsidRPr="00BA579C">
                <w:rPr>
                  <w:rStyle w:val="Hyperlink"/>
                  <w:rFonts w:ascii="Garamond" w:hAnsi="Garamond"/>
                  <w:lang w:val="en-AU"/>
                </w:rPr>
                <w:t>https://doi.org10.1136/bmjqs-2018-008454</w:t>
              </w:r>
            </w:hyperlink>
          </w:p>
        </w:tc>
      </w:tr>
      <w:tr w:rsidR="008B2926"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41436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2926" w:rsidRPr="000365E9" w:rsidRDefault="00747756" w:rsidP="00414361">
            <w:pPr>
              <w:rPr>
                <w:rFonts w:ascii="Garamond" w:hAnsi="Garamond"/>
                <w:lang w:val="en-AU"/>
              </w:rPr>
            </w:pPr>
            <w:r>
              <w:rPr>
                <w:rFonts w:ascii="Garamond" w:hAnsi="Garamond"/>
                <w:lang w:val="en-AU"/>
              </w:rPr>
              <w:t xml:space="preserve">Translating or implementing evidence into clinical practice is </w:t>
            </w:r>
            <w:r w:rsidR="00414361">
              <w:rPr>
                <w:rFonts w:ascii="Garamond" w:hAnsi="Garamond"/>
                <w:lang w:val="en-AU"/>
              </w:rPr>
              <w:t xml:space="preserve">recognised to often be a challenge and possibly harder than it perhaps should be. The development and introduction of clinical pathways have emerged as one means of bringing about such changes. This paper describes a framework for developing and implementing clinical pathways. The paper describes </w:t>
            </w:r>
            <w:r w:rsidR="00414361" w:rsidRPr="00414361">
              <w:rPr>
                <w:rFonts w:ascii="Garamond" w:hAnsi="Garamond"/>
                <w:lang w:val="en-AU"/>
              </w:rPr>
              <w:t xml:space="preserve">a 10-step framework </w:t>
            </w:r>
            <w:r w:rsidR="00414361">
              <w:rPr>
                <w:rFonts w:ascii="Garamond" w:hAnsi="Garamond"/>
                <w:lang w:val="en-AU"/>
              </w:rPr>
              <w:t>that included</w:t>
            </w:r>
            <w:r w:rsidR="00414361" w:rsidRPr="00414361">
              <w:rPr>
                <w:rFonts w:ascii="Garamond" w:hAnsi="Garamond"/>
                <w:lang w:val="en-AU"/>
              </w:rPr>
              <w:t xml:space="preserve"> facilitating </w:t>
            </w:r>
            <w:r w:rsidR="00414361" w:rsidRPr="00414361">
              <w:rPr>
                <w:rFonts w:ascii="Garamond" w:hAnsi="Garamond"/>
                <w:b/>
                <w:lang w:val="en-AU"/>
              </w:rPr>
              <w:t>clinical owner and stakeholder engagement</w:t>
            </w:r>
            <w:r w:rsidR="00414361" w:rsidRPr="00414361">
              <w:rPr>
                <w:rFonts w:ascii="Garamond" w:hAnsi="Garamond"/>
                <w:lang w:val="en-AU"/>
              </w:rPr>
              <w:t xml:space="preserve">, developing pathway </w:t>
            </w:r>
            <w:r w:rsidR="00414361" w:rsidRPr="00414361">
              <w:rPr>
                <w:rFonts w:ascii="Garamond" w:hAnsi="Garamond"/>
                <w:b/>
                <w:lang w:val="en-AU"/>
              </w:rPr>
              <w:t>prototypes</w:t>
            </w:r>
            <w:r w:rsidR="00414361" w:rsidRPr="00414361">
              <w:rPr>
                <w:rFonts w:ascii="Garamond" w:hAnsi="Garamond"/>
                <w:lang w:val="en-AU"/>
              </w:rPr>
              <w:t xml:space="preserve"> based on rapid reviews of the existing literature, developing </w:t>
            </w:r>
            <w:r w:rsidR="00414361" w:rsidRPr="00414361">
              <w:rPr>
                <w:rFonts w:ascii="Garamond" w:hAnsi="Garamond"/>
                <w:b/>
                <w:lang w:val="en-AU"/>
              </w:rPr>
              <w:t>tools for dissemination and impact assessment</w:t>
            </w:r>
            <w:r w:rsidR="00414361" w:rsidRPr="00414361">
              <w:rPr>
                <w:rFonts w:ascii="Garamond" w:hAnsi="Garamond"/>
                <w:lang w:val="en-AU"/>
              </w:rPr>
              <w:t xml:space="preserve">, including </w:t>
            </w:r>
            <w:r w:rsidR="00414361">
              <w:rPr>
                <w:rFonts w:ascii="Garamond" w:hAnsi="Garamond"/>
                <w:lang w:val="en-AU"/>
              </w:rPr>
              <w:t xml:space="preserve">internet-based tools, and measuring </w:t>
            </w:r>
            <w:r w:rsidR="00414361" w:rsidRPr="00414361">
              <w:rPr>
                <w:rFonts w:ascii="Garamond" w:hAnsi="Garamond"/>
                <w:lang w:val="en-AU"/>
              </w:rPr>
              <w:t>programme adoption.</w:t>
            </w:r>
            <w:r w:rsidR="00414361">
              <w:rPr>
                <w:rFonts w:ascii="Garamond" w:hAnsi="Garamond"/>
                <w:lang w:val="en-AU"/>
              </w:rPr>
              <w:t xml:space="preserve"> The authors argue that they have demonstrated that “</w:t>
            </w:r>
            <w:r w:rsidR="00414361" w:rsidRPr="00414361">
              <w:rPr>
                <w:rFonts w:ascii="Garamond" w:hAnsi="Garamond"/>
                <w:lang w:val="en-AU"/>
              </w:rPr>
              <w:t>A healthcare system can successfully use a framework and technology platform to support the development and dissemination of pathways across a multisite institution.</w:t>
            </w:r>
            <w:r w:rsidR="00414361">
              <w:rPr>
                <w:rFonts w:ascii="Garamond" w:hAnsi="Garamond"/>
                <w:lang w:val="en-AU"/>
              </w:rPr>
              <w:t>”</w:t>
            </w:r>
          </w:p>
        </w:tc>
      </w:tr>
    </w:tbl>
    <w:p w:rsidR="008B2926" w:rsidRDefault="008B2926" w:rsidP="008B2926">
      <w:pPr>
        <w:keepNext/>
        <w:keepLines/>
        <w:autoSpaceDE w:val="0"/>
        <w:autoSpaceDN w:val="0"/>
        <w:adjustRightInd w:val="0"/>
        <w:rPr>
          <w:rFonts w:ascii="Garamond" w:hAnsi="Garamond"/>
          <w:i/>
          <w:lang w:val="en-AU"/>
        </w:rPr>
      </w:pPr>
    </w:p>
    <w:p w:rsidR="00C77097" w:rsidRPr="00A57A31" w:rsidRDefault="00C77097" w:rsidP="00C77097">
      <w:pPr>
        <w:keepNext/>
        <w:keepLines/>
        <w:autoSpaceDE w:val="0"/>
        <w:autoSpaceDN w:val="0"/>
        <w:adjustRightInd w:val="0"/>
        <w:rPr>
          <w:rFonts w:ascii="Garamond" w:hAnsi="Garamond"/>
          <w:i/>
          <w:lang w:val="en-AU"/>
        </w:rPr>
      </w:pPr>
      <w:r w:rsidRPr="00A57A31">
        <w:rPr>
          <w:rFonts w:ascii="Garamond" w:hAnsi="Garamond"/>
          <w:i/>
          <w:lang w:val="en-AU"/>
        </w:rPr>
        <w:t>The Generation of Integration: The Early Experience of Implementing Bundled Care in Ontario, Canada</w:t>
      </w:r>
    </w:p>
    <w:p w:rsidR="00C77097" w:rsidRDefault="00C77097" w:rsidP="00C77097">
      <w:pPr>
        <w:keepNext/>
        <w:keepLines/>
        <w:autoSpaceDE w:val="0"/>
        <w:autoSpaceDN w:val="0"/>
        <w:adjustRightInd w:val="0"/>
        <w:rPr>
          <w:rFonts w:ascii="Garamond" w:hAnsi="Garamond"/>
          <w:lang w:val="en-AU"/>
        </w:rPr>
      </w:pPr>
      <w:r w:rsidRPr="00A57A31">
        <w:rPr>
          <w:rFonts w:ascii="Garamond" w:hAnsi="Garamond"/>
          <w:lang w:val="en-AU"/>
        </w:rPr>
        <w:t>Embuldeniya G, Kirst M, Walker K, Wodchis WP</w:t>
      </w:r>
    </w:p>
    <w:p w:rsidR="00C77097" w:rsidRPr="00E566B0" w:rsidRDefault="00C77097" w:rsidP="00C77097">
      <w:pPr>
        <w:keepNext/>
        <w:keepLines/>
        <w:autoSpaceDE w:val="0"/>
        <w:autoSpaceDN w:val="0"/>
        <w:adjustRightInd w:val="0"/>
        <w:rPr>
          <w:rFonts w:ascii="Garamond" w:hAnsi="Garamond"/>
          <w:lang w:val="en-AU"/>
        </w:rPr>
      </w:pPr>
      <w:r w:rsidRPr="00A57A31">
        <w:rPr>
          <w:rFonts w:ascii="Garamond" w:hAnsi="Garamond"/>
          <w:lang w:val="en-AU"/>
        </w:rPr>
        <w:t>The Milbank Quarterly. 2018</w:t>
      </w:r>
      <w:proofErr w:type="gramStart"/>
      <w:r w:rsidRPr="00A57A31">
        <w:rPr>
          <w:rFonts w:ascii="Garamond" w:hAnsi="Garamond"/>
          <w:lang w:val="en-AU"/>
        </w:rPr>
        <w:t>;96</w:t>
      </w:r>
      <w:proofErr w:type="gramEnd"/>
      <w:r w:rsidRPr="00A57A31">
        <w:rPr>
          <w:rFonts w:ascii="Garamond" w:hAnsi="Garamond"/>
          <w:lang w:val="en-AU"/>
        </w:rPr>
        <w:t>(4):782-813.</w:t>
      </w:r>
    </w:p>
    <w:tbl>
      <w:tblPr>
        <w:tblStyle w:val="TableGrid"/>
        <w:tblW w:w="0" w:type="auto"/>
        <w:tblInd w:w="288" w:type="dxa"/>
        <w:tblLayout w:type="fixed"/>
        <w:tblLook w:val="01E0" w:firstRow="1" w:lastRow="1" w:firstColumn="1" w:lastColumn="1" w:noHBand="0" w:noVBand="0"/>
      </w:tblPr>
      <w:tblGrid>
        <w:gridCol w:w="1080"/>
        <w:gridCol w:w="8280"/>
      </w:tblGrid>
      <w:tr w:rsidR="00C77097" w:rsidRPr="000170DA" w:rsidTr="00F04F5F">
        <w:tc>
          <w:tcPr>
            <w:tcW w:w="1080" w:type="dxa"/>
            <w:tcBorders>
              <w:top w:val="single" w:sz="4" w:space="0" w:color="auto"/>
              <w:left w:val="single" w:sz="4" w:space="0" w:color="auto"/>
              <w:bottom w:val="single" w:sz="4" w:space="0" w:color="auto"/>
              <w:right w:val="single" w:sz="4" w:space="0" w:color="auto"/>
            </w:tcBorders>
            <w:vAlign w:val="center"/>
          </w:tcPr>
          <w:p w:rsidR="00C77097" w:rsidRPr="000170DA" w:rsidRDefault="00C77097" w:rsidP="00F04F5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77097" w:rsidRPr="000170DA" w:rsidRDefault="005D1FF8" w:rsidP="00F04F5F">
            <w:pPr>
              <w:rPr>
                <w:rStyle w:val="Hyperlink"/>
                <w:rFonts w:ascii="Garamond" w:hAnsi="Garamond"/>
                <w:color w:val="auto"/>
                <w:u w:val="none"/>
                <w:lang w:val="en-AU"/>
              </w:rPr>
            </w:pPr>
            <w:hyperlink r:id="rId31" w:history="1">
              <w:r w:rsidR="00C77097" w:rsidRPr="00BA579C">
                <w:rPr>
                  <w:rStyle w:val="Hyperlink"/>
                  <w:rFonts w:ascii="Garamond" w:hAnsi="Garamond"/>
                  <w:lang w:val="en-AU"/>
                </w:rPr>
                <w:t>https://doi.org/10.1111/1468-0009.12349</w:t>
              </w:r>
            </w:hyperlink>
          </w:p>
        </w:tc>
      </w:tr>
      <w:tr w:rsidR="00C77097" w:rsidRPr="000170DA" w:rsidTr="00F04F5F">
        <w:tc>
          <w:tcPr>
            <w:tcW w:w="1080" w:type="dxa"/>
            <w:tcBorders>
              <w:top w:val="single" w:sz="4" w:space="0" w:color="auto"/>
              <w:left w:val="single" w:sz="4" w:space="0" w:color="auto"/>
              <w:bottom w:val="single" w:sz="4" w:space="0" w:color="auto"/>
              <w:right w:val="single" w:sz="4" w:space="0" w:color="auto"/>
            </w:tcBorders>
            <w:vAlign w:val="center"/>
          </w:tcPr>
          <w:p w:rsidR="00C77097" w:rsidRPr="000170DA" w:rsidRDefault="00C77097" w:rsidP="00F04F5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7097" w:rsidRPr="000365E9" w:rsidRDefault="00C77097" w:rsidP="00F04F5F">
            <w:pPr>
              <w:rPr>
                <w:rFonts w:ascii="Garamond" w:hAnsi="Garamond"/>
                <w:lang w:val="en-AU"/>
              </w:rPr>
            </w:pPr>
            <w:r>
              <w:rPr>
                <w:rFonts w:ascii="Garamond" w:hAnsi="Garamond"/>
                <w:lang w:val="en-AU"/>
              </w:rPr>
              <w:t>Integration and the hoped for continuity of care are seen as ways of improving the experience and outcomes of health care, especially for patients with multiple (chronic) conditions. This paper describes the experience of six programs seeking to</w:t>
            </w:r>
            <w:r w:rsidRPr="00A57A31">
              <w:rPr>
                <w:rFonts w:ascii="Garamond" w:hAnsi="Garamond"/>
                <w:lang w:val="en-AU"/>
              </w:rPr>
              <w:t xml:space="preserve"> implement bundled care</w:t>
            </w:r>
            <w:r>
              <w:rPr>
                <w:rFonts w:ascii="Garamond" w:hAnsi="Garamond"/>
                <w:lang w:val="en-AU"/>
              </w:rPr>
              <w:t xml:space="preserve"> using </w:t>
            </w:r>
            <w:r w:rsidRPr="00A57A31">
              <w:rPr>
                <w:rFonts w:ascii="Garamond" w:hAnsi="Garamond"/>
                <w:lang w:val="en-AU"/>
              </w:rPr>
              <w:t>multiple hospital and community partners</w:t>
            </w:r>
            <w:r>
              <w:rPr>
                <w:rFonts w:ascii="Garamond" w:hAnsi="Garamond"/>
                <w:lang w:val="en-AU"/>
              </w:rPr>
              <w:t xml:space="preserve">. The authors </w:t>
            </w:r>
            <w:r w:rsidRPr="00A57A31">
              <w:rPr>
                <w:rFonts w:ascii="Garamond" w:hAnsi="Garamond"/>
                <w:lang w:val="en-AU"/>
              </w:rPr>
              <w:t xml:space="preserve">conducted 48 interviews with </w:t>
            </w:r>
            <w:r>
              <w:rPr>
                <w:rFonts w:ascii="Garamond" w:hAnsi="Garamond"/>
                <w:lang w:val="en-AU"/>
              </w:rPr>
              <w:t>“</w:t>
            </w:r>
            <w:r w:rsidRPr="00A57A31">
              <w:rPr>
                <w:rFonts w:ascii="Garamond" w:hAnsi="Garamond"/>
                <w:lang w:val="en-AU"/>
              </w:rPr>
              <w:t>program stakeholders, from organization leaders and managers to physicians and integrated care coordinators, across the hospital-community spectrum</w:t>
            </w:r>
            <w:r>
              <w:rPr>
                <w:rFonts w:ascii="Garamond" w:hAnsi="Garamond"/>
                <w:lang w:val="en-AU"/>
              </w:rPr>
              <w:t>” to inform their analyses. The authors report that “</w:t>
            </w:r>
            <w:r w:rsidRPr="00A57A31">
              <w:rPr>
                <w:rFonts w:ascii="Garamond" w:hAnsi="Garamond"/>
                <w:lang w:val="en-AU"/>
              </w:rPr>
              <w:t xml:space="preserve">Integration was mediated by chosen program structures and </w:t>
            </w:r>
            <w:r w:rsidRPr="00A57A31">
              <w:rPr>
                <w:rFonts w:ascii="Garamond" w:hAnsi="Garamond"/>
                <w:b/>
                <w:lang w:val="en-AU"/>
              </w:rPr>
              <w:t>generated</w:t>
            </w:r>
            <w:r w:rsidRPr="00A57A31">
              <w:rPr>
                <w:rFonts w:ascii="Garamond" w:hAnsi="Garamond"/>
                <w:lang w:val="en-AU"/>
              </w:rPr>
              <w:t xml:space="preserve"> by establishing </w:t>
            </w:r>
            <w:r w:rsidRPr="00A57A31">
              <w:rPr>
                <w:rFonts w:ascii="Garamond" w:hAnsi="Garamond"/>
                <w:b/>
                <w:lang w:val="en-AU"/>
              </w:rPr>
              <w:t>partnerships</w:t>
            </w:r>
            <w:r w:rsidRPr="00A57A31">
              <w:rPr>
                <w:rFonts w:ascii="Garamond" w:hAnsi="Garamond"/>
                <w:lang w:val="en-AU"/>
              </w:rPr>
              <w:t xml:space="preserve">, building </w:t>
            </w:r>
            <w:r w:rsidRPr="00A57A31">
              <w:rPr>
                <w:rFonts w:ascii="Garamond" w:hAnsi="Garamond"/>
                <w:b/>
                <w:lang w:val="en-AU"/>
              </w:rPr>
              <w:t>trust</w:t>
            </w:r>
            <w:r w:rsidRPr="00A57A31">
              <w:rPr>
                <w:rFonts w:ascii="Garamond" w:hAnsi="Garamond"/>
                <w:lang w:val="en-AU"/>
              </w:rPr>
              <w:t xml:space="preserve">, developing </w:t>
            </w:r>
            <w:r w:rsidRPr="00A57A31">
              <w:rPr>
                <w:rFonts w:ascii="Garamond" w:hAnsi="Garamond"/>
                <w:b/>
                <w:lang w:val="en-AU"/>
              </w:rPr>
              <w:t>thoughtful models</w:t>
            </w:r>
            <w:r w:rsidRPr="00A57A31">
              <w:rPr>
                <w:rFonts w:ascii="Garamond" w:hAnsi="Garamond"/>
                <w:lang w:val="en-AU"/>
              </w:rPr>
              <w:t xml:space="preserve">, </w:t>
            </w:r>
            <w:r w:rsidRPr="00A57A31">
              <w:rPr>
                <w:rFonts w:ascii="Garamond" w:hAnsi="Garamond"/>
                <w:b/>
                <w:lang w:val="en-AU"/>
              </w:rPr>
              <w:t>engaging clinicians</w:t>
            </w:r>
            <w:r w:rsidRPr="00A57A31">
              <w:rPr>
                <w:rFonts w:ascii="Garamond" w:hAnsi="Garamond"/>
                <w:lang w:val="en-AU"/>
              </w:rPr>
              <w:t xml:space="preserve"> in strategies, and </w:t>
            </w:r>
            <w:r w:rsidRPr="00A57A31">
              <w:rPr>
                <w:rFonts w:ascii="Garamond" w:hAnsi="Garamond"/>
                <w:b/>
                <w:lang w:val="en-AU"/>
              </w:rPr>
              <w:t>sharing data</w:t>
            </w:r>
            <w:r w:rsidRPr="00A57A31">
              <w:rPr>
                <w:rFonts w:ascii="Garamond" w:hAnsi="Garamond"/>
                <w:lang w:val="en-AU"/>
              </w:rPr>
              <w:t xml:space="preserve"> across systems.</w:t>
            </w:r>
            <w:r>
              <w:rPr>
                <w:rFonts w:ascii="Garamond" w:hAnsi="Garamond"/>
                <w:lang w:val="en-AU"/>
              </w:rPr>
              <w:t>”</w:t>
            </w:r>
          </w:p>
        </w:tc>
      </w:tr>
    </w:tbl>
    <w:p w:rsidR="00C77097" w:rsidRDefault="00C77097" w:rsidP="00C77097">
      <w:pPr>
        <w:keepNext/>
        <w:keepLines/>
        <w:autoSpaceDE w:val="0"/>
        <w:autoSpaceDN w:val="0"/>
        <w:adjustRightInd w:val="0"/>
        <w:rPr>
          <w:rFonts w:ascii="Garamond" w:hAnsi="Garamond"/>
          <w:i/>
          <w:lang w:val="en-AU"/>
        </w:rPr>
      </w:pPr>
    </w:p>
    <w:p w:rsidR="00EB42F9" w:rsidRDefault="00EB42F9" w:rsidP="00EB42F9">
      <w:pPr>
        <w:keepNext/>
        <w:keepLines/>
        <w:autoSpaceDE w:val="0"/>
        <w:autoSpaceDN w:val="0"/>
        <w:adjustRightInd w:val="0"/>
        <w:rPr>
          <w:rFonts w:ascii="Garamond" w:hAnsi="Garamond"/>
          <w:i/>
          <w:lang w:val="en-AU"/>
        </w:rPr>
      </w:pPr>
      <w:r w:rsidRPr="00EB42F9">
        <w:rPr>
          <w:rFonts w:ascii="Garamond" w:hAnsi="Garamond"/>
          <w:i/>
          <w:lang w:val="en-AU"/>
        </w:rPr>
        <w:t xml:space="preserve">The fate of medicine in the time of AI </w:t>
      </w:r>
    </w:p>
    <w:p w:rsidR="00EB42F9" w:rsidRDefault="00EB42F9" w:rsidP="00EB42F9">
      <w:pPr>
        <w:keepNext/>
        <w:keepLines/>
        <w:autoSpaceDE w:val="0"/>
        <w:autoSpaceDN w:val="0"/>
        <w:adjustRightInd w:val="0"/>
        <w:rPr>
          <w:rFonts w:ascii="Garamond" w:hAnsi="Garamond"/>
          <w:lang w:val="en-AU"/>
        </w:rPr>
      </w:pPr>
      <w:r w:rsidRPr="00EB42F9">
        <w:rPr>
          <w:rFonts w:ascii="Garamond" w:hAnsi="Garamond"/>
          <w:lang w:val="en-AU"/>
        </w:rPr>
        <w:t>Coiera E</w:t>
      </w:r>
    </w:p>
    <w:p w:rsidR="00EB42F9" w:rsidRDefault="00EB42F9" w:rsidP="00EB42F9">
      <w:pPr>
        <w:keepNext/>
        <w:keepLines/>
        <w:autoSpaceDE w:val="0"/>
        <w:autoSpaceDN w:val="0"/>
        <w:adjustRightInd w:val="0"/>
        <w:rPr>
          <w:rFonts w:ascii="Garamond" w:hAnsi="Garamond"/>
          <w:lang w:val="en-AU"/>
        </w:rPr>
      </w:pPr>
      <w:r w:rsidRPr="00EB42F9">
        <w:rPr>
          <w:rFonts w:ascii="Garamond" w:hAnsi="Garamond"/>
          <w:lang w:val="en-AU"/>
        </w:rPr>
        <w:t>The Lancet. 2018</w:t>
      </w:r>
      <w:proofErr w:type="gramStart"/>
      <w:r w:rsidRPr="00EB42F9">
        <w:rPr>
          <w:rFonts w:ascii="Garamond" w:hAnsi="Garamond"/>
          <w:lang w:val="en-AU"/>
        </w:rPr>
        <w:t>;392</w:t>
      </w:r>
      <w:proofErr w:type="gramEnd"/>
      <w:r w:rsidRPr="00EB42F9">
        <w:rPr>
          <w:rFonts w:ascii="Garamond" w:hAnsi="Garamond"/>
          <w:lang w:val="en-AU"/>
        </w:rPr>
        <w:t>(10162):2331-2.</w:t>
      </w:r>
    </w:p>
    <w:p w:rsidR="00EB42F9" w:rsidRPr="00EB42F9" w:rsidRDefault="00EB42F9" w:rsidP="00EB42F9">
      <w:pPr>
        <w:keepNext/>
        <w:keepLines/>
        <w:autoSpaceDE w:val="0"/>
        <w:autoSpaceDN w:val="0"/>
        <w:adjustRightInd w:val="0"/>
        <w:rPr>
          <w:rFonts w:ascii="Garamond" w:hAnsi="Garamond"/>
          <w:lang w:val="en-AU"/>
        </w:rPr>
      </w:pPr>
    </w:p>
    <w:p w:rsidR="001409E8" w:rsidRDefault="00EB42F9" w:rsidP="00EB42F9">
      <w:pPr>
        <w:keepNext/>
        <w:keepLines/>
        <w:autoSpaceDE w:val="0"/>
        <w:autoSpaceDN w:val="0"/>
        <w:adjustRightInd w:val="0"/>
        <w:rPr>
          <w:rFonts w:ascii="Garamond" w:hAnsi="Garamond"/>
          <w:i/>
          <w:lang w:val="en-AU"/>
        </w:rPr>
      </w:pPr>
      <w:r w:rsidRPr="00EB42F9">
        <w:rPr>
          <w:rFonts w:ascii="Garamond" w:hAnsi="Garamond"/>
          <w:i/>
          <w:lang w:val="en-AU"/>
        </w:rPr>
        <w:t>Clinical decision support in the era of artificial intelligence</w:t>
      </w:r>
    </w:p>
    <w:p w:rsidR="00985853" w:rsidRDefault="00985853" w:rsidP="00EB42F9">
      <w:pPr>
        <w:keepNext/>
        <w:keepLines/>
        <w:autoSpaceDE w:val="0"/>
        <w:autoSpaceDN w:val="0"/>
        <w:adjustRightInd w:val="0"/>
        <w:rPr>
          <w:rFonts w:ascii="Garamond" w:hAnsi="Garamond"/>
          <w:lang w:val="en-AU"/>
        </w:rPr>
      </w:pPr>
      <w:r w:rsidRPr="00985853">
        <w:rPr>
          <w:rFonts w:ascii="Garamond" w:hAnsi="Garamond"/>
          <w:lang w:val="en-AU"/>
        </w:rPr>
        <w:t>Shortliffe EH, Sepúlveda MJ</w:t>
      </w:r>
    </w:p>
    <w:p w:rsidR="00EB42F9" w:rsidRPr="00985853" w:rsidRDefault="00985853" w:rsidP="00EB42F9">
      <w:pPr>
        <w:keepNext/>
        <w:keepLines/>
        <w:autoSpaceDE w:val="0"/>
        <w:autoSpaceDN w:val="0"/>
        <w:adjustRightInd w:val="0"/>
        <w:rPr>
          <w:rFonts w:ascii="Garamond" w:hAnsi="Garamond"/>
          <w:lang w:val="en-AU"/>
        </w:rPr>
      </w:pPr>
      <w:r w:rsidRPr="00985853">
        <w:rPr>
          <w:rFonts w:ascii="Garamond" w:hAnsi="Garamond"/>
          <w:lang w:val="en-AU"/>
        </w:rPr>
        <w:t>Journal of the American Medical Association. 2018</w:t>
      </w:r>
      <w:proofErr w:type="gramStart"/>
      <w:r w:rsidRPr="00985853">
        <w:rPr>
          <w:rFonts w:ascii="Garamond" w:hAnsi="Garamond"/>
          <w:lang w:val="en-AU"/>
        </w:rPr>
        <w:t>;320</w:t>
      </w:r>
      <w:proofErr w:type="gramEnd"/>
      <w:r w:rsidRPr="00985853">
        <w:rPr>
          <w:rFonts w:ascii="Garamond" w:hAnsi="Garamond"/>
          <w:lang w:val="en-AU"/>
        </w:rPr>
        <w:t>(21):2199-200.</w:t>
      </w:r>
    </w:p>
    <w:tbl>
      <w:tblPr>
        <w:tblStyle w:val="TableGrid"/>
        <w:tblW w:w="0" w:type="auto"/>
        <w:tblInd w:w="288" w:type="dxa"/>
        <w:tblLayout w:type="fixed"/>
        <w:tblLook w:val="01E0" w:firstRow="1" w:lastRow="1" w:firstColumn="1" w:lastColumn="1" w:noHBand="0" w:noVBand="0"/>
      </w:tblPr>
      <w:tblGrid>
        <w:gridCol w:w="1080"/>
        <w:gridCol w:w="8280"/>
      </w:tblGrid>
      <w:tr w:rsidR="001409E8"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1409E8" w:rsidRPr="000170DA" w:rsidRDefault="001409E8" w:rsidP="0041436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409E8" w:rsidRDefault="00EB42F9" w:rsidP="00414361">
            <w:pPr>
              <w:rPr>
                <w:rStyle w:val="Hyperlink"/>
                <w:rFonts w:ascii="Garamond" w:hAnsi="Garamond"/>
                <w:color w:val="auto"/>
                <w:u w:val="none"/>
                <w:lang w:val="en-AU"/>
              </w:rPr>
            </w:pPr>
            <w:r>
              <w:rPr>
                <w:rStyle w:val="Hyperlink"/>
                <w:rFonts w:ascii="Garamond" w:hAnsi="Garamond"/>
                <w:color w:val="auto"/>
                <w:u w:val="none"/>
                <w:lang w:val="en-AU"/>
              </w:rPr>
              <w:t xml:space="preserve">Coiera </w:t>
            </w:r>
            <w:hyperlink r:id="rId32" w:history="1">
              <w:r w:rsidR="00985853" w:rsidRPr="00BA579C">
                <w:rPr>
                  <w:rStyle w:val="Hyperlink"/>
                  <w:rFonts w:ascii="Garamond" w:hAnsi="Garamond"/>
                  <w:lang w:val="en-AU"/>
                </w:rPr>
                <w:t>https://doi.org/10.1016/S0140-6736(18)31925-1</w:t>
              </w:r>
            </w:hyperlink>
          </w:p>
          <w:p w:rsidR="00EB42F9" w:rsidRPr="000170DA" w:rsidRDefault="00EB42F9" w:rsidP="00EB42F9">
            <w:pPr>
              <w:rPr>
                <w:rStyle w:val="Hyperlink"/>
                <w:rFonts w:ascii="Garamond" w:hAnsi="Garamond"/>
                <w:color w:val="auto"/>
                <w:u w:val="none"/>
                <w:lang w:val="en-AU"/>
              </w:rPr>
            </w:pPr>
            <w:r>
              <w:rPr>
                <w:rFonts w:ascii="Garamond" w:hAnsi="Garamond"/>
                <w:lang w:val="en-AU"/>
              </w:rPr>
              <w:t xml:space="preserve">Shortliffe and </w:t>
            </w:r>
            <w:r w:rsidRPr="00EB42F9">
              <w:rPr>
                <w:rFonts w:ascii="Garamond" w:hAnsi="Garamond"/>
                <w:lang w:val="en-AU"/>
              </w:rPr>
              <w:t>Sepúlveda</w:t>
            </w:r>
            <w:r>
              <w:rPr>
                <w:rFonts w:ascii="Garamond" w:hAnsi="Garamond"/>
                <w:lang w:val="en-AU"/>
              </w:rPr>
              <w:t xml:space="preserve"> </w:t>
            </w:r>
            <w:hyperlink r:id="rId33" w:history="1">
              <w:r w:rsidR="00F4232D" w:rsidRPr="00BA579C">
                <w:rPr>
                  <w:rStyle w:val="Hyperlink"/>
                  <w:rFonts w:ascii="Garamond" w:hAnsi="Garamond"/>
                  <w:lang w:val="en-AU"/>
                </w:rPr>
                <w:t>https://doi.org/10.1001/jama.2018.17163</w:t>
              </w:r>
            </w:hyperlink>
          </w:p>
        </w:tc>
      </w:tr>
      <w:tr w:rsidR="001409E8"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1409E8" w:rsidRPr="000170DA" w:rsidRDefault="001409E8" w:rsidP="0041436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09E8" w:rsidRPr="000365E9" w:rsidRDefault="000803E5" w:rsidP="00985853">
            <w:pPr>
              <w:rPr>
                <w:rFonts w:ascii="Garamond" w:hAnsi="Garamond"/>
                <w:lang w:val="en-AU"/>
              </w:rPr>
            </w:pPr>
            <w:r>
              <w:rPr>
                <w:rFonts w:ascii="Garamond" w:hAnsi="Garamond"/>
                <w:lang w:val="en-AU"/>
              </w:rPr>
              <w:t>In a range of fields AI (artificial intelligence) is being regarded as the ‘next big thing’. Health and medicine are also seeing this</w:t>
            </w:r>
            <w:r w:rsidR="00EB42F9">
              <w:rPr>
                <w:rFonts w:ascii="Garamond" w:hAnsi="Garamond"/>
                <w:lang w:val="en-AU"/>
              </w:rPr>
              <w:t>. These two commentary pieces highlight some of the issues, possibilities and complexities, in broad terms (</w:t>
            </w:r>
            <w:r w:rsidR="001063D9" w:rsidRPr="00EB42F9">
              <w:rPr>
                <w:rFonts w:ascii="Garamond" w:hAnsi="Garamond"/>
                <w:lang w:val="en-AU"/>
              </w:rPr>
              <w:t>Coiera</w:t>
            </w:r>
            <w:r w:rsidR="00EB42F9">
              <w:rPr>
                <w:rFonts w:ascii="Garamond" w:hAnsi="Garamond"/>
                <w:lang w:val="en-AU"/>
              </w:rPr>
              <w:t xml:space="preserve">) and in more specific terms, in Shortliffe and </w:t>
            </w:r>
            <w:r w:rsidR="00EB42F9" w:rsidRPr="00EB42F9">
              <w:rPr>
                <w:rFonts w:ascii="Garamond" w:hAnsi="Garamond"/>
                <w:lang w:val="en-AU"/>
              </w:rPr>
              <w:t>Sepúlveda</w:t>
            </w:r>
            <w:r w:rsidR="00EB42F9">
              <w:rPr>
                <w:rFonts w:ascii="Garamond" w:hAnsi="Garamond"/>
                <w:lang w:val="en-AU"/>
              </w:rPr>
              <w:t>’s piece, clinical decision support.</w:t>
            </w:r>
          </w:p>
        </w:tc>
      </w:tr>
    </w:tbl>
    <w:p w:rsidR="00985853" w:rsidRDefault="00985853" w:rsidP="006357FE">
      <w:pPr>
        <w:keepNext/>
        <w:keepLines/>
        <w:autoSpaceDE w:val="0"/>
        <w:autoSpaceDN w:val="0"/>
        <w:adjustRightInd w:val="0"/>
        <w:rPr>
          <w:rFonts w:ascii="Garamond" w:hAnsi="Garamond"/>
          <w:i/>
          <w:lang w:val="en-AU"/>
        </w:rPr>
      </w:pPr>
    </w:p>
    <w:p w:rsidR="00985853" w:rsidRDefault="00985853">
      <w:pPr>
        <w:rPr>
          <w:rFonts w:ascii="Garamond" w:hAnsi="Garamond"/>
          <w:i/>
          <w:lang w:val="en-AU"/>
        </w:rPr>
      </w:pPr>
      <w:r>
        <w:rPr>
          <w:rFonts w:ascii="Garamond" w:hAnsi="Garamond"/>
          <w:i/>
          <w:lang w:val="en-AU"/>
        </w:rPr>
        <w:br w:type="page"/>
      </w:r>
    </w:p>
    <w:p w:rsidR="00985853" w:rsidRPr="002421F5" w:rsidRDefault="00985853" w:rsidP="00985853">
      <w:pPr>
        <w:keepNext/>
        <w:keepLines/>
        <w:autoSpaceDE w:val="0"/>
        <w:autoSpaceDN w:val="0"/>
        <w:adjustRightInd w:val="0"/>
        <w:rPr>
          <w:rFonts w:ascii="Garamond" w:hAnsi="Garamond"/>
          <w:i/>
          <w:lang w:val="en-AU"/>
        </w:rPr>
      </w:pPr>
      <w:r w:rsidRPr="002421F5">
        <w:rPr>
          <w:rFonts w:ascii="Garamond" w:hAnsi="Garamond"/>
          <w:i/>
          <w:lang w:val="en-AU"/>
        </w:rPr>
        <w:lastRenderedPageBreak/>
        <w:t>Nurse staffing, nursing assistants and hospital mortality: retrospective longitudinal cohort study</w:t>
      </w:r>
    </w:p>
    <w:p w:rsidR="00985853" w:rsidRDefault="00985853" w:rsidP="00985853">
      <w:pPr>
        <w:keepNext/>
        <w:keepLines/>
        <w:autoSpaceDE w:val="0"/>
        <w:autoSpaceDN w:val="0"/>
        <w:adjustRightInd w:val="0"/>
        <w:rPr>
          <w:rFonts w:ascii="Garamond" w:hAnsi="Garamond"/>
          <w:lang w:val="en-AU"/>
        </w:rPr>
      </w:pPr>
      <w:r w:rsidRPr="002421F5">
        <w:rPr>
          <w:rFonts w:ascii="Garamond" w:hAnsi="Garamond"/>
          <w:lang w:val="en-AU"/>
        </w:rPr>
        <w:t>Griffiths P, Maruotti A, Recio Saucedo A, Redfern OC, Ball JE, Briggs J, et al</w:t>
      </w:r>
      <w:r>
        <w:rPr>
          <w:rFonts w:ascii="Garamond" w:hAnsi="Garamond"/>
          <w:lang w:val="en-AU"/>
        </w:rPr>
        <w:t xml:space="preserve"> </w:t>
      </w:r>
      <w:r w:rsidRPr="00747756">
        <w:rPr>
          <w:rFonts w:ascii="Garamond" w:hAnsi="Garamond"/>
          <w:lang w:val="en-AU"/>
        </w:rPr>
        <w:t>On behalf of Missed Care Study Group</w:t>
      </w:r>
    </w:p>
    <w:p w:rsidR="00985853" w:rsidRDefault="00985853" w:rsidP="00985853">
      <w:pPr>
        <w:keepNext/>
        <w:keepLines/>
        <w:autoSpaceDE w:val="0"/>
        <w:autoSpaceDN w:val="0"/>
        <w:adjustRightInd w:val="0"/>
        <w:rPr>
          <w:rFonts w:ascii="Garamond" w:hAnsi="Garamond"/>
          <w:lang w:val="en-AU"/>
        </w:rPr>
      </w:pPr>
      <w:r w:rsidRPr="002421F5">
        <w:rPr>
          <w:rFonts w:ascii="Garamond" w:hAnsi="Garamond"/>
          <w:lang w:val="en-AU"/>
        </w:rPr>
        <w:t>BMJ Quality &amp; Safety. 2018</w:t>
      </w:r>
      <w:r>
        <w:rPr>
          <w:rFonts w:ascii="Garamond" w:hAnsi="Garamond"/>
          <w:lang w:val="en-AU"/>
        </w:rPr>
        <w:t xml:space="preserve"> [epub].</w:t>
      </w:r>
    </w:p>
    <w:p w:rsidR="00985853" w:rsidRDefault="00985853" w:rsidP="00985853">
      <w:pPr>
        <w:keepNext/>
        <w:keepLines/>
        <w:autoSpaceDE w:val="0"/>
        <w:autoSpaceDN w:val="0"/>
        <w:adjustRightInd w:val="0"/>
        <w:rPr>
          <w:rFonts w:ascii="Garamond" w:hAnsi="Garamond"/>
          <w:lang w:val="en-AU"/>
        </w:rPr>
      </w:pPr>
    </w:p>
    <w:p w:rsidR="00985853" w:rsidRPr="00C77097" w:rsidRDefault="00985853" w:rsidP="00985853">
      <w:pPr>
        <w:keepNext/>
        <w:keepLines/>
        <w:autoSpaceDE w:val="0"/>
        <w:autoSpaceDN w:val="0"/>
        <w:adjustRightInd w:val="0"/>
        <w:rPr>
          <w:rFonts w:ascii="Garamond" w:hAnsi="Garamond"/>
          <w:i/>
          <w:lang w:val="en-AU"/>
        </w:rPr>
      </w:pPr>
      <w:r w:rsidRPr="00C77097">
        <w:rPr>
          <w:rFonts w:ascii="Garamond" w:hAnsi="Garamond"/>
          <w:i/>
          <w:lang w:val="en-AU"/>
        </w:rPr>
        <w:t>Effect of changes in hospital nursing resources on improvements in patient safety and quality of care: a panel study</w:t>
      </w:r>
    </w:p>
    <w:p w:rsidR="00985853" w:rsidRDefault="00985853" w:rsidP="00985853">
      <w:pPr>
        <w:keepNext/>
        <w:keepLines/>
        <w:autoSpaceDE w:val="0"/>
        <w:autoSpaceDN w:val="0"/>
        <w:adjustRightInd w:val="0"/>
        <w:rPr>
          <w:rFonts w:ascii="Garamond" w:hAnsi="Garamond"/>
          <w:lang w:val="en-AU"/>
        </w:rPr>
      </w:pPr>
      <w:r w:rsidRPr="00C77097">
        <w:rPr>
          <w:rFonts w:ascii="Garamond" w:hAnsi="Garamond"/>
          <w:lang w:val="en-AU"/>
        </w:rPr>
        <w:t>Sloane DM, Smith HL, McHugh MD, Aiken LH</w:t>
      </w:r>
    </w:p>
    <w:p w:rsidR="00985853" w:rsidRPr="002421F5" w:rsidRDefault="00985853" w:rsidP="00985853">
      <w:pPr>
        <w:keepNext/>
        <w:keepLines/>
        <w:autoSpaceDE w:val="0"/>
        <w:autoSpaceDN w:val="0"/>
        <w:adjustRightInd w:val="0"/>
        <w:rPr>
          <w:rFonts w:ascii="Garamond" w:hAnsi="Garamond"/>
          <w:lang w:val="en-AU"/>
        </w:rPr>
      </w:pPr>
      <w:r>
        <w:rPr>
          <w:rFonts w:ascii="Garamond" w:hAnsi="Garamond"/>
          <w:lang w:val="en-AU"/>
        </w:rPr>
        <w:t xml:space="preserve">Medical Care. </w:t>
      </w:r>
      <w:r w:rsidRPr="00C77097">
        <w:rPr>
          <w:rFonts w:ascii="Garamond" w:hAnsi="Garamond"/>
          <w:lang w:val="en-AU"/>
        </w:rPr>
        <w:t>2018</w:t>
      </w:r>
      <w:proofErr w:type="gramStart"/>
      <w:r w:rsidRPr="00C77097">
        <w:rPr>
          <w:rFonts w:ascii="Garamond" w:hAnsi="Garamond"/>
          <w:lang w:val="en-AU"/>
        </w:rPr>
        <w:t>;56</w:t>
      </w:r>
      <w:proofErr w:type="gramEnd"/>
      <w:r w:rsidRPr="00C77097">
        <w:rPr>
          <w:rFonts w:ascii="Garamond" w:hAnsi="Garamond"/>
          <w:lang w:val="en-AU"/>
        </w:rPr>
        <w:t>(12):1001-8.</w:t>
      </w:r>
    </w:p>
    <w:tbl>
      <w:tblPr>
        <w:tblStyle w:val="TableGrid"/>
        <w:tblW w:w="0" w:type="auto"/>
        <w:tblInd w:w="288" w:type="dxa"/>
        <w:tblLayout w:type="fixed"/>
        <w:tblLook w:val="01E0" w:firstRow="1" w:lastRow="1" w:firstColumn="1" w:lastColumn="1" w:noHBand="0" w:noVBand="0"/>
      </w:tblPr>
      <w:tblGrid>
        <w:gridCol w:w="1080"/>
        <w:gridCol w:w="8280"/>
      </w:tblGrid>
      <w:tr w:rsidR="00985853" w:rsidRPr="000170DA" w:rsidTr="00F04F5F">
        <w:tc>
          <w:tcPr>
            <w:tcW w:w="1080" w:type="dxa"/>
            <w:tcBorders>
              <w:top w:val="single" w:sz="4" w:space="0" w:color="auto"/>
              <w:left w:val="single" w:sz="4" w:space="0" w:color="auto"/>
              <w:bottom w:val="single" w:sz="4" w:space="0" w:color="auto"/>
              <w:right w:val="single" w:sz="4" w:space="0" w:color="auto"/>
            </w:tcBorders>
            <w:vAlign w:val="center"/>
          </w:tcPr>
          <w:p w:rsidR="00985853" w:rsidRPr="000170DA" w:rsidRDefault="00985853" w:rsidP="00F04F5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85853" w:rsidRDefault="00985853" w:rsidP="00F04F5F">
            <w:pPr>
              <w:rPr>
                <w:rStyle w:val="Hyperlink"/>
                <w:rFonts w:ascii="Garamond" w:hAnsi="Garamond"/>
                <w:color w:val="auto"/>
                <w:u w:val="none"/>
                <w:lang w:val="en-AU"/>
              </w:rPr>
            </w:pPr>
            <w:r>
              <w:rPr>
                <w:rStyle w:val="Hyperlink"/>
                <w:rFonts w:ascii="Garamond" w:hAnsi="Garamond"/>
                <w:color w:val="auto"/>
                <w:u w:val="none"/>
                <w:lang w:val="en-AU"/>
              </w:rPr>
              <w:t xml:space="preserve">Griffiths et al </w:t>
            </w:r>
            <w:hyperlink r:id="rId34" w:history="1">
              <w:r w:rsidRPr="00BA579C">
                <w:rPr>
                  <w:rStyle w:val="Hyperlink"/>
                  <w:rFonts w:ascii="Garamond" w:hAnsi="Garamond"/>
                  <w:lang w:val="en-AU"/>
                </w:rPr>
                <w:t>https://doi.org/10.1136/bmjqs-2018-008043</w:t>
              </w:r>
            </w:hyperlink>
          </w:p>
          <w:p w:rsidR="00985853" w:rsidRPr="000170DA" w:rsidRDefault="00985853" w:rsidP="00F04F5F">
            <w:pPr>
              <w:rPr>
                <w:rStyle w:val="Hyperlink"/>
                <w:rFonts w:ascii="Garamond" w:hAnsi="Garamond"/>
                <w:color w:val="auto"/>
                <w:u w:val="none"/>
                <w:lang w:val="en-AU"/>
              </w:rPr>
            </w:pPr>
            <w:r>
              <w:rPr>
                <w:rStyle w:val="Hyperlink"/>
                <w:rFonts w:ascii="Garamond" w:hAnsi="Garamond"/>
                <w:color w:val="auto"/>
                <w:u w:val="none"/>
                <w:lang w:val="en-AU"/>
              </w:rPr>
              <w:t xml:space="preserve">Sloane et al </w:t>
            </w:r>
            <w:hyperlink r:id="rId35" w:history="1">
              <w:r w:rsidR="00F4232D" w:rsidRPr="00BA579C">
                <w:rPr>
                  <w:rStyle w:val="Hyperlink"/>
                  <w:rFonts w:ascii="Garamond" w:hAnsi="Garamond"/>
                  <w:lang w:val="en-AU"/>
                </w:rPr>
                <w:t>https://doi.org/10.1097/MLR.0000000000001002</w:t>
              </w:r>
            </w:hyperlink>
          </w:p>
        </w:tc>
      </w:tr>
      <w:tr w:rsidR="00985853" w:rsidRPr="000170DA" w:rsidTr="00F04F5F">
        <w:tc>
          <w:tcPr>
            <w:tcW w:w="1080" w:type="dxa"/>
            <w:tcBorders>
              <w:top w:val="single" w:sz="4" w:space="0" w:color="auto"/>
              <w:left w:val="single" w:sz="4" w:space="0" w:color="auto"/>
              <w:bottom w:val="single" w:sz="4" w:space="0" w:color="auto"/>
              <w:right w:val="single" w:sz="4" w:space="0" w:color="auto"/>
            </w:tcBorders>
            <w:vAlign w:val="center"/>
          </w:tcPr>
          <w:p w:rsidR="00985853" w:rsidRPr="000170DA" w:rsidRDefault="00985853" w:rsidP="00F04F5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5853" w:rsidRDefault="00985853" w:rsidP="00F04F5F">
            <w:pPr>
              <w:rPr>
                <w:rFonts w:ascii="Garamond" w:hAnsi="Garamond"/>
                <w:lang w:val="en-AU"/>
              </w:rPr>
            </w:pPr>
            <w:r>
              <w:rPr>
                <w:rFonts w:ascii="Garamond" w:hAnsi="Garamond"/>
                <w:lang w:val="en-AU"/>
              </w:rPr>
              <w:t xml:space="preserve">The relationship between levels of nursing (and medical) staffing and the likes of missed care, quality of care, morbidity and mortality is something of a perennial debate. Griffiths et al report on a </w:t>
            </w:r>
            <w:r w:rsidRPr="00747756">
              <w:rPr>
                <w:rFonts w:ascii="Garamond" w:hAnsi="Garamond"/>
                <w:lang w:val="en-AU"/>
              </w:rPr>
              <w:t>retrospective longitudinal observational study</w:t>
            </w:r>
            <w:r>
              <w:rPr>
                <w:rFonts w:ascii="Garamond" w:hAnsi="Garamond"/>
                <w:lang w:val="en-AU"/>
              </w:rPr>
              <w:t xml:space="preserve"> used data covering </w:t>
            </w:r>
            <w:r w:rsidRPr="00747756">
              <w:rPr>
                <w:rFonts w:ascii="Garamond" w:hAnsi="Garamond"/>
                <w:lang w:val="en-AU"/>
              </w:rPr>
              <w:t>138</w:t>
            </w:r>
            <w:r>
              <w:rPr>
                <w:rFonts w:ascii="Garamond" w:hAnsi="Garamond"/>
                <w:lang w:val="en-AU"/>
              </w:rPr>
              <w:t>,</w:t>
            </w:r>
            <w:r w:rsidRPr="00747756">
              <w:rPr>
                <w:rFonts w:ascii="Garamond" w:hAnsi="Garamond"/>
                <w:lang w:val="en-AU"/>
              </w:rPr>
              <w:t xml:space="preserve">133 adult patients </w:t>
            </w:r>
            <w:r>
              <w:rPr>
                <w:rFonts w:ascii="Garamond" w:hAnsi="Garamond"/>
                <w:lang w:val="en-AU"/>
              </w:rPr>
              <w:t xml:space="preserve">who spent more than </w:t>
            </w:r>
            <w:r w:rsidRPr="00747756">
              <w:rPr>
                <w:rFonts w:ascii="Garamond" w:hAnsi="Garamond"/>
                <w:lang w:val="en-AU"/>
              </w:rPr>
              <w:t xml:space="preserve">1 day on </w:t>
            </w:r>
            <w:r>
              <w:rPr>
                <w:rFonts w:ascii="Garamond" w:hAnsi="Garamond"/>
                <w:lang w:val="en-AU"/>
              </w:rPr>
              <w:t xml:space="preserve">any of 32 </w:t>
            </w:r>
            <w:r w:rsidRPr="00747756">
              <w:rPr>
                <w:rFonts w:ascii="Garamond" w:hAnsi="Garamond"/>
                <w:lang w:val="en-AU"/>
              </w:rPr>
              <w:t xml:space="preserve">general wards </w:t>
            </w:r>
            <w:r>
              <w:rPr>
                <w:rFonts w:ascii="Garamond" w:hAnsi="Garamond"/>
                <w:lang w:val="en-AU"/>
              </w:rPr>
              <w:t>in a</w:t>
            </w:r>
            <w:r w:rsidRPr="00747756">
              <w:rPr>
                <w:rFonts w:ascii="Garamond" w:hAnsi="Garamond"/>
                <w:lang w:val="en-AU"/>
              </w:rPr>
              <w:t xml:space="preserve"> large acute care general hospital </w:t>
            </w:r>
            <w:r>
              <w:rPr>
                <w:rFonts w:ascii="Garamond" w:hAnsi="Garamond"/>
                <w:lang w:val="en-AU"/>
              </w:rPr>
              <w:t xml:space="preserve">in England </w:t>
            </w:r>
            <w:r w:rsidRPr="00747756">
              <w:rPr>
                <w:rFonts w:ascii="Garamond" w:hAnsi="Garamond"/>
                <w:lang w:val="en-AU"/>
              </w:rPr>
              <w:t>between 1 April 2012 and 31 March 201</w:t>
            </w:r>
            <w:r>
              <w:rPr>
                <w:rFonts w:ascii="Garamond" w:hAnsi="Garamond"/>
                <w:lang w:val="en-AU"/>
              </w:rPr>
              <w:t>5 in order t</w:t>
            </w:r>
            <w:r w:rsidRPr="00747756">
              <w:rPr>
                <w:rFonts w:ascii="Garamond" w:hAnsi="Garamond"/>
                <w:lang w:val="en-AU"/>
              </w:rPr>
              <w:t xml:space="preserve">o </w:t>
            </w:r>
            <w:r>
              <w:rPr>
                <w:rFonts w:ascii="Garamond" w:hAnsi="Garamond"/>
                <w:lang w:val="en-AU"/>
              </w:rPr>
              <w:t xml:space="preserve">examination </w:t>
            </w:r>
            <w:r w:rsidRPr="00747756">
              <w:rPr>
                <w:rFonts w:ascii="Garamond" w:hAnsi="Garamond"/>
                <w:lang w:val="en-AU"/>
              </w:rPr>
              <w:t>the association between daily levels of registered nurse (RN) and nursing assistant staffing and hospital mortality</w:t>
            </w:r>
            <w:r>
              <w:rPr>
                <w:rFonts w:ascii="Garamond" w:hAnsi="Garamond"/>
                <w:lang w:val="en-AU"/>
              </w:rPr>
              <w:t>. The authors report that:</w:t>
            </w:r>
          </w:p>
          <w:p w:rsidR="00985853" w:rsidRDefault="00985853" w:rsidP="00F04F5F">
            <w:pPr>
              <w:pStyle w:val="ListParagraph"/>
              <w:numPr>
                <w:ilvl w:val="0"/>
                <w:numId w:val="38"/>
              </w:numPr>
              <w:rPr>
                <w:rFonts w:ascii="Garamond" w:hAnsi="Garamond"/>
                <w:lang w:val="en-AU"/>
              </w:rPr>
            </w:pPr>
            <w:r w:rsidRPr="00747756">
              <w:rPr>
                <w:rFonts w:ascii="Garamond" w:hAnsi="Garamond"/>
                <w:lang w:val="en-AU"/>
              </w:rPr>
              <w:t>Hospital mortality was 4.1%</w:t>
            </w:r>
          </w:p>
          <w:p w:rsidR="00985853" w:rsidRDefault="00985853" w:rsidP="00F04F5F">
            <w:pPr>
              <w:pStyle w:val="ListParagraph"/>
              <w:numPr>
                <w:ilvl w:val="0"/>
                <w:numId w:val="38"/>
              </w:numPr>
              <w:rPr>
                <w:rFonts w:ascii="Garamond" w:hAnsi="Garamond"/>
                <w:lang w:val="en-AU"/>
              </w:rPr>
            </w:pPr>
            <w:r>
              <w:rPr>
                <w:rFonts w:ascii="Garamond" w:hAnsi="Garamond"/>
                <w:lang w:val="en-AU"/>
              </w:rPr>
              <w:t>H</w:t>
            </w:r>
            <w:r w:rsidRPr="00747756">
              <w:rPr>
                <w:rFonts w:ascii="Garamond" w:hAnsi="Garamond"/>
                <w:lang w:val="en-AU"/>
              </w:rPr>
              <w:t>azard of death was increased by 3% for every day a patient experienced RN staffing below ward mean</w:t>
            </w:r>
          </w:p>
          <w:p w:rsidR="00985853" w:rsidRDefault="00985853" w:rsidP="00F04F5F">
            <w:pPr>
              <w:pStyle w:val="ListParagraph"/>
              <w:numPr>
                <w:ilvl w:val="0"/>
                <w:numId w:val="38"/>
              </w:numPr>
              <w:rPr>
                <w:rFonts w:ascii="Garamond" w:hAnsi="Garamond"/>
                <w:lang w:val="en-AU"/>
              </w:rPr>
            </w:pPr>
            <w:r>
              <w:rPr>
                <w:rFonts w:ascii="Garamond" w:hAnsi="Garamond"/>
                <w:lang w:val="en-AU"/>
              </w:rPr>
              <w:t>E</w:t>
            </w:r>
            <w:r w:rsidRPr="00747756">
              <w:rPr>
                <w:rFonts w:ascii="Garamond" w:hAnsi="Garamond"/>
                <w:lang w:val="en-AU"/>
              </w:rPr>
              <w:t>ach additional hour of RN care available over the first 5 days of a patient’s stay was associated with 3% reduction in the hazard of death</w:t>
            </w:r>
          </w:p>
          <w:p w:rsidR="00985853" w:rsidRDefault="00985853" w:rsidP="00F04F5F">
            <w:pPr>
              <w:pStyle w:val="ListParagraph"/>
              <w:numPr>
                <w:ilvl w:val="0"/>
                <w:numId w:val="38"/>
              </w:numPr>
              <w:rPr>
                <w:rFonts w:ascii="Garamond" w:hAnsi="Garamond"/>
                <w:lang w:val="en-AU"/>
              </w:rPr>
            </w:pPr>
            <w:r w:rsidRPr="00747756">
              <w:rPr>
                <w:rFonts w:ascii="Garamond" w:hAnsi="Garamond"/>
                <w:lang w:val="en-AU"/>
              </w:rPr>
              <w:t>Days where admissions per RN exceeded 125% of the ward mean were associated with an increased hazard of death</w:t>
            </w:r>
          </w:p>
          <w:p w:rsidR="00985853" w:rsidRPr="00747756" w:rsidRDefault="00985853" w:rsidP="00F04F5F">
            <w:pPr>
              <w:pStyle w:val="ListParagraph"/>
              <w:numPr>
                <w:ilvl w:val="0"/>
                <w:numId w:val="38"/>
              </w:numPr>
              <w:rPr>
                <w:rFonts w:ascii="Garamond" w:hAnsi="Garamond"/>
                <w:lang w:val="en-AU"/>
              </w:rPr>
            </w:pPr>
            <w:r>
              <w:rPr>
                <w:rFonts w:ascii="Garamond" w:hAnsi="Garamond"/>
                <w:lang w:val="en-AU"/>
              </w:rPr>
              <w:t>N</w:t>
            </w:r>
            <w:r w:rsidRPr="00747756">
              <w:rPr>
                <w:rFonts w:ascii="Garamond" w:hAnsi="Garamond"/>
                <w:lang w:val="en-AU"/>
              </w:rPr>
              <w:t>ursing assistant staffing was associated with increased mortality.</w:t>
            </w:r>
          </w:p>
          <w:p w:rsidR="00985853" w:rsidRDefault="00985853" w:rsidP="00F04F5F">
            <w:pPr>
              <w:rPr>
                <w:rFonts w:ascii="Garamond" w:hAnsi="Garamond"/>
                <w:lang w:val="en-AU"/>
              </w:rPr>
            </w:pPr>
            <w:r>
              <w:rPr>
                <w:rFonts w:ascii="Garamond" w:hAnsi="Garamond"/>
                <w:lang w:val="en-AU"/>
              </w:rPr>
              <w:t>These led the authors to conclude that “</w:t>
            </w:r>
            <w:r w:rsidRPr="00747756">
              <w:rPr>
                <w:rFonts w:ascii="Garamond" w:hAnsi="Garamond"/>
                <w:b/>
                <w:lang w:val="en-AU"/>
              </w:rPr>
              <w:t>Lower RN staffing</w:t>
            </w:r>
            <w:r w:rsidRPr="00747756">
              <w:rPr>
                <w:rFonts w:ascii="Garamond" w:hAnsi="Garamond"/>
                <w:lang w:val="en-AU"/>
              </w:rPr>
              <w:t xml:space="preserve"> and </w:t>
            </w:r>
            <w:r w:rsidRPr="00747756">
              <w:rPr>
                <w:rFonts w:ascii="Garamond" w:hAnsi="Garamond"/>
                <w:b/>
                <w:lang w:val="en-AU"/>
              </w:rPr>
              <w:t>higher levels of admissions per RN</w:t>
            </w:r>
            <w:r w:rsidRPr="00747756">
              <w:rPr>
                <w:rFonts w:ascii="Garamond" w:hAnsi="Garamond"/>
                <w:lang w:val="en-AU"/>
              </w:rPr>
              <w:t xml:space="preserve"> are associated with </w:t>
            </w:r>
            <w:r w:rsidRPr="00747756">
              <w:rPr>
                <w:rFonts w:ascii="Garamond" w:hAnsi="Garamond"/>
                <w:b/>
                <w:lang w:val="en-AU"/>
              </w:rPr>
              <w:t>increased risk of death</w:t>
            </w:r>
            <w:r w:rsidRPr="00747756">
              <w:rPr>
                <w:rFonts w:ascii="Garamond" w:hAnsi="Garamond"/>
                <w:lang w:val="en-AU"/>
              </w:rPr>
              <w:t xml:space="preserve"> during an admission to hospital.</w:t>
            </w:r>
            <w:r>
              <w:rPr>
                <w:rFonts w:ascii="Garamond" w:hAnsi="Garamond"/>
                <w:lang w:val="en-AU"/>
              </w:rPr>
              <w:t>” Perhaps more controversially, they go on to suggest that “</w:t>
            </w:r>
            <w:r w:rsidRPr="00747756">
              <w:rPr>
                <w:rFonts w:ascii="Garamond" w:hAnsi="Garamond"/>
                <w:lang w:val="en-AU"/>
              </w:rPr>
              <w:t>These findings highlight the possible consequences of reduced nurse staffing and do not give support to policies that encourage the use of nursing assistants to compensate for shortages of RNs.</w:t>
            </w:r>
            <w:r>
              <w:rPr>
                <w:rFonts w:ascii="Garamond" w:hAnsi="Garamond"/>
                <w:lang w:val="en-AU"/>
              </w:rPr>
              <w:t>”</w:t>
            </w:r>
          </w:p>
          <w:p w:rsidR="00985853" w:rsidRPr="000365E9" w:rsidRDefault="00985853" w:rsidP="00F04F5F">
            <w:pPr>
              <w:rPr>
                <w:rFonts w:ascii="Garamond" w:hAnsi="Garamond"/>
                <w:lang w:val="en-AU"/>
              </w:rPr>
            </w:pPr>
            <w:r>
              <w:rPr>
                <w:rFonts w:ascii="Garamond" w:hAnsi="Garamond"/>
                <w:lang w:val="en-AU"/>
              </w:rPr>
              <w:t>Sloane et al used data from 737 hospitals in m</w:t>
            </w:r>
            <w:r w:rsidRPr="00C77097">
              <w:rPr>
                <w:rFonts w:ascii="Garamond" w:hAnsi="Garamond"/>
                <w:lang w:val="en-AU"/>
              </w:rPr>
              <w:t>ultilevel logistic response model</w:t>
            </w:r>
            <w:r>
              <w:rPr>
                <w:rFonts w:ascii="Garamond" w:hAnsi="Garamond"/>
                <w:lang w:val="en-AU"/>
              </w:rPr>
              <w:t>s</w:t>
            </w:r>
            <w:r w:rsidRPr="00C77097">
              <w:rPr>
                <w:rFonts w:ascii="Garamond" w:hAnsi="Garamond"/>
                <w:lang w:val="en-AU"/>
              </w:rPr>
              <w:t xml:space="preserve">, </w:t>
            </w:r>
            <w:r>
              <w:rPr>
                <w:rFonts w:ascii="Garamond" w:hAnsi="Garamond"/>
                <w:lang w:val="en-AU"/>
              </w:rPr>
              <w:t xml:space="preserve">to </w:t>
            </w:r>
            <w:r w:rsidRPr="00C77097">
              <w:rPr>
                <w:rFonts w:ascii="Garamond" w:hAnsi="Garamond"/>
                <w:lang w:val="en-AU"/>
              </w:rPr>
              <w:t>estimate longitudinal and cross-sectional associations between nursing resources, quality of care, and patient safety.</w:t>
            </w:r>
            <w:r>
              <w:rPr>
                <w:rFonts w:ascii="Garamond" w:hAnsi="Garamond"/>
                <w:lang w:val="en-AU"/>
              </w:rPr>
              <w:t xml:space="preserve"> Their analyses led them to conclude that “</w:t>
            </w:r>
            <w:r w:rsidRPr="000803E5">
              <w:rPr>
                <w:rFonts w:ascii="Garamond" w:hAnsi="Garamond"/>
                <w:b/>
                <w:lang w:val="en-AU"/>
              </w:rPr>
              <w:t>Improvements</w:t>
            </w:r>
            <w:r w:rsidRPr="000803E5">
              <w:rPr>
                <w:rFonts w:ascii="Garamond" w:hAnsi="Garamond"/>
                <w:lang w:val="en-AU"/>
              </w:rPr>
              <w:t xml:space="preserve"> within hospitals in </w:t>
            </w:r>
            <w:r w:rsidRPr="000803E5">
              <w:rPr>
                <w:rFonts w:ascii="Garamond" w:hAnsi="Garamond"/>
                <w:b/>
                <w:lang w:val="en-AU"/>
              </w:rPr>
              <w:t>work environments</w:t>
            </w:r>
            <w:r w:rsidRPr="000803E5">
              <w:rPr>
                <w:rFonts w:ascii="Garamond" w:hAnsi="Garamond"/>
                <w:lang w:val="en-AU"/>
              </w:rPr>
              <w:t xml:space="preserve">, </w:t>
            </w:r>
            <w:r w:rsidRPr="000803E5">
              <w:rPr>
                <w:rFonts w:ascii="Garamond" w:hAnsi="Garamond"/>
                <w:b/>
                <w:lang w:val="en-AU"/>
              </w:rPr>
              <w:t>nurse staffing</w:t>
            </w:r>
            <w:r w:rsidRPr="000803E5">
              <w:rPr>
                <w:rFonts w:ascii="Garamond" w:hAnsi="Garamond"/>
                <w:lang w:val="en-AU"/>
              </w:rPr>
              <w:t xml:space="preserve">, and </w:t>
            </w:r>
            <w:r w:rsidRPr="000803E5">
              <w:rPr>
                <w:rFonts w:ascii="Garamond" w:hAnsi="Garamond"/>
                <w:b/>
                <w:lang w:val="en-AU"/>
              </w:rPr>
              <w:t>educational composition of nurses</w:t>
            </w:r>
            <w:r w:rsidRPr="000803E5">
              <w:rPr>
                <w:rFonts w:ascii="Garamond" w:hAnsi="Garamond"/>
                <w:lang w:val="en-AU"/>
              </w:rPr>
              <w:t xml:space="preserve"> coincide with </w:t>
            </w:r>
            <w:r w:rsidRPr="000803E5">
              <w:rPr>
                <w:rFonts w:ascii="Garamond" w:hAnsi="Garamond"/>
                <w:b/>
                <w:lang w:val="en-AU"/>
              </w:rPr>
              <w:t>improvements</w:t>
            </w:r>
            <w:r w:rsidRPr="000803E5">
              <w:rPr>
                <w:rFonts w:ascii="Garamond" w:hAnsi="Garamond"/>
                <w:lang w:val="en-AU"/>
              </w:rPr>
              <w:t xml:space="preserve"> in </w:t>
            </w:r>
            <w:r w:rsidRPr="000803E5">
              <w:rPr>
                <w:rFonts w:ascii="Garamond" w:hAnsi="Garamond"/>
                <w:b/>
                <w:lang w:val="en-AU"/>
              </w:rPr>
              <w:t>quality of care</w:t>
            </w:r>
            <w:r w:rsidRPr="000803E5">
              <w:rPr>
                <w:rFonts w:ascii="Garamond" w:hAnsi="Garamond"/>
                <w:lang w:val="en-AU"/>
              </w:rPr>
              <w:t xml:space="preserve"> and </w:t>
            </w:r>
            <w:r w:rsidRPr="000803E5">
              <w:rPr>
                <w:rFonts w:ascii="Garamond" w:hAnsi="Garamond"/>
                <w:b/>
                <w:lang w:val="en-AU"/>
              </w:rPr>
              <w:t>patient safety</w:t>
            </w:r>
            <w:r w:rsidRPr="000803E5">
              <w:rPr>
                <w:rFonts w:ascii="Garamond" w:hAnsi="Garamond"/>
                <w:lang w:val="en-AU"/>
              </w:rPr>
              <w:t>.</w:t>
            </w:r>
            <w:r>
              <w:rPr>
                <w:rFonts w:ascii="Garamond" w:hAnsi="Garamond"/>
                <w:lang w:val="en-AU"/>
              </w:rPr>
              <w:t>”</w:t>
            </w:r>
          </w:p>
        </w:tc>
      </w:tr>
    </w:tbl>
    <w:p w:rsidR="00985853" w:rsidRDefault="00985853" w:rsidP="00985853">
      <w:pPr>
        <w:keepNext/>
        <w:keepLines/>
        <w:autoSpaceDE w:val="0"/>
        <w:autoSpaceDN w:val="0"/>
        <w:adjustRightInd w:val="0"/>
        <w:rPr>
          <w:rFonts w:ascii="Garamond" w:hAnsi="Garamond"/>
          <w:i/>
          <w:lang w:val="en-AU"/>
        </w:rPr>
      </w:pPr>
    </w:p>
    <w:p w:rsidR="000C28BA" w:rsidRDefault="000C28BA" w:rsidP="000C28BA">
      <w:pPr>
        <w:keepNext/>
        <w:keepLines/>
        <w:autoSpaceDE w:val="0"/>
        <w:autoSpaceDN w:val="0"/>
        <w:adjustRightInd w:val="0"/>
        <w:rPr>
          <w:rFonts w:ascii="Garamond" w:hAnsi="Garamond"/>
          <w:i/>
          <w:lang w:val="en-AU"/>
        </w:rPr>
      </w:pPr>
      <w:r w:rsidRPr="000C28BA">
        <w:rPr>
          <w:rFonts w:ascii="Garamond" w:hAnsi="Garamond"/>
          <w:i/>
          <w:lang w:val="en-AU"/>
        </w:rPr>
        <w:t>Journal of Patient Safety and Risk Management</w:t>
      </w:r>
    </w:p>
    <w:p w:rsidR="000C28BA" w:rsidRPr="000C28BA" w:rsidRDefault="000C28BA" w:rsidP="000C28BA">
      <w:pPr>
        <w:keepNext/>
        <w:keepLines/>
        <w:autoSpaceDE w:val="0"/>
        <w:autoSpaceDN w:val="0"/>
        <w:adjustRightInd w:val="0"/>
        <w:rPr>
          <w:rFonts w:ascii="Garamond" w:hAnsi="Garamond"/>
          <w:lang w:val="en-AU"/>
        </w:rPr>
      </w:pPr>
      <w:r w:rsidRPr="000C28BA">
        <w:rPr>
          <w:rFonts w:ascii="Garamond" w:hAnsi="Garamond"/>
          <w:lang w:val="en-AU"/>
        </w:rPr>
        <w:t xml:space="preserve">Volume: 23, Number: 6 (December 2018) </w:t>
      </w:r>
    </w:p>
    <w:tbl>
      <w:tblPr>
        <w:tblStyle w:val="TableGrid"/>
        <w:tblW w:w="0" w:type="auto"/>
        <w:tblInd w:w="288" w:type="dxa"/>
        <w:tblLayout w:type="fixed"/>
        <w:tblLook w:val="01E0" w:firstRow="1" w:lastRow="1" w:firstColumn="1" w:lastColumn="1" w:noHBand="0" w:noVBand="0"/>
      </w:tblPr>
      <w:tblGrid>
        <w:gridCol w:w="1080"/>
        <w:gridCol w:w="8280"/>
      </w:tblGrid>
      <w:tr w:rsidR="000C28BA"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0C28BA" w:rsidRPr="000170DA" w:rsidRDefault="000C28BA" w:rsidP="0041436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28BA" w:rsidRPr="000170DA" w:rsidRDefault="005D1FF8" w:rsidP="00414361">
            <w:pPr>
              <w:rPr>
                <w:rStyle w:val="Hyperlink"/>
                <w:rFonts w:ascii="Garamond" w:hAnsi="Garamond"/>
                <w:color w:val="auto"/>
                <w:u w:val="none"/>
                <w:lang w:val="en-AU"/>
              </w:rPr>
            </w:pPr>
            <w:hyperlink r:id="rId36" w:history="1">
              <w:r w:rsidR="000C28BA" w:rsidRPr="00D44627">
                <w:rPr>
                  <w:rStyle w:val="Hyperlink"/>
                  <w:rFonts w:ascii="Garamond" w:hAnsi="Garamond"/>
                  <w:lang w:val="en-AU"/>
                </w:rPr>
                <w:t>https://journals.sagepub.com/toc/cric/23/6</w:t>
              </w:r>
            </w:hyperlink>
          </w:p>
        </w:tc>
      </w:tr>
      <w:tr w:rsidR="000C28BA"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0C28BA" w:rsidRPr="000170DA" w:rsidRDefault="000C28BA" w:rsidP="0041436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28BA" w:rsidRDefault="000C28BA" w:rsidP="000C28BA">
            <w:pPr>
              <w:rPr>
                <w:rFonts w:ascii="Garamond" w:hAnsi="Garamond"/>
                <w:lang w:val="en-AU"/>
              </w:rPr>
            </w:pPr>
            <w:r w:rsidRPr="001450F8">
              <w:rPr>
                <w:rFonts w:ascii="Garamond" w:hAnsi="Garamond"/>
                <w:lang w:val="en-AU"/>
              </w:rPr>
              <w:t xml:space="preserve">A new issue of </w:t>
            </w:r>
            <w:r>
              <w:rPr>
                <w:rFonts w:ascii="Garamond" w:hAnsi="Garamond"/>
                <w:lang w:val="en-AU"/>
              </w:rPr>
              <w:t xml:space="preserve">the </w:t>
            </w:r>
            <w:r w:rsidRPr="000C28BA">
              <w:rPr>
                <w:rFonts w:ascii="Garamond" w:hAnsi="Garamond"/>
                <w:i/>
                <w:lang w:val="en-AU"/>
              </w:rPr>
              <w:t>Journal of Patient Safety and Risk Management</w:t>
            </w:r>
            <w:r w:rsidRPr="008C34D3">
              <w:rPr>
                <w:rFonts w:ascii="Garamond" w:hAnsi="Garamond"/>
                <w:i/>
                <w:lang w:val="en-AU"/>
              </w:rPr>
              <w:t xml:space="preserve"> </w:t>
            </w:r>
            <w:r w:rsidRPr="001450F8">
              <w:rPr>
                <w:rFonts w:ascii="Garamond" w:hAnsi="Garamond"/>
                <w:lang w:val="en-AU"/>
              </w:rPr>
              <w:t xml:space="preserve">has been published. Articles in this issue of </w:t>
            </w:r>
            <w:r>
              <w:rPr>
                <w:rFonts w:ascii="Garamond" w:hAnsi="Garamond"/>
                <w:lang w:val="en-AU"/>
              </w:rPr>
              <w:t xml:space="preserve">the </w:t>
            </w:r>
            <w:r w:rsidRPr="000C28BA">
              <w:rPr>
                <w:rFonts w:ascii="Garamond" w:hAnsi="Garamond"/>
                <w:i/>
                <w:lang w:val="en-AU"/>
              </w:rPr>
              <w:t>Journal of Patient Safety and Risk Management</w:t>
            </w:r>
            <w:r w:rsidRPr="008C34D3">
              <w:rPr>
                <w:rFonts w:ascii="Garamond" w:hAnsi="Garamond"/>
                <w:i/>
                <w:lang w:val="en-AU"/>
              </w:rPr>
              <w:t xml:space="preserve"> </w:t>
            </w:r>
            <w:r w:rsidRPr="001450F8">
              <w:rPr>
                <w:rFonts w:ascii="Garamond" w:hAnsi="Garamond"/>
                <w:lang w:val="en-AU"/>
              </w:rPr>
              <w:t>include:</w:t>
            </w:r>
          </w:p>
          <w:p w:rsidR="000C28BA" w:rsidRPr="000C28BA" w:rsidRDefault="000C28BA" w:rsidP="000C28BA">
            <w:pPr>
              <w:pStyle w:val="ListParagraph"/>
              <w:numPr>
                <w:ilvl w:val="0"/>
                <w:numId w:val="34"/>
              </w:numPr>
              <w:rPr>
                <w:rFonts w:ascii="Garamond" w:hAnsi="Garamond"/>
                <w:lang w:val="en-AU"/>
              </w:rPr>
            </w:pPr>
            <w:r w:rsidRPr="000C28BA">
              <w:rPr>
                <w:rFonts w:ascii="Garamond" w:hAnsi="Garamond"/>
                <w:lang w:val="en-AU"/>
              </w:rPr>
              <w:t xml:space="preserve">Editorial: What good is </w:t>
            </w:r>
            <w:r w:rsidRPr="000C28BA">
              <w:rPr>
                <w:rFonts w:ascii="Garamond" w:hAnsi="Garamond"/>
                <w:b/>
                <w:lang w:val="en-AU"/>
              </w:rPr>
              <w:t>access to unsafe care</w:t>
            </w:r>
            <w:r w:rsidRPr="000C28BA">
              <w:rPr>
                <w:rFonts w:ascii="Garamond" w:hAnsi="Garamond"/>
                <w:lang w:val="en-AU"/>
              </w:rPr>
              <w:t>? A developing dilemma (Albert W</w:t>
            </w:r>
            <w:r>
              <w:rPr>
                <w:rFonts w:ascii="Garamond" w:hAnsi="Garamond"/>
                <w:lang w:val="en-AU"/>
              </w:rPr>
              <w:t xml:space="preserve"> Wu)</w:t>
            </w:r>
          </w:p>
          <w:p w:rsidR="000C28BA" w:rsidRPr="000C28BA" w:rsidRDefault="000C28BA" w:rsidP="000C28BA">
            <w:pPr>
              <w:pStyle w:val="ListParagraph"/>
              <w:numPr>
                <w:ilvl w:val="0"/>
                <w:numId w:val="34"/>
              </w:numPr>
              <w:rPr>
                <w:rFonts w:ascii="Garamond" w:hAnsi="Garamond"/>
                <w:lang w:val="en-AU"/>
              </w:rPr>
            </w:pPr>
            <w:r w:rsidRPr="000C28BA">
              <w:rPr>
                <w:rFonts w:ascii="Garamond" w:hAnsi="Garamond"/>
                <w:lang w:val="en-AU"/>
              </w:rPr>
              <w:t xml:space="preserve">Implementation of a </w:t>
            </w:r>
            <w:r w:rsidRPr="000C28BA">
              <w:rPr>
                <w:rFonts w:ascii="Garamond" w:hAnsi="Garamond"/>
                <w:b/>
                <w:lang w:val="en-AU"/>
              </w:rPr>
              <w:t>second victim program in the neonatal intensive care unit</w:t>
            </w:r>
            <w:r w:rsidRPr="000C28BA">
              <w:rPr>
                <w:rFonts w:ascii="Garamond" w:hAnsi="Garamond"/>
                <w:lang w:val="en-AU"/>
              </w:rPr>
              <w:t>: An interim analysis of employee satisfaction (Jenna Merandi, Adrien M Winning, Nancy Liao, Erin Rogers, Dorcas Lewe, and Cynthia A Gerhardt)</w:t>
            </w:r>
          </w:p>
          <w:p w:rsidR="000C28BA" w:rsidRPr="000C28BA" w:rsidRDefault="000C28BA" w:rsidP="000C28BA">
            <w:pPr>
              <w:pStyle w:val="ListParagraph"/>
              <w:numPr>
                <w:ilvl w:val="0"/>
                <w:numId w:val="34"/>
              </w:numPr>
              <w:rPr>
                <w:rFonts w:ascii="Garamond" w:hAnsi="Garamond"/>
                <w:lang w:val="en-AU"/>
              </w:rPr>
            </w:pPr>
            <w:r w:rsidRPr="000C28BA">
              <w:rPr>
                <w:rFonts w:ascii="Garamond" w:hAnsi="Garamond"/>
                <w:lang w:val="en-AU"/>
              </w:rPr>
              <w:t xml:space="preserve">When can I drive? </w:t>
            </w:r>
            <w:r w:rsidRPr="000C28BA">
              <w:rPr>
                <w:rFonts w:ascii="Garamond" w:hAnsi="Garamond"/>
                <w:b/>
                <w:lang w:val="en-AU"/>
              </w:rPr>
              <w:t>Advising patients when to drive after general surgical procedures</w:t>
            </w:r>
            <w:r w:rsidRPr="000C28BA">
              <w:rPr>
                <w:rFonts w:ascii="Garamond" w:hAnsi="Garamond"/>
                <w:lang w:val="en-AU"/>
              </w:rPr>
              <w:t xml:space="preserve"> (</w:t>
            </w:r>
            <w:r>
              <w:rPr>
                <w:rFonts w:ascii="Garamond" w:hAnsi="Garamond"/>
                <w:lang w:val="en-AU"/>
              </w:rPr>
              <w:t>Steven Dixon and Sean Woodcock)</w:t>
            </w:r>
          </w:p>
          <w:p w:rsidR="000C28BA" w:rsidRPr="000C28BA" w:rsidRDefault="000C28BA" w:rsidP="000C28BA">
            <w:pPr>
              <w:pStyle w:val="ListParagraph"/>
              <w:numPr>
                <w:ilvl w:val="0"/>
                <w:numId w:val="34"/>
              </w:numPr>
              <w:rPr>
                <w:rFonts w:ascii="Garamond" w:hAnsi="Garamond"/>
                <w:lang w:val="en-AU"/>
              </w:rPr>
            </w:pPr>
            <w:r w:rsidRPr="000C28BA">
              <w:rPr>
                <w:rFonts w:ascii="Garamond" w:hAnsi="Garamond"/>
                <w:b/>
                <w:lang w:val="en-AU"/>
              </w:rPr>
              <w:lastRenderedPageBreak/>
              <w:t>Malignant melanoma</w:t>
            </w:r>
            <w:r w:rsidRPr="000C28BA">
              <w:rPr>
                <w:rFonts w:ascii="Garamond" w:hAnsi="Garamond"/>
                <w:lang w:val="en-AU"/>
              </w:rPr>
              <w:t>: Claims and controversies (</w:t>
            </w:r>
            <w:r>
              <w:rPr>
                <w:rFonts w:ascii="Garamond" w:hAnsi="Garamond"/>
                <w:lang w:val="en-AU"/>
              </w:rPr>
              <w:t>Christopher A Stone)</w:t>
            </w:r>
          </w:p>
          <w:p w:rsidR="000C28BA" w:rsidRPr="000F260A" w:rsidRDefault="000F260A" w:rsidP="000C28BA">
            <w:pPr>
              <w:pStyle w:val="ListParagraph"/>
              <w:numPr>
                <w:ilvl w:val="0"/>
                <w:numId w:val="34"/>
              </w:numPr>
              <w:rPr>
                <w:rFonts w:ascii="Garamond" w:hAnsi="Garamond"/>
                <w:lang w:val="en-AU"/>
              </w:rPr>
            </w:pPr>
            <w:r w:rsidRPr="000F260A">
              <w:rPr>
                <w:rFonts w:ascii="Garamond" w:hAnsi="Garamond"/>
                <w:b/>
                <w:lang w:val="en-AU"/>
              </w:rPr>
              <w:t>Case Report</w:t>
            </w:r>
            <w:r w:rsidRPr="000F260A">
              <w:rPr>
                <w:rFonts w:ascii="Garamond" w:hAnsi="Garamond"/>
                <w:lang w:val="en-AU"/>
              </w:rPr>
              <w:t xml:space="preserve">: </w:t>
            </w:r>
            <w:r w:rsidR="000C28BA" w:rsidRPr="000F260A">
              <w:rPr>
                <w:rFonts w:ascii="Garamond" w:hAnsi="Garamond"/>
                <w:lang w:val="en-AU"/>
              </w:rPr>
              <w:t xml:space="preserve">EH v Dorset Healthcare University NHS Foundation Trust (Court of Appeal, 3 August 2018) </w:t>
            </w:r>
          </w:p>
          <w:p w:rsidR="000C28BA" w:rsidRPr="000C28BA" w:rsidRDefault="000F260A" w:rsidP="000F260A">
            <w:pPr>
              <w:pStyle w:val="ListParagraph"/>
              <w:numPr>
                <w:ilvl w:val="0"/>
                <w:numId w:val="34"/>
              </w:numPr>
              <w:rPr>
                <w:rFonts w:ascii="Garamond" w:hAnsi="Garamond"/>
                <w:lang w:val="en-AU"/>
              </w:rPr>
            </w:pPr>
            <w:r w:rsidRPr="000F260A">
              <w:rPr>
                <w:rFonts w:ascii="Garamond" w:hAnsi="Garamond"/>
                <w:b/>
                <w:lang w:val="en-AU"/>
              </w:rPr>
              <w:t>Case Report</w:t>
            </w:r>
            <w:r w:rsidRPr="000F260A">
              <w:rPr>
                <w:rFonts w:ascii="Garamond" w:hAnsi="Garamond"/>
                <w:lang w:val="en-AU"/>
              </w:rPr>
              <w:t xml:space="preserve">: </w:t>
            </w:r>
            <w:r w:rsidR="000C28BA" w:rsidRPr="000C28BA">
              <w:rPr>
                <w:rFonts w:ascii="Garamond" w:hAnsi="Garamond"/>
                <w:lang w:val="en-AU"/>
              </w:rPr>
              <w:t>CB v Staffordshire and Stoke-on-Trent Partnership NHS Trust (High Court</w:t>
            </w:r>
            <w:r>
              <w:rPr>
                <w:rFonts w:ascii="Garamond" w:hAnsi="Garamond"/>
                <w:lang w:val="en-AU"/>
              </w:rPr>
              <w:t>, 6/8/2018 – Judge McKenna)</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b/>
                <w:lang w:val="en-AU"/>
              </w:rPr>
              <w:t>Patient safety situational analysis</w:t>
            </w:r>
            <w:r w:rsidRPr="000F260A">
              <w:rPr>
                <w:rFonts w:ascii="Garamond" w:hAnsi="Garamond"/>
                <w:lang w:val="en-AU"/>
              </w:rPr>
              <w:t xml:space="preserve"> in Ghana </w:t>
            </w:r>
            <w:r w:rsidR="000F260A" w:rsidRPr="000F260A">
              <w:rPr>
                <w:rFonts w:ascii="Garamond" w:hAnsi="Garamond"/>
                <w:lang w:val="en-AU"/>
              </w:rPr>
              <w:t>(</w:t>
            </w:r>
            <w:r w:rsidRPr="000F260A">
              <w:rPr>
                <w:rFonts w:ascii="Garamond" w:hAnsi="Garamond"/>
                <w:lang w:val="en-AU"/>
              </w:rPr>
              <w:t xml:space="preserve">EH Otchi, C Bannerman, </w:t>
            </w:r>
            <w:r w:rsidR="000F260A">
              <w:rPr>
                <w:rFonts w:ascii="Garamond" w:hAnsi="Garamond"/>
                <w:lang w:val="en-AU"/>
              </w:rPr>
              <w:t>S Lartey, KP Amoo, and E Odame)</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b/>
                <w:lang w:val="en-AU"/>
              </w:rPr>
              <w:t>Risk management and healthcare safety</w:t>
            </w:r>
            <w:r w:rsidRPr="000F260A">
              <w:rPr>
                <w:rFonts w:ascii="Garamond" w:hAnsi="Garamond"/>
                <w:lang w:val="en-AU"/>
              </w:rPr>
              <w:t xml:space="preserve">: Ten years of experience at the </w:t>
            </w:r>
            <w:r w:rsidRPr="000F260A">
              <w:rPr>
                <w:rFonts w:ascii="Garamond" w:hAnsi="Garamond"/>
                <w:b/>
                <w:lang w:val="en-AU"/>
              </w:rPr>
              <w:t>Vienna General Hospital</w:t>
            </w:r>
            <w:r w:rsidRPr="000F260A">
              <w:rPr>
                <w:rFonts w:ascii="Garamond" w:hAnsi="Garamond"/>
                <w:lang w:val="en-AU"/>
              </w:rPr>
              <w:t xml:space="preserve"> </w:t>
            </w:r>
            <w:r w:rsidR="000F260A" w:rsidRPr="000F260A">
              <w:rPr>
                <w:rFonts w:ascii="Garamond" w:hAnsi="Garamond"/>
                <w:lang w:val="en-AU"/>
              </w:rPr>
              <w:t>(Leopold-Michael Marzi)</w:t>
            </w:r>
          </w:p>
          <w:p w:rsidR="000C28BA" w:rsidRPr="000C28BA" w:rsidRDefault="000C28BA" w:rsidP="000F260A">
            <w:pPr>
              <w:pStyle w:val="ListParagraph"/>
              <w:numPr>
                <w:ilvl w:val="0"/>
                <w:numId w:val="34"/>
              </w:numPr>
              <w:rPr>
                <w:rFonts w:ascii="Garamond" w:hAnsi="Garamond"/>
                <w:lang w:val="en-AU"/>
              </w:rPr>
            </w:pPr>
            <w:r w:rsidRPr="000C28BA">
              <w:rPr>
                <w:rFonts w:ascii="Garamond" w:hAnsi="Garamond"/>
                <w:lang w:val="en-AU"/>
              </w:rPr>
              <w:t xml:space="preserve">The </w:t>
            </w:r>
            <w:r w:rsidRPr="000F260A">
              <w:rPr>
                <w:rFonts w:ascii="Garamond" w:hAnsi="Garamond"/>
                <w:b/>
                <w:lang w:val="en-AU"/>
              </w:rPr>
              <w:t>Weekend Efficiency and Safety Timetable (WEST) project</w:t>
            </w:r>
            <w:r w:rsidRPr="000C28BA">
              <w:rPr>
                <w:rFonts w:ascii="Garamond" w:hAnsi="Garamond"/>
                <w:lang w:val="en-AU"/>
              </w:rPr>
              <w:t xml:space="preserve">: Weekend </w:t>
            </w:r>
            <w:r w:rsidRPr="000F260A">
              <w:rPr>
                <w:rFonts w:ascii="Garamond" w:hAnsi="Garamond"/>
                <w:b/>
                <w:lang w:val="en-AU"/>
              </w:rPr>
              <w:t>handover</w:t>
            </w:r>
            <w:r w:rsidRPr="000C28BA">
              <w:rPr>
                <w:rFonts w:ascii="Garamond" w:hAnsi="Garamond"/>
                <w:lang w:val="en-AU"/>
              </w:rPr>
              <w:t xml:space="preserve"> going WEST?</w:t>
            </w:r>
            <w:r w:rsidR="000F260A">
              <w:rPr>
                <w:rFonts w:ascii="Garamond" w:hAnsi="Garamond"/>
                <w:lang w:val="en-AU"/>
              </w:rPr>
              <w:t xml:space="preserve"> (</w:t>
            </w:r>
            <w:r w:rsidRPr="000C28BA">
              <w:rPr>
                <w:rFonts w:ascii="Garamond" w:hAnsi="Garamond"/>
                <w:lang w:val="en-AU"/>
              </w:rPr>
              <w:t>Liam Piggott and Magdalena Ionescu</w:t>
            </w:r>
            <w:r w:rsidR="000F260A">
              <w:rPr>
                <w:rFonts w:ascii="Garamond" w:hAnsi="Garamond"/>
                <w:lang w:val="en-AU"/>
              </w:rPr>
              <w:t>)</w:t>
            </w:r>
          </w:p>
        </w:tc>
      </w:tr>
    </w:tbl>
    <w:p w:rsidR="000C28BA" w:rsidRDefault="000C28BA" w:rsidP="000C28BA">
      <w:pPr>
        <w:keepNext/>
        <w:keepLines/>
        <w:autoSpaceDE w:val="0"/>
        <w:autoSpaceDN w:val="0"/>
        <w:adjustRightInd w:val="0"/>
        <w:rPr>
          <w:rFonts w:ascii="Garamond" w:hAnsi="Garamond"/>
          <w:i/>
          <w:lang w:val="en-AU"/>
        </w:rPr>
      </w:pPr>
    </w:p>
    <w:p w:rsidR="000C28BA" w:rsidRDefault="000C28BA" w:rsidP="000C28BA">
      <w:pPr>
        <w:keepNext/>
        <w:keepLines/>
        <w:autoSpaceDE w:val="0"/>
        <w:autoSpaceDN w:val="0"/>
        <w:adjustRightInd w:val="0"/>
        <w:rPr>
          <w:rFonts w:ascii="Garamond" w:hAnsi="Garamond"/>
          <w:i/>
          <w:lang w:val="en-AU"/>
        </w:rPr>
      </w:pPr>
      <w:r w:rsidRPr="000C28BA">
        <w:rPr>
          <w:rFonts w:ascii="Garamond" w:hAnsi="Garamond"/>
          <w:i/>
          <w:lang w:val="en-AU"/>
        </w:rPr>
        <w:t>Journal of Patient Experience</w:t>
      </w:r>
    </w:p>
    <w:p w:rsidR="000C28BA" w:rsidRPr="000C28BA" w:rsidRDefault="000C28BA" w:rsidP="000C28BA">
      <w:pPr>
        <w:keepNext/>
        <w:keepLines/>
        <w:autoSpaceDE w:val="0"/>
        <w:autoSpaceDN w:val="0"/>
        <w:adjustRightInd w:val="0"/>
        <w:rPr>
          <w:rFonts w:ascii="Garamond" w:hAnsi="Garamond"/>
          <w:lang w:val="en-AU"/>
        </w:rPr>
      </w:pPr>
      <w:r w:rsidRPr="000C28BA">
        <w:rPr>
          <w:rFonts w:ascii="Garamond" w:hAnsi="Garamond"/>
          <w:lang w:val="en-AU"/>
        </w:rPr>
        <w:t>Volume: 5, Number: 4 (December 2018)</w:t>
      </w:r>
    </w:p>
    <w:tbl>
      <w:tblPr>
        <w:tblStyle w:val="TableGrid"/>
        <w:tblW w:w="0" w:type="auto"/>
        <w:tblInd w:w="288" w:type="dxa"/>
        <w:tblLayout w:type="fixed"/>
        <w:tblLook w:val="01E0" w:firstRow="1" w:lastRow="1" w:firstColumn="1" w:lastColumn="1" w:noHBand="0" w:noVBand="0"/>
      </w:tblPr>
      <w:tblGrid>
        <w:gridCol w:w="1080"/>
        <w:gridCol w:w="8280"/>
      </w:tblGrid>
      <w:tr w:rsidR="000C28BA"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0C28BA" w:rsidRPr="000170DA" w:rsidRDefault="000C28BA" w:rsidP="0041436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28BA" w:rsidRPr="000170DA" w:rsidRDefault="005D1FF8" w:rsidP="00414361">
            <w:pPr>
              <w:rPr>
                <w:rStyle w:val="Hyperlink"/>
                <w:rFonts w:ascii="Garamond" w:hAnsi="Garamond"/>
                <w:color w:val="auto"/>
                <w:u w:val="none"/>
                <w:lang w:val="en-AU"/>
              </w:rPr>
            </w:pPr>
            <w:hyperlink r:id="rId37" w:history="1">
              <w:r w:rsidR="000C28BA" w:rsidRPr="00D44627">
                <w:rPr>
                  <w:rStyle w:val="Hyperlink"/>
                  <w:rFonts w:ascii="Garamond" w:hAnsi="Garamond"/>
                  <w:lang w:val="en-AU"/>
                </w:rPr>
                <w:t>https://journals.sagepub.com/toc/jpxa/5/4</w:t>
              </w:r>
            </w:hyperlink>
          </w:p>
        </w:tc>
      </w:tr>
      <w:tr w:rsidR="000C28BA"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0C28BA" w:rsidRPr="000170DA" w:rsidRDefault="000C28BA" w:rsidP="0041436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28BA" w:rsidRDefault="000C28BA" w:rsidP="000C28BA">
            <w:pPr>
              <w:rPr>
                <w:rFonts w:ascii="Garamond" w:hAnsi="Garamond"/>
                <w:lang w:val="en-AU"/>
              </w:rPr>
            </w:pPr>
            <w:r w:rsidRPr="001450F8">
              <w:rPr>
                <w:rFonts w:ascii="Garamond" w:hAnsi="Garamond"/>
                <w:lang w:val="en-AU"/>
              </w:rPr>
              <w:t xml:space="preserve">A new issue of </w:t>
            </w:r>
            <w:r>
              <w:rPr>
                <w:rFonts w:ascii="Garamond" w:hAnsi="Garamond"/>
                <w:lang w:val="en-AU"/>
              </w:rPr>
              <w:t xml:space="preserve">the </w:t>
            </w:r>
            <w:r w:rsidRPr="000C28BA">
              <w:rPr>
                <w:rFonts w:ascii="Garamond" w:hAnsi="Garamond"/>
                <w:i/>
                <w:lang w:val="en-AU"/>
              </w:rPr>
              <w:t>Journal of Patient Experience</w:t>
            </w:r>
            <w:r w:rsidRPr="008C34D3">
              <w:rPr>
                <w:rFonts w:ascii="Garamond" w:hAnsi="Garamond"/>
                <w:i/>
                <w:lang w:val="en-AU"/>
              </w:rPr>
              <w:t xml:space="preserve"> </w:t>
            </w:r>
            <w:r w:rsidRPr="001450F8">
              <w:rPr>
                <w:rFonts w:ascii="Garamond" w:hAnsi="Garamond"/>
                <w:lang w:val="en-AU"/>
              </w:rPr>
              <w:t xml:space="preserve">has been published. Articles in this issue of </w:t>
            </w:r>
            <w:r>
              <w:rPr>
                <w:rFonts w:ascii="Garamond" w:hAnsi="Garamond"/>
                <w:lang w:val="en-AU"/>
              </w:rPr>
              <w:t xml:space="preserve">the </w:t>
            </w:r>
            <w:r w:rsidRPr="000C28BA">
              <w:rPr>
                <w:rFonts w:ascii="Garamond" w:hAnsi="Garamond"/>
                <w:i/>
                <w:lang w:val="en-AU"/>
              </w:rPr>
              <w:t>Journal of Patient Experience</w:t>
            </w:r>
            <w:r w:rsidRPr="008C34D3">
              <w:rPr>
                <w:rFonts w:ascii="Garamond" w:hAnsi="Garamond"/>
                <w:i/>
                <w:lang w:val="en-AU"/>
              </w:rPr>
              <w:t xml:space="preserve"> </w:t>
            </w:r>
            <w:r w:rsidRPr="001450F8">
              <w:rPr>
                <w:rFonts w:ascii="Garamond" w:hAnsi="Garamond"/>
                <w:lang w:val="en-AU"/>
              </w:rPr>
              <w:t>include:</w:t>
            </w:r>
          </w:p>
          <w:p w:rsidR="000F260A" w:rsidRDefault="000C28BA" w:rsidP="000C28BA">
            <w:pPr>
              <w:pStyle w:val="ListParagraph"/>
              <w:numPr>
                <w:ilvl w:val="0"/>
                <w:numId w:val="34"/>
              </w:numPr>
              <w:rPr>
                <w:rFonts w:ascii="Garamond" w:hAnsi="Garamond"/>
                <w:lang w:val="en-AU"/>
              </w:rPr>
            </w:pPr>
            <w:r w:rsidRPr="000F260A">
              <w:rPr>
                <w:rFonts w:ascii="Garamond" w:hAnsi="Garamond"/>
                <w:lang w:val="en-AU"/>
              </w:rPr>
              <w:t xml:space="preserve">Evaluating the Impact of </w:t>
            </w:r>
            <w:r w:rsidRPr="000F260A">
              <w:rPr>
                <w:rFonts w:ascii="Garamond" w:hAnsi="Garamond"/>
                <w:b/>
                <w:lang w:val="en-AU"/>
              </w:rPr>
              <w:t>Personalized Stroke Management Tool Kits</w:t>
            </w:r>
            <w:r w:rsidRPr="000F260A">
              <w:rPr>
                <w:rFonts w:ascii="Garamond" w:hAnsi="Garamond"/>
                <w:lang w:val="en-AU"/>
              </w:rPr>
              <w:t xml:space="preserve"> on </w:t>
            </w:r>
            <w:r w:rsidRPr="000F260A">
              <w:rPr>
                <w:rFonts w:ascii="Garamond" w:hAnsi="Garamond"/>
                <w:b/>
                <w:lang w:val="en-AU"/>
              </w:rPr>
              <w:t xml:space="preserve">Patient Experience </w:t>
            </w:r>
            <w:r w:rsidRPr="000F260A">
              <w:rPr>
                <w:rFonts w:ascii="Garamond" w:hAnsi="Garamond"/>
                <w:lang w:val="en-AU"/>
              </w:rPr>
              <w:t>and</w:t>
            </w:r>
            <w:r w:rsidRPr="000F260A">
              <w:rPr>
                <w:rFonts w:ascii="Garamond" w:hAnsi="Garamond"/>
                <w:b/>
                <w:lang w:val="en-AU"/>
              </w:rPr>
              <w:t xml:space="preserve"> Stroke Recovery</w:t>
            </w:r>
            <w:r w:rsidRPr="000F260A">
              <w:rPr>
                <w:rFonts w:ascii="Garamond" w:hAnsi="Garamond"/>
                <w:lang w:val="en-AU"/>
              </w:rPr>
              <w:t xml:space="preserve"> </w:t>
            </w:r>
            <w:r w:rsidR="000F260A" w:rsidRPr="000F260A">
              <w:rPr>
                <w:rFonts w:ascii="Garamond" w:hAnsi="Garamond"/>
                <w:lang w:val="en-AU"/>
              </w:rPr>
              <w:t>(</w:t>
            </w:r>
            <w:r w:rsidRPr="000F260A">
              <w:rPr>
                <w:rFonts w:ascii="Garamond" w:hAnsi="Garamond"/>
                <w:lang w:val="en-AU"/>
              </w:rPr>
              <w:t>King John Pascual, Ekaterina Vlasova, Kimberly J Lockett, Judson Richardson, and Michael Yochelson</w:t>
            </w:r>
            <w:r w:rsidR="000F260A">
              <w:rPr>
                <w:rFonts w:ascii="Garamond" w:hAnsi="Garamond"/>
                <w:lang w:val="en-AU"/>
              </w:rPr>
              <w:t>)</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b/>
                <w:lang w:val="en-AU"/>
              </w:rPr>
              <w:t>Patients’ Satisfaction</w:t>
            </w:r>
            <w:r w:rsidRPr="000F260A">
              <w:rPr>
                <w:rFonts w:ascii="Garamond" w:hAnsi="Garamond"/>
                <w:lang w:val="en-AU"/>
              </w:rPr>
              <w:t xml:space="preserve"> With Care From </w:t>
            </w:r>
            <w:r w:rsidRPr="000F260A">
              <w:rPr>
                <w:rFonts w:ascii="Garamond" w:hAnsi="Garamond"/>
                <w:b/>
                <w:lang w:val="en-AU"/>
              </w:rPr>
              <w:t>Nigerian</w:t>
            </w:r>
            <w:r w:rsidRPr="000F260A">
              <w:rPr>
                <w:rFonts w:ascii="Garamond" w:hAnsi="Garamond"/>
                <w:lang w:val="en-AU"/>
              </w:rPr>
              <w:t xml:space="preserve"> Federal Capital Territory’s </w:t>
            </w:r>
            <w:r w:rsidRPr="000F260A">
              <w:rPr>
                <w:rFonts w:ascii="Garamond" w:hAnsi="Garamond"/>
                <w:b/>
                <w:lang w:val="en-AU"/>
              </w:rPr>
              <w:t>Public Secondary Hospitals</w:t>
            </w:r>
            <w:r w:rsidRPr="000F260A">
              <w:rPr>
                <w:rFonts w:ascii="Garamond" w:hAnsi="Garamond"/>
                <w:lang w:val="en-AU"/>
              </w:rPr>
              <w:t xml:space="preserve">: A Cross-Sectional Study </w:t>
            </w:r>
            <w:r w:rsidR="000F260A" w:rsidRPr="000F260A">
              <w:rPr>
                <w:rFonts w:ascii="Garamond" w:hAnsi="Garamond"/>
                <w:lang w:val="en-AU"/>
              </w:rPr>
              <w:t>(</w:t>
            </w:r>
            <w:r w:rsidRPr="000F260A">
              <w:rPr>
                <w:rFonts w:ascii="Garamond" w:hAnsi="Garamond"/>
                <w:lang w:val="en-AU"/>
              </w:rPr>
              <w:t>Bolarinde Joseph Lawal, Schadrac C Agbla, Queen Nkeiruka Bola-Lawal, Muha</w:t>
            </w:r>
            <w:r w:rsidR="000F260A" w:rsidRPr="000F260A">
              <w:rPr>
                <w:rFonts w:ascii="Garamond" w:hAnsi="Garamond"/>
                <w:lang w:val="en-AU"/>
              </w:rPr>
              <w:t>mmed O Afolabi, and Elvis Ihaji)</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b/>
                <w:lang w:val="en-AU"/>
              </w:rPr>
              <w:t>Unmet Needs for Care and Medications</w:t>
            </w:r>
            <w:r w:rsidRPr="000F260A">
              <w:rPr>
                <w:rFonts w:ascii="Garamond" w:hAnsi="Garamond"/>
                <w:lang w:val="en-AU"/>
              </w:rPr>
              <w:t xml:space="preserve">, Cost as a Reason for Unmet Needs, and Unmet Needs as a Big Problem, due to Health-Care Provider (Dis)Continuity </w:t>
            </w:r>
            <w:r w:rsidR="000F260A" w:rsidRPr="000F260A">
              <w:rPr>
                <w:rFonts w:ascii="Garamond" w:hAnsi="Garamond"/>
                <w:lang w:val="en-AU"/>
              </w:rPr>
              <w:t>(Michelle L Stransky)</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lang w:val="en-AU"/>
              </w:rPr>
              <w:t xml:space="preserve">Effects of </w:t>
            </w:r>
            <w:r w:rsidRPr="000F260A">
              <w:rPr>
                <w:rFonts w:ascii="Garamond" w:hAnsi="Garamond"/>
                <w:b/>
                <w:lang w:val="en-AU"/>
              </w:rPr>
              <w:t>Patient Safety Culture</w:t>
            </w:r>
            <w:r w:rsidRPr="000F260A">
              <w:rPr>
                <w:rFonts w:ascii="Garamond" w:hAnsi="Garamond"/>
                <w:lang w:val="en-AU"/>
              </w:rPr>
              <w:t xml:space="preserve"> on Patient Satisfaction With Radiological Services in </w:t>
            </w:r>
            <w:r w:rsidRPr="000F260A">
              <w:rPr>
                <w:rFonts w:ascii="Garamond" w:hAnsi="Garamond"/>
                <w:b/>
                <w:lang w:val="en-AU"/>
              </w:rPr>
              <w:t>Nigerian Radiodiagnostic Practice</w:t>
            </w:r>
            <w:r w:rsidRPr="000F260A">
              <w:rPr>
                <w:rFonts w:ascii="Garamond" w:hAnsi="Garamond"/>
                <w:lang w:val="en-AU"/>
              </w:rPr>
              <w:t xml:space="preserve"> </w:t>
            </w:r>
            <w:r w:rsidR="000F260A" w:rsidRPr="000F260A">
              <w:rPr>
                <w:rFonts w:ascii="Garamond" w:hAnsi="Garamond"/>
                <w:lang w:val="en-AU"/>
              </w:rPr>
              <w:t>(</w:t>
            </w:r>
            <w:r w:rsidRPr="000F260A">
              <w:rPr>
                <w:rFonts w:ascii="Garamond" w:hAnsi="Garamond"/>
                <w:lang w:val="en-AU"/>
              </w:rPr>
              <w:t>Chioma Henrietta Okafor, An</w:t>
            </w:r>
            <w:r w:rsidR="000F260A" w:rsidRPr="000F260A">
              <w:rPr>
                <w:rFonts w:ascii="Garamond" w:hAnsi="Garamond"/>
                <w:lang w:val="en-AU"/>
              </w:rPr>
              <w:t>thony C Ugwu, and Ime Edet Okon)</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lang w:val="en-AU"/>
              </w:rPr>
              <w:t xml:space="preserve">Providers’ Perceptions of </w:t>
            </w:r>
            <w:r w:rsidRPr="000F260A">
              <w:rPr>
                <w:rFonts w:ascii="Garamond" w:hAnsi="Garamond"/>
                <w:b/>
                <w:lang w:val="en-AU"/>
              </w:rPr>
              <w:t>Barriers to Optimal Communication With Patients</w:t>
            </w:r>
            <w:r w:rsidRPr="000F260A">
              <w:rPr>
                <w:rFonts w:ascii="Garamond" w:hAnsi="Garamond"/>
                <w:lang w:val="en-AU"/>
              </w:rPr>
              <w:t xml:space="preserve"> During the </w:t>
            </w:r>
            <w:r w:rsidRPr="000F260A">
              <w:rPr>
                <w:rFonts w:ascii="Garamond" w:hAnsi="Garamond"/>
                <w:b/>
                <w:lang w:val="en-AU"/>
              </w:rPr>
              <w:t>Postcolonoscopy</w:t>
            </w:r>
            <w:r w:rsidRPr="000F260A">
              <w:rPr>
                <w:rFonts w:ascii="Garamond" w:hAnsi="Garamond"/>
                <w:lang w:val="en-AU"/>
              </w:rPr>
              <w:t xml:space="preserve"> Experience</w:t>
            </w:r>
            <w:r w:rsidR="000F260A" w:rsidRPr="000F260A">
              <w:rPr>
                <w:rFonts w:ascii="Garamond" w:hAnsi="Garamond"/>
                <w:lang w:val="en-AU"/>
              </w:rPr>
              <w:t>(</w:t>
            </w:r>
            <w:r w:rsidRPr="000F260A">
              <w:rPr>
                <w:rFonts w:ascii="Garamond" w:hAnsi="Garamond"/>
                <w:lang w:val="en-AU"/>
              </w:rPr>
              <w:t xml:space="preserve">Travis Hyams, Barbara Curbow, Juliette Christie, Nora Mueller, Evelyn King-Marshall, Shahnaz </w:t>
            </w:r>
            <w:r w:rsidR="000F260A" w:rsidRPr="000F260A">
              <w:rPr>
                <w:rFonts w:ascii="Garamond" w:hAnsi="Garamond"/>
                <w:lang w:val="en-AU"/>
              </w:rPr>
              <w:t>Sultan, and Thomas J George, Jr)</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b/>
                <w:lang w:val="en-AU"/>
              </w:rPr>
              <w:t>Patient Experiences of Terminal Illness</w:t>
            </w:r>
            <w:r w:rsidRPr="000F260A">
              <w:rPr>
                <w:rFonts w:ascii="Garamond" w:hAnsi="Garamond"/>
                <w:lang w:val="en-AU"/>
              </w:rPr>
              <w:t xml:space="preserve"> Toward the End of Life: A Reflective Narrative Report </w:t>
            </w:r>
            <w:r w:rsidR="000F260A" w:rsidRPr="000F260A">
              <w:rPr>
                <w:rFonts w:ascii="Garamond" w:hAnsi="Garamond"/>
                <w:lang w:val="en-AU"/>
              </w:rPr>
              <w:t>(Mohammad Sharif Razai)</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lang w:val="en-AU"/>
              </w:rPr>
              <w:t xml:space="preserve">The </w:t>
            </w:r>
            <w:r w:rsidRPr="000F260A">
              <w:rPr>
                <w:rFonts w:ascii="Garamond" w:hAnsi="Garamond"/>
                <w:b/>
                <w:lang w:val="en-AU"/>
              </w:rPr>
              <w:t>Person-Centred Care Guideline</w:t>
            </w:r>
            <w:r w:rsidRPr="000F260A">
              <w:rPr>
                <w:rFonts w:ascii="Garamond" w:hAnsi="Garamond"/>
                <w:lang w:val="en-AU"/>
              </w:rPr>
              <w:t xml:space="preserve">: From Principle to Practice </w:t>
            </w:r>
            <w:r w:rsidR="000F260A" w:rsidRPr="000F260A">
              <w:rPr>
                <w:rFonts w:ascii="Garamond" w:hAnsi="Garamond"/>
                <w:lang w:val="en-AU"/>
              </w:rPr>
              <w:t>(</w:t>
            </w:r>
            <w:r w:rsidRPr="000F260A">
              <w:rPr>
                <w:rFonts w:ascii="Garamond" w:hAnsi="Garamond"/>
                <w:lang w:val="en-AU"/>
              </w:rPr>
              <w:t>Lesley Moody, Brett Nicholls, Hannah Shamji, Erica Bridge,</w:t>
            </w:r>
            <w:r w:rsidR="000F260A" w:rsidRPr="000F260A">
              <w:rPr>
                <w:rFonts w:ascii="Garamond" w:hAnsi="Garamond"/>
                <w:lang w:val="en-AU"/>
              </w:rPr>
              <w:t xml:space="preserve"> S Dhanju, and S Singh)</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lang w:val="en-AU"/>
              </w:rPr>
              <w:t xml:space="preserve">Assessing Knowledge Regarding </w:t>
            </w:r>
            <w:r w:rsidRPr="000F260A">
              <w:rPr>
                <w:rFonts w:ascii="Garamond" w:hAnsi="Garamond"/>
                <w:b/>
                <w:lang w:val="en-AU"/>
              </w:rPr>
              <w:t>Managing Congestive Health Failure Symptoms</w:t>
            </w:r>
            <w:r w:rsidRPr="000F260A">
              <w:rPr>
                <w:rFonts w:ascii="Garamond" w:hAnsi="Garamond"/>
                <w:lang w:val="en-AU"/>
              </w:rPr>
              <w:t xml:space="preserve">: Differences in Patient and Professional Scores </w:t>
            </w:r>
            <w:r w:rsidR="000F260A" w:rsidRPr="000F260A">
              <w:rPr>
                <w:rFonts w:ascii="Garamond" w:hAnsi="Garamond"/>
                <w:lang w:val="en-AU"/>
              </w:rPr>
              <w:t>(</w:t>
            </w:r>
            <w:r w:rsidRPr="000F260A">
              <w:rPr>
                <w:rFonts w:ascii="Garamond" w:hAnsi="Garamond"/>
                <w:lang w:val="en-AU"/>
              </w:rPr>
              <w:t>Saskia Berrios-Thomas, Rafael Engel, J</w:t>
            </w:r>
            <w:r w:rsidR="000F260A" w:rsidRPr="000F260A">
              <w:rPr>
                <w:rFonts w:ascii="Garamond" w:hAnsi="Garamond"/>
                <w:lang w:val="en-AU"/>
              </w:rPr>
              <w:t>anice McCall, and Daniel Rosen)</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b/>
                <w:lang w:val="en-AU"/>
              </w:rPr>
              <w:t>Medical Imaging Outpatients' Experiences</w:t>
            </w:r>
            <w:r w:rsidRPr="000F260A">
              <w:rPr>
                <w:rFonts w:ascii="Garamond" w:hAnsi="Garamond"/>
                <w:lang w:val="en-AU"/>
              </w:rPr>
              <w:t xml:space="preserve"> With Receiving Information Required for Informed Consent and Preparation: A Cross-Sectional Study </w:t>
            </w:r>
            <w:r w:rsidR="000F260A" w:rsidRPr="000F260A">
              <w:rPr>
                <w:rFonts w:ascii="Garamond" w:hAnsi="Garamond"/>
                <w:lang w:val="en-AU"/>
              </w:rPr>
              <w:t>(</w:t>
            </w:r>
            <w:r w:rsidRPr="000F260A">
              <w:rPr>
                <w:rFonts w:ascii="Garamond" w:hAnsi="Garamond"/>
                <w:lang w:val="en-AU"/>
              </w:rPr>
              <w:t>Lisa L Hyde, Lisa J Mackenzie, Allison W Boyes, Michael Symonds, Sandy Brown, and</w:t>
            </w:r>
            <w:r w:rsidR="000F260A" w:rsidRPr="000F260A">
              <w:rPr>
                <w:rFonts w:ascii="Garamond" w:hAnsi="Garamond"/>
                <w:lang w:val="en-AU"/>
              </w:rPr>
              <w:t xml:space="preserve"> Rob Sanson-Fisher)</w:t>
            </w:r>
          </w:p>
          <w:p w:rsidR="000F260A" w:rsidRDefault="000C28BA" w:rsidP="000C28BA">
            <w:pPr>
              <w:pStyle w:val="ListParagraph"/>
              <w:numPr>
                <w:ilvl w:val="0"/>
                <w:numId w:val="34"/>
              </w:numPr>
              <w:rPr>
                <w:rFonts w:ascii="Garamond" w:hAnsi="Garamond"/>
                <w:lang w:val="en-AU"/>
              </w:rPr>
            </w:pPr>
            <w:r w:rsidRPr="000F260A">
              <w:rPr>
                <w:rFonts w:ascii="Garamond" w:hAnsi="Garamond"/>
                <w:b/>
                <w:lang w:val="en-AU"/>
              </w:rPr>
              <w:t>Patient Experience in Health Professions Curriculum Development</w:t>
            </w:r>
            <w:r w:rsidRPr="000F260A">
              <w:rPr>
                <w:rFonts w:ascii="Garamond" w:hAnsi="Garamond"/>
                <w:lang w:val="en-AU"/>
              </w:rPr>
              <w:t xml:space="preserve"> </w:t>
            </w:r>
            <w:r w:rsidR="000F260A" w:rsidRPr="000F260A">
              <w:rPr>
                <w:rFonts w:ascii="Garamond" w:hAnsi="Garamond"/>
                <w:lang w:val="en-AU"/>
              </w:rPr>
              <w:t>(</w:t>
            </w:r>
            <w:r w:rsidRPr="000F260A">
              <w:rPr>
                <w:rFonts w:ascii="Garamond" w:hAnsi="Garamond"/>
                <w:lang w:val="en-AU"/>
              </w:rPr>
              <w:t>Scott Molley, Amy Derochie, Jessica Teicher, Vibhuti Bhatt, Shara Nauth, Lynn Cockburn, and Sylvia Langlois</w:t>
            </w:r>
            <w:r w:rsidR="000F260A">
              <w:rPr>
                <w:rFonts w:ascii="Garamond" w:hAnsi="Garamond"/>
                <w:lang w:val="en-AU"/>
              </w:rPr>
              <w:t>)</w:t>
            </w:r>
          </w:p>
          <w:p w:rsidR="000F260A" w:rsidRDefault="000C28BA" w:rsidP="000C28BA">
            <w:pPr>
              <w:pStyle w:val="ListParagraph"/>
              <w:numPr>
                <w:ilvl w:val="0"/>
                <w:numId w:val="34"/>
              </w:numPr>
              <w:rPr>
                <w:rFonts w:ascii="Garamond" w:hAnsi="Garamond"/>
                <w:lang w:val="en-AU"/>
              </w:rPr>
            </w:pPr>
            <w:r w:rsidRPr="000F260A">
              <w:rPr>
                <w:rFonts w:ascii="Garamond" w:hAnsi="Garamond"/>
                <w:lang w:val="en-AU"/>
              </w:rPr>
              <w:t xml:space="preserve">Are We Practicing What We Are Taught in Health Professions’ Education? </w:t>
            </w:r>
            <w:r w:rsidRPr="000F260A">
              <w:rPr>
                <w:rFonts w:ascii="Garamond" w:hAnsi="Garamond"/>
                <w:b/>
                <w:lang w:val="en-AU"/>
              </w:rPr>
              <w:t>Coproducing Health Care</w:t>
            </w:r>
            <w:r w:rsidRPr="000F260A">
              <w:rPr>
                <w:rFonts w:ascii="Garamond" w:hAnsi="Garamond"/>
                <w:lang w:val="en-AU"/>
              </w:rPr>
              <w:t xml:space="preserve"> </w:t>
            </w:r>
            <w:r w:rsidR="000F260A" w:rsidRPr="000F260A">
              <w:rPr>
                <w:rFonts w:ascii="Garamond" w:hAnsi="Garamond"/>
                <w:lang w:val="en-AU"/>
              </w:rPr>
              <w:t>(</w:t>
            </w:r>
            <w:r w:rsidRPr="000F260A">
              <w:rPr>
                <w:rFonts w:ascii="Garamond" w:hAnsi="Garamond"/>
                <w:lang w:val="en-AU"/>
              </w:rPr>
              <w:t>Rosemary M Caron and Ryan Joy O’Connor</w:t>
            </w:r>
            <w:r w:rsidR="000F260A">
              <w:rPr>
                <w:rFonts w:ascii="Garamond" w:hAnsi="Garamond"/>
                <w:lang w:val="en-AU"/>
              </w:rPr>
              <w:t>)</w:t>
            </w:r>
          </w:p>
          <w:p w:rsidR="000C28BA" w:rsidRPr="000F260A" w:rsidRDefault="000C28BA" w:rsidP="000C28BA">
            <w:pPr>
              <w:pStyle w:val="ListParagraph"/>
              <w:numPr>
                <w:ilvl w:val="0"/>
                <w:numId w:val="34"/>
              </w:numPr>
              <w:rPr>
                <w:rFonts w:ascii="Garamond" w:hAnsi="Garamond"/>
                <w:lang w:val="en-AU"/>
              </w:rPr>
            </w:pPr>
            <w:r w:rsidRPr="000F260A">
              <w:rPr>
                <w:rFonts w:ascii="Garamond" w:hAnsi="Garamond"/>
                <w:b/>
                <w:lang w:val="en-AU"/>
              </w:rPr>
              <w:lastRenderedPageBreak/>
              <w:t>Wellness Coaching to Improve Lifestyle Behaviors</w:t>
            </w:r>
            <w:r w:rsidRPr="000F260A">
              <w:rPr>
                <w:rFonts w:ascii="Garamond" w:hAnsi="Garamond"/>
                <w:lang w:val="en-AU"/>
              </w:rPr>
              <w:t xml:space="preserve"> Among Adults With Prediabetes: Patients’ Experience and Perceptions to Participation </w:t>
            </w:r>
            <w:r w:rsidR="000F260A" w:rsidRPr="000F260A">
              <w:rPr>
                <w:rFonts w:ascii="Garamond" w:hAnsi="Garamond"/>
                <w:lang w:val="en-AU"/>
              </w:rPr>
              <w:t>(</w:t>
            </w:r>
            <w:r w:rsidRPr="000F260A">
              <w:rPr>
                <w:rFonts w:ascii="Garamond" w:hAnsi="Garamond"/>
                <w:lang w:val="en-AU"/>
              </w:rPr>
              <w:t>Ramona S DeJesus, Matthew M Clark, Lila J Finney Rutten, Julie C Hathaway, Patrick M Wilson, Sara</w:t>
            </w:r>
            <w:r w:rsidR="000F260A" w:rsidRPr="000F260A">
              <w:rPr>
                <w:rFonts w:ascii="Garamond" w:hAnsi="Garamond"/>
                <w:lang w:val="en-AU"/>
              </w:rPr>
              <w:t xml:space="preserve"> M Link, and Jennifer St Sauver)</w:t>
            </w:r>
          </w:p>
          <w:p w:rsidR="000C28BA" w:rsidRPr="000C28BA" w:rsidRDefault="000C28BA" w:rsidP="000F260A">
            <w:pPr>
              <w:pStyle w:val="ListParagraph"/>
              <w:numPr>
                <w:ilvl w:val="0"/>
                <w:numId w:val="34"/>
              </w:numPr>
              <w:rPr>
                <w:rFonts w:ascii="Garamond" w:hAnsi="Garamond"/>
                <w:lang w:val="en-AU"/>
              </w:rPr>
            </w:pPr>
            <w:r w:rsidRPr="000F260A">
              <w:rPr>
                <w:rFonts w:ascii="Garamond" w:hAnsi="Garamond"/>
                <w:b/>
                <w:lang w:val="en-AU"/>
              </w:rPr>
              <w:t>“If We Would Have Known”</w:t>
            </w:r>
            <w:r w:rsidRPr="000C28BA">
              <w:rPr>
                <w:rFonts w:ascii="Garamond" w:hAnsi="Garamond"/>
                <w:lang w:val="en-AU"/>
              </w:rPr>
              <w:t xml:space="preserve">: A Couple’s Regret Over a Missed Opportunity to Have a Biological Child After Lung Transplantation </w:t>
            </w:r>
            <w:r w:rsidR="000F260A">
              <w:rPr>
                <w:rFonts w:ascii="Garamond" w:hAnsi="Garamond"/>
                <w:lang w:val="en-AU"/>
              </w:rPr>
              <w:t>(</w:t>
            </w:r>
            <w:r w:rsidRPr="000C28BA">
              <w:rPr>
                <w:rFonts w:ascii="Garamond" w:hAnsi="Garamond"/>
                <w:lang w:val="en-AU"/>
              </w:rPr>
              <w:t>Sigrid Ladores, Leigh Ann Bray, and Janet Brown</w:t>
            </w:r>
            <w:r w:rsidR="000F260A">
              <w:rPr>
                <w:rFonts w:ascii="Garamond" w:hAnsi="Garamond"/>
                <w:lang w:val="en-AU"/>
              </w:rPr>
              <w:t>)</w:t>
            </w:r>
          </w:p>
        </w:tc>
      </w:tr>
    </w:tbl>
    <w:p w:rsidR="000C28BA" w:rsidRDefault="000C28BA" w:rsidP="00032917">
      <w:pPr>
        <w:keepNext/>
        <w:keepLines/>
        <w:autoSpaceDE w:val="0"/>
        <w:autoSpaceDN w:val="0"/>
        <w:adjustRightInd w:val="0"/>
        <w:rPr>
          <w:rFonts w:ascii="Garamond" w:hAnsi="Garamond"/>
          <w:i/>
          <w:lang w:val="en-AU"/>
        </w:rPr>
      </w:pPr>
    </w:p>
    <w:p w:rsidR="00446933" w:rsidRPr="00853A79" w:rsidRDefault="00446933" w:rsidP="00446933">
      <w:pPr>
        <w:keepNext/>
        <w:keepLines/>
        <w:autoSpaceDE w:val="0"/>
        <w:autoSpaceDN w:val="0"/>
        <w:adjustRightInd w:val="0"/>
        <w:rPr>
          <w:rFonts w:ascii="Garamond" w:hAnsi="Garamond"/>
          <w:i/>
          <w:lang w:val="en-AU"/>
        </w:rPr>
      </w:pPr>
      <w:r>
        <w:rPr>
          <w:rFonts w:ascii="Garamond" w:hAnsi="Garamond"/>
          <w:i/>
          <w:lang w:val="en-AU"/>
        </w:rPr>
        <w:t>Healthcare</w:t>
      </w:r>
      <w:r w:rsidRPr="00853A79">
        <w:rPr>
          <w:rFonts w:ascii="Garamond" w:hAnsi="Garamond"/>
          <w:i/>
          <w:lang w:val="en-AU"/>
        </w:rPr>
        <w:t xml:space="preserve"> Quarterly</w:t>
      </w:r>
    </w:p>
    <w:p w:rsidR="00446933" w:rsidRPr="00E566B0" w:rsidRDefault="00446933" w:rsidP="00446933">
      <w:pPr>
        <w:keepNext/>
        <w:keepLines/>
        <w:autoSpaceDE w:val="0"/>
        <w:autoSpaceDN w:val="0"/>
        <w:adjustRightInd w:val="0"/>
        <w:rPr>
          <w:rFonts w:ascii="Garamond" w:hAnsi="Garamond"/>
          <w:lang w:val="en-AU"/>
        </w:rPr>
      </w:pPr>
      <w:r>
        <w:rPr>
          <w:rFonts w:ascii="Garamond" w:hAnsi="Garamond"/>
          <w:lang w:val="en-AU"/>
        </w:rPr>
        <w:t>Volume 21, Special Issue</w:t>
      </w:r>
    </w:p>
    <w:tbl>
      <w:tblPr>
        <w:tblStyle w:val="TableGrid"/>
        <w:tblW w:w="0" w:type="auto"/>
        <w:tblInd w:w="288" w:type="dxa"/>
        <w:tblLayout w:type="fixed"/>
        <w:tblLook w:val="01E0" w:firstRow="1" w:lastRow="1" w:firstColumn="1" w:lastColumn="1" w:noHBand="0" w:noVBand="0"/>
      </w:tblPr>
      <w:tblGrid>
        <w:gridCol w:w="1080"/>
        <w:gridCol w:w="8280"/>
      </w:tblGrid>
      <w:tr w:rsidR="00446933"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446933" w:rsidRPr="000170DA" w:rsidRDefault="00446933" w:rsidP="0041436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46933" w:rsidRPr="000170DA" w:rsidRDefault="005D1FF8" w:rsidP="00446933">
            <w:pPr>
              <w:rPr>
                <w:rStyle w:val="Hyperlink"/>
                <w:rFonts w:ascii="Garamond" w:hAnsi="Garamond"/>
                <w:color w:val="auto"/>
                <w:u w:val="none"/>
                <w:lang w:val="en-AU"/>
              </w:rPr>
            </w:pPr>
            <w:hyperlink r:id="rId38" w:history="1">
              <w:r w:rsidR="00446933" w:rsidRPr="00C860D6">
                <w:rPr>
                  <w:rStyle w:val="Hyperlink"/>
                  <w:rFonts w:ascii="Garamond" w:hAnsi="Garamond"/>
                  <w:lang w:val="en-AU"/>
                </w:rPr>
                <w:t>https://www.longwoods.com/publications/healthcare-quarterly/25633/1/vol.-21-special-issue-supporting-engagement-capable-environments</w:t>
              </w:r>
            </w:hyperlink>
          </w:p>
        </w:tc>
      </w:tr>
      <w:tr w:rsidR="00446933" w:rsidRPr="000170DA" w:rsidTr="00414361">
        <w:tc>
          <w:tcPr>
            <w:tcW w:w="1080" w:type="dxa"/>
            <w:tcBorders>
              <w:top w:val="single" w:sz="4" w:space="0" w:color="auto"/>
              <w:left w:val="single" w:sz="4" w:space="0" w:color="auto"/>
              <w:bottom w:val="single" w:sz="4" w:space="0" w:color="auto"/>
              <w:right w:val="single" w:sz="4" w:space="0" w:color="auto"/>
            </w:tcBorders>
            <w:vAlign w:val="center"/>
          </w:tcPr>
          <w:p w:rsidR="00446933" w:rsidRPr="000170DA" w:rsidRDefault="00446933" w:rsidP="0041436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6933" w:rsidRDefault="00446933" w:rsidP="00414361">
            <w:pPr>
              <w:rPr>
                <w:rFonts w:ascii="Garamond" w:hAnsi="Garamond"/>
                <w:lang w:val="en-AU"/>
              </w:rPr>
            </w:pPr>
            <w:r w:rsidRPr="001450F8">
              <w:rPr>
                <w:rFonts w:ascii="Garamond" w:hAnsi="Garamond"/>
                <w:lang w:val="en-AU"/>
              </w:rPr>
              <w:t xml:space="preserve">A new issue of </w:t>
            </w:r>
            <w:r>
              <w:rPr>
                <w:rFonts w:ascii="Garamond" w:hAnsi="Garamond"/>
                <w:i/>
                <w:lang w:val="en-AU"/>
              </w:rPr>
              <w:t>Healthcare</w:t>
            </w:r>
            <w:r w:rsidRPr="00853A79">
              <w:rPr>
                <w:rFonts w:ascii="Garamond" w:hAnsi="Garamond"/>
                <w:i/>
                <w:lang w:val="en-AU"/>
              </w:rPr>
              <w:t xml:space="preserve"> Quarterly</w:t>
            </w:r>
            <w:r w:rsidRPr="008C34D3">
              <w:rPr>
                <w:rFonts w:ascii="Garamond" w:hAnsi="Garamond"/>
                <w:i/>
                <w:lang w:val="en-AU"/>
              </w:rPr>
              <w:t xml:space="preserve"> </w:t>
            </w:r>
            <w:r w:rsidRPr="001450F8">
              <w:rPr>
                <w:rFonts w:ascii="Garamond" w:hAnsi="Garamond"/>
                <w:lang w:val="en-AU"/>
              </w:rPr>
              <w:t xml:space="preserve">has been published. </w:t>
            </w:r>
            <w:r>
              <w:rPr>
                <w:rFonts w:ascii="Garamond" w:hAnsi="Garamond"/>
                <w:lang w:val="en-AU"/>
              </w:rPr>
              <w:t>This is a special issue with the theme ‘</w:t>
            </w:r>
            <w:r w:rsidRPr="00446933">
              <w:rPr>
                <w:rFonts w:ascii="Garamond" w:hAnsi="Garamond"/>
                <w:b/>
                <w:lang w:val="en-AU"/>
              </w:rPr>
              <w:t>Supporting Engagement-Capable Environments</w:t>
            </w:r>
            <w:r>
              <w:rPr>
                <w:rFonts w:ascii="Garamond" w:hAnsi="Garamond"/>
                <w:lang w:val="en-AU"/>
              </w:rPr>
              <w:t xml:space="preserve">’. </w:t>
            </w:r>
            <w:r w:rsidRPr="001450F8">
              <w:rPr>
                <w:rFonts w:ascii="Garamond" w:hAnsi="Garamond"/>
                <w:lang w:val="en-AU"/>
              </w:rPr>
              <w:t xml:space="preserve">Articles in this issue of </w:t>
            </w:r>
            <w:r>
              <w:rPr>
                <w:rFonts w:ascii="Garamond" w:hAnsi="Garamond"/>
                <w:lang w:val="en-AU"/>
              </w:rPr>
              <w:t xml:space="preserve">the </w:t>
            </w:r>
            <w:r>
              <w:rPr>
                <w:rFonts w:ascii="Garamond" w:hAnsi="Garamond"/>
                <w:i/>
                <w:lang w:val="en-AU"/>
              </w:rPr>
              <w:t>Healthcare</w:t>
            </w:r>
            <w:r w:rsidRPr="00853A79">
              <w:rPr>
                <w:rFonts w:ascii="Garamond" w:hAnsi="Garamond"/>
                <w:i/>
                <w:lang w:val="en-AU"/>
              </w:rPr>
              <w:t xml:space="preserve"> Quarterly</w:t>
            </w:r>
            <w:r w:rsidRPr="008C34D3">
              <w:rPr>
                <w:rFonts w:ascii="Garamond" w:hAnsi="Garamond"/>
                <w:i/>
                <w:lang w:val="en-AU"/>
              </w:rPr>
              <w:t xml:space="preserve"> </w:t>
            </w:r>
            <w:r w:rsidRPr="001450F8">
              <w:rPr>
                <w:rFonts w:ascii="Garamond" w:hAnsi="Garamond"/>
                <w:lang w:val="en-AU"/>
              </w:rPr>
              <w:t>include:</w:t>
            </w:r>
          </w:p>
          <w:p w:rsidR="00446933" w:rsidRPr="00446933" w:rsidRDefault="00446933" w:rsidP="00446933">
            <w:pPr>
              <w:pStyle w:val="ListParagraph"/>
              <w:numPr>
                <w:ilvl w:val="0"/>
                <w:numId w:val="34"/>
              </w:numPr>
              <w:rPr>
                <w:rFonts w:ascii="Garamond" w:hAnsi="Garamond"/>
                <w:lang w:val="en-AU"/>
              </w:rPr>
            </w:pPr>
            <w:r w:rsidRPr="00446933">
              <w:rPr>
                <w:rFonts w:ascii="Garamond" w:hAnsi="Garamond"/>
                <w:lang w:val="en-AU"/>
              </w:rPr>
              <w:t xml:space="preserve">A Canadian Take on the International </w:t>
            </w:r>
            <w:r w:rsidRPr="00446933">
              <w:rPr>
                <w:rFonts w:ascii="Garamond" w:hAnsi="Garamond"/>
                <w:b/>
                <w:lang w:val="en-AU"/>
              </w:rPr>
              <w:t>Patient Engagement Revolution</w:t>
            </w:r>
            <w:r w:rsidRPr="00446933">
              <w:rPr>
                <w:rFonts w:ascii="Garamond" w:hAnsi="Garamond"/>
                <w:lang w:val="en-AU"/>
              </w:rPr>
              <w:t xml:space="preserve"> (Vincent Dumez and Antoine Boivin</w:t>
            </w:r>
            <w:r>
              <w:rPr>
                <w:rFonts w:ascii="Garamond" w:hAnsi="Garamond"/>
                <w:lang w:val="en-AU"/>
              </w:rPr>
              <w:t>)</w:t>
            </w:r>
          </w:p>
          <w:p w:rsidR="00446933" w:rsidRPr="00446933" w:rsidRDefault="00446933" w:rsidP="00446933">
            <w:pPr>
              <w:pStyle w:val="ListParagraph"/>
              <w:numPr>
                <w:ilvl w:val="0"/>
                <w:numId w:val="34"/>
              </w:numPr>
              <w:rPr>
                <w:rFonts w:ascii="Garamond" w:hAnsi="Garamond"/>
                <w:lang w:val="en-AU"/>
              </w:rPr>
            </w:pPr>
            <w:r w:rsidRPr="00446933">
              <w:rPr>
                <w:rFonts w:ascii="Garamond" w:hAnsi="Garamond"/>
                <w:b/>
                <w:lang w:val="en-AU"/>
              </w:rPr>
              <w:t>Supporting Patient and Family Engagement for Healthcare Improvement</w:t>
            </w:r>
            <w:r w:rsidRPr="00446933">
              <w:rPr>
                <w:rFonts w:ascii="Garamond" w:hAnsi="Garamond"/>
                <w:lang w:val="en-AU"/>
              </w:rPr>
              <w:t>: Reflections on “Engagement-Capable Environments” Pan-Canadian Learning Collaboratives (Carol Fancott, G. Ross Baker, Maria Judd, Anya Humphrey and Angela Morin</w:t>
            </w:r>
            <w:r>
              <w:rPr>
                <w:rFonts w:ascii="Garamond" w:hAnsi="Garamond"/>
                <w:lang w:val="en-AU"/>
              </w:rPr>
              <w:t>)</w:t>
            </w:r>
          </w:p>
          <w:p w:rsidR="00446933" w:rsidRPr="00446933" w:rsidRDefault="00446933" w:rsidP="00446933">
            <w:pPr>
              <w:pStyle w:val="ListParagraph"/>
              <w:numPr>
                <w:ilvl w:val="0"/>
                <w:numId w:val="34"/>
              </w:numPr>
              <w:rPr>
                <w:rFonts w:ascii="Garamond" w:hAnsi="Garamond"/>
                <w:lang w:val="en-AU"/>
              </w:rPr>
            </w:pPr>
            <w:r w:rsidRPr="00446933">
              <w:rPr>
                <w:rFonts w:ascii="Garamond" w:hAnsi="Garamond"/>
                <w:lang w:val="en-AU"/>
              </w:rPr>
              <w:t xml:space="preserve">The </w:t>
            </w:r>
            <w:r w:rsidRPr="00446933">
              <w:rPr>
                <w:rFonts w:ascii="Garamond" w:hAnsi="Garamond"/>
                <w:b/>
                <w:lang w:val="en-AU"/>
              </w:rPr>
              <w:t>Leadership and Organizational Context</w:t>
            </w:r>
            <w:r w:rsidRPr="00446933">
              <w:rPr>
                <w:rFonts w:ascii="Garamond" w:hAnsi="Garamond"/>
                <w:lang w:val="en-AU"/>
              </w:rPr>
              <w:t xml:space="preserve"> Required to Support </w:t>
            </w:r>
            <w:r w:rsidRPr="00446933">
              <w:rPr>
                <w:rFonts w:ascii="Garamond" w:hAnsi="Garamond"/>
                <w:b/>
                <w:lang w:val="en-AU"/>
              </w:rPr>
              <w:t>Patient Partnerships</w:t>
            </w:r>
            <w:r w:rsidRPr="00446933">
              <w:rPr>
                <w:rFonts w:ascii="Garamond" w:hAnsi="Garamond"/>
                <w:lang w:val="en-AU"/>
              </w:rPr>
              <w:t xml:space="preserve"> (Patricia O’Connor, Mario Di Carlo and Jean-Lucien Rouleau</w:t>
            </w:r>
            <w:r>
              <w:rPr>
                <w:rFonts w:ascii="Garamond" w:hAnsi="Garamond"/>
                <w:lang w:val="en-AU"/>
              </w:rPr>
              <w:t>)</w:t>
            </w:r>
          </w:p>
          <w:p w:rsidR="00446933" w:rsidRPr="00446933" w:rsidRDefault="00446933" w:rsidP="00446933">
            <w:pPr>
              <w:pStyle w:val="ListParagraph"/>
              <w:numPr>
                <w:ilvl w:val="0"/>
                <w:numId w:val="34"/>
              </w:numPr>
              <w:rPr>
                <w:rFonts w:ascii="Garamond" w:hAnsi="Garamond"/>
                <w:lang w:val="en-AU"/>
              </w:rPr>
            </w:pPr>
            <w:r w:rsidRPr="00446933">
              <w:rPr>
                <w:rFonts w:ascii="Garamond" w:hAnsi="Garamond"/>
                <w:lang w:val="en-AU"/>
              </w:rPr>
              <w:t xml:space="preserve">Development of </w:t>
            </w:r>
            <w:r w:rsidRPr="00446933">
              <w:rPr>
                <w:rFonts w:ascii="Garamond" w:hAnsi="Garamond"/>
                <w:b/>
                <w:lang w:val="en-AU"/>
              </w:rPr>
              <w:t>Patient-Inclusive Teams</w:t>
            </w:r>
            <w:r w:rsidRPr="00446933">
              <w:rPr>
                <w:rFonts w:ascii="Garamond" w:hAnsi="Garamond"/>
                <w:lang w:val="en-AU"/>
              </w:rPr>
              <w:t>: Toward a Structured Methodology (Marie-Pascale Pomey, Paule Lebel, Nathalie Clavel, Édith Morin, Mireille Morin, Catherine Neault, B...</w:t>
            </w:r>
          </w:p>
          <w:p w:rsidR="00446933" w:rsidRPr="00446933" w:rsidRDefault="00446933" w:rsidP="00446933">
            <w:pPr>
              <w:pStyle w:val="ListParagraph"/>
              <w:numPr>
                <w:ilvl w:val="0"/>
                <w:numId w:val="34"/>
              </w:numPr>
              <w:rPr>
                <w:rFonts w:ascii="Garamond" w:hAnsi="Garamond"/>
                <w:lang w:val="en-AU"/>
              </w:rPr>
            </w:pPr>
            <w:r w:rsidRPr="00446933">
              <w:rPr>
                <w:rFonts w:ascii="Garamond" w:hAnsi="Garamond"/>
                <w:b/>
                <w:lang w:val="en-AU"/>
              </w:rPr>
              <w:t>Patient Roles in Engagement-Capable Environments</w:t>
            </w:r>
            <w:r w:rsidRPr="00446933">
              <w:rPr>
                <w:rFonts w:ascii="Garamond" w:hAnsi="Garamond"/>
                <w:lang w:val="en-AU"/>
              </w:rPr>
              <w:t>: Multiple Perspectives (Paula Rowland, Mireille Brosseau and Claudia Houle</w:t>
            </w:r>
            <w:r>
              <w:rPr>
                <w:rFonts w:ascii="Garamond" w:hAnsi="Garamond"/>
                <w:lang w:val="en-AU"/>
              </w:rPr>
              <w:t>)</w:t>
            </w:r>
          </w:p>
          <w:p w:rsidR="00446933" w:rsidRPr="00446933" w:rsidRDefault="00446933" w:rsidP="00446933">
            <w:pPr>
              <w:pStyle w:val="ListParagraph"/>
              <w:numPr>
                <w:ilvl w:val="0"/>
                <w:numId w:val="34"/>
              </w:numPr>
              <w:rPr>
                <w:rFonts w:ascii="Garamond" w:hAnsi="Garamond"/>
                <w:lang w:val="en-AU"/>
              </w:rPr>
            </w:pPr>
            <w:r w:rsidRPr="00446933">
              <w:rPr>
                <w:rFonts w:ascii="Garamond" w:hAnsi="Garamond"/>
                <w:b/>
                <w:lang w:val="en-AU"/>
              </w:rPr>
              <w:t>Implementation of Patient Engagement</w:t>
            </w:r>
            <w:r w:rsidRPr="00446933">
              <w:rPr>
                <w:rFonts w:ascii="Garamond" w:hAnsi="Garamond"/>
                <w:lang w:val="en-AU"/>
              </w:rPr>
              <w:t xml:space="preserve"> in the Netherlands: A Stimulating Environment within a Large Academic Medical Centre (Marjan J. Faber, Thomas W. Vijn, Marja C.M.C. Jillissen, David Grim and Jan A.M. Kremer</w:t>
            </w:r>
            <w:r>
              <w:rPr>
                <w:rFonts w:ascii="Garamond" w:hAnsi="Garamond"/>
                <w:lang w:val="en-AU"/>
              </w:rPr>
              <w:t>)</w:t>
            </w:r>
          </w:p>
          <w:p w:rsidR="00446933" w:rsidRPr="00446933" w:rsidRDefault="00446933" w:rsidP="00446933">
            <w:pPr>
              <w:pStyle w:val="ListParagraph"/>
              <w:numPr>
                <w:ilvl w:val="0"/>
                <w:numId w:val="34"/>
              </w:numPr>
              <w:rPr>
                <w:rFonts w:ascii="Garamond" w:hAnsi="Garamond"/>
                <w:lang w:val="en-AU"/>
              </w:rPr>
            </w:pPr>
            <w:r w:rsidRPr="00446933">
              <w:rPr>
                <w:rFonts w:ascii="Garamond" w:hAnsi="Garamond"/>
                <w:b/>
                <w:lang w:val="en-AU"/>
              </w:rPr>
              <w:t>Bringing Together Research and Quality Improvement</w:t>
            </w:r>
            <w:r w:rsidRPr="00446933">
              <w:rPr>
                <w:rFonts w:ascii="Garamond" w:hAnsi="Garamond"/>
                <w:lang w:val="en-AU"/>
              </w:rPr>
              <w:t>: The Saskatchewan Approach (Gary F Teare, Malori Keller and Dale Hall</w:t>
            </w:r>
            <w:r>
              <w:rPr>
                <w:rFonts w:ascii="Garamond" w:hAnsi="Garamond"/>
                <w:lang w:val="en-AU"/>
              </w:rPr>
              <w:t>)</w:t>
            </w:r>
          </w:p>
          <w:p w:rsidR="00446933" w:rsidRPr="00446933" w:rsidRDefault="00446933" w:rsidP="00446933">
            <w:pPr>
              <w:pStyle w:val="ListParagraph"/>
              <w:numPr>
                <w:ilvl w:val="0"/>
                <w:numId w:val="34"/>
              </w:numPr>
              <w:rPr>
                <w:rFonts w:ascii="Garamond" w:hAnsi="Garamond"/>
                <w:lang w:val="en-AU"/>
              </w:rPr>
            </w:pPr>
            <w:r w:rsidRPr="00446933">
              <w:rPr>
                <w:rFonts w:ascii="Garamond" w:hAnsi="Garamond"/>
                <w:b/>
                <w:lang w:val="en-AU"/>
              </w:rPr>
              <w:t>Evaluating Patient, Family and Public Engagement in Health Services Improvement and System Redesign</w:t>
            </w:r>
            <w:r w:rsidRPr="00446933">
              <w:rPr>
                <w:rFonts w:ascii="Garamond" w:hAnsi="Garamond"/>
                <w:lang w:val="en-AU"/>
              </w:rPr>
              <w:t xml:space="preserve"> (Julia Abelson, Anya Humphrey, Ania Syrowatka, Julia Bidonde and Maria Judd</w:t>
            </w:r>
            <w:r>
              <w:rPr>
                <w:rFonts w:ascii="Garamond" w:hAnsi="Garamond"/>
                <w:lang w:val="en-AU"/>
              </w:rPr>
              <w:t>)</w:t>
            </w:r>
          </w:p>
          <w:p w:rsidR="00446933" w:rsidRPr="00446933" w:rsidRDefault="00446933" w:rsidP="00446933">
            <w:pPr>
              <w:pStyle w:val="ListParagraph"/>
              <w:numPr>
                <w:ilvl w:val="0"/>
                <w:numId w:val="34"/>
              </w:numPr>
              <w:rPr>
                <w:rFonts w:ascii="Garamond" w:hAnsi="Garamond"/>
                <w:lang w:val="en-AU"/>
              </w:rPr>
            </w:pPr>
            <w:r w:rsidRPr="00446933">
              <w:rPr>
                <w:rFonts w:ascii="Garamond" w:hAnsi="Garamond"/>
                <w:lang w:val="en-AU"/>
              </w:rPr>
              <w:t xml:space="preserve">The </w:t>
            </w:r>
            <w:r w:rsidRPr="00446933">
              <w:rPr>
                <w:rFonts w:ascii="Garamond" w:hAnsi="Garamond"/>
                <w:b/>
                <w:lang w:val="en-AU"/>
              </w:rPr>
              <w:t>Capacity for Patient Engagement</w:t>
            </w:r>
            <w:r w:rsidRPr="00446933">
              <w:rPr>
                <w:rFonts w:ascii="Garamond" w:hAnsi="Garamond"/>
                <w:lang w:val="en-AU"/>
              </w:rPr>
              <w:t>: What Patient Experiences Tell Us About What’s Ahead (Carolyn Canfield</w:t>
            </w:r>
            <w:r>
              <w:rPr>
                <w:rFonts w:ascii="Garamond" w:hAnsi="Garamond"/>
                <w:lang w:val="en-AU"/>
              </w:rPr>
              <w:t>)</w:t>
            </w:r>
          </w:p>
          <w:p w:rsidR="00446933" w:rsidRPr="000C28BA" w:rsidRDefault="00446933" w:rsidP="00446933">
            <w:pPr>
              <w:pStyle w:val="ListParagraph"/>
              <w:numPr>
                <w:ilvl w:val="0"/>
                <w:numId w:val="34"/>
              </w:numPr>
              <w:rPr>
                <w:rFonts w:ascii="Garamond" w:hAnsi="Garamond"/>
                <w:lang w:val="en-AU"/>
              </w:rPr>
            </w:pPr>
            <w:r w:rsidRPr="00446933">
              <w:rPr>
                <w:rFonts w:ascii="Garamond" w:hAnsi="Garamond"/>
                <w:lang w:val="en-AU"/>
              </w:rPr>
              <w:t xml:space="preserve">Growing a </w:t>
            </w:r>
            <w:r w:rsidRPr="00446933">
              <w:rPr>
                <w:rFonts w:ascii="Garamond" w:hAnsi="Garamond"/>
                <w:b/>
                <w:lang w:val="en-AU"/>
              </w:rPr>
              <w:t>Healthy Ecosystem for Patient and Citizen Partnerships</w:t>
            </w:r>
            <w:r>
              <w:rPr>
                <w:rFonts w:ascii="Garamond" w:hAnsi="Garamond"/>
                <w:lang w:val="en-AU"/>
              </w:rPr>
              <w:t xml:space="preserve"> (</w:t>
            </w:r>
            <w:r w:rsidRPr="00446933">
              <w:rPr>
                <w:rFonts w:ascii="Garamond" w:hAnsi="Garamond"/>
                <w:lang w:val="en-AU"/>
              </w:rPr>
              <w:t>Antoine Boivin, Vincent Dumez, Carol Fancott and Audrey L’Espérance</w:t>
            </w:r>
            <w:r>
              <w:rPr>
                <w:rFonts w:ascii="Garamond" w:hAnsi="Garamond"/>
                <w:lang w:val="en-AU"/>
              </w:rPr>
              <w:t>)</w:t>
            </w:r>
          </w:p>
        </w:tc>
      </w:tr>
    </w:tbl>
    <w:p w:rsidR="00446933" w:rsidRDefault="00446933" w:rsidP="00032917">
      <w:pPr>
        <w:keepNext/>
        <w:keepLines/>
        <w:autoSpaceDE w:val="0"/>
        <w:autoSpaceDN w:val="0"/>
        <w:adjustRightInd w:val="0"/>
        <w:rPr>
          <w:rFonts w:ascii="Garamond" w:hAnsi="Garamond"/>
          <w:i/>
          <w:lang w:val="en-AU"/>
        </w:rPr>
      </w:pPr>
    </w:p>
    <w:p w:rsidR="00985853" w:rsidRDefault="00985853" w:rsidP="00032917">
      <w:pPr>
        <w:keepNext/>
        <w:keepLines/>
        <w:autoSpaceDE w:val="0"/>
        <w:autoSpaceDN w:val="0"/>
        <w:adjustRightInd w:val="0"/>
        <w:rPr>
          <w:rFonts w:ascii="Garamond" w:hAnsi="Garamond"/>
          <w:i/>
          <w:lang w:val="en-AU"/>
        </w:rPr>
      </w:pPr>
    </w:p>
    <w:p w:rsidR="00985853" w:rsidRPr="00853A79" w:rsidRDefault="00985853" w:rsidP="00985853">
      <w:pPr>
        <w:keepNext/>
        <w:keepLines/>
        <w:autoSpaceDE w:val="0"/>
        <w:autoSpaceDN w:val="0"/>
        <w:adjustRightInd w:val="0"/>
        <w:rPr>
          <w:rFonts w:ascii="Garamond" w:hAnsi="Garamond"/>
          <w:i/>
          <w:lang w:val="en-AU"/>
        </w:rPr>
      </w:pPr>
      <w:r w:rsidRPr="00853A79">
        <w:rPr>
          <w:rFonts w:ascii="Garamond" w:hAnsi="Garamond"/>
          <w:i/>
          <w:lang w:val="en-AU"/>
        </w:rPr>
        <w:t>Milbank Quarterly</w:t>
      </w:r>
    </w:p>
    <w:p w:rsidR="00985853" w:rsidRPr="00E566B0" w:rsidRDefault="00985853" w:rsidP="00985853">
      <w:pPr>
        <w:keepNext/>
        <w:keepLines/>
        <w:autoSpaceDE w:val="0"/>
        <w:autoSpaceDN w:val="0"/>
        <w:adjustRightInd w:val="0"/>
        <w:rPr>
          <w:rFonts w:ascii="Garamond" w:hAnsi="Garamond"/>
          <w:lang w:val="en-AU"/>
        </w:rPr>
      </w:pPr>
      <w:r w:rsidRPr="00853A79">
        <w:rPr>
          <w:rFonts w:ascii="Garamond" w:hAnsi="Garamond"/>
          <w:lang w:val="en-AU"/>
        </w:rPr>
        <w:t>December 2018 (Volume 96)</w:t>
      </w:r>
    </w:p>
    <w:tbl>
      <w:tblPr>
        <w:tblStyle w:val="TableGrid"/>
        <w:tblW w:w="0" w:type="auto"/>
        <w:tblInd w:w="288" w:type="dxa"/>
        <w:tblLayout w:type="fixed"/>
        <w:tblLook w:val="01E0" w:firstRow="1" w:lastRow="1" w:firstColumn="1" w:lastColumn="1" w:noHBand="0" w:noVBand="0"/>
      </w:tblPr>
      <w:tblGrid>
        <w:gridCol w:w="1080"/>
        <w:gridCol w:w="8280"/>
      </w:tblGrid>
      <w:tr w:rsidR="00985853" w:rsidRPr="000170DA" w:rsidTr="00F04F5F">
        <w:tc>
          <w:tcPr>
            <w:tcW w:w="1080" w:type="dxa"/>
            <w:tcBorders>
              <w:top w:val="single" w:sz="4" w:space="0" w:color="auto"/>
              <w:left w:val="single" w:sz="4" w:space="0" w:color="auto"/>
              <w:bottom w:val="single" w:sz="4" w:space="0" w:color="auto"/>
              <w:right w:val="single" w:sz="4" w:space="0" w:color="auto"/>
            </w:tcBorders>
            <w:vAlign w:val="center"/>
          </w:tcPr>
          <w:p w:rsidR="00985853" w:rsidRPr="000170DA" w:rsidRDefault="00985853" w:rsidP="00F04F5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85853" w:rsidRPr="000170DA" w:rsidRDefault="005D1FF8" w:rsidP="00F04F5F">
            <w:pPr>
              <w:rPr>
                <w:rStyle w:val="Hyperlink"/>
                <w:rFonts w:ascii="Garamond" w:hAnsi="Garamond"/>
                <w:color w:val="auto"/>
                <w:u w:val="none"/>
                <w:lang w:val="en-AU"/>
              </w:rPr>
            </w:pPr>
            <w:hyperlink r:id="rId39" w:history="1">
              <w:r w:rsidR="00985853" w:rsidRPr="00D44627">
                <w:rPr>
                  <w:rStyle w:val="Hyperlink"/>
                  <w:rFonts w:ascii="Garamond" w:hAnsi="Garamond"/>
                  <w:lang w:val="en-AU"/>
                </w:rPr>
                <w:t>https://www.milbank.org/quarterly/issues/december-2018/</w:t>
              </w:r>
            </w:hyperlink>
          </w:p>
        </w:tc>
      </w:tr>
      <w:tr w:rsidR="00985853" w:rsidRPr="000170DA" w:rsidTr="00F04F5F">
        <w:tc>
          <w:tcPr>
            <w:tcW w:w="1080" w:type="dxa"/>
            <w:tcBorders>
              <w:top w:val="single" w:sz="4" w:space="0" w:color="auto"/>
              <w:left w:val="single" w:sz="4" w:space="0" w:color="auto"/>
              <w:bottom w:val="single" w:sz="4" w:space="0" w:color="auto"/>
              <w:right w:val="single" w:sz="4" w:space="0" w:color="auto"/>
            </w:tcBorders>
            <w:vAlign w:val="center"/>
          </w:tcPr>
          <w:p w:rsidR="00985853" w:rsidRPr="000170DA" w:rsidRDefault="00985853" w:rsidP="00F04F5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5853" w:rsidRDefault="00985853" w:rsidP="00F04F5F">
            <w:pPr>
              <w:rPr>
                <w:rFonts w:ascii="Garamond" w:hAnsi="Garamond"/>
                <w:lang w:val="en-AU"/>
              </w:rPr>
            </w:pPr>
            <w:r w:rsidRPr="001450F8">
              <w:rPr>
                <w:rFonts w:ascii="Garamond" w:hAnsi="Garamond"/>
                <w:lang w:val="en-AU"/>
              </w:rPr>
              <w:t xml:space="preserve">A new issue of </w:t>
            </w:r>
            <w:r w:rsidRPr="00853A79">
              <w:rPr>
                <w:rFonts w:ascii="Garamond" w:hAnsi="Garamond"/>
                <w:i/>
                <w:lang w:val="en-AU"/>
              </w:rPr>
              <w:t>Milbank Quarterly</w:t>
            </w:r>
            <w:r w:rsidRPr="008C34D3">
              <w:rPr>
                <w:rFonts w:ascii="Garamond" w:hAnsi="Garamond"/>
                <w:i/>
                <w:lang w:val="en-AU"/>
              </w:rPr>
              <w:t xml:space="preserve"> </w:t>
            </w:r>
            <w:r w:rsidRPr="001450F8">
              <w:rPr>
                <w:rFonts w:ascii="Garamond" w:hAnsi="Garamond"/>
                <w:lang w:val="en-AU"/>
              </w:rPr>
              <w:t xml:space="preserve">has been published. Articles in this issue of </w:t>
            </w:r>
            <w:r>
              <w:rPr>
                <w:rFonts w:ascii="Garamond" w:hAnsi="Garamond"/>
                <w:lang w:val="en-AU"/>
              </w:rPr>
              <w:t xml:space="preserve">the </w:t>
            </w:r>
            <w:r w:rsidRPr="00853A79">
              <w:rPr>
                <w:rFonts w:ascii="Garamond" w:hAnsi="Garamond"/>
                <w:i/>
                <w:lang w:val="en-AU"/>
              </w:rPr>
              <w:t>Milbank Quarterly</w:t>
            </w:r>
            <w:r w:rsidRPr="008C34D3">
              <w:rPr>
                <w:rFonts w:ascii="Garamond" w:hAnsi="Garamond"/>
                <w:i/>
                <w:lang w:val="en-AU"/>
              </w:rPr>
              <w:t xml:space="preserve"> </w:t>
            </w:r>
            <w:r w:rsidRPr="001450F8">
              <w:rPr>
                <w:rFonts w:ascii="Garamond" w:hAnsi="Garamond"/>
                <w:lang w:val="en-AU"/>
              </w:rPr>
              <w:t>include:</w:t>
            </w:r>
          </w:p>
          <w:p w:rsidR="00985853" w:rsidRPr="0033714D" w:rsidRDefault="00985853" w:rsidP="00F04F5F">
            <w:pPr>
              <w:pStyle w:val="ListParagraph"/>
              <w:numPr>
                <w:ilvl w:val="0"/>
                <w:numId w:val="34"/>
              </w:numPr>
              <w:rPr>
                <w:rFonts w:ascii="Garamond" w:hAnsi="Garamond"/>
                <w:lang w:val="en-AU"/>
              </w:rPr>
            </w:pPr>
            <w:r w:rsidRPr="0033714D">
              <w:rPr>
                <w:rFonts w:ascii="Garamond" w:hAnsi="Garamond"/>
                <w:lang w:val="en-AU"/>
              </w:rPr>
              <w:t xml:space="preserve">Will </w:t>
            </w:r>
            <w:r w:rsidRPr="0033714D">
              <w:rPr>
                <w:rFonts w:ascii="Garamond" w:hAnsi="Garamond"/>
                <w:b/>
                <w:lang w:val="en-AU"/>
              </w:rPr>
              <w:t>Disruptive Innovation in Health Care</w:t>
            </w:r>
            <w:r w:rsidRPr="0033714D">
              <w:rPr>
                <w:rFonts w:ascii="Garamond" w:hAnsi="Garamond"/>
                <w:lang w:val="en-AU"/>
              </w:rPr>
              <w:t xml:space="preserve"> Improve the Health of Populations?</w:t>
            </w:r>
            <w:r>
              <w:rPr>
                <w:rFonts w:ascii="Garamond" w:hAnsi="Garamond"/>
                <w:lang w:val="en-AU"/>
              </w:rPr>
              <w:t xml:space="preserve"> (Sandro Galea)</w:t>
            </w:r>
          </w:p>
          <w:p w:rsidR="00985853" w:rsidRPr="0033714D" w:rsidRDefault="00985853" w:rsidP="00F04F5F">
            <w:pPr>
              <w:pStyle w:val="ListParagraph"/>
              <w:numPr>
                <w:ilvl w:val="0"/>
                <w:numId w:val="34"/>
              </w:numPr>
              <w:rPr>
                <w:rFonts w:ascii="Garamond" w:hAnsi="Garamond"/>
                <w:lang w:val="en-AU"/>
              </w:rPr>
            </w:pPr>
            <w:r w:rsidRPr="0033714D">
              <w:rPr>
                <w:rFonts w:ascii="Garamond" w:hAnsi="Garamond"/>
                <w:lang w:val="en-AU"/>
              </w:rPr>
              <w:t xml:space="preserve">The </w:t>
            </w:r>
            <w:r w:rsidRPr="0033714D">
              <w:rPr>
                <w:rFonts w:ascii="Garamond" w:hAnsi="Garamond"/>
                <w:b/>
                <w:lang w:val="en-AU"/>
              </w:rPr>
              <w:t>Fires Are Burning</w:t>
            </w:r>
            <w:r>
              <w:rPr>
                <w:rFonts w:ascii="Garamond" w:hAnsi="Garamond"/>
                <w:lang w:val="en-AU"/>
              </w:rPr>
              <w:t xml:space="preserve"> (Joshua M. Sharfstein)</w:t>
            </w:r>
          </w:p>
          <w:p w:rsidR="00985853" w:rsidRPr="0033714D" w:rsidRDefault="00985853" w:rsidP="00F04F5F">
            <w:pPr>
              <w:pStyle w:val="ListParagraph"/>
              <w:numPr>
                <w:ilvl w:val="0"/>
                <w:numId w:val="34"/>
              </w:numPr>
              <w:rPr>
                <w:rFonts w:ascii="Garamond" w:hAnsi="Garamond"/>
                <w:lang w:val="en-AU"/>
              </w:rPr>
            </w:pPr>
            <w:r w:rsidRPr="0033714D">
              <w:rPr>
                <w:rFonts w:ascii="Garamond" w:hAnsi="Garamond"/>
                <w:lang w:val="en-AU"/>
              </w:rPr>
              <w:lastRenderedPageBreak/>
              <w:t xml:space="preserve">The </w:t>
            </w:r>
            <w:r w:rsidRPr="0033714D">
              <w:rPr>
                <w:rFonts w:ascii="Garamond" w:hAnsi="Garamond"/>
                <w:b/>
                <w:lang w:val="en-AU"/>
              </w:rPr>
              <w:t>Myths We Tell Ourselves About the Poor</w:t>
            </w:r>
            <w:r w:rsidRPr="0033714D">
              <w:rPr>
                <w:rFonts w:ascii="Garamond" w:hAnsi="Garamond"/>
                <w:lang w:val="en-AU"/>
              </w:rPr>
              <w:t>: From the English Poor Law to the Council of Economic Advisers</w:t>
            </w:r>
            <w:r>
              <w:rPr>
                <w:rFonts w:ascii="Garamond" w:hAnsi="Garamond"/>
                <w:lang w:val="en-AU"/>
              </w:rPr>
              <w:t xml:space="preserve"> (Sara Rosenbaum)</w:t>
            </w:r>
          </w:p>
          <w:p w:rsidR="00985853" w:rsidRPr="0033714D" w:rsidRDefault="00985853" w:rsidP="00F04F5F">
            <w:pPr>
              <w:pStyle w:val="ListParagraph"/>
              <w:numPr>
                <w:ilvl w:val="0"/>
                <w:numId w:val="34"/>
              </w:numPr>
              <w:rPr>
                <w:rFonts w:ascii="Garamond" w:hAnsi="Garamond"/>
                <w:lang w:val="en-AU"/>
              </w:rPr>
            </w:pPr>
            <w:r w:rsidRPr="0033714D">
              <w:rPr>
                <w:rFonts w:ascii="Garamond" w:hAnsi="Garamond"/>
                <w:lang w:val="en-AU"/>
              </w:rPr>
              <w:t xml:space="preserve">The </w:t>
            </w:r>
            <w:r w:rsidRPr="0033714D">
              <w:rPr>
                <w:rFonts w:ascii="Garamond" w:hAnsi="Garamond"/>
                <w:b/>
                <w:lang w:val="en-AU"/>
              </w:rPr>
              <w:t>Health Reformers’ Dilemma</w:t>
            </w:r>
            <w:r>
              <w:rPr>
                <w:rFonts w:ascii="Garamond" w:hAnsi="Garamond"/>
                <w:lang w:val="en-AU"/>
              </w:rPr>
              <w:t xml:space="preserve"> (John E. McDonough)</w:t>
            </w:r>
          </w:p>
          <w:p w:rsidR="00985853" w:rsidRPr="0033714D" w:rsidRDefault="00985853" w:rsidP="00F04F5F">
            <w:pPr>
              <w:pStyle w:val="ListParagraph"/>
              <w:numPr>
                <w:ilvl w:val="0"/>
                <w:numId w:val="34"/>
              </w:numPr>
              <w:rPr>
                <w:rFonts w:ascii="Garamond" w:hAnsi="Garamond"/>
                <w:lang w:val="en-AU"/>
              </w:rPr>
            </w:pPr>
            <w:r w:rsidRPr="0033714D">
              <w:rPr>
                <w:rFonts w:ascii="Garamond" w:hAnsi="Garamond"/>
                <w:lang w:val="en-AU"/>
              </w:rPr>
              <w:t xml:space="preserve">How </w:t>
            </w:r>
            <w:r w:rsidRPr="0033714D">
              <w:rPr>
                <w:rFonts w:ascii="Garamond" w:hAnsi="Garamond"/>
                <w:b/>
                <w:lang w:val="en-AU"/>
              </w:rPr>
              <w:t>Equity-Oriented Health Care</w:t>
            </w:r>
            <w:r w:rsidRPr="0033714D">
              <w:rPr>
                <w:rFonts w:ascii="Garamond" w:hAnsi="Garamond"/>
                <w:lang w:val="en-AU"/>
              </w:rPr>
              <w:t xml:space="preserve"> Affects Health: Key Mechanisms and Implications for Primary Health Care Practice and Policy (Marilyn Ford-Gilboe, C Nadine Wathen, Colleen Varcoe, Carol Herbert, Beth E Jackson, Josée G Lavoie, Bernadette (Bernie) Pauly, Nancy A Perrin, Victoria Smye, Bruce Wallace, S T Wong, A J Browne (for the EQUIP Research Program)</w:t>
            </w:r>
            <w:r>
              <w:rPr>
                <w:rFonts w:ascii="Garamond" w:hAnsi="Garamond"/>
                <w:lang w:val="en-AU"/>
              </w:rPr>
              <w:t>)</w:t>
            </w:r>
          </w:p>
          <w:p w:rsidR="00985853" w:rsidRPr="0033714D" w:rsidRDefault="00985853" w:rsidP="00F04F5F">
            <w:pPr>
              <w:pStyle w:val="ListParagraph"/>
              <w:numPr>
                <w:ilvl w:val="0"/>
                <w:numId w:val="34"/>
              </w:numPr>
              <w:rPr>
                <w:rFonts w:ascii="Garamond" w:hAnsi="Garamond"/>
                <w:lang w:val="en-AU"/>
              </w:rPr>
            </w:pPr>
            <w:r w:rsidRPr="0033714D">
              <w:rPr>
                <w:rFonts w:ascii="Garamond" w:hAnsi="Garamond"/>
                <w:lang w:val="en-AU"/>
              </w:rPr>
              <w:t xml:space="preserve">Customer-Ownership in </w:t>
            </w:r>
            <w:r w:rsidRPr="0033714D">
              <w:rPr>
                <w:rFonts w:ascii="Garamond" w:hAnsi="Garamond"/>
                <w:b/>
                <w:lang w:val="en-AU"/>
              </w:rPr>
              <w:t>Equity-Oriented Health Care</w:t>
            </w:r>
            <w:r w:rsidRPr="0033714D">
              <w:rPr>
                <w:rFonts w:ascii="Garamond" w:hAnsi="Garamond"/>
                <w:lang w:val="en-AU"/>
              </w:rPr>
              <w:t xml:space="preserve"> (Douglas K Eby</w:t>
            </w:r>
            <w:r>
              <w:rPr>
                <w:rFonts w:ascii="Garamond" w:hAnsi="Garamond"/>
                <w:lang w:val="en-AU"/>
              </w:rPr>
              <w:t>)</w:t>
            </w:r>
          </w:p>
          <w:p w:rsidR="00985853" w:rsidRPr="0033714D" w:rsidRDefault="00985853" w:rsidP="00F04F5F">
            <w:pPr>
              <w:pStyle w:val="ListParagraph"/>
              <w:numPr>
                <w:ilvl w:val="0"/>
                <w:numId w:val="34"/>
              </w:numPr>
              <w:rPr>
                <w:rFonts w:ascii="Garamond" w:hAnsi="Garamond"/>
                <w:lang w:val="en-AU"/>
              </w:rPr>
            </w:pPr>
            <w:r w:rsidRPr="0033714D">
              <w:rPr>
                <w:rFonts w:ascii="Garamond" w:hAnsi="Garamond"/>
                <w:lang w:val="en-AU"/>
              </w:rPr>
              <w:t xml:space="preserve">Members of Minority and Underserved Communities Set </w:t>
            </w:r>
            <w:r w:rsidRPr="0033714D">
              <w:rPr>
                <w:rFonts w:ascii="Garamond" w:hAnsi="Garamond"/>
                <w:b/>
                <w:lang w:val="en-AU"/>
              </w:rPr>
              <w:t>Priorities for Health Research</w:t>
            </w:r>
            <w:r w:rsidRPr="0033714D">
              <w:rPr>
                <w:rFonts w:ascii="Garamond" w:hAnsi="Garamond"/>
                <w:lang w:val="en-AU"/>
              </w:rPr>
              <w:t xml:space="preserve"> (Susan Dorr Goold, C Daniel Myers, Marion Danis, Julia Abelson, Steve Barnett, Karen Calhoun, Eric G Campbell, Lynnette LaHahnn, A Hammad, R P Rosenbaum, H M Kim, C Salman, L Szymecko, Z E Rowe</w:t>
            </w:r>
            <w:r>
              <w:rPr>
                <w:rFonts w:ascii="Garamond" w:hAnsi="Garamond"/>
                <w:lang w:val="en-AU"/>
              </w:rPr>
              <w:t>)</w:t>
            </w:r>
          </w:p>
          <w:p w:rsidR="00985853" w:rsidRPr="0033714D" w:rsidRDefault="00985853" w:rsidP="00F04F5F">
            <w:pPr>
              <w:pStyle w:val="ListParagraph"/>
              <w:numPr>
                <w:ilvl w:val="0"/>
                <w:numId w:val="34"/>
              </w:numPr>
              <w:rPr>
                <w:rFonts w:ascii="Garamond" w:hAnsi="Garamond"/>
                <w:lang w:val="en-AU"/>
              </w:rPr>
            </w:pPr>
            <w:r w:rsidRPr="006E2625">
              <w:rPr>
                <w:rFonts w:ascii="Garamond" w:hAnsi="Garamond"/>
                <w:b/>
                <w:lang w:val="en-AU"/>
              </w:rPr>
              <w:t>Disparities in</w:t>
            </w:r>
            <w:r w:rsidRPr="0033714D">
              <w:rPr>
                <w:rFonts w:ascii="Garamond" w:hAnsi="Garamond"/>
                <w:lang w:val="en-AU"/>
              </w:rPr>
              <w:t xml:space="preserve"> </w:t>
            </w:r>
            <w:r w:rsidRPr="0033714D">
              <w:rPr>
                <w:rFonts w:ascii="Garamond" w:hAnsi="Garamond"/>
                <w:b/>
                <w:lang w:val="en-AU"/>
              </w:rPr>
              <w:t>Breast Cancer Survival</w:t>
            </w:r>
            <w:r w:rsidRPr="0033714D">
              <w:rPr>
                <w:rFonts w:ascii="Garamond" w:hAnsi="Garamond"/>
                <w:lang w:val="en-AU"/>
              </w:rPr>
              <w:t xml:space="preserve"> by Socioeconomic Status Despite Medicare and Medicaid Insurance (Jeffrey H Silber, Paul R Rosenbaum, Richard N Ross, Joseph G Reiter, Bijan A Niknam, Alexander S Hill, Diana M Bongiorno, Shivani A Shah, Lauren L Hoch</w:t>
            </w:r>
            <w:r>
              <w:rPr>
                <w:rFonts w:ascii="Garamond" w:hAnsi="Garamond"/>
                <w:lang w:val="en-AU"/>
              </w:rPr>
              <w:t>man, O Even-Shoshan, K R</w:t>
            </w:r>
            <w:r w:rsidRPr="0033714D">
              <w:rPr>
                <w:rFonts w:ascii="Garamond" w:hAnsi="Garamond"/>
                <w:lang w:val="en-AU"/>
              </w:rPr>
              <w:t xml:space="preserve"> Fox</w:t>
            </w:r>
            <w:r>
              <w:rPr>
                <w:rFonts w:ascii="Garamond" w:hAnsi="Garamond"/>
                <w:lang w:val="en-AU"/>
              </w:rPr>
              <w:t>)</w:t>
            </w:r>
          </w:p>
          <w:p w:rsidR="00985853" w:rsidRPr="0033714D" w:rsidRDefault="00985853" w:rsidP="00F04F5F">
            <w:pPr>
              <w:pStyle w:val="ListParagraph"/>
              <w:numPr>
                <w:ilvl w:val="0"/>
                <w:numId w:val="34"/>
              </w:numPr>
              <w:rPr>
                <w:rFonts w:ascii="Garamond" w:hAnsi="Garamond"/>
                <w:lang w:val="en-AU"/>
              </w:rPr>
            </w:pPr>
            <w:r w:rsidRPr="0033714D">
              <w:rPr>
                <w:rFonts w:ascii="Garamond" w:hAnsi="Garamond"/>
                <w:lang w:val="en-AU"/>
              </w:rPr>
              <w:t xml:space="preserve">Trust, Money, and Power: Life Cycle Dynamics in </w:t>
            </w:r>
            <w:r w:rsidRPr="0033714D">
              <w:rPr>
                <w:rFonts w:ascii="Garamond" w:hAnsi="Garamond"/>
                <w:b/>
                <w:lang w:val="en-AU"/>
              </w:rPr>
              <w:t>Alliances Between Management Partners and Accountable Care Organizations</w:t>
            </w:r>
            <w:r w:rsidRPr="0033714D">
              <w:rPr>
                <w:rFonts w:ascii="Garamond" w:hAnsi="Garamond"/>
                <w:lang w:val="en-AU"/>
              </w:rPr>
              <w:t xml:space="preserve"> (Genevra F Murray, Thomas D'Aunno, Valerie A Lewis</w:t>
            </w:r>
            <w:r>
              <w:rPr>
                <w:rFonts w:ascii="Garamond" w:hAnsi="Garamond"/>
                <w:lang w:val="en-AU"/>
              </w:rPr>
              <w:t>)</w:t>
            </w:r>
          </w:p>
          <w:p w:rsidR="00985853" w:rsidRPr="0033714D" w:rsidRDefault="00985853" w:rsidP="00F04F5F">
            <w:pPr>
              <w:pStyle w:val="ListParagraph"/>
              <w:numPr>
                <w:ilvl w:val="0"/>
                <w:numId w:val="34"/>
              </w:numPr>
              <w:rPr>
                <w:rFonts w:ascii="Garamond" w:hAnsi="Garamond"/>
                <w:lang w:val="en-AU"/>
              </w:rPr>
            </w:pPr>
            <w:r w:rsidRPr="0033714D">
              <w:rPr>
                <w:rFonts w:ascii="Garamond" w:hAnsi="Garamond"/>
                <w:lang w:val="en-AU"/>
              </w:rPr>
              <w:t xml:space="preserve">The Generation of Integration: The Early Experience of </w:t>
            </w:r>
            <w:r w:rsidRPr="0033714D">
              <w:rPr>
                <w:rFonts w:ascii="Garamond" w:hAnsi="Garamond"/>
                <w:b/>
                <w:lang w:val="en-AU"/>
              </w:rPr>
              <w:t>Implementing Bundled Care</w:t>
            </w:r>
            <w:r w:rsidRPr="0033714D">
              <w:rPr>
                <w:rFonts w:ascii="Garamond" w:hAnsi="Garamond"/>
                <w:lang w:val="en-AU"/>
              </w:rPr>
              <w:t xml:space="preserve"> in Ontario, Canada (Gayathri Embuldeniya, Maritt Kirst, Kevin Walker, Walter P Wodchis</w:t>
            </w:r>
            <w:r>
              <w:rPr>
                <w:rFonts w:ascii="Garamond" w:hAnsi="Garamond"/>
                <w:lang w:val="en-AU"/>
              </w:rPr>
              <w:t>)</w:t>
            </w:r>
          </w:p>
          <w:p w:rsidR="00985853" w:rsidRPr="000C28BA" w:rsidRDefault="00985853" w:rsidP="00F04F5F">
            <w:pPr>
              <w:pStyle w:val="ListParagraph"/>
              <w:numPr>
                <w:ilvl w:val="0"/>
                <w:numId w:val="34"/>
              </w:numPr>
              <w:rPr>
                <w:rFonts w:ascii="Garamond" w:hAnsi="Garamond"/>
                <w:lang w:val="en-AU"/>
              </w:rPr>
            </w:pPr>
            <w:r w:rsidRPr="0033714D">
              <w:rPr>
                <w:rFonts w:ascii="Garamond" w:hAnsi="Garamond"/>
                <w:lang w:val="en-AU"/>
              </w:rPr>
              <w:t xml:space="preserve">Long-Term Consequences of the </w:t>
            </w:r>
            <w:r w:rsidRPr="0033714D">
              <w:rPr>
                <w:rFonts w:ascii="Garamond" w:hAnsi="Garamond"/>
                <w:b/>
                <w:lang w:val="en-AU"/>
              </w:rPr>
              <w:t>Chernobyl Radioactive Fallout</w:t>
            </w:r>
            <w:r w:rsidRPr="0033714D">
              <w:rPr>
                <w:rFonts w:ascii="Garamond" w:hAnsi="Garamond"/>
                <w:lang w:val="en-AU"/>
              </w:rPr>
              <w:t>: An Exploration of the Aggregate Data</w:t>
            </w:r>
            <w:r>
              <w:rPr>
                <w:rFonts w:ascii="Garamond" w:hAnsi="Garamond"/>
                <w:lang w:val="en-AU"/>
              </w:rPr>
              <w:t xml:space="preserve"> (</w:t>
            </w:r>
            <w:r w:rsidRPr="0033714D">
              <w:rPr>
                <w:rFonts w:ascii="Garamond" w:hAnsi="Garamond"/>
                <w:lang w:val="en-AU"/>
              </w:rPr>
              <w:t>Francesca Marino, Luca Nunziata</w:t>
            </w:r>
            <w:r>
              <w:rPr>
                <w:rFonts w:ascii="Garamond" w:hAnsi="Garamond"/>
                <w:lang w:val="en-AU"/>
              </w:rPr>
              <w:t>)</w:t>
            </w:r>
          </w:p>
        </w:tc>
      </w:tr>
    </w:tbl>
    <w:p w:rsidR="00985853" w:rsidRDefault="00985853" w:rsidP="001C0CF1">
      <w:pPr>
        <w:keepNext/>
        <w:rPr>
          <w:rFonts w:ascii="Garamond" w:hAnsi="Garamond"/>
          <w:i/>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5D1FF8" w:rsidP="00900052">
            <w:pPr>
              <w:keepNext/>
              <w:rPr>
                <w:rFonts w:ascii="Garamond" w:hAnsi="Garamond"/>
                <w:lang w:val="en-AU"/>
              </w:rPr>
            </w:pPr>
            <w:hyperlink r:id="rId40"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4B6B43" w:rsidRPr="00467B47" w:rsidRDefault="00F86E13" w:rsidP="004B6B43">
            <w:pPr>
              <w:pStyle w:val="ListParagraph"/>
              <w:numPr>
                <w:ilvl w:val="0"/>
                <w:numId w:val="14"/>
              </w:numPr>
              <w:rPr>
                <w:rFonts w:ascii="Garamond" w:hAnsi="Garamond"/>
                <w:lang w:val="en-AU"/>
              </w:rPr>
            </w:pPr>
            <w:r w:rsidRPr="00F86E13">
              <w:rPr>
                <w:rFonts w:ascii="Garamond" w:hAnsi="Garamond"/>
                <w:lang w:val="en-AU"/>
              </w:rPr>
              <w:t xml:space="preserve">Patterns of performance and improvement in </w:t>
            </w:r>
            <w:r w:rsidRPr="00F86E13">
              <w:rPr>
                <w:rFonts w:ascii="Garamond" w:hAnsi="Garamond"/>
                <w:b/>
                <w:lang w:val="en-AU"/>
              </w:rPr>
              <w:t>US Medicare’s Hospital Star Ratings</w:t>
            </w:r>
            <w:r w:rsidRPr="00F86E13">
              <w:rPr>
                <w:rFonts w:ascii="Garamond" w:hAnsi="Garamond"/>
                <w:lang w:val="en-AU"/>
              </w:rPr>
              <w:t>, 2016–2017</w:t>
            </w:r>
            <w:r>
              <w:rPr>
                <w:rFonts w:ascii="Garamond" w:hAnsi="Garamond"/>
                <w:lang w:val="en-AU"/>
              </w:rPr>
              <w:t xml:space="preserve"> (</w:t>
            </w:r>
            <w:r w:rsidRPr="00F86E13">
              <w:rPr>
                <w:rFonts w:ascii="Garamond" w:hAnsi="Garamond"/>
                <w:lang w:val="en-AU"/>
              </w:rPr>
              <w:t>Paula Chatterjee, Karen Joynt Maddox</w:t>
            </w:r>
            <w:r>
              <w:rPr>
                <w:rFonts w:ascii="Garamond" w:hAnsi="Garamond"/>
                <w:lang w:val="en-AU"/>
              </w:rPr>
              <w:t>)</w:t>
            </w:r>
          </w:p>
        </w:tc>
      </w:tr>
    </w:tbl>
    <w:p w:rsidR="00D46F19" w:rsidRDefault="00D46F19" w:rsidP="008F5418">
      <w:pPr>
        <w:keepNext/>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5D1FF8" w:rsidP="00290461">
            <w:pPr>
              <w:keepNext/>
              <w:rPr>
                <w:rFonts w:ascii="Garamond" w:hAnsi="Garamond"/>
                <w:lang w:val="en-AU"/>
              </w:rPr>
            </w:pPr>
            <w:hyperlink r:id="rId41"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F617D" w:rsidRPr="00DA6435" w:rsidRDefault="004B6B43" w:rsidP="00A46DE8">
            <w:pPr>
              <w:pStyle w:val="ListParagraph"/>
              <w:numPr>
                <w:ilvl w:val="0"/>
                <w:numId w:val="14"/>
              </w:numPr>
              <w:rPr>
                <w:rFonts w:ascii="Garamond" w:hAnsi="Garamond"/>
                <w:lang w:val="en-AU"/>
              </w:rPr>
            </w:pPr>
            <w:r w:rsidRPr="004B6B43">
              <w:rPr>
                <w:rFonts w:ascii="Garamond" w:hAnsi="Garamond"/>
                <w:lang w:val="en-AU"/>
              </w:rPr>
              <w:t xml:space="preserve">Role of </w:t>
            </w:r>
            <w:r w:rsidRPr="004B6B43">
              <w:rPr>
                <w:rFonts w:ascii="Garamond" w:hAnsi="Garamond"/>
                <w:b/>
                <w:lang w:val="en-AU"/>
              </w:rPr>
              <w:t>electronic patient reported safety incidents</w:t>
            </w:r>
            <w:r w:rsidRPr="004B6B43">
              <w:rPr>
                <w:rFonts w:ascii="Garamond" w:hAnsi="Garamond"/>
                <w:lang w:val="en-AU"/>
              </w:rPr>
              <w:t xml:space="preserve"> in improving patient safety and care (Mohy Uddin; Shabbir Syed-Abdul</w:t>
            </w:r>
            <w:r>
              <w:rPr>
                <w:rFonts w:ascii="Garamond" w:hAnsi="Garamond"/>
                <w:lang w:val="en-AU"/>
              </w:rPr>
              <w:t>)</w:t>
            </w:r>
          </w:p>
        </w:tc>
      </w:tr>
    </w:tbl>
    <w:p w:rsidR="009A34AA" w:rsidRDefault="009A34AA" w:rsidP="00070CFE">
      <w:pPr>
        <w:rPr>
          <w:rFonts w:ascii="Garamond" w:hAnsi="Garamond"/>
          <w:lang w:val="en-AU"/>
        </w:rPr>
      </w:pPr>
    </w:p>
    <w:p w:rsidR="000C28BA" w:rsidRPr="00467B47" w:rsidRDefault="000C28BA" w:rsidP="000C28BA">
      <w:pPr>
        <w:keepNext/>
        <w:rPr>
          <w:rFonts w:ascii="Garamond" w:hAnsi="Garamond"/>
          <w:lang w:val="en-AU"/>
        </w:rPr>
      </w:pPr>
      <w:r w:rsidRPr="000C28BA">
        <w:rPr>
          <w:rFonts w:ascii="Garamond" w:hAnsi="Garamond"/>
          <w:i/>
          <w:lang w:val="en-AU"/>
        </w:rPr>
        <w:t xml:space="preserve">American Journal of Medical Quality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C28BA" w:rsidRPr="00467B47" w:rsidTr="00414361">
        <w:tc>
          <w:tcPr>
            <w:tcW w:w="1080" w:type="dxa"/>
            <w:tcBorders>
              <w:top w:val="single" w:sz="4" w:space="0" w:color="auto"/>
              <w:left w:val="single" w:sz="4" w:space="0" w:color="auto"/>
              <w:bottom w:val="single" w:sz="4" w:space="0" w:color="auto"/>
              <w:right w:val="single" w:sz="4" w:space="0" w:color="auto"/>
            </w:tcBorders>
            <w:vAlign w:val="center"/>
          </w:tcPr>
          <w:p w:rsidR="000C28BA" w:rsidRPr="00467B47" w:rsidRDefault="000C28BA" w:rsidP="00414361">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28BA" w:rsidRPr="00467B47" w:rsidRDefault="005D1FF8" w:rsidP="00414361">
            <w:pPr>
              <w:keepNext/>
              <w:rPr>
                <w:rFonts w:ascii="Garamond" w:hAnsi="Garamond"/>
                <w:lang w:val="en-AU"/>
              </w:rPr>
            </w:pPr>
            <w:hyperlink r:id="rId42" w:history="1">
              <w:r w:rsidR="000C28BA" w:rsidRPr="00D44627">
                <w:rPr>
                  <w:rStyle w:val="Hyperlink"/>
                  <w:rFonts w:ascii="Garamond" w:hAnsi="Garamond"/>
                  <w:lang w:val="en-AU"/>
                </w:rPr>
                <w:t>https://journals.sagepub.com/toc/ajmb/0/0</w:t>
              </w:r>
            </w:hyperlink>
          </w:p>
        </w:tc>
      </w:tr>
      <w:tr w:rsidR="000C28BA" w:rsidRPr="00467B47" w:rsidTr="00414361">
        <w:tc>
          <w:tcPr>
            <w:tcW w:w="1080" w:type="dxa"/>
            <w:tcBorders>
              <w:top w:val="single" w:sz="4" w:space="0" w:color="auto"/>
              <w:left w:val="single" w:sz="4" w:space="0" w:color="auto"/>
              <w:bottom w:val="single" w:sz="4" w:space="0" w:color="auto"/>
              <w:right w:val="single" w:sz="4" w:space="0" w:color="auto"/>
            </w:tcBorders>
            <w:vAlign w:val="center"/>
          </w:tcPr>
          <w:p w:rsidR="000C28BA" w:rsidRPr="00467B47" w:rsidRDefault="000C28BA" w:rsidP="00414361">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28BA" w:rsidRPr="00467B47" w:rsidRDefault="000C28BA" w:rsidP="00414361">
            <w:pPr>
              <w:rPr>
                <w:rFonts w:ascii="Garamond" w:hAnsi="Garamond"/>
                <w:lang w:val="en-AU"/>
              </w:rPr>
            </w:pPr>
            <w:r w:rsidRPr="000C28BA">
              <w:rPr>
                <w:rFonts w:ascii="Garamond" w:hAnsi="Garamond"/>
                <w:i/>
                <w:lang w:val="en-AU"/>
              </w:rPr>
              <w:t xml:space="preserve">American Journal of Medical Quality </w:t>
            </w:r>
            <w:r w:rsidRPr="00467B47">
              <w:rPr>
                <w:rFonts w:ascii="Garamond" w:hAnsi="Garamond"/>
                <w:lang w:val="en-AU"/>
              </w:rPr>
              <w:t>has published a number of ‘online first’ articles, including:</w:t>
            </w:r>
          </w:p>
          <w:p w:rsidR="000C28BA" w:rsidRDefault="000C28BA" w:rsidP="000C28BA">
            <w:pPr>
              <w:pStyle w:val="ListParagraph"/>
              <w:numPr>
                <w:ilvl w:val="0"/>
                <w:numId w:val="14"/>
              </w:numPr>
              <w:jc w:val="both"/>
              <w:rPr>
                <w:rFonts w:ascii="Garamond" w:hAnsi="Garamond"/>
                <w:lang w:val="en-AU"/>
              </w:rPr>
            </w:pPr>
            <w:r w:rsidRPr="000C28BA">
              <w:rPr>
                <w:rFonts w:ascii="Garamond" w:hAnsi="Garamond"/>
                <w:b/>
                <w:lang w:val="en-AU"/>
              </w:rPr>
              <w:t>Preoperative Evaluation Clinic Redesign</w:t>
            </w:r>
            <w:r w:rsidRPr="000C28BA">
              <w:rPr>
                <w:rFonts w:ascii="Garamond" w:hAnsi="Garamond"/>
                <w:lang w:val="en-AU"/>
              </w:rPr>
              <w:t>: An Initiative to Improve Access, Efficiency, and Staff Satisfaction (Joan M Irizarry-Alvarado, Matthew Lundy, Barbara McKinney, Frank A Ray, Virginia E Reynolds, Sher-Lu Pai</w:t>
            </w:r>
            <w:r>
              <w:rPr>
                <w:rFonts w:ascii="Garamond" w:hAnsi="Garamond"/>
                <w:lang w:val="en-AU"/>
              </w:rPr>
              <w:t>)</w:t>
            </w:r>
          </w:p>
          <w:p w:rsidR="000C28BA" w:rsidRDefault="000C28BA" w:rsidP="000C28BA">
            <w:pPr>
              <w:pStyle w:val="ListParagraph"/>
              <w:numPr>
                <w:ilvl w:val="0"/>
                <w:numId w:val="14"/>
              </w:numPr>
              <w:jc w:val="both"/>
              <w:rPr>
                <w:rFonts w:ascii="Garamond" w:hAnsi="Garamond"/>
                <w:lang w:val="en-AU"/>
              </w:rPr>
            </w:pPr>
            <w:r w:rsidRPr="000C28BA">
              <w:rPr>
                <w:rFonts w:ascii="Garamond" w:hAnsi="Garamond"/>
                <w:lang w:val="en-AU"/>
              </w:rPr>
              <w:t xml:space="preserve">The </w:t>
            </w:r>
            <w:r w:rsidRPr="000C28BA">
              <w:rPr>
                <w:rFonts w:ascii="Garamond" w:hAnsi="Garamond"/>
                <w:b/>
                <w:lang w:val="en-AU"/>
              </w:rPr>
              <w:t>Domino Effect of Medical Errors</w:t>
            </w:r>
            <w:r w:rsidRPr="000C28BA">
              <w:rPr>
                <w:rFonts w:ascii="Garamond" w:hAnsi="Garamond"/>
                <w:lang w:val="en-AU"/>
              </w:rPr>
              <w:t xml:space="preserve"> (Samer Ellahham</w:t>
            </w:r>
            <w:r>
              <w:rPr>
                <w:rFonts w:ascii="Garamond" w:hAnsi="Garamond"/>
                <w:lang w:val="en-AU"/>
              </w:rPr>
              <w:t>)</w:t>
            </w:r>
          </w:p>
          <w:p w:rsidR="000C28BA" w:rsidRPr="00DA6435" w:rsidRDefault="000C28BA" w:rsidP="000C28BA">
            <w:pPr>
              <w:pStyle w:val="ListParagraph"/>
              <w:numPr>
                <w:ilvl w:val="0"/>
                <w:numId w:val="14"/>
              </w:numPr>
              <w:jc w:val="both"/>
              <w:rPr>
                <w:rFonts w:ascii="Garamond" w:hAnsi="Garamond"/>
                <w:lang w:val="en-AU"/>
              </w:rPr>
            </w:pPr>
            <w:r w:rsidRPr="000C28BA">
              <w:rPr>
                <w:rFonts w:ascii="Garamond" w:hAnsi="Garamond"/>
                <w:b/>
                <w:lang w:val="en-AU"/>
              </w:rPr>
              <w:t>Patient- and Family-Centered Care as a Dimension of Quality</w:t>
            </w:r>
            <w:r>
              <w:rPr>
                <w:rFonts w:ascii="Garamond" w:hAnsi="Garamond"/>
                <w:lang w:val="en-AU"/>
              </w:rPr>
              <w:t xml:space="preserve"> (</w:t>
            </w:r>
            <w:r w:rsidRPr="000C28BA">
              <w:rPr>
                <w:rFonts w:ascii="Garamond" w:hAnsi="Garamond"/>
                <w:lang w:val="en-AU"/>
              </w:rPr>
              <w:t>Ravi Dhurjati, Krista Sigurdson, Jochen Profit</w:t>
            </w:r>
            <w:r>
              <w:rPr>
                <w:rFonts w:ascii="Garamond" w:hAnsi="Garamond"/>
                <w:lang w:val="en-AU"/>
              </w:rPr>
              <w:t>)</w:t>
            </w:r>
          </w:p>
        </w:tc>
      </w:tr>
    </w:tbl>
    <w:p w:rsidR="000C28BA" w:rsidRDefault="000C28BA"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09148E" w:rsidRDefault="0009148E" w:rsidP="00070CFE">
      <w:pPr>
        <w:rPr>
          <w:rFonts w:ascii="Garamond" w:hAnsi="Garamond"/>
          <w:lang w:val="en-AU"/>
        </w:rPr>
      </w:pPr>
    </w:p>
    <w:p w:rsidR="00545BC3" w:rsidRPr="000170DA" w:rsidRDefault="00545BC3" w:rsidP="00545BC3">
      <w:pPr>
        <w:keepNext/>
        <w:keepLines/>
        <w:rPr>
          <w:rFonts w:ascii="Garamond" w:hAnsi="Garamond"/>
          <w:i/>
          <w:lang w:val="en-AU"/>
        </w:rPr>
      </w:pPr>
      <w:r w:rsidRPr="000170DA">
        <w:rPr>
          <w:rFonts w:ascii="Garamond" w:hAnsi="Garamond"/>
          <w:i/>
          <w:lang w:val="en-AU"/>
        </w:rPr>
        <w:t>[UK] NICE Guidelines and Quality Standards</w:t>
      </w:r>
    </w:p>
    <w:p w:rsidR="00545BC3" w:rsidRPr="000170DA" w:rsidRDefault="005D1FF8" w:rsidP="00545BC3">
      <w:pPr>
        <w:keepNext/>
        <w:keepLines/>
        <w:rPr>
          <w:rFonts w:ascii="Garamond" w:hAnsi="Garamond"/>
          <w:u w:val="single"/>
          <w:lang w:val="en-AU"/>
        </w:rPr>
      </w:pPr>
      <w:hyperlink r:id="rId43" w:history="1">
        <w:r w:rsidR="00545BC3" w:rsidRPr="000170DA">
          <w:rPr>
            <w:rStyle w:val="Hyperlink"/>
            <w:rFonts w:ascii="Garamond" w:hAnsi="Garamond"/>
            <w:lang w:val="en-AU"/>
          </w:rPr>
          <w:t>https://www.nice.org.uk</w:t>
        </w:r>
      </w:hyperlink>
    </w:p>
    <w:p w:rsidR="00545BC3" w:rsidRPr="000170DA" w:rsidRDefault="00545BC3" w:rsidP="00545BC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182979" w:rsidRPr="00975155" w:rsidRDefault="00182979" w:rsidP="00182979">
      <w:pPr>
        <w:pStyle w:val="ListParagraph"/>
        <w:keepNext/>
        <w:keepLines/>
        <w:numPr>
          <w:ilvl w:val="0"/>
          <w:numId w:val="14"/>
        </w:numPr>
        <w:rPr>
          <w:rStyle w:val="Hyperlink"/>
          <w:rFonts w:ascii="Garamond" w:hAnsi="Garamond"/>
          <w:color w:val="auto"/>
          <w:u w:val="none"/>
          <w:lang w:val="en-AU"/>
        </w:rPr>
      </w:pPr>
      <w:r w:rsidRPr="003F1F1B">
        <w:rPr>
          <w:rFonts w:ascii="Garamond" w:hAnsi="Garamond"/>
          <w:lang w:val="en-AU"/>
        </w:rPr>
        <w:t xml:space="preserve">Clinical Guideline CG62 </w:t>
      </w:r>
      <w:r w:rsidRPr="003F1F1B">
        <w:rPr>
          <w:rFonts w:ascii="Garamond" w:hAnsi="Garamond"/>
          <w:b/>
          <w:i/>
          <w:lang w:val="en-AU"/>
        </w:rPr>
        <w:t>Antenatal care</w:t>
      </w:r>
      <w:r w:rsidRPr="003F1F1B">
        <w:rPr>
          <w:rFonts w:ascii="Garamond" w:hAnsi="Garamond"/>
          <w:i/>
          <w:lang w:val="en-AU"/>
        </w:rPr>
        <w:t xml:space="preserve"> for uncomplicated pregnancies </w:t>
      </w:r>
      <w:hyperlink r:id="rId44" w:history="1">
        <w:r w:rsidRPr="003F1F1B">
          <w:rPr>
            <w:rStyle w:val="Hyperlink"/>
            <w:rFonts w:ascii="Garamond" w:hAnsi="Garamond"/>
            <w:lang w:val="en-AU"/>
          </w:rPr>
          <w:t>https://www.nice.org.uk/guidance/cg62</w:t>
        </w:r>
      </w:hyperlink>
    </w:p>
    <w:p w:rsidR="00975155" w:rsidRDefault="00975155" w:rsidP="00975155">
      <w:pPr>
        <w:pStyle w:val="ListParagraph"/>
        <w:keepNext/>
        <w:keepLines/>
        <w:numPr>
          <w:ilvl w:val="0"/>
          <w:numId w:val="14"/>
        </w:numPr>
        <w:rPr>
          <w:rFonts w:ascii="Garamond" w:hAnsi="Garamond"/>
          <w:lang w:val="en-AU"/>
        </w:rPr>
      </w:pPr>
      <w:r>
        <w:rPr>
          <w:rFonts w:ascii="Garamond" w:hAnsi="Garamond"/>
          <w:lang w:val="en-AU"/>
        </w:rPr>
        <w:t xml:space="preserve">Quality Standard QS176 </w:t>
      </w:r>
      <w:r w:rsidRPr="00975155">
        <w:rPr>
          <w:rFonts w:ascii="Garamond" w:hAnsi="Garamond"/>
          <w:b/>
          <w:i/>
          <w:lang w:val="en-AU"/>
        </w:rPr>
        <w:t>Oesophago-gastric cancer</w:t>
      </w:r>
      <w:r>
        <w:rPr>
          <w:rFonts w:ascii="Garamond" w:hAnsi="Garamond"/>
          <w:lang w:val="en-AU"/>
        </w:rPr>
        <w:t xml:space="preserve"> </w:t>
      </w:r>
      <w:hyperlink r:id="rId45" w:history="1">
        <w:r w:rsidRPr="00BA579C">
          <w:rPr>
            <w:rStyle w:val="Hyperlink"/>
            <w:rFonts w:ascii="Garamond" w:hAnsi="Garamond"/>
            <w:lang w:val="en-AU"/>
          </w:rPr>
          <w:t>https://www.nice.org.uk/guidance/qs176</w:t>
        </w:r>
      </w:hyperlink>
    </w:p>
    <w:p w:rsidR="00545BC3" w:rsidRDefault="00545BC3" w:rsidP="00070CFE">
      <w:pPr>
        <w:rPr>
          <w:rFonts w:ascii="Garamond" w:hAnsi="Garamond"/>
          <w:lang w:val="en-AU"/>
        </w:rPr>
      </w:pPr>
    </w:p>
    <w:p w:rsidR="00545BC3" w:rsidRPr="000170DA" w:rsidRDefault="00545BC3" w:rsidP="00545BC3">
      <w:pPr>
        <w:keepNext/>
        <w:keepLines/>
        <w:rPr>
          <w:rFonts w:ascii="Garamond" w:hAnsi="Garamond"/>
          <w:i/>
          <w:lang w:val="en-AU"/>
        </w:rPr>
      </w:pPr>
      <w:r w:rsidRPr="000170DA">
        <w:rPr>
          <w:rFonts w:ascii="Garamond" w:hAnsi="Garamond"/>
          <w:i/>
          <w:lang w:val="en-AU"/>
        </w:rPr>
        <w:t>[USA] Effective Health Care Program reports</w:t>
      </w:r>
    </w:p>
    <w:p w:rsidR="00545BC3" w:rsidRPr="000170DA" w:rsidRDefault="005D1FF8" w:rsidP="00545BC3">
      <w:pPr>
        <w:keepNext/>
        <w:keepLines/>
        <w:rPr>
          <w:rFonts w:ascii="Garamond" w:hAnsi="Garamond"/>
          <w:u w:val="single"/>
          <w:lang w:val="en-AU"/>
        </w:rPr>
      </w:pPr>
      <w:hyperlink r:id="rId46" w:history="1">
        <w:r w:rsidR="00545BC3" w:rsidRPr="000170DA">
          <w:rPr>
            <w:rStyle w:val="Hyperlink"/>
            <w:rFonts w:ascii="Garamond" w:hAnsi="Garamond"/>
            <w:lang w:val="en-AU"/>
          </w:rPr>
          <w:t>https://effectivehealthcare.ahrq.gov/</w:t>
        </w:r>
      </w:hyperlink>
    </w:p>
    <w:p w:rsidR="00545BC3" w:rsidRDefault="00545BC3" w:rsidP="00545BC3">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182979" w:rsidRPr="003F1F1B" w:rsidRDefault="00182979" w:rsidP="00182979">
      <w:pPr>
        <w:pStyle w:val="ListParagraph"/>
        <w:keepNext/>
        <w:keepLines/>
        <w:numPr>
          <w:ilvl w:val="0"/>
          <w:numId w:val="14"/>
        </w:numPr>
        <w:rPr>
          <w:rFonts w:ascii="Garamond" w:hAnsi="Garamond"/>
          <w:lang w:val="en-AU"/>
        </w:rPr>
      </w:pPr>
      <w:r w:rsidRPr="003F1F1B">
        <w:rPr>
          <w:rFonts w:ascii="Garamond" w:hAnsi="Garamond"/>
          <w:i/>
          <w:lang w:val="en-AU"/>
        </w:rPr>
        <w:t xml:space="preserve">Patient Navigation Models for </w:t>
      </w:r>
      <w:r w:rsidRPr="003F1F1B">
        <w:rPr>
          <w:rFonts w:ascii="Garamond" w:hAnsi="Garamond"/>
          <w:b/>
          <w:i/>
          <w:lang w:val="en-AU"/>
        </w:rPr>
        <w:t>Lung Cancer</w:t>
      </w:r>
      <w:r w:rsidRPr="003F1F1B">
        <w:rPr>
          <w:rFonts w:ascii="Garamond" w:hAnsi="Garamond"/>
          <w:lang w:val="en-AU"/>
        </w:rPr>
        <w:t xml:space="preserve"> </w:t>
      </w:r>
      <w:r w:rsidRPr="003F1F1B">
        <w:rPr>
          <w:rFonts w:ascii="Garamond" w:hAnsi="Garamond"/>
          <w:lang w:val="en-AU"/>
        </w:rPr>
        <w:br/>
      </w:r>
      <w:hyperlink r:id="rId47" w:history="1">
        <w:r w:rsidRPr="003F1F1B">
          <w:rPr>
            <w:rStyle w:val="Hyperlink"/>
            <w:rFonts w:ascii="Garamond" w:hAnsi="Garamond"/>
            <w:lang w:val="en-AU"/>
          </w:rPr>
          <w:t>https://effectivehealthcare.ahrq.gov/topics/nav-model-lung-cancer/rapid-product</w:t>
        </w:r>
      </w:hyperlink>
    </w:p>
    <w:p w:rsidR="00545BC3" w:rsidRDefault="00545BC3" w:rsidP="00070CFE">
      <w:pPr>
        <w:rPr>
          <w:rFonts w:ascii="Garamond" w:hAnsi="Garamond"/>
          <w:i/>
          <w:lang w:val="en-AU"/>
        </w:rPr>
      </w:pPr>
    </w:p>
    <w:p w:rsidR="0008623F" w:rsidRDefault="0008623F" w:rsidP="00EC0C87">
      <w:pPr>
        <w:keepLines/>
        <w:rPr>
          <w:rFonts w:ascii="Garamond" w:hAnsi="Garamond"/>
          <w:lang w:val="en-AU"/>
        </w:rPr>
      </w:pPr>
    </w:p>
    <w:p w:rsidR="00310160" w:rsidRPr="004964A4" w:rsidRDefault="00310160"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61" w:rsidRDefault="00414361">
      <w:r>
        <w:separator/>
      </w:r>
    </w:p>
  </w:endnote>
  <w:endnote w:type="continuationSeparator" w:id="0">
    <w:p w:rsidR="00414361" w:rsidRDefault="0041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61" w:rsidRDefault="0041436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D1FF8">
      <w:rPr>
        <w:rStyle w:val="PageNumber"/>
        <w:noProof/>
      </w:rPr>
      <w:t>10</w:t>
    </w:r>
    <w:r>
      <w:rPr>
        <w:rStyle w:val="PageNumber"/>
      </w:rPr>
      <w:fldChar w:fldCharType="end"/>
    </w:r>
  </w:p>
  <w:p w:rsidR="00414361" w:rsidRPr="001E78F0" w:rsidRDefault="0041436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w:t>
    </w:r>
    <w:r w:rsidR="006E2625">
      <w:rPr>
        <w:rFonts w:ascii="Garamond" w:hAnsi="Garamond"/>
      </w:rPr>
      <w:t>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61" w:rsidRPr="001E78F0" w:rsidRDefault="0041436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D1FF8">
      <w:rPr>
        <w:rStyle w:val="PageNumber"/>
        <w:rFonts w:ascii="Garamond" w:hAnsi="Garamond"/>
        <w:noProof/>
      </w:rPr>
      <w:t>11</w:t>
    </w:r>
    <w:r w:rsidRPr="001E78F0">
      <w:rPr>
        <w:rStyle w:val="PageNumber"/>
        <w:rFonts w:ascii="Garamond" w:hAnsi="Garamond"/>
      </w:rPr>
      <w:fldChar w:fldCharType="end"/>
    </w:r>
  </w:p>
  <w:p w:rsidR="00414361" w:rsidRPr="001E78F0" w:rsidRDefault="0041436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61" w:rsidRDefault="00414361">
      <w:r>
        <w:separator/>
      </w:r>
    </w:p>
  </w:footnote>
  <w:footnote w:type="continuationSeparator" w:id="0">
    <w:p w:rsidR="00414361" w:rsidRDefault="00414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B7920"/>
    <w:multiLevelType w:val="hybridMultilevel"/>
    <w:tmpl w:val="0FDE2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8A4602"/>
    <w:multiLevelType w:val="hybridMultilevel"/>
    <w:tmpl w:val="11D46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B77366"/>
    <w:multiLevelType w:val="hybridMultilevel"/>
    <w:tmpl w:val="A0569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B046D9"/>
    <w:multiLevelType w:val="hybridMultilevel"/>
    <w:tmpl w:val="7C1E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4B39CF"/>
    <w:multiLevelType w:val="hybridMultilevel"/>
    <w:tmpl w:val="A2763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8F0EB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F670BB"/>
    <w:multiLevelType w:val="hybridMultilevel"/>
    <w:tmpl w:val="FA6A5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FE350A"/>
    <w:multiLevelType w:val="hybridMultilevel"/>
    <w:tmpl w:val="FF46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BF304A"/>
    <w:multiLevelType w:val="hybridMultilevel"/>
    <w:tmpl w:val="940E5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4F6CF3"/>
    <w:multiLevelType w:val="hybridMultilevel"/>
    <w:tmpl w:val="DC94A696"/>
    <w:lvl w:ilvl="0" w:tplc="0C090001">
      <w:start w:val="1"/>
      <w:numFmt w:val="bullet"/>
      <w:lvlText w:val=""/>
      <w:lvlJc w:val="left"/>
      <w:pPr>
        <w:ind w:left="720" w:hanging="360"/>
      </w:pPr>
      <w:rPr>
        <w:rFonts w:ascii="Symbol" w:hAnsi="Symbol" w:hint="default"/>
      </w:rPr>
    </w:lvl>
    <w:lvl w:ilvl="1" w:tplc="6764D3B6">
      <w:numFmt w:val="bullet"/>
      <w:lvlText w:val="•"/>
      <w:lvlJc w:val="left"/>
      <w:pPr>
        <w:ind w:left="1440" w:hanging="360"/>
      </w:pPr>
      <w:rPr>
        <w:rFonts w:ascii="Garamond" w:eastAsia="Times New Roman" w:hAnsi="Garamond"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4"/>
  </w:num>
  <w:num w:numId="15">
    <w:abstractNumId w:val="25"/>
  </w:num>
  <w:num w:numId="16">
    <w:abstractNumId w:val="14"/>
  </w:num>
  <w:num w:numId="17">
    <w:abstractNumId w:val="19"/>
  </w:num>
  <w:num w:numId="18">
    <w:abstractNumId w:val="33"/>
  </w:num>
  <w:num w:numId="19">
    <w:abstractNumId w:val="31"/>
  </w:num>
  <w:num w:numId="20">
    <w:abstractNumId w:val="21"/>
  </w:num>
  <w:num w:numId="21">
    <w:abstractNumId w:val="17"/>
  </w:num>
  <w:num w:numId="22">
    <w:abstractNumId w:val="11"/>
  </w:num>
  <w:num w:numId="23">
    <w:abstractNumId w:val="22"/>
  </w:num>
  <w:num w:numId="24">
    <w:abstractNumId w:val="28"/>
  </w:num>
  <w:num w:numId="25">
    <w:abstractNumId w:val="16"/>
  </w:num>
  <w:num w:numId="26">
    <w:abstractNumId w:val="36"/>
  </w:num>
  <w:num w:numId="27">
    <w:abstractNumId w:val="30"/>
  </w:num>
  <w:num w:numId="28">
    <w:abstractNumId w:val="20"/>
  </w:num>
  <w:num w:numId="29">
    <w:abstractNumId w:val="12"/>
  </w:num>
  <w:num w:numId="30">
    <w:abstractNumId w:val="15"/>
  </w:num>
  <w:num w:numId="31">
    <w:abstractNumId w:val="37"/>
  </w:num>
  <w:num w:numId="32">
    <w:abstractNumId w:val="10"/>
  </w:num>
  <w:num w:numId="33">
    <w:abstractNumId w:val="32"/>
  </w:num>
  <w:num w:numId="34">
    <w:abstractNumId w:val="18"/>
  </w:num>
  <w:num w:numId="35">
    <w:abstractNumId w:val="35"/>
  </w:num>
  <w:num w:numId="36">
    <w:abstractNumId w:val="27"/>
  </w:num>
  <w:num w:numId="37">
    <w:abstractNumId w:val="26"/>
  </w:num>
  <w:num w:numId="3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208"/>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716"/>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19F"/>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C5A"/>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image" Target="media/image3.jpeg"/><Relationship Id="rId26" Type="http://schemas.openxmlformats.org/officeDocument/2006/relationships/hyperlink" Target="https://doi.org/10.5694/mja18.00841" TargetMode="External"/><Relationship Id="rId39" Type="http://schemas.openxmlformats.org/officeDocument/2006/relationships/hyperlink" Target="https://www.milbank.org/quarterly/issues/december-2018/"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doi.org/10.1136/bmjqs-2018-008043" TargetMode="External"/><Relationship Id="rId42" Type="http://schemas.openxmlformats.org/officeDocument/2006/relationships/hyperlink" Target="https://journals.sagepub.com/toc/ajmb/0/0" TargetMode="External"/><Relationship Id="rId47" Type="http://schemas.openxmlformats.org/officeDocument/2006/relationships/hyperlink" Target="https://effectivehealthcare.ahrq.gov/topics/nav-model-lung-cancer/rapid-product"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doi.org/10.5694/mja18.00962" TargetMode="External"/><Relationship Id="rId33" Type="http://schemas.openxmlformats.org/officeDocument/2006/relationships/hyperlink" Target="https://doi.org/10.1001/jama.2018.17163" TargetMode="External"/><Relationship Id="rId38" Type="http://schemas.openxmlformats.org/officeDocument/2006/relationships/hyperlink" Target="https://www.longwoods.com/publications/healthcare-quarterly/25633/1/vol.-21-special-issue-supporting-engagement-capable-environments" TargetMode="External"/><Relationship Id="rId46" Type="http://schemas.openxmlformats.org/officeDocument/2006/relationships/hyperlink" Target="https://effectivehealthcare.ahrq.gov/" TargetMode="External"/><Relationship Id="rId2" Type="http://schemas.openxmlformats.org/officeDocument/2006/relationships/numbering" Target="numbering.xml"/><Relationship Id="rId16" Type="http://schemas.openxmlformats.org/officeDocument/2006/relationships/hyperlink" Target="https://safetyandquality.gov.au/atlas/" TargetMode="External"/><Relationship Id="rId20" Type="http://schemas.openxmlformats.org/officeDocument/2006/relationships/hyperlink" Target="https://safetyandquality.gov.au/atlas/" TargetMode="External"/><Relationship Id="rId29" Type="http://schemas.openxmlformats.org/officeDocument/2006/relationships/hyperlink" Target="https://doi.org/10.1136/bmj.k5094" TargetMode="External"/><Relationship Id="rId41" Type="http://schemas.openxmlformats.org/officeDocument/2006/relationships/hyperlink" Target="https://academic.oup.com/intqhc/advance-acc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ihi.org/resources/Pages/IHIWhitePapers/Framework-Effective-Board-Governance-Health-System-Quality.aspx" TargetMode="External"/><Relationship Id="rId32" Type="http://schemas.openxmlformats.org/officeDocument/2006/relationships/hyperlink" Target="https://doi.org/10.1016/S0140-6736(18)31925-1" TargetMode="External"/><Relationship Id="rId37" Type="http://schemas.openxmlformats.org/officeDocument/2006/relationships/hyperlink" Target="https://journals.sagepub.com/toc/jpxa/5/4" TargetMode="External"/><Relationship Id="rId40" Type="http://schemas.openxmlformats.org/officeDocument/2006/relationships/hyperlink" Target="https://qualitysafety.bmj.com/content/early/recent" TargetMode="External"/><Relationship Id="rId45" Type="http://schemas.openxmlformats.org/officeDocument/2006/relationships/hyperlink" Target="https://www.nice.org.uk/guidance/qs176"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publications/map-of-the-second-edition-of-the-national-safety-and-quality-health-service-standards-with-the-national-standards-for-mental-health-services/" TargetMode="External"/><Relationship Id="rId28" Type="http://schemas.openxmlformats.org/officeDocument/2006/relationships/hyperlink" Target="https://doi.org/10.5694/mja18.00890" TargetMode="External"/><Relationship Id="rId36" Type="http://schemas.openxmlformats.org/officeDocument/2006/relationships/hyperlink" Target="https://journals.sagepub.com/toc/cric/23/6" TargetMode="External"/><Relationship Id="rId49" Type="http://schemas.openxmlformats.org/officeDocument/2006/relationships/footer" Target="footer2.xml"/><Relationship Id="rId10" Type="http://schemas.openxmlformats.org/officeDocument/2006/relationships/hyperlink" Target="https://www.safetyandquality.gov.au/publications-resources/on-the-radar/" TargetMode="External"/><Relationship Id="rId19" Type="http://schemas.openxmlformats.org/officeDocument/2006/relationships/image" Target="media/image4.jpeg"/><Relationship Id="rId31" Type="http://schemas.openxmlformats.org/officeDocument/2006/relationships/hyperlink" Target="https://doi.org/10.1111/1468-0009.12349" TargetMode="External"/><Relationship Id="rId44" Type="http://schemas.openxmlformats.org/officeDocument/2006/relationships/hyperlink" Target="https://www.nice.org.uk/guidance/cg6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publications/nsqhs-standards-user-guide-for-health-services-providing-care-for-people-with-mental-health-issues/" TargetMode="External"/><Relationship Id="rId27" Type="http://schemas.openxmlformats.org/officeDocument/2006/relationships/hyperlink" Target="https://doi.org/10.5694/mja18.00947" TargetMode="External"/><Relationship Id="rId30" Type="http://schemas.openxmlformats.org/officeDocument/2006/relationships/hyperlink" Target="https://doi.org10.1136/bmjqs-2018-008454" TargetMode="External"/><Relationship Id="rId35" Type="http://schemas.openxmlformats.org/officeDocument/2006/relationships/hyperlink" Target="https://doi.org/10.1097/MLR.0000000000001002" TargetMode="External"/><Relationship Id="rId43" Type="http://schemas.openxmlformats.org/officeDocument/2006/relationships/hyperlink" Target="https://www.nice.org.uk"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33A0-C576-4BD2-9A8C-94AF75BC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11</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29163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20</cp:revision>
  <cp:lastPrinted>2018-03-02T02:34:00Z</cp:lastPrinted>
  <dcterms:created xsi:type="dcterms:W3CDTF">2018-12-09T20:37:00Z</dcterms:created>
  <dcterms:modified xsi:type="dcterms:W3CDTF">2018-12-14T06:27:00Z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