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BA7CF0">
      <w:pPr>
        <w:pStyle w:val="Heading1"/>
        <w:ind w:left="3600" w:hanging="3600"/>
        <w:jc w:val="both"/>
        <w:rPr>
          <w:rFonts w:ascii="Bookman Old Style" w:hAnsi="Bookman Old Style"/>
          <w:sz w:val="48"/>
          <w:szCs w:val="48"/>
          <w:lang w:val="en-AU"/>
        </w:rPr>
      </w:pPr>
      <w:bookmarkStart w:id="0" w:name="_GoBack"/>
      <w:bookmarkEnd w:id="0"/>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6C06FF" w:rsidRDefault="00A66104" w:rsidP="00F738B5">
      <w:pPr>
        <w:rPr>
          <w:rFonts w:ascii="Garamond" w:hAnsi="Garamond"/>
          <w:lang w:val="en-AU"/>
        </w:rPr>
      </w:pPr>
      <w:r>
        <w:rPr>
          <w:rFonts w:ascii="Garamond" w:hAnsi="Garamond"/>
          <w:lang w:val="en-AU"/>
        </w:rPr>
        <w:t>Issue 405</w:t>
      </w:r>
    </w:p>
    <w:p w:rsidR="00755242" w:rsidRPr="00467B47" w:rsidRDefault="00A66104" w:rsidP="00F738B5">
      <w:pPr>
        <w:rPr>
          <w:rFonts w:ascii="Garamond" w:hAnsi="Garamond"/>
          <w:lang w:val="en-AU"/>
        </w:rPr>
      </w:pPr>
      <w:r>
        <w:rPr>
          <w:rFonts w:ascii="Garamond" w:hAnsi="Garamond"/>
          <w:lang w:val="en-AU"/>
        </w:rPr>
        <w:t>11</w:t>
      </w:r>
      <w:r w:rsidR="00831B85">
        <w:rPr>
          <w:rFonts w:ascii="Garamond" w:hAnsi="Garamond"/>
          <w:lang w:val="en-AU"/>
        </w:rPr>
        <w:t xml:space="preserve"> Febr</w:t>
      </w:r>
      <w:r w:rsidR="006C06FF">
        <w:rPr>
          <w:rFonts w:ascii="Garamond" w:hAnsi="Garamond"/>
          <w:lang w:val="en-AU"/>
        </w:rPr>
        <w:t>uary 2019</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F86E13" w:rsidRDefault="00B160EF" w:rsidP="0045757F">
      <w:pPr>
        <w:autoSpaceDE w:val="0"/>
        <w:rPr>
          <w:rStyle w:val="Hyperlink"/>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1"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1"/>
      <w:r w:rsidR="00DF2310">
        <w:rPr>
          <w:rFonts w:ascii="Garamond" w:hAnsi="Garamond"/>
          <w:bCs/>
          <w:lang w:val="en-AU"/>
        </w:rPr>
        <w:t>, Joanna Wooles</w:t>
      </w:r>
      <w:r w:rsidR="0020490C">
        <w:rPr>
          <w:rFonts w:ascii="Garamond" w:hAnsi="Garamond"/>
          <w:bCs/>
          <w:lang w:val="en-AU"/>
        </w:rPr>
        <w:t>, Alice Bhasale</w:t>
      </w:r>
    </w:p>
    <w:p w:rsidR="0055445F" w:rsidRDefault="0055445F">
      <w:pPr>
        <w:rPr>
          <w:rFonts w:ascii="Garamond" w:hAnsi="Garamond"/>
          <w:b/>
          <w:lang w:val="en-AU"/>
        </w:rPr>
      </w:pPr>
    </w:p>
    <w:p w:rsidR="00DF2310" w:rsidRPr="00DF2310" w:rsidRDefault="00DF2310">
      <w:pPr>
        <w:rPr>
          <w:rFonts w:ascii="Garamond" w:hAnsi="Garamond"/>
          <w:b/>
          <w:lang w:val="en-AU"/>
        </w:rPr>
      </w:pPr>
      <w:r w:rsidRPr="00DF2310">
        <w:rPr>
          <w:rFonts w:ascii="Garamond" w:hAnsi="Garamond"/>
          <w:b/>
          <w:lang w:val="en-AU"/>
        </w:rPr>
        <w:t>Australian Charter of Healthcare Rights Consultation</w:t>
      </w:r>
    </w:p>
    <w:p w:rsidR="00DF2310" w:rsidRDefault="00FB0115">
      <w:pPr>
        <w:rPr>
          <w:rFonts w:ascii="Garamond" w:hAnsi="Garamond"/>
          <w:lang w:val="en-AU"/>
        </w:rPr>
      </w:pPr>
      <w:hyperlink r:id="rId16" w:history="1">
        <w:r w:rsidR="00DF2310" w:rsidRPr="009D2E28">
          <w:rPr>
            <w:rStyle w:val="Hyperlink"/>
            <w:rFonts w:ascii="Garamond" w:hAnsi="Garamond"/>
            <w:lang w:val="en-AU"/>
          </w:rPr>
          <w:t>https://www.safetyandquality.gov.au/national-priorities/charter-of-healthcare-rights/review-of-the-charter-of-healthcare-rights-second-edition/</w:t>
        </w:r>
      </w:hyperlink>
    </w:p>
    <w:p w:rsidR="00DF2310" w:rsidRDefault="00DF2310">
      <w:pPr>
        <w:rPr>
          <w:rFonts w:ascii="Garamond" w:hAnsi="Garamond"/>
          <w:lang w:val="en-AU"/>
        </w:rPr>
      </w:pPr>
    </w:p>
    <w:p w:rsidR="00DF2310" w:rsidRDefault="00DF2310" w:rsidP="00DF2310">
      <w:pPr>
        <w:rPr>
          <w:rFonts w:ascii="Garamond" w:hAnsi="Garamond"/>
          <w:lang w:val="en-AU"/>
        </w:rPr>
      </w:pPr>
      <w:r w:rsidRPr="00977225">
        <w:rPr>
          <w:rFonts w:ascii="Garamond" w:hAnsi="Garamond"/>
          <w:lang w:val="en-AU"/>
        </w:rPr>
        <w:t xml:space="preserve">The Australian Commission on Safety and Quality in Health Care </w:t>
      </w:r>
      <w:r w:rsidRPr="00DF2310">
        <w:rPr>
          <w:rFonts w:ascii="Garamond" w:hAnsi="Garamond"/>
          <w:lang w:val="en-AU"/>
        </w:rPr>
        <w:t>invites your feedback on the next stage of consultation on the second edition of the Australian Charter of Healthcare Rights.</w:t>
      </w:r>
    </w:p>
    <w:p w:rsidR="00DF2310" w:rsidRDefault="00DF2310" w:rsidP="00DF2310">
      <w:pPr>
        <w:rPr>
          <w:rFonts w:ascii="Garamond" w:hAnsi="Garamond"/>
          <w:lang w:val="en-AU"/>
        </w:rPr>
      </w:pPr>
    </w:p>
    <w:p w:rsidR="00DF2310" w:rsidRPr="00DF2310" w:rsidRDefault="00DF2310" w:rsidP="00DF2310">
      <w:pPr>
        <w:rPr>
          <w:rFonts w:ascii="Garamond" w:hAnsi="Garamond"/>
          <w:lang w:val="en-AU"/>
        </w:rPr>
      </w:pPr>
      <w:r w:rsidRPr="00977225">
        <w:rPr>
          <w:rFonts w:ascii="Garamond" w:hAnsi="Garamond"/>
          <w:lang w:val="en-AU"/>
        </w:rPr>
        <w:t xml:space="preserve">The </w:t>
      </w:r>
      <w:r w:rsidRPr="00DF2310">
        <w:rPr>
          <w:rFonts w:ascii="Garamond" w:hAnsi="Garamond"/>
          <w:lang w:val="en-AU"/>
        </w:rPr>
        <w:t>Australian Charter of Healthcare Rights</w:t>
      </w:r>
      <w:r>
        <w:rPr>
          <w:rFonts w:ascii="Garamond" w:hAnsi="Garamond"/>
          <w:lang w:val="en-AU"/>
        </w:rPr>
        <w:t xml:space="preserve"> </w:t>
      </w:r>
      <w:r w:rsidRPr="00DF2310">
        <w:rPr>
          <w:rFonts w:ascii="Garamond" w:hAnsi="Garamond"/>
          <w:lang w:val="en-AU"/>
        </w:rPr>
        <w:t>describes the rights of all people accessing the Australian healthcare system. It applies in all healthcare settings in Australia including public and private hospitals, general practice, day procedure services, dental and other community settings.</w:t>
      </w:r>
    </w:p>
    <w:p w:rsidR="00DF2310" w:rsidRPr="00DF2310" w:rsidRDefault="00DF2310" w:rsidP="00DF2310">
      <w:pPr>
        <w:rPr>
          <w:rFonts w:ascii="Garamond" w:hAnsi="Garamond"/>
          <w:lang w:val="en-AU"/>
        </w:rPr>
      </w:pPr>
    </w:p>
    <w:p w:rsidR="00DF2310" w:rsidRPr="00DF2310" w:rsidRDefault="00DF2310" w:rsidP="00DF2310">
      <w:pPr>
        <w:rPr>
          <w:rFonts w:ascii="Garamond" w:hAnsi="Garamond"/>
          <w:lang w:val="en-AU"/>
        </w:rPr>
      </w:pPr>
      <w:r w:rsidRPr="00DF2310">
        <w:rPr>
          <w:rFonts w:ascii="Garamond" w:hAnsi="Garamond"/>
          <w:lang w:val="en-AU"/>
        </w:rPr>
        <w:t xml:space="preserve">You can provide your feedback via an </w:t>
      </w:r>
      <w:hyperlink r:id="rId17" w:history="1">
        <w:r w:rsidRPr="00DF2310">
          <w:rPr>
            <w:rStyle w:val="Hyperlink"/>
            <w:rFonts w:ascii="Garamond" w:hAnsi="Garamond"/>
            <w:lang w:val="en-AU"/>
          </w:rPr>
          <w:t>online survey</w:t>
        </w:r>
      </w:hyperlink>
      <w:r w:rsidRPr="00DF2310">
        <w:rPr>
          <w:rFonts w:ascii="Garamond" w:hAnsi="Garamond"/>
          <w:lang w:val="en-AU"/>
        </w:rPr>
        <w:t xml:space="preserve">. The survey takes approximately 5-10 minutes to complete and will be open until </w:t>
      </w:r>
      <w:r w:rsidRPr="00DF2310">
        <w:rPr>
          <w:rFonts w:ascii="Garamond" w:hAnsi="Garamond"/>
          <w:b/>
          <w:lang w:val="en-AU"/>
        </w:rPr>
        <w:t>1 March 2019</w:t>
      </w:r>
      <w:r w:rsidRPr="00DF2310">
        <w:rPr>
          <w:rFonts w:ascii="Garamond" w:hAnsi="Garamond"/>
          <w:lang w:val="en-AU"/>
        </w:rPr>
        <w:t>.</w:t>
      </w:r>
    </w:p>
    <w:p w:rsidR="00DF2310" w:rsidRPr="00DF2310" w:rsidRDefault="00DF2310" w:rsidP="00DF2310">
      <w:pPr>
        <w:rPr>
          <w:rFonts w:ascii="Garamond" w:hAnsi="Garamond"/>
          <w:lang w:val="en-AU"/>
        </w:rPr>
      </w:pPr>
    </w:p>
    <w:p w:rsidR="00DF2310" w:rsidRPr="00DF2310" w:rsidRDefault="00DF2310" w:rsidP="00DF2310">
      <w:pPr>
        <w:rPr>
          <w:rFonts w:ascii="Garamond" w:hAnsi="Garamond"/>
          <w:lang w:val="en-AU"/>
        </w:rPr>
      </w:pPr>
      <w:r w:rsidRPr="00DF2310">
        <w:rPr>
          <w:rFonts w:ascii="Garamond" w:hAnsi="Garamond"/>
          <w:lang w:val="en-AU"/>
        </w:rPr>
        <w:t xml:space="preserve">To view the draft Charter, respond to the survey and find out further information, </w:t>
      </w:r>
      <w:r>
        <w:rPr>
          <w:rFonts w:ascii="Garamond" w:hAnsi="Garamond"/>
          <w:lang w:val="en-AU"/>
        </w:rPr>
        <w:t xml:space="preserve">see </w:t>
      </w:r>
      <w:hyperlink r:id="rId18" w:history="1">
        <w:r w:rsidRPr="009D2E28">
          <w:rPr>
            <w:rStyle w:val="Hyperlink"/>
            <w:rFonts w:ascii="Garamond" w:hAnsi="Garamond"/>
            <w:lang w:val="en-AU"/>
          </w:rPr>
          <w:t>https://www.safetyandquality.gov.au/national-priorities/charter-of-healthcare-rights/review-of-the-charter-of-healthcare-rights-second-edition/</w:t>
        </w:r>
      </w:hyperlink>
      <w:r>
        <w:rPr>
          <w:rFonts w:ascii="Garamond" w:hAnsi="Garamond"/>
          <w:lang w:val="en-AU"/>
        </w:rPr>
        <w:t xml:space="preserve"> </w:t>
      </w:r>
    </w:p>
    <w:p w:rsidR="00DF2310" w:rsidRPr="00DF2310" w:rsidRDefault="00DF2310" w:rsidP="00DF2310">
      <w:pPr>
        <w:rPr>
          <w:rFonts w:ascii="Garamond" w:hAnsi="Garamond"/>
          <w:lang w:val="en-AU"/>
        </w:rPr>
      </w:pPr>
    </w:p>
    <w:p w:rsidR="00DF2310" w:rsidRPr="00DF2310" w:rsidRDefault="00DF2310" w:rsidP="00DF2310">
      <w:pPr>
        <w:rPr>
          <w:rFonts w:ascii="Garamond" w:hAnsi="Garamond"/>
          <w:lang w:val="en-AU"/>
        </w:rPr>
      </w:pPr>
      <w:r w:rsidRPr="00DF2310">
        <w:rPr>
          <w:rFonts w:ascii="Garamond" w:hAnsi="Garamond"/>
          <w:lang w:val="en-AU"/>
        </w:rPr>
        <w:t xml:space="preserve">For questions, contact our Partnering with Consumers team on 02 9126 3600 or email: </w:t>
      </w:r>
      <w:hyperlink r:id="rId19" w:history="1">
        <w:r w:rsidRPr="009D2E28">
          <w:rPr>
            <w:rStyle w:val="Hyperlink"/>
            <w:rFonts w:ascii="Garamond" w:hAnsi="Garamond"/>
            <w:lang w:val="en-AU"/>
          </w:rPr>
          <w:t>partneringwithconsumers@safetyandquality.gov.au</w:t>
        </w:r>
      </w:hyperlink>
    </w:p>
    <w:p w:rsidR="00DF2310" w:rsidRDefault="00DF2310">
      <w:pPr>
        <w:rPr>
          <w:rFonts w:ascii="Garamond" w:hAnsi="Garamond"/>
          <w:lang w:val="en-AU"/>
        </w:rPr>
      </w:pPr>
    </w:p>
    <w:p w:rsidR="00DF2310" w:rsidRDefault="00BA7CF0">
      <w:pPr>
        <w:rPr>
          <w:rFonts w:ascii="Garamond" w:hAnsi="Garamond"/>
          <w:b/>
          <w:lang w:val="en-AU"/>
        </w:rPr>
      </w:pPr>
      <w:r>
        <w:rPr>
          <w:rFonts w:ascii="Garamond" w:hAnsi="Garamond"/>
          <w:b/>
          <w:noProof/>
          <w:lang w:val="en-AU" w:eastAsia="en-AU"/>
        </w:rPr>
        <w:lastRenderedPageBreak/>
        <w:drawing>
          <wp:inline distT="0" distB="0" distL="0" distR="0">
            <wp:extent cx="3996267" cy="1682703"/>
            <wp:effectExtent l="0" t="0" r="4445" b="0"/>
            <wp:docPr id="1" name="Picture 1" descr="\\central.health\dfsuserenv\Users\User_07\johnni\Desktop\WEBPAGE-have-your-say-charter_1 for campaign moni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WEBPAGE-have-your-say-charter_1 for campaign monitor.p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718" t="5172" r="2358" b="-521"/>
                    <a:stretch/>
                  </pic:blipFill>
                  <pic:spPr bwMode="auto">
                    <a:xfrm>
                      <a:off x="0" y="0"/>
                      <a:ext cx="4034608" cy="1698847"/>
                    </a:xfrm>
                    <a:prstGeom prst="rect">
                      <a:avLst/>
                    </a:prstGeom>
                    <a:noFill/>
                    <a:ln>
                      <a:noFill/>
                    </a:ln>
                    <a:extLst>
                      <a:ext uri="{53640926-AAD7-44D8-BBD7-CCE9431645EC}">
                        <a14:shadowObscured xmlns:a14="http://schemas.microsoft.com/office/drawing/2010/main"/>
                      </a:ext>
                    </a:extLst>
                  </pic:spPr>
                </pic:pic>
              </a:graphicData>
            </a:graphic>
          </wp:inline>
        </w:drawing>
      </w:r>
    </w:p>
    <w:p w:rsidR="00C13F15" w:rsidRDefault="00C13F15">
      <w:pPr>
        <w:rPr>
          <w:rFonts w:ascii="Garamond" w:hAnsi="Garamond"/>
          <w:b/>
          <w:lang w:val="en-AU"/>
        </w:rPr>
      </w:pPr>
    </w:p>
    <w:p w:rsidR="00282D29" w:rsidRDefault="00282D29">
      <w:pPr>
        <w:rPr>
          <w:rFonts w:ascii="Garamond" w:hAnsi="Garamond"/>
          <w:b/>
          <w:lang w:val="en-AU"/>
        </w:rPr>
      </w:pPr>
      <w:r>
        <w:rPr>
          <w:rFonts w:ascii="Garamond" w:hAnsi="Garamond"/>
          <w:b/>
          <w:lang w:val="en-AU"/>
        </w:rPr>
        <w:t>Reports</w:t>
      </w:r>
    </w:p>
    <w:p w:rsidR="00C3692E" w:rsidRDefault="00C3692E" w:rsidP="00C3692E">
      <w:pPr>
        <w:keepLines/>
        <w:autoSpaceDE w:val="0"/>
        <w:autoSpaceDN w:val="0"/>
        <w:adjustRightInd w:val="0"/>
        <w:rPr>
          <w:rFonts w:ascii="Garamond" w:hAnsi="Garamond"/>
          <w:lang w:val="en-AU"/>
        </w:rPr>
      </w:pPr>
    </w:p>
    <w:p w:rsidR="00D85F32" w:rsidRPr="005D3BC4" w:rsidRDefault="005D3BC4" w:rsidP="00D85F32">
      <w:pPr>
        <w:keepLines/>
        <w:autoSpaceDE w:val="0"/>
        <w:autoSpaceDN w:val="0"/>
        <w:adjustRightInd w:val="0"/>
        <w:rPr>
          <w:rFonts w:ascii="Garamond" w:hAnsi="Garamond"/>
          <w:i/>
          <w:lang w:val="en-AU"/>
        </w:rPr>
      </w:pPr>
      <w:r w:rsidRPr="005D3BC4">
        <w:rPr>
          <w:rFonts w:ascii="Garamond" w:hAnsi="Garamond"/>
          <w:i/>
          <w:lang w:val="en-AU"/>
        </w:rPr>
        <w:t>Medicine safety: take care</w:t>
      </w:r>
    </w:p>
    <w:p w:rsidR="005D3BC4" w:rsidRDefault="005D3BC4" w:rsidP="00D85F32">
      <w:pPr>
        <w:keepLines/>
        <w:autoSpaceDE w:val="0"/>
        <w:autoSpaceDN w:val="0"/>
        <w:adjustRightInd w:val="0"/>
        <w:rPr>
          <w:rFonts w:ascii="Garamond" w:hAnsi="Garamond"/>
          <w:lang w:val="en-AU"/>
        </w:rPr>
      </w:pPr>
      <w:r w:rsidRPr="005D3BC4">
        <w:rPr>
          <w:rFonts w:ascii="Garamond" w:hAnsi="Garamond"/>
          <w:lang w:val="en-AU"/>
        </w:rPr>
        <w:t>Lim R, Semple SJ, Kalisch Ellett LM, Roughead EE</w:t>
      </w:r>
    </w:p>
    <w:p w:rsidR="005D3BC4" w:rsidRDefault="005D3BC4" w:rsidP="00D85F32">
      <w:pPr>
        <w:keepLines/>
        <w:autoSpaceDE w:val="0"/>
        <w:autoSpaceDN w:val="0"/>
        <w:adjustRightInd w:val="0"/>
        <w:rPr>
          <w:rFonts w:ascii="Garamond" w:hAnsi="Garamond"/>
          <w:lang w:val="en-AU"/>
        </w:rPr>
      </w:pPr>
      <w:r w:rsidRPr="005D3BC4">
        <w:rPr>
          <w:rFonts w:ascii="Garamond" w:hAnsi="Garamond"/>
          <w:lang w:val="en-AU"/>
        </w:rPr>
        <w:t>Canberra: Pharmaceutical Society of Australia; 2019. p. 32.</w:t>
      </w:r>
    </w:p>
    <w:tbl>
      <w:tblPr>
        <w:tblStyle w:val="TableGrid"/>
        <w:tblW w:w="0" w:type="auto"/>
        <w:tblInd w:w="288" w:type="dxa"/>
        <w:tblLayout w:type="fixed"/>
        <w:tblLook w:val="01E0" w:firstRow="1" w:lastRow="1" w:firstColumn="1" w:lastColumn="1" w:noHBand="0" w:noVBand="0"/>
      </w:tblPr>
      <w:tblGrid>
        <w:gridCol w:w="1080"/>
        <w:gridCol w:w="8280"/>
      </w:tblGrid>
      <w:tr w:rsidR="00D85F32" w:rsidRPr="000170DA" w:rsidTr="004F51A3">
        <w:tc>
          <w:tcPr>
            <w:tcW w:w="1080" w:type="dxa"/>
            <w:tcBorders>
              <w:top w:val="single" w:sz="4" w:space="0" w:color="auto"/>
              <w:left w:val="single" w:sz="4" w:space="0" w:color="auto"/>
              <w:bottom w:val="single" w:sz="4" w:space="0" w:color="auto"/>
              <w:right w:val="single" w:sz="4" w:space="0" w:color="auto"/>
            </w:tcBorders>
            <w:vAlign w:val="center"/>
          </w:tcPr>
          <w:p w:rsidR="00D85F32" w:rsidRPr="000170DA" w:rsidRDefault="00D85F32" w:rsidP="004F51A3">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85F32" w:rsidRPr="000170DA" w:rsidRDefault="005D3BC4" w:rsidP="00D85F32">
            <w:pPr>
              <w:rPr>
                <w:rStyle w:val="Hyperlink"/>
                <w:rFonts w:ascii="Garamond" w:hAnsi="Garamond"/>
                <w:color w:val="auto"/>
                <w:u w:val="none"/>
                <w:lang w:val="en-AU"/>
              </w:rPr>
            </w:pPr>
            <w:hyperlink r:id="rId21" w:history="1">
              <w:r w:rsidRPr="00DB2A70">
                <w:rPr>
                  <w:rStyle w:val="Hyperlink"/>
                  <w:rFonts w:ascii="Garamond" w:hAnsi="Garamond"/>
                  <w:lang w:val="en-AU"/>
                </w:rPr>
                <w:t>https://my.psa.org.au/s/article/Medicine-Safety-Report</w:t>
              </w:r>
            </w:hyperlink>
          </w:p>
        </w:tc>
      </w:tr>
      <w:tr w:rsidR="00D85F32" w:rsidRPr="000170DA" w:rsidTr="004F51A3">
        <w:tc>
          <w:tcPr>
            <w:tcW w:w="1080" w:type="dxa"/>
            <w:tcBorders>
              <w:top w:val="single" w:sz="4" w:space="0" w:color="auto"/>
              <w:left w:val="single" w:sz="4" w:space="0" w:color="auto"/>
              <w:bottom w:val="single" w:sz="4" w:space="0" w:color="auto"/>
              <w:right w:val="single" w:sz="4" w:space="0" w:color="auto"/>
            </w:tcBorders>
            <w:vAlign w:val="center"/>
          </w:tcPr>
          <w:p w:rsidR="00D85F32" w:rsidRPr="000170DA" w:rsidRDefault="00D85F32" w:rsidP="004F51A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85F32" w:rsidRDefault="005D3BC4" w:rsidP="008F7F03">
            <w:pPr>
              <w:rPr>
                <w:rFonts w:ascii="Garamond" w:hAnsi="Garamond"/>
                <w:lang w:val="en-AU"/>
              </w:rPr>
            </w:pPr>
            <w:r>
              <w:rPr>
                <w:rFonts w:ascii="Garamond" w:hAnsi="Garamond"/>
                <w:lang w:val="en-AU"/>
              </w:rPr>
              <w:t xml:space="preserve">The </w:t>
            </w:r>
            <w:r w:rsidRPr="005D3BC4">
              <w:rPr>
                <w:rFonts w:ascii="Garamond" w:hAnsi="Garamond"/>
                <w:lang w:val="en-AU"/>
              </w:rPr>
              <w:t>Pharmaceutical Society of Australia</w:t>
            </w:r>
            <w:r>
              <w:rPr>
                <w:rFonts w:ascii="Garamond" w:hAnsi="Garamond"/>
                <w:lang w:val="en-AU"/>
              </w:rPr>
              <w:t xml:space="preserve"> has released this brief report </w:t>
            </w:r>
            <w:r w:rsidR="008F7F03">
              <w:rPr>
                <w:rFonts w:ascii="Garamond" w:hAnsi="Garamond"/>
                <w:lang w:val="en-AU"/>
              </w:rPr>
              <w:t>describing the various aspects of medication safety in Australia and the role(s) pharmacists can play in ameliorating these issues. They examine medication safety in terms of its role in hospital admissions, after discharge from hospital, in aged care and in the community. Medication safety issues are among the most common safety issues</w:t>
            </w:r>
            <w:r w:rsidR="00FB0115">
              <w:rPr>
                <w:rFonts w:ascii="Garamond" w:hAnsi="Garamond"/>
                <w:lang w:val="en-AU"/>
              </w:rPr>
              <w:t>.</w:t>
            </w:r>
            <w:r w:rsidR="008F7F03">
              <w:rPr>
                <w:rFonts w:ascii="Garamond" w:hAnsi="Garamond"/>
                <w:lang w:val="en-AU"/>
              </w:rPr>
              <w:t xml:space="preserve"> This report suggests that </w:t>
            </w:r>
            <w:r w:rsidR="008F7F03" w:rsidRPr="008F7F03">
              <w:rPr>
                <w:rFonts w:ascii="Garamond" w:hAnsi="Garamond"/>
                <w:b/>
                <w:lang w:val="en-AU"/>
              </w:rPr>
              <w:t>250,000 hospital admissions</w:t>
            </w:r>
            <w:r w:rsidR="008F7F03" w:rsidRPr="008F7F03">
              <w:rPr>
                <w:rFonts w:ascii="Garamond" w:hAnsi="Garamond"/>
                <w:lang w:val="en-AU"/>
              </w:rPr>
              <w:t xml:space="preserve"> </w:t>
            </w:r>
            <w:r w:rsidR="008F7F03">
              <w:rPr>
                <w:rFonts w:ascii="Garamond" w:hAnsi="Garamond"/>
                <w:lang w:val="en-AU"/>
              </w:rPr>
              <w:t xml:space="preserve">and another </w:t>
            </w:r>
            <w:r w:rsidR="008F7F03" w:rsidRPr="008F7F03">
              <w:rPr>
                <w:rFonts w:ascii="Garamond" w:hAnsi="Garamond"/>
                <w:b/>
                <w:lang w:val="en-AU"/>
              </w:rPr>
              <w:t xml:space="preserve">400,000 </w:t>
            </w:r>
            <w:r w:rsidR="008F7F03" w:rsidRPr="008F7F03">
              <w:rPr>
                <w:rFonts w:ascii="Garamond" w:hAnsi="Garamond"/>
                <w:b/>
                <w:lang w:val="en-AU"/>
              </w:rPr>
              <w:t>presentations to emergency</w:t>
            </w:r>
            <w:r w:rsidR="008F7F03" w:rsidRPr="008F7F03">
              <w:rPr>
                <w:rFonts w:ascii="Garamond" w:hAnsi="Garamond"/>
                <w:b/>
                <w:lang w:val="en-AU"/>
              </w:rPr>
              <w:t xml:space="preserve"> </w:t>
            </w:r>
            <w:r w:rsidR="008F7F03" w:rsidRPr="008F7F03">
              <w:rPr>
                <w:rFonts w:ascii="Garamond" w:hAnsi="Garamond"/>
                <w:b/>
                <w:lang w:val="en-AU"/>
              </w:rPr>
              <w:t>departments</w:t>
            </w:r>
            <w:r w:rsidR="008F7F03" w:rsidRPr="008F7F03">
              <w:rPr>
                <w:rFonts w:ascii="Garamond" w:hAnsi="Garamond"/>
                <w:b/>
                <w:lang w:val="en-AU"/>
              </w:rPr>
              <w:t xml:space="preserve"> annually</w:t>
            </w:r>
            <w:r w:rsidR="008F7F03">
              <w:rPr>
                <w:rFonts w:ascii="Garamond" w:hAnsi="Garamond"/>
                <w:lang w:val="en-AU"/>
              </w:rPr>
              <w:t xml:space="preserve"> </w:t>
            </w:r>
            <w:r w:rsidR="008F7F03" w:rsidRPr="008F7F03">
              <w:rPr>
                <w:rFonts w:ascii="Garamond" w:hAnsi="Garamond"/>
                <w:lang w:val="en-AU"/>
              </w:rPr>
              <w:t>are a result</w:t>
            </w:r>
            <w:r w:rsidR="008F7F03">
              <w:rPr>
                <w:rFonts w:ascii="Garamond" w:hAnsi="Garamond"/>
                <w:lang w:val="en-AU"/>
              </w:rPr>
              <w:t xml:space="preserve"> </w:t>
            </w:r>
            <w:r w:rsidR="008F7F03" w:rsidRPr="008F7F03">
              <w:rPr>
                <w:rFonts w:ascii="Garamond" w:hAnsi="Garamond"/>
                <w:lang w:val="en-AU"/>
              </w:rPr>
              <w:t>of medication-related problems</w:t>
            </w:r>
            <w:r w:rsidR="008F7F03">
              <w:rPr>
                <w:rFonts w:ascii="Garamond" w:hAnsi="Garamond"/>
                <w:lang w:val="en-AU"/>
              </w:rPr>
              <w:t xml:space="preserve"> with much of this preventable.</w:t>
            </w:r>
          </w:p>
          <w:p w:rsidR="008F7F03" w:rsidRPr="000825F8" w:rsidRDefault="008F7F03" w:rsidP="008F7F03">
            <w:pPr>
              <w:rPr>
                <w:rFonts w:ascii="Garamond" w:hAnsi="Garamond"/>
                <w:lang w:val="en-AU"/>
              </w:rPr>
            </w:pPr>
            <w:r>
              <w:rPr>
                <w:rFonts w:ascii="Garamond" w:hAnsi="Garamond"/>
                <w:noProof/>
                <w:lang w:val="en-AU" w:eastAsia="en-AU"/>
              </w:rPr>
              <w:drawing>
                <wp:inline distT="0" distB="0" distL="0" distR="0">
                  <wp:extent cx="3127023" cy="4673643"/>
                  <wp:effectExtent l="0" t="0" r="0" b="0"/>
                  <wp:docPr id="2" name="Picture 2" descr="\\central.health\dfsuserenv\Users\User_07\JOHNNI\Desktop\PSA report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al.health\dfsuserenv\Users\User_07\JOHNNI\Desktop\PSA reportCapture.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27139" cy="4673816"/>
                          </a:xfrm>
                          <a:prstGeom prst="rect">
                            <a:avLst/>
                          </a:prstGeom>
                          <a:noFill/>
                          <a:ln>
                            <a:noFill/>
                          </a:ln>
                        </pic:spPr>
                      </pic:pic>
                    </a:graphicData>
                  </a:graphic>
                </wp:inline>
              </w:drawing>
            </w:r>
          </w:p>
        </w:tc>
      </w:tr>
    </w:tbl>
    <w:p w:rsidR="00282D29" w:rsidRDefault="00282D29" w:rsidP="00C17C82">
      <w:pPr>
        <w:keepNext/>
        <w:ind w:left="720" w:hanging="720"/>
        <w:rPr>
          <w:rFonts w:ascii="Garamond" w:hAnsi="Garamond"/>
          <w:b/>
          <w:lang w:val="en-AU"/>
        </w:rPr>
      </w:pPr>
      <w:r>
        <w:rPr>
          <w:rFonts w:ascii="Garamond" w:hAnsi="Garamond"/>
          <w:b/>
          <w:lang w:val="en-AU"/>
        </w:rPr>
        <w:lastRenderedPageBreak/>
        <w:t>Journal articles</w:t>
      </w:r>
    </w:p>
    <w:p w:rsidR="00985853" w:rsidRDefault="00985853" w:rsidP="00985853">
      <w:pPr>
        <w:keepNext/>
        <w:keepLines/>
        <w:autoSpaceDE w:val="0"/>
        <w:autoSpaceDN w:val="0"/>
        <w:adjustRightInd w:val="0"/>
        <w:rPr>
          <w:rFonts w:ascii="Garamond" w:hAnsi="Garamond"/>
          <w:lang w:val="en-AU"/>
        </w:rPr>
      </w:pPr>
    </w:p>
    <w:p w:rsidR="00680250" w:rsidRPr="00FA1024" w:rsidRDefault="00680250" w:rsidP="00680250">
      <w:pPr>
        <w:keepNext/>
        <w:keepLines/>
        <w:autoSpaceDE w:val="0"/>
        <w:autoSpaceDN w:val="0"/>
        <w:adjustRightInd w:val="0"/>
        <w:rPr>
          <w:rFonts w:ascii="Garamond" w:hAnsi="Garamond"/>
          <w:i/>
          <w:lang w:val="en-AU"/>
        </w:rPr>
      </w:pPr>
      <w:r w:rsidRPr="00FA1024">
        <w:rPr>
          <w:rFonts w:ascii="Garamond" w:hAnsi="Garamond"/>
          <w:i/>
          <w:lang w:val="en-AU"/>
        </w:rPr>
        <w:t>Factors associated with unplanned readmissions in a major Australian health service</w:t>
      </w:r>
    </w:p>
    <w:p w:rsidR="00680250" w:rsidRDefault="00680250" w:rsidP="00680250">
      <w:pPr>
        <w:keepNext/>
        <w:keepLines/>
        <w:autoSpaceDE w:val="0"/>
        <w:autoSpaceDN w:val="0"/>
        <w:adjustRightInd w:val="0"/>
        <w:rPr>
          <w:rFonts w:ascii="Garamond" w:hAnsi="Garamond"/>
          <w:lang w:val="en-AU"/>
        </w:rPr>
      </w:pPr>
      <w:r w:rsidRPr="005D3BC4">
        <w:rPr>
          <w:rFonts w:ascii="Garamond" w:hAnsi="Garamond"/>
          <w:lang w:val="en-AU"/>
        </w:rPr>
        <w:t>Considine J, Fox K, Plunkett D, Mecner M, O'Reilly M, Darzins P</w:t>
      </w:r>
    </w:p>
    <w:p w:rsidR="00680250" w:rsidRPr="00E566B0" w:rsidRDefault="00680250" w:rsidP="00680250">
      <w:pPr>
        <w:keepNext/>
        <w:keepLines/>
        <w:autoSpaceDE w:val="0"/>
        <w:autoSpaceDN w:val="0"/>
        <w:adjustRightInd w:val="0"/>
        <w:rPr>
          <w:rFonts w:ascii="Garamond" w:hAnsi="Garamond"/>
          <w:lang w:val="en-AU"/>
        </w:rPr>
      </w:pPr>
      <w:r w:rsidRPr="005D3BC4">
        <w:rPr>
          <w:rFonts w:ascii="Garamond" w:hAnsi="Garamond"/>
          <w:lang w:val="en-AU"/>
        </w:rPr>
        <w:t>Australian Health Review. 2019;43(1):1-9.</w:t>
      </w:r>
    </w:p>
    <w:tbl>
      <w:tblPr>
        <w:tblStyle w:val="TableGrid"/>
        <w:tblW w:w="0" w:type="auto"/>
        <w:tblInd w:w="288" w:type="dxa"/>
        <w:tblLayout w:type="fixed"/>
        <w:tblLook w:val="01E0" w:firstRow="1" w:lastRow="1" w:firstColumn="1" w:lastColumn="1" w:noHBand="0" w:noVBand="0"/>
      </w:tblPr>
      <w:tblGrid>
        <w:gridCol w:w="1080"/>
        <w:gridCol w:w="8280"/>
      </w:tblGrid>
      <w:tr w:rsidR="00680250" w:rsidRPr="000170DA" w:rsidTr="008F4579">
        <w:tc>
          <w:tcPr>
            <w:tcW w:w="1080" w:type="dxa"/>
            <w:tcBorders>
              <w:top w:val="single" w:sz="4" w:space="0" w:color="auto"/>
              <w:left w:val="single" w:sz="4" w:space="0" w:color="auto"/>
              <w:bottom w:val="single" w:sz="4" w:space="0" w:color="auto"/>
              <w:right w:val="single" w:sz="4" w:space="0" w:color="auto"/>
            </w:tcBorders>
            <w:vAlign w:val="center"/>
          </w:tcPr>
          <w:p w:rsidR="00680250" w:rsidRPr="000170DA" w:rsidRDefault="00680250" w:rsidP="008F4579">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80250" w:rsidRPr="000170DA" w:rsidRDefault="00680250" w:rsidP="008F4579">
            <w:pPr>
              <w:rPr>
                <w:rStyle w:val="Hyperlink"/>
                <w:rFonts w:ascii="Garamond" w:hAnsi="Garamond"/>
                <w:color w:val="auto"/>
                <w:u w:val="none"/>
                <w:lang w:val="en-AU"/>
              </w:rPr>
            </w:pPr>
            <w:hyperlink r:id="rId23" w:history="1">
              <w:r w:rsidRPr="00DB2A70">
                <w:rPr>
                  <w:rStyle w:val="Hyperlink"/>
                  <w:rFonts w:ascii="Garamond" w:hAnsi="Garamond"/>
                  <w:lang w:val="en-AU"/>
                </w:rPr>
                <w:t>https://doi.org/10.1071/AH16287</w:t>
              </w:r>
            </w:hyperlink>
          </w:p>
        </w:tc>
      </w:tr>
      <w:tr w:rsidR="00680250" w:rsidRPr="000170DA" w:rsidTr="008F4579">
        <w:tc>
          <w:tcPr>
            <w:tcW w:w="1080" w:type="dxa"/>
            <w:tcBorders>
              <w:top w:val="single" w:sz="4" w:space="0" w:color="auto"/>
              <w:left w:val="single" w:sz="4" w:space="0" w:color="auto"/>
              <w:bottom w:val="single" w:sz="4" w:space="0" w:color="auto"/>
              <w:right w:val="single" w:sz="4" w:space="0" w:color="auto"/>
            </w:tcBorders>
            <w:vAlign w:val="center"/>
          </w:tcPr>
          <w:p w:rsidR="00680250" w:rsidRPr="000170DA" w:rsidRDefault="00680250" w:rsidP="008F457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80250" w:rsidRDefault="00680250" w:rsidP="008F4579">
            <w:pPr>
              <w:rPr>
                <w:rFonts w:ascii="Garamond" w:hAnsi="Garamond"/>
                <w:lang w:val="en-AU"/>
              </w:rPr>
            </w:pPr>
            <w:r>
              <w:rPr>
                <w:rFonts w:ascii="Garamond" w:hAnsi="Garamond"/>
                <w:lang w:val="en-AU"/>
              </w:rPr>
              <w:t xml:space="preserve">Reducing unplanned readmissions is a common aim in acute care. This study sought to examine </w:t>
            </w:r>
            <w:r w:rsidRPr="000804E9">
              <w:rPr>
                <w:rFonts w:ascii="Garamond" w:hAnsi="Garamond"/>
                <w:lang w:val="en-AU"/>
              </w:rPr>
              <w:t>the factors associated with unplanned hospital</w:t>
            </w:r>
            <w:r>
              <w:rPr>
                <w:rFonts w:ascii="Garamond" w:hAnsi="Garamond"/>
                <w:lang w:val="en-AU"/>
              </w:rPr>
              <w:t xml:space="preserve"> </w:t>
            </w:r>
            <w:r w:rsidRPr="000804E9">
              <w:rPr>
                <w:rFonts w:ascii="Garamond" w:hAnsi="Garamond"/>
                <w:lang w:val="en-AU"/>
              </w:rPr>
              <w:t>readmission within 28 days of acute care discharge</w:t>
            </w:r>
            <w:r>
              <w:rPr>
                <w:rFonts w:ascii="Garamond" w:hAnsi="Garamond"/>
                <w:lang w:val="en-AU"/>
              </w:rPr>
              <w:t xml:space="preserve"> within a single health service. This </w:t>
            </w:r>
            <w:r w:rsidRPr="000804E9">
              <w:rPr>
                <w:rFonts w:ascii="Garamond" w:hAnsi="Garamond"/>
                <w:lang w:val="en-AU"/>
              </w:rPr>
              <w:t>retrospective study of 20 575 acute care discharges from 1 August to 31 December 2015</w:t>
            </w:r>
            <w:r>
              <w:rPr>
                <w:rFonts w:ascii="Garamond" w:hAnsi="Garamond"/>
                <w:lang w:val="en-AU"/>
              </w:rPr>
              <w:t xml:space="preserve"> used a</w:t>
            </w:r>
            <w:r w:rsidRPr="000804E9">
              <w:rPr>
                <w:rFonts w:ascii="Garamond" w:hAnsi="Garamond"/>
                <w:lang w:val="en-AU"/>
              </w:rPr>
              <w:t>dministrative data</w:t>
            </w:r>
            <w:r>
              <w:rPr>
                <w:rFonts w:ascii="Garamond" w:hAnsi="Garamond"/>
                <w:lang w:val="en-AU"/>
              </w:rPr>
              <w:t>. It found that t</w:t>
            </w:r>
            <w:r w:rsidRPr="000804E9">
              <w:rPr>
                <w:rFonts w:ascii="Garamond" w:hAnsi="Garamond"/>
                <w:lang w:val="en-AU"/>
              </w:rPr>
              <w:t xml:space="preserve">he </w:t>
            </w:r>
            <w:r w:rsidRPr="000804E9">
              <w:rPr>
                <w:rFonts w:ascii="Garamond" w:hAnsi="Garamond"/>
                <w:b/>
                <w:lang w:val="en-AU"/>
              </w:rPr>
              <w:t>unplanned readmission rate was 7.4%</w:t>
            </w:r>
            <w:r w:rsidRPr="000804E9">
              <w:rPr>
                <w:rFonts w:ascii="Garamond" w:hAnsi="Garamond"/>
                <w:lang w:val="en-AU"/>
              </w:rPr>
              <w:t xml:space="preserve"> (n = 1528) and </w:t>
            </w:r>
            <w:r w:rsidRPr="000804E9">
              <w:rPr>
                <w:rFonts w:ascii="Garamond" w:hAnsi="Garamond"/>
                <w:b/>
                <w:lang w:val="en-AU"/>
              </w:rPr>
              <w:t>11.1%</w:t>
            </w:r>
            <w:r w:rsidRPr="000804E9">
              <w:rPr>
                <w:rFonts w:ascii="Garamond" w:hAnsi="Garamond"/>
                <w:lang w:val="en-AU"/>
              </w:rPr>
              <w:t xml:space="preserve"> of </w:t>
            </w:r>
            <w:r>
              <w:rPr>
                <w:rFonts w:ascii="Garamond" w:hAnsi="Garamond"/>
                <w:lang w:val="en-AU"/>
              </w:rPr>
              <w:t xml:space="preserve">those </w:t>
            </w:r>
            <w:r w:rsidRPr="000804E9">
              <w:rPr>
                <w:rFonts w:ascii="Garamond" w:hAnsi="Garamond"/>
                <w:lang w:val="en-AU"/>
              </w:rPr>
              <w:t xml:space="preserve">readmitted patients were </w:t>
            </w:r>
            <w:r w:rsidRPr="000804E9">
              <w:rPr>
                <w:rFonts w:ascii="Garamond" w:hAnsi="Garamond"/>
                <w:b/>
                <w:lang w:val="en-AU"/>
              </w:rPr>
              <w:t>returned within 1 day</w:t>
            </w:r>
            <w:r w:rsidRPr="000804E9">
              <w:rPr>
                <w:rFonts w:ascii="Garamond" w:hAnsi="Garamond"/>
                <w:lang w:val="en-AU"/>
              </w:rPr>
              <w:t xml:space="preserve">. </w:t>
            </w:r>
            <w:r>
              <w:rPr>
                <w:rFonts w:ascii="Garamond" w:hAnsi="Garamond"/>
                <w:lang w:val="en-AU"/>
              </w:rPr>
              <w:t>Factors identif</w:t>
            </w:r>
            <w:r>
              <w:rPr>
                <w:rFonts w:ascii="Garamond" w:hAnsi="Garamond"/>
                <w:lang w:val="en-AU"/>
              </w:rPr>
              <w:t>i</w:t>
            </w:r>
            <w:r>
              <w:rPr>
                <w:rFonts w:ascii="Garamond" w:hAnsi="Garamond"/>
                <w:lang w:val="en-AU"/>
              </w:rPr>
              <w:t xml:space="preserve">ed as being </w:t>
            </w:r>
            <w:r w:rsidRPr="000804E9">
              <w:rPr>
                <w:rFonts w:ascii="Garamond" w:hAnsi="Garamond"/>
                <w:lang w:val="en-AU"/>
              </w:rPr>
              <w:t xml:space="preserve">associated with increased risk of unplanned readmission </w:t>
            </w:r>
            <w:r>
              <w:rPr>
                <w:rFonts w:ascii="Garamond" w:hAnsi="Garamond"/>
                <w:lang w:val="en-AU"/>
              </w:rPr>
              <w:t>included:</w:t>
            </w:r>
          </w:p>
          <w:p w:rsidR="00680250" w:rsidRPr="000804E9" w:rsidRDefault="00680250" w:rsidP="008F4579">
            <w:pPr>
              <w:pStyle w:val="ListParagraph"/>
              <w:numPr>
                <w:ilvl w:val="0"/>
                <w:numId w:val="41"/>
              </w:numPr>
              <w:rPr>
                <w:rFonts w:ascii="Garamond" w:hAnsi="Garamond"/>
                <w:lang w:val="en-AU"/>
              </w:rPr>
            </w:pPr>
            <w:r w:rsidRPr="000804E9">
              <w:rPr>
                <w:rFonts w:ascii="Garamond" w:hAnsi="Garamond"/>
                <w:lang w:val="en-AU"/>
              </w:rPr>
              <w:t>age ≥65 years</w:t>
            </w:r>
          </w:p>
          <w:p w:rsidR="00680250" w:rsidRPr="000804E9" w:rsidRDefault="00680250" w:rsidP="008F4579">
            <w:pPr>
              <w:pStyle w:val="ListParagraph"/>
              <w:numPr>
                <w:ilvl w:val="0"/>
                <w:numId w:val="41"/>
              </w:numPr>
              <w:rPr>
                <w:rFonts w:ascii="Garamond" w:hAnsi="Garamond"/>
                <w:lang w:val="en-AU"/>
              </w:rPr>
            </w:pPr>
            <w:r>
              <w:rPr>
                <w:rFonts w:ascii="Garamond" w:hAnsi="Garamond"/>
                <w:lang w:val="en-AU"/>
              </w:rPr>
              <w:t>emergency index admission</w:t>
            </w:r>
          </w:p>
          <w:p w:rsidR="00680250" w:rsidRPr="000804E9" w:rsidRDefault="00680250" w:rsidP="008F4579">
            <w:pPr>
              <w:pStyle w:val="ListParagraph"/>
              <w:numPr>
                <w:ilvl w:val="0"/>
                <w:numId w:val="41"/>
              </w:numPr>
              <w:rPr>
                <w:rFonts w:ascii="Garamond" w:hAnsi="Garamond"/>
                <w:lang w:val="en-AU"/>
              </w:rPr>
            </w:pPr>
            <w:r w:rsidRPr="000804E9">
              <w:rPr>
                <w:rFonts w:ascii="Garamond" w:hAnsi="Garamond"/>
                <w:lang w:val="en-AU"/>
              </w:rPr>
              <w:t>Charlson comorbidity index</w:t>
            </w:r>
          </w:p>
          <w:p w:rsidR="00680250" w:rsidRPr="000804E9" w:rsidRDefault="00680250" w:rsidP="008F4579">
            <w:pPr>
              <w:pStyle w:val="ListParagraph"/>
              <w:numPr>
                <w:ilvl w:val="0"/>
                <w:numId w:val="41"/>
              </w:numPr>
              <w:rPr>
                <w:rFonts w:ascii="Garamond" w:hAnsi="Garamond"/>
                <w:lang w:val="en-AU"/>
              </w:rPr>
            </w:pPr>
            <w:r w:rsidRPr="000804E9">
              <w:rPr>
                <w:rFonts w:ascii="Garamond" w:hAnsi="Garamond"/>
                <w:lang w:val="en-AU"/>
              </w:rPr>
              <w:t>presence of chronic disease or complications during the index admission</w:t>
            </w:r>
          </w:p>
          <w:p w:rsidR="00680250" w:rsidRPr="000804E9" w:rsidRDefault="00680250" w:rsidP="008F4579">
            <w:pPr>
              <w:pStyle w:val="ListParagraph"/>
              <w:numPr>
                <w:ilvl w:val="0"/>
                <w:numId w:val="41"/>
              </w:numPr>
              <w:rPr>
                <w:rFonts w:ascii="Garamond" w:hAnsi="Garamond"/>
                <w:lang w:val="en-AU"/>
              </w:rPr>
            </w:pPr>
            <w:r w:rsidRPr="000804E9">
              <w:rPr>
                <w:rFonts w:ascii="Garamond" w:hAnsi="Garamond"/>
                <w:lang w:val="en-AU"/>
              </w:rPr>
              <w:t>index admission length of stay (LOS) &gt;2 days</w:t>
            </w:r>
          </w:p>
          <w:p w:rsidR="00680250" w:rsidRPr="000804E9" w:rsidRDefault="00680250" w:rsidP="008F4579">
            <w:pPr>
              <w:pStyle w:val="ListParagraph"/>
              <w:numPr>
                <w:ilvl w:val="0"/>
                <w:numId w:val="41"/>
              </w:numPr>
              <w:rPr>
                <w:rFonts w:ascii="Garamond" w:hAnsi="Garamond"/>
                <w:lang w:val="en-AU"/>
              </w:rPr>
            </w:pPr>
            <w:r w:rsidRPr="000804E9">
              <w:rPr>
                <w:rFonts w:ascii="Garamond" w:hAnsi="Garamond"/>
                <w:lang w:val="en-AU"/>
              </w:rPr>
              <w:t xml:space="preserve">hospital admission(s) or emergency department (ED) attendance(s) in the 6 months preceding the index admission </w:t>
            </w:r>
          </w:p>
          <w:p w:rsidR="00680250" w:rsidRPr="000804E9" w:rsidRDefault="00680250" w:rsidP="008F4579">
            <w:pPr>
              <w:pStyle w:val="ListParagraph"/>
              <w:numPr>
                <w:ilvl w:val="0"/>
                <w:numId w:val="41"/>
              </w:numPr>
              <w:rPr>
                <w:rFonts w:ascii="Garamond" w:hAnsi="Garamond"/>
                <w:lang w:val="en-AU"/>
              </w:rPr>
            </w:pPr>
            <w:r w:rsidRPr="000804E9">
              <w:rPr>
                <w:rFonts w:ascii="Garamond" w:hAnsi="Garamond"/>
                <w:lang w:val="en-AU"/>
              </w:rPr>
              <w:t>health service site</w:t>
            </w:r>
            <w:r>
              <w:rPr>
                <w:rFonts w:ascii="Garamond" w:hAnsi="Garamond"/>
                <w:lang w:val="en-AU"/>
              </w:rPr>
              <w:t>.</w:t>
            </w:r>
          </w:p>
          <w:p w:rsidR="00680250" w:rsidRPr="00831B85" w:rsidRDefault="00680250" w:rsidP="008F4579">
            <w:pPr>
              <w:rPr>
                <w:rFonts w:ascii="Garamond" w:hAnsi="Garamond"/>
                <w:lang w:val="en-AU"/>
              </w:rPr>
            </w:pPr>
            <w:r>
              <w:rPr>
                <w:rFonts w:ascii="Garamond" w:hAnsi="Garamond"/>
                <w:lang w:val="en-AU"/>
              </w:rPr>
              <w:t xml:space="preserve">Perhaps more important is that these </w:t>
            </w:r>
            <w:r w:rsidRPr="000804E9">
              <w:rPr>
                <w:rFonts w:ascii="Garamond" w:hAnsi="Garamond"/>
                <w:b/>
                <w:lang w:val="en-AU"/>
              </w:rPr>
              <w:t>factors changed by each patient group</w:t>
            </w:r>
            <w:r>
              <w:rPr>
                <w:rFonts w:ascii="Garamond" w:hAnsi="Garamond"/>
                <w:lang w:val="en-AU"/>
              </w:rPr>
              <w:t xml:space="preserve"> examined </w:t>
            </w:r>
            <w:r w:rsidRPr="000804E9">
              <w:rPr>
                <w:rFonts w:ascii="Garamond" w:hAnsi="Garamond"/>
                <w:lang w:val="en-AU"/>
              </w:rPr>
              <w:t>(adult medical, adult surgical, obstetric</w:t>
            </w:r>
            <w:r>
              <w:rPr>
                <w:rFonts w:ascii="Garamond" w:hAnsi="Garamond"/>
                <w:lang w:val="en-AU"/>
              </w:rPr>
              <w:t xml:space="preserve"> and paediatric). Thus, as the authors suggest, ‘</w:t>
            </w:r>
            <w:r w:rsidRPr="005D3BC4">
              <w:rPr>
                <w:rFonts w:ascii="Garamond" w:hAnsi="Garamond"/>
                <w:lang w:val="en-AU"/>
              </w:rPr>
              <w:t xml:space="preserve">a </w:t>
            </w:r>
            <w:r>
              <w:rPr>
                <w:rFonts w:ascii="Garamond" w:hAnsi="Garamond"/>
                <w:lang w:val="en-AU"/>
              </w:rPr>
              <w:t>“</w:t>
            </w:r>
            <w:r w:rsidRPr="005D3BC4">
              <w:rPr>
                <w:rFonts w:ascii="Garamond" w:hAnsi="Garamond"/>
                <w:lang w:val="en-AU"/>
              </w:rPr>
              <w:t>one size fits all approach</w:t>
            </w:r>
            <w:r>
              <w:rPr>
                <w:rFonts w:ascii="Garamond" w:hAnsi="Garamond"/>
                <w:lang w:val="en-AU"/>
              </w:rPr>
              <w:t>”</w:t>
            </w:r>
            <w:r w:rsidRPr="005D3BC4">
              <w:rPr>
                <w:rFonts w:ascii="Garamond" w:hAnsi="Garamond"/>
                <w:lang w:val="en-AU"/>
              </w:rPr>
              <w:t xml:space="preserve"> to reducing unplanned rea</w:t>
            </w:r>
            <w:r>
              <w:rPr>
                <w:rFonts w:ascii="Garamond" w:hAnsi="Garamond"/>
                <w:lang w:val="en-AU"/>
              </w:rPr>
              <w:t>dmissions may not be effective. They report that ‘</w:t>
            </w:r>
            <w:r w:rsidRPr="005D3BC4">
              <w:rPr>
                <w:rFonts w:ascii="Garamond" w:hAnsi="Garamond"/>
                <w:b/>
                <w:lang w:val="en-AU"/>
              </w:rPr>
              <w:t>Older adult medical patients</w:t>
            </w:r>
            <w:r w:rsidRPr="005D3BC4">
              <w:rPr>
                <w:rFonts w:ascii="Garamond" w:hAnsi="Garamond"/>
                <w:lang w:val="en-AU"/>
              </w:rPr>
              <w:t xml:space="preserve"> had the highest rate of unplanned readmissions and those with </w:t>
            </w:r>
            <w:r w:rsidRPr="005D3BC4">
              <w:rPr>
                <w:rFonts w:ascii="Garamond" w:hAnsi="Garamond"/>
                <w:b/>
                <w:lang w:val="en-AU"/>
              </w:rPr>
              <w:t>Charlson comorbidity index 4</w:t>
            </w:r>
            <w:r w:rsidRPr="005D3BC4">
              <w:rPr>
                <w:rFonts w:ascii="Garamond" w:hAnsi="Garamond"/>
                <w:lang w:val="en-AU"/>
              </w:rPr>
              <w:t>, an</w:t>
            </w:r>
            <w:r>
              <w:rPr>
                <w:rFonts w:ascii="Garamond" w:hAnsi="Garamond"/>
                <w:lang w:val="en-AU"/>
              </w:rPr>
              <w:t xml:space="preserve"> </w:t>
            </w:r>
            <w:r w:rsidRPr="005D3BC4">
              <w:rPr>
                <w:rFonts w:ascii="Garamond" w:hAnsi="Garamond"/>
                <w:lang w:val="en-AU"/>
              </w:rPr>
              <w:t xml:space="preserve">index admission </w:t>
            </w:r>
            <w:r w:rsidRPr="005D3BC4">
              <w:rPr>
                <w:rFonts w:ascii="Garamond" w:hAnsi="Garamond"/>
                <w:b/>
                <w:lang w:val="en-AU"/>
              </w:rPr>
              <w:t>LOS &gt;2 days</w:t>
            </w:r>
            <w:r w:rsidRPr="005D3BC4">
              <w:rPr>
                <w:rFonts w:ascii="Garamond" w:hAnsi="Garamond"/>
                <w:lang w:val="en-AU"/>
              </w:rPr>
              <w:t xml:space="preserve">, </w:t>
            </w:r>
            <w:r w:rsidRPr="005D3BC4">
              <w:rPr>
                <w:rFonts w:ascii="Garamond" w:hAnsi="Garamond"/>
                <w:b/>
                <w:lang w:val="en-AU"/>
              </w:rPr>
              <w:t>left against advice</w:t>
            </w:r>
            <w:r w:rsidRPr="005D3BC4">
              <w:rPr>
                <w:rFonts w:ascii="Garamond" w:hAnsi="Garamond"/>
                <w:lang w:val="en-AU"/>
              </w:rPr>
              <w:t xml:space="preserve"> and hospital admission(s) or ED </w:t>
            </w:r>
            <w:r w:rsidRPr="005D3BC4">
              <w:rPr>
                <w:rFonts w:ascii="Garamond" w:hAnsi="Garamond"/>
                <w:b/>
                <w:lang w:val="en-AU"/>
              </w:rPr>
              <w:t>attendance(s) in the 6 months preceding</w:t>
            </w:r>
            <w:r>
              <w:rPr>
                <w:rFonts w:ascii="Garamond" w:hAnsi="Garamond"/>
                <w:lang w:val="en-AU"/>
              </w:rPr>
              <w:t xml:space="preserve"> </w:t>
            </w:r>
            <w:r w:rsidRPr="005D3BC4">
              <w:rPr>
                <w:rFonts w:ascii="Garamond" w:hAnsi="Garamond"/>
                <w:lang w:val="en-AU"/>
              </w:rPr>
              <w:t xml:space="preserve">index admission and </w:t>
            </w:r>
            <w:r w:rsidRPr="005D3BC4">
              <w:rPr>
                <w:rFonts w:ascii="Garamond" w:hAnsi="Garamond"/>
                <w:b/>
                <w:lang w:val="en-AU"/>
              </w:rPr>
              <w:t>discharge from larger sites</w:t>
            </w:r>
            <w:r w:rsidRPr="005D3BC4">
              <w:rPr>
                <w:rFonts w:ascii="Garamond" w:hAnsi="Garamond"/>
                <w:lang w:val="en-AU"/>
              </w:rPr>
              <w:t xml:space="preserve"> within the health service were at highest risk of unplanned readmission.</w:t>
            </w:r>
            <w:r>
              <w:rPr>
                <w:rFonts w:ascii="Garamond" w:hAnsi="Garamond"/>
                <w:lang w:val="en-AU"/>
              </w:rPr>
              <w:t>’</w:t>
            </w:r>
          </w:p>
        </w:tc>
      </w:tr>
    </w:tbl>
    <w:p w:rsidR="00680250" w:rsidRDefault="00680250" w:rsidP="00680250">
      <w:pPr>
        <w:rPr>
          <w:rFonts w:ascii="Garamond" w:hAnsi="Garamond"/>
          <w:i/>
          <w:lang w:val="en-AU"/>
        </w:rPr>
      </w:pPr>
    </w:p>
    <w:p w:rsidR="00680250" w:rsidRPr="0020490C" w:rsidRDefault="00680250" w:rsidP="00680250">
      <w:pPr>
        <w:keepNext/>
        <w:keepLines/>
        <w:autoSpaceDE w:val="0"/>
        <w:autoSpaceDN w:val="0"/>
        <w:adjustRightInd w:val="0"/>
        <w:rPr>
          <w:rFonts w:ascii="Garamond" w:hAnsi="Garamond"/>
          <w:i/>
          <w:lang w:val="en-AU"/>
        </w:rPr>
      </w:pPr>
      <w:r w:rsidRPr="0020490C">
        <w:rPr>
          <w:rFonts w:ascii="Garamond" w:hAnsi="Garamond"/>
          <w:i/>
          <w:lang w:val="en-AU"/>
        </w:rPr>
        <w:t>Improving drug allergy management in Australia: education, communication and accurate information</w:t>
      </w:r>
    </w:p>
    <w:p w:rsidR="00680250" w:rsidRDefault="00680250" w:rsidP="00680250">
      <w:pPr>
        <w:keepNext/>
        <w:keepLines/>
        <w:autoSpaceDE w:val="0"/>
        <w:autoSpaceDN w:val="0"/>
        <w:adjustRightInd w:val="0"/>
        <w:rPr>
          <w:rFonts w:ascii="Garamond" w:hAnsi="Garamond"/>
          <w:lang w:val="en-AU"/>
        </w:rPr>
      </w:pPr>
      <w:r w:rsidRPr="0020490C">
        <w:rPr>
          <w:rFonts w:ascii="Garamond" w:hAnsi="Garamond"/>
          <w:lang w:val="en-AU"/>
        </w:rPr>
        <w:t>Lucas M, Loh RKS, Smith WB</w:t>
      </w:r>
    </w:p>
    <w:p w:rsidR="00680250" w:rsidRPr="00E566B0" w:rsidRDefault="00680250" w:rsidP="00680250">
      <w:pPr>
        <w:keepNext/>
        <w:keepLines/>
        <w:autoSpaceDE w:val="0"/>
        <w:autoSpaceDN w:val="0"/>
        <w:adjustRightInd w:val="0"/>
        <w:rPr>
          <w:rFonts w:ascii="Garamond" w:hAnsi="Garamond"/>
          <w:lang w:val="en-AU"/>
        </w:rPr>
      </w:pPr>
      <w:r w:rsidRPr="0020490C">
        <w:rPr>
          <w:rFonts w:ascii="Garamond" w:hAnsi="Garamond"/>
          <w:lang w:val="en-AU"/>
        </w:rPr>
        <w:t>Medical Journal of Australia. 2019;210(2):62-4.</w:t>
      </w:r>
    </w:p>
    <w:tbl>
      <w:tblPr>
        <w:tblStyle w:val="TableGrid"/>
        <w:tblW w:w="0" w:type="auto"/>
        <w:tblInd w:w="288" w:type="dxa"/>
        <w:tblLayout w:type="fixed"/>
        <w:tblLook w:val="01E0" w:firstRow="1" w:lastRow="1" w:firstColumn="1" w:lastColumn="1" w:noHBand="0" w:noVBand="0"/>
      </w:tblPr>
      <w:tblGrid>
        <w:gridCol w:w="1080"/>
        <w:gridCol w:w="8280"/>
      </w:tblGrid>
      <w:tr w:rsidR="00680250" w:rsidRPr="000170DA" w:rsidTr="008F4579">
        <w:tc>
          <w:tcPr>
            <w:tcW w:w="1080" w:type="dxa"/>
            <w:tcBorders>
              <w:top w:val="single" w:sz="4" w:space="0" w:color="auto"/>
              <w:left w:val="single" w:sz="4" w:space="0" w:color="auto"/>
              <w:bottom w:val="single" w:sz="4" w:space="0" w:color="auto"/>
              <w:right w:val="single" w:sz="4" w:space="0" w:color="auto"/>
            </w:tcBorders>
            <w:vAlign w:val="center"/>
          </w:tcPr>
          <w:p w:rsidR="00680250" w:rsidRPr="000170DA" w:rsidRDefault="00680250" w:rsidP="008F4579">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80250" w:rsidRPr="000170DA" w:rsidRDefault="00680250" w:rsidP="008F4579">
            <w:pPr>
              <w:rPr>
                <w:rStyle w:val="Hyperlink"/>
                <w:rFonts w:ascii="Garamond" w:hAnsi="Garamond"/>
                <w:color w:val="auto"/>
                <w:u w:val="none"/>
                <w:lang w:val="en-AU"/>
              </w:rPr>
            </w:pPr>
            <w:hyperlink r:id="rId24" w:history="1">
              <w:r w:rsidRPr="00F85777">
                <w:rPr>
                  <w:rStyle w:val="Hyperlink"/>
                  <w:rFonts w:ascii="Garamond" w:hAnsi="Garamond"/>
                  <w:lang w:val="en-AU"/>
                </w:rPr>
                <w:t>https://doi.org/10.5694/mja18.00467</w:t>
              </w:r>
            </w:hyperlink>
          </w:p>
        </w:tc>
      </w:tr>
      <w:tr w:rsidR="00680250" w:rsidRPr="000170DA" w:rsidTr="008F4579">
        <w:tc>
          <w:tcPr>
            <w:tcW w:w="1080" w:type="dxa"/>
            <w:tcBorders>
              <w:top w:val="single" w:sz="4" w:space="0" w:color="auto"/>
              <w:left w:val="single" w:sz="4" w:space="0" w:color="auto"/>
              <w:bottom w:val="single" w:sz="4" w:space="0" w:color="auto"/>
              <w:right w:val="single" w:sz="4" w:space="0" w:color="auto"/>
            </w:tcBorders>
            <w:vAlign w:val="center"/>
          </w:tcPr>
          <w:p w:rsidR="00680250" w:rsidRPr="000170DA" w:rsidRDefault="00680250" w:rsidP="008F457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80250" w:rsidRPr="00831B85" w:rsidRDefault="00680250" w:rsidP="008F4579">
            <w:pPr>
              <w:rPr>
                <w:rFonts w:ascii="Garamond" w:hAnsi="Garamond"/>
                <w:lang w:val="en-AU"/>
              </w:rPr>
            </w:pPr>
            <w:r>
              <w:rPr>
                <w:rFonts w:ascii="Garamond" w:hAnsi="Garamond"/>
                <w:lang w:val="en-AU"/>
              </w:rPr>
              <w:t xml:space="preserve">Drug allergies are commonly recorded in patient charts, yet related medical errors including fatal drug-related anaphylaxis continue to occur. At the same time, some adverse drug reactions are labelled as allergies which are not true contraindications, for example with some antibiotics. The authors suggest that there is a need for a nationally co-ordinated approach to specific </w:t>
            </w:r>
            <w:r w:rsidRPr="0030016A">
              <w:rPr>
                <w:rFonts w:ascii="Garamond" w:hAnsi="Garamond"/>
                <w:b/>
                <w:lang w:val="en-AU"/>
              </w:rPr>
              <w:t>education</w:t>
            </w:r>
            <w:r>
              <w:rPr>
                <w:rFonts w:ascii="Garamond" w:hAnsi="Garamond"/>
                <w:lang w:val="en-AU"/>
              </w:rPr>
              <w:t xml:space="preserve"> of health professionals, development of </w:t>
            </w:r>
            <w:r w:rsidRPr="0030016A">
              <w:rPr>
                <w:rFonts w:ascii="Garamond" w:hAnsi="Garamond"/>
                <w:b/>
                <w:lang w:val="en-AU"/>
              </w:rPr>
              <w:t>delabelling drug protocols</w:t>
            </w:r>
            <w:r>
              <w:rPr>
                <w:rFonts w:ascii="Garamond" w:hAnsi="Garamond"/>
                <w:lang w:val="en-AU"/>
              </w:rPr>
              <w:t xml:space="preserve"> and improvements in the information provided in national patient </w:t>
            </w:r>
            <w:r w:rsidRPr="0030016A">
              <w:rPr>
                <w:rFonts w:ascii="Garamond" w:hAnsi="Garamond"/>
                <w:b/>
                <w:lang w:val="en-AU"/>
              </w:rPr>
              <w:t>electronic health records</w:t>
            </w:r>
            <w:r>
              <w:rPr>
                <w:rFonts w:ascii="Garamond" w:hAnsi="Garamond"/>
                <w:lang w:val="en-AU"/>
              </w:rPr>
              <w:t xml:space="preserve">. In part they base these recommendations on a recent coronial review of four drug-allergy related deaths, which were contributed to by </w:t>
            </w:r>
            <w:r w:rsidRPr="008574F7">
              <w:rPr>
                <w:rFonts w:ascii="Garamond" w:hAnsi="Garamond"/>
                <w:lang w:val="en-AU"/>
              </w:rPr>
              <w:t>a lack of knowledge in recognising and appropriately managing severe allergic drug reactions;</w:t>
            </w:r>
            <w:r>
              <w:rPr>
                <w:rFonts w:ascii="Garamond" w:hAnsi="Garamond"/>
                <w:lang w:val="en-AU"/>
              </w:rPr>
              <w:t xml:space="preserve"> unclear </w:t>
            </w:r>
            <w:r w:rsidRPr="008574F7">
              <w:rPr>
                <w:rFonts w:ascii="Garamond" w:hAnsi="Garamond"/>
                <w:lang w:val="en-AU"/>
              </w:rPr>
              <w:t>documentation of drug allergies</w:t>
            </w:r>
            <w:r>
              <w:rPr>
                <w:rFonts w:ascii="Garamond" w:hAnsi="Garamond"/>
                <w:lang w:val="en-AU"/>
              </w:rPr>
              <w:t xml:space="preserve"> and poor communication as well as </w:t>
            </w:r>
            <w:r w:rsidRPr="008574F7">
              <w:rPr>
                <w:rFonts w:ascii="Garamond" w:hAnsi="Garamond"/>
                <w:lang w:val="en-AU"/>
              </w:rPr>
              <w:t>misuse of terminology (</w:t>
            </w:r>
            <w:r w:rsidR="00FB0115" w:rsidRPr="008574F7">
              <w:rPr>
                <w:rFonts w:ascii="Garamond" w:hAnsi="Garamond"/>
                <w:lang w:val="en-AU"/>
              </w:rPr>
              <w:t>e.g.</w:t>
            </w:r>
            <w:r w:rsidRPr="008574F7">
              <w:rPr>
                <w:rFonts w:ascii="Garamond" w:hAnsi="Garamond"/>
                <w:lang w:val="en-AU"/>
              </w:rPr>
              <w:t>, “sulpha” instead of a specific drug name such as sulfamethoxazole)</w:t>
            </w:r>
            <w:r>
              <w:rPr>
                <w:rFonts w:ascii="Garamond" w:hAnsi="Garamond"/>
                <w:lang w:val="en-AU"/>
              </w:rPr>
              <w:t>.</w:t>
            </w:r>
          </w:p>
        </w:tc>
      </w:tr>
    </w:tbl>
    <w:p w:rsidR="00680250" w:rsidRDefault="00680250" w:rsidP="00680250">
      <w:pPr>
        <w:rPr>
          <w:rFonts w:ascii="Garamond" w:hAnsi="Garamond"/>
          <w:i/>
          <w:lang w:val="en-AU"/>
        </w:rPr>
      </w:pPr>
    </w:p>
    <w:p w:rsidR="00680250" w:rsidRPr="0020490C" w:rsidRDefault="00680250" w:rsidP="00680250">
      <w:pPr>
        <w:keepNext/>
        <w:keepLines/>
        <w:autoSpaceDE w:val="0"/>
        <w:autoSpaceDN w:val="0"/>
        <w:adjustRightInd w:val="0"/>
        <w:rPr>
          <w:rFonts w:ascii="Garamond" w:hAnsi="Garamond"/>
          <w:i/>
          <w:lang w:val="en-AU"/>
        </w:rPr>
      </w:pPr>
      <w:r w:rsidRPr="0020490C">
        <w:rPr>
          <w:rFonts w:ascii="Garamond" w:hAnsi="Garamond"/>
          <w:i/>
          <w:lang w:val="en-AU"/>
        </w:rPr>
        <w:lastRenderedPageBreak/>
        <w:t>Intensive lipid</w:t>
      </w:r>
      <w:r w:rsidRPr="0020490C">
        <w:rPr>
          <w:rFonts w:ascii="Cambria Math" w:hAnsi="Cambria Math" w:cs="Cambria Math"/>
          <w:i/>
          <w:lang w:val="en-AU"/>
        </w:rPr>
        <w:t>‐</w:t>
      </w:r>
      <w:r w:rsidRPr="0020490C">
        <w:rPr>
          <w:rFonts w:ascii="Garamond" w:hAnsi="Garamond"/>
          <w:i/>
          <w:lang w:val="en-AU"/>
        </w:rPr>
        <w:t>lowering therapy in the 12 months after an acute coronary syndrome in Australia: an observational analysis</w:t>
      </w:r>
    </w:p>
    <w:p w:rsidR="00680250" w:rsidRDefault="00680250" w:rsidP="00680250">
      <w:pPr>
        <w:keepNext/>
        <w:keepLines/>
        <w:autoSpaceDE w:val="0"/>
        <w:autoSpaceDN w:val="0"/>
        <w:adjustRightInd w:val="0"/>
        <w:rPr>
          <w:rFonts w:ascii="Garamond" w:hAnsi="Garamond"/>
          <w:lang w:val="en-AU"/>
        </w:rPr>
      </w:pPr>
      <w:r w:rsidRPr="0020490C">
        <w:rPr>
          <w:rFonts w:ascii="Garamond" w:hAnsi="Garamond"/>
          <w:lang w:val="en-AU"/>
        </w:rPr>
        <w:t>Brieger D, D'Souza M, Huyn K, Weaver JC, Kritharides L</w:t>
      </w:r>
    </w:p>
    <w:p w:rsidR="00680250" w:rsidRPr="00E566B0" w:rsidRDefault="00680250" w:rsidP="00680250">
      <w:pPr>
        <w:keepNext/>
        <w:keepLines/>
        <w:autoSpaceDE w:val="0"/>
        <w:autoSpaceDN w:val="0"/>
        <w:adjustRightInd w:val="0"/>
        <w:rPr>
          <w:rFonts w:ascii="Garamond" w:hAnsi="Garamond"/>
          <w:lang w:val="en-AU"/>
        </w:rPr>
      </w:pPr>
      <w:r w:rsidRPr="0020490C">
        <w:rPr>
          <w:rFonts w:ascii="Garamond" w:hAnsi="Garamond"/>
          <w:lang w:val="en-AU"/>
        </w:rPr>
        <w:t>Medical Journal of Australia. 2019;210(2):80-5.</w:t>
      </w:r>
    </w:p>
    <w:tbl>
      <w:tblPr>
        <w:tblStyle w:val="TableGrid"/>
        <w:tblW w:w="0" w:type="auto"/>
        <w:tblInd w:w="288" w:type="dxa"/>
        <w:tblLayout w:type="fixed"/>
        <w:tblLook w:val="01E0" w:firstRow="1" w:lastRow="1" w:firstColumn="1" w:lastColumn="1" w:noHBand="0" w:noVBand="0"/>
      </w:tblPr>
      <w:tblGrid>
        <w:gridCol w:w="1080"/>
        <w:gridCol w:w="8280"/>
      </w:tblGrid>
      <w:tr w:rsidR="00680250" w:rsidRPr="000170DA" w:rsidTr="008F4579">
        <w:tc>
          <w:tcPr>
            <w:tcW w:w="1080" w:type="dxa"/>
            <w:tcBorders>
              <w:top w:val="single" w:sz="4" w:space="0" w:color="auto"/>
              <w:left w:val="single" w:sz="4" w:space="0" w:color="auto"/>
              <w:bottom w:val="single" w:sz="4" w:space="0" w:color="auto"/>
              <w:right w:val="single" w:sz="4" w:space="0" w:color="auto"/>
            </w:tcBorders>
            <w:vAlign w:val="center"/>
          </w:tcPr>
          <w:p w:rsidR="00680250" w:rsidRPr="000170DA" w:rsidRDefault="00680250" w:rsidP="008F4579">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80250" w:rsidRPr="000170DA" w:rsidRDefault="00680250" w:rsidP="008F4579">
            <w:pPr>
              <w:rPr>
                <w:rStyle w:val="Hyperlink"/>
                <w:rFonts w:ascii="Garamond" w:hAnsi="Garamond"/>
                <w:color w:val="auto"/>
                <w:u w:val="none"/>
                <w:lang w:val="en-AU"/>
              </w:rPr>
            </w:pPr>
            <w:hyperlink r:id="rId25" w:history="1">
              <w:r w:rsidRPr="00F85777">
                <w:rPr>
                  <w:rStyle w:val="Hyperlink"/>
                  <w:rFonts w:ascii="Garamond" w:hAnsi="Garamond"/>
                  <w:lang w:val="en-AU"/>
                </w:rPr>
                <w:t>https://doi.org/10.5694/mja2.12035</w:t>
              </w:r>
            </w:hyperlink>
          </w:p>
        </w:tc>
      </w:tr>
      <w:tr w:rsidR="00680250" w:rsidRPr="000170DA" w:rsidTr="008F4579">
        <w:tc>
          <w:tcPr>
            <w:tcW w:w="1080" w:type="dxa"/>
            <w:tcBorders>
              <w:top w:val="single" w:sz="4" w:space="0" w:color="auto"/>
              <w:left w:val="single" w:sz="4" w:space="0" w:color="auto"/>
              <w:bottom w:val="single" w:sz="4" w:space="0" w:color="auto"/>
              <w:right w:val="single" w:sz="4" w:space="0" w:color="auto"/>
            </w:tcBorders>
            <w:vAlign w:val="center"/>
          </w:tcPr>
          <w:p w:rsidR="00680250" w:rsidRPr="000170DA" w:rsidRDefault="00680250" w:rsidP="008F457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80250" w:rsidRPr="00831B85" w:rsidRDefault="00680250" w:rsidP="008F4579">
            <w:pPr>
              <w:rPr>
                <w:rFonts w:ascii="Garamond" w:hAnsi="Garamond"/>
                <w:lang w:val="en-AU"/>
              </w:rPr>
            </w:pPr>
            <w:r>
              <w:rPr>
                <w:rFonts w:ascii="Garamond" w:hAnsi="Garamond"/>
                <w:lang w:val="en-AU"/>
              </w:rPr>
              <w:t xml:space="preserve">This study from the CONCORDANCE registry found that </w:t>
            </w:r>
            <w:r w:rsidRPr="0030016A">
              <w:rPr>
                <w:rFonts w:ascii="Garamond" w:hAnsi="Garamond"/>
                <w:b/>
                <w:lang w:val="en-AU"/>
              </w:rPr>
              <w:t>only</w:t>
            </w:r>
            <w:r>
              <w:rPr>
                <w:rFonts w:ascii="Garamond" w:hAnsi="Garamond"/>
                <w:lang w:val="en-AU"/>
              </w:rPr>
              <w:t xml:space="preserve"> </w:t>
            </w:r>
            <w:r w:rsidRPr="0030016A">
              <w:rPr>
                <w:rFonts w:ascii="Garamond" w:hAnsi="Garamond"/>
                <w:b/>
                <w:lang w:val="en-AU"/>
              </w:rPr>
              <w:t>55% of patients were receiving intensive lipid-lowering therapy during the 12 months after an acute coronary syndrome</w:t>
            </w:r>
            <w:r>
              <w:rPr>
                <w:rFonts w:ascii="Garamond" w:hAnsi="Garamond"/>
                <w:lang w:val="en-AU"/>
              </w:rPr>
              <w:t xml:space="preserve"> (</w:t>
            </w:r>
            <w:r w:rsidRPr="00E72295">
              <w:rPr>
                <w:rFonts w:ascii="Garamond" w:hAnsi="Garamond"/>
                <w:lang w:val="en-AU"/>
              </w:rPr>
              <w:t>ACS</w:t>
            </w:r>
            <w:r>
              <w:rPr>
                <w:rFonts w:ascii="Garamond" w:hAnsi="Garamond"/>
                <w:lang w:val="en-AU"/>
              </w:rPr>
              <w:t>)</w:t>
            </w:r>
            <w:r w:rsidRPr="00E72295">
              <w:rPr>
                <w:rFonts w:ascii="Garamond" w:hAnsi="Garamond"/>
                <w:lang w:val="en-AU"/>
              </w:rPr>
              <w:t>.</w:t>
            </w:r>
            <w:r>
              <w:rPr>
                <w:rFonts w:ascii="Garamond" w:hAnsi="Garamond"/>
                <w:lang w:val="en-AU"/>
              </w:rPr>
              <w:t xml:space="preserve"> The strongest predictor of not receiving therapy was not being prescribed treatment at hospital discharge for the ACS, around 20% of patients. Patients who had a coronary bypass (CABG) or non-surgical treatment only, were less likely to be prescribed these medicines. Since lipid-lowering treatment reduces cardiovascular risk, and is recommended by guidelines, these findings suggest room for improvement in care.</w:t>
            </w:r>
          </w:p>
        </w:tc>
      </w:tr>
    </w:tbl>
    <w:p w:rsidR="00680250" w:rsidRDefault="00680250" w:rsidP="00680250">
      <w:pPr>
        <w:rPr>
          <w:rFonts w:ascii="Garamond" w:hAnsi="Garamond"/>
          <w:i/>
          <w:lang w:val="en-AU"/>
        </w:rPr>
      </w:pPr>
    </w:p>
    <w:p w:rsidR="00831B85" w:rsidRPr="00FA1024" w:rsidRDefault="00FA1024" w:rsidP="00831B85">
      <w:pPr>
        <w:keepNext/>
        <w:keepLines/>
        <w:autoSpaceDE w:val="0"/>
        <w:autoSpaceDN w:val="0"/>
        <w:adjustRightInd w:val="0"/>
        <w:rPr>
          <w:rFonts w:ascii="Garamond" w:hAnsi="Garamond"/>
          <w:i/>
          <w:lang w:val="en-AU"/>
        </w:rPr>
      </w:pPr>
      <w:r w:rsidRPr="00FA1024">
        <w:rPr>
          <w:rFonts w:ascii="Garamond" w:hAnsi="Garamond"/>
          <w:i/>
          <w:lang w:val="en-AU"/>
        </w:rPr>
        <w:t>How to be a very safe maternity unit: An ethnographic study</w:t>
      </w:r>
    </w:p>
    <w:p w:rsidR="0000366A" w:rsidRDefault="0000366A" w:rsidP="00831B85">
      <w:pPr>
        <w:keepNext/>
        <w:keepLines/>
        <w:autoSpaceDE w:val="0"/>
        <w:autoSpaceDN w:val="0"/>
        <w:adjustRightInd w:val="0"/>
        <w:rPr>
          <w:rFonts w:ascii="Garamond" w:hAnsi="Garamond"/>
          <w:lang w:val="en-AU"/>
        </w:rPr>
      </w:pPr>
      <w:r w:rsidRPr="0000366A">
        <w:rPr>
          <w:rFonts w:ascii="Garamond" w:hAnsi="Garamond"/>
          <w:lang w:val="en-AU"/>
        </w:rPr>
        <w:t>Liberati EG, Tarrant C, Willars J, Draycott T, Winter C, Chew S, et al</w:t>
      </w:r>
    </w:p>
    <w:p w:rsidR="00FA1024" w:rsidRPr="00E566B0" w:rsidRDefault="0000366A" w:rsidP="00831B85">
      <w:pPr>
        <w:keepNext/>
        <w:keepLines/>
        <w:autoSpaceDE w:val="0"/>
        <w:autoSpaceDN w:val="0"/>
        <w:adjustRightInd w:val="0"/>
        <w:rPr>
          <w:rFonts w:ascii="Garamond" w:hAnsi="Garamond"/>
          <w:lang w:val="en-AU"/>
        </w:rPr>
      </w:pPr>
      <w:r w:rsidRPr="0000366A">
        <w:rPr>
          <w:rFonts w:ascii="Garamond" w:hAnsi="Garamond"/>
          <w:lang w:val="en-AU"/>
        </w:rPr>
        <w:t>Social Science &amp; Medicine. 2019;223:64-72.</w:t>
      </w:r>
    </w:p>
    <w:tbl>
      <w:tblPr>
        <w:tblStyle w:val="TableGrid"/>
        <w:tblW w:w="0" w:type="auto"/>
        <w:tblInd w:w="288" w:type="dxa"/>
        <w:tblLayout w:type="fixed"/>
        <w:tblLook w:val="01E0" w:firstRow="1" w:lastRow="1" w:firstColumn="1" w:lastColumn="1" w:noHBand="0" w:noVBand="0"/>
      </w:tblPr>
      <w:tblGrid>
        <w:gridCol w:w="1080"/>
        <w:gridCol w:w="8280"/>
      </w:tblGrid>
      <w:tr w:rsidR="00831B85" w:rsidRPr="000170DA" w:rsidTr="007C3E5C">
        <w:tc>
          <w:tcPr>
            <w:tcW w:w="1080" w:type="dxa"/>
            <w:tcBorders>
              <w:top w:val="single" w:sz="4" w:space="0" w:color="auto"/>
              <w:left w:val="single" w:sz="4" w:space="0" w:color="auto"/>
              <w:bottom w:val="single" w:sz="4" w:space="0" w:color="auto"/>
              <w:right w:val="single" w:sz="4" w:space="0" w:color="auto"/>
            </w:tcBorders>
            <w:vAlign w:val="center"/>
          </w:tcPr>
          <w:p w:rsidR="00831B85" w:rsidRPr="000170DA" w:rsidRDefault="00831B85" w:rsidP="007C3E5C">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31B85" w:rsidRPr="000170DA" w:rsidRDefault="00FB0115" w:rsidP="007C3E5C">
            <w:pPr>
              <w:rPr>
                <w:rStyle w:val="Hyperlink"/>
                <w:rFonts w:ascii="Garamond" w:hAnsi="Garamond"/>
                <w:color w:val="auto"/>
                <w:u w:val="none"/>
                <w:lang w:val="en-AU"/>
              </w:rPr>
            </w:pPr>
            <w:hyperlink r:id="rId26" w:history="1">
              <w:r w:rsidR="00FA1024" w:rsidRPr="00F85777">
                <w:rPr>
                  <w:rStyle w:val="Hyperlink"/>
                  <w:rFonts w:ascii="Garamond" w:hAnsi="Garamond"/>
                  <w:lang w:val="en-AU"/>
                </w:rPr>
                <w:t>https://doi.org/10.1016/j.socscimed.2019.01.035</w:t>
              </w:r>
            </w:hyperlink>
          </w:p>
        </w:tc>
      </w:tr>
      <w:tr w:rsidR="00831B85" w:rsidRPr="000170DA" w:rsidTr="007C3E5C">
        <w:tc>
          <w:tcPr>
            <w:tcW w:w="1080" w:type="dxa"/>
            <w:tcBorders>
              <w:top w:val="single" w:sz="4" w:space="0" w:color="auto"/>
              <w:left w:val="single" w:sz="4" w:space="0" w:color="auto"/>
              <w:bottom w:val="single" w:sz="4" w:space="0" w:color="auto"/>
              <w:right w:val="single" w:sz="4" w:space="0" w:color="auto"/>
            </w:tcBorders>
            <w:vAlign w:val="center"/>
          </w:tcPr>
          <w:p w:rsidR="00831B85" w:rsidRPr="000170DA" w:rsidRDefault="00831B85" w:rsidP="007C3E5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80250" w:rsidRDefault="0000366A" w:rsidP="00680250">
            <w:pPr>
              <w:rPr>
                <w:rFonts w:ascii="Garamond" w:hAnsi="Garamond"/>
                <w:lang w:val="en-AU"/>
              </w:rPr>
            </w:pPr>
            <w:r>
              <w:rPr>
                <w:rFonts w:ascii="Garamond" w:hAnsi="Garamond"/>
                <w:lang w:val="en-AU"/>
              </w:rPr>
              <w:t xml:space="preserve">In studying “outliers” it seems that the focus is often on the “negative” outliers, those who are performing below the norm. This study takes what may be a more optimistic approach in providing a ‘positive deviance case study’ that describes how a </w:t>
            </w:r>
            <w:r w:rsidRPr="0000366A">
              <w:rPr>
                <w:rFonts w:ascii="Garamond" w:hAnsi="Garamond"/>
                <w:lang w:val="en-AU"/>
              </w:rPr>
              <w:t xml:space="preserve">high-performing maternity unit </w:t>
            </w:r>
            <w:r>
              <w:rPr>
                <w:rFonts w:ascii="Garamond" w:hAnsi="Garamond"/>
                <w:lang w:val="en-AU"/>
              </w:rPr>
              <w:t xml:space="preserve">in the UK </w:t>
            </w:r>
            <w:r w:rsidRPr="0000366A">
              <w:rPr>
                <w:rFonts w:ascii="Garamond" w:hAnsi="Garamond"/>
                <w:lang w:val="en-AU"/>
              </w:rPr>
              <w:t>achieved and sustained excellent safety outcomes</w:t>
            </w:r>
            <w:r>
              <w:rPr>
                <w:rFonts w:ascii="Garamond" w:hAnsi="Garamond"/>
                <w:lang w:val="en-AU"/>
              </w:rPr>
              <w:t xml:space="preserve"> over time. Using many hours (143) </w:t>
            </w:r>
            <w:r w:rsidRPr="0000366A">
              <w:rPr>
                <w:rFonts w:ascii="Garamond" w:hAnsi="Garamond"/>
                <w:lang w:val="en-AU"/>
              </w:rPr>
              <w:t xml:space="preserve">of ethnographic observations in the maternity unit, 12 semi-structured interviews, and two focus groups with staff, </w:t>
            </w:r>
            <w:r>
              <w:rPr>
                <w:rFonts w:ascii="Garamond" w:hAnsi="Garamond"/>
                <w:lang w:val="en-AU"/>
              </w:rPr>
              <w:t xml:space="preserve">the study revealed </w:t>
            </w:r>
            <w:r w:rsidRPr="0000366A">
              <w:rPr>
                <w:rFonts w:ascii="Garamond" w:hAnsi="Garamond"/>
                <w:lang w:val="en-AU"/>
              </w:rPr>
              <w:t xml:space="preserve">identified six mechanisms that appeared to be important for safety: </w:t>
            </w:r>
            <w:r>
              <w:rPr>
                <w:rFonts w:ascii="Garamond" w:hAnsi="Garamond"/>
                <w:lang w:val="en-AU"/>
              </w:rPr>
              <w:t>‘</w:t>
            </w:r>
            <w:r w:rsidRPr="0000366A">
              <w:rPr>
                <w:rFonts w:ascii="Garamond" w:hAnsi="Garamond"/>
                <w:b/>
                <w:lang w:val="en-AU"/>
              </w:rPr>
              <w:t>collective competence</w:t>
            </w:r>
            <w:r w:rsidRPr="0000366A">
              <w:rPr>
                <w:rFonts w:ascii="Garamond" w:hAnsi="Garamond"/>
                <w:lang w:val="en-AU"/>
              </w:rPr>
              <w:t xml:space="preserve">; insistence on </w:t>
            </w:r>
            <w:r w:rsidRPr="0000366A">
              <w:rPr>
                <w:rFonts w:ascii="Garamond" w:hAnsi="Garamond"/>
                <w:b/>
                <w:lang w:val="en-AU"/>
              </w:rPr>
              <w:t>technical proficiency</w:t>
            </w:r>
            <w:r w:rsidRPr="0000366A">
              <w:rPr>
                <w:rFonts w:ascii="Garamond" w:hAnsi="Garamond"/>
                <w:lang w:val="en-AU"/>
              </w:rPr>
              <w:t xml:space="preserve">; monitoring, coordination, and distributed cognition; clearly articulated and constantly reinforced </w:t>
            </w:r>
            <w:r w:rsidRPr="0000366A">
              <w:rPr>
                <w:rFonts w:ascii="Garamond" w:hAnsi="Garamond"/>
                <w:b/>
                <w:lang w:val="en-AU"/>
              </w:rPr>
              <w:t>standards of practice, behaviour, and ethics</w:t>
            </w:r>
            <w:r w:rsidRPr="0000366A">
              <w:rPr>
                <w:rFonts w:ascii="Garamond" w:hAnsi="Garamond"/>
                <w:lang w:val="en-AU"/>
              </w:rPr>
              <w:t xml:space="preserve">; </w:t>
            </w:r>
            <w:r w:rsidRPr="0000366A">
              <w:rPr>
                <w:rFonts w:ascii="Garamond" w:hAnsi="Garamond"/>
                <w:b/>
                <w:lang w:val="en-AU"/>
              </w:rPr>
              <w:t>monitoring</w:t>
            </w:r>
            <w:r w:rsidRPr="0000366A">
              <w:rPr>
                <w:rFonts w:ascii="Garamond" w:hAnsi="Garamond"/>
                <w:lang w:val="en-AU"/>
              </w:rPr>
              <w:t xml:space="preserve"> multiple sources of intelligence about the unit's state of </w:t>
            </w:r>
            <w:r w:rsidRPr="0000366A">
              <w:rPr>
                <w:rFonts w:ascii="Garamond" w:hAnsi="Garamond"/>
                <w:b/>
                <w:lang w:val="en-AU"/>
              </w:rPr>
              <w:t>safety</w:t>
            </w:r>
            <w:r w:rsidRPr="0000366A">
              <w:rPr>
                <w:rFonts w:ascii="Garamond" w:hAnsi="Garamond"/>
                <w:lang w:val="en-AU"/>
              </w:rPr>
              <w:t xml:space="preserve">; and a </w:t>
            </w:r>
            <w:r w:rsidRPr="0000366A">
              <w:rPr>
                <w:rFonts w:ascii="Garamond" w:hAnsi="Garamond"/>
                <w:b/>
                <w:lang w:val="en-AU"/>
              </w:rPr>
              <w:t>highly intentional approach to safety and improvement</w:t>
            </w:r>
            <w:r w:rsidRPr="0000366A">
              <w:rPr>
                <w:rFonts w:ascii="Garamond" w:hAnsi="Garamond"/>
                <w:lang w:val="en-AU"/>
              </w:rPr>
              <w:t>.</w:t>
            </w:r>
            <w:r>
              <w:rPr>
                <w:rFonts w:ascii="Garamond" w:hAnsi="Garamond"/>
                <w:lang w:val="en-AU"/>
              </w:rPr>
              <w:t>’</w:t>
            </w:r>
            <w:r w:rsidR="00680250">
              <w:rPr>
                <w:rFonts w:ascii="Garamond" w:hAnsi="Garamond"/>
                <w:lang w:val="en-AU"/>
              </w:rPr>
              <w:t xml:space="preserve"> </w:t>
            </w:r>
          </w:p>
          <w:p w:rsidR="0000366A" w:rsidRPr="00831B85" w:rsidRDefault="0000366A" w:rsidP="00680250">
            <w:pPr>
              <w:rPr>
                <w:rFonts w:ascii="Garamond" w:hAnsi="Garamond"/>
                <w:lang w:val="en-AU"/>
              </w:rPr>
            </w:pPr>
            <w:r>
              <w:rPr>
                <w:rFonts w:ascii="Garamond" w:hAnsi="Garamond"/>
                <w:lang w:val="en-AU"/>
              </w:rPr>
              <w:t>Further, these specific t</w:t>
            </w:r>
            <w:r w:rsidRPr="0000366A">
              <w:rPr>
                <w:rFonts w:ascii="Garamond" w:hAnsi="Garamond"/>
                <w:lang w:val="en-AU"/>
              </w:rPr>
              <w:t xml:space="preserve">hese mechanisms were </w:t>
            </w:r>
            <w:r>
              <w:rPr>
                <w:rFonts w:ascii="Garamond" w:hAnsi="Garamond"/>
                <w:lang w:val="en-AU"/>
              </w:rPr>
              <w:t>“</w:t>
            </w:r>
            <w:r w:rsidRPr="0000366A">
              <w:rPr>
                <w:rFonts w:ascii="Garamond" w:hAnsi="Garamond"/>
                <w:lang w:val="en-AU"/>
              </w:rPr>
              <w:t>nurtured and sustained through both a specific intervention (known as the PROMPT programme) and, importantly, the unit's contextual features: intervention and context shaped each other in both direct and indirect ways. The mechanisms were also influenced by the unit's structural conditions, such as staffing levels and physical environment.</w:t>
            </w:r>
            <w:r>
              <w:rPr>
                <w:rFonts w:ascii="Garamond" w:hAnsi="Garamond"/>
                <w:lang w:val="en-AU"/>
              </w:rPr>
              <w:t>” Thus, safety was not simply compliance with a list of tasks but was a pervasive, applied approach.</w:t>
            </w:r>
          </w:p>
        </w:tc>
      </w:tr>
    </w:tbl>
    <w:p w:rsidR="00831B85" w:rsidRDefault="00831B85" w:rsidP="00831B85">
      <w:pPr>
        <w:rPr>
          <w:rFonts w:ascii="Garamond" w:hAnsi="Garamond"/>
          <w:i/>
          <w:lang w:val="en-AU"/>
        </w:rPr>
      </w:pPr>
    </w:p>
    <w:p w:rsidR="00A66104" w:rsidRPr="007C25E5" w:rsidRDefault="007C25E5" w:rsidP="00A66104">
      <w:pPr>
        <w:keepNext/>
        <w:keepLines/>
        <w:autoSpaceDE w:val="0"/>
        <w:autoSpaceDN w:val="0"/>
        <w:adjustRightInd w:val="0"/>
        <w:rPr>
          <w:rFonts w:ascii="Garamond" w:hAnsi="Garamond"/>
          <w:i/>
          <w:lang w:val="en-AU"/>
        </w:rPr>
      </w:pPr>
      <w:r w:rsidRPr="007C25E5">
        <w:rPr>
          <w:rFonts w:ascii="Garamond" w:hAnsi="Garamond"/>
          <w:i/>
          <w:lang w:val="en-AU"/>
        </w:rPr>
        <w:t>Using a potentially aggressive/violent patient huddle to improve health care safety</w:t>
      </w:r>
    </w:p>
    <w:p w:rsidR="007C25E5" w:rsidRDefault="007C25E5" w:rsidP="00A66104">
      <w:pPr>
        <w:keepNext/>
        <w:keepLines/>
        <w:autoSpaceDE w:val="0"/>
        <w:autoSpaceDN w:val="0"/>
        <w:adjustRightInd w:val="0"/>
        <w:rPr>
          <w:rFonts w:ascii="Garamond" w:hAnsi="Garamond"/>
          <w:lang w:val="en-AU"/>
        </w:rPr>
      </w:pPr>
      <w:r w:rsidRPr="007C25E5">
        <w:rPr>
          <w:rFonts w:ascii="Garamond" w:hAnsi="Garamond"/>
          <w:lang w:val="en-AU"/>
        </w:rPr>
        <w:t>Larson LA, Finley JL, Gross TL, McKay AK, Moenck JM, Severson MA, et al</w:t>
      </w:r>
    </w:p>
    <w:p w:rsidR="007C25E5" w:rsidRPr="00E566B0" w:rsidRDefault="007C25E5" w:rsidP="00A66104">
      <w:pPr>
        <w:keepNext/>
        <w:keepLines/>
        <w:autoSpaceDE w:val="0"/>
        <w:autoSpaceDN w:val="0"/>
        <w:adjustRightInd w:val="0"/>
        <w:rPr>
          <w:rFonts w:ascii="Garamond" w:hAnsi="Garamond"/>
          <w:lang w:val="en-AU"/>
        </w:rPr>
      </w:pPr>
      <w:r w:rsidRPr="007C25E5">
        <w:rPr>
          <w:rFonts w:ascii="Garamond" w:hAnsi="Garamond"/>
          <w:lang w:val="en-AU"/>
        </w:rPr>
        <w:t>The Joint Commission Journal on Quality and Patient Safety. 2019.</w:t>
      </w:r>
    </w:p>
    <w:tbl>
      <w:tblPr>
        <w:tblStyle w:val="TableGrid"/>
        <w:tblW w:w="0" w:type="auto"/>
        <w:tblInd w:w="288" w:type="dxa"/>
        <w:tblLayout w:type="fixed"/>
        <w:tblLook w:val="01E0" w:firstRow="1" w:lastRow="1" w:firstColumn="1" w:lastColumn="1" w:noHBand="0" w:noVBand="0"/>
      </w:tblPr>
      <w:tblGrid>
        <w:gridCol w:w="1080"/>
        <w:gridCol w:w="8280"/>
      </w:tblGrid>
      <w:tr w:rsidR="00A66104" w:rsidRPr="000170DA" w:rsidTr="00FC7B9B">
        <w:tc>
          <w:tcPr>
            <w:tcW w:w="1080" w:type="dxa"/>
            <w:tcBorders>
              <w:top w:val="single" w:sz="4" w:space="0" w:color="auto"/>
              <w:left w:val="single" w:sz="4" w:space="0" w:color="auto"/>
              <w:bottom w:val="single" w:sz="4" w:space="0" w:color="auto"/>
              <w:right w:val="single" w:sz="4" w:space="0" w:color="auto"/>
            </w:tcBorders>
            <w:vAlign w:val="center"/>
          </w:tcPr>
          <w:p w:rsidR="00A66104" w:rsidRPr="000170DA" w:rsidRDefault="00A66104" w:rsidP="00FC7B9B">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66104" w:rsidRPr="000170DA" w:rsidRDefault="007C25E5" w:rsidP="00FC7B9B">
            <w:pPr>
              <w:rPr>
                <w:rStyle w:val="Hyperlink"/>
                <w:rFonts w:ascii="Garamond" w:hAnsi="Garamond"/>
                <w:color w:val="auto"/>
                <w:u w:val="none"/>
                <w:lang w:val="en-AU"/>
              </w:rPr>
            </w:pPr>
            <w:hyperlink r:id="rId27" w:history="1">
              <w:r w:rsidRPr="00DB2A70">
                <w:rPr>
                  <w:rStyle w:val="Hyperlink"/>
                  <w:rFonts w:ascii="Garamond" w:hAnsi="Garamond"/>
                  <w:lang w:val="en-AU"/>
                </w:rPr>
                <w:t>http://doi.org/10.1016/j.jcjq.2018.08.011</w:t>
              </w:r>
            </w:hyperlink>
          </w:p>
        </w:tc>
      </w:tr>
      <w:tr w:rsidR="00A66104" w:rsidRPr="000170DA" w:rsidTr="00FC7B9B">
        <w:tc>
          <w:tcPr>
            <w:tcW w:w="1080" w:type="dxa"/>
            <w:tcBorders>
              <w:top w:val="single" w:sz="4" w:space="0" w:color="auto"/>
              <w:left w:val="single" w:sz="4" w:space="0" w:color="auto"/>
              <w:bottom w:val="single" w:sz="4" w:space="0" w:color="auto"/>
              <w:right w:val="single" w:sz="4" w:space="0" w:color="auto"/>
            </w:tcBorders>
            <w:vAlign w:val="center"/>
          </w:tcPr>
          <w:p w:rsidR="00A66104" w:rsidRPr="000170DA" w:rsidRDefault="00A66104" w:rsidP="00FC7B9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66104" w:rsidRPr="00831B85" w:rsidRDefault="007C25E5" w:rsidP="000804E9">
            <w:pPr>
              <w:rPr>
                <w:rFonts w:ascii="Garamond" w:hAnsi="Garamond"/>
                <w:lang w:val="en-AU"/>
              </w:rPr>
            </w:pPr>
            <w:r>
              <w:rPr>
                <w:rFonts w:ascii="Garamond" w:hAnsi="Garamond"/>
                <w:lang w:val="en-AU"/>
              </w:rPr>
              <w:t xml:space="preserve">Considerations of the safety of healthcare workers and patients (and families and visitors) do not often account for violence. This item describes the development and testing of a handover (or handoff) tool that helped ensure that </w:t>
            </w:r>
            <w:r w:rsidRPr="007C25E5">
              <w:rPr>
                <w:rFonts w:ascii="Garamond" w:hAnsi="Garamond"/>
                <w:b/>
                <w:lang w:val="en-AU"/>
              </w:rPr>
              <w:t>information</w:t>
            </w:r>
            <w:r>
              <w:rPr>
                <w:rFonts w:ascii="Garamond" w:hAnsi="Garamond"/>
                <w:lang w:val="en-AU"/>
              </w:rPr>
              <w:t xml:space="preserve"> about </w:t>
            </w:r>
            <w:r w:rsidRPr="007C25E5">
              <w:rPr>
                <w:rFonts w:ascii="Garamond" w:hAnsi="Garamond"/>
                <w:b/>
                <w:lang w:val="en-AU"/>
              </w:rPr>
              <w:t>potential violent patients</w:t>
            </w:r>
            <w:r>
              <w:rPr>
                <w:rFonts w:ascii="Garamond" w:hAnsi="Garamond"/>
                <w:lang w:val="en-AU"/>
              </w:rPr>
              <w:t xml:space="preserve"> was shared between the </w:t>
            </w:r>
            <w:r w:rsidRPr="007C25E5">
              <w:rPr>
                <w:rFonts w:ascii="Garamond" w:hAnsi="Garamond"/>
                <w:b/>
                <w:lang w:val="en-AU"/>
              </w:rPr>
              <w:t>emergency department</w:t>
            </w:r>
            <w:r>
              <w:rPr>
                <w:rFonts w:ascii="Garamond" w:hAnsi="Garamond"/>
                <w:lang w:val="en-AU"/>
              </w:rPr>
              <w:t xml:space="preserve"> </w:t>
            </w:r>
            <w:r w:rsidR="000804E9">
              <w:rPr>
                <w:rFonts w:ascii="Garamond" w:hAnsi="Garamond"/>
                <w:lang w:val="en-AU"/>
              </w:rPr>
              <w:t xml:space="preserve">(ED) </w:t>
            </w:r>
            <w:r>
              <w:rPr>
                <w:rFonts w:ascii="Garamond" w:hAnsi="Garamond"/>
                <w:lang w:val="en-AU"/>
              </w:rPr>
              <w:t xml:space="preserve">and the </w:t>
            </w:r>
            <w:r w:rsidRPr="007C25E5">
              <w:rPr>
                <w:rFonts w:ascii="Garamond" w:hAnsi="Garamond"/>
                <w:b/>
                <w:lang w:val="en-AU"/>
              </w:rPr>
              <w:t>admitting unit</w:t>
            </w:r>
            <w:r>
              <w:rPr>
                <w:rFonts w:ascii="Garamond" w:hAnsi="Garamond"/>
                <w:lang w:val="en-AU"/>
              </w:rPr>
              <w:t xml:space="preserve"> of the hospital. </w:t>
            </w:r>
            <w:r w:rsidR="000804E9">
              <w:rPr>
                <w:rFonts w:ascii="Garamond" w:hAnsi="Garamond"/>
                <w:lang w:val="en-AU"/>
              </w:rPr>
              <w:t xml:space="preserve">The process developed, </w:t>
            </w:r>
            <w:r w:rsidR="000804E9" w:rsidRPr="007C25E5">
              <w:rPr>
                <w:rFonts w:ascii="Garamond" w:hAnsi="Garamond"/>
                <w:lang w:val="en-AU"/>
              </w:rPr>
              <w:t>the Potentially Aggressive/Violent Huddle Form</w:t>
            </w:r>
            <w:r w:rsidR="000804E9">
              <w:rPr>
                <w:rFonts w:ascii="Garamond" w:hAnsi="Garamond"/>
                <w:lang w:val="en-AU"/>
              </w:rPr>
              <w:t xml:space="preserve">, had an ED nurse </w:t>
            </w:r>
            <w:r w:rsidRPr="007C25E5">
              <w:rPr>
                <w:rFonts w:ascii="Garamond" w:hAnsi="Garamond"/>
                <w:lang w:val="en-AU"/>
              </w:rPr>
              <w:t xml:space="preserve">initiate the process by informing the admitting unit that a patient at risk for violence was being admitted. The admitting care team would then call the ED team so that both teams participated in the </w:t>
            </w:r>
            <w:r w:rsidR="000804E9">
              <w:rPr>
                <w:rFonts w:ascii="Garamond" w:hAnsi="Garamond"/>
                <w:lang w:val="en-AU"/>
              </w:rPr>
              <w:t>handover. One of the issues is the identification of risk, including the accuracy and sensitivity.</w:t>
            </w:r>
          </w:p>
        </w:tc>
      </w:tr>
    </w:tbl>
    <w:p w:rsidR="00680250" w:rsidRPr="00FA1024" w:rsidRDefault="00680250" w:rsidP="00680250">
      <w:pPr>
        <w:keepNext/>
        <w:keepLines/>
        <w:autoSpaceDE w:val="0"/>
        <w:autoSpaceDN w:val="0"/>
        <w:adjustRightInd w:val="0"/>
        <w:rPr>
          <w:rFonts w:ascii="Garamond" w:hAnsi="Garamond"/>
          <w:i/>
          <w:lang w:val="en-AU"/>
        </w:rPr>
      </w:pPr>
      <w:r w:rsidRPr="00FA1024">
        <w:rPr>
          <w:rFonts w:ascii="Garamond" w:hAnsi="Garamond"/>
          <w:i/>
          <w:lang w:val="en-AU"/>
        </w:rPr>
        <w:lastRenderedPageBreak/>
        <w:t>Curbing Unnecessary and Wasted Diagnostic Imaging</w:t>
      </w:r>
    </w:p>
    <w:p w:rsidR="00680250" w:rsidRDefault="00680250" w:rsidP="00680250">
      <w:pPr>
        <w:keepNext/>
        <w:keepLines/>
        <w:autoSpaceDE w:val="0"/>
        <w:autoSpaceDN w:val="0"/>
        <w:adjustRightInd w:val="0"/>
        <w:rPr>
          <w:rFonts w:ascii="Garamond" w:hAnsi="Garamond"/>
          <w:lang w:val="en-AU"/>
        </w:rPr>
      </w:pPr>
      <w:r w:rsidRPr="00680250">
        <w:rPr>
          <w:rFonts w:ascii="Garamond" w:hAnsi="Garamond"/>
          <w:lang w:val="en-AU"/>
        </w:rPr>
        <w:t>Oren O, Kebebew E, Ioannidis JPA</w:t>
      </w:r>
    </w:p>
    <w:p w:rsidR="00680250" w:rsidRPr="00E566B0" w:rsidRDefault="00680250" w:rsidP="00680250">
      <w:pPr>
        <w:keepNext/>
        <w:keepLines/>
        <w:autoSpaceDE w:val="0"/>
        <w:autoSpaceDN w:val="0"/>
        <w:adjustRightInd w:val="0"/>
        <w:rPr>
          <w:rFonts w:ascii="Garamond" w:hAnsi="Garamond"/>
          <w:lang w:val="en-AU"/>
        </w:rPr>
      </w:pPr>
      <w:r w:rsidRPr="00680250">
        <w:rPr>
          <w:rFonts w:ascii="Garamond" w:hAnsi="Garamond"/>
          <w:lang w:val="en-AU"/>
        </w:rPr>
        <w:t>Journal of the American Medical Association. 2019;321(3):245-6.</w:t>
      </w:r>
    </w:p>
    <w:tbl>
      <w:tblPr>
        <w:tblStyle w:val="TableGrid"/>
        <w:tblW w:w="0" w:type="auto"/>
        <w:tblInd w:w="288" w:type="dxa"/>
        <w:tblLayout w:type="fixed"/>
        <w:tblLook w:val="01E0" w:firstRow="1" w:lastRow="1" w:firstColumn="1" w:lastColumn="1" w:noHBand="0" w:noVBand="0"/>
      </w:tblPr>
      <w:tblGrid>
        <w:gridCol w:w="1080"/>
        <w:gridCol w:w="8280"/>
      </w:tblGrid>
      <w:tr w:rsidR="00680250" w:rsidRPr="000170DA" w:rsidTr="008F4579">
        <w:tc>
          <w:tcPr>
            <w:tcW w:w="1080" w:type="dxa"/>
            <w:tcBorders>
              <w:top w:val="single" w:sz="4" w:space="0" w:color="auto"/>
              <w:left w:val="single" w:sz="4" w:space="0" w:color="auto"/>
              <w:bottom w:val="single" w:sz="4" w:space="0" w:color="auto"/>
              <w:right w:val="single" w:sz="4" w:space="0" w:color="auto"/>
            </w:tcBorders>
            <w:vAlign w:val="center"/>
          </w:tcPr>
          <w:p w:rsidR="00680250" w:rsidRPr="000170DA" w:rsidRDefault="00680250" w:rsidP="008F4579">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80250" w:rsidRPr="000170DA" w:rsidRDefault="00680250" w:rsidP="008F4579">
            <w:pPr>
              <w:rPr>
                <w:rStyle w:val="Hyperlink"/>
                <w:rFonts w:ascii="Garamond" w:hAnsi="Garamond"/>
                <w:color w:val="auto"/>
                <w:u w:val="none"/>
                <w:lang w:val="en-AU"/>
              </w:rPr>
            </w:pPr>
            <w:hyperlink r:id="rId28" w:history="1">
              <w:r w:rsidRPr="00F85777">
                <w:rPr>
                  <w:rStyle w:val="Hyperlink"/>
                  <w:rFonts w:ascii="Garamond" w:hAnsi="Garamond"/>
                  <w:lang w:val="en-AU"/>
                </w:rPr>
                <w:t>https://doi.org/10.1001/jama.2018.20295</w:t>
              </w:r>
            </w:hyperlink>
          </w:p>
        </w:tc>
      </w:tr>
      <w:tr w:rsidR="00680250" w:rsidRPr="000170DA" w:rsidTr="008F4579">
        <w:tc>
          <w:tcPr>
            <w:tcW w:w="1080" w:type="dxa"/>
            <w:tcBorders>
              <w:top w:val="single" w:sz="4" w:space="0" w:color="auto"/>
              <w:left w:val="single" w:sz="4" w:space="0" w:color="auto"/>
              <w:bottom w:val="single" w:sz="4" w:space="0" w:color="auto"/>
              <w:right w:val="single" w:sz="4" w:space="0" w:color="auto"/>
            </w:tcBorders>
            <w:vAlign w:val="center"/>
          </w:tcPr>
          <w:p w:rsidR="00680250" w:rsidRPr="000170DA" w:rsidRDefault="00680250" w:rsidP="008F457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80250" w:rsidRDefault="00680250" w:rsidP="008F4579">
            <w:pPr>
              <w:rPr>
                <w:rFonts w:ascii="Garamond" w:hAnsi="Garamond"/>
                <w:lang w:val="en-AU"/>
              </w:rPr>
            </w:pPr>
            <w:r>
              <w:rPr>
                <w:rFonts w:ascii="Garamond" w:hAnsi="Garamond"/>
                <w:lang w:val="en-AU"/>
              </w:rPr>
              <w:t xml:space="preserve">Further to debates of value and variation is this Viewpoint piece </w:t>
            </w:r>
            <w:r>
              <w:rPr>
                <w:rFonts w:ascii="Garamond" w:hAnsi="Garamond"/>
                <w:lang w:val="en-AU"/>
              </w:rPr>
              <w:t xml:space="preserve">reflects on how </w:t>
            </w:r>
            <w:r w:rsidR="005702FC">
              <w:rPr>
                <w:rFonts w:ascii="Garamond" w:hAnsi="Garamond"/>
                <w:lang w:val="en-AU"/>
              </w:rPr>
              <w:t xml:space="preserve">imaging ordering usage could be focused more </w:t>
            </w:r>
            <w:r w:rsidR="005702FC" w:rsidRPr="005702FC">
              <w:rPr>
                <w:rFonts w:ascii="Garamond" w:hAnsi="Garamond"/>
                <w:b/>
                <w:lang w:val="en-AU"/>
              </w:rPr>
              <w:t>appropriateness</w:t>
            </w:r>
            <w:r w:rsidR="005702FC">
              <w:rPr>
                <w:rFonts w:ascii="Garamond" w:hAnsi="Garamond"/>
                <w:lang w:val="en-AU"/>
              </w:rPr>
              <w:t xml:space="preserve"> and utility. Approaches discussed include </w:t>
            </w:r>
            <w:r w:rsidR="005702FC" w:rsidRPr="005702FC">
              <w:rPr>
                <w:rFonts w:ascii="Garamond" w:hAnsi="Garamond"/>
                <w:b/>
                <w:lang w:val="en-AU"/>
              </w:rPr>
              <w:t>clinician education</w:t>
            </w:r>
            <w:r w:rsidR="005702FC">
              <w:rPr>
                <w:rFonts w:ascii="Garamond" w:hAnsi="Garamond"/>
                <w:lang w:val="en-AU"/>
              </w:rPr>
              <w:t xml:space="preserve">, </w:t>
            </w:r>
            <w:r w:rsidR="005702FC" w:rsidRPr="005702FC">
              <w:rPr>
                <w:rFonts w:ascii="Garamond" w:hAnsi="Garamond"/>
                <w:b/>
                <w:lang w:val="en-AU"/>
              </w:rPr>
              <w:t>public and patient education</w:t>
            </w:r>
            <w:r w:rsidR="005702FC">
              <w:rPr>
                <w:rFonts w:ascii="Garamond" w:hAnsi="Garamond"/>
                <w:lang w:val="en-AU"/>
              </w:rPr>
              <w:t xml:space="preserve">, </w:t>
            </w:r>
            <w:r w:rsidR="005702FC" w:rsidRPr="005702FC">
              <w:rPr>
                <w:rFonts w:ascii="Garamond" w:hAnsi="Garamond"/>
                <w:b/>
                <w:lang w:val="en-AU"/>
              </w:rPr>
              <w:t>shared decision making</w:t>
            </w:r>
            <w:r w:rsidR="005702FC">
              <w:rPr>
                <w:rFonts w:ascii="Garamond" w:hAnsi="Garamond"/>
                <w:lang w:val="en-AU"/>
              </w:rPr>
              <w:t xml:space="preserve"> and </w:t>
            </w:r>
            <w:r w:rsidR="005702FC" w:rsidRPr="005702FC">
              <w:rPr>
                <w:rFonts w:ascii="Garamond" w:hAnsi="Garamond"/>
                <w:b/>
                <w:lang w:val="en-AU"/>
              </w:rPr>
              <w:t>consent</w:t>
            </w:r>
            <w:r w:rsidR="005702FC">
              <w:rPr>
                <w:rFonts w:ascii="Garamond" w:hAnsi="Garamond"/>
                <w:lang w:val="en-AU"/>
              </w:rPr>
              <w:t xml:space="preserve">, capitalising on </w:t>
            </w:r>
            <w:r w:rsidR="005702FC" w:rsidRPr="005702FC">
              <w:rPr>
                <w:rFonts w:ascii="Garamond" w:hAnsi="Garamond"/>
                <w:b/>
                <w:lang w:val="en-AU"/>
              </w:rPr>
              <w:t>imaging technology</w:t>
            </w:r>
            <w:r w:rsidR="005702FC">
              <w:rPr>
                <w:rFonts w:ascii="Garamond" w:hAnsi="Garamond"/>
                <w:lang w:val="en-AU"/>
              </w:rPr>
              <w:t xml:space="preserve"> improvements to ensure quality and focus of images are appropriate, changes to the </w:t>
            </w:r>
            <w:r w:rsidR="005702FC" w:rsidRPr="005702FC">
              <w:rPr>
                <w:rFonts w:ascii="Garamond" w:hAnsi="Garamond"/>
                <w:b/>
                <w:lang w:val="en-AU"/>
              </w:rPr>
              <w:t>ordering, distribution and reimbursement</w:t>
            </w:r>
            <w:r w:rsidR="005702FC">
              <w:rPr>
                <w:rFonts w:ascii="Garamond" w:hAnsi="Garamond"/>
                <w:lang w:val="en-AU"/>
              </w:rPr>
              <w:t xml:space="preserve">, requiring </w:t>
            </w:r>
            <w:r w:rsidR="005702FC" w:rsidRPr="005702FC">
              <w:rPr>
                <w:rFonts w:ascii="Garamond" w:hAnsi="Garamond"/>
                <w:b/>
                <w:lang w:val="en-AU"/>
              </w:rPr>
              <w:t>approval of requests</w:t>
            </w:r>
            <w:r w:rsidR="005702FC">
              <w:rPr>
                <w:rFonts w:ascii="Garamond" w:hAnsi="Garamond"/>
                <w:lang w:val="en-AU"/>
              </w:rPr>
              <w:t xml:space="preserve"> by radiology specialists.</w:t>
            </w:r>
          </w:p>
          <w:p w:rsidR="005702FC" w:rsidRDefault="005702FC" w:rsidP="008F4579">
            <w:pPr>
              <w:rPr>
                <w:rFonts w:ascii="Garamond" w:hAnsi="Garamond"/>
                <w:lang w:val="en-AU"/>
              </w:rPr>
            </w:pPr>
            <w:r>
              <w:rPr>
                <w:rFonts w:ascii="Garamond" w:hAnsi="Garamond"/>
                <w:lang w:val="en-AU"/>
              </w:rPr>
              <w:t xml:space="preserve">Clinicians might be asked to consider </w:t>
            </w:r>
            <w:r w:rsidRPr="005702FC">
              <w:rPr>
                <w:rFonts w:ascii="Garamond" w:hAnsi="Garamond"/>
                <w:lang w:val="en-AU"/>
              </w:rPr>
              <w:t>answer the following questions before ordering any radiographic test:</w:t>
            </w:r>
            <w:r w:rsidRPr="005702FC">
              <w:rPr>
                <w:rFonts w:ascii="Garamond" w:hAnsi="Garamond"/>
                <w:b/>
                <w:lang w:val="en-AU"/>
              </w:rPr>
              <w:t xml:space="preserve"> Is it necessary? What are the consequences of performing the test? What are the alternative options (and their associated benefits and risks)? What is the likely outcome with no further workup?</w:t>
            </w:r>
          </w:p>
          <w:p w:rsidR="005702FC" w:rsidRPr="00831B85" w:rsidRDefault="005702FC" w:rsidP="008F4579">
            <w:pPr>
              <w:rPr>
                <w:rFonts w:ascii="Garamond" w:hAnsi="Garamond"/>
                <w:lang w:val="en-AU"/>
              </w:rPr>
            </w:pPr>
            <w:r>
              <w:rPr>
                <w:rFonts w:ascii="Garamond" w:hAnsi="Garamond"/>
                <w:lang w:val="en-AU"/>
              </w:rPr>
              <w:t>The authors observe that ‘</w:t>
            </w:r>
            <w:r w:rsidRPr="005702FC">
              <w:rPr>
                <w:rFonts w:ascii="Garamond" w:hAnsi="Garamond"/>
                <w:lang w:val="en-AU"/>
              </w:rPr>
              <w:t>Effective interventions may need to occur concurrently at multiple points in the system and involve both clinicians and patients. These interventions also need to address outcomes that reflect patient safety and harms.</w:t>
            </w:r>
            <w:r>
              <w:rPr>
                <w:rFonts w:ascii="Garamond" w:hAnsi="Garamond"/>
                <w:lang w:val="en-AU"/>
              </w:rPr>
              <w:t>’</w:t>
            </w:r>
          </w:p>
        </w:tc>
      </w:tr>
    </w:tbl>
    <w:p w:rsidR="00680250" w:rsidRDefault="00680250" w:rsidP="00680250">
      <w:pPr>
        <w:rPr>
          <w:rFonts w:ascii="Garamond" w:hAnsi="Garamond"/>
          <w:i/>
          <w:lang w:val="en-AU"/>
        </w:rPr>
      </w:pPr>
    </w:p>
    <w:p w:rsidR="00D65371" w:rsidRPr="00D65371" w:rsidRDefault="00D65371" w:rsidP="00D65371">
      <w:pPr>
        <w:keepNext/>
        <w:rPr>
          <w:rFonts w:ascii="Garamond" w:hAnsi="Garamond"/>
          <w:i/>
          <w:lang w:val="en-AU"/>
        </w:rPr>
      </w:pPr>
      <w:r w:rsidRPr="00D65371">
        <w:rPr>
          <w:rFonts w:ascii="Garamond" w:hAnsi="Garamond"/>
          <w:i/>
          <w:lang w:val="en-AU"/>
        </w:rPr>
        <w:t>Australian Health Review</w:t>
      </w:r>
    </w:p>
    <w:p w:rsidR="00D65371" w:rsidRPr="00D65371" w:rsidRDefault="00D65371" w:rsidP="00D65371">
      <w:pPr>
        <w:keepNext/>
        <w:rPr>
          <w:rFonts w:ascii="Garamond" w:hAnsi="Garamond"/>
          <w:lang w:val="en-AU"/>
        </w:rPr>
      </w:pPr>
      <w:r w:rsidRPr="00D65371">
        <w:rPr>
          <w:rFonts w:ascii="Garamond" w:hAnsi="Garamond"/>
          <w:lang w:val="en-AU"/>
        </w:rPr>
        <w:t>Volume 43 Number 1 2019</w:t>
      </w:r>
    </w:p>
    <w:tbl>
      <w:tblPr>
        <w:tblStyle w:val="TableGrid"/>
        <w:tblW w:w="0" w:type="auto"/>
        <w:tblInd w:w="288" w:type="dxa"/>
        <w:tblLayout w:type="fixed"/>
        <w:tblLook w:val="01E0" w:firstRow="1" w:lastRow="1" w:firstColumn="1" w:lastColumn="1" w:noHBand="0" w:noVBand="0"/>
      </w:tblPr>
      <w:tblGrid>
        <w:gridCol w:w="1080"/>
        <w:gridCol w:w="8280"/>
      </w:tblGrid>
      <w:tr w:rsidR="007C3778" w:rsidRPr="000170DA" w:rsidTr="002A212F">
        <w:tc>
          <w:tcPr>
            <w:tcW w:w="1080" w:type="dxa"/>
            <w:tcBorders>
              <w:top w:val="single" w:sz="4" w:space="0" w:color="auto"/>
              <w:left w:val="single" w:sz="4" w:space="0" w:color="auto"/>
              <w:bottom w:val="single" w:sz="4" w:space="0" w:color="auto"/>
              <w:right w:val="single" w:sz="4" w:space="0" w:color="auto"/>
            </w:tcBorders>
            <w:vAlign w:val="center"/>
          </w:tcPr>
          <w:p w:rsidR="007C3778" w:rsidRPr="000170DA" w:rsidRDefault="007C3778" w:rsidP="002A212F">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C3778" w:rsidRPr="000170DA" w:rsidRDefault="00FB0115" w:rsidP="002A212F">
            <w:pPr>
              <w:rPr>
                <w:rStyle w:val="Hyperlink"/>
                <w:rFonts w:ascii="Garamond" w:hAnsi="Garamond"/>
                <w:color w:val="auto"/>
                <w:u w:val="none"/>
                <w:lang w:val="en-AU"/>
              </w:rPr>
            </w:pPr>
            <w:hyperlink r:id="rId29" w:history="1">
              <w:r w:rsidR="00D65371" w:rsidRPr="009D2E28">
                <w:rPr>
                  <w:rStyle w:val="Hyperlink"/>
                  <w:rFonts w:ascii="Garamond" w:hAnsi="Garamond"/>
                  <w:lang w:val="en-AU"/>
                </w:rPr>
                <w:t>http://www.publish.csiro.au/ah/issue/9361</w:t>
              </w:r>
            </w:hyperlink>
          </w:p>
        </w:tc>
      </w:tr>
      <w:tr w:rsidR="007C3778" w:rsidRPr="000170DA" w:rsidTr="002A212F">
        <w:tc>
          <w:tcPr>
            <w:tcW w:w="1080" w:type="dxa"/>
            <w:tcBorders>
              <w:top w:val="single" w:sz="4" w:space="0" w:color="auto"/>
              <w:left w:val="single" w:sz="4" w:space="0" w:color="auto"/>
              <w:bottom w:val="single" w:sz="4" w:space="0" w:color="auto"/>
              <w:right w:val="single" w:sz="4" w:space="0" w:color="auto"/>
            </w:tcBorders>
            <w:vAlign w:val="center"/>
          </w:tcPr>
          <w:p w:rsidR="007C3778" w:rsidRPr="000170DA" w:rsidRDefault="007C3778" w:rsidP="002A212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C3778" w:rsidRPr="00B440ED" w:rsidRDefault="007C3778" w:rsidP="002A212F">
            <w:pPr>
              <w:rPr>
                <w:rFonts w:ascii="Garamond" w:hAnsi="Garamond"/>
                <w:lang w:val="en-AU"/>
              </w:rPr>
            </w:pPr>
            <w:r w:rsidRPr="00B440ED">
              <w:rPr>
                <w:rFonts w:ascii="Garamond" w:hAnsi="Garamond"/>
                <w:lang w:val="en-AU"/>
              </w:rPr>
              <w:t xml:space="preserve">A new issue of the </w:t>
            </w:r>
            <w:r w:rsidR="00D65371" w:rsidRPr="00D65371">
              <w:rPr>
                <w:rFonts w:ascii="Garamond" w:hAnsi="Garamond"/>
                <w:i/>
                <w:lang w:val="en-AU"/>
              </w:rPr>
              <w:t>Australian Health Review</w:t>
            </w:r>
            <w:r w:rsidR="00D65371" w:rsidRPr="00B440ED">
              <w:rPr>
                <w:rFonts w:ascii="Garamond" w:hAnsi="Garamond"/>
                <w:i/>
                <w:lang w:val="en-AU"/>
              </w:rPr>
              <w:t xml:space="preserve"> </w:t>
            </w:r>
            <w:r w:rsidRPr="00B440ED">
              <w:rPr>
                <w:rFonts w:ascii="Garamond" w:hAnsi="Garamond"/>
                <w:lang w:val="en-AU"/>
              </w:rPr>
              <w:t xml:space="preserve">has been published. Articles in this issue of the </w:t>
            </w:r>
            <w:r w:rsidR="00D65371" w:rsidRPr="00D65371">
              <w:rPr>
                <w:rFonts w:ascii="Garamond" w:hAnsi="Garamond"/>
                <w:i/>
                <w:lang w:val="en-AU"/>
              </w:rPr>
              <w:t>Australian Health Review</w:t>
            </w:r>
            <w:r w:rsidR="00D65371" w:rsidRPr="00B440ED">
              <w:rPr>
                <w:rFonts w:ascii="Garamond" w:hAnsi="Garamond"/>
                <w:i/>
                <w:lang w:val="en-AU"/>
              </w:rPr>
              <w:t xml:space="preserve"> </w:t>
            </w:r>
            <w:r w:rsidRPr="00B440ED">
              <w:rPr>
                <w:rFonts w:ascii="Garamond" w:hAnsi="Garamond"/>
                <w:lang w:val="en-AU"/>
              </w:rPr>
              <w:t>include:</w:t>
            </w:r>
          </w:p>
          <w:p w:rsidR="00D65371" w:rsidRDefault="00D65371" w:rsidP="00D65371">
            <w:pPr>
              <w:pStyle w:val="ListParagraph"/>
              <w:numPr>
                <w:ilvl w:val="0"/>
                <w:numId w:val="40"/>
              </w:numPr>
              <w:rPr>
                <w:rFonts w:ascii="Garamond" w:hAnsi="Garamond"/>
                <w:lang w:val="en-AU"/>
              </w:rPr>
            </w:pPr>
            <w:r w:rsidRPr="00B77CAD">
              <w:rPr>
                <w:rFonts w:ascii="Garamond" w:hAnsi="Garamond"/>
                <w:lang w:val="en-AU"/>
              </w:rPr>
              <w:t xml:space="preserve">Factors associated with </w:t>
            </w:r>
            <w:r w:rsidRPr="00B77CAD">
              <w:rPr>
                <w:rFonts w:ascii="Garamond" w:hAnsi="Garamond"/>
                <w:b/>
                <w:lang w:val="en-AU"/>
              </w:rPr>
              <w:t>unplanned readmissions</w:t>
            </w:r>
            <w:r w:rsidRPr="00B77CAD">
              <w:rPr>
                <w:rFonts w:ascii="Garamond" w:hAnsi="Garamond"/>
                <w:lang w:val="en-AU"/>
              </w:rPr>
              <w:t xml:space="preserve"> in a major Australian health service</w:t>
            </w:r>
            <w:r w:rsidR="00B77CAD" w:rsidRPr="00B77CAD">
              <w:rPr>
                <w:rFonts w:ascii="Garamond" w:hAnsi="Garamond"/>
                <w:lang w:val="en-AU"/>
              </w:rPr>
              <w:t xml:space="preserve"> (</w:t>
            </w:r>
            <w:r w:rsidRPr="00B77CAD">
              <w:rPr>
                <w:rFonts w:ascii="Garamond" w:hAnsi="Garamond"/>
                <w:lang w:val="en-AU"/>
              </w:rPr>
              <w:t>Julie Considine, Karen Fox, David Plunkett, Melissa Mecner, Mary O'Reilly and Peteris Darzins</w:t>
            </w:r>
            <w:r w:rsidR="00B77CAD">
              <w:rPr>
                <w:rFonts w:ascii="Garamond" w:hAnsi="Garamond"/>
                <w:lang w:val="en-AU"/>
              </w:rPr>
              <w:t>)</w:t>
            </w:r>
          </w:p>
          <w:p w:rsidR="00D65371" w:rsidRPr="00B77CAD" w:rsidRDefault="00D65371" w:rsidP="00D65371">
            <w:pPr>
              <w:pStyle w:val="ListParagraph"/>
              <w:numPr>
                <w:ilvl w:val="0"/>
                <w:numId w:val="40"/>
              </w:numPr>
              <w:rPr>
                <w:rFonts w:ascii="Garamond" w:hAnsi="Garamond"/>
                <w:lang w:val="en-AU"/>
              </w:rPr>
            </w:pPr>
            <w:r w:rsidRPr="00B77CAD">
              <w:rPr>
                <w:rFonts w:ascii="Garamond" w:hAnsi="Garamond"/>
                <w:lang w:val="en-AU"/>
              </w:rPr>
              <w:t xml:space="preserve">Does the </w:t>
            </w:r>
            <w:r w:rsidRPr="00B77CAD">
              <w:rPr>
                <w:rFonts w:ascii="Garamond" w:hAnsi="Garamond"/>
                <w:b/>
                <w:lang w:val="en-AU"/>
              </w:rPr>
              <w:t>accreditation of private dental practices</w:t>
            </w:r>
            <w:r w:rsidRPr="00B77CAD">
              <w:rPr>
                <w:rFonts w:ascii="Garamond" w:hAnsi="Garamond"/>
                <w:lang w:val="en-AU"/>
              </w:rPr>
              <w:t xml:space="preserve"> work? Time to rethink how accreditation can improve patient safety</w:t>
            </w:r>
            <w:r w:rsidR="00B77CAD" w:rsidRPr="00B77CAD">
              <w:rPr>
                <w:rFonts w:ascii="Garamond" w:hAnsi="Garamond"/>
                <w:lang w:val="en-AU"/>
              </w:rPr>
              <w:t xml:space="preserve"> (</w:t>
            </w:r>
            <w:r w:rsidRPr="00B77CAD">
              <w:rPr>
                <w:rFonts w:ascii="Garamond" w:hAnsi="Garamond"/>
                <w:lang w:val="en-AU"/>
              </w:rPr>
              <w:t>Gillian Jean</w:t>
            </w:r>
            <w:r w:rsidR="00B77CAD">
              <w:rPr>
                <w:rFonts w:ascii="Garamond" w:hAnsi="Garamond"/>
                <w:lang w:val="en-AU"/>
              </w:rPr>
              <w:t>)</w:t>
            </w:r>
          </w:p>
          <w:p w:rsidR="00D65371" w:rsidRPr="00B77CAD" w:rsidRDefault="00D65371" w:rsidP="00D65371">
            <w:pPr>
              <w:pStyle w:val="ListParagraph"/>
              <w:numPr>
                <w:ilvl w:val="0"/>
                <w:numId w:val="40"/>
              </w:numPr>
              <w:rPr>
                <w:rFonts w:ascii="Garamond" w:hAnsi="Garamond"/>
                <w:lang w:val="en-AU"/>
              </w:rPr>
            </w:pPr>
            <w:r w:rsidRPr="00B77CAD">
              <w:rPr>
                <w:rFonts w:ascii="Garamond" w:hAnsi="Garamond"/>
                <w:lang w:val="en-AU"/>
              </w:rPr>
              <w:t xml:space="preserve">Centralisation of </w:t>
            </w:r>
            <w:r w:rsidRPr="00B77CAD">
              <w:rPr>
                <w:rFonts w:ascii="Garamond" w:hAnsi="Garamond"/>
                <w:b/>
                <w:lang w:val="en-AU"/>
              </w:rPr>
              <w:t>oesophagectomy</w:t>
            </w:r>
            <w:r w:rsidRPr="00B77CAD">
              <w:rPr>
                <w:rFonts w:ascii="Garamond" w:hAnsi="Garamond"/>
                <w:lang w:val="en-AU"/>
              </w:rPr>
              <w:t xml:space="preserve"> in Australia: is only caseload critical?</w:t>
            </w:r>
            <w:r w:rsidR="00B77CAD" w:rsidRPr="00B77CAD">
              <w:rPr>
                <w:rFonts w:ascii="Garamond" w:hAnsi="Garamond"/>
                <w:lang w:val="en-AU"/>
              </w:rPr>
              <w:t xml:space="preserve"> (</w:t>
            </w:r>
            <w:r w:rsidRPr="00B77CAD">
              <w:rPr>
                <w:rFonts w:ascii="Garamond" w:hAnsi="Garamond"/>
                <w:lang w:val="en-AU"/>
              </w:rPr>
              <w:t>Richard Hummel, Ngoc Hoang Ha, Andrew Lord, Markus I Trochsler, Guy Maddern and Harsh Kanhere</w:t>
            </w:r>
            <w:r w:rsidR="00B77CAD">
              <w:rPr>
                <w:rFonts w:ascii="Garamond" w:hAnsi="Garamond"/>
                <w:lang w:val="en-AU"/>
              </w:rPr>
              <w:t>)</w:t>
            </w:r>
          </w:p>
          <w:p w:rsidR="00D65371" w:rsidRPr="00B77CAD" w:rsidRDefault="00D65371" w:rsidP="00D65371">
            <w:pPr>
              <w:pStyle w:val="ListParagraph"/>
              <w:numPr>
                <w:ilvl w:val="0"/>
                <w:numId w:val="40"/>
              </w:numPr>
              <w:rPr>
                <w:rFonts w:ascii="Garamond" w:hAnsi="Garamond"/>
                <w:lang w:val="en-AU"/>
              </w:rPr>
            </w:pPr>
            <w:r w:rsidRPr="00B77CAD">
              <w:rPr>
                <w:rFonts w:ascii="Garamond" w:hAnsi="Garamond"/>
                <w:b/>
                <w:lang w:val="en-AU"/>
              </w:rPr>
              <w:t>Emergency department referral</w:t>
            </w:r>
            <w:r w:rsidRPr="00B77CAD">
              <w:rPr>
                <w:rFonts w:ascii="Garamond" w:hAnsi="Garamond"/>
                <w:lang w:val="en-AU"/>
              </w:rPr>
              <w:t xml:space="preserve"> patterns of Australian general practitioner registrars: a cross-sectional analysis of prevalence, nature and associations</w:t>
            </w:r>
            <w:r w:rsidR="00B77CAD" w:rsidRPr="00B77CAD">
              <w:rPr>
                <w:rFonts w:ascii="Garamond" w:hAnsi="Garamond"/>
                <w:lang w:val="en-AU"/>
              </w:rPr>
              <w:t xml:space="preserve"> (</w:t>
            </w:r>
            <w:r w:rsidRPr="00B77CAD">
              <w:rPr>
                <w:rFonts w:ascii="Garamond" w:hAnsi="Garamond"/>
                <w:lang w:val="en-AU"/>
              </w:rPr>
              <w:t>Nigel Catzikiris, Amanda Tapley, Simon Morgan, Mieke van Driel, Neil Spike, Elizabeth G. Holliday, Jean Ball, Kim Henderson, L McArthur and P Magin</w:t>
            </w:r>
            <w:r w:rsidR="00B77CAD">
              <w:rPr>
                <w:rFonts w:ascii="Garamond" w:hAnsi="Garamond"/>
                <w:lang w:val="en-AU"/>
              </w:rPr>
              <w:t>)</w:t>
            </w:r>
          </w:p>
          <w:p w:rsidR="00D65371" w:rsidRPr="00B77CAD" w:rsidRDefault="00D65371" w:rsidP="00D65371">
            <w:pPr>
              <w:pStyle w:val="ListParagraph"/>
              <w:numPr>
                <w:ilvl w:val="0"/>
                <w:numId w:val="40"/>
              </w:numPr>
              <w:rPr>
                <w:rFonts w:ascii="Garamond" w:hAnsi="Garamond"/>
                <w:lang w:val="en-AU"/>
              </w:rPr>
            </w:pPr>
            <w:r w:rsidRPr="00B77CAD">
              <w:rPr>
                <w:rFonts w:ascii="Garamond" w:hAnsi="Garamond"/>
                <w:lang w:val="en-AU"/>
              </w:rPr>
              <w:t xml:space="preserve">Implementing a </w:t>
            </w:r>
            <w:r w:rsidRPr="00B77CAD">
              <w:rPr>
                <w:rFonts w:ascii="Garamond" w:hAnsi="Garamond"/>
                <w:b/>
                <w:lang w:val="en-AU"/>
              </w:rPr>
              <w:t>6-day physiotherapy service in rehabilitation</w:t>
            </w:r>
            <w:r w:rsidRPr="00B77CAD">
              <w:rPr>
                <w:rFonts w:ascii="Garamond" w:hAnsi="Garamond"/>
                <w:lang w:val="en-AU"/>
              </w:rPr>
              <w:t>: exploring staff perceptions</w:t>
            </w:r>
            <w:r w:rsidR="00B77CAD" w:rsidRPr="00B77CAD">
              <w:rPr>
                <w:rFonts w:ascii="Garamond" w:hAnsi="Garamond"/>
                <w:lang w:val="en-AU"/>
              </w:rPr>
              <w:t xml:space="preserve"> (</w:t>
            </w:r>
            <w:r w:rsidRPr="00B77CAD">
              <w:rPr>
                <w:rFonts w:ascii="Garamond" w:hAnsi="Garamond"/>
                <w:lang w:val="en-AU"/>
              </w:rPr>
              <w:t>Erin L Caruana, Suzanne S Kuys, J Clarke and S G Brauer</w:t>
            </w:r>
            <w:r w:rsidR="00B77CAD">
              <w:rPr>
                <w:rFonts w:ascii="Garamond" w:hAnsi="Garamond"/>
                <w:lang w:val="en-AU"/>
              </w:rPr>
              <w:t>)</w:t>
            </w:r>
          </w:p>
          <w:p w:rsidR="00D65371" w:rsidRPr="00B77CAD" w:rsidRDefault="00D65371" w:rsidP="00D65371">
            <w:pPr>
              <w:pStyle w:val="ListParagraph"/>
              <w:numPr>
                <w:ilvl w:val="0"/>
                <w:numId w:val="40"/>
              </w:numPr>
              <w:rPr>
                <w:rFonts w:ascii="Garamond" w:hAnsi="Garamond"/>
                <w:lang w:val="en-AU"/>
              </w:rPr>
            </w:pPr>
            <w:r w:rsidRPr="00B77CAD">
              <w:rPr>
                <w:rFonts w:ascii="Garamond" w:hAnsi="Garamond"/>
                <w:lang w:val="en-AU"/>
              </w:rPr>
              <w:t xml:space="preserve">Financial costs associated with </w:t>
            </w:r>
            <w:r w:rsidRPr="00B77CAD">
              <w:rPr>
                <w:rFonts w:ascii="Garamond" w:hAnsi="Garamond"/>
                <w:b/>
                <w:lang w:val="en-AU"/>
              </w:rPr>
              <w:t>monopolies on biologic medicines</w:t>
            </w:r>
            <w:r w:rsidRPr="00B77CAD">
              <w:rPr>
                <w:rFonts w:ascii="Garamond" w:hAnsi="Garamond"/>
                <w:lang w:val="en-AU"/>
              </w:rPr>
              <w:t xml:space="preserve"> in Australia</w:t>
            </w:r>
            <w:r w:rsidR="00B77CAD" w:rsidRPr="00B77CAD">
              <w:rPr>
                <w:rFonts w:ascii="Garamond" w:hAnsi="Garamond"/>
                <w:lang w:val="en-AU"/>
              </w:rPr>
              <w:t xml:space="preserve"> (</w:t>
            </w:r>
            <w:r w:rsidRPr="00B77CAD">
              <w:rPr>
                <w:rFonts w:ascii="Garamond" w:hAnsi="Garamond"/>
                <w:lang w:val="en-AU"/>
              </w:rPr>
              <w:t>Deborah Gleeson, B Townsend, R Lopert, J Lexchin and H Moir</w:t>
            </w:r>
            <w:r w:rsidR="00B77CAD">
              <w:rPr>
                <w:rFonts w:ascii="Garamond" w:hAnsi="Garamond"/>
                <w:lang w:val="en-AU"/>
              </w:rPr>
              <w:t>)</w:t>
            </w:r>
          </w:p>
          <w:p w:rsidR="00D65371" w:rsidRPr="00B77CAD" w:rsidRDefault="00D65371" w:rsidP="00D65371">
            <w:pPr>
              <w:pStyle w:val="ListParagraph"/>
              <w:numPr>
                <w:ilvl w:val="0"/>
                <w:numId w:val="40"/>
              </w:numPr>
              <w:rPr>
                <w:rFonts w:ascii="Garamond" w:hAnsi="Garamond"/>
                <w:lang w:val="en-AU"/>
              </w:rPr>
            </w:pPr>
            <w:r w:rsidRPr="00B77CAD">
              <w:rPr>
                <w:rFonts w:ascii="Garamond" w:hAnsi="Garamond"/>
                <w:lang w:val="en-AU"/>
              </w:rPr>
              <w:t xml:space="preserve">A review of the </w:t>
            </w:r>
            <w:r w:rsidRPr="00B77CAD">
              <w:rPr>
                <w:rFonts w:ascii="Garamond" w:hAnsi="Garamond"/>
                <w:b/>
                <w:lang w:val="en-AU"/>
              </w:rPr>
              <w:t>economic impact of mental illness</w:t>
            </w:r>
            <w:r w:rsidR="00B77CAD" w:rsidRPr="00B77CAD">
              <w:rPr>
                <w:rFonts w:ascii="Garamond" w:hAnsi="Garamond"/>
                <w:lang w:val="en-AU"/>
              </w:rPr>
              <w:t xml:space="preserve"> (</w:t>
            </w:r>
            <w:r w:rsidRPr="00B77CAD">
              <w:rPr>
                <w:rFonts w:ascii="Garamond" w:hAnsi="Garamond"/>
                <w:lang w:val="en-AU"/>
              </w:rPr>
              <w:t>Christopher M Doran and Irina Kinchin</w:t>
            </w:r>
            <w:r w:rsidR="00B77CAD">
              <w:rPr>
                <w:rFonts w:ascii="Garamond" w:hAnsi="Garamond"/>
                <w:lang w:val="en-AU"/>
              </w:rPr>
              <w:t>)</w:t>
            </w:r>
          </w:p>
          <w:p w:rsidR="00D65371" w:rsidRPr="00B77CAD" w:rsidRDefault="00D65371" w:rsidP="00D65371">
            <w:pPr>
              <w:pStyle w:val="ListParagraph"/>
              <w:numPr>
                <w:ilvl w:val="0"/>
                <w:numId w:val="40"/>
              </w:numPr>
              <w:rPr>
                <w:rFonts w:ascii="Garamond" w:hAnsi="Garamond"/>
                <w:lang w:val="en-AU"/>
              </w:rPr>
            </w:pPr>
            <w:r w:rsidRPr="00B77CAD">
              <w:rPr>
                <w:rFonts w:ascii="Garamond" w:hAnsi="Garamond"/>
                <w:b/>
                <w:lang w:val="en-AU"/>
              </w:rPr>
              <w:t xml:space="preserve">Workplace injuries </w:t>
            </w:r>
            <w:r w:rsidRPr="00B77CAD">
              <w:rPr>
                <w:rFonts w:ascii="Garamond" w:hAnsi="Garamond"/>
                <w:lang w:val="en-AU"/>
              </w:rPr>
              <w:t xml:space="preserve">in the Australian </w:t>
            </w:r>
            <w:r w:rsidRPr="00B77CAD">
              <w:rPr>
                <w:rFonts w:ascii="Garamond" w:hAnsi="Garamond"/>
                <w:b/>
                <w:lang w:val="en-AU"/>
              </w:rPr>
              <w:t>allied health</w:t>
            </w:r>
            <w:r w:rsidRPr="00B77CAD">
              <w:rPr>
                <w:rFonts w:ascii="Garamond" w:hAnsi="Garamond"/>
                <w:lang w:val="en-AU"/>
              </w:rPr>
              <w:t xml:space="preserve"> workforce</w:t>
            </w:r>
            <w:r w:rsidR="00B77CAD" w:rsidRPr="00B77CAD">
              <w:rPr>
                <w:rFonts w:ascii="Garamond" w:hAnsi="Garamond"/>
                <w:lang w:val="en-AU"/>
              </w:rPr>
              <w:t xml:space="preserve"> (</w:t>
            </w:r>
            <w:r w:rsidRPr="00B77CAD">
              <w:rPr>
                <w:rFonts w:ascii="Garamond" w:hAnsi="Garamond"/>
                <w:lang w:val="en-AU"/>
              </w:rPr>
              <w:t>Sarah Anderson, Rwth Stuckey, Lauren V Fortington and Jodi Oakman</w:t>
            </w:r>
            <w:r w:rsidR="00B77CAD">
              <w:rPr>
                <w:rFonts w:ascii="Garamond" w:hAnsi="Garamond"/>
                <w:lang w:val="en-AU"/>
              </w:rPr>
              <w:t>)</w:t>
            </w:r>
          </w:p>
          <w:p w:rsidR="00D65371" w:rsidRPr="00B77CAD" w:rsidRDefault="00D65371" w:rsidP="00D65371">
            <w:pPr>
              <w:pStyle w:val="ListParagraph"/>
              <w:numPr>
                <w:ilvl w:val="0"/>
                <w:numId w:val="40"/>
              </w:numPr>
              <w:rPr>
                <w:rFonts w:ascii="Garamond" w:hAnsi="Garamond"/>
                <w:lang w:val="en-AU"/>
              </w:rPr>
            </w:pPr>
            <w:r w:rsidRPr="00B77CAD">
              <w:rPr>
                <w:rFonts w:ascii="Garamond" w:hAnsi="Garamond"/>
                <w:b/>
                <w:lang w:val="en-AU"/>
              </w:rPr>
              <w:t>Privately practising nurse practitioners'</w:t>
            </w:r>
            <w:r w:rsidRPr="00B77CAD">
              <w:rPr>
                <w:rFonts w:ascii="Garamond" w:hAnsi="Garamond"/>
                <w:lang w:val="en-AU"/>
              </w:rPr>
              <w:t xml:space="preserve"> provision of care subsidised through the Medicare Benefits Schedule and the Pharmaceutical Benefits Scheme in Australia: results from a national survey</w:t>
            </w:r>
            <w:r w:rsidR="00B77CAD" w:rsidRPr="00B77CAD">
              <w:rPr>
                <w:rFonts w:ascii="Garamond" w:hAnsi="Garamond"/>
                <w:lang w:val="en-AU"/>
              </w:rPr>
              <w:t xml:space="preserve"> (</w:t>
            </w:r>
            <w:r w:rsidRPr="00B77CAD">
              <w:rPr>
                <w:rFonts w:ascii="Garamond" w:hAnsi="Garamond"/>
                <w:lang w:val="en-AU"/>
              </w:rPr>
              <w:t>Jane Currie, Mary Chiarella and Thomas Buckley</w:t>
            </w:r>
            <w:r w:rsidR="00B77CAD">
              <w:rPr>
                <w:rFonts w:ascii="Garamond" w:hAnsi="Garamond"/>
                <w:lang w:val="en-AU"/>
              </w:rPr>
              <w:t>)</w:t>
            </w:r>
          </w:p>
          <w:p w:rsidR="00D65371" w:rsidRPr="00B77CAD" w:rsidRDefault="00D65371" w:rsidP="00D65371">
            <w:pPr>
              <w:pStyle w:val="ListParagraph"/>
              <w:numPr>
                <w:ilvl w:val="0"/>
                <w:numId w:val="40"/>
              </w:numPr>
              <w:rPr>
                <w:rFonts w:ascii="Garamond" w:hAnsi="Garamond"/>
                <w:lang w:val="en-AU"/>
              </w:rPr>
            </w:pPr>
            <w:r w:rsidRPr="00B77CAD">
              <w:rPr>
                <w:rFonts w:ascii="Garamond" w:hAnsi="Garamond"/>
                <w:b/>
                <w:lang w:val="en-AU"/>
              </w:rPr>
              <w:t>Health service use</w:t>
            </w:r>
            <w:r w:rsidRPr="00B77CAD">
              <w:rPr>
                <w:rFonts w:ascii="Garamond" w:hAnsi="Garamond"/>
                <w:lang w:val="en-AU"/>
              </w:rPr>
              <w:t xml:space="preserve"> in the older person with </w:t>
            </w:r>
            <w:r w:rsidRPr="00B77CAD">
              <w:rPr>
                <w:rFonts w:ascii="Garamond" w:hAnsi="Garamond"/>
                <w:b/>
                <w:lang w:val="en-AU"/>
              </w:rPr>
              <w:t>complex health needs</w:t>
            </w:r>
            <w:r w:rsidR="00B77CAD" w:rsidRPr="00B77CAD">
              <w:rPr>
                <w:rFonts w:ascii="Garamond" w:hAnsi="Garamond"/>
                <w:lang w:val="en-AU"/>
              </w:rPr>
              <w:t xml:space="preserve"> (</w:t>
            </w:r>
            <w:r w:rsidRPr="00B77CAD">
              <w:rPr>
                <w:rFonts w:ascii="Garamond" w:hAnsi="Garamond"/>
                <w:lang w:val="en-AU"/>
              </w:rPr>
              <w:t>Mark Bartlett, Joanna Wang, Liz Hay and Glen Pang</w:t>
            </w:r>
            <w:r w:rsidR="00B77CAD">
              <w:rPr>
                <w:rFonts w:ascii="Garamond" w:hAnsi="Garamond"/>
                <w:lang w:val="en-AU"/>
              </w:rPr>
              <w:t>)</w:t>
            </w:r>
          </w:p>
          <w:p w:rsidR="00D65371" w:rsidRPr="00B77CAD" w:rsidRDefault="00D65371" w:rsidP="00D65371">
            <w:pPr>
              <w:pStyle w:val="ListParagraph"/>
              <w:numPr>
                <w:ilvl w:val="0"/>
                <w:numId w:val="40"/>
              </w:numPr>
              <w:rPr>
                <w:rFonts w:ascii="Garamond" w:hAnsi="Garamond"/>
                <w:lang w:val="en-AU"/>
              </w:rPr>
            </w:pPr>
            <w:r w:rsidRPr="00B77CAD">
              <w:rPr>
                <w:rFonts w:ascii="Garamond" w:hAnsi="Garamond"/>
                <w:lang w:val="en-AU"/>
              </w:rPr>
              <w:lastRenderedPageBreak/>
              <w:t xml:space="preserve">Effect of an ageing population on </w:t>
            </w:r>
            <w:r w:rsidRPr="00B77CAD">
              <w:rPr>
                <w:rFonts w:ascii="Garamond" w:hAnsi="Garamond"/>
                <w:b/>
                <w:lang w:val="en-AU"/>
              </w:rPr>
              <w:t>services for the elderly in the Northern Territory</w:t>
            </w:r>
            <w:r w:rsidR="00B77CAD" w:rsidRPr="00B77CAD">
              <w:rPr>
                <w:rFonts w:ascii="Garamond" w:hAnsi="Garamond"/>
                <w:lang w:val="en-AU"/>
              </w:rPr>
              <w:t xml:space="preserve"> (</w:t>
            </w:r>
            <w:r w:rsidRPr="00B77CAD">
              <w:rPr>
                <w:rFonts w:ascii="Garamond" w:hAnsi="Garamond"/>
                <w:lang w:val="en-AU"/>
              </w:rPr>
              <w:t>Michael Lowe and Pasqualina Coffey</w:t>
            </w:r>
            <w:r w:rsidR="00B77CAD">
              <w:rPr>
                <w:rFonts w:ascii="Garamond" w:hAnsi="Garamond"/>
                <w:lang w:val="en-AU"/>
              </w:rPr>
              <w:t>)</w:t>
            </w:r>
          </w:p>
          <w:p w:rsidR="00D65371" w:rsidRPr="00B77CAD" w:rsidRDefault="00D65371" w:rsidP="00D65371">
            <w:pPr>
              <w:pStyle w:val="ListParagraph"/>
              <w:numPr>
                <w:ilvl w:val="0"/>
                <w:numId w:val="40"/>
              </w:numPr>
              <w:rPr>
                <w:rFonts w:ascii="Garamond" w:hAnsi="Garamond"/>
                <w:lang w:val="en-AU"/>
              </w:rPr>
            </w:pPr>
            <w:r w:rsidRPr="00B77CAD">
              <w:rPr>
                <w:rFonts w:ascii="Garamond" w:hAnsi="Garamond"/>
                <w:lang w:val="en-AU"/>
              </w:rPr>
              <w:t xml:space="preserve">Aging in Australia: country of birth and </w:t>
            </w:r>
            <w:r w:rsidRPr="00B77CAD">
              <w:rPr>
                <w:rFonts w:ascii="Garamond" w:hAnsi="Garamond"/>
                <w:b/>
                <w:lang w:val="en-AU"/>
              </w:rPr>
              <w:t>language preferences of residents in aged care facilities</w:t>
            </w:r>
            <w:r w:rsidR="00B77CAD" w:rsidRPr="00B77CAD">
              <w:rPr>
                <w:rFonts w:ascii="Garamond" w:hAnsi="Garamond"/>
                <w:lang w:val="en-AU"/>
              </w:rPr>
              <w:t xml:space="preserve"> (</w:t>
            </w:r>
            <w:r w:rsidRPr="00B77CAD">
              <w:rPr>
                <w:rFonts w:ascii="Garamond" w:hAnsi="Garamond"/>
                <w:lang w:val="en-AU"/>
              </w:rPr>
              <w:t>Ljubica Petrov, C Joyce and T Gucciardo-Masci</w:t>
            </w:r>
            <w:r w:rsidR="00B77CAD">
              <w:rPr>
                <w:rFonts w:ascii="Garamond" w:hAnsi="Garamond"/>
                <w:lang w:val="en-AU"/>
              </w:rPr>
              <w:t>)</w:t>
            </w:r>
          </w:p>
          <w:p w:rsidR="00D65371" w:rsidRPr="00B77CAD" w:rsidRDefault="00D65371" w:rsidP="00D65371">
            <w:pPr>
              <w:pStyle w:val="ListParagraph"/>
              <w:numPr>
                <w:ilvl w:val="0"/>
                <w:numId w:val="40"/>
              </w:numPr>
              <w:rPr>
                <w:rFonts w:ascii="Garamond" w:hAnsi="Garamond"/>
                <w:lang w:val="en-AU"/>
              </w:rPr>
            </w:pPr>
            <w:r w:rsidRPr="00B77CAD">
              <w:rPr>
                <w:rFonts w:ascii="Garamond" w:hAnsi="Garamond"/>
                <w:lang w:val="en-AU"/>
              </w:rPr>
              <w:t xml:space="preserve">Cross-sectional study of area-level </w:t>
            </w:r>
            <w:r w:rsidRPr="00B77CAD">
              <w:rPr>
                <w:rFonts w:ascii="Garamond" w:hAnsi="Garamond"/>
                <w:b/>
                <w:lang w:val="en-AU"/>
              </w:rPr>
              <w:t>disadvantage and glycaemic-related risk</w:t>
            </w:r>
            <w:r w:rsidRPr="00B77CAD">
              <w:rPr>
                <w:rFonts w:ascii="Garamond" w:hAnsi="Garamond"/>
                <w:lang w:val="en-AU"/>
              </w:rPr>
              <w:t xml:space="preserve"> in community health service users in the </w:t>
            </w:r>
            <w:r w:rsidR="00FB0115">
              <w:rPr>
                <w:rFonts w:ascii="Garamond" w:hAnsi="Garamond"/>
                <w:lang w:val="en-AU"/>
              </w:rPr>
              <w:t xml:space="preserve">Southern </w:t>
            </w:r>
            <w:r w:rsidR="00FB0115" w:rsidRPr="00B77CAD">
              <w:rPr>
                <w:rFonts w:ascii="Garamond" w:hAnsi="Garamond"/>
                <w:lang w:val="en-AU"/>
              </w:rPr>
              <w:t>IML</w:t>
            </w:r>
            <w:r w:rsidRPr="00B77CAD">
              <w:rPr>
                <w:rFonts w:ascii="Garamond" w:hAnsi="Garamond"/>
                <w:lang w:val="en-AU"/>
              </w:rPr>
              <w:t xml:space="preserve"> Research (SIMLR) cohort</w:t>
            </w:r>
            <w:r w:rsidR="00B77CAD" w:rsidRPr="00B77CAD">
              <w:rPr>
                <w:rFonts w:ascii="Garamond" w:hAnsi="Garamond"/>
                <w:lang w:val="en-AU"/>
              </w:rPr>
              <w:t xml:space="preserve"> (</w:t>
            </w:r>
            <w:r w:rsidRPr="00B77CAD">
              <w:rPr>
                <w:rFonts w:ascii="Garamond" w:hAnsi="Garamond"/>
                <w:lang w:val="en-AU"/>
              </w:rPr>
              <w:t>Roger Cross, Andrew Bonney, Darren J Mayne and K M Weston</w:t>
            </w:r>
            <w:r w:rsidR="00B77CAD">
              <w:rPr>
                <w:rFonts w:ascii="Garamond" w:hAnsi="Garamond"/>
                <w:lang w:val="en-AU"/>
              </w:rPr>
              <w:t>)</w:t>
            </w:r>
          </w:p>
          <w:p w:rsidR="00D65371" w:rsidRPr="00B77CAD" w:rsidRDefault="00D65371" w:rsidP="00D65371">
            <w:pPr>
              <w:pStyle w:val="ListParagraph"/>
              <w:numPr>
                <w:ilvl w:val="0"/>
                <w:numId w:val="40"/>
              </w:numPr>
              <w:rPr>
                <w:rFonts w:ascii="Garamond" w:hAnsi="Garamond"/>
                <w:lang w:val="en-AU"/>
              </w:rPr>
            </w:pPr>
            <w:r w:rsidRPr="00B77CAD">
              <w:rPr>
                <w:rFonts w:ascii="Garamond" w:hAnsi="Garamond"/>
                <w:lang w:val="en-AU"/>
              </w:rPr>
              <w:t xml:space="preserve">General practitioner and registrar involvement in </w:t>
            </w:r>
            <w:r w:rsidRPr="00B77CAD">
              <w:rPr>
                <w:rFonts w:ascii="Garamond" w:hAnsi="Garamond"/>
                <w:b/>
                <w:lang w:val="en-AU"/>
              </w:rPr>
              <w:t>refugee health</w:t>
            </w:r>
            <w:r w:rsidRPr="00B77CAD">
              <w:rPr>
                <w:rFonts w:ascii="Garamond" w:hAnsi="Garamond"/>
                <w:lang w:val="en-AU"/>
              </w:rPr>
              <w:t>: exploring needs and perceptions</w:t>
            </w:r>
            <w:r w:rsidR="00B77CAD" w:rsidRPr="00B77CAD">
              <w:rPr>
                <w:rFonts w:ascii="Garamond" w:hAnsi="Garamond"/>
                <w:lang w:val="en-AU"/>
              </w:rPr>
              <w:t xml:space="preserve"> (</w:t>
            </w:r>
            <w:r w:rsidRPr="00B77CAD">
              <w:rPr>
                <w:rFonts w:ascii="Garamond" w:hAnsi="Garamond"/>
                <w:lang w:val="en-AU"/>
              </w:rPr>
              <w:t>Catherine Harding, A Seal, G Duncan and A Gilmour</w:t>
            </w:r>
            <w:r w:rsidR="00B77CAD">
              <w:rPr>
                <w:rFonts w:ascii="Garamond" w:hAnsi="Garamond"/>
                <w:lang w:val="en-AU"/>
              </w:rPr>
              <w:t>)</w:t>
            </w:r>
          </w:p>
          <w:p w:rsidR="00D65371" w:rsidRPr="00B77CAD" w:rsidRDefault="00D65371" w:rsidP="00D65371">
            <w:pPr>
              <w:pStyle w:val="ListParagraph"/>
              <w:numPr>
                <w:ilvl w:val="0"/>
                <w:numId w:val="40"/>
              </w:numPr>
              <w:rPr>
                <w:rFonts w:ascii="Garamond" w:hAnsi="Garamond"/>
                <w:lang w:val="en-AU"/>
              </w:rPr>
            </w:pPr>
            <w:r w:rsidRPr="00B77CAD">
              <w:rPr>
                <w:rFonts w:ascii="Garamond" w:hAnsi="Garamond"/>
                <w:b/>
                <w:lang w:val="en-AU"/>
              </w:rPr>
              <w:t>Motivating the workforce</w:t>
            </w:r>
            <w:r w:rsidRPr="00B77CAD">
              <w:rPr>
                <w:rFonts w:ascii="Garamond" w:hAnsi="Garamond"/>
                <w:lang w:val="en-AU"/>
              </w:rPr>
              <w:t>: beyond the ‘two-factor' model</w:t>
            </w:r>
            <w:r w:rsidR="00B77CAD" w:rsidRPr="00B77CAD">
              <w:rPr>
                <w:rFonts w:ascii="Garamond" w:hAnsi="Garamond"/>
                <w:lang w:val="en-AU"/>
              </w:rPr>
              <w:t xml:space="preserve"> (</w:t>
            </w:r>
            <w:r w:rsidRPr="00B77CAD">
              <w:rPr>
                <w:rFonts w:ascii="Garamond" w:hAnsi="Garamond"/>
                <w:lang w:val="en-AU"/>
              </w:rPr>
              <w:t>E A Shannon</w:t>
            </w:r>
            <w:r w:rsidR="00B77CAD">
              <w:rPr>
                <w:rFonts w:ascii="Garamond" w:hAnsi="Garamond"/>
                <w:lang w:val="en-AU"/>
              </w:rPr>
              <w:t>)</w:t>
            </w:r>
          </w:p>
          <w:p w:rsidR="00D65371" w:rsidRPr="00B77CAD" w:rsidRDefault="00D65371" w:rsidP="00D65371">
            <w:pPr>
              <w:pStyle w:val="ListParagraph"/>
              <w:numPr>
                <w:ilvl w:val="0"/>
                <w:numId w:val="40"/>
              </w:numPr>
              <w:rPr>
                <w:rFonts w:ascii="Garamond" w:hAnsi="Garamond"/>
                <w:lang w:val="en-AU"/>
              </w:rPr>
            </w:pPr>
            <w:r w:rsidRPr="00B77CAD">
              <w:rPr>
                <w:rFonts w:ascii="Garamond" w:hAnsi="Garamond"/>
                <w:lang w:val="en-AU"/>
              </w:rPr>
              <w:t xml:space="preserve">Human dimension of </w:t>
            </w:r>
            <w:r w:rsidRPr="00B77CAD">
              <w:rPr>
                <w:rFonts w:ascii="Garamond" w:hAnsi="Garamond"/>
                <w:b/>
                <w:lang w:val="en-AU"/>
              </w:rPr>
              <w:t>health service management</w:t>
            </w:r>
            <w:r w:rsidR="00B77CAD" w:rsidRPr="00B77CAD">
              <w:rPr>
                <w:rFonts w:ascii="Garamond" w:hAnsi="Garamond"/>
                <w:lang w:val="en-AU"/>
              </w:rPr>
              <w:t xml:space="preserve"> (</w:t>
            </w:r>
            <w:r w:rsidRPr="00B77CAD">
              <w:rPr>
                <w:rFonts w:ascii="Garamond" w:hAnsi="Garamond"/>
                <w:lang w:val="en-AU"/>
              </w:rPr>
              <w:t>Jo. M Martins, Godfrey Isouard and Brenda Freshman</w:t>
            </w:r>
            <w:r w:rsidR="00B77CAD">
              <w:rPr>
                <w:rFonts w:ascii="Garamond" w:hAnsi="Garamond"/>
                <w:lang w:val="en-AU"/>
              </w:rPr>
              <w:t>)</w:t>
            </w:r>
          </w:p>
          <w:p w:rsidR="007C3778" w:rsidRPr="007C3778" w:rsidRDefault="00D65371" w:rsidP="00B77CAD">
            <w:pPr>
              <w:pStyle w:val="ListParagraph"/>
              <w:numPr>
                <w:ilvl w:val="0"/>
                <w:numId w:val="40"/>
              </w:numPr>
              <w:rPr>
                <w:rFonts w:ascii="Garamond" w:hAnsi="Garamond"/>
                <w:lang w:val="en-AU"/>
              </w:rPr>
            </w:pPr>
            <w:r w:rsidRPr="00D65371">
              <w:rPr>
                <w:rFonts w:ascii="Garamond" w:hAnsi="Garamond"/>
                <w:lang w:val="en-AU"/>
              </w:rPr>
              <w:t xml:space="preserve">Review and analysis of the </w:t>
            </w:r>
            <w:r w:rsidRPr="00B77CAD">
              <w:rPr>
                <w:rFonts w:ascii="Garamond" w:hAnsi="Garamond"/>
                <w:b/>
                <w:lang w:val="en-AU"/>
              </w:rPr>
              <w:t>Mental Health Nurse Incentive Program</w:t>
            </w:r>
            <w:r w:rsidR="00B77CAD">
              <w:rPr>
                <w:rFonts w:ascii="Garamond" w:hAnsi="Garamond"/>
                <w:lang w:val="en-AU"/>
              </w:rPr>
              <w:t xml:space="preserve"> (</w:t>
            </w:r>
            <w:r w:rsidRPr="00D65371">
              <w:rPr>
                <w:rFonts w:ascii="Garamond" w:hAnsi="Garamond"/>
                <w:lang w:val="en-AU"/>
              </w:rPr>
              <w:t>Brenda Happell and Chris Platania-Phung</w:t>
            </w:r>
            <w:r w:rsidR="00B77CAD">
              <w:rPr>
                <w:rFonts w:ascii="Garamond" w:hAnsi="Garamond"/>
                <w:lang w:val="en-AU"/>
              </w:rPr>
              <w:t>)</w:t>
            </w:r>
          </w:p>
        </w:tc>
      </w:tr>
    </w:tbl>
    <w:p w:rsidR="007C3778" w:rsidRDefault="007C3778" w:rsidP="007C3778">
      <w:pPr>
        <w:keepNext/>
        <w:rPr>
          <w:rFonts w:ascii="Garamond" w:hAnsi="Garamond"/>
          <w:i/>
          <w:lang w:val="en-AU"/>
        </w:rPr>
      </w:pPr>
    </w:p>
    <w:p w:rsidR="001B08B1" w:rsidRPr="001B08B1" w:rsidRDefault="001B08B1" w:rsidP="001B08B1">
      <w:pPr>
        <w:keepNext/>
        <w:rPr>
          <w:rFonts w:ascii="Garamond" w:hAnsi="Garamond"/>
          <w:lang w:val="en-AU"/>
        </w:rPr>
      </w:pPr>
      <w:r>
        <w:rPr>
          <w:rFonts w:ascii="Garamond" w:hAnsi="Garamond"/>
          <w:i/>
          <w:lang w:val="en-AU"/>
        </w:rPr>
        <w:t>Healthcare Quarterly</w:t>
      </w:r>
      <w:r w:rsidRPr="001B08B1">
        <w:rPr>
          <w:rFonts w:ascii="Garamond" w:hAnsi="Garamond"/>
          <w:i/>
          <w:lang w:val="en-AU"/>
        </w:rPr>
        <w:cr/>
      </w:r>
      <w:r w:rsidRPr="001B08B1">
        <w:rPr>
          <w:rFonts w:ascii="Garamond" w:hAnsi="Garamond"/>
          <w:lang w:val="en-AU"/>
        </w:rPr>
        <w:t xml:space="preserve">Volume 21, Number 3 </w:t>
      </w:r>
    </w:p>
    <w:tbl>
      <w:tblPr>
        <w:tblStyle w:val="TableGrid"/>
        <w:tblW w:w="0" w:type="auto"/>
        <w:tblInd w:w="288" w:type="dxa"/>
        <w:tblLayout w:type="fixed"/>
        <w:tblLook w:val="01E0" w:firstRow="1" w:lastRow="1" w:firstColumn="1" w:lastColumn="1" w:noHBand="0" w:noVBand="0"/>
      </w:tblPr>
      <w:tblGrid>
        <w:gridCol w:w="1080"/>
        <w:gridCol w:w="8280"/>
      </w:tblGrid>
      <w:tr w:rsidR="001B08B1" w:rsidRPr="000170DA" w:rsidTr="00CA3D4A">
        <w:tc>
          <w:tcPr>
            <w:tcW w:w="1080" w:type="dxa"/>
            <w:tcBorders>
              <w:top w:val="single" w:sz="4" w:space="0" w:color="auto"/>
              <w:left w:val="single" w:sz="4" w:space="0" w:color="auto"/>
              <w:bottom w:val="single" w:sz="4" w:space="0" w:color="auto"/>
              <w:right w:val="single" w:sz="4" w:space="0" w:color="auto"/>
            </w:tcBorders>
            <w:vAlign w:val="center"/>
          </w:tcPr>
          <w:p w:rsidR="001B08B1" w:rsidRPr="000170DA" w:rsidRDefault="001B08B1" w:rsidP="00CA3D4A">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B08B1" w:rsidRPr="000170DA" w:rsidRDefault="00FB0115" w:rsidP="00CA3D4A">
            <w:pPr>
              <w:rPr>
                <w:rStyle w:val="Hyperlink"/>
                <w:rFonts w:ascii="Garamond" w:hAnsi="Garamond"/>
                <w:color w:val="auto"/>
                <w:u w:val="none"/>
                <w:lang w:val="en-AU"/>
              </w:rPr>
            </w:pPr>
            <w:hyperlink r:id="rId30" w:history="1">
              <w:r w:rsidR="001B08B1" w:rsidRPr="00BA64F9">
                <w:rPr>
                  <w:rStyle w:val="Hyperlink"/>
                  <w:rFonts w:ascii="Garamond" w:hAnsi="Garamond"/>
                  <w:lang w:val="en-AU"/>
                </w:rPr>
                <w:t>https://www.longwoods.com/publications/healthcare-quarterly/25696</w:t>
              </w:r>
            </w:hyperlink>
          </w:p>
        </w:tc>
      </w:tr>
      <w:tr w:rsidR="001B08B1" w:rsidRPr="007C3778" w:rsidTr="00CA3D4A">
        <w:tc>
          <w:tcPr>
            <w:tcW w:w="1080" w:type="dxa"/>
            <w:tcBorders>
              <w:top w:val="single" w:sz="4" w:space="0" w:color="auto"/>
              <w:left w:val="single" w:sz="4" w:space="0" w:color="auto"/>
              <w:bottom w:val="single" w:sz="4" w:space="0" w:color="auto"/>
              <w:right w:val="single" w:sz="4" w:space="0" w:color="auto"/>
            </w:tcBorders>
            <w:vAlign w:val="center"/>
          </w:tcPr>
          <w:p w:rsidR="001B08B1" w:rsidRPr="000170DA" w:rsidRDefault="001B08B1" w:rsidP="00CA3D4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B08B1" w:rsidRPr="00B440ED" w:rsidRDefault="001B08B1" w:rsidP="00CA3D4A">
            <w:pPr>
              <w:rPr>
                <w:rFonts w:ascii="Garamond" w:hAnsi="Garamond"/>
                <w:lang w:val="en-AU"/>
              </w:rPr>
            </w:pPr>
            <w:r w:rsidRPr="00B440ED">
              <w:rPr>
                <w:rFonts w:ascii="Garamond" w:hAnsi="Garamond"/>
                <w:lang w:val="en-AU"/>
              </w:rPr>
              <w:t xml:space="preserve">A new issue of </w:t>
            </w:r>
            <w:r>
              <w:rPr>
                <w:rFonts w:ascii="Garamond" w:hAnsi="Garamond"/>
                <w:i/>
                <w:lang w:val="en-AU"/>
              </w:rPr>
              <w:t>Healthcare Quarterly</w:t>
            </w:r>
            <w:r w:rsidRPr="00B440ED">
              <w:rPr>
                <w:rFonts w:ascii="Garamond" w:hAnsi="Garamond"/>
                <w:lang w:val="en-AU"/>
              </w:rPr>
              <w:t xml:space="preserve"> has been published</w:t>
            </w:r>
            <w:r w:rsidR="001A24E2">
              <w:rPr>
                <w:rFonts w:ascii="Garamond" w:hAnsi="Garamond"/>
                <w:lang w:val="en-AU"/>
              </w:rPr>
              <w:t xml:space="preserve">, with a focus on </w:t>
            </w:r>
            <w:r w:rsidR="001A24E2" w:rsidRPr="001A24E2">
              <w:rPr>
                <w:rFonts w:ascii="Garamond" w:hAnsi="Garamond"/>
                <w:lang w:val="en-AU"/>
              </w:rPr>
              <w:t>supply chain management</w:t>
            </w:r>
            <w:r w:rsidRPr="00B440ED">
              <w:rPr>
                <w:rFonts w:ascii="Garamond" w:hAnsi="Garamond"/>
                <w:lang w:val="en-AU"/>
              </w:rPr>
              <w:t xml:space="preserve">. Articles in this issue of </w:t>
            </w:r>
            <w:r>
              <w:rPr>
                <w:rFonts w:ascii="Garamond" w:hAnsi="Garamond"/>
                <w:i/>
                <w:lang w:val="en-AU"/>
              </w:rPr>
              <w:t>Healthcare Quarterly</w:t>
            </w:r>
            <w:r w:rsidRPr="00B440ED">
              <w:rPr>
                <w:rFonts w:ascii="Garamond" w:hAnsi="Garamond"/>
                <w:lang w:val="en-AU"/>
              </w:rPr>
              <w:t xml:space="preserve"> include:</w:t>
            </w:r>
          </w:p>
          <w:p w:rsidR="001B08B1" w:rsidRPr="001B08B1" w:rsidRDefault="001B08B1" w:rsidP="001B08B1">
            <w:pPr>
              <w:pStyle w:val="ListParagraph"/>
              <w:numPr>
                <w:ilvl w:val="0"/>
                <w:numId w:val="40"/>
              </w:numPr>
              <w:rPr>
                <w:rFonts w:ascii="Garamond" w:hAnsi="Garamond"/>
                <w:lang w:val="en-AU"/>
              </w:rPr>
            </w:pPr>
            <w:r w:rsidRPr="001B08B1">
              <w:rPr>
                <w:rFonts w:ascii="Garamond" w:hAnsi="Garamond"/>
                <w:lang w:val="en-AU"/>
              </w:rPr>
              <w:t xml:space="preserve">A </w:t>
            </w:r>
            <w:r w:rsidRPr="001B08B1">
              <w:rPr>
                <w:rFonts w:ascii="Garamond" w:hAnsi="Garamond"/>
                <w:b/>
                <w:lang w:val="en-AU"/>
              </w:rPr>
              <w:t>Minister of Addictions</w:t>
            </w:r>
            <w:r w:rsidRPr="001B08B1">
              <w:rPr>
                <w:rFonts w:ascii="Garamond" w:hAnsi="Garamond"/>
                <w:lang w:val="en-AU"/>
              </w:rPr>
              <w:t xml:space="preserve"> for Canada (Neil Seeman</w:t>
            </w:r>
            <w:r>
              <w:rPr>
                <w:rFonts w:ascii="Garamond" w:hAnsi="Garamond"/>
                <w:lang w:val="en-AU"/>
              </w:rPr>
              <w:t>)</w:t>
            </w:r>
          </w:p>
          <w:p w:rsidR="001B08B1" w:rsidRPr="001B08B1" w:rsidRDefault="001B08B1" w:rsidP="001B08B1">
            <w:pPr>
              <w:pStyle w:val="ListParagraph"/>
              <w:numPr>
                <w:ilvl w:val="0"/>
                <w:numId w:val="40"/>
              </w:numPr>
              <w:rPr>
                <w:rFonts w:ascii="Garamond" w:hAnsi="Garamond"/>
                <w:lang w:val="en-AU"/>
              </w:rPr>
            </w:pPr>
            <w:r w:rsidRPr="001B08B1">
              <w:rPr>
                <w:rFonts w:ascii="Garamond" w:hAnsi="Garamond"/>
                <w:lang w:val="en-AU"/>
              </w:rPr>
              <w:t xml:space="preserve">Putting a Population Health Lens to </w:t>
            </w:r>
            <w:r w:rsidRPr="001B08B1">
              <w:rPr>
                <w:rFonts w:ascii="Garamond" w:hAnsi="Garamond"/>
                <w:b/>
                <w:lang w:val="en-AU"/>
              </w:rPr>
              <w:t>Multimorbidity</w:t>
            </w:r>
            <w:r w:rsidRPr="001B08B1">
              <w:rPr>
                <w:rFonts w:ascii="Garamond" w:hAnsi="Garamond"/>
                <w:lang w:val="en-AU"/>
              </w:rPr>
              <w:t xml:space="preserve"> in Ontario (Laura Rosella and Kathy Kornas</w:t>
            </w:r>
            <w:r>
              <w:rPr>
                <w:rFonts w:ascii="Garamond" w:hAnsi="Garamond"/>
                <w:lang w:val="en-AU"/>
              </w:rPr>
              <w:t>)</w:t>
            </w:r>
          </w:p>
          <w:p w:rsidR="001B08B1" w:rsidRPr="001B08B1" w:rsidRDefault="001B08B1" w:rsidP="001B08B1">
            <w:pPr>
              <w:pStyle w:val="ListParagraph"/>
              <w:numPr>
                <w:ilvl w:val="0"/>
                <w:numId w:val="40"/>
              </w:numPr>
              <w:rPr>
                <w:rFonts w:ascii="Garamond" w:hAnsi="Garamond"/>
                <w:lang w:val="en-AU"/>
              </w:rPr>
            </w:pPr>
            <w:r w:rsidRPr="001B08B1">
              <w:rPr>
                <w:rFonts w:ascii="Garamond" w:hAnsi="Garamond"/>
                <w:b/>
                <w:lang w:val="en-AU"/>
              </w:rPr>
              <w:t>Safety and Quality of Care for Seniors Living with Dementia</w:t>
            </w:r>
            <w:r w:rsidRPr="001B08B1">
              <w:rPr>
                <w:rFonts w:ascii="Garamond" w:hAnsi="Garamond"/>
                <w:lang w:val="en-AU"/>
              </w:rPr>
              <w:t xml:space="preserve"> (Alexey Dudevich, Liudmila Husak, Tracy Johnson and Allie Chen</w:t>
            </w:r>
            <w:r>
              <w:rPr>
                <w:rFonts w:ascii="Garamond" w:hAnsi="Garamond"/>
                <w:lang w:val="en-AU"/>
              </w:rPr>
              <w:t>)</w:t>
            </w:r>
          </w:p>
          <w:p w:rsidR="001B08B1" w:rsidRPr="001B08B1" w:rsidRDefault="001B08B1" w:rsidP="001B08B1">
            <w:pPr>
              <w:pStyle w:val="ListParagraph"/>
              <w:numPr>
                <w:ilvl w:val="0"/>
                <w:numId w:val="40"/>
              </w:numPr>
              <w:rPr>
                <w:rFonts w:ascii="Garamond" w:hAnsi="Garamond"/>
                <w:lang w:val="en-AU"/>
              </w:rPr>
            </w:pPr>
            <w:r w:rsidRPr="001B08B1">
              <w:rPr>
                <w:rFonts w:ascii="Garamond" w:hAnsi="Garamond"/>
                <w:b/>
                <w:lang w:val="en-AU"/>
              </w:rPr>
              <w:t>Clinically Integrated Supply Chain Infrastructure</w:t>
            </w:r>
            <w:r w:rsidRPr="001B08B1">
              <w:rPr>
                <w:rFonts w:ascii="Garamond" w:hAnsi="Garamond"/>
                <w:lang w:val="en-AU"/>
              </w:rPr>
              <w:t xml:space="preserve"> in Health Systems: The Opportunity to Improve Quality and Safety (Anne W Snowdon</w:t>
            </w:r>
            <w:r>
              <w:rPr>
                <w:rFonts w:ascii="Garamond" w:hAnsi="Garamond"/>
                <w:lang w:val="en-AU"/>
              </w:rPr>
              <w:t>)</w:t>
            </w:r>
          </w:p>
          <w:p w:rsidR="001B08B1" w:rsidRPr="001B08B1" w:rsidRDefault="001B08B1" w:rsidP="001B08B1">
            <w:pPr>
              <w:pStyle w:val="ListParagraph"/>
              <w:numPr>
                <w:ilvl w:val="0"/>
                <w:numId w:val="40"/>
              </w:numPr>
              <w:rPr>
                <w:rFonts w:ascii="Garamond" w:hAnsi="Garamond"/>
                <w:lang w:val="en-AU"/>
              </w:rPr>
            </w:pPr>
            <w:r w:rsidRPr="001B08B1">
              <w:rPr>
                <w:rFonts w:ascii="Garamond" w:hAnsi="Garamond"/>
                <w:lang w:val="en-AU"/>
              </w:rPr>
              <w:t xml:space="preserve">Case Study: </w:t>
            </w:r>
            <w:r w:rsidRPr="001B08B1">
              <w:rPr>
                <w:rFonts w:ascii="Garamond" w:hAnsi="Garamond"/>
                <w:b/>
                <w:lang w:val="en-AU"/>
              </w:rPr>
              <w:t>Supply Chain Transformation</w:t>
            </w:r>
            <w:r w:rsidRPr="001B08B1">
              <w:rPr>
                <w:rFonts w:ascii="Garamond" w:hAnsi="Garamond"/>
                <w:lang w:val="en-AU"/>
              </w:rPr>
              <w:t xml:space="preserve"> in the UK National Health Service (Anne W Snowdon and Alexandra Wright</w:t>
            </w:r>
            <w:r>
              <w:rPr>
                <w:rFonts w:ascii="Garamond" w:hAnsi="Garamond"/>
                <w:lang w:val="en-AU"/>
              </w:rPr>
              <w:t>)</w:t>
            </w:r>
          </w:p>
          <w:p w:rsidR="001B08B1" w:rsidRPr="00996DA8" w:rsidRDefault="001B08B1" w:rsidP="001B08B1">
            <w:pPr>
              <w:pStyle w:val="ListParagraph"/>
              <w:numPr>
                <w:ilvl w:val="0"/>
                <w:numId w:val="40"/>
              </w:numPr>
              <w:rPr>
                <w:rFonts w:ascii="Garamond" w:hAnsi="Garamond"/>
                <w:lang w:val="en-AU"/>
              </w:rPr>
            </w:pPr>
            <w:r w:rsidRPr="00996DA8">
              <w:rPr>
                <w:rFonts w:ascii="Garamond" w:hAnsi="Garamond"/>
                <w:lang w:val="en-AU"/>
              </w:rPr>
              <w:t xml:space="preserve">Case Study: </w:t>
            </w:r>
            <w:r w:rsidRPr="00996DA8">
              <w:rPr>
                <w:rFonts w:ascii="Garamond" w:hAnsi="Garamond"/>
                <w:b/>
                <w:lang w:val="en-AU"/>
              </w:rPr>
              <w:t>Supply Chain Transformation</w:t>
            </w:r>
            <w:r w:rsidR="00996DA8">
              <w:rPr>
                <w:rFonts w:ascii="Garamond" w:hAnsi="Garamond"/>
                <w:lang w:val="en-AU"/>
              </w:rPr>
              <w:t xml:space="preserve"> in the Mercy Health System</w:t>
            </w:r>
            <w:r w:rsidR="00996DA8" w:rsidRPr="00996DA8">
              <w:rPr>
                <w:rFonts w:ascii="Garamond" w:hAnsi="Garamond"/>
                <w:lang w:val="en-AU"/>
              </w:rPr>
              <w:t xml:space="preserve"> (</w:t>
            </w:r>
            <w:r w:rsidRPr="00996DA8">
              <w:rPr>
                <w:rFonts w:ascii="Garamond" w:hAnsi="Garamond"/>
                <w:lang w:val="en-AU"/>
              </w:rPr>
              <w:t>Anne W Snowdon and Betty Jo Rocchio</w:t>
            </w:r>
            <w:r w:rsidR="00996DA8">
              <w:rPr>
                <w:rFonts w:ascii="Garamond" w:hAnsi="Garamond"/>
                <w:lang w:val="en-AU"/>
              </w:rPr>
              <w:t>)</w:t>
            </w:r>
          </w:p>
          <w:p w:rsidR="001B08B1" w:rsidRPr="00996DA8" w:rsidRDefault="001B08B1" w:rsidP="001B08B1">
            <w:pPr>
              <w:pStyle w:val="ListParagraph"/>
              <w:numPr>
                <w:ilvl w:val="0"/>
                <w:numId w:val="40"/>
              </w:numPr>
              <w:rPr>
                <w:rFonts w:ascii="Garamond" w:hAnsi="Garamond"/>
                <w:lang w:val="en-AU"/>
              </w:rPr>
            </w:pPr>
            <w:r w:rsidRPr="00996DA8">
              <w:rPr>
                <w:rFonts w:ascii="Garamond" w:hAnsi="Garamond"/>
                <w:lang w:val="en-AU"/>
              </w:rPr>
              <w:t xml:space="preserve">Case Study: </w:t>
            </w:r>
            <w:r w:rsidRPr="00996DA8">
              <w:rPr>
                <w:rFonts w:ascii="Garamond" w:hAnsi="Garamond"/>
                <w:b/>
                <w:lang w:val="en-AU"/>
              </w:rPr>
              <w:t>Supply Chain Transformation</w:t>
            </w:r>
            <w:r w:rsidRPr="00996DA8">
              <w:rPr>
                <w:rFonts w:ascii="Garamond" w:hAnsi="Garamond"/>
                <w:lang w:val="en-AU"/>
              </w:rPr>
              <w:t xml:space="preserve"> in the Alberta Health Services </w:t>
            </w:r>
            <w:r w:rsidR="00996DA8" w:rsidRPr="00996DA8">
              <w:rPr>
                <w:rFonts w:ascii="Garamond" w:hAnsi="Garamond"/>
                <w:lang w:val="en-AU"/>
              </w:rPr>
              <w:t>(</w:t>
            </w:r>
            <w:r w:rsidRPr="00996DA8">
              <w:rPr>
                <w:rFonts w:ascii="Garamond" w:hAnsi="Garamond"/>
                <w:lang w:val="en-AU"/>
              </w:rPr>
              <w:t>Anne W Snowdon and Alexandra Wright</w:t>
            </w:r>
            <w:r w:rsidR="00996DA8">
              <w:rPr>
                <w:rFonts w:ascii="Garamond" w:hAnsi="Garamond"/>
                <w:lang w:val="en-AU"/>
              </w:rPr>
              <w:t>)</w:t>
            </w:r>
          </w:p>
          <w:p w:rsidR="001B08B1" w:rsidRPr="00996DA8" w:rsidRDefault="001B08B1" w:rsidP="001B08B1">
            <w:pPr>
              <w:pStyle w:val="ListParagraph"/>
              <w:numPr>
                <w:ilvl w:val="0"/>
                <w:numId w:val="40"/>
              </w:numPr>
              <w:rPr>
                <w:rFonts w:ascii="Garamond" w:hAnsi="Garamond"/>
                <w:lang w:val="en-AU"/>
              </w:rPr>
            </w:pPr>
            <w:r w:rsidRPr="00996DA8">
              <w:rPr>
                <w:rFonts w:ascii="Garamond" w:hAnsi="Garamond"/>
                <w:b/>
                <w:lang w:val="en-AU"/>
              </w:rPr>
              <w:t>Integrating Care</w:t>
            </w:r>
            <w:r w:rsidRPr="00996DA8">
              <w:rPr>
                <w:rFonts w:ascii="Garamond" w:hAnsi="Garamond"/>
                <w:lang w:val="en-AU"/>
              </w:rPr>
              <w:t xml:space="preserve"> in Scotland</w:t>
            </w:r>
            <w:r w:rsidR="00996DA8" w:rsidRPr="00996DA8">
              <w:rPr>
                <w:rFonts w:ascii="Garamond" w:hAnsi="Garamond"/>
                <w:lang w:val="en-AU"/>
              </w:rPr>
              <w:t xml:space="preserve"> (</w:t>
            </w:r>
            <w:r w:rsidRPr="00996DA8">
              <w:rPr>
                <w:rFonts w:ascii="Garamond" w:hAnsi="Garamond"/>
                <w:lang w:val="en-AU"/>
              </w:rPr>
              <w:t>Cathy Fooks, Jodeme Goldhar, Walter P Wodchis, G Ross Baker and Jane Coutts</w:t>
            </w:r>
            <w:r w:rsidR="00996DA8">
              <w:rPr>
                <w:rFonts w:ascii="Garamond" w:hAnsi="Garamond"/>
                <w:lang w:val="en-AU"/>
              </w:rPr>
              <w:t>)</w:t>
            </w:r>
          </w:p>
          <w:p w:rsidR="001B08B1" w:rsidRPr="00996DA8" w:rsidRDefault="001B08B1" w:rsidP="001B08B1">
            <w:pPr>
              <w:pStyle w:val="ListParagraph"/>
              <w:numPr>
                <w:ilvl w:val="0"/>
                <w:numId w:val="40"/>
              </w:numPr>
              <w:rPr>
                <w:rFonts w:ascii="Garamond" w:hAnsi="Garamond"/>
                <w:lang w:val="en-AU"/>
              </w:rPr>
            </w:pPr>
            <w:r w:rsidRPr="00996DA8">
              <w:rPr>
                <w:rFonts w:ascii="Garamond" w:hAnsi="Garamond"/>
                <w:lang w:val="en-AU"/>
              </w:rPr>
              <w:t xml:space="preserve">The Road to </w:t>
            </w:r>
            <w:r w:rsidRPr="00996DA8">
              <w:rPr>
                <w:rFonts w:ascii="Garamond" w:hAnsi="Garamond"/>
                <w:b/>
                <w:lang w:val="en-AU"/>
              </w:rPr>
              <w:t>Improving Access to Surgical Specialist Consultations</w:t>
            </w:r>
            <w:r w:rsidRPr="00996DA8">
              <w:rPr>
                <w:rFonts w:ascii="Garamond" w:hAnsi="Garamond"/>
                <w:lang w:val="en-AU"/>
              </w:rPr>
              <w:t xml:space="preserve">: Ontario’s Experience with Wait 1 Wait Time Data </w:t>
            </w:r>
            <w:r w:rsidR="00996DA8" w:rsidRPr="00996DA8">
              <w:rPr>
                <w:rFonts w:ascii="Garamond" w:hAnsi="Garamond"/>
                <w:lang w:val="en-AU"/>
              </w:rPr>
              <w:t>(</w:t>
            </w:r>
            <w:r w:rsidRPr="00996DA8">
              <w:rPr>
                <w:rFonts w:ascii="Garamond" w:hAnsi="Garamond"/>
                <w:lang w:val="en-AU"/>
              </w:rPr>
              <w:t>Claudia Zanchetta, Jonathan C Irish and James P. Waddell</w:t>
            </w:r>
            <w:r w:rsidR="00996DA8">
              <w:rPr>
                <w:rFonts w:ascii="Garamond" w:hAnsi="Garamond"/>
                <w:lang w:val="en-AU"/>
              </w:rPr>
              <w:t>)</w:t>
            </w:r>
          </w:p>
          <w:p w:rsidR="001B08B1" w:rsidRPr="00996DA8" w:rsidRDefault="001B08B1" w:rsidP="001B08B1">
            <w:pPr>
              <w:pStyle w:val="ListParagraph"/>
              <w:numPr>
                <w:ilvl w:val="0"/>
                <w:numId w:val="40"/>
              </w:numPr>
              <w:rPr>
                <w:rFonts w:ascii="Garamond" w:hAnsi="Garamond"/>
                <w:lang w:val="en-AU"/>
              </w:rPr>
            </w:pPr>
            <w:r w:rsidRPr="00996DA8">
              <w:rPr>
                <w:rFonts w:ascii="Garamond" w:hAnsi="Garamond"/>
                <w:lang w:val="en-AU"/>
              </w:rPr>
              <w:t xml:space="preserve">Saskatchewan’s Successful Strategy for </w:t>
            </w:r>
            <w:r w:rsidRPr="00996DA8">
              <w:rPr>
                <w:rFonts w:ascii="Garamond" w:hAnsi="Garamond"/>
                <w:b/>
                <w:lang w:val="en-AU"/>
              </w:rPr>
              <w:t>Surgical Waitlist Reduction</w:t>
            </w:r>
            <w:r w:rsidRPr="00996DA8">
              <w:rPr>
                <w:rFonts w:ascii="Garamond" w:hAnsi="Garamond"/>
                <w:lang w:val="en-AU"/>
              </w:rPr>
              <w:t xml:space="preserve"> </w:t>
            </w:r>
            <w:r w:rsidR="00996DA8" w:rsidRPr="00996DA8">
              <w:rPr>
                <w:rFonts w:ascii="Garamond" w:hAnsi="Garamond"/>
                <w:lang w:val="en-AU"/>
              </w:rPr>
              <w:t>(</w:t>
            </w:r>
            <w:r w:rsidRPr="00996DA8">
              <w:rPr>
                <w:rFonts w:ascii="Garamond" w:hAnsi="Garamond"/>
                <w:lang w:val="en-AU"/>
              </w:rPr>
              <w:t>Geoffrey Johnston</w:t>
            </w:r>
            <w:r w:rsidR="00996DA8">
              <w:rPr>
                <w:rFonts w:ascii="Garamond" w:hAnsi="Garamond"/>
                <w:lang w:val="en-AU"/>
              </w:rPr>
              <w:t>)</w:t>
            </w:r>
          </w:p>
          <w:p w:rsidR="001B08B1" w:rsidRPr="00996DA8" w:rsidRDefault="001B08B1" w:rsidP="001B08B1">
            <w:pPr>
              <w:pStyle w:val="ListParagraph"/>
              <w:numPr>
                <w:ilvl w:val="0"/>
                <w:numId w:val="40"/>
              </w:numPr>
              <w:rPr>
                <w:rFonts w:ascii="Garamond" w:hAnsi="Garamond"/>
                <w:lang w:val="en-AU"/>
              </w:rPr>
            </w:pPr>
            <w:r w:rsidRPr="00996DA8">
              <w:rPr>
                <w:rFonts w:ascii="Garamond" w:hAnsi="Garamond"/>
                <w:lang w:val="en-AU"/>
              </w:rPr>
              <w:t xml:space="preserve">Exploring Spatial Variation in Registration for Deceased </w:t>
            </w:r>
            <w:r w:rsidRPr="00996DA8">
              <w:rPr>
                <w:rFonts w:ascii="Garamond" w:hAnsi="Garamond"/>
                <w:b/>
                <w:lang w:val="en-AU"/>
              </w:rPr>
              <w:t>Organ Donation</w:t>
            </w:r>
            <w:r w:rsidRPr="00996DA8">
              <w:rPr>
                <w:rFonts w:ascii="Garamond" w:hAnsi="Garamond"/>
                <w:lang w:val="en-AU"/>
              </w:rPr>
              <w:t xml:space="preserve"> in Ontario, Canada </w:t>
            </w:r>
            <w:r w:rsidR="00996DA8" w:rsidRPr="00996DA8">
              <w:rPr>
                <w:rFonts w:ascii="Garamond" w:hAnsi="Garamond"/>
                <w:lang w:val="en-AU"/>
              </w:rPr>
              <w:t>(</w:t>
            </w:r>
            <w:r w:rsidRPr="00996DA8">
              <w:rPr>
                <w:rFonts w:ascii="Garamond" w:hAnsi="Garamond"/>
                <w:lang w:val="en-AU"/>
              </w:rPr>
              <w:t>Piotr Wilk, L Richard, A X Garg, A Maltby and S Z Shariff</w:t>
            </w:r>
            <w:r w:rsidR="00996DA8">
              <w:rPr>
                <w:rFonts w:ascii="Garamond" w:hAnsi="Garamond"/>
                <w:lang w:val="en-AU"/>
              </w:rPr>
              <w:t>)</w:t>
            </w:r>
          </w:p>
          <w:p w:rsidR="001B08B1" w:rsidRPr="00996DA8" w:rsidRDefault="001B08B1" w:rsidP="001B08B1">
            <w:pPr>
              <w:pStyle w:val="ListParagraph"/>
              <w:numPr>
                <w:ilvl w:val="0"/>
                <w:numId w:val="40"/>
              </w:numPr>
              <w:rPr>
                <w:rFonts w:ascii="Garamond" w:hAnsi="Garamond"/>
                <w:lang w:val="en-AU"/>
              </w:rPr>
            </w:pPr>
            <w:r w:rsidRPr="00996DA8">
              <w:rPr>
                <w:rFonts w:ascii="Garamond" w:hAnsi="Garamond"/>
                <w:lang w:val="en-AU"/>
              </w:rPr>
              <w:t xml:space="preserve">A Hospital-Based </w:t>
            </w:r>
            <w:r w:rsidRPr="00996DA8">
              <w:rPr>
                <w:rFonts w:ascii="Garamond" w:hAnsi="Garamond"/>
                <w:b/>
                <w:lang w:val="en-AU"/>
              </w:rPr>
              <w:t>Falls Prevention</w:t>
            </w:r>
            <w:r w:rsidRPr="00996DA8">
              <w:rPr>
                <w:rFonts w:ascii="Garamond" w:hAnsi="Garamond"/>
                <w:lang w:val="en-AU"/>
              </w:rPr>
              <w:t xml:space="preserve"> Program in the Community: Opportunities for Frail Older Adults to Participate in Ongoing Physical Activity </w:t>
            </w:r>
            <w:r w:rsidR="00996DA8" w:rsidRPr="00996DA8">
              <w:rPr>
                <w:rFonts w:ascii="Garamond" w:hAnsi="Garamond"/>
                <w:lang w:val="en-AU"/>
              </w:rPr>
              <w:t>(</w:t>
            </w:r>
            <w:r w:rsidRPr="00996DA8">
              <w:rPr>
                <w:rFonts w:ascii="Garamond" w:hAnsi="Garamond"/>
                <w:lang w:val="en-AU"/>
              </w:rPr>
              <w:t>Laurie Bernick, Anne McKye, A Brown-Strachan and G Corsianos</w:t>
            </w:r>
            <w:r w:rsidR="00996DA8">
              <w:rPr>
                <w:rFonts w:ascii="Garamond" w:hAnsi="Garamond"/>
                <w:lang w:val="en-AU"/>
              </w:rPr>
              <w:t>)</w:t>
            </w:r>
          </w:p>
          <w:p w:rsidR="001B08B1" w:rsidRPr="007C3778" w:rsidRDefault="001B08B1" w:rsidP="00996DA8">
            <w:pPr>
              <w:pStyle w:val="ListParagraph"/>
              <w:numPr>
                <w:ilvl w:val="0"/>
                <w:numId w:val="40"/>
              </w:numPr>
              <w:rPr>
                <w:rFonts w:ascii="Garamond" w:hAnsi="Garamond"/>
                <w:lang w:val="en-AU"/>
              </w:rPr>
            </w:pPr>
            <w:r w:rsidRPr="001B08B1">
              <w:rPr>
                <w:rFonts w:ascii="Garamond" w:hAnsi="Garamond"/>
                <w:lang w:val="en-AU"/>
              </w:rPr>
              <w:t xml:space="preserve">Case Study – Gaining </w:t>
            </w:r>
            <w:r w:rsidRPr="00996DA8">
              <w:rPr>
                <w:rFonts w:ascii="Garamond" w:hAnsi="Garamond"/>
                <w:b/>
                <w:lang w:val="en-AU"/>
              </w:rPr>
              <w:t xml:space="preserve">Physician Involvement in Quality Improvement </w:t>
            </w:r>
            <w:r w:rsidRPr="001B08B1">
              <w:rPr>
                <w:rFonts w:ascii="Garamond" w:hAnsi="Garamond"/>
                <w:lang w:val="en-AU"/>
              </w:rPr>
              <w:t xml:space="preserve">Initiatives: An Organizational Perspective </w:t>
            </w:r>
            <w:r w:rsidR="00996DA8">
              <w:rPr>
                <w:rFonts w:ascii="Garamond" w:hAnsi="Garamond"/>
                <w:lang w:val="en-AU"/>
              </w:rPr>
              <w:t>(</w:t>
            </w:r>
            <w:r w:rsidRPr="001B08B1">
              <w:rPr>
                <w:rFonts w:ascii="Garamond" w:hAnsi="Garamond"/>
                <w:lang w:val="en-AU"/>
              </w:rPr>
              <w:t>Lise Vaillancourt and C Mondoux</w:t>
            </w:r>
            <w:r w:rsidR="00996DA8">
              <w:rPr>
                <w:rFonts w:ascii="Garamond" w:hAnsi="Garamond"/>
                <w:lang w:val="en-AU"/>
              </w:rPr>
              <w:t>)</w:t>
            </w:r>
          </w:p>
        </w:tc>
      </w:tr>
    </w:tbl>
    <w:p w:rsidR="001B08B1" w:rsidRDefault="001B08B1" w:rsidP="007C3778">
      <w:pPr>
        <w:keepNext/>
        <w:rPr>
          <w:rFonts w:ascii="Garamond" w:hAnsi="Garamond"/>
          <w:i/>
          <w:lang w:val="en-AU"/>
        </w:rPr>
      </w:pPr>
    </w:p>
    <w:p w:rsidR="004E4D38" w:rsidRPr="00467B47" w:rsidRDefault="004E4D38" w:rsidP="004E4D38">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E4D38" w:rsidRPr="00467B47" w:rsidTr="0023729D">
        <w:trPr>
          <w:cantSplit/>
        </w:trPr>
        <w:tc>
          <w:tcPr>
            <w:tcW w:w="1080" w:type="dxa"/>
            <w:tcBorders>
              <w:top w:val="single" w:sz="4" w:space="0" w:color="auto"/>
              <w:left w:val="single" w:sz="4" w:space="0" w:color="auto"/>
              <w:bottom w:val="single" w:sz="4" w:space="0" w:color="auto"/>
              <w:right w:val="single" w:sz="4" w:space="0" w:color="auto"/>
            </w:tcBorders>
            <w:vAlign w:val="center"/>
          </w:tcPr>
          <w:p w:rsidR="004E4D38" w:rsidRPr="00467B47" w:rsidRDefault="004E4D38" w:rsidP="0023729D">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4E4D38" w:rsidRPr="00467B47" w:rsidRDefault="00FB0115" w:rsidP="0023729D">
            <w:pPr>
              <w:keepNext/>
              <w:rPr>
                <w:rFonts w:ascii="Garamond" w:hAnsi="Garamond"/>
                <w:lang w:val="en-AU"/>
              </w:rPr>
            </w:pPr>
            <w:hyperlink r:id="rId31" w:history="1">
              <w:r w:rsidR="004E4D38" w:rsidRPr="00467B47">
                <w:rPr>
                  <w:rStyle w:val="Hyperlink"/>
                  <w:rFonts w:ascii="Garamond" w:hAnsi="Garamond"/>
                  <w:lang w:val="en-AU"/>
                </w:rPr>
                <w:t>https://qualitysafety.bmj.com/content/early/recent</w:t>
              </w:r>
            </w:hyperlink>
          </w:p>
        </w:tc>
      </w:tr>
      <w:tr w:rsidR="004E4D38" w:rsidRPr="00467B47" w:rsidTr="0023729D">
        <w:tc>
          <w:tcPr>
            <w:tcW w:w="1080" w:type="dxa"/>
            <w:tcBorders>
              <w:top w:val="single" w:sz="4" w:space="0" w:color="auto"/>
              <w:left w:val="single" w:sz="4" w:space="0" w:color="auto"/>
              <w:bottom w:val="single" w:sz="4" w:space="0" w:color="auto"/>
              <w:right w:val="single" w:sz="4" w:space="0" w:color="auto"/>
            </w:tcBorders>
            <w:vAlign w:val="center"/>
          </w:tcPr>
          <w:p w:rsidR="004E4D38" w:rsidRPr="00467B47" w:rsidRDefault="004E4D38" w:rsidP="0023729D">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4E4D38" w:rsidRPr="00467B47" w:rsidRDefault="004E4D38" w:rsidP="0023729D">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4E4D38" w:rsidRDefault="00D65371" w:rsidP="00D65371">
            <w:pPr>
              <w:pStyle w:val="ListParagraph"/>
              <w:numPr>
                <w:ilvl w:val="0"/>
                <w:numId w:val="14"/>
              </w:numPr>
              <w:rPr>
                <w:rFonts w:ascii="Garamond" w:hAnsi="Garamond"/>
                <w:lang w:val="en-AU"/>
              </w:rPr>
            </w:pPr>
            <w:r w:rsidRPr="00D65371">
              <w:rPr>
                <w:rFonts w:ascii="Garamond" w:hAnsi="Garamond"/>
                <w:lang w:val="en-AU"/>
              </w:rPr>
              <w:t xml:space="preserve">Decisions and repercussions of </w:t>
            </w:r>
            <w:r w:rsidRPr="00D65371">
              <w:rPr>
                <w:rFonts w:ascii="Garamond" w:hAnsi="Garamond"/>
                <w:b/>
                <w:lang w:val="en-AU"/>
              </w:rPr>
              <w:t>second victim experiences for mothers</w:t>
            </w:r>
            <w:r w:rsidRPr="00D65371">
              <w:rPr>
                <w:rFonts w:ascii="Garamond" w:hAnsi="Garamond"/>
                <w:lang w:val="en-AU"/>
              </w:rPr>
              <w:t xml:space="preserve"> in medicine (SAVE DR MoM)</w:t>
            </w:r>
            <w:r>
              <w:rPr>
                <w:rFonts w:ascii="Garamond" w:hAnsi="Garamond"/>
                <w:lang w:val="en-AU"/>
              </w:rPr>
              <w:t xml:space="preserve"> (</w:t>
            </w:r>
            <w:r w:rsidRPr="00D65371">
              <w:rPr>
                <w:rFonts w:ascii="Garamond" w:hAnsi="Garamond"/>
                <w:lang w:val="en-AU"/>
              </w:rPr>
              <w:t>Kiran Gupta, Sarah Lisker, Natalie A Rivadeneira, Christina Mangurian, Eleni Linos, Urmimala Sarkar</w:t>
            </w:r>
            <w:r>
              <w:rPr>
                <w:rFonts w:ascii="Garamond" w:hAnsi="Garamond"/>
                <w:lang w:val="en-AU"/>
              </w:rPr>
              <w:t>)</w:t>
            </w:r>
          </w:p>
          <w:p w:rsidR="00C13F15" w:rsidRPr="00C13F15" w:rsidRDefault="00C13F15" w:rsidP="00C13F15">
            <w:pPr>
              <w:pStyle w:val="ListParagraph"/>
              <w:numPr>
                <w:ilvl w:val="0"/>
                <w:numId w:val="14"/>
              </w:numPr>
              <w:rPr>
                <w:rFonts w:ascii="Garamond" w:hAnsi="Garamond"/>
                <w:lang w:val="en-AU"/>
              </w:rPr>
            </w:pPr>
            <w:r w:rsidRPr="00C13F15">
              <w:rPr>
                <w:rFonts w:ascii="Garamond" w:hAnsi="Garamond"/>
                <w:lang w:val="en-AU"/>
              </w:rPr>
              <w:t xml:space="preserve">Are more experienced clinicians better able to tolerate </w:t>
            </w:r>
            <w:r w:rsidRPr="00C13F15">
              <w:rPr>
                <w:rFonts w:ascii="Garamond" w:hAnsi="Garamond"/>
                <w:b/>
                <w:lang w:val="en-AU"/>
              </w:rPr>
              <w:t>uncertainty and manage risks</w:t>
            </w:r>
            <w:r w:rsidRPr="00C13F15">
              <w:rPr>
                <w:rFonts w:ascii="Garamond" w:hAnsi="Garamond"/>
                <w:lang w:val="en-AU"/>
              </w:rPr>
              <w:t xml:space="preserve">? A vignette study of doctors in three NHS emergency departments in England </w:t>
            </w:r>
            <w:r w:rsidRPr="00C13F15">
              <w:rPr>
                <w:rFonts w:ascii="Garamond" w:hAnsi="Garamond"/>
                <w:lang w:val="en-AU"/>
              </w:rPr>
              <w:t>(</w:t>
            </w:r>
            <w:r w:rsidRPr="00C13F15">
              <w:rPr>
                <w:rFonts w:ascii="Garamond" w:hAnsi="Garamond"/>
                <w:lang w:val="en-AU"/>
              </w:rPr>
              <w:t>Rebecca Lawton, Olivia Robinson, Rebecca Harrison, Suzanne Mason, Mark Conner, Brad Wilson</w:t>
            </w:r>
            <w:r>
              <w:rPr>
                <w:rFonts w:ascii="Garamond" w:hAnsi="Garamond"/>
                <w:lang w:val="en-AU"/>
              </w:rPr>
              <w:t>)</w:t>
            </w:r>
          </w:p>
          <w:p w:rsidR="00C13F15" w:rsidRPr="00A66104" w:rsidRDefault="00C13F15" w:rsidP="00C13F15">
            <w:pPr>
              <w:pStyle w:val="ListParagraph"/>
              <w:numPr>
                <w:ilvl w:val="0"/>
                <w:numId w:val="14"/>
              </w:numPr>
              <w:rPr>
                <w:rFonts w:ascii="Garamond" w:hAnsi="Garamond"/>
                <w:lang w:val="en-AU"/>
              </w:rPr>
            </w:pPr>
            <w:r w:rsidRPr="00C13F15">
              <w:rPr>
                <w:rFonts w:ascii="Garamond" w:hAnsi="Garamond"/>
                <w:lang w:val="en-AU"/>
              </w:rPr>
              <w:t>Editorial</w:t>
            </w:r>
            <w:r w:rsidRPr="00C13F15">
              <w:rPr>
                <w:rFonts w:ascii="Garamond" w:hAnsi="Garamond"/>
                <w:lang w:val="en-AU"/>
              </w:rPr>
              <w:t xml:space="preserve">: </w:t>
            </w:r>
            <w:r w:rsidRPr="00C13F15">
              <w:rPr>
                <w:rFonts w:ascii="Garamond" w:hAnsi="Garamond"/>
                <w:lang w:val="en-AU"/>
              </w:rPr>
              <w:t xml:space="preserve">Bridging the gap between </w:t>
            </w:r>
            <w:r w:rsidRPr="00C13F15">
              <w:rPr>
                <w:rFonts w:ascii="Garamond" w:hAnsi="Garamond"/>
                <w:b/>
                <w:lang w:val="en-AU"/>
              </w:rPr>
              <w:t>uncertainty, confidence and diagnostic accuracy</w:t>
            </w:r>
            <w:r w:rsidRPr="00C13F15">
              <w:rPr>
                <w:rFonts w:ascii="Garamond" w:hAnsi="Garamond"/>
                <w:lang w:val="en-AU"/>
              </w:rPr>
              <w:t xml:space="preserve">: calibration is key </w:t>
            </w:r>
            <w:r>
              <w:rPr>
                <w:rFonts w:ascii="Garamond" w:hAnsi="Garamond"/>
                <w:lang w:val="en-AU"/>
              </w:rPr>
              <w:t>(</w:t>
            </w:r>
            <w:r w:rsidRPr="00C13F15">
              <w:rPr>
                <w:rFonts w:ascii="Garamond" w:hAnsi="Garamond"/>
                <w:lang w:val="en-AU"/>
              </w:rPr>
              <w:t>Laura Zwaan, Wolf E Hautz</w:t>
            </w:r>
            <w:r>
              <w:rPr>
                <w:rFonts w:ascii="Garamond" w:hAnsi="Garamond"/>
                <w:lang w:val="en-AU"/>
              </w:rPr>
              <w:t>)</w:t>
            </w:r>
          </w:p>
        </w:tc>
      </w:tr>
    </w:tbl>
    <w:p w:rsidR="00AF7BC5" w:rsidRDefault="00AF7BC5" w:rsidP="000C28BA">
      <w:pPr>
        <w:rPr>
          <w:rFonts w:ascii="Garamond" w:hAnsi="Garamond"/>
          <w:lang w:val="en-AU"/>
        </w:rPr>
      </w:pPr>
    </w:p>
    <w:p w:rsidR="007C25E5" w:rsidRDefault="007C25E5" w:rsidP="000C28BA">
      <w:pPr>
        <w:rPr>
          <w:rFonts w:ascii="Garamond" w:hAnsi="Garamond"/>
          <w:lang w:val="en-AU"/>
        </w:rPr>
      </w:pPr>
    </w:p>
    <w:p w:rsidR="00DF42B0" w:rsidRDefault="00DF42B0" w:rsidP="000C28BA">
      <w:pPr>
        <w:rPr>
          <w:rFonts w:ascii="Garamond" w:hAnsi="Garamond"/>
          <w:lang w:val="en-AU"/>
        </w:rPr>
      </w:pPr>
    </w:p>
    <w:p w:rsidR="00E7643F" w:rsidRPr="001C0CF1" w:rsidRDefault="001C0CF1" w:rsidP="00070CFE">
      <w:pPr>
        <w:rPr>
          <w:rFonts w:ascii="Garamond" w:hAnsi="Garamond"/>
          <w:b/>
          <w:lang w:val="en-AU"/>
        </w:rPr>
      </w:pPr>
      <w:r w:rsidRPr="001C0CF1">
        <w:rPr>
          <w:rFonts w:ascii="Garamond" w:hAnsi="Garamond"/>
          <w:b/>
          <w:lang w:val="en-AU"/>
        </w:rPr>
        <w:t>Online resources</w:t>
      </w:r>
    </w:p>
    <w:p w:rsidR="0009148E" w:rsidRDefault="0009148E" w:rsidP="00070CFE">
      <w:pPr>
        <w:rPr>
          <w:rFonts w:ascii="Garamond" w:hAnsi="Garamond"/>
          <w:lang w:val="en-AU"/>
        </w:rPr>
      </w:pPr>
    </w:p>
    <w:p w:rsidR="00DE4C04" w:rsidRPr="008127B8" w:rsidRDefault="00DE4C04" w:rsidP="00DE4C04">
      <w:pPr>
        <w:rPr>
          <w:rFonts w:ascii="Garamond" w:hAnsi="Garamond"/>
          <w:i/>
          <w:lang w:val="en-AU"/>
        </w:rPr>
      </w:pPr>
      <w:r w:rsidRPr="00F93700">
        <w:rPr>
          <w:rFonts w:ascii="Garamond" w:hAnsi="Garamond"/>
          <w:i/>
          <w:lang w:val="en-AU"/>
        </w:rPr>
        <w:t>Future Leaders Communiqué</w:t>
      </w:r>
      <w:r w:rsidRPr="008127B8">
        <w:rPr>
          <w:rFonts w:ascii="Garamond" w:hAnsi="Garamond"/>
          <w:lang w:val="en-AU"/>
        </w:rPr>
        <w:t xml:space="preserve"> </w:t>
      </w:r>
    </w:p>
    <w:p w:rsidR="00DE4C04" w:rsidRPr="00295E86" w:rsidRDefault="00FB0115" w:rsidP="00DE4C04">
      <w:pPr>
        <w:rPr>
          <w:rFonts w:ascii="Garamond" w:hAnsi="Garamond"/>
        </w:rPr>
      </w:pPr>
      <w:hyperlink r:id="rId32" w:history="1">
        <w:r w:rsidR="00DE4C04" w:rsidRPr="00295E86">
          <w:rPr>
            <w:rStyle w:val="Hyperlink"/>
            <w:rFonts w:ascii="Garamond" w:hAnsi="Garamond"/>
          </w:rPr>
          <w:t>http://vifmcommuniques.org/future-leaders-communique-volume-4-issue-1-january-2019/</w:t>
        </w:r>
      </w:hyperlink>
    </w:p>
    <w:p w:rsidR="00DE4C04" w:rsidRPr="008127B8" w:rsidRDefault="00DE4C04" w:rsidP="00DE4C04">
      <w:pPr>
        <w:rPr>
          <w:rFonts w:ascii="Garamond" w:hAnsi="Garamond"/>
          <w:lang w:val="en-AU"/>
        </w:rPr>
      </w:pPr>
      <w:r w:rsidRPr="008127B8">
        <w:rPr>
          <w:rFonts w:ascii="Garamond" w:hAnsi="Garamond"/>
          <w:lang w:val="en-AU"/>
        </w:rPr>
        <w:t>Victorian Institute of Forensic Medicine</w:t>
      </w:r>
    </w:p>
    <w:p w:rsidR="00DE4C04" w:rsidRDefault="00DE4C04" w:rsidP="00DE4C04">
      <w:pPr>
        <w:rPr>
          <w:rFonts w:ascii="Garamond" w:hAnsi="Garamond"/>
          <w:lang w:val="en-AU"/>
        </w:rPr>
      </w:pPr>
      <w:r w:rsidRPr="00F93700">
        <w:rPr>
          <w:rFonts w:ascii="Garamond" w:hAnsi="Garamond"/>
          <w:lang w:val="en-AU"/>
        </w:rPr>
        <w:t xml:space="preserve">Volume </w:t>
      </w:r>
      <w:r>
        <w:rPr>
          <w:rFonts w:ascii="Garamond" w:hAnsi="Garamond"/>
          <w:lang w:val="en-AU"/>
        </w:rPr>
        <w:t>4</w:t>
      </w:r>
      <w:r w:rsidRPr="00F93700">
        <w:rPr>
          <w:rFonts w:ascii="Garamond" w:hAnsi="Garamond"/>
          <w:lang w:val="en-AU"/>
        </w:rPr>
        <w:t xml:space="preserve"> Issue </w:t>
      </w:r>
      <w:r>
        <w:rPr>
          <w:rFonts w:ascii="Garamond" w:hAnsi="Garamond"/>
          <w:lang w:val="en-AU"/>
        </w:rPr>
        <w:t>1</w:t>
      </w:r>
      <w:r w:rsidRPr="00F93700">
        <w:rPr>
          <w:rFonts w:ascii="Garamond" w:hAnsi="Garamond"/>
          <w:lang w:val="en-AU"/>
        </w:rPr>
        <w:t xml:space="preserve"> </w:t>
      </w:r>
      <w:r>
        <w:rPr>
          <w:rFonts w:ascii="Garamond" w:hAnsi="Garamond"/>
          <w:lang w:val="en-AU"/>
        </w:rPr>
        <w:t>January 2019</w:t>
      </w:r>
    </w:p>
    <w:p w:rsidR="00DE4C04" w:rsidRDefault="00DE4C04" w:rsidP="006D19FF">
      <w:pPr>
        <w:rPr>
          <w:rFonts w:ascii="Garamond" w:hAnsi="Garamond"/>
          <w:lang w:val="en-AU"/>
        </w:rPr>
      </w:pPr>
      <w:r w:rsidRPr="008127B8">
        <w:rPr>
          <w:rFonts w:ascii="Garamond" w:hAnsi="Garamond"/>
          <w:lang w:val="en-AU"/>
        </w:rPr>
        <w:t xml:space="preserve">This issue of the </w:t>
      </w:r>
      <w:r w:rsidRPr="00F93700">
        <w:rPr>
          <w:rFonts w:ascii="Garamond" w:hAnsi="Garamond"/>
          <w:i/>
          <w:lang w:val="en-AU"/>
        </w:rPr>
        <w:t>Future Leaders Communiqué</w:t>
      </w:r>
      <w:r w:rsidRPr="008127B8">
        <w:rPr>
          <w:rFonts w:ascii="Garamond" w:hAnsi="Garamond"/>
          <w:lang w:val="en-AU"/>
        </w:rPr>
        <w:t xml:space="preserve"> focuses on </w:t>
      </w:r>
      <w:r w:rsidRPr="00DE4C04">
        <w:rPr>
          <w:rFonts w:ascii="Garamond" w:hAnsi="Garamond"/>
          <w:b/>
          <w:lang w:val="en-AU"/>
        </w:rPr>
        <w:t>medical risk</w:t>
      </w:r>
      <w:r>
        <w:rPr>
          <w:rFonts w:ascii="Garamond" w:hAnsi="Garamond"/>
          <w:lang w:val="en-AU"/>
        </w:rPr>
        <w:t>.</w:t>
      </w:r>
      <w:r w:rsidR="006D19FF">
        <w:rPr>
          <w:rFonts w:ascii="Garamond" w:hAnsi="Garamond"/>
          <w:lang w:val="en-AU"/>
        </w:rPr>
        <w:t xml:space="preserve"> Defined </w:t>
      </w:r>
      <w:r w:rsidR="006D19FF" w:rsidRPr="006D19FF">
        <w:rPr>
          <w:rFonts w:ascii="Garamond" w:hAnsi="Garamond"/>
          <w:lang w:val="en-AU"/>
        </w:rPr>
        <w:t>as “the probability of danger, loss or injury within the health system”</w:t>
      </w:r>
      <w:r w:rsidR="006D19FF">
        <w:rPr>
          <w:rFonts w:ascii="Garamond" w:hAnsi="Garamond"/>
          <w:lang w:val="en-AU"/>
        </w:rPr>
        <w:t>, this issue reflects on the need to understand and evaluate the risk to patients of the myriad tests that can be ordered. Interestingly, the editor discusses how ‘</w:t>
      </w:r>
      <w:r w:rsidR="006D19FF" w:rsidRPr="006D19FF">
        <w:rPr>
          <w:rFonts w:ascii="Garamond" w:hAnsi="Garamond"/>
          <w:lang w:val="en-AU"/>
        </w:rPr>
        <w:t>it is important that we understand these risks so that we can inform our patients and learn how to weigh up the risks versus the benefits of our decisions</w:t>
      </w:r>
      <w:r w:rsidR="006D19FF">
        <w:rPr>
          <w:rFonts w:ascii="Garamond" w:hAnsi="Garamond"/>
          <w:lang w:val="en-AU"/>
        </w:rPr>
        <w:t xml:space="preserve">’, rather than talking about how to </w:t>
      </w:r>
      <w:r w:rsidR="006D19FF" w:rsidRPr="006D19FF">
        <w:rPr>
          <w:rFonts w:ascii="Garamond" w:hAnsi="Garamond"/>
          <w:b/>
          <w:lang w:val="en-AU"/>
        </w:rPr>
        <w:t>share decisions</w:t>
      </w:r>
      <w:r w:rsidR="006D19FF">
        <w:rPr>
          <w:rFonts w:ascii="Garamond" w:hAnsi="Garamond"/>
          <w:lang w:val="en-AU"/>
        </w:rPr>
        <w:t xml:space="preserve"> with patients</w:t>
      </w:r>
      <w:r w:rsidR="006D19FF" w:rsidRPr="006D19FF">
        <w:rPr>
          <w:rFonts w:ascii="Garamond" w:hAnsi="Garamond"/>
          <w:lang w:val="en-AU"/>
        </w:rPr>
        <w:t>.</w:t>
      </w:r>
    </w:p>
    <w:p w:rsidR="00DE4C04" w:rsidRPr="00F93700" w:rsidRDefault="00DE4C04" w:rsidP="00DE4C04">
      <w:pPr>
        <w:rPr>
          <w:rFonts w:ascii="Garamond" w:hAnsi="Garamond"/>
          <w:lang w:val="en-AU"/>
        </w:rPr>
      </w:pPr>
      <w:r>
        <w:rPr>
          <w:rFonts w:ascii="Garamond" w:hAnsi="Garamond"/>
          <w:lang w:val="en-AU"/>
        </w:rPr>
        <w:t xml:space="preserve">The export commentaries look at </w:t>
      </w:r>
      <w:r w:rsidR="006D19FF" w:rsidRPr="006D19FF">
        <w:rPr>
          <w:rFonts w:ascii="Garamond" w:hAnsi="Garamond"/>
          <w:lang w:val="en-AU"/>
        </w:rPr>
        <w:t xml:space="preserve">the potential harm and costs associated with ordering </w:t>
      </w:r>
      <w:r w:rsidR="006D19FF" w:rsidRPr="006D19FF">
        <w:rPr>
          <w:rFonts w:ascii="Garamond" w:hAnsi="Garamond"/>
          <w:b/>
          <w:lang w:val="en-AU"/>
        </w:rPr>
        <w:t>unnecessary tests</w:t>
      </w:r>
      <w:r w:rsidR="006D19FF" w:rsidRPr="006D19FF">
        <w:rPr>
          <w:rFonts w:ascii="Garamond" w:hAnsi="Garamond"/>
          <w:lang w:val="en-AU"/>
        </w:rPr>
        <w:t>.</w:t>
      </w:r>
      <w:r w:rsidR="00E732F8">
        <w:rPr>
          <w:rFonts w:ascii="Garamond" w:hAnsi="Garamond"/>
          <w:lang w:val="en-AU"/>
        </w:rPr>
        <w:t xml:space="preserve"> Indeed, the author of the first commentary makes the point that ‘Taking a high-quality history from our patients and examining them properl</w:t>
      </w:r>
      <w:r w:rsidR="002B17D3">
        <w:rPr>
          <w:rFonts w:ascii="Garamond" w:hAnsi="Garamond"/>
          <w:lang w:val="en-AU"/>
        </w:rPr>
        <w:t xml:space="preserve">y have consistently been shown </w:t>
      </w:r>
      <w:r w:rsidR="00E732F8">
        <w:rPr>
          <w:rFonts w:ascii="Garamond" w:hAnsi="Garamond"/>
          <w:lang w:val="en-AU"/>
        </w:rPr>
        <w:t>to be far more useful in obtaining an accurate diagnosis than relying on medical tests.’</w:t>
      </w:r>
    </w:p>
    <w:p w:rsidR="00DE4C04" w:rsidRDefault="00DE4C04" w:rsidP="00070CFE">
      <w:pPr>
        <w:rPr>
          <w:rFonts w:ascii="Garamond" w:hAnsi="Garamond"/>
          <w:lang w:val="en-AU"/>
        </w:rPr>
      </w:pPr>
    </w:p>
    <w:p w:rsidR="00831B85" w:rsidRPr="000170DA" w:rsidRDefault="00831B85" w:rsidP="00831B85">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831B85" w:rsidRPr="000170DA" w:rsidRDefault="00FB0115" w:rsidP="00831B85">
      <w:pPr>
        <w:keepNext/>
        <w:keepLines/>
        <w:rPr>
          <w:rFonts w:ascii="Garamond" w:hAnsi="Garamond"/>
          <w:u w:val="single"/>
          <w:lang w:val="en-AU"/>
        </w:rPr>
      </w:pPr>
      <w:hyperlink r:id="rId33" w:history="1">
        <w:r w:rsidR="00831B85" w:rsidRPr="000170DA">
          <w:rPr>
            <w:rStyle w:val="Hyperlink"/>
            <w:rFonts w:ascii="Garamond" w:hAnsi="Garamond"/>
            <w:lang w:val="en-AU"/>
          </w:rPr>
          <w:t>https://www.nice.org.uk</w:t>
        </w:r>
      </w:hyperlink>
    </w:p>
    <w:p w:rsidR="00831B85" w:rsidRPr="000170DA" w:rsidRDefault="00831B85" w:rsidP="00831B85">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C13F15" w:rsidRPr="00C13F15" w:rsidRDefault="00C13F15" w:rsidP="00C13F15">
      <w:pPr>
        <w:pStyle w:val="ListParagraph"/>
        <w:keepNext/>
        <w:keepLines/>
        <w:numPr>
          <w:ilvl w:val="0"/>
          <w:numId w:val="14"/>
        </w:numPr>
        <w:rPr>
          <w:rFonts w:ascii="Garamond" w:hAnsi="Garamond"/>
          <w:lang w:val="en-AU"/>
        </w:rPr>
      </w:pPr>
      <w:r>
        <w:rPr>
          <w:rFonts w:ascii="Garamond" w:hAnsi="Garamond"/>
          <w:lang w:val="en-AU"/>
        </w:rPr>
        <w:t xml:space="preserve">NICE Guideline NG120 </w:t>
      </w:r>
      <w:r w:rsidRPr="00C13F15">
        <w:rPr>
          <w:rFonts w:ascii="Garamond" w:hAnsi="Garamond"/>
          <w:b/>
          <w:i/>
          <w:lang w:val="en-AU"/>
        </w:rPr>
        <w:t>Cough</w:t>
      </w:r>
      <w:r w:rsidRPr="00C13F15">
        <w:rPr>
          <w:rFonts w:ascii="Garamond" w:hAnsi="Garamond"/>
          <w:i/>
          <w:lang w:val="en-AU"/>
        </w:rPr>
        <w:t xml:space="preserve"> (acute): antimicrobial prescribing</w:t>
      </w:r>
      <w:r>
        <w:rPr>
          <w:rFonts w:ascii="Garamond" w:hAnsi="Garamond"/>
          <w:lang w:val="en-AU"/>
        </w:rPr>
        <w:t xml:space="preserve"> </w:t>
      </w:r>
      <w:hyperlink r:id="rId34" w:history="1">
        <w:r w:rsidRPr="00DB2A70">
          <w:rPr>
            <w:rStyle w:val="Hyperlink"/>
            <w:rFonts w:ascii="Garamond" w:hAnsi="Garamond"/>
            <w:lang w:val="en-AU"/>
          </w:rPr>
          <w:t>https://www.nice.org.uk/guidance/ng120</w:t>
        </w:r>
      </w:hyperlink>
    </w:p>
    <w:p w:rsidR="00831B85" w:rsidRDefault="00DE4C04" w:rsidP="00DE4C04">
      <w:pPr>
        <w:pStyle w:val="ListParagraph"/>
        <w:keepNext/>
        <w:keepLines/>
        <w:numPr>
          <w:ilvl w:val="0"/>
          <w:numId w:val="14"/>
        </w:numPr>
        <w:rPr>
          <w:rFonts w:ascii="Garamond" w:hAnsi="Garamond"/>
          <w:lang w:val="en-AU"/>
        </w:rPr>
      </w:pPr>
      <w:r>
        <w:rPr>
          <w:rFonts w:ascii="Garamond" w:hAnsi="Garamond"/>
          <w:lang w:val="en-AU"/>
        </w:rPr>
        <w:t xml:space="preserve">Clinical Guideline CG62 </w:t>
      </w:r>
      <w:r w:rsidRPr="00DE4C04">
        <w:rPr>
          <w:rFonts w:ascii="Garamond" w:hAnsi="Garamond"/>
          <w:b/>
          <w:i/>
          <w:lang w:val="en-AU"/>
        </w:rPr>
        <w:t>Antenatal care</w:t>
      </w:r>
      <w:r w:rsidRPr="00DE4C04">
        <w:rPr>
          <w:rFonts w:ascii="Garamond" w:hAnsi="Garamond"/>
          <w:i/>
          <w:lang w:val="en-AU"/>
        </w:rPr>
        <w:t xml:space="preserve"> for uncomplicated pregnancies</w:t>
      </w:r>
      <w:r>
        <w:rPr>
          <w:rFonts w:ascii="Garamond" w:hAnsi="Garamond"/>
          <w:lang w:val="en-AU"/>
        </w:rPr>
        <w:t xml:space="preserve"> </w:t>
      </w:r>
      <w:hyperlink r:id="rId35" w:history="1">
        <w:r w:rsidRPr="009D2E28">
          <w:rPr>
            <w:rStyle w:val="Hyperlink"/>
            <w:rFonts w:ascii="Garamond" w:hAnsi="Garamond"/>
            <w:lang w:val="en-AU"/>
          </w:rPr>
          <w:t>https://www.nice.org.uk/guidance/cg62</w:t>
        </w:r>
      </w:hyperlink>
    </w:p>
    <w:p w:rsidR="00295E86" w:rsidRPr="00C13F15" w:rsidRDefault="00295E86" w:rsidP="00295E86">
      <w:pPr>
        <w:pStyle w:val="ListParagraph"/>
        <w:keepNext/>
        <w:keepLines/>
        <w:numPr>
          <w:ilvl w:val="0"/>
          <w:numId w:val="14"/>
        </w:numPr>
        <w:rPr>
          <w:rStyle w:val="Hyperlink"/>
          <w:rFonts w:ascii="Garamond" w:hAnsi="Garamond"/>
          <w:color w:val="auto"/>
          <w:u w:val="none"/>
          <w:lang w:val="en-AU"/>
        </w:rPr>
      </w:pPr>
      <w:r>
        <w:rPr>
          <w:rFonts w:ascii="Garamond" w:hAnsi="Garamond"/>
          <w:lang w:val="en-AU"/>
        </w:rPr>
        <w:t xml:space="preserve">Quality Standard QS178 </w:t>
      </w:r>
      <w:r w:rsidRPr="00295E86">
        <w:rPr>
          <w:rFonts w:ascii="Garamond" w:hAnsi="Garamond"/>
          <w:b/>
          <w:i/>
          <w:lang w:val="en-AU"/>
        </w:rPr>
        <w:t>Sexual health</w:t>
      </w:r>
      <w:r>
        <w:rPr>
          <w:rFonts w:ascii="Garamond" w:hAnsi="Garamond"/>
          <w:lang w:val="en-AU"/>
        </w:rPr>
        <w:t xml:space="preserve"> </w:t>
      </w:r>
      <w:hyperlink r:id="rId36" w:history="1">
        <w:r w:rsidRPr="00F85777">
          <w:rPr>
            <w:rStyle w:val="Hyperlink"/>
            <w:rFonts w:ascii="Garamond" w:hAnsi="Garamond"/>
            <w:lang w:val="en-AU"/>
          </w:rPr>
          <w:t>https://www.nice.org.uk/guidance/qs178</w:t>
        </w:r>
      </w:hyperlink>
    </w:p>
    <w:p w:rsidR="00831B85" w:rsidRDefault="00831B85" w:rsidP="00562FAD">
      <w:pPr>
        <w:keepLines/>
        <w:rPr>
          <w:rFonts w:ascii="Garamond" w:hAnsi="Garamond"/>
          <w:i/>
          <w:lang w:val="en-AU"/>
        </w:rPr>
      </w:pPr>
    </w:p>
    <w:p w:rsidR="00742613" w:rsidRPr="00BD76EB" w:rsidRDefault="00742613" w:rsidP="00562FAD">
      <w:pPr>
        <w:keepLines/>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7"/>
      <w:footerReference w:type="default" r:id="rId38"/>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A91" w:rsidRDefault="009C3A91">
      <w:r>
        <w:separator/>
      </w:r>
    </w:p>
  </w:endnote>
  <w:endnote w:type="continuationSeparator" w:id="0">
    <w:p w:rsidR="009C3A91" w:rsidRDefault="009C3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A91" w:rsidRDefault="009C3A91"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B0115">
      <w:rPr>
        <w:rStyle w:val="PageNumber"/>
        <w:noProof/>
      </w:rPr>
      <w:t>2</w:t>
    </w:r>
    <w:r>
      <w:rPr>
        <w:rStyle w:val="PageNumber"/>
      </w:rPr>
      <w:fldChar w:fldCharType="end"/>
    </w:r>
  </w:p>
  <w:p w:rsidR="00A66104" w:rsidRPr="001E78F0" w:rsidRDefault="009C3A91"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A66104">
      <w:rPr>
        <w:rFonts w:ascii="Garamond" w:hAnsi="Garamond"/>
      </w:rPr>
      <w:t xml:space="preserve"> Issue 405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A91" w:rsidRPr="001E78F0" w:rsidRDefault="009C3A91"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FB0115">
      <w:rPr>
        <w:rStyle w:val="PageNumber"/>
        <w:rFonts w:ascii="Garamond" w:hAnsi="Garamond"/>
        <w:noProof/>
      </w:rPr>
      <w:t>1</w:t>
    </w:r>
    <w:r w:rsidRPr="001E78F0">
      <w:rPr>
        <w:rStyle w:val="PageNumber"/>
        <w:rFonts w:ascii="Garamond" w:hAnsi="Garamond"/>
      </w:rPr>
      <w:fldChar w:fldCharType="end"/>
    </w:r>
  </w:p>
  <w:p w:rsidR="009C3A91" w:rsidRPr="001E78F0" w:rsidRDefault="009C3A91"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3B0B62">
      <w:rPr>
        <w:rFonts w:ascii="Garamond" w:hAnsi="Garamond"/>
      </w:rPr>
      <w:t xml:space="preserve"> Issue 40</w:t>
    </w:r>
    <w:r w:rsidR="00A66104">
      <w:rPr>
        <w:rFonts w:ascii="Garamond" w:hAnsi="Garamond"/>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A91" w:rsidRDefault="009C3A91">
      <w:r>
        <w:separator/>
      </w:r>
    </w:p>
  </w:footnote>
  <w:footnote w:type="continuationSeparator" w:id="0">
    <w:p w:rsidR="009C3A91" w:rsidRDefault="009C3A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F50B2"/>
    <w:multiLevelType w:val="hybridMultilevel"/>
    <w:tmpl w:val="F948E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EA542F"/>
    <w:multiLevelType w:val="hybridMultilevel"/>
    <w:tmpl w:val="9E629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F5D167F"/>
    <w:multiLevelType w:val="hybridMultilevel"/>
    <w:tmpl w:val="51520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58E1890"/>
    <w:multiLevelType w:val="hybridMultilevel"/>
    <w:tmpl w:val="202474A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6915B84"/>
    <w:multiLevelType w:val="hybridMultilevel"/>
    <w:tmpl w:val="63D69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ABC4634"/>
    <w:multiLevelType w:val="hybridMultilevel"/>
    <w:tmpl w:val="05DC2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AE03C64"/>
    <w:multiLevelType w:val="hybridMultilevel"/>
    <w:tmpl w:val="093CA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5CF3208"/>
    <w:multiLevelType w:val="hybridMultilevel"/>
    <w:tmpl w:val="1CBA4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6E6768D"/>
    <w:multiLevelType w:val="hybridMultilevel"/>
    <w:tmpl w:val="B4280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8B9049B"/>
    <w:multiLevelType w:val="hybridMultilevel"/>
    <w:tmpl w:val="AE766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90F6366"/>
    <w:multiLevelType w:val="hybridMultilevel"/>
    <w:tmpl w:val="F4A4D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C240A65"/>
    <w:multiLevelType w:val="hybridMultilevel"/>
    <w:tmpl w:val="CBCE5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34D5DE5"/>
    <w:multiLevelType w:val="hybridMultilevel"/>
    <w:tmpl w:val="ADC27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C067DEA"/>
    <w:multiLevelType w:val="hybridMultilevel"/>
    <w:tmpl w:val="A20AF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EBF63F5"/>
    <w:multiLevelType w:val="hybridMultilevel"/>
    <w:tmpl w:val="5F3CE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E5D7FEE"/>
    <w:multiLevelType w:val="hybridMultilevel"/>
    <w:tmpl w:val="29342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193446A"/>
    <w:multiLevelType w:val="hybridMultilevel"/>
    <w:tmpl w:val="AB78A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3176259"/>
    <w:multiLevelType w:val="hybridMultilevel"/>
    <w:tmpl w:val="7B7A7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3C1642B"/>
    <w:multiLevelType w:val="hybridMultilevel"/>
    <w:tmpl w:val="0CBA8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AE72052"/>
    <w:multiLevelType w:val="hybridMultilevel"/>
    <w:tmpl w:val="24A659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E791C3E"/>
    <w:multiLevelType w:val="hybridMultilevel"/>
    <w:tmpl w:val="68749B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2145A48"/>
    <w:multiLevelType w:val="hybridMultilevel"/>
    <w:tmpl w:val="7BE2F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7E4486F"/>
    <w:multiLevelType w:val="hybridMultilevel"/>
    <w:tmpl w:val="13FE3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BB818A3"/>
    <w:multiLevelType w:val="hybridMultilevel"/>
    <w:tmpl w:val="BD7E1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C035856"/>
    <w:multiLevelType w:val="hybridMultilevel"/>
    <w:tmpl w:val="52781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DC5497B"/>
    <w:multiLevelType w:val="hybridMultilevel"/>
    <w:tmpl w:val="81F2B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F291598"/>
    <w:multiLevelType w:val="hybridMultilevel"/>
    <w:tmpl w:val="4A808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3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1"/>
  </w:num>
  <w:num w:numId="14">
    <w:abstractNumId w:val="26"/>
  </w:num>
  <w:num w:numId="15">
    <w:abstractNumId w:val="38"/>
  </w:num>
  <w:num w:numId="16">
    <w:abstractNumId w:val="40"/>
  </w:num>
  <w:num w:numId="17">
    <w:abstractNumId w:val="13"/>
  </w:num>
  <w:num w:numId="18">
    <w:abstractNumId w:val="14"/>
  </w:num>
  <w:num w:numId="19">
    <w:abstractNumId w:val="12"/>
  </w:num>
  <w:num w:numId="20">
    <w:abstractNumId w:val="17"/>
  </w:num>
  <w:num w:numId="21">
    <w:abstractNumId w:val="15"/>
  </w:num>
  <w:num w:numId="22">
    <w:abstractNumId w:val="37"/>
  </w:num>
  <w:num w:numId="23">
    <w:abstractNumId w:val="16"/>
  </w:num>
  <w:num w:numId="24">
    <w:abstractNumId w:val="39"/>
  </w:num>
  <w:num w:numId="25">
    <w:abstractNumId w:val="27"/>
  </w:num>
  <w:num w:numId="26">
    <w:abstractNumId w:val="24"/>
  </w:num>
  <w:num w:numId="27">
    <w:abstractNumId w:val="20"/>
  </w:num>
  <w:num w:numId="28">
    <w:abstractNumId w:val="28"/>
  </w:num>
  <w:num w:numId="29">
    <w:abstractNumId w:val="30"/>
  </w:num>
  <w:num w:numId="30">
    <w:abstractNumId w:val="34"/>
  </w:num>
  <w:num w:numId="31">
    <w:abstractNumId w:val="23"/>
  </w:num>
  <w:num w:numId="32">
    <w:abstractNumId w:val="10"/>
  </w:num>
  <w:num w:numId="33">
    <w:abstractNumId w:val="36"/>
  </w:num>
  <w:num w:numId="34">
    <w:abstractNumId w:val="33"/>
  </w:num>
  <w:num w:numId="35">
    <w:abstractNumId w:val="32"/>
  </w:num>
  <w:num w:numId="36">
    <w:abstractNumId w:val="22"/>
  </w:num>
  <w:num w:numId="37">
    <w:abstractNumId w:val="21"/>
  </w:num>
  <w:num w:numId="38">
    <w:abstractNumId w:val="29"/>
  </w:num>
  <w:num w:numId="39">
    <w:abstractNumId w:val="11"/>
  </w:num>
  <w:num w:numId="40">
    <w:abstractNumId w:val="18"/>
  </w:num>
  <w:num w:numId="41">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97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610"/>
    <w:rsid w:val="0000366A"/>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B5"/>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991"/>
    <w:rsid w:val="00025D95"/>
    <w:rsid w:val="00025DC1"/>
    <w:rsid w:val="00025DFC"/>
    <w:rsid w:val="00025ED6"/>
    <w:rsid w:val="000267F1"/>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917"/>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A8B"/>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848"/>
    <w:rsid w:val="00050B21"/>
    <w:rsid w:val="00050DB1"/>
    <w:rsid w:val="00050E48"/>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4E9"/>
    <w:rsid w:val="000805E9"/>
    <w:rsid w:val="000806BD"/>
    <w:rsid w:val="000808DC"/>
    <w:rsid w:val="00080BAD"/>
    <w:rsid w:val="00080C2D"/>
    <w:rsid w:val="00080E8A"/>
    <w:rsid w:val="00080F45"/>
    <w:rsid w:val="00081003"/>
    <w:rsid w:val="000812CA"/>
    <w:rsid w:val="00081399"/>
    <w:rsid w:val="000813BB"/>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8CD"/>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CC"/>
    <w:rsid w:val="000E5B33"/>
    <w:rsid w:val="000E5F6D"/>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CF0"/>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CF4"/>
    <w:rsid w:val="00185F37"/>
    <w:rsid w:val="00186263"/>
    <w:rsid w:val="001862DC"/>
    <w:rsid w:val="00186580"/>
    <w:rsid w:val="00186914"/>
    <w:rsid w:val="00186A49"/>
    <w:rsid w:val="00186AEE"/>
    <w:rsid w:val="00186CC6"/>
    <w:rsid w:val="00186F8C"/>
    <w:rsid w:val="001871DE"/>
    <w:rsid w:val="001873D0"/>
    <w:rsid w:val="00187569"/>
    <w:rsid w:val="00187BCA"/>
    <w:rsid w:val="00187CCE"/>
    <w:rsid w:val="00187F57"/>
    <w:rsid w:val="00187FFE"/>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0D9"/>
    <w:rsid w:val="001A24E2"/>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8B1"/>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1E09"/>
    <w:rsid w:val="001D1F2B"/>
    <w:rsid w:val="001D2016"/>
    <w:rsid w:val="001D22E9"/>
    <w:rsid w:val="001D23D9"/>
    <w:rsid w:val="001D253C"/>
    <w:rsid w:val="001D2754"/>
    <w:rsid w:val="001D28C5"/>
    <w:rsid w:val="001D2938"/>
    <w:rsid w:val="001D2BA2"/>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35"/>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0D66"/>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90C"/>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917"/>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7A"/>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9E7"/>
    <w:rsid w:val="00236D5C"/>
    <w:rsid w:val="00236E06"/>
    <w:rsid w:val="0023729D"/>
    <w:rsid w:val="002373FA"/>
    <w:rsid w:val="0023774E"/>
    <w:rsid w:val="00237877"/>
    <w:rsid w:val="0023797C"/>
    <w:rsid w:val="00237EAA"/>
    <w:rsid w:val="00240CFC"/>
    <w:rsid w:val="002410E4"/>
    <w:rsid w:val="002411AE"/>
    <w:rsid w:val="002412F2"/>
    <w:rsid w:val="0024161A"/>
    <w:rsid w:val="00241649"/>
    <w:rsid w:val="00241A9E"/>
    <w:rsid w:val="00241AA9"/>
    <w:rsid w:val="00241BB6"/>
    <w:rsid w:val="00241CDB"/>
    <w:rsid w:val="00241E34"/>
    <w:rsid w:val="00241F4E"/>
    <w:rsid w:val="00241F88"/>
    <w:rsid w:val="002421F5"/>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5E86"/>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C7"/>
    <w:rsid w:val="002A129F"/>
    <w:rsid w:val="002A1909"/>
    <w:rsid w:val="002A19AD"/>
    <w:rsid w:val="002A19EA"/>
    <w:rsid w:val="002A25FE"/>
    <w:rsid w:val="002A2B3B"/>
    <w:rsid w:val="002A2C13"/>
    <w:rsid w:val="002A2DCA"/>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083"/>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16A"/>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160"/>
    <w:rsid w:val="0031036D"/>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ACC"/>
    <w:rsid w:val="00330C28"/>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2B77"/>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B6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4F72"/>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EEE"/>
    <w:rsid w:val="00436F49"/>
    <w:rsid w:val="004371F9"/>
    <w:rsid w:val="00437320"/>
    <w:rsid w:val="0043742B"/>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772"/>
    <w:rsid w:val="00494862"/>
    <w:rsid w:val="004948E2"/>
    <w:rsid w:val="0049493B"/>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7E4"/>
    <w:rsid w:val="004E09EF"/>
    <w:rsid w:val="004E0D02"/>
    <w:rsid w:val="004E135C"/>
    <w:rsid w:val="004E13B4"/>
    <w:rsid w:val="004E1437"/>
    <w:rsid w:val="004E1D7E"/>
    <w:rsid w:val="004E243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3BD"/>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2FAD"/>
    <w:rsid w:val="0056339A"/>
    <w:rsid w:val="00563647"/>
    <w:rsid w:val="0056368B"/>
    <w:rsid w:val="00563767"/>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D8E"/>
    <w:rsid w:val="005702FC"/>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0B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212"/>
    <w:rsid w:val="005A046B"/>
    <w:rsid w:val="005A057E"/>
    <w:rsid w:val="005A05D8"/>
    <w:rsid w:val="005A07D3"/>
    <w:rsid w:val="005A089E"/>
    <w:rsid w:val="005A0B66"/>
    <w:rsid w:val="005A0C47"/>
    <w:rsid w:val="005A0CE0"/>
    <w:rsid w:val="005A0D24"/>
    <w:rsid w:val="005A0FA0"/>
    <w:rsid w:val="005A1045"/>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F94"/>
    <w:rsid w:val="005B02B1"/>
    <w:rsid w:val="005B02C8"/>
    <w:rsid w:val="005B0606"/>
    <w:rsid w:val="005B0886"/>
    <w:rsid w:val="005B0ADB"/>
    <w:rsid w:val="005B0C4A"/>
    <w:rsid w:val="005B0CB1"/>
    <w:rsid w:val="005B0D0B"/>
    <w:rsid w:val="005B0E0D"/>
    <w:rsid w:val="005B1064"/>
    <w:rsid w:val="005B1160"/>
    <w:rsid w:val="005B12C7"/>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34"/>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BC4"/>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AAA"/>
    <w:rsid w:val="005E5AB0"/>
    <w:rsid w:val="005E5F6B"/>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25"/>
    <w:rsid w:val="006015C5"/>
    <w:rsid w:val="006016A9"/>
    <w:rsid w:val="00601787"/>
    <w:rsid w:val="006017FE"/>
    <w:rsid w:val="006018BC"/>
    <w:rsid w:val="0060203B"/>
    <w:rsid w:val="0060221A"/>
    <w:rsid w:val="0060257E"/>
    <w:rsid w:val="006025E1"/>
    <w:rsid w:val="00602A61"/>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4F52"/>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7FE"/>
    <w:rsid w:val="006358C8"/>
    <w:rsid w:val="00635A4C"/>
    <w:rsid w:val="00635FA9"/>
    <w:rsid w:val="00635FB1"/>
    <w:rsid w:val="00635FD3"/>
    <w:rsid w:val="0063606C"/>
    <w:rsid w:val="006364DC"/>
    <w:rsid w:val="00636538"/>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250"/>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613"/>
    <w:rsid w:val="007427AA"/>
    <w:rsid w:val="00742870"/>
    <w:rsid w:val="00742D5A"/>
    <w:rsid w:val="00742E35"/>
    <w:rsid w:val="0074315A"/>
    <w:rsid w:val="0074369F"/>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C4F"/>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5E5"/>
    <w:rsid w:val="007C2792"/>
    <w:rsid w:val="007C2962"/>
    <w:rsid w:val="007C2A0A"/>
    <w:rsid w:val="007C2CA8"/>
    <w:rsid w:val="007C2F64"/>
    <w:rsid w:val="007C2F6F"/>
    <w:rsid w:val="007C31D7"/>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CA2"/>
    <w:rsid w:val="007D0E02"/>
    <w:rsid w:val="007D0F16"/>
    <w:rsid w:val="007D127D"/>
    <w:rsid w:val="007D13EC"/>
    <w:rsid w:val="007D1446"/>
    <w:rsid w:val="007D1509"/>
    <w:rsid w:val="007D1841"/>
    <w:rsid w:val="007D1873"/>
    <w:rsid w:val="007D1A8C"/>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907"/>
    <w:rsid w:val="00801A7D"/>
    <w:rsid w:val="00801F66"/>
    <w:rsid w:val="008020AC"/>
    <w:rsid w:val="008021DF"/>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B85"/>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F5"/>
    <w:rsid w:val="00846B61"/>
    <w:rsid w:val="00846BC5"/>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832"/>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4F7"/>
    <w:rsid w:val="0085775E"/>
    <w:rsid w:val="00857C8D"/>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8A3"/>
    <w:rsid w:val="0088294D"/>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603"/>
    <w:rsid w:val="008C7B4B"/>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11A"/>
    <w:rsid w:val="008D4383"/>
    <w:rsid w:val="008D440E"/>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8F7F03"/>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1AA"/>
    <w:rsid w:val="00906456"/>
    <w:rsid w:val="0090654E"/>
    <w:rsid w:val="009065A5"/>
    <w:rsid w:val="009066FA"/>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800"/>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C6D"/>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07"/>
    <w:rsid w:val="00973977"/>
    <w:rsid w:val="00973EC2"/>
    <w:rsid w:val="009741F4"/>
    <w:rsid w:val="0097436A"/>
    <w:rsid w:val="009746BA"/>
    <w:rsid w:val="009747A9"/>
    <w:rsid w:val="00974AD4"/>
    <w:rsid w:val="00975117"/>
    <w:rsid w:val="00975155"/>
    <w:rsid w:val="0097567E"/>
    <w:rsid w:val="00975699"/>
    <w:rsid w:val="009757C7"/>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2D"/>
    <w:rsid w:val="00983481"/>
    <w:rsid w:val="00983944"/>
    <w:rsid w:val="00984081"/>
    <w:rsid w:val="00984423"/>
    <w:rsid w:val="0098444C"/>
    <w:rsid w:val="00984B2D"/>
    <w:rsid w:val="00984B78"/>
    <w:rsid w:val="00984C6C"/>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DA8"/>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93D"/>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1E2E"/>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4A8"/>
    <w:rsid w:val="00A314F4"/>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6DE8"/>
    <w:rsid w:val="00A475CA"/>
    <w:rsid w:val="00A4769E"/>
    <w:rsid w:val="00A47C91"/>
    <w:rsid w:val="00A47DA0"/>
    <w:rsid w:val="00A47DF9"/>
    <w:rsid w:val="00A47EC0"/>
    <w:rsid w:val="00A47F3C"/>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439"/>
    <w:rsid w:val="00AA74CD"/>
    <w:rsid w:val="00AA7678"/>
    <w:rsid w:val="00AA7994"/>
    <w:rsid w:val="00AA7AA7"/>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058"/>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5BD"/>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5A4"/>
    <w:rsid w:val="00AE6A2F"/>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58F1"/>
    <w:rsid w:val="00AF60A5"/>
    <w:rsid w:val="00AF6251"/>
    <w:rsid w:val="00AF63A5"/>
    <w:rsid w:val="00AF642B"/>
    <w:rsid w:val="00AF64B3"/>
    <w:rsid w:val="00AF6566"/>
    <w:rsid w:val="00AF6568"/>
    <w:rsid w:val="00AF66FA"/>
    <w:rsid w:val="00AF6712"/>
    <w:rsid w:val="00AF68A9"/>
    <w:rsid w:val="00AF700A"/>
    <w:rsid w:val="00AF7077"/>
    <w:rsid w:val="00AF7330"/>
    <w:rsid w:val="00AF7A6E"/>
    <w:rsid w:val="00AF7BC5"/>
    <w:rsid w:val="00B0000D"/>
    <w:rsid w:val="00B007A4"/>
    <w:rsid w:val="00B00A16"/>
    <w:rsid w:val="00B00D1F"/>
    <w:rsid w:val="00B00D7C"/>
    <w:rsid w:val="00B01255"/>
    <w:rsid w:val="00B0141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BF5"/>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2A2"/>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ED"/>
    <w:rsid w:val="00B440F1"/>
    <w:rsid w:val="00B44195"/>
    <w:rsid w:val="00B444A5"/>
    <w:rsid w:val="00B44851"/>
    <w:rsid w:val="00B44991"/>
    <w:rsid w:val="00B44ACE"/>
    <w:rsid w:val="00B44BC9"/>
    <w:rsid w:val="00B4524F"/>
    <w:rsid w:val="00B453E7"/>
    <w:rsid w:val="00B453EE"/>
    <w:rsid w:val="00B455C7"/>
    <w:rsid w:val="00B45716"/>
    <w:rsid w:val="00B45897"/>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D4A"/>
    <w:rsid w:val="00B7670E"/>
    <w:rsid w:val="00B768A5"/>
    <w:rsid w:val="00B7701D"/>
    <w:rsid w:val="00B77326"/>
    <w:rsid w:val="00B7747F"/>
    <w:rsid w:val="00B77579"/>
    <w:rsid w:val="00B7762D"/>
    <w:rsid w:val="00B777D0"/>
    <w:rsid w:val="00B778AF"/>
    <w:rsid w:val="00B77A54"/>
    <w:rsid w:val="00B77B98"/>
    <w:rsid w:val="00B77CAD"/>
    <w:rsid w:val="00B77E5D"/>
    <w:rsid w:val="00B77F04"/>
    <w:rsid w:val="00B77F9B"/>
    <w:rsid w:val="00B77FBC"/>
    <w:rsid w:val="00B803E7"/>
    <w:rsid w:val="00B80750"/>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CF0"/>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80D"/>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A8B"/>
    <w:rsid w:val="00BB7C0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E01"/>
    <w:rsid w:val="00BC514B"/>
    <w:rsid w:val="00BC5443"/>
    <w:rsid w:val="00BC558E"/>
    <w:rsid w:val="00BC5742"/>
    <w:rsid w:val="00BC6406"/>
    <w:rsid w:val="00BC6509"/>
    <w:rsid w:val="00BC6533"/>
    <w:rsid w:val="00BC6637"/>
    <w:rsid w:val="00BC6D53"/>
    <w:rsid w:val="00BC6D5B"/>
    <w:rsid w:val="00BC6EFE"/>
    <w:rsid w:val="00BC71BC"/>
    <w:rsid w:val="00BC73AB"/>
    <w:rsid w:val="00BC74C0"/>
    <w:rsid w:val="00BC74E3"/>
    <w:rsid w:val="00BC764C"/>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903"/>
    <w:rsid w:val="00BE0D5C"/>
    <w:rsid w:val="00BE0F6A"/>
    <w:rsid w:val="00BE1061"/>
    <w:rsid w:val="00BE19DD"/>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42A"/>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76"/>
    <w:rsid w:val="00BF72D1"/>
    <w:rsid w:val="00BF72DF"/>
    <w:rsid w:val="00BF7553"/>
    <w:rsid w:val="00BF75FB"/>
    <w:rsid w:val="00BF79DA"/>
    <w:rsid w:val="00BF7F4A"/>
    <w:rsid w:val="00BF7F9D"/>
    <w:rsid w:val="00C0040B"/>
    <w:rsid w:val="00C006DF"/>
    <w:rsid w:val="00C007F3"/>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3F15"/>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63"/>
    <w:rsid w:val="00C772A8"/>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F5"/>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42C"/>
    <w:rsid w:val="00CC7D0E"/>
    <w:rsid w:val="00CC7DB9"/>
    <w:rsid w:val="00CC7E06"/>
    <w:rsid w:val="00CD011D"/>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6C9"/>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4047"/>
    <w:rsid w:val="00CE4164"/>
    <w:rsid w:val="00CE4174"/>
    <w:rsid w:val="00CE43A4"/>
    <w:rsid w:val="00CE4518"/>
    <w:rsid w:val="00CE4C64"/>
    <w:rsid w:val="00CE4F41"/>
    <w:rsid w:val="00CE52C5"/>
    <w:rsid w:val="00CE5501"/>
    <w:rsid w:val="00CE5547"/>
    <w:rsid w:val="00CE5B83"/>
    <w:rsid w:val="00CE5B99"/>
    <w:rsid w:val="00CE5CAE"/>
    <w:rsid w:val="00CE60E9"/>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A06"/>
    <w:rsid w:val="00D22EC9"/>
    <w:rsid w:val="00D22EFE"/>
    <w:rsid w:val="00D230AF"/>
    <w:rsid w:val="00D2325E"/>
    <w:rsid w:val="00D23305"/>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C3E"/>
    <w:rsid w:val="00D46F19"/>
    <w:rsid w:val="00D46FAF"/>
    <w:rsid w:val="00D4707B"/>
    <w:rsid w:val="00D47254"/>
    <w:rsid w:val="00D47409"/>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0E6"/>
    <w:rsid w:val="00DD2274"/>
    <w:rsid w:val="00DD22FC"/>
    <w:rsid w:val="00DD28C9"/>
    <w:rsid w:val="00DD2B51"/>
    <w:rsid w:val="00DD2D5E"/>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82C"/>
    <w:rsid w:val="00DE0C66"/>
    <w:rsid w:val="00DE0E6C"/>
    <w:rsid w:val="00DE0EF7"/>
    <w:rsid w:val="00DE0F38"/>
    <w:rsid w:val="00DE10EE"/>
    <w:rsid w:val="00DE1188"/>
    <w:rsid w:val="00DE1395"/>
    <w:rsid w:val="00DE174E"/>
    <w:rsid w:val="00DE1B36"/>
    <w:rsid w:val="00DE25FF"/>
    <w:rsid w:val="00DE261D"/>
    <w:rsid w:val="00DE2A35"/>
    <w:rsid w:val="00DE3104"/>
    <w:rsid w:val="00DE31B6"/>
    <w:rsid w:val="00DE35C8"/>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310"/>
    <w:rsid w:val="00DF249D"/>
    <w:rsid w:val="00DF24CB"/>
    <w:rsid w:val="00DF2537"/>
    <w:rsid w:val="00DF26D9"/>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6B"/>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7DD"/>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4A0"/>
    <w:rsid w:val="00E14758"/>
    <w:rsid w:val="00E14C5A"/>
    <w:rsid w:val="00E14CAD"/>
    <w:rsid w:val="00E14D42"/>
    <w:rsid w:val="00E150D0"/>
    <w:rsid w:val="00E151AE"/>
    <w:rsid w:val="00E15653"/>
    <w:rsid w:val="00E158AE"/>
    <w:rsid w:val="00E15D5B"/>
    <w:rsid w:val="00E15E79"/>
    <w:rsid w:val="00E16364"/>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295"/>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EA4"/>
    <w:rsid w:val="00E76FE7"/>
    <w:rsid w:val="00E77051"/>
    <w:rsid w:val="00E776DC"/>
    <w:rsid w:val="00E77847"/>
    <w:rsid w:val="00E77B20"/>
    <w:rsid w:val="00E77B93"/>
    <w:rsid w:val="00E77D08"/>
    <w:rsid w:val="00E77DEA"/>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851"/>
    <w:rsid w:val="00EB2D7A"/>
    <w:rsid w:val="00EB3348"/>
    <w:rsid w:val="00EB3756"/>
    <w:rsid w:val="00EB3803"/>
    <w:rsid w:val="00EB3B07"/>
    <w:rsid w:val="00EB3B0E"/>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FB"/>
    <w:rsid w:val="00EF49FF"/>
    <w:rsid w:val="00EF4A17"/>
    <w:rsid w:val="00EF4A28"/>
    <w:rsid w:val="00EF4ECE"/>
    <w:rsid w:val="00EF50E8"/>
    <w:rsid w:val="00EF5132"/>
    <w:rsid w:val="00EF525C"/>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B32"/>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E13"/>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0E88"/>
    <w:rsid w:val="00FA1024"/>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C2A"/>
    <w:rsid w:val="00FA6D8D"/>
    <w:rsid w:val="00FA6E38"/>
    <w:rsid w:val="00FA6F8F"/>
    <w:rsid w:val="00FA6FB6"/>
    <w:rsid w:val="00FA74DA"/>
    <w:rsid w:val="00FA7DD7"/>
    <w:rsid w:val="00FB008B"/>
    <w:rsid w:val="00FB00B4"/>
    <w:rsid w:val="00FB00D9"/>
    <w:rsid w:val="00FB0115"/>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32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97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35151714">
      <w:bodyDiv w:val="1"/>
      <w:marLeft w:val="0"/>
      <w:marRight w:val="0"/>
      <w:marTop w:val="0"/>
      <w:marBottom w:val="0"/>
      <w:divBdr>
        <w:top w:val="none" w:sz="0" w:space="0" w:color="auto"/>
        <w:left w:val="none" w:sz="0" w:space="0" w:color="auto"/>
        <w:bottom w:val="none" w:sz="0" w:space="0" w:color="auto"/>
        <w:right w:val="none" w:sz="0" w:space="0" w:color="auto"/>
      </w:divBdr>
      <w:divsChild>
        <w:div w:id="831064010">
          <w:marLeft w:val="0"/>
          <w:marRight w:val="0"/>
          <w:marTop w:val="0"/>
          <w:marBottom w:val="0"/>
          <w:divBdr>
            <w:top w:val="none" w:sz="0" w:space="0" w:color="auto"/>
            <w:left w:val="none" w:sz="0" w:space="0" w:color="auto"/>
            <w:bottom w:val="none" w:sz="0" w:space="0" w:color="auto"/>
            <w:right w:val="none" w:sz="0" w:space="0" w:color="auto"/>
          </w:divBdr>
        </w:div>
        <w:div w:id="1551964267">
          <w:marLeft w:val="0"/>
          <w:marRight w:val="0"/>
          <w:marTop w:val="0"/>
          <w:marBottom w:val="0"/>
          <w:divBdr>
            <w:top w:val="none" w:sz="0" w:space="0" w:color="auto"/>
            <w:left w:val="none" w:sz="0" w:space="0" w:color="auto"/>
            <w:bottom w:val="none" w:sz="0" w:space="0" w:color="auto"/>
            <w:right w:val="none" w:sz="0" w:space="0" w:color="auto"/>
          </w:divBdr>
        </w:div>
        <w:div w:id="1072310579">
          <w:marLeft w:val="0"/>
          <w:marRight w:val="0"/>
          <w:marTop w:val="0"/>
          <w:marBottom w:val="0"/>
          <w:divBdr>
            <w:top w:val="none" w:sz="0" w:space="0" w:color="auto"/>
            <w:left w:val="none" w:sz="0" w:space="0" w:color="auto"/>
            <w:bottom w:val="none" w:sz="0" w:space="0" w:color="auto"/>
            <w:right w:val="none" w:sz="0" w:space="0" w:color="auto"/>
          </w:divBdr>
        </w:div>
        <w:div w:id="741215104">
          <w:marLeft w:val="0"/>
          <w:marRight w:val="0"/>
          <w:marTop w:val="0"/>
          <w:marBottom w:val="0"/>
          <w:divBdr>
            <w:top w:val="none" w:sz="0" w:space="0" w:color="auto"/>
            <w:left w:val="none" w:sz="0" w:space="0" w:color="auto"/>
            <w:bottom w:val="none" w:sz="0" w:space="0" w:color="auto"/>
            <w:right w:val="none" w:sz="0" w:space="0" w:color="auto"/>
          </w:divBdr>
        </w:div>
        <w:div w:id="729964746">
          <w:marLeft w:val="0"/>
          <w:marRight w:val="0"/>
          <w:marTop w:val="0"/>
          <w:marBottom w:val="0"/>
          <w:divBdr>
            <w:top w:val="none" w:sz="0" w:space="0" w:color="auto"/>
            <w:left w:val="none" w:sz="0" w:space="0" w:color="auto"/>
            <w:bottom w:val="none" w:sz="0" w:space="0" w:color="auto"/>
            <w:right w:val="none" w:sz="0" w:space="0" w:color="auto"/>
          </w:divBdr>
        </w:div>
        <w:div w:id="1277522290">
          <w:marLeft w:val="0"/>
          <w:marRight w:val="0"/>
          <w:marTop w:val="0"/>
          <w:marBottom w:val="0"/>
          <w:divBdr>
            <w:top w:val="none" w:sz="0" w:space="0" w:color="auto"/>
            <w:left w:val="none" w:sz="0" w:space="0" w:color="auto"/>
            <w:bottom w:val="none" w:sz="0" w:space="0" w:color="auto"/>
            <w:right w:val="none" w:sz="0" w:space="0" w:color="auto"/>
          </w:divBdr>
        </w:div>
        <w:div w:id="1411805838">
          <w:marLeft w:val="0"/>
          <w:marRight w:val="0"/>
          <w:marTop w:val="0"/>
          <w:marBottom w:val="0"/>
          <w:divBdr>
            <w:top w:val="none" w:sz="0" w:space="0" w:color="auto"/>
            <w:left w:val="none" w:sz="0" w:space="0" w:color="auto"/>
            <w:bottom w:val="none" w:sz="0" w:space="0" w:color="auto"/>
            <w:right w:val="none" w:sz="0" w:space="0" w:color="auto"/>
          </w:divBdr>
        </w:div>
        <w:div w:id="1682732204">
          <w:marLeft w:val="0"/>
          <w:marRight w:val="0"/>
          <w:marTop w:val="0"/>
          <w:marBottom w:val="0"/>
          <w:divBdr>
            <w:top w:val="none" w:sz="0" w:space="0" w:color="auto"/>
            <w:left w:val="none" w:sz="0" w:space="0" w:color="auto"/>
            <w:bottom w:val="none" w:sz="0" w:space="0" w:color="auto"/>
            <w:right w:val="none" w:sz="0" w:space="0" w:color="auto"/>
          </w:divBdr>
        </w:div>
        <w:div w:id="642395128">
          <w:marLeft w:val="0"/>
          <w:marRight w:val="0"/>
          <w:marTop w:val="0"/>
          <w:marBottom w:val="0"/>
          <w:divBdr>
            <w:top w:val="none" w:sz="0" w:space="0" w:color="auto"/>
            <w:left w:val="none" w:sz="0" w:space="0" w:color="auto"/>
            <w:bottom w:val="none" w:sz="0" w:space="0" w:color="auto"/>
            <w:right w:val="none" w:sz="0" w:space="0" w:color="auto"/>
          </w:divBdr>
        </w:div>
        <w:div w:id="1703243850">
          <w:marLeft w:val="0"/>
          <w:marRight w:val="0"/>
          <w:marTop w:val="0"/>
          <w:marBottom w:val="0"/>
          <w:divBdr>
            <w:top w:val="none" w:sz="0" w:space="0" w:color="auto"/>
            <w:left w:val="none" w:sz="0" w:space="0" w:color="auto"/>
            <w:bottom w:val="none" w:sz="0" w:space="0" w:color="auto"/>
            <w:right w:val="none" w:sz="0" w:space="0" w:color="auto"/>
          </w:divBdr>
        </w:div>
        <w:div w:id="1811286074">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7851">
      <w:bodyDiv w:val="1"/>
      <w:marLeft w:val="0"/>
      <w:marRight w:val="0"/>
      <w:marTop w:val="0"/>
      <w:marBottom w:val="0"/>
      <w:divBdr>
        <w:top w:val="none" w:sz="0" w:space="0" w:color="auto"/>
        <w:left w:val="none" w:sz="0" w:space="0" w:color="auto"/>
        <w:bottom w:val="none" w:sz="0" w:space="0" w:color="auto"/>
        <w:right w:val="none" w:sz="0" w:space="0" w:color="auto"/>
      </w:divBdr>
      <w:divsChild>
        <w:div w:id="1383940137">
          <w:marLeft w:val="0"/>
          <w:marRight w:val="0"/>
          <w:marTop w:val="0"/>
          <w:marBottom w:val="0"/>
          <w:divBdr>
            <w:top w:val="none" w:sz="0" w:space="0" w:color="auto"/>
            <w:left w:val="none" w:sz="0" w:space="0" w:color="auto"/>
            <w:bottom w:val="none" w:sz="0" w:space="0" w:color="auto"/>
            <w:right w:val="none" w:sz="0" w:space="0" w:color="auto"/>
          </w:divBdr>
        </w:div>
        <w:div w:id="2141343421">
          <w:marLeft w:val="0"/>
          <w:marRight w:val="0"/>
          <w:marTop w:val="0"/>
          <w:marBottom w:val="0"/>
          <w:divBdr>
            <w:top w:val="none" w:sz="0" w:space="0" w:color="auto"/>
            <w:left w:val="none" w:sz="0" w:space="0" w:color="auto"/>
            <w:bottom w:val="none" w:sz="0" w:space="0" w:color="auto"/>
            <w:right w:val="none" w:sz="0" w:space="0" w:color="auto"/>
          </w:divBdr>
        </w:div>
        <w:div w:id="972249238">
          <w:marLeft w:val="0"/>
          <w:marRight w:val="0"/>
          <w:marTop w:val="0"/>
          <w:marBottom w:val="0"/>
          <w:divBdr>
            <w:top w:val="none" w:sz="0" w:space="0" w:color="auto"/>
            <w:left w:val="none" w:sz="0" w:space="0" w:color="auto"/>
            <w:bottom w:val="none" w:sz="0" w:space="0" w:color="auto"/>
            <w:right w:val="none" w:sz="0" w:space="0" w:color="auto"/>
          </w:divBdr>
        </w:div>
        <w:div w:id="557862313">
          <w:marLeft w:val="0"/>
          <w:marRight w:val="0"/>
          <w:marTop w:val="0"/>
          <w:marBottom w:val="0"/>
          <w:divBdr>
            <w:top w:val="none" w:sz="0" w:space="0" w:color="auto"/>
            <w:left w:val="none" w:sz="0" w:space="0" w:color="auto"/>
            <w:bottom w:val="none" w:sz="0" w:space="0" w:color="auto"/>
            <w:right w:val="none" w:sz="0" w:space="0" w:color="auto"/>
          </w:divBdr>
        </w:div>
        <w:div w:id="1961102904">
          <w:marLeft w:val="0"/>
          <w:marRight w:val="0"/>
          <w:marTop w:val="0"/>
          <w:marBottom w:val="0"/>
          <w:divBdr>
            <w:top w:val="none" w:sz="0" w:space="0" w:color="auto"/>
            <w:left w:val="none" w:sz="0" w:space="0" w:color="auto"/>
            <w:bottom w:val="none" w:sz="0" w:space="0" w:color="auto"/>
            <w:right w:val="none" w:sz="0" w:space="0" w:color="auto"/>
          </w:divBdr>
        </w:div>
        <w:div w:id="102845912">
          <w:marLeft w:val="0"/>
          <w:marRight w:val="0"/>
          <w:marTop w:val="0"/>
          <w:marBottom w:val="0"/>
          <w:divBdr>
            <w:top w:val="none" w:sz="0" w:space="0" w:color="auto"/>
            <w:left w:val="none" w:sz="0" w:space="0" w:color="auto"/>
            <w:bottom w:val="none" w:sz="0" w:space="0" w:color="auto"/>
            <w:right w:val="none" w:sz="0" w:space="0" w:color="auto"/>
          </w:divBdr>
        </w:div>
        <w:div w:id="2054185828">
          <w:marLeft w:val="0"/>
          <w:marRight w:val="0"/>
          <w:marTop w:val="0"/>
          <w:marBottom w:val="0"/>
          <w:divBdr>
            <w:top w:val="none" w:sz="0" w:space="0" w:color="auto"/>
            <w:left w:val="none" w:sz="0" w:space="0" w:color="auto"/>
            <w:bottom w:val="none" w:sz="0" w:space="0" w:color="auto"/>
            <w:right w:val="none" w:sz="0" w:space="0" w:color="auto"/>
          </w:divBdr>
        </w:div>
        <w:div w:id="219634940">
          <w:marLeft w:val="0"/>
          <w:marRight w:val="0"/>
          <w:marTop w:val="0"/>
          <w:marBottom w:val="0"/>
          <w:divBdr>
            <w:top w:val="none" w:sz="0" w:space="0" w:color="auto"/>
            <w:left w:val="none" w:sz="0" w:space="0" w:color="auto"/>
            <w:bottom w:val="none" w:sz="0" w:space="0" w:color="auto"/>
            <w:right w:val="none" w:sz="0" w:space="0" w:color="auto"/>
          </w:divBdr>
        </w:div>
        <w:div w:id="1203591638">
          <w:marLeft w:val="0"/>
          <w:marRight w:val="0"/>
          <w:marTop w:val="0"/>
          <w:marBottom w:val="0"/>
          <w:divBdr>
            <w:top w:val="none" w:sz="0" w:space="0" w:color="auto"/>
            <w:left w:val="none" w:sz="0" w:space="0" w:color="auto"/>
            <w:bottom w:val="none" w:sz="0" w:space="0" w:color="auto"/>
            <w:right w:val="none" w:sz="0" w:space="0" w:color="auto"/>
          </w:divBdr>
        </w:div>
        <w:div w:id="62989874">
          <w:marLeft w:val="0"/>
          <w:marRight w:val="0"/>
          <w:marTop w:val="0"/>
          <w:marBottom w:val="0"/>
          <w:divBdr>
            <w:top w:val="none" w:sz="0" w:space="0" w:color="auto"/>
            <w:left w:val="none" w:sz="0" w:space="0" w:color="auto"/>
            <w:bottom w:val="none" w:sz="0" w:space="0" w:color="auto"/>
            <w:right w:val="none" w:sz="0" w:space="0" w:color="auto"/>
          </w:divBdr>
        </w:div>
        <w:div w:id="1764960202">
          <w:marLeft w:val="0"/>
          <w:marRight w:val="0"/>
          <w:marTop w:val="0"/>
          <w:marBottom w:val="0"/>
          <w:divBdr>
            <w:top w:val="none" w:sz="0" w:space="0" w:color="auto"/>
            <w:left w:val="none" w:sz="0" w:space="0" w:color="auto"/>
            <w:bottom w:val="none" w:sz="0" w:space="0" w:color="auto"/>
            <w:right w:val="none" w:sz="0" w:space="0" w:color="auto"/>
          </w:divBdr>
        </w:div>
        <w:div w:id="52429544">
          <w:marLeft w:val="0"/>
          <w:marRight w:val="0"/>
          <w:marTop w:val="0"/>
          <w:marBottom w:val="0"/>
          <w:divBdr>
            <w:top w:val="none" w:sz="0" w:space="0" w:color="auto"/>
            <w:left w:val="none" w:sz="0" w:space="0" w:color="auto"/>
            <w:bottom w:val="none" w:sz="0" w:space="0" w:color="auto"/>
            <w:right w:val="none" w:sz="0" w:space="0" w:color="auto"/>
          </w:divBdr>
        </w:div>
        <w:div w:id="2134588910">
          <w:marLeft w:val="0"/>
          <w:marRight w:val="0"/>
          <w:marTop w:val="0"/>
          <w:marBottom w:val="0"/>
          <w:divBdr>
            <w:top w:val="none" w:sz="0" w:space="0" w:color="auto"/>
            <w:left w:val="none" w:sz="0" w:space="0" w:color="auto"/>
            <w:bottom w:val="none" w:sz="0" w:space="0" w:color="auto"/>
            <w:right w:val="none" w:sz="0" w:space="0" w:color="auto"/>
          </w:divBdr>
        </w:div>
        <w:div w:id="17896271">
          <w:marLeft w:val="0"/>
          <w:marRight w:val="0"/>
          <w:marTop w:val="0"/>
          <w:marBottom w:val="0"/>
          <w:divBdr>
            <w:top w:val="none" w:sz="0" w:space="0" w:color="auto"/>
            <w:left w:val="none" w:sz="0" w:space="0" w:color="auto"/>
            <w:bottom w:val="none" w:sz="0" w:space="0" w:color="auto"/>
            <w:right w:val="none" w:sz="0" w:space="0" w:color="auto"/>
          </w:divBdr>
        </w:div>
        <w:div w:id="1139227255">
          <w:marLeft w:val="0"/>
          <w:marRight w:val="0"/>
          <w:marTop w:val="0"/>
          <w:marBottom w:val="0"/>
          <w:divBdr>
            <w:top w:val="none" w:sz="0" w:space="0" w:color="auto"/>
            <w:left w:val="none" w:sz="0" w:space="0" w:color="auto"/>
            <w:bottom w:val="none" w:sz="0" w:space="0" w:color="auto"/>
            <w:right w:val="none" w:sz="0" w:space="0" w:color="auto"/>
          </w:divBdr>
        </w:div>
        <w:div w:id="123743761">
          <w:marLeft w:val="0"/>
          <w:marRight w:val="0"/>
          <w:marTop w:val="0"/>
          <w:marBottom w:val="0"/>
          <w:divBdr>
            <w:top w:val="none" w:sz="0" w:space="0" w:color="auto"/>
            <w:left w:val="none" w:sz="0" w:space="0" w:color="auto"/>
            <w:bottom w:val="none" w:sz="0" w:space="0" w:color="auto"/>
            <w:right w:val="none" w:sz="0" w:space="0" w:color="auto"/>
          </w:divBdr>
        </w:div>
        <w:div w:id="1721050519">
          <w:marLeft w:val="0"/>
          <w:marRight w:val="0"/>
          <w:marTop w:val="0"/>
          <w:marBottom w:val="0"/>
          <w:divBdr>
            <w:top w:val="none" w:sz="0" w:space="0" w:color="auto"/>
            <w:left w:val="none" w:sz="0" w:space="0" w:color="auto"/>
            <w:bottom w:val="none" w:sz="0" w:space="0" w:color="auto"/>
            <w:right w:val="none" w:sz="0" w:space="0" w:color="auto"/>
          </w:divBdr>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66711892">
      <w:bodyDiv w:val="1"/>
      <w:marLeft w:val="0"/>
      <w:marRight w:val="0"/>
      <w:marTop w:val="0"/>
      <w:marBottom w:val="0"/>
      <w:divBdr>
        <w:top w:val="none" w:sz="0" w:space="0" w:color="auto"/>
        <w:left w:val="none" w:sz="0" w:space="0" w:color="auto"/>
        <w:bottom w:val="none" w:sz="0" w:space="0" w:color="auto"/>
        <w:right w:val="none" w:sz="0" w:space="0" w:color="auto"/>
      </w:divBdr>
      <w:divsChild>
        <w:div w:id="1463839787">
          <w:marLeft w:val="0"/>
          <w:marRight w:val="0"/>
          <w:marTop w:val="0"/>
          <w:marBottom w:val="0"/>
          <w:divBdr>
            <w:top w:val="none" w:sz="0" w:space="0" w:color="auto"/>
            <w:left w:val="none" w:sz="0" w:space="0" w:color="auto"/>
            <w:bottom w:val="none" w:sz="0" w:space="0" w:color="auto"/>
            <w:right w:val="none" w:sz="0" w:space="0" w:color="auto"/>
          </w:divBdr>
        </w:div>
        <w:div w:id="1593080266">
          <w:marLeft w:val="0"/>
          <w:marRight w:val="0"/>
          <w:marTop w:val="0"/>
          <w:marBottom w:val="0"/>
          <w:divBdr>
            <w:top w:val="none" w:sz="0" w:space="0" w:color="auto"/>
            <w:left w:val="none" w:sz="0" w:space="0" w:color="auto"/>
            <w:bottom w:val="none" w:sz="0" w:space="0" w:color="auto"/>
            <w:right w:val="none" w:sz="0" w:space="0" w:color="auto"/>
          </w:divBdr>
        </w:div>
        <w:div w:id="1823617710">
          <w:marLeft w:val="0"/>
          <w:marRight w:val="0"/>
          <w:marTop w:val="0"/>
          <w:marBottom w:val="0"/>
          <w:divBdr>
            <w:top w:val="none" w:sz="0" w:space="0" w:color="auto"/>
            <w:left w:val="none" w:sz="0" w:space="0" w:color="auto"/>
            <w:bottom w:val="none" w:sz="0" w:space="0" w:color="auto"/>
            <w:right w:val="none" w:sz="0" w:space="0" w:color="auto"/>
          </w:divBdr>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83389515">
          <w:marLeft w:val="0"/>
          <w:marRight w:val="0"/>
          <w:marTop w:val="0"/>
          <w:marBottom w:val="120"/>
          <w:divBdr>
            <w:top w:val="none" w:sz="0" w:space="0" w:color="auto"/>
            <w:left w:val="none" w:sz="0" w:space="0" w:color="auto"/>
            <w:bottom w:val="none" w:sz="0" w:space="0" w:color="auto"/>
            <w:right w:val="none" w:sz="0" w:space="0" w:color="auto"/>
          </w:divBdr>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www.safetyandquality.gov.au/national-priorities/charter-of-healthcare-rights/review-of-the-charter-of-healthcare-rights-second-edition/" TargetMode="External"/><Relationship Id="rId26" Type="http://schemas.openxmlformats.org/officeDocument/2006/relationships/hyperlink" Target="https://doi.org/10.1016/j.socscimed.2019.01.035"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y.psa.org.au/s/article/Medicine-Safety-Report" TargetMode="External"/><Relationship Id="rId34" Type="http://schemas.openxmlformats.org/officeDocument/2006/relationships/hyperlink" Target="https://www.nice.org.uk/guidance/ng120"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www.surveymonkey.com/r/QKRJLNX" TargetMode="External"/><Relationship Id="rId25" Type="http://schemas.openxmlformats.org/officeDocument/2006/relationships/hyperlink" Target="https://doi.org/10.5694/mja2.12035" TargetMode="External"/><Relationship Id="rId33" Type="http://schemas.openxmlformats.org/officeDocument/2006/relationships/hyperlink" Target="https://www.nice.org.uk"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safetyandquality.gov.au/national-priorities/charter-of-healthcare-rights/review-of-the-charter-of-healthcare-rights-second-edition/" TargetMode="External"/><Relationship Id="rId20" Type="http://schemas.openxmlformats.org/officeDocument/2006/relationships/image" Target="media/image2.png"/><Relationship Id="rId29" Type="http://schemas.openxmlformats.org/officeDocument/2006/relationships/hyperlink" Target="http://www.publish.csiro.au/ah/issue/936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doi.org/10.5694/mja18.00467" TargetMode="External"/><Relationship Id="rId32" Type="http://schemas.openxmlformats.org/officeDocument/2006/relationships/hyperlink" Target="http://vifmcommuniques.org/future-leaders-communique-volume-4-issue-1-january-2019/"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doi.org/10.1071/AH16287" TargetMode="External"/><Relationship Id="rId28" Type="http://schemas.openxmlformats.org/officeDocument/2006/relationships/hyperlink" Target="https://doi.org/10.1001/jama.2018.20295" TargetMode="External"/><Relationship Id="rId36" Type="http://schemas.openxmlformats.org/officeDocument/2006/relationships/hyperlink" Target="https://www.nice.org.uk/guidance/qs178" TargetMode="Externa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mailto:partneringwithconsumers@safetyandquality.gov.au" TargetMode="External"/><Relationship Id="rId31" Type="http://schemas.openxmlformats.org/officeDocument/2006/relationships/hyperlink" Target="https://qualitysafety.bmj.com/content/early/recent"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image" Target="media/image3.png"/><Relationship Id="rId27" Type="http://schemas.openxmlformats.org/officeDocument/2006/relationships/hyperlink" Target="http://doi.org/10.1016/j.jcjq.2018.08.011" TargetMode="External"/><Relationship Id="rId30" Type="http://schemas.openxmlformats.org/officeDocument/2006/relationships/hyperlink" Target="https://www.longwoods.com/publications/healthcare-quarterly/25696" TargetMode="External"/><Relationship Id="rId35" Type="http://schemas.openxmlformats.org/officeDocument/2006/relationships/hyperlink" Target="https://www.nice.org.uk/guidance/cg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C4087-BCE6-4F09-9AE9-1556BA7DF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7</Pages>
  <Words>3034</Words>
  <Characters>17299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20293</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21</cp:revision>
  <cp:lastPrinted>2018-03-02T02:34:00Z</cp:lastPrinted>
  <dcterms:created xsi:type="dcterms:W3CDTF">2019-02-03T19:58:00Z</dcterms:created>
  <dcterms:modified xsi:type="dcterms:W3CDTF">2019-02-08T01:20:00Z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