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AF058F">
      <w:pPr>
        <w:pStyle w:val="Heading1"/>
        <w:ind w:left="2880" w:hanging="2880"/>
        <w:jc w:val="both"/>
        <w:rPr>
          <w:rFonts w:ascii="Bookman Old Style" w:hAnsi="Bookman Old Style"/>
          <w:sz w:val="48"/>
          <w:szCs w:val="48"/>
          <w:lang w:val="en-AU"/>
        </w:rPr>
      </w:pPr>
      <w:bookmarkStart w:id="0" w:name="_GoBack"/>
      <w:bookmarkEnd w:id="0"/>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2D5315">
        <w:rPr>
          <w:rFonts w:ascii="Garamond" w:hAnsi="Garamond"/>
          <w:lang w:val="en-AU"/>
        </w:rPr>
        <w:t>1</w:t>
      </w:r>
      <w:r w:rsidR="00F44FEC">
        <w:rPr>
          <w:rFonts w:ascii="Garamond" w:hAnsi="Garamond"/>
          <w:lang w:val="en-AU"/>
        </w:rPr>
        <w:t>3</w:t>
      </w:r>
    </w:p>
    <w:p w:rsidR="00755242" w:rsidRPr="00467B47" w:rsidRDefault="00F44FEC" w:rsidP="00F738B5">
      <w:pPr>
        <w:rPr>
          <w:rFonts w:ascii="Garamond" w:hAnsi="Garamond"/>
          <w:lang w:val="en-AU"/>
        </w:rPr>
      </w:pPr>
      <w:r>
        <w:rPr>
          <w:rFonts w:ascii="Garamond" w:hAnsi="Garamond"/>
          <w:lang w:val="en-AU"/>
        </w:rPr>
        <w:t>8</w:t>
      </w:r>
      <w:r w:rsidR="00B44299">
        <w:rPr>
          <w:rFonts w:ascii="Garamond" w:hAnsi="Garamond"/>
          <w:lang w:val="en-AU"/>
        </w:rPr>
        <w:t xml:space="preserve"> April </w:t>
      </w:r>
      <w:r w:rsidR="006C06FF">
        <w:rPr>
          <w:rFonts w:ascii="Garamond" w:hAnsi="Garamond"/>
          <w:lang w:val="en-AU"/>
        </w:rPr>
        <w:t>2019</w:t>
      </w:r>
    </w:p>
    <w:p w:rsidR="00566895" w:rsidRPr="00467B47" w:rsidRDefault="00566895" w:rsidP="00B160EF">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F86E13" w:rsidRDefault="00B160EF" w:rsidP="0045757F">
      <w:pPr>
        <w:autoSpaceDE w:val="0"/>
        <w:rPr>
          <w:rStyle w:val="Hyperlink"/>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10" w:history="1">
        <w:r w:rsidR="00543EF2" w:rsidRPr="00467B47">
          <w:rPr>
            <w:rStyle w:val="Hyperlink"/>
            <w:rFonts w:ascii="Garamond" w:hAnsi="Garamond"/>
            <w:lang w:val="en-AU"/>
          </w:rPr>
          <w:t>https://www.safetyandquality.gov.au/publications-resources/on-the-radar/</w:t>
        </w:r>
      </w:hyperlink>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1"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3"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1" w:name="OLE_LINK1"/>
      <w:r w:rsidRPr="00467B47">
        <w:rPr>
          <w:rFonts w:ascii="Garamond" w:hAnsi="Garamond"/>
          <w:lang w:val="en-AU"/>
        </w:rPr>
        <w:t xml:space="preserve">For information about the Commission and its programs and publications, please visit </w:t>
      </w:r>
      <w:hyperlink r:id="rId14"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5"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1"/>
    </w:p>
    <w:p w:rsidR="0055445F" w:rsidRDefault="0055445F">
      <w:pPr>
        <w:rPr>
          <w:rFonts w:ascii="Garamond" w:hAnsi="Garamond"/>
          <w:b/>
          <w:lang w:val="en-AU"/>
        </w:rPr>
      </w:pPr>
    </w:p>
    <w:p w:rsidR="00624F52" w:rsidRDefault="00624F52" w:rsidP="00A305BE">
      <w:pPr>
        <w:ind w:left="720" w:hanging="720"/>
        <w:rPr>
          <w:rFonts w:ascii="Garamond" w:hAnsi="Garamond"/>
          <w:lang w:val="en-AU"/>
        </w:rPr>
      </w:pPr>
    </w:p>
    <w:p w:rsidR="003676AE" w:rsidRPr="00624F52" w:rsidRDefault="003676AE" w:rsidP="00A305BE">
      <w:pPr>
        <w:ind w:left="720" w:hanging="720"/>
        <w:rPr>
          <w:rFonts w:ascii="Garamond" w:hAnsi="Garamond"/>
          <w:lang w:val="en-AU"/>
        </w:rPr>
      </w:pPr>
    </w:p>
    <w:p w:rsidR="00F44FEC" w:rsidRDefault="00F44FEC">
      <w:pPr>
        <w:rPr>
          <w:rFonts w:ascii="Garamond" w:hAnsi="Garamond"/>
          <w:b/>
          <w:lang w:val="en-AU"/>
        </w:rPr>
      </w:pPr>
      <w:r>
        <w:rPr>
          <w:rFonts w:ascii="Garamond" w:hAnsi="Garamond"/>
          <w:b/>
          <w:lang w:val="en-AU"/>
        </w:rPr>
        <w:t>Books</w:t>
      </w:r>
    </w:p>
    <w:p w:rsidR="00F44FEC" w:rsidRDefault="00F44FEC" w:rsidP="00F44FEC">
      <w:pPr>
        <w:keepLines/>
        <w:autoSpaceDE w:val="0"/>
        <w:autoSpaceDN w:val="0"/>
        <w:adjustRightInd w:val="0"/>
        <w:rPr>
          <w:rFonts w:ascii="Garamond" w:hAnsi="Garamond"/>
          <w:lang w:val="en-AU"/>
        </w:rPr>
      </w:pPr>
    </w:p>
    <w:p w:rsidR="00F44FEC" w:rsidRPr="00994876" w:rsidRDefault="00994876" w:rsidP="00F44FEC">
      <w:pPr>
        <w:keepLines/>
        <w:autoSpaceDE w:val="0"/>
        <w:autoSpaceDN w:val="0"/>
        <w:adjustRightInd w:val="0"/>
        <w:rPr>
          <w:rFonts w:ascii="Garamond" w:hAnsi="Garamond"/>
          <w:i/>
          <w:lang w:val="en-AU"/>
        </w:rPr>
      </w:pPr>
      <w:r w:rsidRPr="00994876">
        <w:rPr>
          <w:rFonts w:ascii="Garamond" w:hAnsi="Garamond"/>
          <w:i/>
          <w:lang w:val="en-AU"/>
        </w:rPr>
        <w:t>The Intersection of Behavioral Health, Mental Health, and Health Literacy: Proceedings of a Workshop</w:t>
      </w:r>
    </w:p>
    <w:p w:rsidR="002F0B3C" w:rsidRDefault="002F0B3C" w:rsidP="00F44FEC">
      <w:pPr>
        <w:keepLines/>
        <w:autoSpaceDE w:val="0"/>
        <w:autoSpaceDN w:val="0"/>
        <w:adjustRightInd w:val="0"/>
        <w:rPr>
          <w:rFonts w:ascii="Garamond" w:hAnsi="Garamond"/>
          <w:lang w:val="en-AU"/>
        </w:rPr>
      </w:pPr>
      <w:r w:rsidRPr="002F0B3C">
        <w:rPr>
          <w:rFonts w:ascii="Garamond" w:hAnsi="Garamond"/>
          <w:lang w:val="en-AU"/>
        </w:rPr>
        <w:t>National Academies of Sciences, Engineering, Medicine</w:t>
      </w:r>
    </w:p>
    <w:p w:rsidR="002F0B3C" w:rsidRDefault="002F0B3C" w:rsidP="00F44FEC">
      <w:pPr>
        <w:keepLines/>
        <w:autoSpaceDE w:val="0"/>
        <w:autoSpaceDN w:val="0"/>
        <w:adjustRightInd w:val="0"/>
        <w:rPr>
          <w:rFonts w:ascii="Garamond" w:hAnsi="Garamond"/>
          <w:lang w:val="en-AU"/>
        </w:rPr>
      </w:pPr>
      <w:proofErr w:type="spellStart"/>
      <w:r w:rsidRPr="002F0B3C">
        <w:rPr>
          <w:rFonts w:ascii="Garamond" w:hAnsi="Garamond"/>
          <w:lang w:val="en-AU"/>
        </w:rPr>
        <w:t>Alper</w:t>
      </w:r>
      <w:proofErr w:type="spellEnd"/>
      <w:r w:rsidRPr="002F0B3C">
        <w:rPr>
          <w:rFonts w:ascii="Garamond" w:hAnsi="Garamond"/>
          <w:lang w:val="en-AU"/>
        </w:rPr>
        <w:t xml:space="preserve"> J, </w:t>
      </w:r>
      <w:proofErr w:type="spellStart"/>
      <w:r w:rsidRPr="002F0B3C">
        <w:rPr>
          <w:rFonts w:ascii="Garamond" w:hAnsi="Garamond"/>
          <w:lang w:val="en-AU"/>
        </w:rPr>
        <w:t>Wojtowicz</w:t>
      </w:r>
      <w:proofErr w:type="spellEnd"/>
      <w:r w:rsidRPr="002F0B3C">
        <w:rPr>
          <w:rFonts w:ascii="Garamond" w:hAnsi="Garamond"/>
          <w:lang w:val="en-AU"/>
        </w:rPr>
        <w:t xml:space="preserve"> A, editors</w:t>
      </w:r>
    </w:p>
    <w:p w:rsidR="00994876" w:rsidRDefault="002F0B3C" w:rsidP="00F44FEC">
      <w:pPr>
        <w:keepLines/>
        <w:autoSpaceDE w:val="0"/>
        <w:autoSpaceDN w:val="0"/>
        <w:adjustRightInd w:val="0"/>
        <w:rPr>
          <w:rFonts w:ascii="Garamond" w:hAnsi="Garamond"/>
          <w:lang w:val="en-AU"/>
        </w:rPr>
      </w:pPr>
      <w:r w:rsidRPr="002F0B3C">
        <w:rPr>
          <w:rFonts w:ascii="Garamond" w:hAnsi="Garamond"/>
          <w:lang w:val="en-AU"/>
        </w:rPr>
        <w:t>Washington, DC: The National Academies Press; 2019.</w:t>
      </w:r>
    </w:p>
    <w:tbl>
      <w:tblPr>
        <w:tblStyle w:val="TableGrid"/>
        <w:tblW w:w="0" w:type="auto"/>
        <w:tblInd w:w="288" w:type="dxa"/>
        <w:tblLayout w:type="fixed"/>
        <w:tblLook w:val="01E0" w:firstRow="1" w:lastRow="1" w:firstColumn="1" w:lastColumn="1" w:noHBand="0" w:noVBand="0"/>
      </w:tblPr>
      <w:tblGrid>
        <w:gridCol w:w="1080"/>
        <w:gridCol w:w="8280"/>
      </w:tblGrid>
      <w:tr w:rsidR="00F44FEC" w:rsidRPr="000170DA" w:rsidTr="00D70152">
        <w:tc>
          <w:tcPr>
            <w:tcW w:w="1080" w:type="dxa"/>
            <w:tcBorders>
              <w:top w:val="single" w:sz="4" w:space="0" w:color="auto"/>
              <w:left w:val="single" w:sz="4" w:space="0" w:color="auto"/>
              <w:bottom w:val="single" w:sz="4" w:space="0" w:color="auto"/>
              <w:right w:val="single" w:sz="4" w:space="0" w:color="auto"/>
            </w:tcBorders>
            <w:vAlign w:val="center"/>
          </w:tcPr>
          <w:p w:rsidR="00F44FEC" w:rsidRPr="000170DA" w:rsidRDefault="002F0B3C" w:rsidP="00D70152">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44FEC" w:rsidRPr="000170DA" w:rsidRDefault="002C4DAE" w:rsidP="002F0B3C">
            <w:pPr>
              <w:rPr>
                <w:rStyle w:val="Hyperlink"/>
                <w:rFonts w:ascii="Garamond" w:hAnsi="Garamond"/>
                <w:color w:val="auto"/>
                <w:u w:val="none"/>
                <w:lang w:val="en-AU"/>
              </w:rPr>
            </w:pPr>
            <w:hyperlink r:id="rId16" w:history="1">
              <w:r w:rsidR="002F0B3C" w:rsidRPr="00C44750">
                <w:rPr>
                  <w:rStyle w:val="Hyperlink"/>
                  <w:rFonts w:ascii="Garamond" w:hAnsi="Garamond"/>
                  <w:lang w:val="en-AU"/>
                </w:rPr>
                <w:t>https://doi.org/10.17226/25278</w:t>
              </w:r>
            </w:hyperlink>
          </w:p>
        </w:tc>
      </w:tr>
      <w:tr w:rsidR="00F44FEC" w:rsidRPr="000170DA" w:rsidTr="00D70152">
        <w:tc>
          <w:tcPr>
            <w:tcW w:w="1080" w:type="dxa"/>
            <w:tcBorders>
              <w:top w:val="single" w:sz="4" w:space="0" w:color="auto"/>
              <w:left w:val="single" w:sz="4" w:space="0" w:color="auto"/>
              <w:bottom w:val="single" w:sz="4" w:space="0" w:color="auto"/>
              <w:right w:val="single" w:sz="4" w:space="0" w:color="auto"/>
            </w:tcBorders>
            <w:vAlign w:val="center"/>
          </w:tcPr>
          <w:p w:rsidR="00F44FEC" w:rsidRPr="000170DA" w:rsidRDefault="00F44FEC" w:rsidP="00D7015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94876" w:rsidRPr="002F0B3C" w:rsidRDefault="00994876" w:rsidP="009506C7">
            <w:pPr>
              <w:pStyle w:val="Caption"/>
              <w:rPr>
                <w:rFonts w:ascii="Garamond" w:hAnsi="Garamond"/>
                <w:b w:val="0"/>
                <w:sz w:val="24"/>
                <w:szCs w:val="24"/>
                <w:lang w:val="en-AU"/>
              </w:rPr>
            </w:pPr>
            <w:r w:rsidRPr="002F0B3C">
              <w:rPr>
                <w:rFonts w:ascii="Garamond" w:hAnsi="Garamond"/>
                <w:b w:val="0"/>
                <w:sz w:val="24"/>
                <w:szCs w:val="24"/>
                <w:lang w:val="en-AU"/>
              </w:rPr>
              <w:t>Th</w:t>
            </w:r>
            <w:r w:rsidR="009506C7">
              <w:rPr>
                <w:rFonts w:ascii="Garamond" w:hAnsi="Garamond"/>
                <w:b w:val="0"/>
                <w:sz w:val="24"/>
                <w:szCs w:val="24"/>
                <w:lang w:val="en-AU"/>
              </w:rPr>
              <w:t>is</w:t>
            </w:r>
            <w:r w:rsidRPr="002F0B3C">
              <w:rPr>
                <w:rFonts w:ascii="Garamond" w:hAnsi="Garamond"/>
                <w:b w:val="0"/>
                <w:sz w:val="24"/>
                <w:szCs w:val="24"/>
                <w:lang w:val="en-AU"/>
              </w:rPr>
              <w:t xml:space="preserve"> book is the outcome (and summary of) a workshop </w:t>
            </w:r>
            <w:r w:rsidR="002F0B3C" w:rsidRPr="002F0B3C">
              <w:rPr>
                <w:rFonts w:ascii="Garamond" w:hAnsi="Garamond"/>
                <w:b w:val="0"/>
                <w:sz w:val="24"/>
                <w:szCs w:val="24"/>
                <w:lang w:val="en-AU"/>
              </w:rPr>
              <w:t xml:space="preserve">held in Washington D.C. in July 2018. The workshop was held to </w:t>
            </w:r>
            <w:r w:rsidRPr="002F0B3C">
              <w:rPr>
                <w:rFonts w:ascii="Garamond" w:hAnsi="Garamond"/>
                <w:b w:val="0"/>
                <w:sz w:val="24"/>
                <w:szCs w:val="24"/>
                <w:lang w:val="en-AU"/>
              </w:rPr>
              <w:t>explore issues associated with effective communication with individuals with mental or behavio</w:t>
            </w:r>
            <w:r w:rsidR="002F0B3C">
              <w:rPr>
                <w:rFonts w:ascii="Garamond" w:hAnsi="Garamond"/>
                <w:b w:val="0"/>
                <w:sz w:val="24"/>
                <w:szCs w:val="24"/>
                <w:lang w:val="en-AU"/>
              </w:rPr>
              <w:t>u</w:t>
            </w:r>
            <w:r w:rsidRPr="002F0B3C">
              <w:rPr>
                <w:rFonts w:ascii="Garamond" w:hAnsi="Garamond"/>
                <w:b w:val="0"/>
                <w:sz w:val="24"/>
                <w:szCs w:val="24"/>
                <w:lang w:val="en-AU"/>
              </w:rPr>
              <w:t>ral health issues and to identify ways in which health literacy approaches can facilitate communication. In particular, the workshop aimed to gain a better understanding of how behavio</w:t>
            </w:r>
            <w:r w:rsidR="002F0B3C">
              <w:rPr>
                <w:rFonts w:ascii="Garamond" w:hAnsi="Garamond"/>
                <w:b w:val="0"/>
                <w:sz w:val="24"/>
                <w:szCs w:val="24"/>
                <w:lang w:val="en-AU"/>
              </w:rPr>
              <w:t>u</w:t>
            </w:r>
            <w:r w:rsidRPr="002F0B3C">
              <w:rPr>
                <w:rFonts w:ascii="Garamond" w:hAnsi="Garamond"/>
                <w:b w:val="0"/>
                <w:sz w:val="24"/>
                <w:szCs w:val="24"/>
                <w:lang w:val="en-AU"/>
              </w:rPr>
              <w:t>ral health and mental health concerns can adversely affect communications between providers and patients and their fam</w:t>
            </w:r>
            <w:r w:rsidR="002F0B3C">
              <w:rPr>
                <w:rFonts w:ascii="Garamond" w:hAnsi="Garamond"/>
                <w:b w:val="0"/>
                <w:sz w:val="24"/>
                <w:szCs w:val="24"/>
                <w:lang w:val="en-AU"/>
              </w:rPr>
              <w:t>ilies. This publication summaris</w:t>
            </w:r>
            <w:r w:rsidRPr="002F0B3C">
              <w:rPr>
                <w:rFonts w:ascii="Garamond" w:hAnsi="Garamond"/>
                <w:b w:val="0"/>
                <w:sz w:val="24"/>
                <w:szCs w:val="24"/>
                <w:lang w:val="en-AU"/>
              </w:rPr>
              <w:t>es the discussions that took place throughout the workshop, highlighting key lessons, practical strategies, and the needs and opportunities for using the principles of health literacy to improve communication among health care providers, individuals with behavio</w:t>
            </w:r>
            <w:r w:rsidR="002F0B3C">
              <w:rPr>
                <w:rFonts w:ascii="Garamond" w:hAnsi="Garamond"/>
                <w:b w:val="0"/>
                <w:sz w:val="24"/>
                <w:szCs w:val="24"/>
                <w:lang w:val="en-AU"/>
              </w:rPr>
              <w:t>u</w:t>
            </w:r>
            <w:r w:rsidRPr="002F0B3C">
              <w:rPr>
                <w:rFonts w:ascii="Garamond" w:hAnsi="Garamond"/>
                <w:b w:val="0"/>
                <w:sz w:val="24"/>
                <w:szCs w:val="24"/>
                <w:lang w:val="en-AU"/>
              </w:rPr>
              <w:t>ral health and mental health challenges, and family members.</w:t>
            </w:r>
          </w:p>
        </w:tc>
      </w:tr>
    </w:tbl>
    <w:p w:rsidR="00F44FEC" w:rsidRDefault="00F44FEC" w:rsidP="00F44FEC">
      <w:pPr>
        <w:keepLines/>
        <w:autoSpaceDE w:val="0"/>
        <w:autoSpaceDN w:val="0"/>
        <w:adjustRightInd w:val="0"/>
        <w:rPr>
          <w:rFonts w:ascii="Garamond" w:hAnsi="Garamond"/>
          <w:i/>
          <w:lang w:val="en-AU"/>
        </w:rPr>
      </w:pPr>
    </w:p>
    <w:p w:rsidR="00F44FEC" w:rsidRDefault="00F44FEC" w:rsidP="00F44FEC">
      <w:pPr>
        <w:rPr>
          <w:rFonts w:ascii="Garamond" w:hAnsi="Garamond"/>
          <w:i/>
          <w:lang w:val="en-AU"/>
        </w:rPr>
      </w:pPr>
    </w:p>
    <w:p w:rsidR="00282D29" w:rsidRDefault="00282D29">
      <w:pPr>
        <w:rPr>
          <w:rFonts w:ascii="Garamond" w:hAnsi="Garamond"/>
          <w:b/>
          <w:lang w:val="en-AU"/>
        </w:rPr>
      </w:pPr>
      <w:r>
        <w:rPr>
          <w:rFonts w:ascii="Garamond" w:hAnsi="Garamond"/>
          <w:b/>
          <w:lang w:val="en-AU"/>
        </w:rPr>
        <w:lastRenderedPageBreak/>
        <w:t>Reports</w:t>
      </w:r>
    </w:p>
    <w:p w:rsidR="00C3692E" w:rsidRDefault="00C3692E" w:rsidP="00C3692E">
      <w:pPr>
        <w:keepLines/>
        <w:autoSpaceDE w:val="0"/>
        <w:autoSpaceDN w:val="0"/>
        <w:adjustRightInd w:val="0"/>
        <w:rPr>
          <w:rFonts w:ascii="Garamond" w:hAnsi="Garamond"/>
          <w:lang w:val="en-AU"/>
        </w:rPr>
      </w:pPr>
    </w:p>
    <w:p w:rsidR="00B06334" w:rsidRPr="00B06334" w:rsidRDefault="00B06334" w:rsidP="00B06334">
      <w:pPr>
        <w:keepLines/>
        <w:autoSpaceDE w:val="0"/>
        <w:autoSpaceDN w:val="0"/>
        <w:adjustRightInd w:val="0"/>
        <w:rPr>
          <w:rFonts w:ascii="Garamond" w:hAnsi="Garamond"/>
          <w:i/>
          <w:lang w:val="en-AU"/>
        </w:rPr>
      </w:pPr>
      <w:r w:rsidRPr="00B06334">
        <w:rPr>
          <w:rFonts w:ascii="Garamond" w:hAnsi="Garamond"/>
          <w:i/>
          <w:lang w:val="en-AU"/>
        </w:rPr>
        <w:t>A</w:t>
      </w:r>
      <w:r>
        <w:rPr>
          <w:rFonts w:ascii="Garamond" w:hAnsi="Garamond"/>
          <w:i/>
          <w:lang w:val="en-AU"/>
        </w:rPr>
        <w:t>n A</w:t>
      </w:r>
      <w:r w:rsidRPr="00B06334">
        <w:rPr>
          <w:rFonts w:ascii="Garamond" w:hAnsi="Garamond"/>
          <w:i/>
          <w:lang w:val="en-AU"/>
        </w:rPr>
        <w:t>ction Plan for Medical Devices: Improving Australia’s medical device regulatory framework</w:t>
      </w:r>
    </w:p>
    <w:p w:rsidR="00B06334" w:rsidRDefault="00B06334" w:rsidP="00B06334">
      <w:pPr>
        <w:keepLines/>
        <w:autoSpaceDE w:val="0"/>
        <w:autoSpaceDN w:val="0"/>
        <w:adjustRightInd w:val="0"/>
        <w:rPr>
          <w:rFonts w:ascii="Garamond" w:hAnsi="Garamond"/>
          <w:lang w:val="en-AU"/>
        </w:rPr>
      </w:pPr>
      <w:r w:rsidRPr="00B06334">
        <w:rPr>
          <w:rFonts w:ascii="Garamond" w:hAnsi="Garamond"/>
          <w:lang w:val="en-AU"/>
        </w:rPr>
        <w:t>Therapeutic Goods Administration</w:t>
      </w:r>
    </w:p>
    <w:p w:rsidR="00B06334" w:rsidRDefault="00B06334" w:rsidP="00B06334">
      <w:pPr>
        <w:keepLines/>
        <w:autoSpaceDE w:val="0"/>
        <w:autoSpaceDN w:val="0"/>
        <w:adjustRightInd w:val="0"/>
        <w:rPr>
          <w:rFonts w:ascii="Garamond" w:hAnsi="Garamond"/>
          <w:lang w:val="en-AU"/>
        </w:rPr>
      </w:pPr>
      <w:r w:rsidRPr="00B06334">
        <w:rPr>
          <w:rFonts w:ascii="Garamond" w:hAnsi="Garamond"/>
          <w:lang w:val="en-AU"/>
        </w:rPr>
        <w:t xml:space="preserve">Canberra: TGA; 2019. </w:t>
      </w:r>
      <w:proofErr w:type="gramStart"/>
      <w:r w:rsidRPr="00B06334">
        <w:rPr>
          <w:rFonts w:ascii="Garamond" w:hAnsi="Garamond"/>
          <w:lang w:val="en-AU"/>
        </w:rPr>
        <w:t>p. 11.</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B06334" w:rsidRPr="000170DA" w:rsidTr="00C67CBD">
        <w:tc>
          <w:tcPr>
            <w:tcW w:w="1080" w:type="dxa"/>
            <w:tcBorders>
              <w:top w:val="single" w:sz="4" w:space="0" w:color="auto"/>
              <w:left w:val="single" w:sz="4" w:space="0" w:color="auto"/>
              <w:bottom w:val="single" w:sz="4" w:space="0" w:color="auto"/>
              <w:right w:val="single" w:sz="4" w:space="0" w:color="auto"/>
            </w:tcBorders>
            <w:vAlign w:val="center"/>
          </w:tcPr>
          <w:p w:rsidR="00B06334" w:rsidRPr="000170DA" w:rsidRDefault="00B06334" w:rsidP="00C67CBD">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06334" w:rsidRPr="000170DA" w:rsidRDefault="002C4DAE" w:rsidP="00C67CBD">
            <w:pPr>
              <w:rPr>
                <w:rStyle w:val="Hyperlink"/>
                <w:rFonts w:ascii="Garamond" w:hAnsi="Garamond"/>
                <w:color w:val="auto"/>
                <w:u w:val="none"/>
                <w:lang w:val="en-AU"/>
              </w:rPr>
            </w:pPr>
            <w:hyperlink r:id="rId17" w:history="1">
              <w:r w:rsidR="00B06334" w:rsidRPr="00C44750">
                <w:rPr>
                  <w:rStyle w:val="Hyperlink"/>
                  <w:rFonts w:ascii="Garamond" w:hAnsi="Garamond"/>
                  <w:lang w:val="en-AU"/>
                </w:rPr>
                <w:t>https://www.tga.gov.au/publication/action-plan-medical-devices</w:t>
              </w:r>
            </w:hyperlink>
          </w:p>
        </w:tc>
      </w:tr>
      <w:tr w:rsidR="00B06334" w:rsidRPr="000170DA" w:rsidTr="00C67CBD">
        <w:tc>
          <w:tcPr>
            <w:tcW w:w="1080" w:type="dxa"/>
            <w:tcBorders>
              <w:top w:val="single" w:sz="4" w:space="0" w:color="auto"/>
              <w:left w:val="single" w:sz="4" w:space="0" w:color="auto"/>
              <w:bottom w:val="single" w:sz="4" w:space="0" w:color="auto"/>
              <w:right w:val="single" w:sz="4" w:space="0" w:color="auto"/>
            </w:tcBorders>
            <w:vAlign w:val="center"/>
          </w:tcPr>
          <w:p w:rsidR="00B06334" w:rsidRPr="000170DA" w:rsidRDefault="00B06334" w:rsidP="00C67CB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06334" w:rsidRPr="00B06334" w:rsidRDefault="00B06334" w:rsidP="00B06334">
            <w:pPr>
              <w:pStyle w:val="Caption"/>
              <w:rPr>
                <w:rFonts w:ascii="Garamond" w:hAnsi="Garamond"/>
                <w:b w:val="0"/>
                <w:sz w:val="24"/>
                <w:szCs w:val="24"/>
                <w:lang w:val="en-AU"/>
              </w:rPr>
            </w:pPr>
            <w:r w:rsidRPr="00B06334">
              <w:rPr>
                <w:rFonts w:ascii="Garamond" w:hAnsi="Garamond"/>
                <w:b w:val="0"/>
                <w:sz w:val="24"/>
                <w:szCs w:val="24"/>
                <w:lang w:val="en-AU"/>
              </w:rPr>
              <w:t>The Th</w:t>
            </w:r>
            <w:r>
              <w:rPr>
                <w:rFonts w:ascii="Garamond" w:hAnsi="Garamond"/>
                <w:b w:val="0"/>
                <w:sz w:val="24"/>
                <w:szCs w:val="24"/>
                <w:lang w:val="en-AU"/>
              </w:rPr>
              <w:t xml:space="preserve">erapeutic Goods Administration (TGA) has released this Action Plan outlining how the TGA will improve the regulatory environment for medical devices by further attention to patient safety. The Action Plan </w:t>
            </w:r>
            <w:r w:rsidR="00467091">
              <w:rPr>
                <w:rFonts w:ascii="Garamond" w:hAnsi="Garamond"/>
                <w:b w:val="0"/>
                <w:sz w:val="24"/>
                <w:szCs w:val="24"/>
                <w:lang w:val="en-AU"/>
              </w:rPr>
              <w:t>outlines</w:t>
            </w:r>
            <w:r>
              <w:rPr>
                <w:rFonts w:ascii="Garamond" w:hAnsi="Garamond"/>
                <w:b w:val="0"/>
                <w:sz w:val="24"/>
                <w:szCs w:val="24"/>
                <w:lang w:val="en-AU"/>
              </w:rPr>
              <w:t xml:space="preserve"> a ‘</w:t>
            </w:r>
            <w:r w:rsidRPr="00B06334">
              <w:rPr>
                <w:rFonts w:ascii="Garamond" w:hAnsi="Garamond"/>
                <w:b w:val="0"/>
                <w:sz w:val="24"/>
                <w:szCs w:val="24"/>
                <w:lang w:val="en-AU"/>
              </w:rPr>
              <w:t>three part strategy to strengthen Australia's regulatory system whilst continuing to be patient focused and have greater transparency. It outlines actions that continue to improve the safety, performance and quality of medical devices in Australia and improve health outcomes for patients who require medical devices.</w:t>
            </w:r>
            <w:r>
              <w:rPr>
                <w:rFonts w:ascii="Garamond" w:hAnsi="Garamond"/>
                <w:b w:val="0"/>
                <w:sz w:val="24"/>
                <w:szCs w:val="24"/>
                <w:lang w:val="en-AU"/>
              </w:rPr>
              <w:t>’ The three strategies are:</w:t>
            </w:r>
          </w:p>
          <w:p w:rsidR="00B06334" w:rsidRPr="00B06334" w:rsidRDefault="00B06334" w:rsidP="00B06334">
            <w:pPr>
              <w:pStyle w:val="ListParagraph"/>
              <w:numPr>
                <w:ilvl w:val="0"/>
                <w:numId w:val="50"/>
              </w:numPr>
              <w:rPr>
                <w:rFonts w:ascii="Garamond" w:hAnsi="Garamond"/>
                <w:lang w:val="en-AU"/>
              </w:rPr>
            </w:pPr>
            <w:r w:rsidRPr="00B06334">
              <w:rPr>
                <w:rFonts w:ascii="Garamond" w:hAnsi="Garamond"/>
                <w:lang w:val="en-AU"/>
              </w:rPr>
              <w:t>Improve how new devices get on the market (More rigour in assessment processes, More reviews of low and medium risk devices, Higher level scrutiny of clinical evidence and Ensure new and emerging technologies are safe</w:t>
            </w:r>
            <w:r>
              <w:rPr>
                <w:rFonts w:ascii="Garamond" w:hAnsi="Garamond"/>
                <w:lang w:val="en-AU"/>
              </w:rPr>
              <w:t>)</w:t>
            </w:r>
          </w:p>
          <w:p w:rsidR="00B06334" w:rsidRPr="00B06334" w:rsidRDefault="00B06334" w:rsidP="00B06334">
            <w:pPr>
              <w:pStyle w:val="ListParagraph"/>
              <w:numPr>
                <w:ilvl w:val="0"/>
                <w:numId w:val="50"/>
              </w:numPr>
              <w:rPr>
                <w:rFonts w:ascii="Garamond" w:hAnsi="Garamond"/>
                <w:lang w:val="en-AU"/>
              </w:rPr>
            </w:pPr>
            <w:r w:rsidRPr="00B06334">
              <w:rPr>
                <w:rFonts w:ascii="Garamond" w:hAnsi="Garamond"/>
                <w:lang w:val="en-AU"/>
              </w:rPr>
              <w:t>Strengthen monitoring and follow-up of devices already in use (Scope the introduction of unique device identifiers, Enhance inspections and reviews to confirm ongoing quality and safety, Explore removing reporting barriers including potential of mandatory reporting of adverse events by healthcare facilities, and Greater data analysis, information sharing and joined up systems with hospitals)</w:t>
            </w:r>
          </w:p>
          <w:p w:rsidR="00B06334" w:rsidRPr="00B06334" w:rsidRDefault="00B06334" w:rsidP="00B06334">
            <w:pPr>
              <w:pStyle w:val="ListParagraph"/>
              <w:numPr>
                <w:ilvl w:val="0"/>
                <w:numId w:val="50"/>
              </w:numPr>
              <w:rPr>
                <w:rFonts w:ascii="Garamond" w:hAnsi="Garamond"/>
                <w:lang w:val="en-AU"/>
              </w:rPr>
            </w:pPr>
            <w:r w:rsidRPr="00B06334">
              <w:rPr>
                <w:rFonts w:ascii="Garamond" w:hAnsi="Garamond"/>
                <w:lang w:val="en-AU"/>
              </w:rPr>
              <w:t>Provide more information to patients about the devices they use (Publish more information about decisions made and the medical device products regulated by the TGA, Strengthen consumer awareness of how safety and performance of medical devices are assessed, Find and implement ways to help consumers report adverse events more easily and Establish expert groups with consumer representation).</w:t>
            </w:r>
          </w:p>
          <w:p w:rsidR="00B06334" w:rsidRPr="00B06334" w:rsidRDefault="00B06334" w:rsidP="00B06334">
            <w:pPr>
              <w:rPr>
                <w:lang w:val="en-AU"/>
              </w:rPr>
            </w:pPr>
            <w:r w:rsidRPr="00B06334">
              <w:rPr>
                <w:rFonts w:ascii="Garamond" w:hAnsi="Garamond"/>
                <w:lang w:val="en-AU"/>
              </w:rPr>
              <w:t xml:space="preserve">The Action Plan </w:t>
            </w:r>
            <w:r>
              <w:rPr>
                <w:rFonts w:ascii="Garamond" w:hAnsi="Garamond"/>
                <w:lang w:val="en-AU"/>
              </w:rPr>
              <w:t xml:space="preserve">also </w:t>
            </w:r>
            <w:r w:rsidRPr="00B06334">
              <w:rPr>
                <w:rFonts w:ascii="Garamond" w:hAnsi="Garamond"/>
                <w:lang w:val="en-AU"/>
              </w:rPr>
              <w:t>describes</w:t>
            </w:r>
            <w:r>
              <w:rPr>
                <w:rFonts w:ascii="Garamond" w:hAnsi="Garamond"/>
                <w:lang w:val="en-AU"/>
              </w:rPr>
              <w:t xml:space="preserve"> </w:t>
            </w:r>
            <w:r w:rsidRPr="00B06334">
              <w:rPr>
                <w:rFonts w:ascii="Garamond" w:hAnsi="Garamond"/>
                <w:lang w:val="en-AU"/>
              </w:rPr>
              <w:t>reform activities currently under</w:t>
            </w:r>
            <w:r>
              <w:rPr>
                <w:rFonts w:ascii="Garamond" w:hAnsi="Garamond"/>
                <w:lang w:val="en-AU"/>
              </w:rPr>
              <w:t xml:space="preserve">way that the TGA will implement along with </w:t>
            </w:r>
            <w:r w:rsidRPr="00B06334">
              <w:rPr>
                <w:rFonts w:ascii="Garamond" w:hAnsi="Garamond"/>
                <w:lang w:val="en-AU"/>
              </w:rPr>
              <w:t xml:space="preserve">ways to improve transparency and to increase public confidence in Australia's medical device regulatory system. The TGA will </w:t>
            </w:r>
            <w:r>
              <w:rPr>
                <w:rFonts w:ascii="Garamond" w:hAnsi="Garamond"/>
                <w:lang w:val="en-AU"/>
              </w:rPr>
              <w:t xml:space="preserve">be </w:t>
            </w:r>
            <w:r w:rsidRPr="00B06334">
              <w:rPr>
                <w:rFonts w:ascii="Garamond" w:hAnsi="Garamond"/>
                <w:lang w:val="en-AU"/>
              </w:rPr>
              <w:t>seek</w:t>
            </w:r>
            <w:r>
              <w:rPr>
                <w:rFonts w:ascii="Garamond" w:hAnsi="Garamond"/>
                <w:lang w:val="en-AU"/>
              </w:rPr>
              <w:t>ing</w:t>
            </w:r>
            <w:r w:rsidRPr="00B06334">
              <w:rPr>
                <w:rFonts w:ascii="Garamond" w:hAnsi="Garamond"/>
                <w:lang w:val="en-AU"/>
              </w:rPr>
              <w:t xml:space="preserve"> feedback on </w:t>
            </w:r>
            <w:r>
              <w:rPr>
                <w:rFonts w:ascii="Garamond" w:hAnsi="Garamond"/>
                <w:lang w:val="en-AU"/>
              </w:rPr>
              <w:t>these activities</w:t>
            </w:r>
            <w:r w:rsidRPr="00B06334">
              <w:rPr>
                <w:rFonts w:ascii="Garamond" w:hAnsi="Garamond"/>
                <w:lang w:val="en-AU"/>
              </w:rPr>
              <w:t>.</w:t>
            </w:r>
          </w:p>
        </w:tc>
      </w:tr>
    </w:tbl>
    <w:p w:rsidR="00B06334" w:rsidRDefault="00B06334" w:rsidP="00C3692E">
      <w:pPr>
        <w:keepLines/>
        <w:autoSpaceDE w:val="0"/>
        <w:autoSpaceDN w:val="0"/>
        <w:adjustRightInd w:val="0"/>
        <w:rPr>
          <w:rFonts w:ascii="Garamond" w:hAnsi="Garamond"/>
          <w:lang w:val="en-AU"/>
        </w:rPr>
      </w:pPr>
    </w:p>
    <w:p w:rsidR="00E11C81" w:rsidRPr="00E11C81" w:rsidRDefault="00E11C81" w:rsidP="003D5043">
      <w:pPr>
        <w:keepLines/>
        <w:autoSpaceDE w:val="0"/>
        <w:autoSpaceDN w:val="0"/>
        <w:adjustRightInd w:val="0"/>
        <w:rPr>
          <w:rFonts w:ascii="Garamond" w:hAnsi="Garamond"/>
          <w:i/>
          <w:lang w:val="en-AU"/>
        </w:rPr>
      </w:pPr>
      <w:r w:rsidRPr="00E11C81">
        <w:rPr>
          <w:rFonts w:ascii="Garamond" w:hAnsi="Garamond"/>
          <w:i/>
          <w:lang w:val="en-AU"/>
        </w:rPr>
        <w:t>Staffing on Wards</w:t>
      </w:r>
    </w:p>
    <w:p w:rsidR="00E11C81" w:rsidRDefault="00E11C81" w:rsidP="003D5043">
      <w:pPr>
        <w:keepLines/>
        <w:autoSpaceDE w:val="0"/>
        <w:autoSpaceDN w:val="0"/>
        <w:adjustRightInd w:val="0"/>
        <w:rPr>
          <w:rFonts w:ascii="Garamond" w:hAnsi="Garamond"/>
          <w:lang w:val="en-AU"/>
        </w:rPr>
      </w:pPr>
      <w:proofErr w:type="gramStart"/>
      <w:r w:rsidRPr="00E11C81">
        <w:rPr>
          <w:rFonts w:ascii="Garamond" w:hAnsi="Garamond"/>
          <w:lang w:val="en-AU"/>
        </w:rPr>
        <w:t>Making decisions about healthcare staffing, improving effectiveness and supporting staff to care well.</w:t>
      </w:r>
      <w:proofErr w:type="gramEnd"/>
      <w:r w:rsidRPr="00E11C81">
        <w:rPr>
          <w:rFonts w:ascii="Garamond" w:hAnsi="Garamond"/>
          <w:lang w:val="en-AU"/>
        </w:rPr>
        <w:t xml:space="preserve"> Themed review</w:t>
      </w:r>
    </w:p>
    <w:p w:rsidR="00E11C81" w:rsidRDefault="00E11C81" w:rsidP="00E11C81">
      <w:pPr>
        <w:keepLines/>
        <w:autoSpaceDE w:val="0"/>
        <w:autoSpaceDN w:val="0"/>
        <w:adjustRightInd w:val="0"/>
        <w:rPr>
          <w:rFonts w:ascii="Garamond" w:hAnsi="Garamond"/>
          <w:lang w:val="en-AU"/>
        </w:rPr>
      </w:pPr>
      <w:r w:rsidRPr="00E11C81">
        <w:rPr>
          <w:rFonts w:ascii="Garamond" w:hAnsi="Garamond"/>
          <w:lang w:val="en-AU"/>
        </w:rPr>
        <w:t>National Institute for Health Research</w:t>
      </w:r>
    </w:p>
    <w:p w:rsidR="00724CA4" w:rsidRDefault="00E11C81" w:rsidP="003D5043">
      <w:pPr>
        <w:keepLines/>
        <w:autoSpaceDE w:val="0"/>
        <w:autoSpaceDN w:val="0"/>
        <w:adjustRightInd w:val="0"/>
        <w:rPr>
          <w:rFonts w:ascii="Garamond" w:hAnsi="Garamond"/>
          <w:lang w:val="en-AU"/>
        </w:rPr>
      </w:pPr>
      <w:r w:rsidRPr="00E11C81">
        <w:rPr>
          <w:rFonts w:ascii="Garamond" w:hAnsi="Garamond"/>
          <w:lang w:val="en-AU"/>
        </w:rPr>
        <w:t xml:space="preserve">London: NHS NIHR; 2019. </w:t>
      </w:r>
      <w:proofErr w:type="gramStart"/>
      <w:r w:rsidRPr="00E11C81">
        <w:rPr>
          <w:rFonts w:ascii="Garamond" w:hAnsi="Garamond"/>
          <w:lang w:val="en-AU"/>
        </w:rPr>
        <w:t>p. 38.</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831B85" w:rsidRPr="000170DA" w:rsidTr="00860B49">
        <w:tc>
          <w:tcPr>
            <w:tcW w:w="1080" w:type="dxa"/>
            <w:tcBorders>
              <w:top w:val="single" w:sz="4" w:space="0" w:color="auto"/>
              <w:left w:val="single" w:sz="4" w:space="0" w:color="auto"/>
              <w:bottom w:val="single" w:sz="4" w:space="0" w:color="auto"/>
              <w:right w:val="single" w:sz="4" w:space="0" w:color="auto"/>
            </w:tcBorders>
            <w:vAlign w:val="center"/>
          </w:tcPr>
          <w:p w:rsidR="00831B85" w:rsidRPr="000170DA" w:rsidRDefault="00831B85" w:rsidP="00860B49">
            <w:pPr>
              <w:rPr>
                <w:rStyle w:val="Hyperlink"/>
                <w:rFonts w:ascii="Garamond" w:hAnsi="Garamond"/>
                <w:lang w:val="en-AU"/>
              </w:rPr>
            </w:pPr>
            <w:r>
              <w:rPr>
                <w:rFonts w:ascii="Garamond" w:hAnsi="Garamond"/>
                <w:lang w:val="en-AU"/>
              </w:rPr>
              <w:t>URL</w:t>
            </w:r>
            <w:r w:rsidR="009506C7">
              <w:rPr>
                <w:rFonts w:ascii="Garamond" w:hAnsi="Garamond"/>
                <w:lang w:val="en-AU"/>
              </w:rPr>
              <w:t xml:space="preserve"> / DOI</w:t>
            </w:r>
          </w:p>
        </w:tc>
        <w:tc>
          <w:tcPr>
            <w:tcW w:w="8280" w:type="dxa"/>
            <w:tcBorders>
              <w:top w:val="single" w:sz="4" w:space="0" w:color="auto"/>
              <w:left w:val="single" w:sz="4" w:space="0" w:color="auto"/>
              <w:bottom w:val="single" w:sz="4" w:space="0" w:color="auto"/>
              <w:right w:val="single" w:sz="4" w:space="0" w:color="auto"/>
            </w:tcBorders>
            <w:vAlign w:val="center"/>
          </w:tcPr>
          <w:p w:rsidR="00E11C81" w:rsidRDefault="002C4DAE" w:rsidP="00724CA4">
            <w:pPr>
              <w:rPr>
                <w:rStyle w:val="Hyperlink"/>
                <w:rFonts w:ascii="Garamond" w:hAnsi="Garamond"/>
                <w:color w:val="auto"/>
                <w:u w:val="none"/>
                <w:lang w:val="en-AU"/>
              </w:rPr>
            </w:pPr>
            <w:hyperlink r:id="rId18" w:history="1">
              <w:r w:rsidR="00E11C81" w:rsidRPr="007B52A1">
                <w:rPr>
                  <w:rStyle w:val="Hyperlink"/>
                  <w:rFonts w:ascii="Garamond" w:hAnsi="Garamond"/>
                  <w:lang w:val="en-AU"/>
                </w:rPr>
                <w:t>https://www.dc.nihr.ac.uk/themed-reviews/research-on-ward-staffing.htm</w:t>
              </w:r>
            </w:hyperlink>
            <w:r w:rsidR="00E11C81">
              <w:rPr>
                <w:rStyle w:val="Hyperlink"/>
                <w:rFonts w:ascii="Garamond" w:hAnsi="Garamond"/>
                <w:color w:val="auto"/>
                <w:u w:val="none"/>
                <w:lang w:val="en-AU"/>
              </w:rPr>
              <w:t xml:space="preserve"> </w:t>
            </w:r>
          </w:p>
          <w:p w:rsidR="00D23965" w:rsidRPr="000170DA" w:rsidRDefault="002C4DAE" w:rsidP="00724CA4">
            <w:pPr>
              <w:rPr>
                <w:rStyle w:val="Hyperlink"/>
                <w:rFonts w:ascii="Garamond" w:hAnsi="Garamond"/>
                <w:color w:val="auto"/>
                <w:u w:val="none"/>
                <w:lang w:val="en-AU"/>
              </w:rPr>
            </w:pPr>
            <w:hyperlink r:id="rId19" w:history="1">
              <w:r w:rsidR="00E11C81" w:rsidRPr="007B52A1">
                <w:rPr>
                  <w:rStyle w:val="Hyperlink"/>
                  <w:rFonts w:ascii="Garamond" w:hAnsi="Garamond"/>
                  <w:lang w:val="en-AU"/>
                </w:rPr>
                <w:t>https://doi.org/10.3310/themedreview-03553</w:t>
              </w:r>
            </w:hyperlink>
          </w:p>
        </w:tc>
      </w:tr>
      <w:tr w:rsidR="00831B85" w:rsidRPr="000170DA" w:rsidTr="00860B49">
        <w:tc>
          <w:tcPr>
            <w:tcW w:w="1080" w:type="dxa"/>
            <w:tcBorders>
              <w:top w:val="single" w:sz="4" w:space="0" w:color="auto"/>
              <w:left w:val="single" w:sz="4" w:space="0" w:color="auto"/>
              <w:bottom w:val="single" w:sz="4" w:space="0" w:color="auto"/>
              <w:right w:val="single" w:sz="4" w:space="0" w:color="auto"/>
            </w:tcBorders>
            <w:vAlign w:val="center"/>
          </w:tcPr>
          <w:p w:rsidR="00831B85" w:rsidRPr="000170DA" w:rsidRDefault="00831B85" w:rsidP="00860B4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11C81" w:rsidRPr="002B1B0D" w:rsidRDefault="00E11C81" w:rsidP="002B1B0D">
            <w:pPr>
              <w:pStyle w:val="Caption"/>
              <w:rPr>
                <w:rFonts w:ascii="Garamond" w:hAnsi="Garamond"/>
                <w:b w:val="0"/>
                <w:sz w:val="24"/>
                <w:szCs w:val="24"/>
                <w:lang w:val="en-AU"/>
              </w:rPr>
            </w:pPr>
            <w:r w:rsidRPr="00E11C81">
              <w:rPr>
                <w:rFonts w:ascii="Garamond" w:hAnsi="Garamond"/>
                <w:b w:val="0"/>
                <w:sz w:val="24"/>
                <w:szCs w:val="24"/>
                <w:lang w:val="en-AU"/>
              </w:rPr>
              <w:t>The UK’s National Institute for Health Research (NIHR) has produced this themed review of the evidence from the NIHR and others on</w:t>
            </w:r>
            <w:r>
              <w:rPr>
                <w:rFonts w:ascii="Garamond" w:hAnsi="Garamond"/>
                <w:b w:val="0"/>
                <w:sz w:val="24"/>
                <w:szCs w:val="24"/>
                <w:lang w:val="en-AU"/>
              </w:rPr>
              <w:t xml:space="preserve"> the (somewhat vexed) issue of staffing on hospital wards. The review examines </w:t>
            </w:r>
            <w:r w:rsidRPr="00E11C81">
              <w:rPr>
                <w:rFonts w:ascii="Garamond" w:hAnsi="Garamond"/>
                <w:b w:val="0"/>
                <w:sz w:val="24"/>
                <w:szCs w:val="24"/>
                <w:lang w:val="en-AU"/>
              </w:rPr>
              <w:t xml:space="preserve">at the evidence around how many staff are needed on wards and how managing them is key to the safety and efficiency of hospitals. </w:t>
            </w:r>
            <w:r>
              <w:rPr>
                <w:rFonts w:ascii="Garamond" w:hAnsi="Garamond"/>
                <w:b w:val="0"/>
                <w:sz w:val="24"/>
                <w:szCs w:val="24"/>
                <w:lang w:val="en-AU"/>
              </w:rPr>
              <w:t>Th</w:t>
            </w:r>
            <w:r w:rsidRPr="002B1B0D">
              <w:rPr>
                <w:rFonts w:ascii="Garamond" w:hAnsi="Garamond"/>
                <w:b w:val="0"/>
                <w:sz w:val="24"/>
                <w:szCs w:val="24"/>
                <w:lang w:val="en-AU"/>
              </w:rPr>
              <w:t>e review features more than 20 published studies and examines issues to consider when deciding the shape of the ward team.</w:t>
            </w:r>
            <w:r w:rsidR="002B1B0D" w:rsidRPr="002B1B0D">
              <w:rPr>
                <w:rFonts w:ascii="Garamond" w:hAnsi="Garamond"/>
                <w:b w:val="0"/>
                <w:sz w:val="24"/>
                <w:szCs w:val="24"/>
                <w:lang w:val="en-AU"/>
              </w:rPr>
              <w:t xml:space="preserve"> </w:t>
            </w:r>
            <w:r w:rsidRPr="002B1B0D">
              <w:rPr>
                <w:rFonts w:ascii="Garamond" w:hAnsi="Garamond"/>
                <w:b w:val="0"/>
                <w:sz w:val="24"/>
                <w:szCs w:val="24"/>
                <w:lang w:val="en-AU"/>
              </w:rPr>
              <w:t>Among the conclusions were:</w:t>
            </w:r>
          </w:p>
          <w:p w:rsidR="00E11C81" w:rsidRPr="002B1B0D" w:rsidRDefault="00E11C81" w:rsidP="00E11C81">
            <w:pPr>
              <w:pStyle w:val="ListParagraph"/>
              <w:numPr>
                <w:ilvl w:val="0"/>
                <w:numId w:val="49"/>
              </w:numPr>
              <w:rPr>
                <w:rFonts w:ascii="Garamond" w:hAnsi="Garamond"/>
                <w:lang w:val="en-AU"/>
              </w:rPr>
            </w:pPr>
            <w:r w:rsidRPr="002B1B0D">
              <w:rPr>
                <w:rFonts w:ascii="Garamond" w:hAnsi="Garamond"/>
                <w:lang w:val="en-AU"/>
              </w:rPr>
              <w:t>Determining the right number of staff and mix of education and skills is not a precise science and requires a risk assessment based on the best available evidence.</w:t>
            </w:r>
          </w:p>
          <w:p w:rsidR="00E11C81" w:rsidRPr="002B1B0D" w:rsidRDefault="00E11C81" w:rsidP="00E11C81">
            <w:pPr>
              <w:pStyle w:val="ListParagraph"/>
              <w:numPr>
                <w:ilvl w:val="0"/>
                <w:numId w:val="49"/>
              </w:numPr>
              <w:rPr>
                <w:rFonts w:ascii="Garamond" w:hAnsi="Garamond"/>
                <w:lang w:val="en-AU"/>
              </w:rPr>
            </w:pPr>
            <w:r w:rsidRPr="002B1B0D">
              <w:rPr>
                <w:rFonts w:ascii="Garamond" w:hAnsi="Garamond"/>
                <w:lang w:val="en-AU"/>
              </w:rPr>
              <w:t xml:space="preserve">The way </w:t>
            </w:r>
            <w:proofErr w:type="gramStart"/>
            <w:r w:rsidRPr="002B1B0D">
              <w:rPr>
                <w:rFonts w:ascii="Garamond" w:hAnsi="Garamond"/>
                <w:lang w:val="en-AU"/>
              </w:rPr>
              <w:t>staff are</w:t>
            </w:r>
            <w:proofErr w:type="gramEnd"/>
            <w:r w:rsidRPr="002B1B0D">
              <w:rPr>
                <w:rFonts w:ascii="Garamond" w:hAnsi="Garamond"/>
                <w:lang w:val="en-AU"/>
              </w:rPr>
              <w:t xml:space="preserve"> managed and the work processes contribute to the staff’s capacity to provide safe and effective care.</w:t>
            </w:r>
          </w:p>
          <w:p w:rsidR="00E11C81" w:rsidRPr="00E11C81" w:rsidRDefault="00E11C81" w:rsidP="00E11C81">
            <w:pPr>
              <w:pStyle w:val="ListParagraph"/>
              <w:numPr>
                <w:ilvl w:val="0"/>
                <w:numId w:val="49"/>
              </w:numPr>
              <w:rPr>
                <w:lang w:val="en-AU"/>
              </w:rPr>
            </w:pPr>
            <w:r w:rsidRPr="002B1B0D">
              <w:rPr>
                <w:rFonts w:ascii="Garamond" w:hAnsi="Garamond"/>
                <w:lang w:val="en-AU"/>
              </w:rPr>
              <w:lastRenderedPageBreak/>
              <w:t xml:space="preserve">Getting the most out of staff requires good leadership to create positive ward environments and to support individual members of staff. Ward leadership shapes how staff are deployed, sets standards for staff to follow, and is key to creating a safe and healthy climate for both staff and patients. Investment in developing the skills of ward leaders to do this and ensuring they have protected time to deliver has been shown to be </w:t>
            </w:r>
            <w:proofErr w:type="gramStart"/>
            <w:r w:rsidRPr="002B1B0D">
              <w:rPr>
                <w:rFonts w:ascii="Garamond" w:hAnsi="Garamond"/>
                <w:lang w:val="en-AU"/>
              </w:rPr>
              <w:t>key</w:t>
            </w:r>
            <w:proofErr w:type="gramEnd"/>
            <w:r w:rsidRPr="002B1B0D">
              <w:rPr>
                <w:rFonts w:ascii="Garamond" w:hAnsi="Garamond"/>
                <w:lang w:val="en-AU"/>
              </w:rPr>
              <w:t xml:space="preserve"> in providing high quality care as well as attracting and retaining staff</w:t>
            </w:r>
            <w:r w:rsidR="002B1B0D" w:rsidRPr="002B1B0D">
              <w:rPr>
                <w:rFonts w:ascii="Garamond" w:hAnsi="Garamond"/>
                <w:lang w:val="en-AU"/>
              </w:rPr>
              <w:t>.</w:t>
            </w:r>
          </w:p>
        </w:tc>
      </w:tr>
    </w:tbl>
    <w:p w:rsidR="00831B85" w:rsidRDefault="00831B85" w:rsidP="00831B85">
      <w:pPr>
        <w:keepLines/>
        <w:autoSpaceDE w:val="0"/>
        <w:autoSpaceDN w:val="0"/>
        <w:adjustRightInd w:val="0"/>
        <w:rPr>
          <w:rFonts w:ascii="Garamond" w:hAnsi="Garamond"/>
          <w:i/>
          <w:lang w:val="en-AU"/>
        </w:rPr>
      </w:pPr>
    </w:p>
    <w:p w:rsidR="00430E95" w:rsidRDefault="00430E95" w:rsidP="00430E95">
      <w:pPr>
        <w:rPr>
          <w:rFonts w:ascii="Garamond" w:hAnsi="Garamond"/>
          <w:i/>
          <w:lang w:val="en-AU"/>
        </w:rPr>
      </w:pPr>
    </w:p>
    <w:p w:rsidR="00282D29" w:rsidRDefault="00282D29" w:rsidP="00C17C82">
      <w:pPr>
        <w:keepNext/>
        <w:ind w:left="720" w:hanging="720"/>
        <w:rPr>
          <w:rFonts w:ascii="Garamond" w:hAnsi="Garamond"/>
          <w:b/>
          <w:lang w:val="en-AU"/>
        </w:rPr>
      </w:pPr>
      <w:r>
        <w:rPr>
          <w:rFonts w:ascii="Garamond" w:hAnsi="Garamond"/>
          <w:b/>
          <w:lang w:val="en-AU"/>
        </w:rPr>
        <w:t>Journal articles</w:t>
      </w:r>
    </w:p>
    <w:p w:rsidR="00985853" w:rsidRDefault="00985853" w:rsidP="00985853">
      <w:pPr>
        <w:keepNext/>
        <w:keepLines/>
        <w:autoSpaceDE w:val="0"/>
        <w:autoSpaceDN w:val="0"/>
        <w:adjustRightInd w:val="0"/>
        <w:rPr>
          <w:rFonts w:ascii="Garamond" w:hAnsi="Garamond"/>
          <w:lang w:val="en-AU"/>
        </w:rPr>
      </w:pPr>
    </w:p>
    <w:p w:rsidR="00B64454" w:rsidRPr="008E6683" w:rsidRDefault="00B64454" w:rsidP="00B64454">
      <w:pPr>
        <w:keepNext/>
        <w:keepLines/>
        <w:autoSpaceDE w:val="0"/>
        <w:autoSpaceDN w:val="0"/>
        <w:adjustRightInd w:val="0"/>
        <w:rPr>
          <w:rFonts w:ascii="Garamond" w:hAnsi="Garamond"/>
          <w:i/>
          <w:lang w:val="en-AU"/>
        </w:rPr>
      </w:pPr>
      <w:r w:rsidRPr="008E6683">
        <w:rPr>
          <w:rFonts w:ascii="Garamond" w:hAnsi="Garamond"/>
          <w:i/>
          <w:lang w:val="en-AU"/>
        </w:rPr>
        <w:t xml:space="preserve">Quality improvement in ambulatory surgery </w:t>
      </w:r>
      <w:proofErr w:type="spellStart"/>
      <w:r w:rsidRPr="008E6683">
        <w:rPr>
          <w:rFonts w:ascii="Garamond" w:hAnsi="Garamond"/>
          <w:i/>
          <w:lang w:val="en-AU"/>
        </w:rPr>
        <w:t>centers</w:t>
      </w:r>
      <w:proofErr w:type="spellEnd"/>
      <w:r w:rsidRPr="008E6683">
        <w:rPr>
          <w:rFonts w:ascii="Garamond" w:hAnsi="Garamond"/>
          <w:i/>
          <w:lang w:val="en-AU"/>
        </w:rPr>
        <w:t>: a major national effort aimed at reducing infections and other surgical complications</w:t>
      </w:r>
    </w:p>
    <w:p w:rsidR="00B64454" w:rsidRDefault="00B64454" w:rsidP="00B64454">
      <w:pPr>
        <w:keepNext/>
        <w:keepLines/>
        <w:autoSpaceDE w:val="0"/>
        <w:autoSpaceDN w:val="0"/>
        <w:adjustRightInd w:val="0"/>
        <w:rPr>
          <w:rFonts w:ascii="Garamond" w:hAnsi="Garamond"/>
          <w:lang w:val="en-AU"/>
        </w:rPr>
      </w:pPr>
      <w:r w:rsidRPr="00880295">
        <w:rPr>
          <w:rFonts w:ascii="Garamond" w:hAnsi="Garamond"/>
          <w:lang w:val="en-AU"/>
        </w:rPr>
        <w:t xml:space="preserve">Davis KK, </w:t>
      </w:r>
      <w:proofErr w:type="spellStart"/>
      <w:r w:rsidRPr="00880295">
        <w:rPr>
          <w:rFonts w:ascii="Garamond" w:hAnsi="Garamond"/>
          <w:lang w:val="en-AU"/>
        </w:rPr>
        <w:t>Mahishi</w:t>
      </w:r>
      <w:proofErr w:type="spellEnd"/>
      <w:r w:rsidRPr="00880295">
        <w:rPr>
          <w:rFonts w:ascii="Garamond" w:hAnsi="Garamond"/>
          <w:lang w:val="en-AU"/>
        </w:rPr>
        <w:t xml:space="preserve"> V, </w:t>
      </w:r>
      <w:proofErr w:type="spellStart"/>
      <w:r w:rsidRPr="00880295">
        <w:rPr>
          <w:rFonts w:ascii="Garamond" w:hAnsi="Garamond"/>
          <w:lang w:val="en-AU"/>
        </w:rPr>
        <w:t>Singal</w:t>
      </w:r>
      <w:proofErr w:type="spellEnd"/>
      <w:r w:rsidRPr="00880295">
        <w:rPr>
          <w:rFonts w:ascii="Garamond" w:hAnsi="Garamond"/>
          <w:lang w:val="en-AU"/>
        </w:rPr>
        <w:t xml:space="preserve"> R, </w:t>
      </w:r>
      <w:proofErr w:type="spellStart"/>
      <w:r w:rsidRPr="00880295">
        <w:rPr>
          <w:rFonts w:ascii="Garamond" w:hAnsi="Garamond"/>
          <w:lang w:val="en-AU"/>
        </w:rPr>
        <w:t>Urman</w:t>
      </w:r>
      <w:proofErr w:type="spellEnd"/>
      <w:r w:rsidRPr="00880295">
        <w:rPr>
          <w:rFonts w:ascii="Garamond" w:hAnsi="Garamond"/>
          <w:lang w:val="en-AU"/>
        </w:rPr>
        <w:t xml:space="preserve"> RD, Miller MA, Cooke M, et al</w:t>
      </w:r>
    </w:p>
    <w:p w:rsidR="00B64454" w:rsidRPr="00E566B0" w:rsidRDefault="00B64454" w:rsidP="00B64454">
      <w:pPr>
        <w:keepNext/>
        <w:keepLines/>
        <w:autoSpaceDE w:val="0"/>
        <w:autoSpaceDN w:val="0"/>
        <w:adjustRightInd w:val="0"/>
        <w:rPr>
          <w:rFonts w:ascii="Garamond" w:hAnsi="Garamond"/>
          <w:lang w:val="en-AU"/>
        </w:rPr>
      </w:pPr>
      <w:proofErr w:type="gramStart"/>
      <w:r w:rsidRPr="00880295">
        <w:rPr>
          <w:rFonts w:ascii="Garamond" w:hAnsi="Garamond"/>
          <w:lang w:val="en-AU"/>
        </w:rPr>
        <w:t>Journal of Clinical Medicine Research.</w:t>
      </w:r>
      <w:proofErr w:type="gramEnd"/>
      <w:r w:rsidRPr="00880295">
        <w:rPr>
          <w:rFonts w:ascii="Garamond" w:hAnsi="Garamond"/>
          <w:lang w:val="en-AU"/>
        </w:rPr>
        <w:t xml:space="preserve"> 2018</w:t>
      </w:r>
      <w:proofErr w:type="gramStart"/>
      <w:r w:rsidRPr="00880295">
        <w:rPr>
          <w:rFonts w:ascii="Garamond" w:hAnsi="Garamond"/>
          <w:lang w:val="en-AU"/>
        </w:rPr>
        <w:t>;11</w:t>
      </w:r>
      <w:proofErr w:type="gramEnd"/>
      <w:r w:rsidRPr="00880295">
        <w:rPr>
          <w:rFonts w:ascii="Garamond" w:hAnsi="Garamond"/>
          <w:lang w:val="en-AU"/>
        </w:rPr>
        <w:t>(1):7-14.</w:t>
      </w:r>
    </w:p>
    <w:tbl>
      <w:tblPr>
        <w:tblStyle w:val="TableGrid"/>
        <w:tblW w:w="0" w:type="auto"/>
        <w:tblInd w:w="288" w:type="dxa"/>
        <w:tblLayout w:type="fixed"/>
        <w:tblLook w:val="01E0" w:firstRow="1" w:lastRow="1" w:firstColumn="1" w:lastColumn="1" w:noHBand="0" w:noVBand="0"/>
      </w:tblPr>
      <w:tblGrid>
        <w:gridCol w:w="1080"/>
        <w:gridCol w:w="8280"/>
      </w:tblGrid>
      <w:tr w:rsidR="00B64454" w:rsidRPr="000170DA" w:rsidTr="00C67CBD">
        <w:tc>
          <w:tcPr>
            <w:tcW w:w="1080" w:type="dxa"/>
            <w:tcBorders>
              <w:top w:val="single" w:sz="4" w:space="0" w:color="auto"/>
              <w:left w:val="single" w:sz="4" w:space="0" w:color="auto"/>
              <w:bottom w:val="single" w:sz="4" w:space="0" w:color="auto"/>
              <w:right w:val="single" w:sz="4" w:space="0" w:color="auto"/>
            </w:tcBorders>
            <w:vAlign w:val="center"/>
          </w:tcPr>
          <w:p w:rsidR="00B64454" w:rsidRPr="000170DA" w:rsidRDefault="00B64454" w:rsidP="00C67CBD">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64454" w:rsidRPr="000170DA" w:rsidRDefault="002C4DAE" w:rsidP="00C67CBD">
            <w:pPr>
              <w:rPr>
                <w:rStyle w:val="Hyperlink"/>
                <w:rFonts w:ascii="Garamond" w:hAnsi="Garamond"/>
                <w:color w:val="auto"/>
                <w:u w:val="none"/>
                <w:lang w:val="en-AU"/>
              </w:rPr>
            </w:pPr>
            <w:hyperlink r:id="rId20" w:history="1">
              <w:r w:rsidR="00B64454" w:rsidRPr="00C44750">
                <w:rPr>
                  <w:rStyle w:val="Hyperlink"/>
                  <w:rFonts w:ascii="Garamond" w:hAnsi="Garamond"/>
                  <w:lang w:val="en-AU"/>
                </w:rPr>
                <w:t>http://doi.org/10.14740/jocmr3603w</w:t>
              </w:r>
            </w:hyperlink>
          </w:p>
        </w:tc>
      </w:tr>
      <w:tr w:rsidR="00B64454" w:rsidRPr="000170DA" w:rsidTr="00C67CBD">
        <w:tc>
          <w:tcPr>
            <w:tcW w:w="1080" w:type="dxa"/>
            <w:tcBorders>
              <w:top w:val="single" w:sz="4" w:space="0" w:color="auto"/>
              <w:left w:val="single" w:sz="4" w:space="0" w:color="auto"/>
              <w:bottom w:val="single" w:sz="4" w:space="0" w:color="auto"/>
              <w:right w:val="single" w:sz="4" w:space="0" w:color="auto"/>
            </w:tcBorders>
            <w:vAlign w:val="center"/>
          </w:tcPr>
          <w:p w:rsidR="00B64454" w:rsidRPr="000170DA" w:rsidRDefault="00B64454" w:rsidP="00C67CB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64454" w:rsidRPr="00F44FEC" w:rsidRDefault="00B64454" w:rsidP="00C67CBD">
            <w:pPr>
              <w:rPr>
                <w:rFonts w:ascii="Garamond" w:hAnsi="Garamond"/>
                <w:lang w:val="en-AU"/>
              </w:rPr>
            </w:pPr>
            <w:r>
              <w:rPr>
                <w:rFonts w:ascii="Garamond" w:hAnsi="Garamond"/>
                <w:lang w:val="en-AU"/>
              </w:rPr>
              <w:t xml:space="preserve">The safety and quality risks of a health setting can vary. This study describes the impact of a quality improvement program focussing on ambulatory surgery centres (ASCs). The project </w:t>
            </w:r>
            <w:r w:rsidRPr="00880295">
              <w:rPr>
                <w:rFonts w:ascii="Garamond" w:hAnsi="Garamond"/>
                <w:lang w:val="en-AU"/>
              </w:rPr>
              <w:t xml:space="preserve">recruited 665 ASCs in 47 states </w:t>
            </w:r>
            <w:r>
              <w:rPr>
                <w:rFonts w:ascii="Garamond" w:hAnsi="Garamond"/>
                <w:lang w:val="en-AU"/>
              </w:rPr>
              <w:t xml:space="preserve">of the USA </w:t>
            </w:r>
            <w:r w:rsidRPr="00880295">
              <w:rPr>
                <w:rFonts w:ascii="Garamond" w:hAnsi="Garamond"/>
                <w:lang w:val="en-AU"/>
              </w:rPr>
              <w:t xml:space="preserve">to participate in an intervention to improve safe practice through implementation of a surgical safety checklist and infection control practices. </w:t>
            </w:r>
            <w:r>
              <w:rPr>
                <w:rFonts w:ascii="Garamond" w:hAnsi="Garamond"/>
                <w:lang w:val="en-AU"/>
              </w:rPr>
              <w:t>The authors report that (unsurprisingly) b</w:t>
            </w:r>
            <w:r w:rsidRPr="00880295">
              <w:rPr>
                <w:rFonts w:ascii="Garamond" w:hAnsi="Garamond"/>
                <w:lang w:val="en-AU"/>
              </w:rPr>
              <w:t>arriers to implementation and data collection were encountered</w:t>
            </w:r>
            <w:r>
              <w:rPr>
                <w:rFonts w:ascii="Garamond" w:hAnsi="Garamond"/>
                <w:lang w:val="en-AU"/>
              </w:rPr>
              <w:t>. They also noted that the tailoring of interventions in necessary – as has been noted previously, context matters and understanding context is vital to implementing almost any change or intervention.</w:t>
            </w:r>
          </w:p>
        </w:tc>
      </w:tr>
    </w:tbl>
    <w:p w:rsidR="00B64454" w:rsidRDefault="00B64454" w:rsidP="00B64454">
      <w:pPr>
        <w:rPr>
          <w:rFonts w:ascii="Garamond" w:hAnsi="Garamond"/>
          <w:i/>
          <w:lang w:val="en-AU"/>
        </w:rPr>
      </w:pPr>
    </w:p>
    <w:p w:rsidR="00094A50" w:rsidRPr="008E6683" w:rsidRDefault="008E6683" w:rsidP="00094A50">
      <w:pPr>
        <w:keepNext/>
        <w:keepLines/>
        <w:autoSpaceDE w:val="0"/>
        <w:autoSpaceDN w:val="0"/>
        <w:adjustRightInd w:val="0"/>
        <w:rPr>
          <w:rFonts w:ascii="Garamond" w:hAnsi="Garamond"/>
          <w:i/>
          <w:lang w:val="en-AU"/>
        </w:rPr>
      </w:pPr>
      <w:r w:rsidRPr="008E6683">
        <w:rPr>
          <w:rFonts w:ascii="Garamond" w:hAnsi="Garamond"/>
          <w:i/>
          <w:lang w:val="en-AU"/>
        </w:rPr>
        <w:t>Evaluation of medication errors at the transition of care from an ICU to non-ICU location</w:t>
      </w:r>
    </w:p>
    <w:p w:rsidR="001B624C" w:rsidRDefault="001B624C" w:rsidP="00094A50">
      <w:pPr>
        <w:keepNext/>
        <w:keepLines/>
        <w:autoSpaceDE w:val="0"/>
        <w:autoSpaceDN w:val="0"/>
        <w:adjustRightInd w:val="0"/>
        <w:rPr>
          <w:rFonts w:ascii="Garamond" w:hAnsi="Garamond"/>
          <w:lang w:val="en-AU"/>
        </w:rPr>
      </w:pPr>
      <w:r w:rsidRPr="001B624C">
        <w:rPr>
          <w:rFonts w:ascii="Garamond" w:hAnsi="Garamond"/>
          <w:lang w:val="en-AU"/>
        </w:rPr>
        <w:t xml:space="preserve">Tully AP, Hammond DA, Li C, Jarrell AS, </w:t>
      </w:r>
      <w:proofErr w:type="spellStart"/>
      <w:r w:rsidRPr="001B624C">
        <w:rPr>
          <w:rFonts w:ascii="Garamond" w:hAnsi="Garamond"/>
          <w:lang w:val="en-AU"/>
        </w:rPr>
        <w:t>Kruer</w:t>
      </w:r>
      <w:proofErr w:type="spellEnd"/>
      <w:r w:rsidRPr="001B624C">
        <w:rPr>
          <w:rFonts w:ascii="Garamond" w:hAnsi="Garamond"/>
          <w:lang w:val="en-AU"/>
        </w:rPr>
        <w:t xml:space="preserve"> RM</w:t>
      </w:r>
    </w:p>
    <w:p w:rsidR="008E6683" w:rsidRPr="00E566B0" w:rsidRDefault="001B624C" w:rsidP="00094A50">
      <w:pPr>
        <w:keepNext/>
        <w:keepLines/>
        <w:autoSpaceDE w:val="0"/>
        <w:autoSpaceDN w:val="0"/>
        <w:adjustRightInd w:val="0"/>
        <w:rPr>
          <w:rFonts w:ascii="Garamond" w:hAnsi="Garamond"/>
          <w:lang w:val="en-AU"/>
        </w:rPr>
      </w:pPr>
      <w:proofErr w:type="gramStart"/>
      <w:r w:rsidRPr="001B624C">
        <w:rPr>
          <w:rFonts w:ascii="Garamond" w:hAnsi="Garamond"/>
          <w:lang w:val="en-AU"/>
        </w:rPr>
        <w:t>Critical Care Medicine.</w:t>
      </w:r>
      <w:proofErr w:type="gramEnd"/>
      <w:r w:rsidRPr="001B624C">
        <w:rPr>
          <w:rFonts w:ascii="Garamond" w:hAnsi="Garamond"/>
          <w:lang w:val="en-AU"/>
        </w:rPr>
        <w:t xml:space="preserve"> 2019</w:t>
      </w:r>
      <w:proofErr w:type="gramStart"/>
      <w:r w:rsidRPr="001B624C">
        <w:rPr>
          <w:rFonts w:ascii="Garamond" w:hAnsi="Garamond"/>
          <w:lang w:val="en-AU"/>
        </w:rPr>
        <w:t>;47</w:t>
      </w:r>
      <w:proofErr w:type="gramEnd"/>
      <w:r w:rsidRPr="001B624C">
        <w:rPr>
          <w:rFonts w:ascii="Garamond" w:hAnsi="Garamond"/>
          <w:lang w:val="en-AU"/>
        </w:rPr>
        <w:t>(4):543-9.</w:t>
      </w:r>
    </w:p>
    <w:tbl>
      <w:tblPr>
        <w:tblStyle w:val="TableGrid"/>
        <w:tblW w:w="0" w:type="auto"/>
        <w:tblInd w:w="288" w:type="dxa"/>
        <w:tblLayout w:type="fixed"/>
        <w:tblLook w:val="01E0" w:firstRow="1" w:lastRow="1" w:firstColumn="1" w:lastColumn="1" w:noHBand="0" w:noVBand="0"/>
      </w:tblPr>
      <w:tblGrid>
        <w:gridCol w:w="1080"/>
        <w:gridCol w:w="8280"/>
      </w:tblGrid>
      <w:tr w:rsidR="00094A50" w:rsidRPr="000170DA" w:rsidTr="00553215">
        <w:tc>
          <w:tcPr>
            <w:tcW w:w="1080" w:type="dxa"/>
            <w:tcBorders>
              <w:top w:val="single" w:sz="4" w:space="0" w:color="auto"/>
              <w:left w:val="single" w:sz="4" w:space="0" w:color="auto"/>
              <w:bottom w:val="single" w:sz="4" w:space="0" w:color="auto"/>
              <w:right w:val="single" w:sz="4" w:space="0" w:color="auto"/>
            </w:tcBorders>
            <w:vAlign w:val="center"/>
          </w:tcPr>
          <w:p w:rsidR="00094A50" w:rsidRPr="000170DA" w:rsidRDefault="00094A50" w:rsidP="00553215">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94A50" w:rsidRPr="000170DA" w:rsidRDefault="002C4DAE" w:rsidP="00553215">
            <w:pPr>
              <w:rPr>
                <w:rStyle w:val="Hyperlink"/>
                <w:rFonts w:ascii="Garamond" w:hAnsi="Garamond"/>
                <w:color w:val="auto"/>
                <w:u w:val="none"/>
                <w:lang w:val="en-AU"/>
              </w:rPr>
            </w:pPr>
            <w:hyperlink r:id="rId21" w:history="1">
              <w:r w:rsidR="008E6683" w:rsidRPr="00C44750">
                <w:rPr>
                  <w:rStyle w:val="Hyperlink"/>
                  <w:rFonts w:ascii="Garamond" w:hAnsi="Garamond"/>
                  <w:lang w:val="en-AU"/>
                </w:rPr>
                <w:t>http://doi.org/10.1097/CCM.0000000000003633</w:t>
              </w:r>
            </w:hyperlink>
          </w:p>
        </w:tc>
      </w:tr>
      <w:tr w:rsidR="00094A50" w:rsidRPr="000170DA" w:rsidTr="00553215">
        <w:tc>
          <w:tcPr>
            <w:tcW w:w="1080" w:type="dxa"/>
            <w:tcBorders>
              <w:top w:val="single" w:sz="4" w:space="0" w:color="auto"/>
              <w:left w:val="single" w:sz="4" w:space="0" w:color="auto"/>
              <w:bottom w:val="single" w:sz="4" w:space="0" w:color="auto"/>
              <w:right w:val="single" w:sz="4" w:space="0" w:color="auto"/>
            </w:tcBorders>
            <w:vAlign w:val="center"/>
          </w:tcPr>
          <w:p w:rsidR="00094A50" w:rsidRPr="000170DA" w:rsidRDefault="00094A50" w:rsidP="0055321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94A50" w:rsidRDefault="008E6683" w:rsidP="00F44FEC">
            <w:pPr>
              <w:rPr>
                <w:rFonts w:ascii="Garamond" w:hAnsi="Garamond"/>
                <w:lang w:val="en-AU"/>
              </w:rPr>
            </w:pPr>
            <w:r>
              <w:rPr>
                <w:rFonts w:ascii="Garamond" w:hAnsi="Garamond"/>
                <w:lang w:val="en-AU"/>
              </w:rPr>
              <w:t>Transitions of care are a known locus of risk. These are points where there can be a failure to communicate important information, failure to adequately transfer or hand over care of a patient between individuals, teams, units or services. This study looked at the specific issue of medication errors for patients transferred from intensive care units (ICUs).</w:t>
            </w:r>
            <w:r w:rsidR="001B624C">
              <w:rPr>
                <w:rFonts w:ascii="Garamond" w:hAnsi="Garamond"/>
                <w:lang w:val="en-AU"/>
              </w:rPr>
              <w:t xml:space="preserve"> The study was a 7-day point prevalence study that encompassed 958 patients who were transferred from an ICU to a non-ICU location in a group of hospitals (34 in the USA and 2 in the Netherlands).</w:t>
            </w:r>
          </w:p>
          <w:p w:rsidR="008E6683" w:rsidRPr="00F44FEC" w:rsidRDefault="001B624C" w:rsidP="00B64454">
            <w:pPr>
              <w:rPr>
                <w:rFonts w:ascii="Garamond" w:hAnsi="Garamond"/>
                <w:lang w:val="en-AU"/>
              </w:rPr>
            </w:pPr>
            <w:r>
              <w:rPr>
                <w:rFonts w:ascii="Garamond" w:hAnsi="Garamond"/>
                <w:lang w:val="en-AU"/>
              </w:rPr>
              <w:t xml:space="preserve">The authors report that </w:t>
            </w:r>
            <w:r w:rsidRPr="001B624C">
              <w:rPr>
                <w:rFonts w:ascii="Garamond" w:hAnsi="Garamond"/>
                <w:lang w:val="en-AU"/>
              </w:rPr>
              <w:t>450</w:t>
            </w:r>
            <w:r>
              <w:rPr>
                <w:rFonts w:ascii="Garamond" w:hAnsi="Garamond"/>
                <w:lang w:val="en-AU"/>
              </w:rPr>
              <w:t xml:space="preserve"> </w:t>
            </w:r>
            <w:r w:rsidRPr="00B64454">
              <w:rPr>
                <w:rFonts w:ascii="Garamond" w:hAnsi="Garamond"/>
                <w:lang w:val="en-AU"/>
              </w:rPr>
              <w:t xml:space="preserve">patients (45.7%) had a medication error occur during transition of care. Further, among those patients who experienced a medication error, an average of 1.88 errors per patient occurred. The most common types of errors were continuation of medication with ICU-only indication (28.4%), untreated condition (19.4%), and pharmacotherapy without indication (11.9%). Seventy-five percent of errors reached the patient but did not cause harm. Renal replacement therapy during ICU stay and number of medications ordered following transfer were identified as factors associated with occurrence of error. Orders for anti-infective, hematologic agents, and IV fluids, electrolytes, or diuretics at transition of care were associated </w:t>
            </w:r>
            <w:proofErr w:type="gramStart"/>
            <w:r w:rsidRPr="00B64454">
              <w:rPr>
                <w:rFonts w:ascii="Garamond" w:hAnsi="Garamond"/>
                <w:lang w:val="en-AU"/>
              </w:rPr>
              <w:t>with an increased odds</w:t>
            </w:r>
            <w:proofErr w:type="gramEnd"/>
            <w:r w:rsidRPr="00B64454">
              <w:rPr>
                <w:rFonts w:ascii="Garamond" w:hAnsi="Garamond"/>
                <w:lang w:val="en-AU"/>
              </w:rPr>
              <w:t xml:space="preserve"> of error. Factors associated with decreased odds of error included daily patient care rounds in the ICU and orders discontinued and rewritten at the time of transfer from the ICU.</w:t>
            </w:r>
          </w:p>
        </w:tc>
      </w:tr>
    </w:tbl>
    <w:p w:rsidR="00094A50" w:rsidRDefault="00094A50" w:rsidP="00094A50">
      <w:pPr>
        <w:rPr>
          <w:rFonts w:ascii="Garamond" w:hAnsi="Garamond"/>
          <w:i/>
          <w:lang w:val="en-AU"/>
        </w:rPr>
      </w:pPr>
    </w:p>
    <w:p w:rsidR="001B624C" w:rsidRPr="001B624C" w:rsidRDefault="001B624C" w:rsidP="00094A50">
      <w:pPr>
        <w:rPr>
          <w:rFonts w:ascii="Garamond" w:hAnsi="Garamond"/>
          <w:lang w:val="en-AU"/>
        </w:rPr>
      </w:pPr>
      <w:r w:rsidRPr="006E0777">
        <w:rPr>
          <w:rFonts w:ascii="Garamond" w:hAnsi="Garamond"/>
          <w:lang w:val="en-AU"/>
        </w:rPr>
        <w:lastRenderedPageBreak/>
        <w:t>For information on the Commission’s work on</w:t>
      </w:r>
      <w:r>
        <w:rPr>
          <w:rFonts w:ascii="Garamond" w:hAnsi="Garamond"/>
          <w:lang w:val="en-AU"/>
        </w:rPr>
        <w:t xml:space="preserve"> clinical handover, see </w:t>
      </w:r>
      <w:hyperlink r:id="rId22" w:history="1">
        <w:r w:rsidRPr="001B624C">
          <w:rPr>
            <w:rStyle w:val="Hyperlink"/>
            <w:rFonts w:ascii="Garamond" w:hAnsi="Garamond"/>
            <w:u w:val="none"/>
            <w:lang w:val="en-AU"/>
          </w:rPr>
          <w:t>https://www.safetyandquality.gov.au/our-work/clinical-communications/clinical-handover/</w:t>
        </w:r>
      </w:hyperlink>
    </w:p>
    <w:p w:rsidR="001B624C" w:rsidRDefault="001B624C" w:rsidP="00094A50">
      <w:pPr>
        <w:rPr>
          <w:rFonts w:ascii="Garamond" w:hAnsi="Garamond"/>
          <w:i/>
          <w:lang w:val="en-AU"/>
        </w:rPr>
      </w:pPr>
    </w:p>
    <w:p w:rsidR="001B624C" w:rsidRDefault="001B624C" w:rsidP="00094A50">
      <w:pPr>
        <w:rPr>
          <w:rFonts w:ascii="Garamond" w:hAnsi="Garamond"/>
          <w:lang w:val="en-AU"/>
        </w:rPr>
      </w:pPr>
      <w:r w:rsidRPr="006E0777">
        <w:rPr>
          <w:rFonts w:ascii="Garamond" w:hAnsi="Garamond"/>
          <w:lang w:val="en-AU"/>
        </w:rPr>
        <w:t>For information on the Commission’s work on</w:t>
      </w:r>
      <w:r>
        <w:rPr>
          <w:rFonts w:ascii="Garamond" w:hAnsi="Garamond"/>
          <w:lang w:val="en-AU"/>
        </w:rPr>
        <w:t xml:space="preserve"> medication safety, see </w:t>
      </w:r>
      <w:hyperlink r:id="rId23" w:history="1">
        <w:r w:rsidRPr="00C44750">
          <w:rPr>
            <w:rStyle w:val="Hyperlink"/>
            <w:rFonts w:ascii="Garamond" w:hAnsi="Garamond"/>
            <w:lang w:val="en-AU"/>
          </w:rPr>
          <w:t>https://www.safetyandquality.gov.au/our-work/medication-safety/</w:t>
        </w:r>
      </w:hyperlink>
    </w:p>
    <w:p w:rsidR="001B624C" w:rsidRDefault="001B624C" w:rsidP="00094A50">
      <w:pPr>
        <w:rPr>
          <w:rFonts w:ascii="Garamond" w:hAnsi="Garamond"/>
          <w:i/>
          <w:lang w:val="en-AU"/>
        </w:rPr>
      </w:pPr>
    </w:p>
    <w:p w:rsidR="00F44FEC" w:rsidRPr="008E6683" w:rsidRDefault="008E6683" w:rsidP="00F44FEC">
      <w:pPr>
        <w:keepNext/>
        <w:keepLines/>
        <w:autoSpaceDE w:val="0"/>
        <w:autoSpaceDN w:val="0"/>
        <w:adjustRightInd w:val="0"/>
        <w:rPr>
          <w:rFonts w:ascii="Garamond" w:hAnsi="Garamond"/>
          <w:i/>
          <w:lang w:val="en-AU"/>
        </w:rPr>
      </w:pPr>
      <w:r w:rsidRPr="008E6683">
        <w:rPr>
          <w:rFonts w:ascii="Garamond" w:hAnsi="Garamond"/>
          <w:i/>
          <w:lang w:val="en-AU"/>
        </w:rPr>
        <w:t>The association between complications, incidents, and patient experience: retrospective linkage of routine patient experience surveys and safety data</w:t>
      </w:r>
    </w:p>
    <w:p w:rsidR="002C4DAE" w:rsidRDefault="002C4DAE" w:rsidP="00F44FEC">
      <w:pPr>
        <w:keepNext/>
        <w:keepLines/>
        <w:autoSpaceDE w:val="0"/>
        <w:autoSpaceDN w:val="0"/>
        <w:adjustRightInd w:val="0"/>
        <w:rPr>
          <w:rFonts w:ascii="Garamond" w:hAnsi="Garamond"/>
          <w:lang w:val="en-AU"/>
        </w:rPr>
      </w:pPr>
      <w:proofErr w:type="gramStart"/>
      <w:r w:rsidRPr="002C4DAE">
        <w:rPr>
          <w:rFonts w:ascii="Garamond" w:hAnsi="Garamond"/>
          <w:lang w:val="en-AU"/>
        </w:rPr>
        <w:t>de</w:t>
      </w:r>
      <w:proofErr w:type="gramEnd"/>
      <w:r w:rsidRPr="002C4DAE">
        <w:rPr>
          <w:rFonts w:ascii="Garamond" w:hAnsi="Garamond"/>
          <w:lang w:val="en-AU"/>
        </w:rPr>
        <w:t xml:space="preserve"> </w:t>
      </w:r>
      <w:proofErr w:type="spellStart"/>
      <w:r w:rsidRPr="002C4DAE">
        <w:rPr>
          <w:rFonts w:ascii="Garamond" w:hAnsi="Garamond"/>
          <w:lang w:val="en-AU"/>
        </w:rPr>
        <w:t>Vos</w:t>
      </w:r>
      <w:proofErr w:type="spellEnd"/>
      <w:r w:rsidRPr="002C4DAE">
        <w:rPr>
          <w:rFonts w:ascii="Garamond" w:hAnsi="Garamond"/>
          <w:lang w:val="en-AU"/>
        </w:rPr>
        <w:t xml:space="preserve"> MS, Hamming JF, </w:t>
      </w:r>
      <w:proofErr w:type="spellStart"/>
      <w:r w:rsidRPr="002C4DAE">
        <w:rPr>
          <w:rFonts w:ascii="Garamond" w:hAnsi="Garamond"/>
          <w:lang w:val="en-AU"/>
        </w:rPr>
        <w:t>Boosman</w:t>
      </w:r>
      <w:proofErr w:type="spellEnd"/>
      <w:r w:rsidRPr="002C4DAE">
        <w:rPr>
          <w:rFonts w:ascii="Garamond" w:hAnsi="Garamond"/>
          <w:lang w:val="en-AU"/>
        </w:rPr>
        <w:t xml:space="preserve"> H, </w:t>
      </w:r>
      <w:proofErr w:type="spellStart"/>
      <w:r w:rsidRPr="002C4DAE">
        <w:rPr>
          <w:rFonts w:ascii="Garamond" w:hAnsi="Garamond"/>
          <w:lang w:val="en-AU"/>
        </w:rPr>
        <w:t>Marang</w:t>
      </w:r>
      <w:proofErr w:type="spellEnd"/>
      <w:r w:rsidRPr="002C4DAE">
        <w:rPr>
          <w:rFonts w:ascii="Garamond" w:hAnsi="Garamond"/>
          <w:lang w:val="en-AU"/>
        </w:rPr>
        <w:t xml:space="preserve">-van de </w:t>
      </w:r>
      <w:proofErr w:type="spellStart"/>
      <w:r w:rsidRPr="002C4DAE">
        <w:rPr>
          <w:rFonts w:ascii="Garamond" w:hAnsi="Garamond"/>
          <w:lang w:val="en-AU"/>
        </w:rPr>
        <w:t>Mheen</w:t>
      </w:r>
      <w:proofErr w:type="spellEnd"/>
      <w:r w:rsidRPr="002C4DAE">
        <w:rPr>
          <w:rFonts w:ascii="Garamond" w:hAnsi="Garamond"/>
          <w:lang w:val="en-AU"/>
        </w:rPr>
        <w:t xml:space="preserve"> PJ</w:t>
      </w:r>
    </w:p>
    <w:p w:rsidR="008E6683" w:rsidRPr="00E566B0" w:rsidRDefault="002C4DAE" w:rsidP="00F44FEC">
      <w:pPr>
        <w:keepNext/>
        <w:keepLines/>
        <w:autoSpaceDE w:val="0"/>
        <w:autoSpaceDN w:val="0"/>
        <w:adjustRightInd w:val="0"/>
        <w:rPr>
          <w:rFonts w:ascii="Garamond" w:hAnsi="Garamond"/>
          <w:lang w:val="en-AU"/>
        </w:rPr>
      </w:pPr>
      <w:proofErr w:type="gramStart"/>
      <w:r w:rsidRPr="002C4DAE">
        <w:rPr>
          <w:rFonts w:ascii="Garamond" w:hAnsi="Garamond"/>
          <w:lang w:val="en-AU"/>
        </w:rPr>
        <w:t>Journal of Patient Safety.</w:t>
      </w:r>
      <w:proofErr w:type="gramEnd"/>
      <w:r w:rsidRPr="002C4DAE">
        <w:rPr>
          <w:rFonts w:ascii="Garamond" w:hAnsi="Garamond"/>
          <w:lang w:val="en-AU"/>
        </w:rPr>
        <w:t xml:space="preserve"> </w:t>
      </w:r>
      <w:proofErr w:type="gramStart"/>
      <w:r w:rsidRPr="002C4DAE">
        <w:rPr>
          <w:rFonts w:ascii="Garamond" w:hAnsi="Garamond"/>
          <w:lang w:val="en-AU"/>
        </w:rPr>
        <w:t>2019</w:t>
      </w:r>
      <w:r>
        <w:rPr>
          <w:rFonts w:ascii="Garamond" w:hAnsi="Garamond"/>
          <w:lang w:val="en-AU"/>
        </w:rPr>
        <w:t xml:space="preserve"> [epub]</w:t>
      </w:r>
      <w:r w:rsidRPr="002C4DAE">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F44FEC" w:rsidRPr="000170DA" w:rsidTr="00D70152">
        <w:tc>
          <w:tcPr>
            <w:tcW w:w="1080" w:type="dxa"/>
            <w:tcBorders>
              <w:top w:val="single" w:sz="4" w:space="0" w:color="auto"/>
              <w:left w:val="single" w:sz="4" w:space="0" w:color="auto"/>
              <w:bottom w:val="single" w:sz="4" w:space="0" w:color="auto"/>
              <w:right w:val="single" w:sz="4" w:space="0" w:color="auto"/>
            </w:tcBorders>
            <w:vAlign w:val="center"/>
          </w:tcPr>
          <w:p w:rsidR="00F44FEC" w:rsidRPr="000170DA" w:rsidRDefault="00F44FEC" w:rsidP="00D70152">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44FEC" w:rsidRPr="000170DA" w:rsidRDefault="002C4DAE" w:rsidP="00D70152">
            <w:pPr>
              <w:rPr>
                <w:rStyle w:val="Hyperlink"/>
                <w:rFonts w:ascii="Garamond" w:hAnsi="Garamond"/>
                <w:color w:val="auto"/>
                <w:u w:val="none"/>
                <w:lang w:val="en-AU"/>
              </w:rPr>
            </w:pPr>
            <w:hyperlink r:id="rId24" w:history="1">
              <w:r w:rsidR="00FE48A4" w:rsidRPr="00C44750">
                <w:rPr>
                  <w:rStyle w:val="Hyperlink"/>
                  <w:rFonts w:ascii="Garamond" w:hAnsi="Garamond"/>
                  <w:lang w:val="en-AU"/>
                </w:rPr>
                <w:t>http://doi.org/10.1097/PTS.0000000000000581</w:t>
              </w:r>
            </w:hyperlink>
          </w:p>
        </w:tc>
      </w:tr>
      <w:tr w:rsidR="00F44FEC" w:rsidRPr="000170DA" w:rsidTr="00D70152">
        <w:tc>
          <w:tcPr>
            <w:tcW w:w="1080" w:type="dxa"/>
            <w:tcBorders>
              <w:top w:val="single" w:sz="4" w:space="0" w:color="auto"/>
              <w:left w:val="single" w:sz="4" w:space="0" w:color="auto"/>
              <w:bottom w:val="single" w:sz="4" w:space="0" w:color="auto"/>
              <w:right w:val="single" w:sz="4" w:space="0" w:color="auto"/>
            </w:tcBorders>
            <w:vAlign w:val="center"/>
          </w:tcPr>
          <w:p w:rsidR="008E6683" w:rsidRPr="000170DA" w:rsidRDefault="00F44FEC" w:rsidP="008E668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64454" w:rsidRPr="00F44FEC" w:rsidRDefault="008E6683" w:rsidP="00B64454">
            <w:pPr>
              <w:rPr>
                <w:rFonts w:ascii="Garamond" w:hAnsi="Garamond"/>
                <w:lang w:val="en-AU"/>
              </w:rPr>
            </w:pPr>
            <w:r>
              <w:rPr>
                <w:rFonts w:ascii="Garamond" w:hAnsi="Garamond"/>
                <w:lang w:val="en-AU"/>
              </w:rPr>
              <w:t>Multiple sources of information can contribute to understanding the larger safety and quality picture in a health service or system</w:t>
            </w:r>
            <w:r w:rsidR="0098567E">
              <w:rPr>
                <w:rFonts w:ascii="Garamond" w:hAnsi="Garamond"/>
                <w:lang w:val="en-AU"/>
              </w:rPr>
              <w:t xml:space="preserve">. </w:t>
            </w:r>
            <w:r w:rsidR="00B64454">
              <w:rPr>
                <w:rFonts w:ascii="Garamond" w:hAnsi="Garamond"/>
                <w:lang w:val="en-AU"/>
              </w:rPr>
              <w:t xml:space="preserve">This paper reports on a retrospective study that sought to examine the relationship between patient experience data and complaints and data on complications and safety incidents. Using data for 4,236 </w:t>
            </w:r>
            <w:r w:rsidR="00B64454" w:rsidRPr="00B64454">
              <w:rPr>
                <w:rFonts w:ascii="Garamond" w:hAnsi="Garamond"/>
                <w:lang w:val="en-AU"/>
              </w:rPr>
              <w:t>surgical in</w:t>
            </w:r>
            <w:r w:rsidR="00B64454">
              <w:rPr>
                <w:rFonts w:ascii="Garamond" w:hAnsi="Garamond"/>
                <w:lang w:val="en-AU"/>
              </w:rPr>
              <w:t>patients from a teaching hospital. The results showed that p</w:t>
            </w:r>
            <w:r w:rsidR="00B64454" w:rsidRPr="00B64454">
              <w:rPr>
                <w:rFonts w:ascii="Garamond" w:hAnsi="Garamond"/>
                <w:lang w:val="en-AU"/>
              </w:rPr>
              <w:t xml:space="preserve">atient-reported problems were associated with occurrence of complications/incidents among patients with </w:t>
            </w:r>
            <w:r w:rsidR="00B64454">
              <w:rPr>
                <w:rFonts w:ascii="Garamond" w:hAnsi="Garamond"/>
                <w:lang w:val="en-AU"/>
              </w:rPr>
              <w:t xml:space="preserve">negative </w:t>
            </w:r>
            <w:r w:rsidR="00B64454" w:rsidRPr="00B64454">
              <w:rPr>
                <w:rFonts w:ascii="Garamond" w:hAnsi="Garamond"/>
                <w:lang w:val="en-AU"/>
              </w:rPr>
              <w:t>experiences, but not among patients with positive experiences</w:t>
            </w:r>
            <w:r w:rsidR="00B64454">
              <w:rPr>
                <w:rFonts w:ascii="Garamond" w:hAnsi="Garamond"/>
                <w:lang w:val="en-AU"/>
              </w:rPr>
              <w:t>. The authors suggest that ‘</w:t>
            </w:r>
            <w:r w:rsidR="00B64454" w:rsidRPr="00B64454">
              <w:rPr>
                <w:rFonts w:ascii="Garamond" w:hAnsi="Garamond"/>
                <w:lang w:val="en-AU"/>
              </w:rPr>
              <w:t>Linking safety data to patient experience data can reveal ways to optimize care.</w:t>
            </w:r>
            <w:r w:rsidR="00B64454">
              <w:rPr>
                <w:rFonts w:ascii="Garamond" w:hAnsi="Garamond"/>
                <w:lang w:val="en-AU"/>
              </w:rPr>
              <w:t>’ They also suggest that ‘</w:t>
            </w:r>
            <w:r w:rsidR="00B64454" w:rsidRPr="00B64454">
              <w:rPr>
                <w:rFonts w:ascii="Garamond" w:hAnsi="Garamond"/>
                <w:lang w:val="en-AU"/>
              </w:rPr>
              <w:t>Increased attention should be paid to respecting patient preferences, continuity, and transition, particularly when complications or incidents occur.</w:t>
            </w:r>
            <w:r w:rsidR="00B64454">
              <w:rPr>
                <w:rFonts w:ascii="Garamond" w:hAnsi="Garamond"/>
                <w:lang w:val="en-AU"/>
              </w:rPr>
              <w:t>’</w:t>
            </w:r>
          </w:p>
        </w:tc>
      </w:tr>
    </w:tbl>
    <w:p w:rsidR="00F44FEC" w:rsidRDefault="00F44FEC" w:rsidP="00F44FEC">
      <w:pPr>
        <w:rPr>
          <w:rFonts w:ascii="Garamond" w:hAnsi="Garamond"/>
          <w:i/>
          <w:lang w:val="en-AU"/>
        </w:rPr>
      </w:pPr>
    </w:p>
    <w:p w:rsidR="00B64454" w:rsidRDefault="00B64454" w:rsidP="00F44FEC">
      <w:pPr>
        <w:rPr>
          <w:rFonts w:ascii="Garamond" w:hAnsi="Garamond"/>
          <w:i/>
          <w:lang w:val="en-AU"/>
        </w:rPr>
      </w:pPr>
      <w:r w:rsidRPr="006E0777">
        <w:rPr>
          <w:rFonts w:ascii="Garamond" w:hAnsi="Garamond"/>
          <w:lang w:val="en-AU"/>
        </w:rPr>
        <w:t>For information on the Commission’s work on</w:t>
      </w:r>
      <w:r>
        <w:rPr>
          <w:rFonts w:ascii="Garamond" w:hAnsi="Garamond"/>
          <w:lang w:val="en-AU"/>
        </w:rPr>
        <w:t xml:space="preserve"> patient reported outcome measures, see </w:t>
      </w:r>
      <w:hyperlink r:id="rId25" w:history="1">
        <w:r w:rsidRPr="00C44750">
          <w:rPr>
            <w:rStyle w:val="Hyperlink"/>
            <w:rFonts w:ascii="Garamond" w:hAnsi="Garamond"/>
            <w:lang w:val="en-AU"/>
          </w:rPr>
          <w:t>https://www.safetyandquality.gov.au/our-work/indicators/patient-reported-outcome-measures/</w:t>
        </w:r>
      </w:hyperlink>
    </w:p>
    <w:p w:rsidR="00F44FEC" w:rsidRDefault="00F44FEC" w:rsidP="00F44FEC">
      <w:pPr>
        <w:keepNext/>
        <w:keepLines/>
        <w:autoSpaceDE w:val="0"/>
        <w:autoSpaceDN w:val="0"/>
        <w:adjustRightInd w:val="0"/>
        <w:rPr>
          <w:rFonts w:ascii="Garamond" w:hAnsi="Garamond"/>
          <w:lang w:val="en-AU"/>
        </w:rPr>
      </w:pPr>
    </w:p>
    <w:p w:rsidR="00B64454" w:rsidRDefault="00B64454" w:rsidP="00B64454">
      <w:pPr>
        <w:rPr>
          <w:rFonts w:ascii="Garamond" w:hAnsi="Garamond"/>
          <w:i/>
          <w:lang w:val="en-AU"/>
        </w:rPr>
      </w:pPr>
      <w:r w:rsidRPr="006E0777">
        <w:rPr>
          <w:rFonts w:ascii="Garamond" w:hAnsi="Garamond"/>
          <w:lang w:val="en-AU"/>
        </w:rPr>
        <w:t>For information on the Commission’s work on</w:t>
      </w:r>
      <w:r>
        <w:rPr>
          <w:rFonts w:ascii="Garamond" w:hAnsi="Garamond"/>
          <w:lang w:val="en-AU"/>
        </w:rPr>
        <w:t xml:space="preserve"> patient and consumer centred care, see </w:t>
      </w:r>
      <w:hyperlink r:id="rId26" w:history="1">
        <w:r w:rsidRPr="00C44750">
          <w:rPr>
            <w:rStyle w:val="Hyperlink"/>
            <w:rFonts w:ascii="Garamond" w:hAnsi="Garamond"/>
            <w:lang w:val="en-AU"/>
          </w:rPr>
          <w:t>https://www.safetyandquality.gov.au/our-work/patient-and-consumer-centred-care/</w:t>
        </w:r>
      </w:hyperlink>
      <w:r>
        <w:rPr>
          <w:rFonts w:ascii="Garamond" w:hAnsi="Garamond"/>
          <w:lang w:val="en-AU"/>
        </w:rPr>
        <w:t xml:space="preserve"> </w:t>
      </w:r>
    </w:p>
    <w:p w:rsidR="00B64454" w:rsidRDefault="00B64454" w:rsidP="00F31463">
      <w:pPr>
        <w:rPr>
          <w:rFonts w:ascii="Garamond" w:hAnsi="Garamond"/>
          <w:i/>
          <w:lang w:val="en-AU"/>
        </w:rPr>
      </w:pPr>
    </w:p>
    <w:p w:rsidR="00F31463" w:rsidRPr="00F31463" w:rsidRDefault="00F31463" w:rsidP="00F31463">
      <w:pPr>
        <w:rPr>
          <w:rFonts w:ascii="Garamond" w:hAnsi="Garamond"/>
          <w:i/>
          <w:lang w:val="en-AU"/>
        </w:rPr>
      </w:pPr>
      <w:r w:rsidRPr="00F31463">
        <w:rPr>
          <w:rFonts w:ascii="Garamond" w:hAnsi="Garamond"/>
          <w:i/>
          <w:lang w:val="en-AU"/>
        </w:rPr>
        <w:t>Australian Health Review</w:t>
      </w:r>
    </w:p>
    <w:p w:rsidR="008E7CAA" w:rsidRPr="00D65371" w:rsidRDefault="00F31463" w:rsidP="00F31463">
      <w:pPr>
        <w:rPr>
          <w:rFonts w:ascii="Garamond" w:hAnsi="Garamond"/>
          <w:lang w:val="en-AU"/>
        </w:rPr>
      </w:pPr>
      <w:r w:rsidRPr="00F31463">
        <w:rPr>
          <w:rFonts w:ascii="Garamond" w:hAnsi="Garamond"/>
          <w:lang w:val="en-AU"/>
        </w:rPr>
        <w:t>Volume 43(2) 2019</w:t>
      </w:r>
    </w:p>
    <w:tbl>
      <w:tblPr>
        <w:tblStyle w:val="TableGrid"/>
        <w:tblW w:w="0" w:type="auto"/>
        <w:tblInd w:w="288" w:type="dxa"/>
        <w:tblLayout w:type="fixed"/>
        <w:tblLook w:val="01E0" w:firstRow="1" w:lastRow="1" w:firstColumn="1" w:lastColumn="1" w:noHBand="0" w:noVBand="0"/>
      </w:tblPr>
      <w:tblGrid>
        <w:gridCol w:w="1080"/>
        <w:gridCol w:w="8280"/>
      </w:tblGrid>
      <w:tr w:rsidR="008E7CAA" w:rsidRPr="000170DA" w:rsidTr="006B1385">
        <w:tc>
          <w:tcPr>
            <w:tcW w:w="1080" w:type="dxa"/>
            <w:tcBorders>
              <w:top w:val="single" w:sz="4" w:space="0" w:color="auto"/>
              <w:left w:val="single" w:sz="4" w:space="0" w:color="auto"/>
              <w:bottom w:val="single" w:sz="4" w:space="0" w:color="auto"/>
              <w:right w:val="single" w:sz="4" w:space="0" w:color="auto"/>
            </w:tcBorders>
            <w:vAlign w:val="center"/>
          </w:tcPr>
          <w:p w:rsidR="008E7CAA" w:rsidRPr="000170DA" w:rsidRDefault="008E7CAA" w:rsidP="006B1385">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E7CAA" w:rsidRPr="000170DA" w:rsidRDefault="002C4DAE" w:rsidP="008E7CAA">
            <w:pPr>
              <w:rPr>
                <w:rStyle w:val="Hyperlink"/>
                <w:rFonts w:ascii="Garamond" w:hAnsi="Garamond"/>
                <w:color w:val="auto"/>
                <w:u w:val="none"/>
                <w:lang w:val="en-AU"/>
              </w:rPr>
            </w:pPr>
            <w:hyperlink r:id="rId27" w:history="1">
              <w:r w:rsidR="00F31463" w:rsidRPr="00C44750">
                <w:rPr>
                  <w:rStyle w:val="Hyperlink"/>
                  <w:rFonts w:ascii="Garamond" w:hAnsi="Garamond"/>
                  <w:lang w:val="en-AU"/>
                </w:rPr>
                <w:t>http://www.publish.csiro.au/ah/issue/9363</w:t>
              </w:r>
            </w:hyperlink>
          </w:p>
        </w:tc>
      </w:tr>
      <w:tr w:rsidR="008E7CAA" w:rsidRPr="000170DA" w:rsidTr="006B1385">
        <w:tc>
          <w:tcPr>
            <w:tcW w:w="1080" w:type="dxa"/>
            <w:tcBorders>
              <w:top w:val="single" w:sz="4" w:space="0" w:color="auto"/>
              <w:left w:val="single" w:sz="4" w:space="0" w:color="auto"/>
              <w:bottom w:val="single" w:sz="4" w:space="0" w:color="auto"/>
              <w:right w:val="single" w:sz="4" w:space="0" w:color="auto"/>
            </w:tcBorders>
            <w:vAlign w:val="center"/>
          </w:tcPr>
          <w:p w:rsidR="008E7CAA" w:rsidRPr="000170DA" w:rsidRDefault="008E7CAA" w:rsidP="006B138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E7CAA" w:rsidRPr="007C3778" w:rsidRDefault="008E7CAA" w:rsidP="006B1385">
            <w:pPr>
              <w:rPr>
                <w:rFonts w:ascii="Garamond" w:hAnsi="Garamond"/>
                <w:lang w:val="en-AU"/>
              </w:rPr>
            </w:pPr>
            <w:r w:rsidRPr="00B440ED">
              <w:rPr>
                <w:rFonts w:ascii="Garamond" w:hAnsi="Garamond"/>
                <w:lang w:val="en-AU"/>
              </w:rPr>
              <w:t xml:space="preserve">A new issue of </w:t>
            </w:r>
            <w:r w:rsidR="00F31463" w:rsidRPr="00F31463">
              <w:rPr>
                <w:rFonts w:ascii="Garamond" w:hAnsi="Garamond"/>
                <w:i/>
                <w:lang w:val="en-AU"/>
              </w:rPr>
              <w:t>Australian Health Review</w:t>
            </w:r>
            <w:r w:rsidR="00F31463" w:rsidRPr="00B440ED">
              <w:rPr>
                <w:rFonts w:ascii="Garamond" w:hAnsi="Garamond"/>
                <w:lang w:val="en-AU"/>
              </w:rPr>
              <w:t xml:space="preserve"> </w:t>
            </w:r>
            <w:r w:rsidRPr="00B440ED">
              <w:rPr>
                <w:rFonts w:ascii="Garamond" w:hAnsi="Garamond"/>
                <w:lang w:val="en-AU"/>
              </w:rPr>
              <w:t xml:space="preserve">has been published. Articles in this issue of </w:t>
            </w:r>
            <w:r w:rsidR="00F31463" w:rsidRPr="00F31463">
              <w:rPr>
                <w:rFonts w:ascii="Garamond" w:hAnsi="Garamond"/>
                <w:i/>
                <w:lang w:val="en-AU"/>
              </w:rPr>
              <w:t>Australian Health Review</w:t>
            </w:r>
            <w:r w:rsidR="00F31463" w:rsidRPr="00B440ED">
              <w:rPr>
                <w:rFonts w:ascii="Garamond" w:hAnsi="Garamond"/>
                <w:lang w:val="en-AU"/>
              </w:rPr>
              <w:t xml:space="preserve"> </w:t>
            </w:r>
            <w:r w:rsidRPr="00B440ED">
              <w:rPr>
                <w:rFonts w:ascii="Garamond" w:hAnsi="Garamond"/>
                <w:lang w:val="en-AU"/>
              </w:rPr>
              <w:t>include:</w:t>
            </w:r>
          </w:p>
          <w:p w:rsidR="00FE48A4" w:rsidRDefault="00F31463" w:rsidP="00F31463">
            <w:pPr>
              <w:pStyle w:val="ListParagraph"/>
              <w:numPr>
                <w:ilvl w:val="0"/>
                <w:numId w:val="40"/>
              </w:numPr>
              <w:rPr>
                <w:rFonts w:ascii="Garamond" w:hAnsi="Garamond"/>
                <w:lang w:val="en-AU"/>
              </w:rPr>
            </w:pPr>
            <w:r w:rsidRPr="00FE48A4">
              <w:rPr>
                <w:rFonts w:ascii="Garamond" w:hAnsi="Garamond"/>
                <w:lang w:val="en-AU"/>
              </w:rPr>
              <w:t xml:space="preserve">Towards </w:t>
            </w:r>
            <w:r w:rsidRPr="00FE48A4">
              <w:rPr>
                <w:rFonts w:ascii="Garamond" w:hAnsi="Garamond"/>
                <w:b/>
                <w:lang w:val="en-AU"/>
              </w:rPr>
              <w:t>value-based healthcare</w:t>
            </w:r>
            <w:r w:rsidRPr="00FE48A4">
              <w:rPr>
                <w:rFonts w:ascii="Garamond" w:hAnsi="Garamond"/>
                <w:lang w:val="en-AU"/>
              </w:rPr>
              <w:t xml:space="preserve"> – modelling an answer for </w:t>
            </w:r>
            <w:r w:rsidRPr="00FE48A4">
              <w:rPr>
                <w:rFonts w:ascii="Garamond" w:hAnsi="Garamond"/>
                <w:b/>
                <w:lang w:val="en-AU"/>
              </w:rPr>
              <w:t>cancer care</w:t>
            </w:r>
            <w:r w:rsidRPr="00FE48A4">
              <w:rPr>
                <w:rFonts w:ascii="Garamond" w:hAnsi="Garamond"/>
                <w:lang w:val="en-AU"/>
              </w:rPr>
              <w:t xml:space="preserve"> delivery </w:t>
            </w:r>
            <w:r w:rsidR="00FE48A4" w:rsidRPr="00FE48A4">
              <w:rPr>
                <w:rFonts w:ascii="Garamond" w:hAnsi="Garamond"/>
                <w:lang w:val="en-AU"/>
              </w:rPr>
              <w:t>(</w:t>
            </w:r>
            <w:proofErr w:type="spellStart"/>
            <w:r w:rsidRPr="00FE48A4">
              <w:rPr>
                <w:rFonts w:ascii="Garamond" w:hAnsi="Garamond"/>
                <w:lang w:val="en-AU"/>
              </w:rPr>
              <w:t>Christobel</w:t>
            </w:r>
            <w:proofErr w:type="spellEnd"/>
            <w:r w:rsidRPr="00FE48A4">
              <w:rPr>
                <w:rFonts w:ascii="Garamond" w:hAnsi="Garamond"/>
                <w:lang w:val="en-AU"/>
              </w:rPr>
              <w:t xml:space="preserve"> Saunders</w:t>
            </w:r>
            <w:r w:rsidR="00FE48A4">
              <w:rPr>
                <w:rFonts w:ascii="Garamond" w:hAnsi="Garamond"/>
                <w:lang w:val="en-AU"/>
              </w:rPr>
              <w:t>)</w:t>
            </w:r>
          </w:p>
          <w:p w:rsidR="00FE48A4" w:rsidRDefault="00F31463" w:rsidP="00F31463">
            <w:pPr>
              <w:pStyle w:val="ListParagraph"/>
              <w:numPr>
                <w:ilvl w:val="0"/>
                <w:numId w:val="40"/>
              </w:numPr>
              <w:rPr>
                <w:rFonts w:ascii="Garamond" w:hAnsi="Garamond"/>
                <w:lang w:val="en-AU"/>
              </w:rPr>
            </w:pPr>
            <w:r w:rsidRPr="00FE48A4">
              <w:rPr>
                <w:rFonts w:ascii="Garamond" w:hAnsi="Garamond"/>
                <w:lang w:val="en-AU"/>
              </w:rPr>
              <w:t xml:space="preserve">Turning attention to </w:t>
            </w:r>
            <w:r w:rsidRPr="00FE48A4">
              <w:rPr>
                <w:rFonts w:ascii="Garamond" w:hAnsi="Garamond"/>
                <w:b/>
                <w:lang w:val="en-AU"/>
              </w:rPr>
              <w:t>clinician engagement</w:t>
            </w:r>
            <w:r w:rsidRPr="00FE48A4">
              <w:rPr>
                <w:rFonts w:ascii="Garamond" w:hAnsi="Garamond"/>
                <w:lang w:val="en-AU"/>
              </w:rPr>
              <w:t xml:space="preserve"> in Victoria </w:t>
            </w:r>
            <w:r w:rsidR="00FE48A4" w:rsidRPr="00FE48A4">
              <w:rPr>
                <w:rFonts w:ascii="Garamond" w:hAnsi="Garamond"/>
                <w:lang w:val="en-AU"/>
              </w:rPr>
              <w:t>(</w:t>
            </w:r>
            <w:r w:rsidRPr="00FE48A4">
              <w:rPr>
                <w:rFonts w:ascii="Garamond" w:hAnsi="Garamond"/>
                <w:lang w:val="en-AU"/>
              </w:rPr>
              <w:t xml:space="preserve">Christine </w:t>
            </w:r>
            <w:proofErr w:type="spellStart"/>
            <w:r w:rsidRPr="00FE48A4">
              <w:rPr>
                <w:rFonts w:ascii="Garamond" w:hAnsi="Garamond"/>
                <w:lang w:val="en-AU"/>
              </w:rPr>
              <w:t>Jorm</w:t>
            </w:r>
            <w:proofErr w:type="spellEnd"/>
            <w:r w:rsidRPr="00FE48A4">
              <w:rPr>
                <w:rFonts w:ascii="Garamond" w:hAnsi="Garamond"/>
                <w:lang w:val="en-AU"/>
              </w:rPr>
              <w:t>, Robyn Hudson and Euan Wallace</w:t>
            </w:r>
            <w:r w:rsidR="00FE48A4">
              <w:rPr>
                <w:rFonts w:ascii="Garamond" w:hAnsi="Garamond"/>
                <w:lang w:val="en-AU"/>
              </w:rPr>
              <w:t>)</w:t>
            </w:r>
          </w:p>
          <w:p w:rsidR="00FE48A4" w:rsidRDefault="00F31463" w:rsidP="00F31463">
            <w:pPr>
              <w:pStyle w:val="ListParagraph"/>
              <w:numPr>
                <w:ilvl w:val="0"/>
                <w:numId w:val="40"/>
              </w:numPr>
              <w:rPr>
                <w:rFonts w:ascii="Garamond" w:hAnsi="Garamond"/>
                <w:lang w:val="en-AU"/>
              </w:rPr>
            </w:pPr>
            <w:r w:rsidRPr="00FE48A4">
              <w:rPr>
                <w:rFonts w:ascii="Garamond" w:hAnsi="Garamond"/>
                <w:lang w:val="en-AU"/>
              </w:rPr>
              <w:t xml:space="preserve">Bridging existing </w:t>
            </w:r>
            <w:r w:rsidRPr="00FE48A4">
              <w:rPr>
                <w:rFonts w:ascii="Garamond" w:hAnsi="Garamond"/>
                <w:b/>
                <w:lang w:val="en-AU"/>
              </w:rPr>
              <w:t>governance</w:t>
            </w:r>
            <w:r w:rsidRPr="00FE48A4">
              <w:rPr>
                <w:rFonts w:ascii="Garamond" w:hAnsi="Garamond"/>
                <w:lang w:val="en-AU"/>
              </w:rPr>
              <w:t xml:space="preserve"> gaps: five evidence-based </w:t>
            </w:r>
            <w:r w:rsidRPr="00FE48A4">
              <w:rPr>
                <w:rFonts w:ascii="Garamond" w:hAnsi="Garamond"/>
                <w:b/>
                <w:lang w:val="en-AU"/>
              </w:rPr>
              <w:t>actions that boards can take</w:t>
            </w:r>
            <w:r w:rsidRPr="00FE48A4">
              <w:rPr>
                <w:rFonts w:ascii="Garamond" w:hAnsi="Garamond"/>
                <w:lang w:val="en-AU"/>
              </w:rPr>
              <w:t xml:space="preserve"> to pursue high quality care </w:t>
            </w:r>
            <w:r w:rsidR="00FE48A4" w:rsidRPr="00FE48A4">
              <w:rPr>
                <w:rFonts w:ascii="Garamond" w:hAnsi="Garamond"/>
                <w:lang w:val="en-AU"/>
              </w:rPr>
              <w:t>(</w:t>
            </w:r>
            <w:r w:rsidRPr="00FE48A4">
              <w:rPr>
                <w:rFonts w:ascii="Garamond" w:hAnsi="Garamond"/>
                <w:lang w:val="en-AU"/>
              </w:rPr>
              <w:t xml:space="preserve">Sandra G </w:t>
            </w:r>
            <w:proofErr w:type="spellStart"/>
            <w:r w:rsidRPr="00FE48A4">
              <w:rPr>
                <w:rFonts w:ascii="Garamond" w:hAnsi="Garamond"/>
                <w:lang w:val="en-AU"/>
              </w:rPr>
              <w:t>Leggat</w:t>
            </w:r>
            <w:proofErr w:type="spellEnd"/>
            <w:r w:rsidRPr="00FE48A4">
              <w:rPr>
                <w:rFonts w:ascii="Garamond" w:hAnsi="Garamond"/>
                <w:lang w:val="en-AU"/>
              </w:rPr>
              <w:t xml:space="preserve"> and Cathy Balding</w:t>
            </w:r>
            <w:r w:rsidR="00FE48A4">
              <w:rPr>
                <w:rFonts w:ascii="Garamond" w:hAnsi="Garamond"/>
                <w:lang w:val="en-AU"/>
              </w:rPr>
              <w:t>)</w:t>
            </w:r>
          </w:p>
          <w:p w:rsidR="00F31463" w:rsidRDefault="00F31463" w:rsidP="00F31463">
            <w:pPr>
              <w:pStyle w:val="ListParagraph"/>
              <w:numPr>
                <w:ilvl w:val="0"/>
                <w:numId w:val="40"/>
              </w:numPr>
              <w:rPr>
                <w:rFonts w:ascii="Garamond" w:hAnsi="Garamond"/>
                <w:lang w:val="en-AU"/>
              </w:rPr>
            </w:pPr>
            <w:r w:rsidRPr="00FE48A4">
              <w:rPr>
                <w:rFonts w:ascii="Garamond" w:hAnsi="Garamond"/>
                <w:lang w:val="en-AU"/>
              </w:rPr>
              <w:t xml:space="preserve">Associations between </w:t>
            </w:r>
            <w:r w:rsidRPr="002F0B3C">
              <w:rPr>
                <w:rFonts w:ascii="Garamond" w:hAnsi="Garamond"/>
                <w:b/>
                <w:lang w:val="en-AU"/>
              </w:rPr>
              <w:t>clinical indicators of quality and aged-care residents’ needs and consumer and staff satisfaction</w:t>
            </w:r>
            <w:r w:rsidRPr="00FE48A4">
              <w:rPr>
                <w:rFonts w:ascii="Garamond" w:hAnsi="Garamond"/>
                <w:lang w:val="en-AU"/>
              </w:rPr>
              <w:t xml:space="preserve">: the first Australian study </w:t>
            </w:r>
            <w:r w:rsidR="00FE48A4" w:rsidRPr="00FE48A4">
              <w:rPr>
                <w:rFonts w:ascii="Garamond" w:hAnsi="Garamond"/>
                <w:lang w:val="en-AU"/>
              </w:rPr>
              <w:t>(</w:t>
            </w:r>
            <w:r w:rsidRPr="00FE48A4">
              <w:rPr>
                <w:rFonts w:ascii="Garamond" w:hAnsi="Garamond"/>
                <w:lang w:val="en-AU"/>
              </w:rPr>
              <w:t>Yun-</w:t>
            </w:r>
            <w:proofErr w:type="spellStart"/>
            <w:r w:rsidRPr="00FE48A4">
              <w:rPr>
                <w:rFonts w:ascii="Garamond" w:hAnsi="Garamond"/>
                <w:lang w:val="en-AU"/>
              </w:rPr>
              <w:t>Hee</w:t>
            </w:r>
            <w:proofErr w:type="spellEnd"/>
            <w:r w:rsidRPr="00FE48A4">
              <w:rPr>
                <w:rFonts w:ascii="Garamond" w:hAnsi="Garamond"/>
                <w:lang w:val="en-AU"/>
              </w:rPr>
              <w:t xml:space="preserve"> Jeon, Anne-Nicole Casey, </w:t>
            </w:r>
            <w:proofErr w:type="spellStart"/>
            <w:r w:rsidRPr="00FE48A4">
              <w:rPr>
                <w:rFonts w:ascii="Garamond" w:hAnsi="Garamond"/>
                <w:lang w:val="en-AU"/>
              </w:rPr>
              <w:t>Kha</w:t>
            </w:r>
            <w:proofErr w:type="spellEnd"/>
            <w:r w:rsidRPr="00FE48A4">
              <w:rPr>
                <w:rFonts w:ascii="Garamond" w:hAnsi="Garamond"/>
                <w:lang w:val="en-AU"/>
              </w:rPr>
              <w:t xml:space="preserve"> Vo, Kris Rogers, B</w:t>
            </w:r>
            <w:r w:rsidR="00FE48A4">
              <w:rPr>
                <w:rFonts w:ascii="Garamond" w:hAnsi="Garamond"/>
                <w:lang w:val="en-AU"/>
              </w:rPr>
              <w:t xml:space="preserve">elinda Poole and Judith </w:t>
            </w:r>
            <w:proofErr w:type="spellStart"/>
            <w:r w:rsidR="00FE48A4">
              <w:rPr>
                <w:rFonts w:ascii="Garamond" w:hAnsi="Garamond"/>
                <w:lang w:val="en-AU"/>
              </w:rPr>
              <w:t>Fethney</w:t>
            </w:r>
            <w:proofErr w:type="spellEnd"/>
            <w:r w:rsidR="00FE48A4">
              <w:rPr>
                <w:rFonts w:ascii="Garamond" w:hAnsi="Garamond"/>
                <w:lang w:val="en-AU"/>
              </w:rPr>
              <w:t>)</w:t>
            </w:r>
          </w:p>
          <w:p w:rsidR="00FE48A4" w:rsidRDefault="00F31463" w:rsidP="00F31463">
            <w:pPr>
              <w:pStyle w:val="ListParagraph"/>
              <w:numPr>
                <w:ilvl w:val="0"/>
                <w:numId w:val="40"/>
              </w:numPr>
              <w:rPr>
                <w:rFonts w:ascii="Garamond" w:hAnsi="Garamond"/>
                <w:lang w:val="en-AU"/>
              </w:rPr>
            </w:pPr>
            <w:r w:rsidRPr="002F0B3C">
              <w:rPr>
                <w:rFonts w:ascii="Garamond" w:hAnsi="Garamond"/>
                <w:b/>
                <w:lang w:val="en-AU"/>
              </w:rPr>
              <w:t>Revenue of consultant physicians for private out-patient consultations</w:t>
            </w:r>
            <w:r w:rsidRPr="00FE48A4">
              <w:rPr>
                <w:rFonts w:ascii="Garamond" w:hAnsi="Garamond"/>
                <w:lang w:val="en-AU"/>
              </w:rPr>
              <w:t xml:space="preserve"> </w:t>
            </w:r>
            <w:r w:rsidR="00FE48A4" w:rsidRPr="00FE48A4">
              <w:rPr>
                <w:rFonts w:ascii="Garamond" w:hAnsi="Garamond"/>
                <w:lang w:val="en-AU"/>
              </w:rPr>
              <w:t>(</w:t>
            </w:r>
            <w:r w:rsidRPr="00FE48A4">
              <w:rPr>
                <w:rFonts w:ascii="Garamond" w:hAnsi="Garamond"/>
                <w:lang w:val="en-AU"/>
              </w:rPr>
              <w:t>Gary L Freed and Amy R Allen</w:t>
            </w:r>
            <w:r w:rsidR="00FE48A4">
              <w:rPr>
                <w:rFonts w:ascii="Garamond" w:hAnsi="Garamond"/>
                <w:lang w:val="en-AU"/>
              </w:rPr>
              <w:t>)</w:t>
            </w:r>
          </w:p>
          <w:p w:rsidR="00FE48A4" w:rsidRDefault="00F31463" w:rsidP="00F31463">
            <w:pPr>
              <w:pStyle w:val="ListParagraph"/>
              <w:numPr>
                <w:ilvl w:val="0"/>
                <w:numId w:val="40"/>
              </w:numPr>
              <w:rPr>
                <w:rFonts w:ascii="Garamond" w:hAnsi="Garamond"/>
                <w:lang w:val="en-AU"/>
              </w:rPr>
            </w:pPr>
            <w:r w:rsidRPr="00FE48A4">
              <w:rPr>
                <w:rFonts w:ascii="Garamond" w:hAnsi="Garamond"/>
                <w:lang w:val="en-AU"/>
              </w:rPr>
              <w:t xml:space="preserve">Relative contribution of </w:t>
            </w:r>
            <w:r w:rsidRPr="002F0B3C">
              <w:rPr>
                <w:rFonts w:ascii="Garamond" w:hAnsi="Garamond"/>
                <w:b/>
                <w:lang w:val="en-AU"/>
              </w:rPr>
              <w:t>overweight and obesity to rising public hospital in-patient expenditure</w:t>
            </w:r>
            <w:r w:rsidRPr="00FE48A4">
              <w:rPr>
                <w:rFonts w:ascii="Garamond" w:hAnsi="Garamond"/>
                <w:lang w:val="en-AU"/>
              </w:rPr>
              <w:t xml:space="preserve"> in South Australia </w:t>
            </w:r>
            <w:r w:rsidR="00FE48A4" w:rsidRPr="00FE48A4">
              <w:rPr>
                <w:rFonts w:ascii="Garamond" w:hAnsi="Garamond"/>
                <w:lang w:val="en-AU"/>
              </w:rPr>
              <w:t>(</w:t>
            </w:r>
            <w:r w:rsidRPr="00FE48A4">
              <w:rPr>
                <w:rFonts w:ascii="Garamond" w:hAnsi="Garamond"/>
                <w:lang w:val="en-AU"/>
              </w:rPr>
              <w:t xml:space="preserve">Allison </w:t>
            </w:r>
            <w:proofErr w:type="spellStart"/>
            <w:r w:rsidRPr="00FE48A4">
              <w:rPr>
                <w:rFonts w:ascii="Garamond" w:hAnsi="Garamond"/>
                <w:lang w:val="en-AU"/>
              </w:rPr>
              <w:t>Larg</w:t>
            </w:r>
            <w:proofErr w:type="spellEnd"/>
            <w:r w:rsidRPr="00FE48A4">
              <w:rPr>
                <w:rFonts w:ascii="Garamond" w:hAnsi="Garamond"/>
                <w:lang w:val="en-AU"/>
              </w:rPr>
              <w:t>, John R Moss and Nicola Spurrier</w:t>
            </w:r>
            <w:r w:rsidR="00FE48A4">
              <w:rPr>
                <w:rFonts w:ascii="Garamond" w:hAnsi="Garamond"/>
                <w:lang w:val="en-AU"/>
              </w:rPr>
              <w:t>)</w:t>
            </w:r>
          </w:p>
          <w:p w:rsidR="00FE48A4" w:rsidRDefault="00F31463" w:rsidP="00F31463">
            <w:pPr>
              <w:pStyle w:val="ListParagraph"/>
              <w:numPr>
                <w:ilvl w:val="0"/>
                <w:numId w:val="40"/>
              </w:numPr>
              <w:rPr>
                <w:rFonts w:ascii="Garamond" w:hAnsi="Garamond"/>
                <w:lang w:val="en-AU"/>
              </w:rPr>
            </w:pPr>
            <w:r w:rsidRPr="00FE48A4">
              <w:rPr>
                <w:rFonts w:ascii="Garamond" w:hAnsi="Garamond"/>
                <w:lang w:val="en-AU"/>
              </w:rPr>
              <w:t xml:space="preserve">Role of </w:t>
            </w:r>
            <w:r w:rsidRPr="002F0B3C">
              <w:rPr>
                <w:rFonts w:ascii="Garamond" w:hAnsi="Garamond"/>
                <w:b/>
                <w:lang w:val="en-AU"/>
              </w:rPr>
              <w:t>strategic human resource management in crisis management</w:t>
            </w:r>
            <w:r w:rsidRPr="00FE48A4">
              <w:rPr>
                <w:rFonts w:ascii="Garamond" w:hAnsi="Garamond"/>
                <w:lang w:val="en-AU"/>
              </w:rPr>
              <w:t xml:space="preserve"> in Australian greenfield hospital sites: a crisis management theory perspective </w:t>
            </w:r>
            <w:r w:rsidR="00FE48A4" w:rsidRPr="00FE48A4">
              <w:rPr>
                <w:rFonts w:ascii="Garamond" w:hAnsi="Garamond"/>
                <w:lang w:val="en-AU"/>
              </w:rPr>
              <w:lastRenderedPageBreak/>
              <w:t>(</w:t>
            </w:r>
            <w:r w:rsidRPr="00FE48A4">
              <w:rPr>
                <w:rFonts w:ascii="Garamond" w:hAnsi="Garamond"/>
                <w:lang w:val="en-AU"/>
              </w:rPr>
              <w:t>Madeleine Iris Kendrick, Timothy Bartram, Jillian Cavanagh and J Burgess</w:t>
            </w:r>
            <w:r w:rsidR="00FE48A4">
              <w:rPr>
                <w:rFonts w:ascii="Garamond" w:hAnsi="Garamond"/>
                <w:lang w:val="en-AU"/>
              </w:rPr>
              <w:t>)</w:t>
            </w:r>
          </w:p>
          <w:p w:rsidR="00FE48A4" w:rsidRDefault="00F31463" w:rsidP="00F31463">
            <w:pPr>
              <w:pStyle w:val="ListParagraph"/>
              <w:numPr>
                <w:ilvl w:val="0"/>
                <w:numId w:val="40"/>
              </w:numPr>
              <w:rPr>
                <w:rFonts w:ascii="Garamond" w:hAnsi="Garamond"/>
                <w:lang w:val="en-AU"/>
              </w:rPr>
            </w:pPr>
            <w:r w:rsidRPr="00FE48A4">
              <w:rPr>
                <w:rFonts w:ascii="Garamond" w:hAnsi="Garamond"/>
                <w:lang w:val="en-AU"/>
              </w:rPr>
              <w:t xml:space="preserve">A wake-up call for </w:t>
            </w:r>
            <w:r w:rsidRPr="002F0B3C">
              <w:rPr>
                <w:rFonts w:ascii="Garamond" w:hAnsi="Garamond"/>
                <w:b/>
                <w:lang w:val="en-AU"/>
              </w:rPr>
              <w:t>physical activity promotion</w:t>
            </w:r>
            <w:r w:rsidRPr="00FE48A4">
              <w:rPr>
                <w:rFonts w:ascii="Garamond" w:hAnsi="Garamond"/>
                <w:lang w:val="en-AU"/>
              </w:rPr>
              <w:t xml:space="preserve"> in Australia: results from a survey of Australian nursing and allied health professionals </w:t>
            </w:r>
            <w:r w:rsidR="00FE48A4" w:rsidRPr="00FE48A4">
              <w:rPr>
                <w:rFonts w:ascii="Garamond" w:hAnsi="Garamond"/>
                <w:lang w:val="en-AU"/>
              </w:rPr>
              <w:t>(</w:t>
            </w:r>
            <w:r w:rsidRPr="00FE48A4">
              <w:rPr>
                <w:rFonts w:ascii="Garamond" w:hAnsi="Garamond"/>
                <w:lang w:val="en-AU"/>
              </w:rPr>
              <w:t xml:space="preserve">Nicole </w:t>
            </w:r>
            <w:proofErr w:type="spellStart"/>
            <w:r w:rsidRPr="00FE48A4">
              <w:rPr>
                <w:rFonts w:ascii="Garamond" w:hAnsi="Garamond"/>
                <w:lang w:val="en-AU"/>
              </w:rPr>
              <w:t>Freene</w:t>
            </w:r>
            <w:proofErr w:type="spellEnd"/>
            <w:r w:rsidRPr="00FE48A4">
              <w:rPr>
                <w:rFonts w:ascii="Garamond" w:hAnsi="Garamond"/>
                <w:lang w:val="en-AU"/>
              </w:rPr>
              <w:t xml:space="preserve">, Sophie Cools, Danny Hills, Bernie </w:t>
            </w:r>
            <w:proofErr w:type="spellStart"/>
            <w:r w:rsidRPr="00FE48A4">
              <w:rPr>
                <w:rFonts w:ascii="Garamond" w:hAnsi="Garamond"/>
                <w:lang w:val="en-AU"/>
              </w:rPr>
              <w:t>Bissett</w:t>
            </w:r>
            <w:proofErr w:type="spellEnd"/>
            <w:r w:rsidRPr="00FE48A4">
              <w:rPr>
                <w:rFonts w:ascii="Garamond" w:hAnsi="Garamond"/>
                <w:lang w:val="en-AU"/>
              </w:rPr>
              <w:t xml:space="preserve">, Kate </w:t>
            </w:r>
            <w:proofErr w:type="spellStart"/>
            <w:r w:rsidRPr="00FE48A4">
              <w:rPr>
                <w:rFonts w:ascii="Garamond" w:hAnsi="Garamond"/>
                <w:lang w:val="en-AU"/>
              </w:rPr>
              <w:t>Pumpa</w:t>
            </w:r>
            <w:proofErr w:type="spellEnd"/>
            <w:r w:rsidRPr="00FE48A4">
              <w:rPr>
                <w:rFonts w:ascii="Garamond" w:hAnsi="Garamond"/>
                <w:lang w:val="en-AU"/>
              </w:rPr>
              <w:t xml:space="preserve"> and Gabrielle Cooper</w:t>
            </w:r>
            <w:r w:rsidR="00FE48A4">
              <w:rPr>
                <w:rFonts w:ascii="Garamond" w:hAnsi="Garamond"/>
                <w:lang w:val="en-AU"/>
              </w:rPr>
              <w:t>)</w:t>
            </w:r>
          </w:p>
          <w:p w:rsidR="00FE48A4" w:rsidRDefault="00F31463" w:rsidP="00F31463">
            <w:pPr>
              <w:pStyle w:val="ListParagraph"/>
              <w:numPr>
                <w:ilvl w:val="0"/>
                <w:numId w:val="40"/>
              </w:numPr>
              <w:rPr>
                <w:rFonts w:ascii="Garamond" w:hAnsi="Garamond"/>
                <w:lang w:val="en-AU"/>
              </w:rPr>
            </w:pPr>
            <w:r w:rsidRPr="00FE48A4">
              <w:rPr>
                <w:rFonts w:ascii="Garamond" w:hAnsi="Garamond"/>
                <w:lang w:val="en-AU"/>
              </w:rPr>
              <w:t xml:space="preserve">Identification of </w:t>
            </w:r>
            <w:r w:rsidRPr="002F0B3C">
              <w:rPr>
                <w:rFonts w:ascii="Garamond" w:hAnsi="Garamond"/>
                <w:b/>
                <w:lang w:val="en-AU"/>
              </w:rPr>
              <w:t>vulnerability within a child and family health service</w:t>
            </w:r>
            <w:r w:rsidRPr="00FE48A4">
              <w:rPr>
                <w:rFonts w:ascii="Garamond" w:hAnsi="Garamond"/>
                <w:lang w:val="en-AU"/>
              </w:rPr>
              <w:t xml:space="preserve"> </w:t>
            </w:r>
            <w:r w:rsidR="00FE48A4" w:rsidRPr="00FE48A4">
              <w:rPr>
                <w:rFonts w:ascii="Garamond" w:hAnsi="Garamond"/>
                <w:lang w:val="en-AU"/>
              </w:rPr>
              <w:t>(</w:t>
            </w:r>
            <w:r w:rsidRPr="00FE48A4">
              <w:rPr>
                <w:rFonts w:ascii="Garamond" w:hAnsi="Garamond"/>
                <w:lang w:val="en-AU"/>
              </w:rPr>
              <w:t xml:space="preserve">Katarina </w:t>
            </w:r>
            <w:proofErr w:type="spellStart"/>
            <w:r w:rsidRPr="00FE48A4">
              <w:rPr>
                <w:rFonts w:ascii="Garamond" w:hAnsi="Garamond"/>
                <w:lang w:val="en-AU"/>
              </w:rPr>
              <w:t>Kimla</w:t>
            </w:r>
            <w:proofErr w:type="spellEnd"/>
            <w:r w:rsidRPr="00FE48A4">
              <w:rPr>
                <w:rFonts w:ascii="Garamond" w:hAnsi="Garamond"/>
                <w:lang w:val="en-AU"/>
              </w:rPr>
              <w:t xml:space="preserve">, Dania </w:t>
            </w:r>
            <w:proofErr w:type="spellStart"/>
            <w:r w:rsidRPr="00FE48A4">
              <w:rPr>
                <w:rFonts w:ascii="Garamond" w:hAnsi="Garamond"/>
                <w:lang w:val="en-AU"/>
              </w:rPr>
              <w:t>Nathanson</w:t>
            </w:r>
            <w:proofErr w:type="spellEnd"/>
            <w:r w:rsidRPr="00FE48A4">
              <w:rPr>
                <w:rFonts w:ascii="Garamond" w:hAnsi="Garamond"/>
                <w:lang w:val="en-AU"/>
              </w:rPr>
              <w:t xml:space="preserve">, Susan </w:t>
            </w:r>
            <w:proofErr w:type="spellStart"/>
            <w:r w:rsidRPr="00FE48A4">
              <w:rPr>
                <w:rFonts w:ascii="Garamond" w:hAnsi="Garamond"/>
                <w:lang w:val="en-AU"/>
              </w:rPr>
              <w:t>Woolfenden</w:t>
            </w:r>
            <w:proofErr w:type="spellEnd"/>
            <w:r w:rsidRPr="00FE48A4">
              <w:rPr>
                <w:rFonts w:ascii="Garamond" w:hAnsi="Garamond"/>
                <w:lang w:val="en-AU"/>
              </w:rPr>
              <w:t xml:space="preserve"> and Karen </w:t>
            </w:r>
            <w:proofErr w:type="spellStart"/>
            <w:r w:rsidRPr="00FE48A4">
              <w:rPr>
                <w:rFonts w:ascii="Garamond" w:hAnsi="Garamond"/>
                <w:lang w:val="en-AU"/>
              </w:rPr>
              <w:t>Zwi</w:t>
            </w:r>
            <w:proofErr w:type="spellEnd"/>
            <w:r w:rsidR="00FE48A4">
              <w:rPr>
                <w:rFonts w:ascii="Garamond" w:hAnsi="Garamond"/>
                <w:lang w:val="en-AU"/>
              </w:rPr>
              <w:t>)</w:t>
            </w:r>
          </w:p>
          <w:p w:rsidR="00FE48A4" w:rsidRDefault="00F31463" w:rsidP="00F31463">
            <w:pPr>
              <w:pStyle w:val="ListParagraph"/>
              <w:numPr>
                <w:ilvl w:val="0"/>
                <w:numId w:val="40"/>
              </w:numPr>
              <w:rPr>
                <w:rFonts w:ascii="Garamond" w:hAnsi="Garamond"/>
                <w:lang w:val="en-AU"/>
              </w:rPr>
            </w:pPr>
            <w:r w:rsidRPr="00FE48A4">
              <w:rPr>
                <w:rFonts w:ascii="Garamond" w:hAnsi="Garamond"/>
                <w:lang w:val="en-AU"/>
              </w:rPr>
              <w:t xml:space="preserve">Outcomes following changing from a two-tiered to a three-tiered </w:t>
            </w:r>
            <w:r w:rsidRPr="002F0B3C">
              <w:rPr>
                <w:rFonts w:ascii="Garamond" w:hAnsi="Garamond"/>
                <w:b/>
                <w:lang w:val="en-AU"/>
              </w:rPr>
              <w:t>hospital rapid response system</w:t>
            </w:r>
            <w:r w:rsidRPr="00FE48A4">
              <w:rPr>
                <w:rFonts w:ascii="Garamond" w:hAnsi="Garamond"/>
                <w:lang w:val="en-AU"/>
              </w:rPr>
              <w:t xml:space="preserve"> </w:t>
            </w:r>
            <w:r w:rsidR="00FE48A4" w:rsidRPr="00FE48A4">
              <w:rPr>
                <w:rFonts w:ascii="Garamond" w:hAnsi="Garamond"/>
                <w:lang w:val="en-AU"/>
              </w:rPr>
              <w:t>(</w:t>
            </w:r>
            <w:r w:rsidRPr="00FE48A4">
              <w:rPr>
                <w:rFonts w:ascii="Garamond" w:hAnsi="Garamond"/>
                <w:lang w:val="en-AU"/>
              </w:rPr>
              <w:t>The Concord Medical Emergency Team (MET) 2 Study Investigators</w:t>
            </w:r>
            <w:r w:rsidR="00FE48A4">
              <w:rPr>
                <w:rFonts w:ascii="Garamond" w:hAnsi="Garamond"/>
                <w:lang w:val="en-AU"/>
              </w:rPr>
              <w:t>)</w:t>
            </w:r>
          </w:p>
          <w:p w:rsidR="00FE48A4" w:rsidRDefault="00F31463" w:rsidP="00F31463">
            <w:pPr>
              <w:pStyle w:val="ListParagraph"/>
              <w:numPr>
                <w:ilvl w:val="0"/>
                <w:numId w:val="40"/>
              </w:numPr>
              <w:rPr>
                <w:rFonts w:ascii="Garamond" w:hAnsi="Garamond"/>
                <w:lang w:val="en-AU"/>
              </w:rPr>
            </w:pPr>
            <w:r w:rsidRPr="00FE48A4">
              <w:rPr>
                <w:rFonts w:ascii="Garamond" w:hAnsi="Garamond"/>
                <w:lang w:val="en-AU"/>
              </w:rPr>
              <w:t xml:space="preserve">A feasible model for early intervention for </w:t>
            </w:r>
            <w:r w:rsidRPr="002F0B3C">
              <w:rPr>
                <w:rFonts w:ascii="Garamond" w:hAnsi="Garamond"/>
                <w:b/>
                <w:lang w:val="en-AU"/>
              </w:rPr>
              <w:t>high-risk substance use in the emergency department</w:t>
            </w:r>
            <w:r w:rsidRPr="00FE48A4">
              <w:rPr>
                <w:rFonts w:ascii="Garamond" w:hAnsi="Garamond"/>
                <w:lang w:val="en-AU"/>
              </w:rPr>
              <w:t xml:space="preserve"> setting </w:t>
            </w:r>
            <w:r w:rsidR="00FE48A4" w:rsidRPr="00FE48A4">
              <w:rPr>
                <w:rFonts w:ascii="Garamond" w:hAnsi="Garamond"/>
                <w:lang w:val="en-AU"/>
              </w:rPr>
              <w:t>(</w:t>
            </w:r>
            <w:r w:rsidRPr="00FE48A4">
              <w:rPr>
                <w:rFonts w:ascii="Garamond" w:hAnsi="Garamond"/>
                <w:lang w:val="en-AU"/>
              </w:rPr>
              <w:t xml:space="preserve">Rebecca Howard, Stephanie Fry, Andrew Chan, Brigid Ryan and Yvonne </w:t>
            </w:r>
            <w:proofErr w:type="spellStart"/>
            <w:r w:rsidRPr="00FE48A4">
              <w:rPr>
                <w:rFonts w:ascii="Garamond" w:hAnsi="Garamond"/>
                <w:lang w:val="en-AU"/>
              </w:rPr>
              <w:t>Bonomo</w:t>
            </w:r>
            <w:proofErr w:type="spellEnd"/>
            <w:r w:rsidR="00FE48A4">
              <w:rPr>
                <w:rFonts w:ascii="Garamond" w:hAnsi="Garamond"/>
                <w:lang w:val="en-AU"/>
              </w:rPr>
              <w:t>)</w:t>
            </w:r>
          </w:p>
          <w:p w:rsidR="00FE48A4" w:rsidRDefault="00F31463" w:rsidP="00F31463">
            <w:pPr>
              <w:pStyle w:val="ListParagraph"/>
              <w:numPr>
                <w:ilvl w:val="0"/>
                <w:numId w:val="40"/>
              </w:numPr>
              <w:rPr>
                <w:rFonts w:ascii="Garamond" w:hAnsi="Garamond"/>
                <w:lang w:val="en-AU"/>
              </w:rPr>
            </w:pPr>
            <w:r w:rsidRPr="00FE48A4">
              <w:rPr>
                <w:rFonts w:ascii="Garamond" w:hAnsi="Garamond"/>
                <w:lang w:val="en-AU"/>
              </w:rPr>
              <w:t xml:space="preserve">Comparative </w:t>
            </w:r>
            <w:r w:rsidRPr="002F0B3C">
              <w:rPr>
                <w:rFonts w:ascii="Garamond" w:hAnsi="Garamond"/>
                <w:b/>
                <w:lang w:val="en-AU"/>
              </w:rPr>
              <w:t>emergency department resource utilisation across age groups</w:t>
            </w:r>
            <w:r w:rsidRPr="00FE48A4">
              <w:rPr>
                <w:rFonts w:ascii="Garamond" w:hAnsi="Garamond"/>
                <w:lang w:val="en-AU"/>
              </w:rPr>
              <w:t xml:space="preserve"> </w:t>
            </w:r>
            <w:r w:rsidR="00FE48A4" w:rsidRPr="00FE48A4">
              <w:rPr>
                <w:rFonts w:ascii="Garamond" w:hAnsi="Garamond"/>
                <w:lang w:val="en-AU"/>
              </w:rPr>
              <w:t>(</w:t>
            </w:r>
            <w:r w:rsidRPr="00FE48A4">
              <w:rPr>
                <w:rFonts w:ascii="Garamond" w:hAnsi="Garamond"/>
                <w:lang w:val="en-AU"/>
              </w:rPr>
              <w:t xml:space="preserve">Ellen Burkett, Melinda G Martin-Khan and Leonard C </w:t>
            </w:r>
            <w:proofErr w:type="spellStart"/>
            <w:r w:rsidRPr="00FE48A4">
              <w:rPr>
                <w:rFonts w:ascii="Garamond" w:hAnsi="Garamond"/>
                <w:lang w:val="en-AU"/>
              </w:rPr>
              <w:t>Gray</w:t>
            </w:r>
            <w:proofErr w:type="spellEnd"/>
            <w:r w:rsidR="00FE48A4">
              <w:rPr>
                <w:rFonts w:ascii="Garamond" w:hAnsi="Garamond"/>
                <w:lang w:val="en-AU"/>
              </w:rPr>
              <w:t>)</w:t>
            </w:r>
          </w:p>
          <w:p w:rsidR="00FE48A4" w:rsidRDefault="00F31463" w:rsidP="00F31463">
            <w:pPr>
              <w:pStyle w:val="ListParagraph"/>
              <w:numPr>
                <w:ilvl w:val="0"/>
                <w:numId w:val="40"/>
              </w:numPr>
              <w:rPr>
                <w:rFonts w:ascii="Garamond" w:hAnsi="Garamond"/>
                <w:lang w:val="en-AU"/>
              </w:rPr>
            </w:pPr>
            <w:r w:rsidRPr="00D0674E">
              <w:rPr>
                <w:rFonts w:ascii="Garamond" w:hAnsi="Garamond"/>
                <w:b/>
                <w:lang w:val="en-AU"/>
              </w:rPr>
              <w:t>Outpatient consultant physician service usage</w:t>
            </w:r>
            <w:r w:rsidRPr="00FE48A4">
              <w:rPr>
                <w:rFonts w:ascii="Garamond" w:hAnsi="Garamond"/>
                <w:lang w:val="en-AU"/>
              </w:rPr>
              <w:t xml:space="preserve"> in Australia by specialty and state and territory </w:t>
            </w:r>
            <w:r w:rsidR="00FE48A4" w:rsidRPr="00FE48A4">
              <w:rPr>
                <w:rFonts w:ascii="Garamond" w:hAnsi="Garamond"/>
                <w:lang w:val="en-AU"/>
              </w:rPr>
              <w:t>(</w:t>
            </w:r>
            <w:r w:rsidRPr="00FE48A4">
              <w:rPr>
                <w:rFonts w:ascii="Garamond" w:hAnsi="Garamond"/>
                <w:lang w:val="en-AU"/>
              </w:rPr>
              <w:t>Gary L Freed and Amy R Allen</w:t>
            </w:r>
            <w:r w:rsidR="00FE48A4">
              <w:rPr>
                <w:rFonts w:ascii="Garamond" w:hAnsi="Garamond"/>
                <w:lang w:val="en-AU"/>
              </w:rPr>
              <w:t>)</w:t>
            </w:r>
          </w:p>
          <w:p w:rsidR="00FE48A4" w:rsidRDefault="00F31463" w:rsidP="00F31463">
            <w:pPr>
              <w:pStyle w:val="ListParagraph"/>
              <w:numPr>
                <w:ilvl w:val="0"/>
                <w:numId w:val="40"/>
              </w:numPr>
              <w:rPr>
                <w:rFonts w:ascii="Garamond" w:hAnsi="Garamond"/>
                <w:lang w:val="en-AU"/>
              </w:rPr>
            </w:pPr>
            <w:proofErr w:type="spellStart"/>
            <w:r w:rsidRPr="00D0674E">
              <w:rPr>
                <w:rFonts w:ascii="Garamond" w:hAnsi="Garamond"/>
                <w:b/>
                <w:lang w:val="en-AU"/>
              </w:rPr>
              <w:t>HealthPathways</w:t>
            </w:r>
            <w:proofErr w:type="spellEnd"/>
            <w:r w:rsidRPr="00D0674E">
              <w:rPr>
                <w:rFonts w:ascii="Garamond" w:hAnsi="Garamond"/>
                <w:b/>
                <w:lang w:val="en-AU"/>
              </w:rPr>
              <w:t xml:space="preserve"> improving access to care</w:t>
            </w:r>
            <w:r w:rsidRPr="00FE48A4">
              <w:rPr>
                <w:rFonts w:ascii="Garamond" w:hAnsi="Garamond"/>
                <w:lang w:val="en-AU"/>
              </w:rPr>
              <w:t xml:space="preserve"> </w:t>
            </w:r>
            <w:r w:rsidR="00FE48A4" w:rsidRPr="00FE48A4">
              <w:rPr>
                <w:rFonts w:ascii="Garamond" w:hAnsi="Garamond"/>
                <w:lang w:val="en-AU"/>
              </w:rPr>
              <w:t>(</w:t>
            </w:r>
            <w:r w:rsidRPr="00FE48A4">
              <w:rPr>
                <w:rFonts w:ascii="Garamond" w:hAnsi="Garamond"/>
                <w:lang w:val="en-AU"/>
              </w:rPr>
              <w:t xml:space="preserve">Stephen D Gill, Sarah Mansfield, Margie McLeod, Kathryn von </w:t>
            </w:r>
            <w:proofErr w:type="spellStart"/>
            <w:r w:rsidRPr="00FE48A4">
              <w:rPr>
                <w:rFonts w:ascii="Garamond" w:hAnsi="Garamond"/>
                <w:lang w:val="en-AU"/>
              </w:rPr>
              <w:t>Treuer</w:t>
            </w:r>
            <w:proofErr w:type="spellEnd"/>
            <w:r w:rsidRPr="00FE48A4">
              <w:rPr>
                <w:rFonts w:ascii="Garamond" w:hAnsi="Garamond"/>
                <w:lang w:val="en-AU"/>
              </w:rPr>
              <w:t>, Matthew Dunn and F Quirk</w:t>
            </w:r>
            <w:r w:rsidR="00FE48A4">
              <w:rPr>
                <w:rFonts w:ascii="Garamond" w:hAnsi="Garamond"/>
                <w:lang w:val="en-AU"/>
              </w:rPr>
              <w:t>)</w:t>
            </w:r>
          </w:p>
          <w:p w:rsidR="00FE48A4" w:rsidRDefault="00F31463" w:rsidP="00F31463">
            <w:pPr>
              <w:pStyle w:val="ListParagraph"/>
              <w:numPr>
                <w:ilvl w:val="0"/>
                <w:numId w:val="40"/>
              </w:numPr>
              <w:rPr>
                <w:rFonts w:ascii="Garamond" w:hAnsi="Garamond"/>
                <w:lang w:val="en-AU"/>
              </w:rPr>
            </w:pPr>
            <w:r w:rsidRPr="00FE48A4">
              <w:rPr>
                <w:rFonts w:ascii="Garamond" w:hAnsi="Garamond"/>
                <w:lang w:val="en-AU"/>
              </w:rPr>
              <w:t xml:space="preserve">Exploring the </w:t>
            </w:r>
            <w:r w:rsidRPr="00D0674E">
              <w:rPr>
                <w:rFonts w:ascii="Garamond" w:hAnsi="Garamond"/>
                <w:b/>
                <w:lang w:val="en-AU"/>
              </w:rPr>
              <w:t xml:space="preserve">experiences of Aboriginal and Torres Strait Islander patients </w:t>
            </w:r>
            <w:r w:rsidRPr="00FE48A4">
              <w:rPr>
                <w:rFonts w:ascii="Garamond" w:hAnsi="Garamond"/>
                <w:lang w:val="en-AU"/>
              </w:rPr>
              <w:t xml:space="preserve">admitted to a metropolitan health service </w:t>
            </w:r>
            <w:r w:rsidR="00FE48A4" w:rsidRPr="00FE48A4">
              <w:rPr>
                <w:rFonts w:ascii="Garamond" w:hAnsi="Garamond"/>
                <w:lang w:val="en-AU"/>
              </w:rPr>
              <w:t>(</w:t>
            </w:r>
            <w:r w:rsidRPr="00FE48A4">
              <w:rPr>
                <w:rFonts w:ascii="Garamond" w:hAnsi="Garamond"/>
                <w:lang w:val="en-AU"/>
              </w:rPr>
              <w:t xml:space="preserve">Craig </w:t>
            </w:r>
            <w:proofErr w:type="spellStart"/>
            <w:r w:rsidRPr="00FE48A4">
              <w:rPr>
                <w:rFonts w:ascii="Garamond" w:hAnsi="Garamond"/>
                <w:lang w:val="en-AU"/>
              </w:rPr>
              <w:t>Wotherspoon</w:t>
            </w:r>
            <w:proofErr w:type="spellEnd"/>
            <w:r w:rsidRPr="00FE48A4">
              <w:rPr>
                <w:rFonts w:ascii="Garamond" w:hAnsi="Garamond"/>
                <w:lang w:val="en-AU"/>
              </w:rPr>
              <w:t xml:space="preserve"> and </w:t>
            </w:r>
            <w:proofErr w:type="spellStart"/>
            <w:r w:rsidRPr="00FE48A4">
              <w:rPr>
                <w:rFonts w:ascii="Garamond" w:hAnsi="Garamond"/>
                <w:lang w:val="en-AU"/>
              </w:rPr>
              <w:t>Cylie</w:t>
            </w:r>
            <w:proofErr w:type="spellEnd"/>
            <w:r w:rsidRPr="00FE48A4">
              <w:rPr>
                <w:rFonts w:ascii="Garamond" w:hAnsi="Garamond"/>
                <w:lang w:val="en-AU"/>
              </w:rPr>
              <w:t xml:space="preserve"> M Williams</w:t>
            </w:r>
            <w:r w:rsidR="00FE48A4">
              <w:rPr>
                <w:rFonts w:ascii="Garamond" w:hAnsi="Garamond"/>
                <w:lang w:val="en-AU"/>
              </w:rPr>
              <w:t>)</w:t>
            </w:r>
          </w:p>
          <w:p w:rsidR="00FE48A4" w:rsidRDefault="00F31463" w:rsidP="00F31463">
            <w:pPr>
              <w:pStyle w:val="ListParagraph"/>
              <w:numPr>
                <w:ilvl w:val="0"/>
                <w:numId w:val="40"/>
              </w:numPr>
              <w:rPr>
                <w:rFonts w:ascii="Garamond" w:hAnsi="Garamond"/>
                <w:lang w:val="en-AU"/>
              </w:rPr>
            </w:pPr>
            <w:r w:rsidRPr="00FE48A4">
              <w:rPr>
                <w:rFonts w:ascii="Garamond" w:hAnsi="Garamond"/>
                <w:lang w:val="en-AU"/>
              </w:rPr>
              <w:t xml:space="preserve">Repositioning </w:t>
            </w:r>
            <w:proofErr w:type="spellStart"/>
            <w:r w:rsidRPr="00D0674E">
              <w:rPr>
                <w:rFonts w:ascii="Garamond" w:hAnsi="Garamond"/>
                <w:b/>
                <w:lang w:val="en-AU"/>
              </w:rPr>
              <w:t>interprofessional</w:t>
            </w:r>
            <w:proofErr w:type="spellEnd"/>
            <w:r w:rsidRPr="00D0674E">
              <w:rPr>
                <w:rFonts w:ascii="Garamond" w:hAnsi="Garamond"/>
                <w:b/>
                <w:lang w:val="en-AU"/>
              </w:rPr>
              <w:t xml:space="preserve"> education</w:t>
            </w:r>
            <w:r w:rsidRPr="00FE48A4">
              <w:rPr>
                <w:rFonts w:ascii="Garamond" w:hAnsi="Garamond"/>
                <w:lang w:val="en-AU"/>
              </w:rPr>
              <w:t xml:space="preserve"> from the margins to the centre of Australian health professional education – what is required? </w:t>
            </w:r>
            <w:r w:rsidR="00FE48A4" w:rsidRPr="00FE48A4">
              <w:rPr>
                <w:rFonts w:ascii="Garamond" w:hAnsi="Garamond"/>
                <w:lang w:val="en-AU"/>
              </w:rPr>
              <w:t>(</w:t>
            </w:r>
            <w:r w:rsidRPr="00FE48A4">
              <w:rPr>
                <w:rFonts w:ascii="Garamond" w:hAnsi="Garamond"/>
                <w:lang w:val="en-AU"/>
              </w:rPr>
              <w:t xml:space="preserve">Roger Dunston, Dawn Forman, Jill </w:t>
            </w:r>
            <w:proofErr w:type="spellStart"/>
            <w:r w:rsidRPr="00FE48A4">
              <w:rPr>
                <w:rFonts w:ascii="Garamond" w:hAnsi="Garamond"/>
                <w:lang w:val="en-AU"/>
              </w:rPr>
              <w:t>Thistlethwaite</w:t>
            </w:r>
            <w:proofErr w:type="spellEnd"/>
            <w:r w:rsidRPr="00FE48A4">
              <w:rPr>
                <w:rFonts w:ascii="Garamond" w:hAnsi="Garamond"/>
                <w:lang w:val="en-AU"/>
              </w:rPr>
              <w:t xml:space="preserve">, Carole </w:t>
            </w:r>
            <w:proofErr w:type="spellStart"/>
            <w:r w:rsidRPr="00FE48A4">
              <w:rPr>
                <w:rFonts w:ascii="Garamond" w:hAnsi="Garamond"/>
                <w:lang w:val="en-AU"/>
              </w:rPr>
              <w:t>Steketee</w:t>
            </w:r>
            <w:proofErr w:type="spellEnd"/>
            <w:r w:rsidRPr="00FE48A4">
              <w:rPr>
                <w:rFonts w:ascii="Garamond" w:hAnsi="Garamond"/>
                <w:lang w:val="en-AU"/>
              </w:rPr>
              <w:t>, G D Rogers and M Moran</w:t>
            </w:r>
            <w:r w:rsidR="00FE48A4">
              <w:rPr>
                <w:rFonts w:ascii="Garamond" w:hAnsi="Garamond"/>
                <w:lang w:val="en-AU"/>
              </w:rPr>
              <w:t>)</w:t>
            </w:r>
          </w:p>
          <w:p w:rsidR="00FE48A4" w:rsidRDefault="00F31463" w:rsidP="00F31463">
            <w:pPr>
              <w:pStyle w:val="ListParagraph"/>
              <w:numPr>
                <w:ilvl w:val="0"/>
                <w:numId w:val="40"/>
              </w:numPr>
              <w:rPr>
                <w:rFonts w:ascii="Garamond" w:hAnsi="Garamond"/>
                <w:lang w:val="en-AU"/>
              </w:rPr>
            </w:pPr>
            <w:r w:rsidRPr="00FE48A4">
              <w:rPr>
                <w:rFonts w:ascii="Garamond" w:hAnsi="Garamond"/>
                <w:lang w:val="en-AU"/>
              </w:rPr>
              <w:t xml:space="preserve">Factors that affect </w:t>
            </w:r>
            <w:r w:rsidRPr="00D0674E">
              <w:rPr>
                <w:rFonts w:ascii="Garamond" w:hAnsi="Garamond"/>
                <w:b/>
                <w:lang w:val="en-AU"/>
              </w:rPr>
              <w:t xml:space="preserve">general practice as a choice of medical speciality: </w:t>
            </w:r>
            <w:r w:rsidRPr="00FE48A4">
              <w:rPr>
                <w:rFonts w:ascii="Garamond" w:hAnsi="Garamond"/>
                <w:lang w:val="en-AU"/>
              </w:rPr>
              <w:t xml:space="preserve">implications for policy development </w:t>
            </w:r>
            <w:r w:rsidR="00FE48A4" w:rsidRPr="00FE48A4">
              <w:rPr>
                <w:rFonts w:ascii="Garamond" w:hAnsi="Garamond"/>
                <w:lang w:val="en-AU"/>
              </w:rPr>
              <w:t>(</w:t>
            </w:r>
            <w:r w:rsidRPr="00FE48A4">
              <w:rPr>
                <w:rFonts w:ascii="Garamond" w:hAnsi="Garamond"/>
                <w:lang w:val="en-AU"/>
              </w:rPr>
              <w:t xml:space="preserve">Amit Vohra, Richard </w:t>
            </w:r>
            <w:proofErr w:type="spellStart"/>
            <w:r w:rsidRPr="00FE48A4">
              <w:rPr>
                <w:rFonts w:ascii="Garamond" w:hAnsi="Garamond"/>
                <w:lang w:val="en-AU"/>
              </w:rPr>
              <w:t>Ladyshewsky</w:t>
            </w:r>
            <w:proofErr w:type="spellEnd"/>
            <w:r w:rsidRPr="00FE48A4">
              <w:rPr>
                <w:rFonts w:ascii="Garamond" w:hAnsi="Garamond"/>
                <w:lang w:val="en-AU"/>
              </w:rPr>
              <w:t xml:space="preserve"> and Stephen </w:t>
            </w:r>
            <w:proofErr w:type="spellStart"/>
            <w:r w:rsidRPr="00FE48A4">
              <w:rPr>
                <w:rFonts w:ascii="Garamond" w:hAnsi="Garamond"/>
                <w:lang w:val="en-AU"/>
              </w:rPr>
              <w:t>Trumble</w:t>
            </w:r>
            <w:proofErr w:type="spellEnd"/>
            <w:r w:rsidR="00FE48A4">
              <w:rPr>
                <w:rFonts w:ascii="Garamond" w:hAnsi="Garamond"/>
                <w:lang w:val="en-AU"/>
              </w:rPr>
              <w:t>)</w:t>
            </w:r>
          </w:p>
          <w:p w:rsidR="008E7CAA" w:rsidRPr="007C3778" w:rsidRDefault="00F31463" w:rsidP="00FE48A4">
            <w:pPr>
              <w:pStyle w:val="ListParagraph"/>
              <w:numPr>
                <w:ilvl w:val="0"/>
                <w:numId w:val="40"/>
              </w:numPr>
              <w:rPr>
                <w:rFonts w:ascii="Garamond" w:hAnsi="Garamond"/>
                <w:lang w:val="en-AU"/>
              </w:rPr>
            </w:pPr>
            <w:r w:rsidRPr="00FE48A4">
              <w:rPr>
                <w:rFonts w:ascii="Garamond" w:hAnsi="Garamond"/>
                <w:lang w:val="en-AU"/>
              </w:rPr>
              <w:t xml:space="preserve">Perspectives from practice: </w:t>
            </w:r>
            <w:r w:rsidRPr="00D0674E">
              <w:rPr>
                <w:rFonts w:ascii="Garamond" w:hAnsi="Garamond"/>
                <w:b/>
                <w:lang w:val="en-AU"/>
              </w:rPr>
              <w:t>complexities of personal care workers</w:t>
            </w:r>
            <w:r w:rsidRPr="00FE48A4">
              <w:rPr>
                <w:rFonts w:ascii="Garamond" w:hAnsi="Garamond"/>
                <w:lang w:val="en-AU"/>
              </w:rPr>
              <w:t xml:space="preserve"> </w:t>
            </w:r>
            <w:r w:rsidR="00FE48A4" w:rsidRPr="00FE48A4">
              <w:rPr>
                <w:rFonts w:ascii="Garamond" w:hAnsi="Garamond"/>
                <w:lang w:val="en-AU"/>
              </w:rPr>
              <w:t>(</w:t>
            </w:r>
            <w:r w:rsidRPr="00FE48A4">
              <w:rPr>
                <w:rFonts w:ascii="Garamond" w:hAnsi="Garamond"/>
                <w:lang w:val="en-AU"/>
              </w:rPr>
              <w:t xml:space="preserve">Julie-Anne Martyn, Sally </w:t>
            </w:r>
            <w:proofErr w:type="spellStart"/>
            <w:r w:rsidRPr="00FE48A4">
              <w:rPr>
                <w:rFonts w:ascii="Garamond" w:hAnsi="Garamond"/>
                <w:lang w:val="en-AU"/>
              </w:rPr>
              <w:t>Zanella</w:t>
            </w:r>
            <w:proofErr w:type="spellEnd"/>
            <w:r w:rsidRPr="00FE48A4">
              <w:rPr>
                <w:rFonts w:ascii="Garamond" w:hAnsi="Garamond"/>
                <w:lang w:val="en-AU"/>
              </w:rPr>
              <w:t xml:space="preserve"> and Adele Wilkinson</w:t>
            </w:r>
            <w:r w:rsidR="00FE48A4">
              <w:rPr>
                <w:rFonts w:ascii="Garamond" w:hAnsi="Garamond"/>
                <w:lang w:val="en-AU"/>
              </w:rPr>
              <w:t>)</w:t>
            </w:r>
          </w:p>
        </w:tc>
      </w:tr>
    </w:tbl>
    <w:p w:rsidR="008E7CAA" w:rsidRDefault="008E7CAA" w:rsidP="002F0B3C">
      <w:pPr>
        <w:jc w:val="both"/>
        <w:rPr>
          <w:rFonts w:ascii="Garamond" w:hAnsi="Garamond"/>
          <w:i/>
          <w:lang w:val="en-AU"/>
        </w:rPr>
      </w:pPr>
    </w:p>
    <w:p w:rsidR="003172B8" w:rsidRDefault="003172B8" w:rsidP="003172B8">
      <w:pPr>
        <w:rPr>
          <w:rFonts w:ascii="Garamond" w:hAnsi="Garamond"/>
          <w:i/>
          <w:lang w:val="en-AU"/>
        </w:rPr>
      </w:pPr>
      <w:r w:rsidRPr="003172B8">
        <w:rPr>
          <w:rFonts w:ascii="Garamond" w:hAnsi="Garamond"/>
          <w:i/>
          <w:lang w:val="en-AU"/>
        </w:rPr>
        <w:t>Medical Journal of Australia</w:t>
      </w:r>
    </w:p>
    <w:p w:rsidR="003172B8" w:rsidRPr="00D65371" w:rsidRDefault="003172B8" w:rsidP="003172B8">
      <w:pPr>
        <w:rPr>
          <w:rFonts w:ascii="Garamond" w:hAnsi="Garamond"/>
          <w:lang w:val="en-AU"/>
        </w:rPr>
      </w:pPr>
      <w:r w:rsidRPr="003172B8">
        <w:rPr>
          <w:rFonts w:ascii="Garamond" w:hAnsi="Garamond"/>
          <w:lang w:val="en-AU"/>
        </w:rPr>
        <w:t>Volume 210, Issue 6</w:t>
      </w:r>
      <w:r>
        <w:rPr>
          <w:rFonts w:ascii="Garamond" w:hAnsi="Garamond"/>
          <w:lang w:val="en-AU"/>
        </w:rPr>
        <w:t xml:space="preserve"> Supplement</w:t>
      </w:r>
    </w:p>
    <w:tbl>
      <w:tblPr>
        <w:tblStyle w:val="TableGrid"/>
        <w:tblW w:w="0" w:type="auto"/>
        <w:tblInd w:w="288" w:type="dxa"/>
        <w:tblLayout w:type="fixed"/>
        <w:tblLook w:val="01E0" w:firstRow="1" w:lastRow="1" w:firstColumn="1" w:lastColumn="1" w:noHBand="0" w:noVBand="0"/>
      </w:tblPr>
      <w:tblGrid>
        <w:gridCol w:w="1080"/>
        <w:gridCol w:w="8280"/>
      </w:tblGrid>
      <w:tr w:rsidR="003172B8" w:rsidRPr="000170DA" w:rsidTr="004C073A">
        <w:tc>
          <w:tcPr>
            <w:tcW w:w="1080" w:type="dxa"/>
            <w:tcBorders>
              <w:top w:val="single" w:sz="4" w:space="0" w:color="auto"/>
              <w:left w:val="single" w:sz="4" w:space="0" w:color="auto"/>
              <w:bottom w:val="single" w:sz="4" w:space="0" w:color="auto"/>
              <w:right w:val="single" w:sz="4" w:space="0" w:color="auto"/>
            </w:tcBorders>
            <w:vAlign w:val="center"/>
          </w:tcPr>
          <w:p w:rsidR="003172B8" w:rsidRPr="000170DA" w:rsidRDefault="003172B8" w:rsidP="004C073A">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172B8" w:rsidRPr="000170DA" w:rsidRDefault="002C4DAE" w:rsidP="003172B8">
            <w:pPr>
              <w:ind w:left="720" w:hanging="720"/>
              <w:rPr>
                <w:rStyle w:val="Hyperlink"/>
                <w:rFonts w:ascii="Garamond" w:hAnsi="Garamond"/>
                <w:color w:val="auto"/>
                <w:u w:val="none"/>
                <w:lang w:val="en-AU"/>
              </w:rPr>
            </w:pPr>
            <w:hyperlink r:id="rId28" w:history="1">
              <w:r w:rsidR="003172B8" w:rsidRPr="0044271A">
                <w:rPr>
                  <w:rStyle w:val="Hyperlink"/>
                  <w:rFonts w:ascii="Garamond" w:hAnsi="Garamond"/>
                  <w:lang w:val="en-AU"/>
                </w:rPr>
                <w:t>https://www.mja.com.au/journal/2019/210/6/supplement</w:t>
              </w:r>
            </w:hyperlink>
          </w:p>
        </w:tc>
      </w:tr>
      <w:tr w:rsidR="003172B8" w:rsidRPr="000170DA" w:rsidTr="004C073A">
        <w:tc>
          <w:tcPr>
            <w:tcW w:w="1080" w:type="dxa"/>
            <w:tcBorders>
              <w:top w:val="single" w:sz="4" w:space="0" w:color="auto"/>
              <w:left w:val="single" w:sz="4" w:space="0" w:color="auto"/>
              <w:bottom w:val="single" w:sz="4" w:space="0" w:color="auto"/>
              <w:right w:val="single" w:sz="4" w:space="0" w:color="auto"/>
            </w:tcBorders>
            <w:vAlign w:val="center"/>
          </w:tcPr>
          <w:p w:rsidR="003172B8" w:rsidRPr="000170DA" w:rsidRDefault="003172B8" w:rsidP="004C073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172B8" w:rsidRPr="007C3778" w:rsidRDefault="003172B8" w:rsidP="004C073A">
            <w:pPr>
              <w:rPr>
                <w:rFonts w:ascii="Garamond" w:hAnsi="Garamond"/>
                <w:lang w:val="en-AU"/>
              </w:rPr>
            </w:pPr>
            <w:r>
              <w:rPr>
                <w:rFonts w:ascii="Garamond" w:hAnsi="Garamond"/>
                <w:lang w:val="en-AU"/>
              </w:rPr>
              <w:t xml:space="preserve">The most recent edition of the </w:t>
            </w:r>
            <w:r w:rsidRPr="003172B8">
              <w:rPr>
                <w:rFonts w:ascii="Garamond" w:hAnsi="Garamond"/>
                <w:i/>
                <w:lang w:val="en-AU"/>
              </w:rPr>
              <w:t>Medical Journal of Australia</w:t>
            </w:r>
            <w:r>
              <w:rPr>
                <w:rFonts w:ascii="Garamond" w:hAnsi="Garamond"/>
                <w:lang w:val="en-AU"/>
              </w:rPr>
              <w:t xml:space="preserve"> was accompanied by a Supplement that had been coordinated and sponsored by the Australian Digital Health Agency. The Supplement has the title </w:t>
            </w:r>
            <w:r w:rsidRPr="003172B8">
              <w:rPr>
                <w:rFonts w:ascii="Garamond" w:hAnsi="Garamond"/>
                <w:i/>
                <w:lang w:val="en-AU"/>
              </w:rPr>
              <w:t>Expanding the evidence base in digital health.</w:t>
            </w:r>
            <w:r w:rsidRPr="00B440ED">
              <w:rPr>
                <w:rFonts w:ascii="Garamond" w:hAnsi="Garamond"/>
                <w:lang w:val="en-AU"/>
              </w:rPr>
              <w:t xml:space="preserve"> Articles in this </w:t>
            </w:r>
            <w:r>
              <w:rPr>
                <w:rFonts w:ascii="Garamond" w:hAnsi="Garamond"/>
                <w:lang w:val="en-AU"/>
              </w:rPr>
              <w:t xml:space="preserve">supplement </w:t>
            </w:r>
            <w:r w:rsidRPr="00B440ED">
              <w:rPr>
                <w:rFonts w:ascii="Garamond" w:hAnsi="Garamond"/>
                <w:lang w:val="en-AU"/>
              </w:rPr>
              <w:t xml:space="preserve">issue of </w:t>
            </w:r>
            <w:r>
              <w:rPr>
                <w:rFonts w:ascii="Garamond" w:hAnsi="Garamond"/>
                <w:lang w:val="en-AU"/>
              </w:rPr>
              <w:t xml:space="preserve">the </w:t>
            </w:r>
            <w:r w:rsidRPr="003172B8">
              <w:rPr>
                <w:rFonts w:ascii="Garamond" w:hAnsi="Garamond"/>
                <w:i/>
                <w:lang w:val="en-AU"/>
              </w:rPr>
              <w:t>Medical Journal of Australia</w:t>
            </w:r>
            <w:r>
              <w:rPr>
                <w:rFonts w:ascii="Garamond" w:hAnsi="Garamond"/>
                <w:lang w:val="en-AU"/>
              </w:rPr>
              <w:t xml:space="preserve"> </w:t>
            </w:r>
            <w:r w:rsidRPr="00B440ED">
              <w:rPr>
                <w:rFonts w:ascii="Garamond" w:hAnsi="Garamond"/>
                <w:lang w:val="en-AU"/>
              </w:rPr>
              <w:t>include:</w:t>
            </w:r>
          </w:p>
          <w:p w:rsidR="003172B8" w:rsidRPr="003172B8" w:rsidRDefault="003172B8" w:rsidP="003172B8">
            <w:pPr>
              <w:pStyle w:val="ListParagraph"/>
              <w:numPr>
                <w:ilvl w:val="0"/>
                <w:numId w:val="40"/>
              </w:numPr>
              <w:rPr>
                <w:rFonts w:ascii="Garamond" w:hAnsi="Garamond"/>
                <w:lang w:val="en-AU"/>
              </w:rPr>
            </w:pPr>
            <w:r w:rsidRPr="003172B8">
              <w:rPr>
                <w:rFonts w:ascii="Garamond" w:hAnsi="Garamond"/>
                <w:b/>
                <w:lang w:val="en-AU"/>
              </w:rPr>
              <w:t>Sharing information safely and securely</w:t>
            </w:r>
            <w:r w:rsidRPr="003172B8">
              <w:rPr>
                <w:rFonts w:ascii="Garamond" w:hAnsi="Garamond"/>
                <w:lang w:val="en-AU"/>
              </w:rPr>
              <w:t>: the foundation of a modern health care system</w:t>
            </w:r>
            <w:r>
              <w:rPr>
                <w:rFonts w:ascii="Garamond" w:hAnsi="Garamond"/>
                <w:lang w:val="en-AU"/>
              </w:rPr>
              <w:t xml:space="preserve"> (</w:t>
            </w:r>
            <w:r w:rsidRPr="003172B8">
              <w:rPr>
                <w:rFonts w:ascii="Garamond" w:hAnsi="Garamond"/>
                <w:lang w:val="en-AU"/>
              </w:rPr>
              <w:t xml:space="preserve">Meredith AB </w:t>
            </w:r>
            <w:proofErr w:type="spellStart"/>
            <w:r w:rsidRPr="003172B8">
              <w:rPr>
                <w:rFonts w:ascii="Garamond" w:hAnsi="Garamond"/>
                <w:lang w:val="en-AU"/>
              </w:rPr>
              <w:t>Makeham</w:t>
            </w:r>
            <w:proofErr w:type="spellEnd"/>
            <w:r w:rsidRPr="003172B8">
              <w:rPr>
                <w:rFonts w:ascii="Garamond" w:hAnsi="Garamond"/>
                <w:lang w:val="en-AU"/>
              </w:rPr>
              <w:t>, Angela Ryan</w:t>
            </w:r>
            <w:r>
              <w:rPr>
                <w:rFonts w:ascii="Garamond" w:hAnsi="Garamond"/>
                <w:lang w:val="en-AU"/>
              </w:rPr>
              <w:t>)</w:t>
            </w:r>
          </w:p>
          <w:p w:rsidR="003172B8" w:rsidRPr="003172B8" w:rsidRDefault="003172B8" w:rsidP="003172B8">
            <w:pPr>
              <w:pStyle w:val="ListParagraph"/>
              <w:numPr>
                <w:ilvl w:val="0"/>
                <w:numId w:val="40"/>
              </w:numPr>
              <w:rPr>
                <w:rFonts w:ascii="Garamond" w:hAnsi="Garamond"/>
                <w:lang w:val="en-AU"/>
              </w:rPr>
            </w:pPr>
            <w:r w:rsidRPr="003172B8">
              <w:rPr>
                <w:rFonts w:ascii="Garamond" w:hAnsi="Garamond"/>
                <w:b/>
                <w:lang w:val="en-AU"/>
              </w:rPr>
              <w:t>Australia’s digital health journey</w:t>
            </w:r>
            <w:r>
              <w:rPr>
                <w:rFonts w:ascii="Garamond" w:hAnsi="Garamond"/>
                <w:lang w:val="en-AU"/>
              </w:rPr>
              <w:t xml:space="preserve"> (</w:t>
            </w:r>
            <w:r w:rsidRPr="003172B8">
              <w:rPr>
                <w:rFonts w:ascii="Garamond" w:hAnsi="Garamond"/>
                <w:lang w:val="en-AU"/>
              </w:rPr>
              <w:t>Ste</w:t>
            </w:r>
            <w:r>
              <w:rPr>
                <w:rFonts w:ascii="Garamond" w:hAnsi="Garamond"/>
                <w:lang w:val="en-AU"/>
              </w:rPr>
              <w:t xml:space="preserve">ven J Hambleton, John </w:t>
            </w:r>
            <w:proofErr w:type="spellStart"/>
            <w:r>
              <w:rPr>
                <w:rFonts w:ascii="Garamond" w:hAnsi="Garamond"/>
                <w:lang w:val="en-AU"/>
              </w:rPr>
              <w:t>Aloizos</w:t>
            </w:r>
            <w:proofErr w:type="spellEnd"/>
            <w:r>
              <w:rPr>
                <w:rFonts w:ascii="Garamond" w:hAnsi="Garamond"/>
                <w:lang w:val="en-AU"/>
              </w:rPr>
              <w:t>)</w:t>
            </w:r>
          </w:p>
          <w:p w:rsidR="003172B8" w:rsidRPr="003172B8" w:rsidRDefault="003172B8" w:rsidP="003172B8">
            <w:pPr>
              <w:pStyle w:val="ListParagraph"/>
              <w:numPr>
                <w:ilvl w:val="0"/>
                <w:numId w:val="40"/>
              </w:numPr>
              <w:rPr>
                <w:rFonts w:ascii="Garamond" w:hAnsi="Garamond"/>
                <w:lang w:val="en-AU"/>
              </w:rPr>
            </w:pPr>
            <w:r w:rsidRPr="003172B8">
              <w:rPr>
                <w:rFonts w:ascii="Garamond" w:hAnsi="Garamond"/>
                <w:lang w:val="en-AU"/>
              </w:rPr>
              <w:t xml:space="preserve">Towards routine use of </w:t>
            </w:r>
            <w:r w:rsidRPr="003172B8">
              <w:rPr>
                <w:rFonts w:ascii="Garamond" w:hAnsi="Garamond"/>
                <w:b/>
                <w:lang w:val="en-AU"/>
              </w:rPr>
              <w:t>national electronic health records</w:t>
            </w:r>
            <w:r w:rsidRPr="003172B8">
              <w:rPr>
                <w:rFonts w:ascii="Garamond" w:hAnsi="Garamond"/>
                <w:lang w:val="en-AU"/>
              </w:rPr>
              <w:t xml:space="preserve"> in Australian </w:t>
            </w:r>
            <w:r w:rsidRPr="003172B8">
              <w:rPr>
                <w:rFonts w:ascii="Garamond" w:hAnsi="Garamond"/>
                <w:b/>
                <w:lang w:val="en-AU"/>
              </w:rPr>
              <w:t>emergency departments</w:t>
            </w:r>
            <w:r>
              <w:rPr>
                <w:rFonts w:ascii="Garamond" w:hAnsi="Garamond"/>
                <w:lang w:val="en-AU"/>
              </w:rPr>
              <w:t xml:space="preserve"> (</w:t>
            </w:r>
            <w:r w:rsidRPr="003172B8">
              <w:rPr>
                <w:rFonts w:ascii="Garamond" w:hAnsi="Garamond"/>
                <w:lang w:val="en-AU"/>
              </w:rPr>
              <w:t xml:space="preserve">Paul Miles, Andrew </w:t>
            </w:r>
            <w:proofErr w:type="spellStart"/>
            <w:r w:rsidRPr="003172B8">
              <w:rPr>
                <w:rFonts w:ascii="Garamond" w:hAnsi="Garamond"/>
                <w:lang w:val="en-AU"/>
              </w:rPr>
              <w:t>Hugman</w:t>
            </w:r>
            <w:proofErr w:type="spellEnd"/>
            <w:r w:rsidRPr="003172B8">
              <w:rPr>
                <w:rFonts w:ascii="Garamond" w:hAnsi="Garamond"/>
                <w:lang w:val="en-AU"/>
              </w:rPr>
              <w:t xml:space="preserve">, Angela Ryan, Fiona </w:t>
            </w:r>
            <w:proofErr w:type="spellStart"/>
            <w:r w:rsidRPr="003172B8">
              <w:rPr>
                <w:rFonts w:ascii="Garamond" w:hAnsi="Garamond"/>
                <w:lang w:val="en-AU"/>
              </w:rPr>
              <w:t>Landgren</w:t>
            </w:r>
            <w:proofErr w:type="spellEnd"/>
            <w:r w:rsidRPr="003172B8">
              <w:rPr>
                <w:rFonts w:ascii="Garamond" w:hAnsi="Garamond"/>
                <w:lang w:val="en-AU"/>
              </w:rPr>
              <w:t xml:space="preserve">, Grace </w:t>
            </w:r>
            <w:proofErr w:type="spellStart"/>
            <w:r w:rsidRPr="003172B8">
              <w:rPr>
                <w:rFonts w:ascii="Garamond" w:hAnsi="Garamond"/>
                <w:lang w:val="en-AU"/>
              </w:rPr>
              <w:t>Liong</w:t>
            </w:r>
            <w:proofErr w:type="spellEnd"/>
            <w:r>
              <w:rPr>
                <w:rFonts w:ascii="Garamond" w:hAnsi="Garamond"/>
                <w:lang w:val="en-AU"/>
              </w:rPr>
              <w:t>)</w:t>
            </w:r>
          </w:p>
          <w:p w:rsidR="003172B8" w:rsidRPr="003172B8" w:rsidRDefault="003172B8" w:rsidP="003172B8">
            <w:pPr>
              <w:pStyle w:val="ListParagraph"/>
              <w:numPr>
                <w:ilvl w:val="0"/>
                <w:numId w:val="40"/>
              </w:numPr>
              <w:rPr>
                <w:rFonts w:ascii="Garamond" w:hAnsi="Garamond"/>
                <w:lang w:val="en-AU"/>
              </w:rPr>
            </w:pPr>
            <w:r w:rsidRPr="003172B8">
              <w:rPr>
                <w:rFonts w:ascii="Garamond" w:hAnsi="Garamond"/>
                <w:b/>
                <w:lang w:val="en-AU"/>
              </w:rPr>
              <w:t>Digital health beneﬁts evaluation frameworks</w:t>
            </w:r>
            <w:r w:rsidRPr="003172B8">
              <w:rPr>
                <w:rFonts w:ascii="Garamond" w:hAnsi="Garamond"/>
                <w:lang w:val="en-AU"/>
              </w:rPr>
              <w:t>: building the evidence to support Australia’s National Digital Health Strategy</w:t>
            </w:r>
            <w:r>
              <w:rPr>
                <w:rFonts w:ascii="Garamond" w:hAnsi="Garamond"/>
                <w:lang w:val="en-AU"/>
              </w:rPr>
              <w:t xml:space="preserve"> (</w:t>
            </w:r>
            <w:r w:rsidRPr="003172B8">
              <w:rPr>
                <w:rFonts w:ascii="Garamond" w:hAnsi="Garamond"/>
                <w:lang w:val="en-AU"/>
              </w:rPr>
              <w:t xml:space="preserve">Janice S Biggs, Andrea Willcocks, Mitchell Burger, Meredith AB </w:t>
            </w:r>
            <w:proofErr w:type="spellStart"/>
            <w:r w:rsidRPr="003172B8">
              <w:rPr>
                <w:rFonts w:ascii="Garamond" w:hAnsi="Garamond"/>
                <w:lang w:val="en-AU"/>
              </w:rPr>
              <w:t>Makeham</w:t>
            </w:r>
            <w:proofErr w:type="spellEnd"/>
            <w:r>
              <w:rPr>
                <w:rFonts w:ascii="Garamond" w:hAnsi="Garamond"/>
                <w:lang w:val="en-AU"/>
              </w:rPr>
              <w:t>)</w:t>
            </w:r>
          </w:p>
          <w:p w:rsidR="003172B8" w:rsidRPr="003172B8" w:rsidRDefault="003172B8" w:rsidP="003172B8">
            <w:pPr>
              <w:pStyle w:val="ListParagraph"/>
              <w:numPr>
                <w:ilvl w:val="0"/>
                <w:numId w:val="40"/>
              </w:numPr>
              <w:rPr>
                <w:rFonts w:ascii="Garamond" w:hAnsi="Garamond"/>
                <w:lang w:val="en-AU"/>
              </w:rPr>
            </w:pPr>
            <w:r w:rsidRPr="003172B8">
              <w:rPr>
                <w:rFonts w:ascii="Garamond" w:hAnsi="Garamond"/>
                <w:lang w:val="en-AU"/>
              </w:rPr>
              <w:t xml:space="preserve">Gathering data for decisions: best practice use of </w:t>
            </w:r>
            <w:r w:rsidRPr="003172B8">
              <w:rPr>
                <w:rFonts w:ascii="Garamond" w:hAnsi="Garamond"/>
                <w:b/>
                <w:lang w:val="en-AU"/>
              </w:rPr>
              <w:t>primary care electronic records for research</w:t>
            </w:r>
            <w:r>
              <w:rPr>
                <w:rFonts w:ascii="Garamond" w:hAnsi="Garamond"/>
                <w:lang w:val="en-AU"/>
              </w:rPr>
              <w:t xml:space="preserve"> (</w:t>
            </w:r>
            <w:r w:rsidRPr="003172B8">
              <w:rPr>
                <w:rFonts w:ascii="Garamond" w:hAnsi="Garamond"/>
                <w:lang w:val="en-AU"/>
              </w:rPr>
              <w:t xml:space="preserve">Rachel </w:t>
            </w:r>
            <w:proofErr w:type="spellStart"/>
            <w:r w:rsidRPr="003172B8">
              <w:rPr>
                <w:rFonts w:ascii="Garamond" w:hAnsi="Garamond"/>
                <w:lang w:val="en-AU"/>
              </w:rPr>
              <w:t>Canaway</w:t>
            </w:r>
            <w:proofErr w:type="spellEnd"/>
            <w:r w:rsidRPr="003172B8">
              <w:rPr>
                <w:rFonts w:ascii="Garamond" w:hAnsi="Garamond"/>
                <w:lang w:val="en-AU"/>
              </w:rPr>
              <w:t xml:space="preserve">, Douglas IR Boyle, Jo-Anne E </w:t>
            </w:r>
            <w:proofErr w:type="spellStart"/>
            <w:r w:rsidRPr="003172B8">
              <w:rPr>
                <w:rFonts w:ascii="Garamond" w:hAnsi="Garamond"/>
                <w:lang w:val="en-AU"/>
              </w:rPr>
              <w:t>Manski</w:t>
            </w:r>
            <w:proofErr w:type="spellEnd"/>
            <w:r w:rsidRPr="003172B8">
              <w:rPr>
                <w:rFonts w:ascii="Garamond" w:hAnsi="Garamond"/>
                <w:lang w:val="en-AU"/>
              </w:rPr>
              <w:t>-Nankervis, Jessica Bell, Jane S Hocking, Ken Clarke, Malcolm Clark, Jane M Gunn, Jon D Emery</w:t>
            </w:r>
            <w:r>
              <w:rPr>
                <w:rFonts w:ascii="Garamond" w:hAnsi="Garamond"/>
                <w:lang w:val="en-AU"/>
              </w:rPr>
              <w:t>)</w:t>
            </w:r>
          </w:p>
          <w:p w:rsidR="003172B8" w:rsidRPr="003172B8" w:rsidRDefault="003172B8" w:rsidP="003172B8">
            <w:pPr>
              <w:pStyle w:val="ListParagraph"/>
              <w:numPr>
                <w:ilvl w:val="0"/>
                <w:numId w:val="40"/>
              </w:numPr>
              <w:rPr>
                <w:rFonts w:ascii="Garamond" w:hAnsi="Garamond"/>
                <w:lang w:val="en-AU"/>
              </w:rPr>
            </w:pPr>
            <w:r w:rsidRPr="003172B8">
              <w:rPr>
                <w:rFonts w:ascii="Garamond" w:hAnsi="Garamond"/>
                <w:lang w:val="en-AU"/>
              </w:rPr>
              <w:lastRenderedPageBreak/>
              <w:t xml:space="preserve">Attitudes of health professionals to using routinely collected </w:t>
            </w:r>
            <w:r w:rsidRPr="003172B8">
              <w:rPr>
                <w:rFonts w:ascii="Garamond" w:hAnsi="Garamond"/>
                <w:b/>
                <w:lang w:val="en-AU"/>
              </w:rPr>
              <w:t>clinical data for performance feedback and personalised professional development</w:t>
            </w:r>
            <w:r>
              <w:rPr>
                <w:rFonts w:ascii="Garamond" w:hAnsi="Garamond"/>
                <w:lang w:val="en-AU"/>
              </w:rPr>
              <w:t xml:space="preserve"> (</w:t>
            </w:r>
            <w:r w:rsidRPr="003172B8">
              <w:rPr>
                <w:rFonts w:ascii="Garamond" w:hAnsi="Garamond"/>
                <w:lang w:val="en-AU"/>
              </w:rPr>
              <w:t xml:space="preserve">Tim Shaw, Anna Janssen, Roslyn Crampton, Fenton O’Leary, Philip Hoyle, Aaron Jones, </w:t>
            </w:r>
            <w:proofErr w:type="spellStart"/>
            <w:r w:rsidRPr="003172B8">
              <w:rPr>
                <w:rFonts w:ascii="Garamond" w:hAnsi="Garamond"/>
                <w:lang w:val="en-AU"/>
              </w:rPr>
              <w:t>Amith</w:t>
            </w:r>
            <w:proofErr w:type="spellEnd"/>
            <w:r w:rsidRPr="003172B8">
              <w:rPr>
                <w:rFonts w:ascii="Garamond" w:hAnsi="Garamond"/>
                <w:lang w:val="en-AU"/>
              </w:rPr>
              <w:t xml:space="preserve"> Shetty, </w:t>
            </w:r>
            <w:proofErr w:type="spellStart"/>
            <w:r w:rsidRPr="003172B8">
              <w:rPr>
                <w:rFonts w:ascii="Garamond" w:hAnsi="Garamond"/>
                <w:lang w:val="en-AU"/>
              </w:rPr>
              <w:t>Naren</w:t>
            </w:r>
            <w:proofErr w:type="spellEnd"/>
            <w:r w:rsidRPr="003172B8">
              <w:rPr>
                <w:rFonts w:ascii="Garamond" w:hAnsi="Garamond"/>
                <w:lang w:val="en-AU"/>
              </w:rPr>
              <w:t xml:space="preserve"> </w:t>
            </w:r>
            <w:proofErr w:type="spellStart"/>
            <w:r w:rsidRPr="003172B8">
              <w:rPr>
                <w:rFonts w:ascii="Garamond" w:hAnsi="Garamond"/>
                <w:lang w:val="en-AU"/>
              </w:rPr>
              <w:t>Gunja</w:t>
            </w:r>
            <w:proofErr w:type="spellEnd"/>
            <w:r w:rsidRPr="003172B8">
              <w:rPr>
                <w:rFonts w:ascii="Garamond" w:hAnsi="Garamond"/>
                <w:lang w:val="en-AU"/>
              </w:rPr>
              <w:t xml:space="preserve">, Angus G Ritchie, </w:t>
            </w:r>
            <w:proofErr w:type="spellStart"/>
            <w:r w:rsidRPr="003172B8">
              <w:rPr>
                <w:rFonts w:ascii="Garamond" w:hAnsi="Garamond"/>
                <w:lang w:val="en-AU"/>
              </w:rPr>
              <w:t>Heiko</w:t>
            </w:r>
            <w:proofErr w:type="spellEnd"/>
            <w:r w:rsidRPr="003172B8">
              <w:rPr>
                <w:rFonts w:ascii="Garamond" w:hAnsi="Garamond"/>
                <w:lang w:val="en-AU"/>
              </w:rPr>
              <w:t xml:space="preserve"> </w:t>
            </w:r>
            <w:proofErr w:type="spellStart"/>
            <w:r w:rsidRPr="003172B8">
              <w:rPr>
                <w:rFonts w:ascii="Garamond" w:hAnsi="Garamond"/>
                <w:lang w:val="en-AU"/>
              </w:rPr>
              <w:t>Spallek</w:t>
            </w:r>
            <w:proofErr w:type="spellEnd"/>
            <w:r w:rsidRPr="003172B8">
              <w:rPr>
                <w:rFonts w:ascii="Garamond" w:hAnsi="Garamond"/>
                <w:lang w:val="en-AU"/>
              </w:rPr>
              <w:t xml:space="preserve">, Annette </w:t>
            </w:r>
            <w:proofErr w:type="spellStart"/>
            <w:r w:rsidRPr="003172B8">
              <w:rPr>
                <w:rFonts w:ascii="Garamond" w:hAnsi="Garamond"/>
                <w:lang w:val="en-AU"/>
              </w:rPr>
              <w:t>Solman</w:t>
            </w:r>
            <w:proofErr w:type="spellEnd"/>
            <w:r w:rsidRPr="003172B8">
              <w:rPr>
                <w:rFonts w:ascii="Garamond" w:hAnsi="Garamond"/>
                <w:lang w:val="en-AU"/>
              </w:rPr>
              <w:t xml:space="preserve">, Judy Kay, Meredith AB </w:t>
            </w:r>
            <w:proofErr w:type="spellStart"/>
            <w:r w:rsidRPr="003172B8">
              <w:rPr>
                <w:rFonts w:ascii="Garamond" w:hAnsi="Garamond"/>
                <w:lang w:val="en-AU"/>
              </w:rPr>
              <w:t>Makeham</w:t>
            </w:r>
            <w:proofErr w:type="spellEnd"/>
            <w:r w:rsidRPr="003172B8">
              <w:rPr>
                <w:rFonts w:ascii="Garamond" w:hAnsi="Garamond"/>
                <w:lang w:val="en-AU"/>
              </w:rPr>
              <w:t xml:space="preserve">, Paul </w:t>
            </w:r>
            <w:proofErr w:type="spellStart"/>
            <w:r w:rsidRPr="003172B8">
              <w:rPr>
                <w:rFonts w:ascii="Garamond" w:hAnsi="Garamond"/>
                <w:lang w:val="en-AU"/>
              </w:rPr>
              <w:t>Harnett</w:t>
            </w:r>
            <w:proofErr w:type="spellEnd"/>
            <w:r>
              <w:rPr>
                <w:rFonts w:ascii="Garamond" w:hAnsi="Garamond"/>
                <w:lang w:val="en-AU"/>
              </w:rPr>
              <w:t>)</w:t>
            </w:r>
          </w:p>
          <w:p w:rsidR="003172B8" w:rsidRPr="003172B8" w:rsidRDefault="003172B8" w:rsidP="003172B8">
            <w:pPr>
              <w:pStyle w:val="ListParagraph"/>
              <w:numPr>
                <w:ilvl w:val="0"/>
                <w:numId w:val="40"/>
              </w:numPr>
              <w:rPr>
                <w:rFonts w:ascii="Garamond" w:hAnsi="Garamond"/>
                <w:lang w:val="en-AU"/>
              </w:rPr>
            </w:pPr>
            <w:r w:rsidRPr="003172B8">
              <w:rPr>
                <w:rFonts w:ascii="Garamond" w:hAnsi="Garamond"/>
                <w:lang w:val="en-AU"/>
              </w:rPr>
              <w:t xml:space="preserve">Nudging hospitals towards </w:t>
            </w:r>
            <w:r w:rsidRPr="003172B8">
              <w:rPr>
                <w:rFonts w:ascii="Garamond" w:hAnsi="Garamond"/>
                <w:b/>
                <w:lang w:val="en-AU"/>
              </w:rPr>
              <w:t>evidence-based decision support for medication management</w:t>
            </w:r>
            <w:r>
              <w:rPr>
                <w:rFonts w:ascii="Garamond" w:hAnsi="Garamond"/>
                <w:lang w:val="en-AU"/>
              </w:rPr>
              <w:t xml:space="preserve"> (</w:t>
            </w:r>
            <w:r w:rsidRPr="003172B8">
              <w:rPr>
                <w:rFonts w:ascii="Garamond" w:hAnsi="Garamond"/>
                <w:lang w:val="en-AU"/>
              </w:rPr>
              <w:t xml:space="preserve">Johanna I Westbrook, Melissa T </w:t>
            </w:r>
            <w:proofErr w:type="spellStart"/>
            <w:r w:rsidRPr="003172B8">
              <w:rPr>
                <w:rFonts w:ascii="Garamond" w:hAnsi="Garamond"/>
                <w:lang w:val="en-AU"/>
              </w:rPr>
              <w:t>Baysari</w:t>
            </w:r>
            <w:proofErr w:type="spellEnd"/>
            <w:r>
              <w:rPr>
                <w:rFonts w:ascii="Garamond" w:hAnsi="Garamond"/>
                <w:lang w:val="en-AU"/>
              </w:rPr>
              <w:t>)</w:t>
            </w:r>
          </w:p>
          <w:p w:rsidR="003172B8" w:rsidRPr="003172B8" w:rsidRDefault="003172B8" w:rsidP="003172B8">
            <w:pPr>
              <w:pStyle w:val="ListParagraph"/>
              <w:numPr>
                <w:ilvl w:val="0"/>
                <w:numId w:val="40"/>
              </w:numPr>
              <w:rPr>
                <w:rFonts w:ascii="Garamond" w:hAnsi="Garamond"/>
                <w:lang w:val="en-AU"/>
              </w:rPr>
            </w:pPr>
            <w:r w:rsidRPr="003172B8">
              <w:rPr>
                <w:rFonts w:ascii="Garamond" w:hAnsi="Garamond"/>
                <w:lang w:val="en-AU"/>
              </w:rPr>
              <w:t xml:space="preserve">Consumer-directed technologies to improve </w:t>
            </w:r>
            <w:r w:rsidRPr="003172B8">
              <w:rPr>
                <w:rFonts w:ascii="Garamond" w:hAnsi="Garamond"/>
                <w:b/>
                <w:lang w:val="en-AU"/>
              </w:rPr>
              <w:t>medication management and safety</w:t>
            </w:r>
            <w:r>
              <w:rPr>
                <w:rFonts w:ascii="Garamond" w:hAnsi="Garamond"/>
                <w:lang w:val="en-AU"/>
              </w:rPr>
              <w:t xml:space="preserve"> (</w:t>
            </w:r>
            <w:r w:rsidRPr="003172B8">
              <w:rPr>
                <w:rFonts w:ascii="Garamond" w:hAnsi="Garamond"/>
                <w:lang w:val="en-AU"/>
              </w:rPr>
              <w:t>Andre Q Andrade, Elizabeth E Roughead</w:t>
            </w:r>
            <w:r>
              <w:rPr>
                <w:rFonts w:ascii="Garamond" w:hAnsi="Garamond"/>
                <w:lang w:val="en-AU"/>
              </w:rPr>
              <w:t>)</w:t>
            </w:r>
          </w:p>
          <w:p w:rsidR="003172B8" w:rsidRPr="003172B8" w:rsidRDefault="003172B8" w:rsidP="003172B8">
            <w:pPr>
              <w:pStyle w:val="ListParagraph"/>
              <w:numPr>
                <w:ilvl w:val="0"/>
                <w:numId w:val="40"/>
              </w:numPr>
              <w:rPr>
                <w:rFonts w:ascii="Garamond" w:hAnsi="Garamond"/>
                <w:lang w:val="en-AU"/>
              </w:rPr>
            </w:pPr>
            <w:r w:rsidRPr="003172B8">
              <w:rPr>
                <w:rFonts w:ascii="Garamond" w:hAnsi="Garamond"/>
                <w:b/>
                <w:lang w:val="en-AU"/>
              </w:rPr>
              <w:t>App utility and adoption in a tertiary children’s hospital</w:t>
            </w:r>
            <w:r>
              <w:rPr>
                <w:rFonts w:ascii="Garamond" w:hAnsi="Garamond"/>
                <w:lang w:val="en-AU"/>
              </w:rPr>
              <w:t xml:space="preserve"> (</w:t>
            </w:r>
            <w:r w:rsidRPr="003172B8">
              <w:rPr>
                <w:rFonts w:ascii="Garamond" w:hAnsi="Garamond"/>
                <w:lang w:val="en-AU"/>
              </w:rPr>
              <w:t xml:space="preserve">Cheryl </w:t>
            </w:r>
            <w:proofErr w:type="spellStart"/>
            <w:r w:rsidRPr="003172B8">
              <w:rPr>
                <w:rFonts w:ascii="Garamond" w:hAnsi="Garamond"/>
                <w:lang w:val="en-AU"/>
              </w:rPr>
              <w:t>McCullagh</w:t>
            </w:r>
            <w:proofErr w:type="spellEnd"/>
            <w:r w:rsidRPr="003172B8">
              <w:rPr>
                <w:rFonts w:ascii="Garamond" w:hAnsi="Garamond"/>
                <w:lang w:val="en-AU"/>
              </w:rPr>
              <w:t xml:space="preserve">, Melanie Keep, Anna Janssen, </w:t>
            </w:r>
            <w:proofErr w:type="spellStart"/>
            <w:r w:rsidRPr="003172B8">
              <w:rPr>
                <w:rFonts w:ascii="Garamond" w:hAnsi="Garamond"/>
                <w:lang w:val="en-AU"/>
              </w:rPr>
              <w:t>Hiran</w:t>
            </w:r>
            <w:proofErr w:type="spellEnd"/>
            <w:r w:rsidRPr="003172B8">
              <w:rPr>
                <w:rFonts w:ascii="Garamond" w:hAnsi="Garamond"/>
                <w:lang w:val="en-AU"/>
              </w:rPr>
              <w:t xml:space="preserve"> </w:t>
            </w:r>
            <w:proofErr w:type="spellStart"/>
            <w:r w:rsidRPr="003172B8">
              <w:rPr>
                <w:rFonts w:ascii="Garamond" w:hAnsi="Garamond"/>
                <w:lang w:val="en-AU"/>
              </w:rPr>
              <w:t>Selvadurai</w:t>
            </w:r>
            <w:proofErr w:type="spellEnd"/>
            <w:r w:rsidRPr="003172B8">
              <w:rPr>
                <w:rFonts w:ascii="Garamond" w:hAnsi="Garamond"/>
                <w:lang w:val="en-AU"/>
              </w:rPr>
              <w:t>, Tim Shaw</w:t>
            </w:r>
            <w:r>
              <w:rPr>
                <w:rFonts w:ascii="Garamond" w:hAnsi="Garamond"/>
                <w:lang w:val="en-AU"/>
              </w:rPr>
              <w:t>)</w:t>
            </w:r>
          </w:p>
          <w:p w:rsidR="003172B8" w:rsidRPr="003172B8" w:rsidRDefault="003172B8" w:rsidP="003172B8">
            <w:pPr>
              <w:pStyle w:val="ListParagraph"/>
              <w:numPr>
                <w:ilvl w:val="0"/>
                <w:numId w:val="40"/>
              </w:numPr>
              <w:rPr>
                <w:rFonts w:ascii="Garamond" w:hAnsi="Garamond"/>
                <w:lang w:val="en-AU"/>
              </w:rPr>
            </w:pPr>
            <w:r w:rsidRPr="003172B8">
              <w:rPr>
                <w:rFonts w:ascii="Garamond" w:hAnsi="Garamond"/>
                <w:lang w:val="en-AU"/>
              </w:rPr>
              <w:t xml:space="preserve">Preparing Australia for </w:t>
            </w:r>
            <w:r w:rsidRPr="003172B8">
              <w:rPr>
                <w:rFonts w:ascii="Garamond" w:hAnsi="Garamond"/>
                <w:b/>
                <w:lang w:val="en-AU"/>
              </w:rPr>
              <w:t>genomic medicine: data, computing and digital health</w:t>
            </w:r>
            <w:r>
              <w:rPr>
                <w:rFonts w:ascii="Garamond" w:hAnsi="Garamond"/>
                <w:lang w:val="en-AU"/>
              </w:rPr>
              <w:t xml:space="preserve"> (</w:t>
            </w:r>
            <w:r w:rsidRPr="003172B8">
              <w:rPr>
                <w:rFonts w:ascii="Garamond" w:hAnsi="Garamond"/>
                <w:lang w:val="en-AU"/>
              </w:rPr>
              <w:t>David P Hansen, Marcel E Dinger, Oliver Hofmann, Natalie Thorne, Ti</w:t>
            </w:r>
            <w:r>
              <w:rPr>
                <w:rFonts w:ascii="Garamond" w:hAnsi="Garamond"/>
                <w:lang w:val="en-AU"/>
              </w:rPr>
              <w:t>ff</w:t>
            </w:r>
            <w:r w:rsidRPr="003172B8">
              <w:rPr>
                <w:rFonts w:ascii="Garamond" w:hAnsi="Garamond"/>
                <w:lang w:val="en-AU"/>
              </w:rPr>
              <w:t xml:space="preserve">any F </w:t>
            </w:r>
            <w:proofErr w:type="spellStart"/>
            <w:r w:rsidRPr="003172B8">
              <w:rPr>
                <w:rFonts w:ascii="Garamond" w:hAnsi="Garamond"/>
                <w:lang w:val="en-AU"/>
              </w:rPr>
              <w:t>Boughtwood</w:t>
            </w:r>
            <w:proofErr w:type="spellEnd"/>
            <w:r>
              <w:rPr>
                <w:rFonts w:ascii="Garamond" w:hAnsi="Garamond"/>
                <w:lang w:val="en-AU"/>
              </w:rPr>
              <w:t>)</w:t>
            </w:r>
          </w:p>
          <w:p w:rsidR="003172B8" w:rsidRPr="003172B8" w:rsidRDefault="003172B8" w:rsidP="003172B8">
            <w:pPr>
              <w:pStyle w:val="ListParagraph"/>
              <w:numPr>
                <w:ilvl w:val="0"/>
                <w:numId w:val="40"/>
              </w:numPr>
              <w:rPr>
                <w:rFonts w:ascii="Garamond" w:hAnsi="Garamond"/>
                <w:lang w:val="en-AU"/>
              </w:rPr>
            </w:pPr>
            <w:r w:rsidRPr="003172B8">
              <w:rPr>
                <w:rFonts w:ascii="Garamond" w:hAnsi="Garamond"/>
                <w:b/>
                <w:lang w:val="en-AU"/>
              </w:rPr>
              <w:t xml:space="preserve">My Health Record implementation in private specialist practice </w:t>
            </w:r>
            <w:r>
              <w:rPr>
                <w:rFonts w:ascii="Garamond" w:hAnsi="Garamond"/>
                <w:lang w:val="en-AU"/>
              </w:rPr>
              <w:t>(</w:t>
            </w:r>
            <w:r w:rsidRPr="003172B8">
              <w:rPr>
                <w:rFonts w:ascii="Garamond" w:hAnsi="Garamond"/>
                <w:lang w:val="en-AU"/>
              </w:rPr>
              <w:t>Jillian Tomlinson</w:t>
            </w:r>
            <w:r>
              <w:rPr>
                <w:rFonts w:ascii="Garamond" w:hAnsi="Garamond"/>
                <w:lang w:val="en-AU"/>
              </w:rPr>
              <w:t>)</w:t>
            </w:r>
          </w:p>
          <w:p w:rsidR="003172B8" w:rsidRPr="003172B8" w:rsidRDefault="003172B8" w:rsidP="003172B8">
            <w:pPr>
              <w:pStyle w:val="ListParagraph"/>
              <w:numPr>
                <w:ilvl w:val="0"/>
                <w:numId w:val="40"/>
              </w:numPr>
              <w:rPr>
                <w:rFonts w:ascii="Garamond" w:hAnsi="Garamond"/>
                <w:lang w:val="en-AU"/>
              </w:rPr>
            </w:pPr>
            <w:r w:rsidRPr="003172B8">
              <w:rPr>
                <w:rFonts w:ascii="Garamond" w:hAnsi="Garamond"/>
                <w:lang w:val="en-AU"/>
              </w:rPr>
              <w:t xml:space="preserve">Using </w:t>
            </w:r>
            <w:r w:rsidRPr="003172B8">
              <w:rPr>
                <w:rFonts w:ascii="Garamond" w:hAnsi="Garamond"/>
                <w:b/>
                <w:lang w:val="en-AU"/>
              </w:rPr>
              <w:t>My Health Record in a private obstetrics and gynaecology clinic</w:t>
            </w:r>
            <w:r>
              <w:rPr>
                <w:rFonts w:ascii="Garamond" w:hAnsi="Garamond"/>
                <w:lang w:val="en-AU"/>
              </w:rPr>
              <w:t xml:space="preserve"> (</w:t>
            </w:r>
            <w:r w:rsidRPr="003172B8">
              <w:rPr>
                <w:rFonts w:ascii="Garamond" w:hAnsi="Garamond"/>
                <w:lang w:val="en-AU"/>
              </w:rPr>
              <w:t>Elizabeth Jackson</w:t>
            </w:r>
            <w:r>
              <w:rPr>
                <w:rFonts w:ascii="Garamond" w:hAnsi="Garamond"/>
                <w:lang w:val="en-AU"/>
              </w:rPr>
              <w:t>)</w:t>
            </w:r>
          </w:p>
          <w:p w:rsidR="003172B8" w:rsidRPr="003172B8" w:rsidRDefault="003172B8" w:rsidP="003172B8">
            <w:pPr>
              <w:pStyle w:val="ListParagraph"/>
              <w:numPr>
                <w:ilvl w:val="0"/>
                <w:numId w:val="40"/>
              </w:numPr>
              <w:rPr>
                <w:rFonts w:ascii="Garamond" w:hAnsi="Garamond"/>
                <w:lang w:val="en-AU"/>
              </w:rPr>
            </w:pPr>
            <w:r w:rsidRPr="003172B8">
              <w:rPr>
                <w:rFonts w:ascii="Garamond" w:hAnsi="Garamond"/>
                <w:b/>
                <w:lang w:val="en-AU"/>
              </w:rPr>
              <w:t>Telehealth</w:t>
            </w:r>
            <w:r w:rsidRPr="003172B8">
              <w:rPr>
                <w:rFonts w:ascii="Garamond" w:hAnsi="Garamond"/>
                <w:lang w:val="en-AU"/>
              </w:rPr>
              <w:t xml:space="preserve"> a game changer: closing the gap in </w:t>
            </w:r>
            <w:r w:rsidRPr="003172B8">
              <w:rPr>
                <w:rFonts w:ascii="Garamond" w:hAnsi="Garamond"/>
                <w:b/>
                <w:lang w:val="en-AU"/>
              </w:rPr>
              <w:t>remote Aboriginal communities</w:t>
            </w:r>
            <w:r>
              <w:rPr>
                <w:rFonts w:ascii="Garamond" w:hAnsi="Garamond"/>
                <w:lang w:val="en-AU"/>
              </w:rPr>
              <w:t xml:space="preserve"> (</w:t>
            </w:r>
            <w:r w:rsidRPr="003172B8">
              <w:rPr>
                <w:rFonts w:ascii="Garamond" w:hAnsi="Garamond"/>
                <w:lang w:val="en-AU"/>
              </w:rPr>
              <w:t xml:space="preserve">Marianne St Clair, David P </w:t>
            </w:r>
            <w:proofErr w:type="spellStart"/>
            <w:r w:rsidRPr="003172B8">
              <w:rPr>
                <w:rFonts w:ascii="Garamond" w:hAnsi="Garamond"/>
                <w:lang w:val="en-AU"/>
              </w:rPr>
              <w:t>Murtagh</w:t>
            </w:r>
            <w:proofErr w:type="spellEnd"/>
            <w:r w:rsidRPr="003172B8">
              <w:rPr>
                <w:rFonts w:ascii="Garamond" w:hAnsi="Garamond"/>
                <w:lang w:val="en-AU"/>
              </w:rPr>
              <w:t>, John Kelly, Je</w:t>
            </w:r>
            <w:r>
              <w:rPr>
                <w:rFonts w:ascii="Garamond" w:hAnsi="Garamond"/>
                <w:lang w:val="en-AU"/>
              </w:rPr>
              <w:t>ff</w:t>
            </w:r>
            <w:r w:rsidRPr="003172B8">
              <w:rPr>
                <w:rFonts w:ascii="Garamond" w:hAnsi="Garamond"/>
                <w:lang w:val="en-AU"/>
              </w:rPr>
              <w:t xml:space="preserve"> Cook</w:t>
            </w:r>
            <w:r>
              <w:rPr>
                <w:rFonts w:ascii="Garamond" w:hAnsi="Garamond"/>
                <w:lang w:val="en-AU"/>
              </w:rPr>
              <w:t>)</w:t>
            </w:r>
          </w:p>
          <w:p w:rsidR="003172B8" w:rsidRPr="007C3778" w:rsidRDefault="003172B8" w:rsidP="003172B8">
            <w:pPr>
              <w:pStyle w:val="ListParagraph"/>
              <w:numPr>
                <w:ilvl w:val="0"/>
                <w:numId w:val="40"/>
              </w:numPr>
              <w:rPr>
                <w:rFonts w:ascii="Garamond" w:hAnsi="Garamond"/>
                <w:lang w:val="en-AU"/>
              </w:rPr>
            </w:pPr>
            <w:r w:rsidRPr="003172B8">
              <w:rPr>
                <w:rFonts w:ascii="Garamond" w:hAnsi="Garamond"/>
                <w:b/>
                <w:lang w:val="en-AU"/>
              </w:rPr>
              <w:t>Artiﬁcial intelligence and the clinical world</w:t>
            </w:r>
            <w:r w:rsidRPr="003172B8">
              <w:rPr>
                <w:rFonts w:ascii="Garamond" w:hAnsi="Garamond"/>
                <w:lang w:val="en-AU"/>
              </w:rPr>
              <w:t>: a view from the front line</w:t>
            </w:r>
            <w:r>
              <w:rPr>
                <w:rFonts w:ascii="Garamond" w:hAnsi="Garamond"/>
                <w:lang w:val="en-AU"/>
              </w:rPr>
              <w:t xml:space="preserve"> (</w:t>
            </w:r>
            <w:r w:rsidRPr="003172B8">
              <w:rPr>
                <w:rFonts w:ascii="Garamond" w:hAnsi="Garamond"/>
                <w:lang w:val="en-AU"/>
              </w:rPr>
              <w:t xml:space="preserve">Christopher Pearce, Adam McLeod, Natalie Rinehart, Robin Whyte, Elizabeth </w:t>
            </w:r>
            <w:proofErr w:type="spellStart"/>
            <w:r w:rsidRPr="003172B8">
              <w:rPr>
                <w:rFonts w:ascii="Garamond" w:hAnsi="Garamond"/>
                <w:lang w:val="en-AU"/>
              </w:rPr>
              <w:t>Deveny</w:t>
            </w:r>
            <w:proofErr w:type="spellEnd"/>
            <w:r w:rsidRPr="003172B8">
              <w:rPr>
                <w:rFonts w:ascii="Garamond" w:hAnsi="Garamond"/>
                <w:lang w:val="en-AU"/>
              </w:rPr>
              <w:t>, Marianne Shearer</w:t>
            </w:r>
            <w:r>
              <w:rPr>
                <w:rFonts w:ascii="Garamond" w:hAnsi="Garamond"/>
                <w:lang w:val="en-AU"/>
              </w:rPr>
              <w:t>)</w:t>
            </w:r>
          </w:p>
        </w:tc>
      </w:tr>
    </w:tbl>
    <w:p w:rsidR="003172B8" w:rsidRDefault="003172B8" w:rsidP="003172B8">
      <w:pPr>
        <w:rPr>
          <w:rFonts w:ascii="Garamond" w:hAnsi="Garamond"/>
          <w:i/>
          <w:lang w:val="en-AU"/>
        </w:rPr>
      </w:pPr>
    </w:p>
    <w:p w:rsidR="004E4D38" w:rsidRPr="00467B47" w:rsidRDefault="004E4D38" w:rsidP="004E4D38">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4E4D38" w:rsidRPr="00467B47" w:rsidTr="0023729D">
        <w:trPr>
          <w:cantSplit/>
        </w:trPr>
        <w:tc>
          <w:tcPr>
            <w:tcW w:w="1080" w:type="dxa"/>
            <w:tcBorders>
              <w:top w:val="single" w:sz="4" w:space="0" w:color="auto"/>
              <w:left w:val="single" w:sz="4" w:space="0" w:color="auto"/>
              <w:bottom w:val="single" w:sz="4" w:space="0" w:color="auto"/>
              <w:right w:val="single" w:sz="4" w:space="0" w:color="auto"/>
            </w:tcBorders>
            <w:vAlign w:val="center"/>
          </w:tcPr>
          <w:p w:rsidR="004E4D38" w:rsidRPr="00467B47" w:rsidRDefault="004E4D38" w:rsidP="0023729D">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4E4D38" w:rsidRPr="00467B47" w:rsidRDefault="002C4DAE" w:rsidP="0023729D">
            <w:pPr>
              <w:keepNext/>
              <w:rPr>
                <w:rFonts w:ascii="Garamond" w:hAnsi="Garamond"/>
                <w:lang w:val="en-AU"/>
              </w:rPr>
            </w:pPr>
            <w:hyperlink r:id="rId29" w:history="1">
              <w:r w:rsidR="004E4D38" w:rsidRPr="00467B47">
                <w:rPr>
                  <w:rStyle w:val="Hyperlink"/>
                  <w:rFonts w:ascii="Garamond" w:hAnsi="Garamond"/>
                  <w:lang w:val="en-AU"/>
                </w:rPr>
                <w:t>https://qualitysafety.bmj.com/content/early/recent</w:t>
              </w:r>
            </w:hyperlink>
          </w:p>
        </w:tc>
      </w:tr>
      <w:tr w:rsidR="004E4D38" w:rsidRPr="00467B47" w:rsidTr="0023729D">
        <w:tc>
          <w:tcPr>
            <w:tcW w:w="1080" w:type="dxa"/>
            <w:tcBorders>
              <w:top w:val="single" w:sz="4" w:space="0" w:color="auto"/>
              <w:left w:val="single" w:sz="4" w:space="0" w:color="auto"/>
              <w:bottom w:val="single" w:sz="4" w:space="0" w:color="auto"/>
              <w:right w:val="single" w:sz="4" w:space="0" w:color="auto"/>
            </w:tcBorders>
            <w:vAlign w:val="center"/>
          </w:tcPr>
          <w:p w:rsidR="004E4D38" w:rsidRPr="00467B47" w:rsidRDefault="004E4D38" w:rsidP="0023729D">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4E4D38" w:rsidRPr="00467B47" w:rsidRDefault="004E4D38" w:rsidP="0023729D">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F97183" w:rsidRDefault="00591644" w:rsidP="00591644">
            <w:pPr>
              <w:pStyle w:val="ListParagraph"/>
              <w:numPr>
                <w:ilvl w:val="0"/>
                <w:numId w:val="14"/>
              </w:numPr>
              <w:rPr>
                <w:rFonts w:ascii="Garamond" w:hAnsi="Garamond"/>
                <w:lang w:val="en-AU"/>
              </w:rPr>
            </w:pPr>
            <w:r w:rsidRPr="00591644">
              <w:rPr>
                <w:rFonts w:ascii="Garamond" w:hAnsi="Garamond"/>
                <w:lang w:val="en-AU"/>
              </w:rPr>
              <w:t xml:space="preserve">Editorial: Emerging principles for </w:t>
            </w:r>
            <w:r w:rsidRPr="00983900">
              <w:rPr>
                <w:rFonts w:ascii="Garamond" w:hAnsi="Garamond"/>
                <w:b/>
                <w:lang w:val="en-AU"/>
              </w:rPr>
              <w:t>health system value improvement</w:t>
            </w:r>
            <w:r w:rsidRPr="00591644">
              <w:rPr>
                <w:rFonts w:ascii="Garamond" w:hAnsi="Garamond"/>
                <w:lang w:val="en-AU"/>
              </w:rPr>
              <w:t xml:space="preserve"> programmes </w:t>
            </w:r>
            <w:r>
              <w:rPr>
                <w:rFonts w:ascii="Garamond" w:hAnsi="Garamond"/>
                <w:lang w:val="en-AU"/>
              </w:rPr>
              <w:t>(</w:t>
            </w:r>
            <w:r w:rsidRPr="00591644">
              <w:rPr>
                <w:rFonts w:ascii="Garamond" w:hAnsi="Garamond"/>
                <w:lang w:val="en-AU"/>
              </w:rPr>
              <w:t xml:space="preserve">Christopher </w:t>
            </w:r>
            <w:proofErr w:type="spellStart"/>
            <w:r w:rsidRPr="00591644">
              <w:rPr>
                <w:rFonts w:ascii="Garamond" w:hAnsi="Garamond"/>
                <w:lang w:val="en-AU"/>
              </w:rPr>
              <w:t>Moriates</w:t>
            </w:r>
            <w:proofErr w:type="spellEnd"/>
            <w:r w:rsidRPr="00591644">
              <w:rPr>
                <w:rFonts w:ascii="Garamond" w:hAnsi="Garamond"/>
                <w:lang w:val="en-AU"/>
              </w:rPr>
              <w:t>, Victoria Valencia</w:t>
            </w:r>
            <w:r>
              <w:rPr>
                <w:rFonts w:ascii="Garamond" w:hAnsi="Garamond"/>
                <w:lang w:val="en-AU"/>
              </w:rPr>
              <w:t>)</w:t>
            </w:r>
          </w:p>
          <w:p w:rsidR="00983900" w:rsidRPr="002D5315" w:rsidRDefault="00983900" w:rsidP="00983900">
            <w:pPr>
              <w:pStyle w:val="ListParagraph"/>
              <w:numPr>
                <w:ilvl w:val="0"/>
                <w:numId w:val="14"/>
              </w:numPr>
              <w:rPr>
                <w:rFonts w:ascii="Garamond" w:hAnsi="Garamond"/>
                <w:lang w:val="en-AU"/>
              </w:rPr>
            </w:pPr>
            <w:r w:rsidRPr="00983900">
              <w:rPr>
                <w:rFonts w:ascii="Garamond" w:hAnsi="Garamond"/>
                <w:lang w:val="en-AU"/>
              </w:rPr>
              <w:t xml:space="preserve">Assessing the </w:t>
            </w:r>
            <w:r w:rsidRPr="00983900">
              <w:rPr>
                <w:rFonts w:ascii="Garamond" w:hAnsi="Garamond"/>
                <w:b/>
                <w:lang w:val="en-AU"/>
              </w:rPr>
              <w:t>quality of health care in the management of bronchiolitis</w:t>
            </w:r>
            <w:r w:rsidRPr="00983900">
              <w:rPr>
                <w:rFonts w:ascii="Garamond" w:hAnsi="Garamond"/>
                <w:lang w:val="en-AU"/>
              </w:rPr>
              <w:t xml:space="preserve"> in Australian children: a population-based sample survey </w:t>
            </w:r>
            <w:r>
              <w:rPr>
                <w:rFonts w:ascii="Garamond" w:hAnsi="Garamond"/>
                <w:lang w:val="en-AU"/>
              </w:rPr>
              <w:t>(</w:t>
            </w:r>
            <w:proofErr w:type="spellStart"/>
            <w:r w:rsidRPr="00983900">
              <w:rPr>
                <w:rFonts w:ascii="Garamond" w:hAnsi="Garamond"/>
                <w:lang w:val="en-AU"/>
              </w:rPr>
              <w:t>Nusrat</w:t>
            </w:r>
            <w:proofErr w:type="spellEnd"/>
            <w:r w:rsidRPr="00983900">
              <w:rPr>
                <w:rFonts w:ascii="Garamond" w:hAnsi="Garamond"/>
                <w:lang w:val="en-AU"/>
              </w:rPr>
              <w:t xml:space="preserve"> </w:t>
            </w:r>
            <w:proofErr w:type="spellStart"/>
            <w:r w:rsidRPr="00983900">
              <w:rPr>
                <w:rFonts w:ascii="Garamond" w:hAnsi="Garamond"/>
                <w:lang w:val="en-AU"/>
              </w:rPr>
              <w:t>Homaira</w:t>
            </w:r>
            <w:proofErr w:type="spellEnd"/>
            <w:r w:rsidRPr="00983900">
              <w:rPr>
                <w:rFonts w:ascii="Garamond" w:hAnsi="Garamond"/>
                <w:lang w:val="en-AU"/>
              </w:rPr>
              <w:t xml:space="preserve">, Louise K Wiles, Claire Gardner, Charlotte J Molloy, Gaston </w:t>
            </w:r>
            <w:proofErr w:type="spellStart"/>
            <w:r w:rsidRPr="00983900">
              <w:rPr>
                <w:rFonts w:ascii="Garamond" w:hAnsi="Garamond"/>
                <w:lang w:val="en-AU"/>
              </w:rPr>
              <w:t>Arnolda</w:t>
            </w:r>
            <w:proofErr w:type="spellEnd"/>
            <w:r w:rsidRPr="00983900">
              <w:rPr>
                <w:rFonts w:ascii="Garamond" w:hAnsi="Garamond"/>
                <w:lang w:val="en-AU"/>
              </w:rPr>
              <w:t xml:space="preserve">, </w:t>
            </w:r>
            <w:proofErr w:type="spellStart"/>
            <w:r w:rsidRPr="00983900">
              <w:rPr>
                <w:rFonts w:ascii="Garamond" w:hAnsi="Garamond"/>
                <w:lang w:val="en-AU"/>
              </w:rPr>
              <w:t>Hsuen</w:t>
            </w:r>
            <w:proofErr w:type="spellEnd"/>
            <w:r w:rsidRPr="00983900">
              <w:rPr>
                <w:rFonts w:ascii="Garamond" w:hAnsi="Garamond"/>
                <w:lang w:val="en-AU"/>
              </w:rPr>
              <w:t xml:space="preserve"> P Ting, Peter Damian </w:t>
            </w:r>
            <w:proofErr w:type="spellStart"/>
            <w:r w:rsidRPr="00983900">
              <w:rPr>
                <w:rFonts w:ascii="Garamond" w:hAnsi="Garamond"/>
                <w:lang w:val="en-AU"/>
              </w:rPr>
              <w:t>Hibbert</w:t>
            </w:r>
            <w:proofErr w:type="spellEnd"/>
            <w:r w:rsidRPr="00983900">
              <w:rPr>
                <w:rFonts w:ascii="Garamond" w:hAnsi="Garamond"/>
                <w:lang w:val="en-AU"/>
              </w:rPr>
              <w:t>, Jeffrey Braithwaite, Adam Jaffe</w:t>
            </w:r>
            <w:r>
              <w:rPr>
                <w:rFonts w:ascii="Garamond" w:hAnsi="Garamond"/>
                <w:lang w:val="en-AU"/>
              </w:rPr>
              <w:t>)</w:t>
            </w:r>
          </w:p>
        </w:tc>
      </w:tr>
    </w:tbl>
    <w:p w:rsidR="00563806" w:rsidRDefault="00563806" w:rsidP="00D0516A">
      <w:pPr>
        <w:keepNext/>
        <w:rPr>
          <w:rFonts w:ascii="Garamond" w:hAnsi="Garamond"/>
          <w:i/>
          <w:lang w:val="en-AU"/>
        </w:rPr>
      </w:pPr>
    </w:p>
    <w:p w:rsidR="00A00C2B" w:rsidRDefault="00A00C2B" w:rsidP="00D0516A">
      <w:pPr>
        <w:keepNext/>
        <w:rPr>
          <w:rFonts w:ascii="Garamond" w:hAnsi="Garamond"/>
          <w:i/>
          <w:lang w:val="en-AU"/>
        </w:rPr>
      </w:pPr>
    </w:p>
    <w:p w:rsidR="00B44299" w:rsidRDefault="00B44299" w:rsidP="000C28BA">
      <w:pPr>
        <w:rPr>
          <w:rFonts w:ascii="Garamond" w:hAnsi="Garamond"/>
          <w:lang w:val="en-AU"/>
        </w:rPr>
      </w:pPr>
    </w:p>
    <w:p w:rsidR="00E7643F" w:rsidRPr="001C0CF1" w:rsidRDefault="001C0CF1" w:rsidP="00070CFE">
      <w:pPr>
        <w:rPr>
          <w:rFonts w:ascii="Garamond" w:hAnsi="Garamond"/>
          <w:b/>
          <w:lang w:val="en-AU"/>
        </w:rPr>
      </w:pPr>
      <w:r w:rsidRPr="001C0CF1">
        <w:rPr>
          <w:rFonts w:ascii="Garamond" w:hAnsi="Garamond"/>
          <w:b/>
          <w:lang w:val="en-AU"/>
        </w:rPr>
        <w:t>Online resources</w:t>
      </w:r>
    </w:p>
    <w:p w:rsidR="0009148E" w:rsidRDefault="0009148E" w:rsidP="00070CFE">
      <w:pPr>
        <w:rPr>
          <w:rFonts w:ascii="Garamond" w:hAnsi="Garamond"/>
          <w:lang w:val="en-AU"/>
        </w:rPr>
      </w:pPr>
    </w:p>
    <w:p w:rsidR="000F14F7" w:rsidRDefault="000F14F7" w:rsidP="00B44299">
      <w:pPr>
        <w:keepNext/>
        <w:keepLines/>
        <w:rPr>
          <w:rFonts w:ascii="Garamond" w:hAnsi="Garamond"/>
          <w:i/>
          <w:lang w:val="en-AU"/>
        </w:rPr>
      </w:pPr>
      <w:r w:rsidRPr="000F14F7">
        <w:rPr>
          <w:rFonts w:ascii="Garamond" w:hAnsi="Garamond"/>
          <w:i/>
          <w:lang w:val="en-AU"/>
        </w:rPr>
        <w:t xml:space="preserve">Clinical Communiqué </w:t>
      </w:r>
    </w:p>
    <w:p w:rsidR="000F14F7" w:rsidRPr="000F14F7" w:rsidRDefault="000F14F7" w:rsidP="000F14F7">
      <w:pPr>
        <w:keepNext/>
        <w:keepLines/>
        <w:rPr>
          <w:rFonts w:ascii="Garamond" w:hAnsi="Garamond"/>
          <w:lang w:val="en-AU"/>
        </w:rPr>
      </w:pPr>
      <w:proofErr w:type="gramStart"/>
      <w:r w:rsidRPr="000F14F7">
        <w:rPr>
          <w:rFonts w:ascii="Garamond" w:hAnsi="Garamond"/>
          <w:lang w:val="en-AU"/>
        </w:rPr>
        <w:t xml:space="preserve">Volume </w:t>
      </w:r>
      <w:r>
        <w:rPr>
          <w:rFonts w:ascii="Garamond" w:hAnsi="Garamond"/>
          <w:lang w:val="en-AU"/>
        </w:rPr>
        <w:t>6.</w:t>
      </w:r>
      <w:proofErr w:type="gramEnd"/>
      <w:r w:rsidRPr="000F14F7">
        <w:rPr>
          <w:rFonts w:ascii="Garamond" w:hAnsi="Garamond"/>
          <w:lang w:val="en-AU"/>
        </w:rPr>
        <w:t xml:space="preserve"> </w:t>
      </w:r>
      <w:proofErr w:type="gramStart"/>
      <w:r w:rsidRPr="000F14F7">
        <w:rPr>
          <w:rFonts w:ascii="Garamond" w:hAnsi="Garamond"/>
          <w:lang w:val="en-AU"/>
        </w:rPr>
        <w:t xml:space="preserve">Issue </w:t>
      </w:r>
      <w:r>
        <w:rPr>
          <w:rFonts w:ascii="Garamond" w:hAnsi="Garamond"/>
          <w:lang w:val="en-AU"/>
        </w:rPr>
        <w:t>1.</w:t>
      </w:r>
      <w:proofErr w:type="gramEnd"/>
      <w:r w:rsidRPr="000F14F7">
        <w:rPr>
          <w:rFonts w:ascii="Garamond" w:hAnsi="Garamond"/>
          <w:lang w:val="en-AU"/>
        </w:rPr>
        <w:t xml:space="preserve"> </w:t>
      </w:r>
      <w:r>
        <w:rPr>
          <w:rFonts w:ascii="Garamond" w:hAnsi="Garamond"/>
          <w:lang w:val="en-AU"/>
        </w:rPr>
        <w:t xml:space="preserve">March </w:t>
      </w:r>
      <w:r w:rsidRPr="000F14F7">
        <w:rPr>
          <w:rFonts w:ascii="Garamond" w:hAnsi="Garamond"/>
          <w:lang w:val="en-AU"/>
        </w:rPr>
        <w:t>201</w:t>
      </w:r>
      <w:r>
        <w:rPr>
          <w:rFonts w:ascii="Garamond" w:hAnsi="Garamond"/>
          <w:lang w:val="en-AU"/>
        </w:rPr>
        <w:t>9</w:t>
      </w:r>
    </w:p>
    <w:p w:rsidR="000F14F7" w:rsidRDefault="002C4DAE" w:rsidP="000F14F7">
      <w:pPr>
        <w:keepNext/>
        <w:keepLines/>
        <w:rPr>
          <w:rFonts w:ascii="Garamond" w:hAnsi="Garamond"/>
          <w:lang w:val="en-AU"/>
        </w:rPr>
      </w:pPr>
      <w:hyperlink r:id="rId30" w:history="1">
        <w:r w:rsidR="000F14F7" w:rsidRPr="00584BCA">
          <w:rPr>
            <w:rStyle w:val="Hyperlink"/>
            <w:rFonts w:ascii="Garamond" w:hAnsi="Garamond"/>
            <w:lang w:val="en-AU"/>
          </w:rPr>
          <w:t>http://vifmcommuniques.org/clinical-communique-volume-6-issue-1-march-2019/</w:t>
        </w:r>
      </w:hyperlink>
    </w:p>
    <w:p w:rsidR="000F14F7" w:rsidRPr="000F14F7" w:rsidRDefault="000F14F7" w:rsidP="000F14F7">
      <w:pPr>
        <w:keepNext/>
        <w:keepLines/>
        <w:rPr>
          <w:rFonts w:ascii="Garamond" w:hAnsi="Garamond"/>
          <w:lang w:val="en-AU"/>
        </w:rPr>
      </w:pPr>
      <w:r w:rsidRPr="000F14F7">
        <w:rPr>
          <w:rFonts w:ascii="Garamond" w:hAnsi="Garamond"/>
          <w:lang w:val="en-AU"/>
        </w:rPr>
        <w:t xml:space="preserve">This Clinical Communiqué examines </w:t>
      </w:r>
      <w:r w:rsidRPr="000F14F7">
        <w:rPr>
          <w:rFonts w:ascii="Garamond" w:hAnsi="Garamond"/>
          <w:b/>
          <w:lang w:val="en-AU"/>
        </w:rPr>
        <w:t>fixation error</w:t>
      </w:r>
      <w:r>
        <w:rPr>
          <w:rFonts w:ascii="Garamond" w:hAnsi="Garamond"/>
          <w:lang w:val="en-AU"/>
        </w:rPr>
        <w:t>. Fixation error is defined here as ‘</w:t>
      </w:r>
      <w:r w:rsidRPr="000F14F7">
        <w:rPr>
          <w:rFonts w:ascii="Garamond" w:hAnsi="Garamond"/>
          <w:lang w:val="en-AU"/>
        </w:rPr>
        <w:t>the phenomenon whereby a person or group falls into a pattern of thinking that there is only one possible explanation. This can take on several forms, including task fixation on a procedure, or diagnostic fixation to the exclusion of other possibilities, as unfortunately demonstrated in the two cases presented. The first case sees hospital staff fixate on machine malfunction as the cause of abnormal physiological readings; while in the second, a number of visual and verbal cues lead staff to erroneously fixate on one diagnosis, rather than explore other viable differentials.</w:t>
      </w:r>
      <w:r>
        <w:rPr>
          <w:rFonts w:ascii="Garamond" w:hAnsi="Garamond"/>
          <w:lang w:val="en-AU"/>
        </w:rPr>
        <w:t>’</w:t>
      </w:r>
    </w:p>
    <w:p w:rsidR="000F14F7" w:rsidRDefault="000F14F7" w:rsidP="000F14F7">
      <w:pPr>
        <w:keepLines/>
        <w:rPr>
          <w:rFonts w:ascii="Garamond" w:hAnsi="Garamond"/>
          <w:i/>
          <w:lang w:val="en-AU"/>
        </w:rPr>
      </w:pPr>
    </w:p>
    <w:p w:rsidR="00B44299" w:rsidRPr="000170DA" w:rsidRDefault="00B44299" w:rsidP="00B44299">
      <w:pPr>
        <w:keepNext/>
        <w:keepLines/>
        <w:rPr>
          <w:rFonts w:ascii="Garamond" w:hAnsi="Garamond"/>
          <w:i/>
          <w:lang w:val="en-AU"/>
        </w:rPr>
      </w:pPr>
      <w:r>
        <w:rPr>
          <w:rFonts w:ascii="Garamond" w:hAnsi="Garamond"/>
          <w:i/>
          <w:lang w:val="en-AU"/>
        </w:rPr>
        <w:lastRenderedPageBreak/>
        <w:t>[</w:t>
      </w:r>
      <w:r w:rsidRPr="000170DA">
        <w:rPr>
          <w:rFonts w:ascii="Garamond" w:hAnsi="Garamond"/>
          <w:i/>
          <w:lang w:val="en-AU"/>
        </w:rPr>
        <w:t>UK] NICE Guidelines and Quality Standards</w:t>
      </w:r>
    </w:p>
    <w:p w:rsidR="00624648" w:rsidRDefault="002C4DAE" w:rsidP="00B44299">
      <w:pPr>
        <w:keepNext/>
        <w:keepLines/>
        <w:rPr>
          <w:rFonts w:ascii="Garamond" w:hAnsi="Garamond"/>
          <w:u w:val="single"/>
          <w:lang w:val="en-AU"/>
        </w:rPr>
      </w:pPr>
      <w:hyperlink r:id="rId31" w:history="1">
        <w:r w:rsidR="00624648" w:rsidRPr="00131E90">
          <w:rPr>
            <w:rStyle w:val="Hyperlink"/>
            <w:rFonts w:ascii="Garamond" w:hAnsi="Garamond"/>
            <w:lang w:val="en-AU"/>
          </w:rPr>
          <w:t>https://www.nice.org.uk/guidance</w:t>
        </w:r>
      </w:hyperlink>
    </w:p>
    <w:p w:rsidR="00B44299" w:rsidRPr="000170DA" w:rsidRDefault="00B44299" w:rsidP="00B44299">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F44FEC" w:rsidRPr="002F0B3C" w:rsidRDefault="00983900" w:rsidP="00983900">
      <w:pPr>
        <w:pStyle w:val="ListParagraph"/>
        <w:keepNext/>
        <w:keepLines/>
        <w:numPr>
          <w:ilvl w:val="0"/>
          <w:numId w:val="14"/>
        </w:numPr>
        <w:rPr>
          <w:rStyle w:val="Hyperlink"/>
          <w:rFonts w:ascii="Garamond" w:hAnsi="Garamond"/>
          <w:color w:val="auto"/>
          <w:u w:val="none"/>
          <w:lang w:val="en-AU"/>
        </w:rPr>
      </w:pPr>
      <w:r>
        <w:rPr>
          <w:rFonts w:ascii="Garamond" w:hAnsi="Garamond"/>
          <w:lang w:val="en-AU"/>
        </w:rPr>
        <w:t xml:space="preserve">NICE Guideline NG123 </w:t>
      </w:r>
      <w:r w:rsidRPr="00983900">
        <w:rPr>
          <w:rFonts w:ascii="Garamond" w:hAnsi="Garamond"/>
          <w:b/>
          <w:i/>
          <w:lang w:val="en-AU"/>
        </w:rPr>
        <w:t>Urinary incontinence and pelvic organ prolapse in women:</w:t>
      </w:r>
      <w:r w:rsidRPr="00983900">
        <w:rPr>
          <w:rFonts w:ascii="Garamond" w:hAnsi="Garamond"/>
          <w:i/>
          <w:lang w:val="en-AU"/>
        </w:rPr>
        <w:t xml:space="preserve"> management</w:t>
      </w:r>
      <w:r>
        <w:rPr>
          <w:rFonts w:ascii="Garamond" w:hAnsi="Garamond"/>
          <w:lang w:val="en-AU"/>
        </w:rPr>
        <w:t xml:space="preserve"> </w:t>
      </w:r>
      <w:hyperlink r:id="rId32" w:history="1">
        <w:r w:rsidRPr="0044271A">
          <w:rPr>
            <w:rStyle w:val="Hyperlink"/>
            <w:rFonts w:ascii="Garamond" w:hAnsi="Garamond"/>
            <w:lang w:val="en-AU"/>
          </w:rPr>
          <w:t>https://www.nice.org.uk/guidance/ng123</w:t>
        </w:r>
      </w:hyperlink>
    </w:p>
    <w:p w:rsidR="002F0B3C" w:rsidRDefault="002F0B3C" w:rsidP="002F0B3C">
      <w:pPr>
        <w:pStyle w:val="ListParagraph"/>
        <w:keepNext/>
        <w:keepLines/>
        <w:numPr>
          <w:ilvl w:val="0"/>
          <w:numId w:val="14"/>
        </w:numPr>
        <w:rPr>
          <w:rFonts w:ascii="Garamond" w:hAnsi="Garamond"/>
          <w:lang w:val="en-AU"/>
        </w:rPr>
      </w:pPr>
      <w:r>
        <w:rPr>
          <w:rFonts w:ascii="Garamond" w:hAnsi="Garamond"/>
          <w:lang w:val="en-AU"/>
        </w:rPr>
        <w:t xml:space="preserve">NICE Guideline NG124 </w:t>
      </w:r>
      <w:r w:rsidRPr="002F0B3C">
        <w:rPr>
          <w:rFonts w:ascii="Garamond" w:hAnsi="Garamond"/>
          <w:b/>
          <w:i/>
          <w:lang w:val="en-AU"/>
        </w:rPr>
        <w:t>Specialist neonatal respiratory care</w:t>
      </w:r>
      <w:r w:rsidRPr="002F0B3C">
        <w:rPr>
          <w:rFonts w:ascii="Garamond" w:hAnsi="Garamond"/>
          <w:i/>
          <w:lang w:val="en-AU"/>
        </w:rPr>
        <w:t xml:space="preserve"> for babies born preterm </w:t>
      </w:r>
      <w:hyperlink r:id="rId33" w:history="1">
        <w:r w:rsidRPr="00C44750">
          <w:rPr>
            <w:rStyle w:val="Hyperlink"/>
            <w:rFonts w:ascii="Garamond" w:hAnsi="Garamond"/>
            <w:lang w:val="en-AU"/>
          </w:rPr>
          <w:t>https://www.nice.org.uk/guidance/ng124</w:t>
        </w:r>
      </w:hyperlink>
      <w:r>
        <w:rPr>
          <w:rFonts w:ascii="Garamond" w:hAnsi="Garamond"/>
          <w:lang w:val="en-AU"/>
        </w:rPr>
        <w:t xml:space="preserve"> </w:t>
      </w:r>
    </w:p>
    <w:p w:rsidR="00F44FEC" w:rsidRDefault="00F44FEC" w:rsidP="000F14F7">
      <w:pPr>
        <w:keepLines/>
        <w:rPr>
          <w:rFonts w:ascii="Garamond" w:hAnsi="Garamond"/>
          <w:i/>
          <w:lang w:val="en-AU"/>
        </w:rPr>
      </w:pPr>
    </w:p>
    <w:p w:rsidR="00754317" w:rsidRDefault="00754317" w:rsidP="000F14F7">
      <w:pPr>
        <w:keepLines/>
        <w:rPr>
          <w:rFonts w:ascii="Garamond" w:hAnsi="Garamond"/>
          <w:lang w:val="en-AU"/>
        </w:rPr>
      </w:pPr>
    </w:p>
    <w:p w:rsidR="00624648" w:rsidRPr="00BD76EB" w:rsidRDefault="00624648" w:rsidP="00BD76EB">
      <w:pPr>
        <w:keepNext/>
        <w:keepLines/>
        <w:jc w:val="both"/>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4"/>
      <w:footerReference w:type="default" r:id="rId35"/>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B49" w:rsidRDefault="00860B49">
      <w:r>
        <w:separator/>
      </w:r>
    </w:p>
  </w:endnote>
  <w:endnote w:type="continuationSeparator" w:id="0">
    <w:p w:rsidR="00860B49" w:rsidRDefault="00860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B49" w:rsidRDefault="00860B4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2C4DAE">
      <w:rPr>
        <w:rStyle w:val="PageNumber"/>
        <w:noProof/>
      </w:rPr>
      <w:t>4</w:t>
    </w:r>
    <w:r>
      <w:rPr>
        <w:rStyle w:val="PageNumber"/>
      </w:rPr>
      <w:fldChar w:fldCharType="end"/>
    </w:r>
  </w:p>
  <w:p w:rsidR="00860B49" w:rsidRPr="001E78F0" w:rsidRDefault="00860B49"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F44FEC">
      <w:rPr>
        <w:rFonts w:ascii="Garamond" w:hAnsi="Garamond"/>
      </w:rPr>
      <w:t xml:space="preserve"> Issue 413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B49" w:rsidRPr="001E78F0" w:rsidRDefault="00860B49"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2C4DAE">
      <w:rPr>
        <w:rStyle w:val="PageNumber"/>
        <w:rFonts w:ascii="Garamond" w:hAnsi="Garamond"/>
        <w:noProof/>
      </w:rPr>
      <w:t>3</w:t>
    </w:r>
    <w:r w:rsidRPr="001E78F0">
      <w:rPr>
        <w:rStyle w:val="PageNumber"/>
        <w:rFonts w:ascii="Garamond" w:hAnsi="Garamond"/>
      </w:rPr>
      <w:fldChar w:fldCharType="end"/>
    </w:r>
  </w:p>
  <w:p w:rsidR="00860B49" w:rsidRPr="001E78F0" w:rsidRDefault="00860B49"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F44FEC">
      <w:rPr>
        <w:rFonts w:ascii="Garamond" w:hAnsi="Garamond"/>
      </w:rPr>
      <w:t xml:space="preserve"> Issue 413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B49" w:rsidRDefault="00860B49">
      <w:r>
        <w:separator/>
      </w:r>
    </w:p>
  </w:footnote>
  <w:footnote w:type="continuationSeparator" w:id="0">
    <w:p w:rsidR="00860B49" w:rsidRDefault="00860B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0A69B0"/>
    <w:multiLevelType w:val="hybridMultilevel"/>
    <w:tmpl w:val="48428730"/>
    <w:lvl w:ilvl="0" w:tplc="95F2F99A">
      <w:numFmt w:val="bullet"/>
      <w:lvlText w:val="•"/>
      <w:lvlJc w:val="left"/>
      <w:pPr>
        <w:ind w:left="720" w:hanging="36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6DF50B2"/>
    <w:multiLevelType w:val="hybridMultilevel"/>
    <w:tmpl w:val="F948E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7EA542F"/>
    <w:multiLevelType w:val="hybridMultilevel"/>
    <w:tmpl w:val="9E629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A4537C6"/>
    <w:multiLevelType w:val="hybridMultilevel"/>
    <w:tmpl w:val="EDF0C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F5D167F"/>
    <w:multiLevelType w:val="hybridMultilevel"/>
    <w:tmpl w:val="51520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58E1890"/>
    <w:multiLevelType w:val="hybridMultilevel"/>
    <w:tmpl w:val="202474A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6915B84"/>
    <w:multiLevelType w:val="hybridMultilevel"/>
    <w:tmpl w:val="63D69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ABC4634"/>
    <w:multiLevelType w:val="hybridMultilevel"/>
    <w:tmpl w:val="05DC2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AE03C64"/>
    <w:multiLevelType w:val="hybridMultilevel"/>
    <w:tmpl w:val="093CA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5CF3208"/>
    <w:multiLevelType w:val="hybridMultilevel"/>
    <w:tmpl w:val="1CBA4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8B9049B"/>
    <w:multiLevelType w:val="hybridMultilevel"/>
    <w:tmpl w:val="AE766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90F6366"/>
    <w:multiLevelType w:val="hybridMultilevel"/>
    <w:tmpl w:val="F4A4D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C240A65"/>
    <w:multiLevelType w:val="hybridMultilevel"/>
    <w:tmpl w:val="CBCE5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34D5DE5"/>
    <w:multiLevelType w:val="hybridMultilevel"/>
    <w:tmpl w:val="ADC27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7E34829"/>
    <w:multiLevelType w:val="hybridMultilevel"/>
    <w:tmpl w:val="25D82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8182201"/>
    <w:multiLevelType w:val="hybridMultilevel"/>
    <w:tmpl w:val="6DE09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C067DEA"/>
    <w:multiLevelType w:val="hybridMultilevel"/>
    <w:tmpl w:val="A20AF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EBF63F5"/>
    <w:multiLevelType w:val="hybridMultilevel"/>
    <w:tmpl w:val="35626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B3622AE"/>
    <w:multiLevelType w:val="hybridMultilevel"/>
    <w:tmpl w:val="4334A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E5D7FEE"/>
    <w:multiLevelType w:val="hybridMultilevel"/>
    <w:tmpl w:val="29342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193446A"/>
    <w:multiLevelType w:val="hybridMultilevel"/>
    <w:tmpl w:val="AB78A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3176259"/>
    <w:multiLevelType w:val="hybridMultilevel"/>
    <w:tmpl w:val="7B7A7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3C1642B"/>
    <w:multiLevelType w:val="hybridMultilevel"/>
    <w:tmpl w:val="0CBA8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54E5B50"/>
    <w:multiLevelType w:val="hybridMultilevel"/>
    <w:tmpl w:val="C9905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AE72052"/>
    <w:multiLevelType w:val="hybridMultilevel"/>
    <w:tmpl w:val="24A659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5E791C3E"/>
    <w:multiLevelType w:val="hybridMultilevel"/>
    <w:tmpl w:val="68749B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2145A48"/>
    <w:multiLevelType w:val="hybridMultilevel"/>
    <w:tmpl w:val="7BE2F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99A0538"/>
    <w:multiLevelType w:val="hybridMultilevel"/>
    <w:tmpl w:val="E6E8E0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6C030C5A"/>
    <w:multiLevelType w:val="hybridMultilevel"/>
    <w:tmpl w:val="2CD43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1A34F0A"/>
    <w:multiLevelType w:val="hybridMultilevel"/>
    <w:tmpl w:val="F6A82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7E4486F"/>
    <w:multiLevelType w:val="hybridMultilevel"/>
    <w:tmpl w:val="13FE3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BB818A3"/>
    <w:multiLevelType w:val="hybridMultilevel"/>
    <w:tmpl w:val="BD7E1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C035856"/>
    <w:multiLevelType w:val="hybridMultilevel"/>
    <w:tmpl w:val="52781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DC5497B"/>
    <w:multiLevelType w:val="hybridMultilevel"/>
    <w:tmpl w:val="81F2B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EC22013"/>
    <w:multiLevelType w:val="hybridMultilevel"/>
    <w:tmpl w:val="412C9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F291598"/>
    <w:multiLevelType w:val="hybridMultilevel"/>
    <w:tmpl w:val="4A808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4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6"/>
  </w:num>
  <w:num w:numId="14">
    <w:abstractNumId w:val="29"/>
  </w:num>
  <w:num w:numId="15">
    <w:abstractNumId w:val="46"/>
  </w:num>
  <w:num w:numId="16">
    <w:abstractNumId w:val="49"/>
  </w:num>
  <w:num w:numId="17">
    <w:abstractNumId w:val="15"/>
  </w:num>
  <w:num w:numId="18">
    <w:abstractNumId w:val="16"/>
  </w:num>
  <w:num w:numId="19">
    <w:abstractNumId w:val="14"/>
  </w:num>
  <w:num w:numId="20">
    <w:abstractNumId w:val="19"/>
  </w:num>
  <w:num w:numId="21">
    <w:abstractNumId w:val="17"/>
  </w:num>
  <w:num w:numId="22">
    <w:abstractNumId w:val="45"/>
  </w:num>
  <w:num w:numId="23">
    <w:abstractNumId w:val="18"/>
  </w:num>
  <w:num w:numId="24">
    <w:abstractNumId w:val="47"/>
  </w:num>
  <w:num w:numId="25">
    <w:abstractNumId w:val="31"/>
  </w:num>
  <w:num w:numId="26">
    <w:abstractNumId w:val="27"/>
  </w:num>
  <w:num w:numId="27">
    <w:abstractNumId w:val="21"/>
  </w:num>
  <w:num w:numId="28">
    <w:abstractNumId w:val="32"/>
  </w:num>
  <w:num w:numId="29">
    <w:abstractNumId w:val="34"/>
  </w:num>
  <w:num w:numId="30">
    <w:abstractNumId w:val="39"/>
  </w:num>
  <w:num w:numId="31">
    <w:abstractNumId w:val="24"/>
  </w:num>
  <w:num w:numId="32">
    <w:abstractNumId w:val="11"/>
  </w:num>
  <w:num w:numId="33">
    <w:abstractNumId w:val="44"/>
  </w:num>
  <w:num w:numId="34">
    <w:abstractNumId w:val="38"/>
  </w:num>
  <w:num w:numId="35">
    <w:abstractNumId w:val="37"/>
  </w:num>
  <w:num w:numId="36">
    <w:abstractNumId w:val="23"/>
  </w:num>
  <w:num w:numId="37">
    <w:abstractNumId w:val="22"/>
  </w:num>
  <w:num w:numId="38">
    <w:abstractNumId w:val="33"/>
  </w:num>
  <w:num w:numId="39">
    <w:abstractNumId w:val="12"/>
  </w:num>
  <w:num w:numId="40">
    <w:abstractNumId w:val="20"/>
  </w:num>
  <w:num w:numId="41">
    <w:abstractNumId w:val="48"/>
  </w:num>
  <w:num w:numId="42">
    <w:abstractNumId w:val="43"/>
  </w:num>
  <w:num w:numId="43">
    <w:abstractNumId w:val="26"/>
  </w:num>
  <w:num w:numId="44">
    <w:abstractNumId w:val="25"/>
  </w:num>
  <w:num w:numId="45">
    <w:abstractNumId w:val="41"/>
  </w:num>
  <w:num w:numId="46">
    <w:abstractNumId w:val="30"/>
  </w:num>
  <w:num w:numId="47">
    <w:abstractNumId w:val="13"/>
  </w:num>
  <w:num w:numId="48">
    <w:abstractNumId w:val="10"/>
  </w:num>
  <w:num w:numId="49">
    <w:abstractNumId w:val="35"/>
  </w:num>
  <w:num w:numId="50">
    <w:abstractNumId w:val="4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54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B5"/>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56"/>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0FE"/>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E2E"/>
    <w:rsid w:val="00024FCC"/>
    <w:rsid w:val="000254D2"/>
    <w:rsid w:val="000255F6"/>
    <w:rsid w:val="000258C2"/>
    <w:rsid w:val="00025991"/>
    <w:rsid w:val="00025D95"/>
    <w:rsid w:val="00025DC1"/>
    <w:rsid w:val="00025DFC"/>
    <w:rsid w:val="00025ED6"/>
    <w:rsid w:val="000267F1"/>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917"/>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A8B"/>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848"/>
    <w:rsid w:val="00050B21"/>
    <w:rsid w:val="00050DB1"/>
    <w:rsid w:val="00050E48"/>
    <w:rsid w:val="00050E8E"/>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8CD"/>
    <w:rsid w:val="00094A50"/>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0F06"/>
    <w:rsid w:val="000A1146"/>
    <w:rsid w:val="000A12D9"/>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CC"/>
    <w:rsid w:val="000E5B33"/>
    <w:rsid w:val="000E5F6D"/>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4F7"/>
    <w:rsid w:val="000F1530"/>
    <w:rsid w:val="000F1551"/>
    <w:rsid w:val="000F158D"/>
    <w:rsid w:val="000F1BF6"/>
    <w:rsid w:val="000F1C1A"/>
    <w:rsid w:val="000F1E80"/>
    <w:rsid w:val="000F1FD1"/>
    <w:rsid w:val="000F2054"/>
    <w:rsid w:val="000F214D"/>
    <w:rsid w:val="000F2187"/>
    <w:rsid w:val="000F22AD"/>
    <w:rsid w:val="000F260A"/>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CF4"/>
    <w:rsid w:val="00185F37"/>
    <w:rsid w:val="00186263"/>
    <w:rsid w:val="001862DC"/>
    <w:rsid w:val="00186580"/>
    <w:rsid w:val="00186914"/>
    <w:rsid w:val="00186A49"/>
    <w:rsid w:val="00186AEE"/>
    <w:rsid w:val="00186CC6"/>
    <w:rsid w:val="00186F8C"/>
    <w:rsid w:val="001871DE"/>
    <w:rsid w:val="001873D0"/>
    <w:rsid w:val="00187569"/>
    <w:rsid w:val="00187BCA"/>
    <w:rsid w:val="00187CCE"/>
    <w:rsid w:val="00187F57"/>
    <w:rsid w:val="00187FFE"/>
    <w:rsid w:val="001905FE"/>
    <w:rsid w:val="001909DA"/>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4C"/>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1E09"/>
    <w:rsid w:val="001D1F2B"/>
    <w:rsid w:val="001D2016"/>
    <w:rsid w:val="001D22E9"/>
    <w:rsid w:val="001D23D9"/>
    <w:rsid w:val="001D253C"/>
    <w:rsid w:val="001D2754"/>
    <w:rsid w:val="001D28C5"/>
    <w:rsid w:val="001D2938"/>
    <w:rsid w:val="001D2BA2"/>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35"/>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F0"/>
    <w:rsid w:val="00200BE8"/>
    <w:rsid w:val="00200D66"/>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482"/>
    <w:rsid w:val="00212844"/>
    <w:rsid w:val="00212917"/>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A0"/>
    <w:rsid w:val="002264D8"/>
    <w:rsid w:val="00226513"/>
    <w:rsid w:val="002265A1"/>
    <w:rsid w:val="00226B7A"/>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9E7"/>
    <w:rsid w:val="00236D5C"/>
    <w:rsid w:val="00236E06"/>
    <w:rsid w:val="0023729D"/>
    <w:rsid w:val="002373FA"/>
    <w:rsid w:val="0023774E"/>
    <w:rsid w:val="00237877"/>
    <w:rsid w:val="0023797C"/>
    <w:rsid w:val="00237EAA"/>
    <w:rsid w:val="00240CFC"/>
    <w:rsid w:val="002410E4"/>
    <w:rsid w:val="002411AE"/>
    <w:rsid w:val="002412F2"/>
    <w:rsid w:val="0024161A"/>
    <w:rsid w:val="00241649"/>
    <w:rsid w:val="00241A9E"/>
    <w:rsid w:val="00241AA9"/>
    <w:rsid w:val="00241BB6"/>
    <w:rsid w:val="00241CDB"/>
    <w:rsid w:val="00241E34"/>
    <w:rsid w:val="00241F4E"/>
    <w:rsid w:val="00241F88"/>
    <w:rsid w:val="002421F5"/>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083"/>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4DAE"/>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B3C"/>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046"/>
    <w:rsid w:val="00301417"/>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160"/>
    <w:rsid w:val="0031036D"/>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2B8"/>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ACC"/>
    <w:rsid w:val="00330C28"/>
    <w:rsid w:val="00330C86"/>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2F7F"/>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A80"/>
    <w:rsid w:val="00352A9B"/>
    <w:rsid w:val="00352EE4"/>
    <w:rsid w:val="00353026"/>
    <w:rsid w:val="003532A1"/>
    <w:rsid w:val="00353533"/>
    <w:rsid w:val="003537CA"/>
    <w:rsid w:val="00353AAC"/>
    <w:rsid w:val="00353DBF"/>
    <w:rsid w:val="00353E62"/>
    <w:rsid w:val="00353F91"/>
    <w:rsid w:val="0035408C"/>
    <w:rsid w:val="003540E0"/>
    <w:rsid w:val="003541B3"/>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2B77"/>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6AE"/>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7F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B6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5BF"/>
    <w:rsid w:val="003B468E"/>
    <w:rsid w:val="003B4A57"/>
    <w:rsid w:val="003B4F72"/>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D9"/>
    <w:rsid w:val="003E0E7B"/>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04E"/>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AA"/>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BF7"/>
    <w:rsid w:val="00436C28"/>
    <w:rsid w:val="00436EEE"/>
    <w:rsid w:val="00436F49"/>
    <w:rsid w:val="004371F9"/>
    <w:rsid w:val="00437320"/>
    <w:rsid w:val="0043742B"/>
    <w:rsid w:val="004374F8"/>
    <w:rsid w:val="00437792"/>
    <w:rsid w:val="004378A8"/>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6082"/>
    <w:rsid w:val="00466112"/>
    <w:rsid w:val="00466837"/>
    <w:rsid w:val="00466BAD"/>
    <w:rsid w:val="00466E52"/>
    <w:rsid w:val="00466EED"/>
    <w:rsid w:val="00466FB4"/>
    <w:rsid w:val="00467091"/>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A4"/>
    <w:rsid w:val="00493379"/>
    <w:rsid w:val="00493498"/>
    <w:rsid w:val="004934EE"/>
    <w:rsid w:val="004935E9"/>
    <w:rsid w:val="004936C1"/>
    <w:rsid w:val="0049379E"/>
    <w:rsid w:val="004945E4"/>
    <w:rsid w:val="0049465C"/>
    <w:rsid w:val="00494772"/>
    <w:rsid w:val="00494862"/>
    <w:rsid w:val="004948E2"/>
    <w:rsid w:val="0049493B"/>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6A08"/>
    <w:rsid w:val="004D6B8C"/>
    <w:rsid w:val="004D6E39"/>
    <w:rsid w:val="004D6FA5"/>
    <w:rsid w:val="004D7363"/>
    <w:rsid w:val="004D73E3"/>
    <w:rsid w:val="004D774D"/>
    <w:rsid w:val="004D7973"/>
    <w:rsid w:val="004D7EFC"/>
    <w:rsid w:val="004D7F20"/>
    <w:rsid w:val="004E00FD"/>
    <w:rsid w:val="004E01B6"/>
    <w:rsid w:val="004E0244"/>
    <w:rsid w:val="004E03AB"/>
    <w:rsid w:val="004E0630"/>
    <w:rsid w:val="004E077D"/>
    <w:rsid w:val="004E07A8"/>
    <w:rsid w:val="004E07E4"/>
    <w:rsid w:val="004E09EF"/>
    <w:rsid w:val="004E0D02"/>
    <w:rsid w:val="004E135C"/>
    <w:rsid w:val="004E13B4"/>
    <w:rsid w:val="004E1437"/>
    <w:rsid w:val="004E1D7E"/>
    <w:rsid w:val="004E243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3BD"/>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212"/>
    <w:rsid w:val="005A046B"/>
    <w:rsid w:val="005A057E"/>
    <w:rsid w:val="005A05D8"/>
    <w:rsid w:val="005A07D3"/>
    <w:rsid w:val="005A089E"/>
    <w:rsid w:val="005A0B66"/>
    <w:rsid w:val="005A0C47"/>
    <w:rsid w:val="005A0CE0"/>
    <w:rsid w:val="005A0D24"/>
    <w:rsid w:val="005A0FA0"/>
    <w:rsid w:val="005A1045"/>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F94"/>
    <w:rsid w:val="005B02B1"/>
    <w:rsid w:val="005B02C8"/>
    <w:rsid w:val="005B0606"/>
    <w:rsid w:val="005B0886"/>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34"/>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E8B"/>
    <w:rsid w:val="005D10AE"/>
    <w:rsid w:val="005D1136"/>
    <w:rsid w:val="005D12BF"/>
    <w:rsid w:val="005D14A4"/>
    <w:rsid w:val="005D16B8"/>
    <w:rsid w:val="005D174A"/>
    <w:rsid w:val="005D188B"/>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F6B"/>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2F4"/>
    <w:rsid w:val="00601405"/>
    <w:rsid w:val="00601425"/>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B6A"/>
    <w:rsid w:val="00612C42"/>
    <w:rsid w:val="00612E0B"/>
    <w:rsid w:val="00612E20"/>
    <w:rsid w:val="00612E8C"/>
    <w:rsid w:val="00612F50"/>
    <w:rsid w:val="006130DE"/>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CB5"/>
    <w:rsid w:val="006161A1"/>
    <w:rsid w:val="00616432"/>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CDE"/>
    <w:rsid w:val="00624E04"/>
    <w:rsid w:val="00624F2F"/>
    <w:rsid w:val="00624F52"/>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7FE"/>
    <w:rsid w:val="006358C8"/>
    <w:rsid w:val="00635A4C"/>
    <w:rsid w:val="00635FA9"/>
    <w:rsid w:val="00635FB1"/>
    <w:rsid w:val="00635FD3"/>
    <w:rsid w:val="0063606C"/>
    <w:rsid w:val="006364DC"/>
    <w:rsid w:val="00636538"/>
    <w:rsid w:val="006368ED"/>
    <w:rsid w:val="006369A6"/>
    <w:rsid w:val="00636B42"/>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228E"/>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492C"/>
    <w:rsid w:val="0066530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88"/>
    <w:rsid w:val="00673009"/>
    <w:rsid w:val="006734C4"/>
    <w:rsid w:val="00673657"/>
    <w:rsid w:val="006737B3"/>
    <w:rsid w:val="00673E55"/>
    <w:rsid w:val="00673E6B"/>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B3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574"/>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9FF"/>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20A5"/>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613"/>
    <w:rsid w:val="007427AA"/>
    <w:rsid w:val="00742870"/>
    <w:rsid w:val="00742D5A"/>
    <w:rsid w:val="00742E35"/>
    <w:rsid w:val="0074315A"/>
    <w:rsid w:val="0074369F"/>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17"/>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DE2"/>
    <w:rsid w:val="00766260"/>
    <w:rsid w:val="007664F0"/>
    <w:rsid w:val="007666C8"/>
    <w:rsid w:val="00766995"/>
    <w:rsid w:val="00766A60"/>
    <w:rsid w:val="00766B29"/>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3F22"/>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5E2"/>
    <w:rsid w:val="007B25E6"/>
    <w:rsid w:val="007B2647"/>
    <w:rsid w:val="007B268F"/>
    <w:rsid w:val="007B26D9"/>
    <w:rsid w:val="007B2C9B"/>
    <w:rsid w:val="007B2F0C"/>
    <w:rsid w:val="007B3343"/>
    <w:rsid w:val="007B340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907"/>
    <w:rsid w:val="00801A7D"/>
    <w:rsid w:val="00801F66"/>
    <w:rsid w:val="008020AC"/>
    <w:rsid w:val="008021DF"/>
    <w:rsid w:val="00802AFE"/>
    <w:rsid w:val="00802C32"/>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2EB"/>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6C7"/>
    <w:rsid w:val="00831783"/>
    <w:rsid w:val="008317BF"/>
    <w:rsid w:val="008319AD"/>
    <w:rsid w:val="00831B85"/>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CCB"/>
    <w:rsid w:val="00841FB1"/>
    <w:rsid w:val="00842154"/>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F5"/>
    <w:rsid w:val="00846B61"/>
    <w:rsid w:val="00846BC5"/>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832"/>
    <w:rsid w:val="00851C7F"/>
    <w:rsid w:val="00851CB2"/>
    <w:rsid w:val="00851F82"/>
    <w:rsid w:val="00852164"/>
    <w:rsid w:val="00852232"/>
    <w:rsid w:val="00852241"/>
    <w:rsid w:val="008522A1"/>
    <w:rsid w:val="00852350"/>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B49"/>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295"/>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8A3"/>
    <w:rsid w:val="0088294D"/>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9DF"/>
    <w:rsid w:val="008C3BF4"/>
    <w:rsid w:val="008C3CB2"/>
    <w:rsid w:val="008C3DB2"/>
    <w:rsid w:val="008C42CE"/>
    <w:rsid w:val="008C43AA"/>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603"/>
    <w:rsid w:val="008C7B4B"/>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11A"/>
    <w:rsid w:val="008D4383"/>
    <w:rsid w:val="008D440E"/>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683"/>
    <w:rsid w:val="008E6864"/>
    <w:rsid w:val="008E68F3"/>
    <w:rsid w:val="008E6B26"/>
    <w:rsid w:val="008E6BD0"/>
    <w:rsid w:val="008E6CB5"/>
    <w:rsid w:val="008E6D21"/>
    <w:rsid w:val="008E6E91"/>
    <w:rsid w:val="008E6F2A"/>
    <w:rsid w:val="008E7798"/>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1AA"/>
    <w:rsid w:val="00906456"/>
    <w:rsid w:val="0090654E"/>
    <w:rsid w:val="009065A5"/>
    <w:rsid w:val="009066FA"/>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6C7"/>
    <w:rsid w:val="0095079A"/>
    <w:rsid w:val="009507B1"/>
    <w:rsid w:val="00950861"/>
    <w:rsid w:val="0095086C"/>
    <w:rsid w:val="00950CF3"/>
    <w:rsid w:val="00950ED0"/>
    <w:rsid w:val="009511C4"/>
    <w:rsid w:val="009513E5"/>
    <w:rsid w:val="00951428"/>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C6D"/>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AAD"/>
    <w:rsid w:val="00972B16"/>
    <w:rsid w:val="00973111"/>
    <w:rsid w:val="00973134"/>
    <w:rsid w:val="00973267"/>
    <w:rsid w:val="00973396"/>
    <w:rsid w:val="00973907"/>
    <w:rsid w:val="00973977"/>
    <w:rsid w:val="00973EC2"/>
    <w:rsid w:val="009741F4"/>
    <w:rsid w:val="0097436A"/>
    <w:rsid w:val="009746BA"/>
    <w:rsid w:val="009747A9"/>
    <w:rsid w:val="00974AD4"/>
    <w:rsid w:val="00975117"/>
    <w:rsid w:val="00975155"/>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D43"/>
    <w:rsid w:val="00982D80"/>
    <w:rsid w:val="00982E9C"/>
    <w:rsid w:val="0098322D"/>
    <w:rsid w:val="00983481"/>
    <w:rsid w:val="00983900"/>
    <w:rsid w:val="00983944"/>
    <w:rsid w:val="00984081"/>
    <w:rsid w:val="00984423"/>
    <w:rsid w:val="0098444C"/>
    <w:rsid w:val="00984B2D"/>
    <w:rsid w:val="00984B78"/>
    <w:rsid w:val="00984C6C"/>
    <w:rsid w:val="00984D36"/>
    <w:rsid w:val="00984E2A"/>
    <w:rsid w:val="009851F6"/>
    <w:rsid w:val="009852A3"/>
    <w:rsid w:val="009854B3"/>
    <w:rsid w:val="009854DC"/>
    <w:rsid w:val="0098567E"/>
    <w:rsid w:val="00985771"/>
    <w:rsid w:val="00985853"/>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116"/>
    <w:rsid w:val="009942B4"/>
    <w:rsid w:val="00994766"/>
    <w:rsid w:val="0099487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918"/>
    <w:rsid w:val="009A7B13"/>
    <w:rsid w:val="009A7CFF"/>
    <w:rsid w:val="009A7E19"/>
    <w:rsid w:val="009B0458"/>
    <w:rsid w:val="009B06DB"/>
    <w:rsid w:val="009B07A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0C2B"/>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918"/>
    <w:rsid w:val="00A12DB6"/>
    <w:rsid w:val="00A12FE9"/>
    <w:rsid w:val="00A1307F"/>
    <w:rsid w:val="00A133FD"/>
    <w:rsid w:val="00A1372A"/>
    <w:rsid w:val="00A13AF7"/>
    <w:rsid w:val="00A13B9A"/>
    <w:rsid w:val="00A13D4D"/>
    <w:rsid w:val="00A13F7B"/>
    <w:rsid w:val="00A13FC9"/>
    <w:rsid w:val="00A140BC"/>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1E2E"/>
    <w:rsid w:val="00A22458"/>
    <w:rsid w:val="00A2275E"/>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80C"/>
    <w:rsid w:val="00A419D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6DE8"/>
    <w:rsid w:val="00A475CA"/>
    <w:rsid w:val="00A4769E"/>
    <w:rsid w:val="00A47C91"/>
    <w:rsid w:val="00A47DA0"/>
    <w:rsid w:val="00A47DF9"/>
    <w:rsid w:val="00A47EC0"/>
    <w:rsid w:val="00A47F3C"/>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52A"/>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058"/>
    <w:rsid w:val="00AC23BE"/>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5A4"/>
    <w:rsid w:val="00AE6A2F"/>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5077"/>
    <w:rsid w:val="00AF559B"/>
    <w:rsid w:val="00AF56C6"/>
    <w:rsid w:val="00AF56E1"/>
    <w:rsid w:val="00AF58F1"/>
    <w:rsid w:val="00AF6052"/>
    <w:rsid w:val="00AF60A5"/>
    <w:rsid w:val="00AF6251"/>
    <w:rsid w:val="00AF63A5"/>
    <w:rsid w:val="00AF642B"/>
    <w:rsid w:val="00AF64B3"/>
    <w:rsid w:val="00AF6566"/>
    <w:rsid w:val="00AF6568"/>
    <w:rsid w:val="00AF66FA"/>
    <w:rsid w:val="00AF6712"/>
    <w:rsid w:val="00AF68A9"/>
    <w:rsid w:val="00AF700A"/>
    <w:rsid w:val="00AF7077"/>
    <w:rsid w:val="00AF7330"/>
    <w:rsid w:val="00AF7A6E"/>
    <w:rsid w:val="00AF7BC5"/>
    <w:rsid w:val="00B0000D"/>
    <w:rsid w:val="00B007A4"/>
    <w:rsid w:val="00B00805"/>
    <w:rsid w:val="00B00A16"/>
    <w:rsid w:val="00B00D1F"/>
    <w:rsid w:val="00B00D7C"/>
    <w:rsid w:val="00B01255"/>
    <w:rsid w:val="00B0141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34"/>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454"/>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D4A"/>
    <w:rsid w:val="00B7670E"/>
    <w:rsid w:val="00B768A5"/>
    <w:rsid w:val="00B7701D"/>
    <w:rsid w:val="00B77326"/>
    <w:rsid w:val="00B7747F"/>
    <w:rsid w:val="00B77579"/>
    <w:rsid w:val="00B7762D"/>
    <w:rsid w:val="00B777D0"/>
    <w:rsid w:val="00B778AF"/>
    <w:rsid w:val="00B77A54"/>
    <w:rsid w:val="00B77B98"/>
    <w:rsid w:val="00B77CAD"/>
    <w:rsid w:val="00B77E5D"/>
    <w:rsid w:val="00B77F04"/>
    <w:rsid w:val="00B77F9B"/>
    <w:rsid w:val="00B77FBC"/>
    <w:rsid w:val="00B803E7"/>
    <w:rsid w:val="00B80750"/>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80D"/>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A8B"/>
    <w:rsid w:val="00BB7C0F"/>
    <w:rsid w:val="00BB7C8D"/>
    <w:rsid w:val="00BB7CE6"/>
    <w:rsid w:val="00BC043D"/>
    <w:rsid w:val="00BC06BB"/>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E01"/>
    <w:rsid w:val="00BC514B"/>
    <w:rsid w:val="00BC5443"/>
    <w:rsid w:val="00BC558E"/>
    <w:rsid w:val="00BC5742"/>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6EB"/>
    <w:rsid w:val="00BD7C6B"/>
    <w:rsid w:val="00BD7D8B"/>
    <w:rsid w:val="00BD7EBF"/>
    <w:rsid w:val="00BD7F14"/>
    <w:rsid w:val="00BE0100"/>
    <w:rsid w:val="00BE027C"/>
    <w:rsid w:val="00BE06B4"/>
    <w:rsid w:val="00BE0903"/>
    <w:rsid w:val="00BE0D5C"/>
    <w:rsid w:val="00BE0F6A"/>
    <w:rsid w:val="00BE1061"/>
    <w:rsid w:val="00BE19DD"/>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42A"/>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17C82"/>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83"/>
    <w:rsid w:val="00C47FF9"/>
    <w:rsid w:val="00C500BD"/>
    <w:rsid w:val="00C5040B"/>
    <w:rsid w:val="00C50736"/>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0A2"/>
    <w:rsid w:val="00C7224A"/>
    <w:rsid w:val="00C72352"/>
    <w:rsid w:val="00C725BE"/>
    <w:rsid w:val="00C72991"/>
    <w:rsid w:val="00C72A02"/>
    <w:rsid w:val="00C72BB4"/>
    <w:rsid w:val="00C72C6C"/>
    <w:rsid w:val="00C72C70"/>
    <w:rsid w:val="00C73038"/>
    <w:rsid w:val="00C730EF"/>
    <w:rsid w:val="00C7330A"/>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63"/>
    <w:rsid w:val="00C772A8"/>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F5"/>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E6"/>
    <w:rsid w:val="00CC6EA7"/>
    <w:rsid w:val="00CC742C"/>
    <w:rsid w:val="00CC7616"/>
    <w:rsid w:val="00CC7D0E"/>
    <w:rsid w:val="00CC7DB9"/>
    <w:rsid w:val="00CC7E06"/>
    <w:rsid w:val="00CD011D"/>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4047"/>
    <w:rsid w:val="00CE4164"/>
    <w:rsid w:val="00CE4174"/>
    <w:rsid w:val="00CE43A4"/>
    <w:rsid w:val="00CE4518"/>
    <w:rsid w:val="00CE4C64"/>
    <w:rsid w:val="00CE4F41"/>
    <w:rsid w:val="00CE52C5"/>
    <w:rsid w:val="00CE5501"/>
    <w:rsid w:val="00CE5547"/>
    <w:rsid w:val="00CE5B83"/>
    <w:rsid w:val="00CE5B99"/>
    <w:rsid w:val="00CE5CAE"/>
    <w:rsid w:val="00CE60E9"/>
    <w:rsid w:val="00CE61DE"/>
    <w:rsid w:val="00CE6250"/>
    <w:rsid w:val="00CE65CE"/>
    <w:rsid w:val="00CE67A5"/>
    <w:rsid w:val="00CE6D52"/>
    <w:rsid w:val="00CE6FC8"/>
    <w:rsid w:val="00CE7118"/>
    <w:rsid w:val="00CE7548"/>
    <w:rsid w:val="00CE7615"/>
    <w:rsid w:val="00CE781A"/>
    <w:rsid w:val="00CE7C9C"/>
    <w:rsid w:val="00CE7DBE"/>
    <w:rsid w:val="00CE7F0F"/>
    <w:rsid w:val="00CF027E"/>
    <w:rsid w:val="00CF02E1"/>
    <w:rsid w:val="00CF02EC"/>
    <w:rsid w:val="00CF0586"/>
    <w:rsid w:val="00CF058D"/>
    <w:rsid w:val="00CF0730"/>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B2E"/>
    <w:rsid w:val="00D06597"/>
    <w:rsid w:val="00D0674E"/>
    <w:rsid w:val="00D067CC"/>
    <w:rsid w:val="00D071EA"/>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400"/>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A06"/>
    <w:rsid w:val="00D22EC9"/>
    <w:rsid w:val="00D22EFE"/>
    <w:rsid w:val="00D230AF"/>
    <w:rsid w:val="00D2325E"/>
    <w:rsid w:val="00D23305"/>
    <w:rsid w:val="00D234ED"/>
    <w:rsid w:val="00D23556"/>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60B"/>
    <w:rsid w:val="00D46692"/>
    <w:rsid w:val="00D467AE"/>
    <w:rsid w:val="00D467FD"/>
    <w:rsid w:val="00D468C9"/>
    <w:rsid w:val="00D469AD"/>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698"/>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82C"/>
    <w:rsid w:val="00DE0C66"/>
    <w:rsid w:val="00DE0C8E"/>
    <w:rsid w:val="00DE0E6C"/>
    <w:rsid w:val="00DE0EF7"/>
    <w:rsid w:val="00DE0F38"/>
    <w:rsid w:val="00DE10EE"/>
    <w:rsid w:val="00DE1188"/>
    <w:rsid w:val="00DE1395"/>
    <w:rsid w:val="00DE1500"/>
    <w:rsid w:val="00DE174E"/>
    <w:rsid w:val="00DE1A97"/>
    <w:rsid w:val="00DE1B36"/>
    <w:rsid w:val="00DE25FF"/>
    <w:rsid w:val="00DE261D"/>
    <w:rsid w:val="00DE2A35"/>
    <w:rsid w:val="00DE3104"/>
    <w:rsid w:val="00DE31B6"/>
    <w:rsid w:val="00DE35C8"/>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DF7D61"/>
    <w:rsid w:val="00E0044B"/>
    <w:rsid w:val="00E004DD"/>
    <w:rsid w:val="00E0082C"/>
    <w:rsid w:val="00E00859"/>
    <w:rsid w:val="00E00AFD"/>
    <w:rsid w:val="00E00E12"/>
    <w:rsid w:val="00E00F06"/>
    <w:rsid w:val="00E00FB3"/>
    <w:rsid w:val="00E01047"/>
    <w:rsid w:val="00E0106B"/>
    <w:rsid w:val="00E010BC"/>
    <w:rsid w:val="00E011F9"/>
    <w:rsid w:val="00E01217"/>
    <w:rsid w:val="00E01278"/>
    <w:rsid w:val="00E019C5"/>
    <w:rsid w:val="00E01EF0"/>
    <w:rsid w:val="00E02100"/>
    <w:rsid w:val="00E021D6"/>
    <w:rsid w:val="00E0265D"/>
    <w:rsid w:val="00E0292E"/>
    <w:rsid w:val="00E030C3"/>
    <w:rsid w:val="00E0331A"/>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7DD"/>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4A0"/>
    <w:rsid w:val="00E14758"/>
    <w:rsid w:val="00E14C5A"/>
    <w:rsid w:val="00E14CAD"/>
    <w:rsid w:val="00E14D42"/>
    <w:rsid w:val="00E150D0"/>
    <w:rsid w:val="00E151AE"/>
    <w:rsid w:val="00E15653"/>
    <w:rsid w:val="00E158AE"/>
    <w:rsid w:val="00E15D5B"/>
    <w:rsid w:val="00E15E79"/>
    <w:rsid w:val="00E16364"/>
    <w:rsid w:val="00E164FC"/>
    <w:rsid w:val="00E1676B"/>
    <w:rsid w:val="00E16864"/>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B2"/>
    <w:rsid w:val="00E8067F"/>
    <w:rsid w:val="00E80719"/>
    <w:rsid w:val="00E80739"/>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D9D"/>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851"/>
    <w:rsid w:val="00EB2D7A"/>
    <w:rsid w:val="00EB3348"/>
    <w:rsid w:val="00EB3756"/>
    <w:rsid w:val="00EB3803"/>
    <w:rsid w:val="00EB3B07"/>
    <w:rsid w:val="00EB3B0E"/>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9D0"/>
    <w:rsid w:val="00EF62CE"/>
    <w:rsid w:val="00EF6B15"/>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0FA3"/>
    <w:rsid w:val="00F31053"/>
    <w:rsid w:val="00F3146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E13"/>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870"/>
    <w:rsid w:val="00F9691C"/>
    <w:rsid w:val="00F96D1C"/>
    <w:rsid w:val="00F96EFD"/>
    <w:rsid w:val="00F97183"/>
    <w:rsid w:val="00F97235"/>
    <w:rsid w:val="00F976AD"/>
    <w:rsid w:val="00F97C5F"/>
    <w:rsid w:val="00F97D61"/>
    <w:rsid w:val="00F97D70"/>
    <w:rsid w:val="00FA0C54"/>
    <w:rsid w:val="00FA0CB1"/>
    <w:rsid w:val="00FA0D21"/>
    <w:rsid w:val="00FA0E88"/>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315"/>
    <w:rsid w:val="00FD132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8A4"/>
    <w:rsid w:val="00FE4A0A"/>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381"/>
    <w:rsid w:val="00FF743E"/>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4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377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377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248469544">
                  <w:marLeft w:val="0"/>
                  <w:marRight w:val="0"/>
                  <w:marTop w:val="0"/>
                  <w:marBottom w:val="0"/>
                  <w:divBdr>
                    <w:top w:val="none" w:sz="0" w:space="0" w:color="auto"/>
                    <w:left w:val="none" w:sz="0" w:space="0" w:color="auto"/>
                    <w:bottom w:val="none" w:sz="0" w:space="0" w:color="auto"/>
                    <w:right w:val="none" w:sz="0" w:space="0" w:color="auto"/>
                  </w:divBdr>
                </w:div>
                <w:div w:id="97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1474560435">
                  <w:marLeft w:val="0"/>
                  <w:marRight w:val="0"/>
                  <w:marTop w:val="0"/>
                  <w:marBottom w:val="0"/>
                  <w:divBdr>
                    <w:top w:val="none" w:sz="0" w:space="0" w:color="auto"/>
                    <w:left w:val="none" w:sz="0" w:space="0" w:color="auto"/>
                    <w:bottom w:val="none" w:sz="0" w:space="0" w:color="auto"/>
                    <w:right w:val="none" w:sz="0" w:space="0" w:color="auto"/>
                  </w:divBdr>
                </w:div>
                <w:div w:id="838620169">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83389515">
          <w:marLeft w:val="0"/>
          <w:marRight w:val="0"/>
          <w:marTop w:val="0"/>
          <w:marBottom w:val="120"/>
          <w:divBdr>
            <w:top w:val="none" w:sz="0" w:space="0" w:color="auto"/>
            <w:left w:val="none" w:sz="0" w:space="0" w:color="auto"/>
            <w:bottom w:val="none" w:sz="0" w:space="0" w:color="auto"/>
            <w:right w:val="none" w:sz="0" w:space="0" w:color="auto"/>
          </w:divBdr>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www.dc.nihr.ac.uk/themed-reviews/research-on-ward-staffing.htm" TargetMode="External"/><Relationship Id="rId26" Type="http://schemas.openxmlformats.org/officeDocument/2006/relationships/hyperlink" Target="https://www.safetyandquality.gov.au/our-work/patient-and-consumer-centred-care/" TargetMode="External"/><Relationship Id="rId3" Type="http://schemas.openxmlformats.org/officeDocument/2006/relationships/styles" Target="styles.xml"/><Relationship Id="rId21" Type="http://schemas.openxmlformats.org/officeDocument/2006/relationships/hyperlink" Target="http://doi.org/10.1097/CCM.0000000000003633"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www.tga.gov.au/publication/action-plan-medical-devices" TargetMode="External"/><Relationship Id="rId25" Type="http://schemas.openxmlformats.org/officeDocument/2006/relationships/hyperlink" Target="https://www.safetyandquality.gov.au/our-work/indicators/patient-reported-outcome-measures/" TargetMode="External"/><Relationship Id="rId33" Type="http://schemas.openxmlformats.org/officeDocument/2006/relationships/hyperlink" Target="https://www.nice.org.uk/guidance/ng124" TargetMode="External"/><Relationship Id="rId2" Type="http://schemas.openxmlformats.org/officeDocument/2006/relationships/numbering" Target="numbering.xml"/><Relationship Id="rId16" Type="http://schemas.openxmlformats.org/officeDocument/2006/relationships/hyperlink" Target="https://doi.org/10.17226/25278" TargetMode="External"/><Relationship Id="rId20" Type="http://schemas.openxmlformats.org/officeDocument/2006/relationships/hyperlink" Target="http://doi.org/10.14740/jocmr3603w" TargetMode="External"/><Relationship Id="rId29" Type="http://schemas.openxmlformats.org/officeDocument/2006/relationships/hyperlink" Target="https://qualitysafety.bmj.com/content/early/rec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doi.org/10.1097/PTS.0000000000000581" TargetMode="External"/><Relationship Id="rId32" Type="http://schemas.openxmlformats.org/officeDocument/2006/relationships/hyperlink" Target="https://www.nice.org.uk/guidance/ng123"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www.safetyandquality.gov.au/our-work/medication-safety/" TargetMode="External"/><Relationship Id="rId28" Type="http://schemas.openxmlformats.org/officeDocument/2006/relationships/hyperlink" Target="https://www.mja.com.au/journal/2019/210/6/supplement" TargetMode="External"/><Relationship Id="rId36" Type="http://schemas.openxmlformats.org/officeDocument/2006/relationships/fontTable" Target="fontTable.xm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s://doi.org/10.3310/themedreview-03553" TargetMode="External"/><Relationship Id="rId31" Type="http://schemas.openxmlformats.org/officeDocument/2006/relationships/hyperlink" Target="https://www.nice.org.uk/guidance"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s://www.safetyandquality.gov.au/our-work/clinical-communications/clinical-handover/" TargetMode="External"/><Relationship Id="rId27" Type="http://schemas.openxmlformats.org/officeDocument/2006/relationships/hyperlink" Target="http://www.publish.csiro.au/ah/issue/9363" TargetMode="External"/><Relationship Id="rId30" Type="http://schemas.openxmlformats.org/officeDocument/2006/relationships/hyperlink" Target="http://vifmcommuniques.org/clinical-communique-volume-6-issue-1-march-2019/"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0423A-516D-46F5-A12E-03457938D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7</Pages>
  <Words>3047</Words>
  <Characters>17374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20381</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17</cp:revision>
  <cp:lastPrinted>2018-03-02T02:34:00Z</cp:lastPrinted>
  <dcterms:created xsi:type="dcterms:W3CDTF">2019-03-31T20:44:00Z</dcterms:created>
  <dcterms:modified xsi:type="dcterms:W3CDTF">2019-04-05T01:06:00Z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