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E3" w:rsidRDefault="00DB5990" w:rsidP="009424A5">
      <w:pPr>
        <w:pStyle w:val="Heading1"/>
      </w:pPr>
      <w:bookmarkStart w:id="0" w:name="_Toc476822633"/>
      <w:bookmarkStart w:id="1" w:name="_Toc476822654"/>
      <w:bookmarkStart w:id="2" w:name="_Toc476822854"/>
      <w:bookmarkStart w:id="3" w:name="_Toc476823158"/>
      <w:bookmarkStart w:id="4" w:name="_Toc476823667"/>
      <w:bookmarkStart w:id="5" w:name="_GoBack"/>
      <w:bookmarkEnd w:id="5"/>
      <w:r>
        <w:t xml:space="preserve">Position statement on paediatric prescribing </w:t>
      </w:r>
      <w:bookmarkEnd w:id="0"/>
      <w:bookmarkEnd w:id="1"/>
      <w:bookmarkEnd w:id="2"/>
      <w:bookmarkEnd w:id="3"/>
      <w:bookmarkEnd w:id="4"/>
    </w:p>
    <w:p w:rsidR="00A53246" w:rsidRPr="00A53246" w:rsidRDefault="00A53246" w:rsidP="006123F1">
      <w:r w:rsidRPr="00A53246">
        <w:rPr>
          <w:lang w:val="en-US"/>
        </w:rPr>
        <w:t xml:space="preserve">The </w:t>
      </w:r>
      <w:r w:rsidRPr="00A53246">
        <w:t xml:space="preserve">Australian Commission on Safety and Quality in Health Care (the Commission) recommends that authorised prescribers clearly specify the following information on </w:t>
      </w:r>
      <w:r w:rsidRPr="00A53246">
        <w:rPr>
          <w:b/>
        </w:rPr>
        <w:t>all</w:t>
      </w:r>
      <w:r w:rsidRPr="00A53246">
        <w:t xml:space="preserve"> prescriptions for children:</w:t>
      </w:r>
    </w:p>
    <w:p w:rsidR="00A53246" w:rsidRPr="00A53246" w:rsidRDefault="00A53246" w:rsidP="006123F1">
      <w:pPr>
        <w:numPr>
          <w:ilvl w:val="0"/>
          <w:numId w:val="25"/>
        </w:numPr>
        <w:spacing w:after="0"/>
        <w:rPr>
          <w:b/>
          <w:lang w:val="en-US"/>
        </w:rPr>
      </w:pPr>
      <w:r w:rsidRPr="00A53246">
        <w:rPr>
          <w:b/>
          <w:lang w:val="en-US"/>
        </w:rPr>
        <w:t xml:space="preserve">Age and/or date of birth </w:t>
      </w:r>
    </w:p>
    <w:p w:rsidR="00A53246" w:rsidRPr="00A53246" w:rsidRDefault="00A53246" w:rsidP="006123F1">
      <w:pPr>
        <w:numPr>
          <w:ilvl w:val="0"/>
          <w:numId w:val="25"/>
        </w:numPr>
        <w:spacing w:after="0"/>
        <w:rPr>
          <w:lang w:val="en-US"/>
        </w:rPr>
      </w:pPr>
      <w:r w:rsidRPr="00A53246">
        <w:rPr>
          <w:b/>
          <w:lang w:val="en-US"/>
        </w:rPr>
        <w:t>Current body weight</w:t>
      </w:r>
      <w:r w:rsidRPr="00A53246">
        <w:rPr>
          <w:lang w:val="en-US"/>
        </w:rPr>
        <w:t xml:space="preserve"> </w:t>
      </w:r>
    </w:p>
    <w:p w:rsidR="00A53246" w:rsidRPr="00A53246" w:rsidRDefault="00A53246" w:rsidP="006123F1">
      <w:pPr>
        <w:numPr>
          <w:ilvl w:val="0"/>
          <w:numId w:val="25"/>
        </w:numPr>
        <w:spacing w:after="0"/>
        <w:rPr>
          <w:lang w:val="en-US"/>
        </w:rPr>
      </w:pPr>
      <w:r w:rsidRPr="00A53246">
        <w:rPr>
          <w:b/>
          <w:lang w:val="en-US"/>
        </w:rPr>
        <w:t>Basis for the dose calculation</w:t>
      </w:r>
      <w:r w:rsidRPr="00A53246">
        <w:rPr>
          <w:lang w:val="en-US"/>
        </w:rPr>
        <w:t xml:space="preserve"> </w:t>
      </w:r>
      <w:r w:rsidR="008D7EC9">
        <w:rPr>
          <w:lang w:val="en-US"/>
        </w:rPr>
        <w:t>such as</w:t>
      </w:r>
      <w:r w:rsidRPr="00A53246">
        <w:rPr>
          <w:lang w:val="en-US"/>
        </w:rPr>
        <w:t>, mg/kg, if appropriate</w:t>
      </w:r>
    </w:p>
    <w:p w:rsidR="006123F1" w:rsidRPr="006123F1" w:rsidRDefault="00A53246" w:rsidP="006123F1">
      <w:pPr>
        <w:numPr>
          <w:ilvl w:val="0"/>
          <w:numId w:val="25"/>
        </w:numPr>
        <w:rPr>
          <w:lang w:val="en-US"/>
        </w:rPr>
      </w:pPr>
      <w:r>
        <w:rPr>
          <w:b/>
          <w:lang w:val="en-US"/>
        </w:rPr>
        <w:t>D</w:t>
      </w:r>
      <w:r w:rsidRPr="00A53246">
        <w:rPr>
          <w:b/>
          <w:lang w:val="en-US"/>
        </w:rPr>
        <w:t>ose</w:t>
      </w:r>
      <w:r w:rsidR="00EE476F">
        <w:rPr>
          <w:lang w:val="en-US"/>
        </w:rPr>
        <w:t xml:space="preserve"> in units of mass – </w:t>
      </w:r>
      <w:r w:rsidRPr="00A53246">
        <w:rPr>
          <w:lang w:val="en-US"/>
        </w:rPr>
        <w:t>for example, 150 mg p</w:t>
      </w:r>
      <w:r w:rsidR="008D7EC9">
        <w:rPr>
          <w:lang w:val="en-US"/>
        </w:rPr>
        <w:t>er dose, given four times a day</w:t>
      </w:r>
      <w:r w:rsidRPr="00A53246">
        <w:rPr>
          <w:lang w:val="en-US"/>
        </w:rPr>
        <w:t>.</w:t>
      </w:r>
      <w:r w:rsidRPr="00A53246">
        <w:rPr>
          <w:vertAlign w:val="superscript"/>
          <w:lang w:val="en-US"/>
        </w:rPr>
        <w:t xml:space="preserve"> </w:t>
      </w:r>
      <w:bookmarkStart w:id="6" w:name="_Toc476822634"/>
      <w:bookmarkStart w:id="7" w:name="_Toc476822655"/>
      <w:bookmarkStart w:id="8" w:name="_Toc476822855"/>
      <w:bookmarkStart w:id="9" w:name="_Toc476823159"/>
      <w:bookmarkStart w:id="10" w:name="_Toc476823668"/>
    </w:p>
    <w:p w:rsidR="000D4965" w:rsidRDefault="00BC114A" w:rsidP="006123F1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Clinicians</w:t>
      </w:r>
      <w:r w:rsidR="00E37C38">
        <w:rPr>
          <w:rFonts w:ascii="Arial" w:hAnsi="Arial" w:cs="Arial"/>
          <w:lang w:val="en-US"/>
        </w:rPr>
        <w:t xml:space="preserve"> should </w:t>
      </w:r>
      <w:r w:rsidR="00694EA4">
        <w:rPr>
          <w:rFonts w:ascii="Arial" w:hAnsi="Arial" w:cs="Arial"/>
          <w:lang w:val="en-US"/>
        </w:rPr>
        <w:t>review</w:t>
      </w:r>
      <w:r w:rsidR="00E37C38">
        <w:rPr>
          <w:rFonts w:ascii="Arial" w:hAnsi="Arial" w:cs="Arial"/>
          <w:lang w:val="en-US"/>
        </w:rPr>
        <w:t xml:space="preserve"> this information when prescribing, dispensing</w:t>
      </w:r>
      <w:r w:rsidR="000D4965">
        <w:rPr>
          <w:rFonts w:ascii="Arial" w:hAnsi="Arial" w:cs="Arial"/>
          <w:lang w:val="en-US"/>
        </w:rPr>
        <w:t xml:space="preserve"> and administer</w:t>
      </w:r>
      <w:r w:rsidR="00E37C38">
        <w:rPr>
          <w:rFonts w:ascii="Arial" w:hAnsi="Arial" w:cs="Arial"/>
          <w:lang w:val="en-US"/>
        </w:rPr>
        <w:t>ing</w:t>
      </w:r>
      <w:r w:rsidR="000D4965">
        <w:rPr>
          <w:rFonts w:ascii="Arial" w:hAnsi="Arial" w:cs="Arial"/>
          <w:lang w:val="en-US"/>
        </w:rPr>
        <w:t xml:space="preserve"> medicines to children</w:t>
      </w:r>
      <w:r w:rsidR="00E37C38">
        <w:rPr>
          <w:rFonts w:ascii="Arial" w:hAnsi="Arial" w:cs="Arial"/>
          <w:lang w:val="en-US"/>
        </w:rPr>
        <w:t>, and</w:t>
      </w:r>
      <w:r w:rsidR="000D4965">
        <w:rPr>
          <w:rFonts w:ascii="Arial" w:hAnsi="Arial" w:cs="Arial"/>
          <w:lang w:val="en-US"/>
        </w:rPr>
        <w:t xml:space="preserve"> also:</w:t>
      </w:r>
    </w:p>
    <w:p w:rsidR="000D4965" w:rsidRDefault="000D4965" w:rsidP="006123F1">
      <w:pPr>
        <w:numPr>
          <w:ilvl w:val="0"/>
          <w:numId w:val="25"/>
        </w:numPr>
        <w:spacing w:after="0"/>
        <w:rPr>
          <w:rFonts w:ascii="Arial" w:hAnsi="Arial" w:cs="Arial"/>
        </w:rPr>
      </w:pPr>
      <w:r w:rsidRPr="00377538">
        <w:rPr>
          <w:rFonts w:ascii="Arial" w:hAnsi="Arial" w:cs="Arial"/>
          <w:b/>
        </w:rPr>
        <w:t>Check</w:t>
      </w:r>
      <w:r w:rsidRPr="00810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81002D">
        <w:rPr>
          <w:rFonts w:ascii="Arial" w:hAnsi="Arial" w:cs="Arial"/>
        </w:rPr>
        <w:t>appropriateness of the</w:t>
      </w:r>
      <w:r>
        <w:rPr>
          <w:rFonts w:ascii="Arial" w:hAnsi="Arial" w:cs="Arial"/>
        </w:rPr>
        <w:t xml:space="preserve"> prescribed dose</w:t>
      </w:r>
    </w:p>
    <w:p w:rsidR="000D4965" w:rsidRPr="0081002D" w:rsidRDefault="000D4965" w:rsidP="006123F1">
      <w:pPr>
        <w:numPr>
          <w:ilvl w:val="0"/>
          <w:numId w:val="25"/>
        </w:numPr>
        <w:spacing w:after="0"/>
        <w:rPr>
          <w:rFonts w:ascii="Arial" w:hAnsi="Arial" w:cs="Arial"/>
        </w:rPr>
      </w:pPr>
      <w:r w:rsidRPr="00377538">
        <w:rPr>
          <w:rFonts w:ascii="Arial" w:hAnsi="Arial" w:cs="Arial"/>
          <w:b/>
        </w:rPr>
        <w:t>Verify</w:t>
      </w:r>
      <w:r>
        <w:rPr>
          <w:rFonts w:ascii="Arial" w:hAnsi="Arial" w:cs="Arial"/>
        </w:rPr>
        <w:t xml:space="preserve"> </w:t>
      </w:r>
      <w:r w:rsidRPr="0081002D">
        <w:rPr>
          <w:rFonts w:ascii="Arial" w:hAnsi="Arial" w:cs="Arial"/>
        </w:rPr>
        <w:t xml:space="preserve">all dose calculations </w:t>
      </w:r>
      <w:r w:rsidR="00F06BC7">
        <w:rPr>
          <w:rFonts w:ascii="Arial" w:hAnsi="Arial" w:cs="Arial"/>
        </w:rPr>
        <w:t>(</w:t>
      </w:r>
      <w:r w:rsidRPr="0081002D">
        <w:rPr>
          <w:rFonts w:ascii="Arial" w:hAnsi="Arial" w:cs="Arial"/>
        </w:rPr>
        <w:t>using a calculator</w:t>
      </w:r>
      <w:r w:rsidR="00D56B91">
        <w:rPr>
          <w:rFonts w:ascii="Arial" w:hAnsi="Arial" w:cs="Arial"/>
        </w:rPr>
        <w:t>)</w:t>
      </w:r>
      <w:r w:rsidR="00F06BC7">
        <w:rPr>
          <w:rFonts w:ascii="Arial" w:hAnsi="Arial" w:cs="Arial"/>
        </w:rPr>
        <w:t xml:space="preserve"> and the specified dose</w:t>
      </w:r>
      <w:r w:rsidRPr="0081002D">
        <w:rPr>
          <w:rFonts w:ascii="Arial" w:hAnsi="Arial" w:cs="Arial"/>
        </w:rPr>
        <w:t xml:space="preserve"> </w:t>
      </w:r>
    </w:p>
    <w:p w:rsidR="000D4965" w:rsidRPr="007761D8" w:rsidRDefault="000D4965" w:rsidP="006123F1">
      <w:pPr>
        <w:numPr>
          <w:ilvl w:val="0"/>
          <w:numId w:val="25"/>
        </w:numPr>
        <w:spacing w:after="0"/>
        <w:rPr>
          <w:rFonts w:ascii="Arial" w:hAnsi="Arial"/>
        </w:rPr>
      </w:pPr>
      <w:r w:rsidRPr="00377538">
        <w:rPr>
          <w:rFonts w:ascii="Arial" w:hAnsi="Arial" w:cs="Arial"/>
          <w:b/>
          <w:lang w:val="en-US"/>
        </w:rPr>
        <w:t>Discuss and clarify</w:t>
      </w:r>
      <w:r>
        <w:rPr>
          <w:rFonts w:ascii="Arial" w:hAnsi="Arial" w:cs="Arial"/>
          <w:lang w:val="en-US"/>
        </w:rPr>
        <w:t xml:space="preserve"> with parents and </w:t>
      </w:r>
      <w:proofErr w:type="spellStart"/>
      <w:r>
        <w:rPr>
          <w:rFonts w:ascii="Arial" w:hAnsi="Arial" w:cs="Arial"/>
          <w:lang w:val="en-US"/>
        </w:rPr>
        <w:t>carers</w:t>
      </w:r>
      <w:proofErr w:type="spellEnd"/>
      <w:r>
        <w:rPr>
          <w:rFonts w:ascii="Arial" w:hAnsi="Arial" w:cs="Arial"/>
          <w:lang w:val="en-US"/>
        </w:rPr>
        <w:t xml:space="preserve"> the reason for the medicine’s use, the correct dose and instructions for administration, and demonstrate how to measure and administer the dose,</w:t>
      </w:r>
      <w:r w:rsidRPr="00E6086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if required</w:t>
      </w:r>
      <w:r>
        <w:rPr>
          <w:rFonts w:ascii="Arial" w:hAnsi="Arial"/>
          <w:lang w:val="en-US"/>
        </w:rPr>
        <w:t>.</w:t>
      </w:r>
    </w:p>
    <w:p w:rsidR="00CB733F" w:rsidRPr="00E02518" w:rsidRDefault="007761D8" w:rsidP="009F3B54">
      <w:pPr>
        <w:pStyle w:val="Heading2"/>
        <w:rPr>
          <w:sz w:val="26"/>
          <w:szCs w:val="26"/>
        </w:rPr>
      </w:pPr>
      <w:r w:rsidRPr="00E02518">
        <w:rPr>
          <w:sz w:val="26"/>
          <w:szCs w:val="26"/>
        </w:rPr>
        <w:t>Notes</w:t>
      </w:r>
      <w:bookmarkEnd w:id="6"/>
      <w:bookmarkEnd w:id="7"/>
      <w:bookmarkEnd w:id="8"/>
      <w:bookmarkEnd w:id="9"/>
      <w:bookmarkEnd w:id="10"/>
    </w:p>
    <w:p w:rsidR="008B38D3" w:rsidRPr="002D6005" w:rsidRDefault="008B38D3" w:rsidP="009F3B54">
      <w:pPr>
        <w:spacing w:after="120"/>
        <w:rPr>
          <w:rFonts w:ascii="Arial" w:hAnsi="Arial" w:cs="Arial"/>
        </w:rPr>
      </w:pPr>
      <w:bookmarkStart w:id="11" w:name="_Toc476822635"/>
      <w:bookmarkStart w:id="12" w:name="_Toc476822656"/>
      <w:bookmarkStart w:id="13" w:name="_Toc476822856"/>
      <w:bookmarkStart w:id="14" w:name="_Toc476823669"/>
      <w:r w:rsidRPr="002D6005">
        <w:rPr>
          <w:rFonts w:ascii="Arial" w:hAnsi="Arial" w:cs="Arial"/>
        </w:rPr>
        <w:t xml:space="preserve">These recommendations are </w:t>
      </w:r>
      <w:r w:rsidRPr="00B743C2">
        <w:rPr>
          <w:rFonts w:ascii="Arial" w:hAnsi="Arial" w:cs="Arial"/>
          <w:b/>
        </w:rPr>
        <w:t>not exhaustive</w:t>
      </w:r>
      <w:r>
        <w:rPr>
          <w:rFonts w:ascii="Arial" w:hAnsi="Arial" w:cs="Arial"/>
        </w:rPr>
        <w:t>.</w:t>
      </w:r>
      <w:r w:rsidRPr="002D6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2D6005">
        <w:rPr>
          <w:rFonts w:ascii="Arial" w:hAnsi="Arial" w:cs="Arial"/>
        </w:rPr>
        <w:t>se appropriate paediatric reference texts and guidelines for more detailed information on optimising paediatric prescribing, especially when dealing with special patient cohorts</w:t>
      </w:r>
      <w:r>
        <w:rPr>
          <w:rFonts w:ascii="Arial" w:hAnsi="Arial" w:cs="Arial"/>
        </w:rPr>
        <w:t xml:space="preserve"> such as those with renal or hepatic </w:t>
      </w:r>
      <w:r w:rsidR="001A502E">
        <w:rPr>
          <w:rFonts w:ascii="Arial" w:hAnsi="Arial" w:cs="Arial"/>
        </w:rPr>
        <w:t>impairment</w:t>
      </w:r>
      <w:r>
        <w:rPr>
          <w:rFonts w:ascii="Arial" w:hAnsi="Arial" w:cs="Arial"/>
        </w:rPr>
        <w:t>.</w:t>
      </w:r>
    </w:p>
    <w:p w:rsidR="008B38D3" w:rsidRPr="002D6005" w:rsidRDefault="00FC6E0E" w:rsidP="009F3B5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Dosing in </w:t>
      </w:r>
      <w:r w:rsidRPr="00B743C2">
        <w:rPr>
          <w:rFonts w:ascii="Arial" w:hAnsi="Arial" w:cs="Arial"/>
          <w:b/>
        </w:rPr>
        <w:t>obese</w:t>
      </w:r>
      <w:r w:rsidR="0076199C">
        <w:rPr>
          <w:rFonts w:ascii="Arial" w:hAnsi="Arial" w:cs="Arial"/>
          <w:b/>
        </w:rPr>
        <w:t xml:space="preserve"> </w:t>
      </w:r>
      <w:r w:rsidR="001E6FC6">
        <w:rPr>
          <w:rFonts w:ascii="Arial" w:hAnsi="Arial" w:cs="Arial"/>
          <w:b/>
        </w:rPr>
        <w:t xml:space="preserve">or </w:t>
      </w:r>
      <w:r w:rsidR="0076199C">
        <w:rPr>
          <w:rFonts w:ascii="Arial" w:hAnsi="Arial" w:cs="Arial"/>
          <w:b/>
        </w:rPr>
        <w:t>overweight</w:t>
      </w:r>
      <w:r w:rsidRPr="00B743C2">
        <w:rPr>
          <w:rFonts w:ascii="Arial" w:hAnsi="Arial" w:cs="Arial"/>
          <w:b/>
        </w:rPr>
        <w:t xml:space="preserve"> children</w:t>
      </w:r>
      <w:r w:rsidR="00F8678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Dose calculations using ‘</w:t>
      </w:r>
      <w:r w:rsidR="005E1EA2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body weight’ may result in overdosing for some medicines. Refer </w:t>
      </w:r>
      <w:r w:rsidR="005E1EA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paediatric reference texts and guidelines</w:t>
      </w:r>
      <w:r w:rsidR="005E1EA2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advice</w:t>
      </w:r>
      <w:r w:rsidR="005E1EA2">
        <w:rPr>
          <w:rFonts w:ascii="Arial" w:hAnsi="Arial" w:cs="Arial"/>
        </w:rPr>
        <w:t xml:space="preserve"> on individual medicines</w:t>
      </w:r>
      <w:r>
        <w:rPr>
          <w:rFonts w:ascii="Arial" w:hAnsi="Arial" w:cs="Arial"/>
        </w:rPr>
        <w:t xml:space="preserve">. </w:t>
      </w:r>
    </w:p>
    <w:p w:rsidR="008B38D3" w:rsidRDefault="00102776" w:rsidP="009F3B5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B743C2">
        <w:rPr>
          <w:rFonts w:ascii="Arial" w:hAnsi="Arial" w:cs="Arial"/>
          <w:b/>
        </w:rPr>
        <w:t>older paediatric patients</w:t>
      </w:r>
      <w:r>
        <w:rPr>
          <w:rFonts w:ascii="Arial" w:hAnsi="Arial" w:cs="Arial"/>
        </w:rPr>
        <w:t xml:space="preserve">, </w:t>
      </w:r>
      <w:r w:rsidR="00DE729E">
        <w:rPr>
          <w:rFonts w:ascii="Arial" w:hAnsi="Arial" w:cs="Arial"/>
        </w:rPr>
        <w:t xml:space="preserve">or those over 40 to </w:t>
      </w:r>
      <w:r w:rsidR="008B38D3" w:rsidRPr="002D6005">
        <w:rPr>
          <w:rFonts w:ascii="Arial" w:hAnsi="Arial" w:cs="Arial"/>
        </w:rPr>
        <w:t>50 kg, ensure that the upper dose limits for adults are not exceeded</w:t>
      </w:r>
      <w:r w:rsidR="008B38D3">
        <w:rPr>
          <w:rFonts w:ascii="Arial" w:hAnsi="Arial" w:cs="Arial"/>
        </w:rPr>
        <w:t>.</w:t>
      </w:r>
      <w:r w:rsidR="008B38D3" w:rsidRPr="002D6005">
        <w:rPr>
          <w:rFonts w:ascii="Arial" w:hAnsi="Arial" w:cs="Arial"/>
        </w:rPr>
        <w:t xml:space="preserve"> </w:t>
      </w:r>
    </w:p>
    <w:p w:rsidR="00BC114A" w:rsidRPr="002D6005" w:rsidRDefault="00BC114A" w:rsidP="009F3B54">
      <w:pPr>
        <w:spacing w:after="120"/>
        <w:rPr>
          <w:rFonts w:ascii="Arial" w:hAnsi="Arial" w:cs="Arial"/>
        </w:rPr>
      </w:pPr>
      <w:r w:rsidRPr="002D6005">
        <w:rPr>
          <w:rFonts w:ascii="Arial" w:hAnsi="Arial" w:cs="Arial"/>
        </w:rPr>
        <w:t>It may not be applicable to specify the dose in units of</w:t>
      </w:r>
      <w:r>
        <w:rPr>
          <w:rFonts w:ascii="Arial" w:hAnsi="Arial" w:cs="Arial"/>
        </w:rPr>
        <w:t xml:space="preserve"> mass in certain circumstances such as </w:t>
      </w:r>
      <w:r w:rsidRPr="002D6005">
        <w:rPr>
          <w:rFonts w:ascii="Arial" w:hAnsi="Arial" w:cs="Arial"/>
        </w:rPr>
        <w:t>when prescribing eye drops, ear drops, topi</w:t>
      </w:r>
      <w:r>
        <w:rPr>
          <w:rFonts w:ascii="Arial" w:hAnsi="Arial" w:cs="Arial"/>
        </w:rPr>
        <w:t>cal products, inhalers, or insulin.</w:t>
      </w:r>
    </w:p>
    <w:p w:rsidR="008B38D3" w:rsidRPr="002D6005" w:rsidRDefault="008B38D3" w:rsidP="009F3B5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D6005">
        <w:rPr>
          <w:rFonts w:ascii="Arial" w:hAnsi="Arial" w:cs="Arial"/>
        </w:rPr>
        <w:t xml:space="preserve">nsure that all prescribers are equipped with knowledge and skills in the </w:t>
      </w:r>
      <w:r w:rsidRPr="00B743C2">
        <w:rPr>
          <w:rFonts w:ascii="Arial" w:hAnsi="Arial" w:cs="Arial"/>
          <w:b/>
        </w:rPr>
        <w:t>core principles</w:t>
      </w:r>
      <w:r w:rsidRPr="002D6005">
        <w:rPr>
          <w:rFonts w:ascii="Arial" w:hAnsi="Arial" w:cs="Arial"/>
        </w:rPr>
        <w:t xml:space="preserve"> of safe prescribing and medicines use in the paediatric population.</w:t>
      </w:r>
    </w:p>
    <w:p w:rsidR="00CB733F" w:rsidRPr="00E02518" w:rsidRDefault="001A502E" w:rsidP="009424A5">
      <w:pPr>
        <w:pStyle w:val="Heading3"/>
        <w:rPr>
          <w:sz w:val="26"/>
        </w:rPr>
      </w:pPr>
      <w:r w:rsidRPr="00E02518">
        <w:rPr>
          <w:sz w:val="26"/>
        </w:rPr>
        <w:t xml:space="preserve">Rationale </w:t>
      </w:r>
      <w:bookmarkEnd w:id="11"/>
      <w:bookmarkEnd w:id="12"/>
      <w:bookmarkEnd w:id="13"/>
      <w:bookmarkEnd w:id="14"/>
    </w:p>
    <w:p w:rsidR="001A502E" w:rsidRPr="00810695" w:rsidRDefault="001A502E" w:rsidP="001A502E">
      <w:pPr>
        <w:spacing w:after="120"/>
        <w:rPr>
          <w:rFonts w:ascii="Arial" w:hAnsi="Arial" w:cs="Arial"/>
        </w:rPr>
      </w:pPr>
      <w:r w:rsidRPr="00810695">
        <w:rPr>
          <w:rFonts w:ascii="Arial" w:hAnsi="Arial" w:cs="Arial"/>
        </w:rPr>
        <w:t>Medication errors are one of the most common and preventable adverse event</w:t>
      </w:r>
      <w:r>
        <w:rPr>
          <w:rFonts w:ascii="Arial" w:hAnsi="Arial" w:cs="Arial"/>
        </w:rPr>
        <w:t>s</w:t>
      </w:r>
      <w:r w:rsidRPr="00810695">
        <w:rPr>
          <w:rFonts w:ascii="Arial" w:hAnsi="Arial" w:cs="Arial"/>
        </w:rPr>
        <w:t xml:space="preserve"> in healthcare setting</w:t>
      </w:r>
      <w:r>
        <w:rPr>
          <w:rFonts w:ascii="Arial" w:hAnsi="Arial" w:cs="Arial"/>
        </w:rPr>
        <w:t>s</w:t>
      </w:r>
      <w:r w:rsidRPr="00810695">
        <w:rPr>
          <w:rFonts w:ascii="Arial" w:hAnsi="Arial" w:cs="Arial"/>
        </w:rPr>
        <w:t>.</w:t>
      </w:r>
      <w:r w:rsidRPr="0040387A">
        <w:rPr>
          <w:rFonts w:ascii="Arial" w:hAnsi="Arial" w:cs="Arial"/>
          <w:noProof/>
          <w:vertAlign w:val="superscript"/>
        </w:rPr>
        <w:t>1</w:t>
      </w:r>
      <w:r w:rsidRPr="00810695">
        <w:rPr>
          <w:rFonts w:ascii="Arial" w:hAnsi="Arial" w:cs="Arial"/>
        </w:rPr>
        <w:t xml:space="preserve"> Children are more prone to medication errors and are more vulnerable to harm from the effect of medication errors than adults.</w:t>
      </w:r>
      <w:r w:rsidRPr="0040387A">
        <w:rPr>
          <w:rFonts w:ascii="Arial" w:hAnsi="Arial" w:cs="Arial"/>
          <w:noProof/>
          <w:vertAlign w:val="superscript"/>
        </w:rPr>
        <w:t>1</w:t>
      </w:r>
      <w:r w:rsidR="00562996">
        <w:rPr>
          <w:rFonts w:ascii="Arial" w:hAnsi="Arial" w:cs="Arial"/>
          <w:noProof/>
          <w:vertAlign w:val="superscript"/>
        </w:rPr>
        <w:t>,2,3</w:t>
      </w:r>
      <w:r w:rsidRPr="0081069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worldwide </w:t>
      </w:r>
      <w:r w:rsidRPr="00810695">
        <w:rPr>
          <w:rFonts w:ascii="Arial" w:hAnsi="Arial" w:cs="Arial"/>
        </w:rPr>
        <w:t>systematic review has estimated 100</w:t>
      </w:r>
      <w:r w:rsidR="00781F96">
        <w:rPr>
          <w:rFonts w:ascii="Arial" w:hAnsi="Arial" w:cs="Arial"/>
        </w:rPr>
        <w:t xml:space="preserve"> to </w:t>
      </w:r>
      <w:r w:rsidRPr="00810695">
        <w:rPr>
          <w:rFonts w:ascii="Arial" w:hAnsi="Arial" w:cs="Arial"/>
        </w:rPr>
        <w:t xml:space="preserve">400 prescribing errors </w:t>
      </w:r>
      <w:r w:rsidR="00EE476F">
        <w:rPr>
          <w:rFonts w:ascii="Arial" w:hAnsi="Arial" w:cs="Arial"/>
        </w:rPr>
        <w:t xml:space="preserve">occur </w:t>
      </w:r>
      <w:r w:rsidRPr="00810695">
        <w:rPr>
          <w:rFonts w:ascii="Arial" w:hAnsi="Arial" w:cs="Arial"/>
        </w:rPr>
        <w:t>per 1</w:t>
      </w:r>
      <w:r>
        <w:rPr>
          <w:rFonts w:ascii="Arial" w:hAnsi="Arial" w:cs="Arial"/>
        </w:rPr>
        <w:t>,</w:t>
      </w:r>
      <w:r w:rsidRPr="00810695">
        <w:rPr>
          <w:rFonts w:ascii="Arial" w:hAnsi="Arial" w:cs="Arial"/>
        </w:rPr>
        <w:t xml:space="preserve">000 </w:t>
      </w:r>
      <w:r w:rsidR="00781F96">
        <w:rPr>
          <w:rFonts w:ascii="Arial" w:hAnsi="Arial" w:cs="Arial"/>
        </w:rPr>
        <w:t xml:space="preserve">paediatric </w:t>
      </w:r>
      <w:r w:rsidRPr="00810695">
        <w:rPr>
          <w:rFonts w:ascii="Arial" w:hAnsi="Arial" w:cs="Arial"/>
        </w:rPr>
        <w:t>patients.</w:t>
      </w:r>
      <w:r w:rsidRPr="0040387A">
        <w:rPr>
          <w:rFonts w:ascii="Arial" w:hAnsi="Arial" w:cs="Arial"/>
          <w:noProof/>
          <w:vertAlign w:val="superscript"/>
        </w:rPr>
        <w:t>4</w:t>
      </w:r>
      <w:r w:rsidRPr="00810695">
        <w:rPr>
          <w:rFonts w:ascii="Arial" w:hAnsi="Arial" w:cs="Arial"/>
        </w:rPr>
        <w:t xml:space="preserve"> Dose calculation errors are one of the most common type</w:t>
      </w:r>
      <w:r>
        <w:rPr>
          <w:rFonts w:ascii="Arial" w:hAnsi="Arial" w:cs="Arial"/>
        </w:rPr>
        <w:t>s</w:t>
      </w:r>
      <w:r w:rsidRPr="00810695">
        <w:rPr>
          <w:rFonts w:ascii="Arial" w:hAnsi="Arial" w:cs="Arial"/>
        </w:rPr>
        <w:t xml:space="preserve"> of medication</w:t>
      </w:r>
      <w:r w:rsidRPr="00810695">
        <w:rPr>
          <w:rFonts w:ascii="Arial" w:hAnsi="Arial" w:cs="Arial"/>
          <w:color w:val="FF0000"/>
        </w:rPr>
        <w:t xml:space="preserve"> </w:t>
      </w:r>
      <w:r w:rsidRPr="00810695">
        <w:rPr>
          <w:rFonts w:ascii="Arial" w:hAnsi="Arial" w:cs="Arial"/>
        </w:rPr>
        <w:t>error in children.</w:t>
      </w:r>
      <w:r w:rsidRPr="0040387A">
        <w:rPr>
          <w:rFonts w:ascii="Arial" w:hAnsi="Arial" w:cs="Arial"/>
          <w:noProof/>
          <w:vertAlign w:val="superscript"/>
        </w:rPr>
        <w:t>2,5,6</w:t>
      </w:r>
    </w:p>
    <w:p w:rsidR="001A502E" w:rsidRDefault="001A502E" w:rsidP="001A502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document the child’s </w:t>
      </w:r>
      <w:r w:rsidRPr="00A83AE2">
        <w:rPr>
          <w:rFonts w:ascii="Arial" w:hAnsi="Arial" w:cs="Arial"/>
        </w:rPr>
        <w:t>weight</w:t>
      </w:r>
      <w:r>
        <w:rPr>
          <w:rFonts w:ascii="Arial" w:hAnsi="Arial" w:cs="Arial"/>
        </w:rPr>
        <w:t xml:space="preserve"> and the basis for dose calculation</w:t>
      </w:r>
      <w:r w:rsidRPr="00A83AE2">
        <w:rPr>
          <w:rFonts w:ascii="Arial" w:hAnsi="Arial" w:cs="Arial"/>
        </w:rPr>
        <w:t xml:space="preserve"> in safe prescribing</w:t>
      </w:r>
      <w:r>
        <w:rPr>
          <w:rFonts w:ascii="Arial" w:hAnsi="Arial" w:cs="Arial"/>
        </w:rPr>
        <w:t>.</w:t>
      </w:r>
      <w:r w:rsidRPr="00A83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are included </w:t>
      </w:r>
      <w:r w:rsidRPr="00A83AE2">
        <w:rPr>
          <w:rFonts w:ascii="Arial" w:hAnsi="Arial" w:cs="Arial"/>
        </w:rPr>
        <w:t>as required field</w:t>
      </w:r>
      <w:r>
        <w:rPr>
          <w:rFonts w:ascii="Arial" w:hAnsi="Arial" w:cs="Arial"/>
        </w:rPr>
        <w:t>s</w:t>
      </w:r>
      <w:r w:rsidRPr="00A83AE2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n</w:t>
      </w:r>
      <w:r w:rsidRPr="00A83AE2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i</w:t>
      </w:r>
      <w:r w:rsidRPr="00A83AE2">
        <w:rPr>
          <w:rFonts w:ascii="Arial" w:hAnsi="Arial" w:cs="Arial"/>
        </w:rPr>
        <w:t xml:space="preserve">npatient </w:t>
      </w:r>
      <w:r>
        <w:rPr>
          <w:rFonts w:ascii="Arial" w:hAnsi="Arial" w:cs="Arial"/>
        </w:rPr>
        <w:t>m</w:t>
      </w:r>
      <w:r w:rsidRPr="00A83AE2">
        <w:rPr>
          <w:rFonts w:ascii="Arial" w:hAnsi="Arial" w:cs="Arial"/>
        </w:rPr>
        <w:t xml:space="preserve">edication </w:t>
      </w:r>
      <w:r>
        <w:rPr>
          <w:rFonts w:ascii="Arial" w:hAnsi="Arial" w:cs="Arial"/>
        </w:rPr>
        <w:t>c</w:t>
      </w:r>
      <w:r w:rsidRPr="00A83AE2">
        <w:rPr>
          <w:rFonts w:ascii="Arial" w:hAnsi="Arial" w:cs="Arial"/>
        </w:rPr>
        <w:t>hart</w:t>
      </w:r>
      <w:r>
        <w:rPr>
          <w:rFonts w:ascii="Arial" w:hAnsi="Arial" w:cs="Arial"/>
        </w:rPr>
        <w:t xml:space="preserve"> (NIMC)</w:t>
      </w:r>
      <w:r w:rsidR="003F1291">
        <w:rPr>
          <w:rFonts w:ascii="Arial" w:hAnsi="Arial" w:cs="Arial"/>
        </w:rPr>
        <w:t>, and in electronic prescribing systems</w:t>
      </w:r>
      <w:r>
        <w:rPr>
          <w:rFonts w:ascii="Arial" w:hAnsi="Arial" w:cs="Arial"/>
        </w:rPr>
        <w:t>.</w:t>
      </w:r>
      <w:r w:rsidR="007E24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is currently no field to document weight on outpatient </w:t>
      </w:r>
      <w:r w:rsidR="0054166A">
        <w:rPr>
          <w:rFonts w:ascii="Arial" w:hAnsi="Arial" w:cs="Arial"/>
        </w:rPr>
        <w:t>and community prescriptions</w:t>
      </w:r>
      <w:r>
        <w:rPr>
          <w:rFonts w:ascii="Arial" w:hAnsi="Arial" w:cs="Arial"/>
        </w:rPr>
        <w:t>, whether these are private or Pharmaceutical Benefits Scheme (PBS) prescriptions.</w:t>
      </w:r>
    </w:p>
    <w:p w:rsidR="001A502E" w:rsidRPr="00810695" w:rsidRDefault="001A502E" w:rsidP="001A502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Most</w:t>
      </w:r>
      <w:r w:rsidRPr="00810695">
        <w:rPr>
          <w:rFonts w:ascii="Arial" w:hAnsi="Arial" w:cs="Arial"/>
        </w:rPr>
        <w:t xml:space="preserve"> dosing recommendations in paediatric reference materials are standardised by weight (mg/kg).</w:t>
      </w:r>
      <w:r w:rsidRPr="0040387A">
        <w:rPr>
          <w:rFonts w:ascii="Arial" w:hAnsi="Arial" w:cs="Arial"/>
          <w:noProof/>
          <w:vertAlign w:val="superscript"/>
        </w:rPr>
        <w:t>5,7</w:t>
      </w:r>
      <w:r w:rsidRPr="00810695">
        <w:rPr>
          <w:rFonts w:ascii="Arial" w:hAnsi="Arial" w:cs="Arial"/>
        </w:rPr>
        <w:t xml:space="preserve"> The Institute </w:t>
      </w:r>
      <w:r>
        <w:rPr>
          <w:rFonts w:ascii="Arial" w:hAnsi="Arial" w:cs="Arial"/>
        </w:rPr>
        <w:t>for</w:t>
      </w:r>
      <w:r w:rsidRPr="00810695">
        <w:rPr>
          <w:rFonts w:ascii="Arial" w:hAnsi="Arial" w:cs="Arial"/>
        </w:rPr>
        <w:t xml:space="preserve"> Safe Medication Pract</w:t>
      </w:r>
      <w:r>
        <w:rPr>
          <w:rFonts w:ascii="Arial" w:hAnsi="Arial" w:cs="Arial"/>
        </w:rPr>
        <w:t>ices, the American Academy of P</w:t>
      </w:r>
      <w:r w:rsidRPr="00810695">
        <w:rPr>
          <w:rFonts w:ascii="Arial" w:hAnsi="Arial" w:cs="Arial"/>
        </w:rPr>
        <w:t xml:space="preserve">ediatrics and </w:t>
      </w:r>
      <w:r w:rsidR="004540ED" w:rsidRPr="00810695">
        <w:rPr>
          <w:rFonts w:ascii="Arial" w:hAnsi="Arial" w:cs="Arial"/>
        </w:rPr>
        <w:t>other</w:t>
      </w:r>
      <w:r w:rsidR="004540ED">
        <w:rPr>
          <w:rFonts w:ascii="Arial" w:hAnsi="Arial" w:cs="Arial"/>
        </w:rPr>
        <w:t xml:space="preserve"> authoritative paediatric </w:t>
      </w:r>
      <w:r>
        <w:rPr>
          <w:rFonts w:ascii="Arial" w:hAnsi="Arial" w:cs="Arial"/>
        </w:rPr>
        <w:t>reference materials recommend recording weight o</w:t>
      </w:r>
      <w:r w:rsidRPr="00810695">
        <w:rPr>
          <w:rFonts w:ascii="Arial" w:hAnsi="Arial" w:cs="Arial"/>
        </w:rPr>
        <w:t>n prescriptions for children.</w:t>
      </w:r>
      <w:r w:rsidR="004540ED">
        <w:rPr>
          <w:rFonts w:ascii="Arial" w:hAnsi="Arial" w:cs="Arial"/>
          <w:noProof/>
          <w:vertAlign w:val="superscript"/>
        </w:rPr>
        <w:t>5,</w:t>
      </w:r>
      <w:r w:rsidRPr="0040387A">
        <w:rPr>
          <w:rFonts w:ascii="Arial" w:hAnsi="Arial" w:cs="Arial"/>
          <w:noProof/>
          <w:vertAlign w:val="superscript"/>
        </w:rPr>
        <w:t>7</w:t>
      </w:r>
      <w:r w:rsidR="00562996">
        <w:rPr>
          <w:rFonts w:ascii="Arial" w:hAnsi="Arial" w:cs="Arial"/>
          <w:noProof/>
          <w:vertAlign w:val="superscript"/>
        </w:rPr>
        <w:t>,8,</w:t>
      </w:r>
      <w:r w:rsidRPr="0040387A">
        <w:rPr>
          <w:rFonts w:ascii="Arial" w:hAnsi="Arial" w:cs="Arial"/>
          <w:noProof/>
          <w:vertAlign w:val="superscript"/>
        </w:rPr>
        <w:t>9</w:t>
      </w:r>
      <w:r w:rsidRPr="00810695">
        <w:rPr>
          <w:rFonts w:ascii="Arial" w:hAnsi="Arial" w:cs="Arial"/>
        </w:rPr>
        <w:t xml:space="preserve">  </w:t>
      </w:r>
    </w:p>
    <w:p w:rsidR="001A502E" w:rsidRDefault="001A502E" w:rsidP="001A502E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Patient</w:t>
      </w:r>
      <w:r w:rsidRPr="00810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age and accurate </w:t>
      </w:r>
      <w:r w:rsidRPr="00810695">
        <w:rPr>
          <w:rFonts w:ascii="Arial" w:hAnsi="Arial" w:cs="Arial"/>
        </w:rPr>
        <w:t xml:space="preserve">weight </w:t>
      </w:r>
      <w:r>
        <w:rPr>
          <w:rFonts w:ascii="Arial" w:hAnsi="Arial" w:cs="Arial"/>
        </w:rPr>
        <w:t>are</w:t>
      </w:r>
      <w:r w:rsidRPr="00810695">
        <w:rPr>
          <w:rFonts w:ascii="Arial" w:hAnsi="Arial" w:cs="Arial"/>
        </w:rPr>
        <w:t xml:space="preserve"> essential to calculate the dose at the time of prescribing and to verify the dose during dispensing</w:t>
      </w:r>
      <w:r>
        <w:rPr>
          <w:rFonts w:ascii="Arial" w:hAnsi="Arial" w:cs="Arial"/>
        </w:rPr>
        <w:t xml:space="preserve"> and/or administration</w:t>
      </w:r>
      <w:r w:rsidRPr="00810695">
        <w:rPr>
          <w:rFonts w:ascii="Arial" w:hAnsi="Arial" w:cs="Arial"/>
        </w:rPr>
        <w:t>.</w:t>
      </w:r>
      <w:r w:rsidRPr="00EC09A7">
        <w:rPr>
          <w:rFonts w:ascii="Arial" w:hAnsi="Arial" w:cs="Arial"/>
          <w:lang w:val="en-US"/>
        </w:rPr>
        <w:t xml:space="preserve"> </w:t>
      </w:r>
      <w:r w:rsidRPr="004F5546">
        <w:rPr>
          <w:rFonts w:ascii="Arial" w:hAnsi="Arial" w:cs="Arial"/>
          <w:lang w:val="en-US"/>
        </w:rPr>
        <w:t>Documenting patient weight</w:t>
      </w:r>
      <w:r>
        <w:rPr>
          <w:rFonts w:ascii="Arial" w:hAnsi="Arial" w:cs="Arial"/>
          <w:lang w:val="en-US"/>
        </w:rPr>
        <w:t xml:space="preserve"> and age, and adopting good prescribing, dispensing and administration practices</w:t>
      </w:r>
      <w:r w:rsidRPr="004F55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can</w:t>
      </w:r>
      <w:r w:rsidRPr="004F5546">
        <w:rPr>
          <w:rFonts w:ascii="Arial" w:hAnsi="Arial" w:cs="Arial"/>
          <w:lang w:val="en-US"/>
        </w:rPr>
        <w:t xml:space="preserve"> prevent patient harm </w:t>
      </w:r>
      <w:r>
        <w:rPr>
          <w:rFonts w:ascii="Arial" w:hAnsi="Arial" w:cs="Arial"/>
          <w:lang w:val="en-US"/>
        </w:rPr>
        <w:t>associated with dosing</w:t>
      </w:r>
      <w:r w:rsidRPr="004F5546">
        <w:rPr>
          <w:rFonts w:ascii="Arial" w:hAnsi="Arial" w:cs="Arial"/>
          <w:lang w:val="en-US"/>
        </w:rPr>
        <w:t xml:space="preserve"> errors.</w:t>
      </w:r>
    </w:p>
    <w:p w:rsidR="00B268C8" w:rsidRPr="00E02518" w:rsidRDefault="00B268C8" w:rsidP="00B268C8">
      <w:pPr>
        <w:pStyle w:val="Heading3"/>
        <w:rPr>
          <w:rFonts w:ascii="Arial" w:hAnsi="Arial"/>
          <w:sz w:val="26"/>
        </w:rPr>
      </w:pPr>
      <w:r>
        <w:rPr>
          <w:sz w:val="26"/>
        </w:rPr>
        <w:t>Consultation</w:t>
      </w:r>
    </w:p>
    <w:p w:rsidR="00B268C8" w:rsidRPr="00822E23" w:rsidRDefault="00B268C8" w:rsidP="00B268C8">
      <w:pPr>
        <w:pStyle w:val="Default"/>
        <w:rPr>
          <w:sz w:val="22"/>
          <w:szCs w:val="22"/>
        </w:rPr>
      </w:pPr>
      <w:r w:rsidRPr="00822E23">
        <w:rPr>
          <w:sz w:val="22"/>
          <w:szCs w:val="22"/>
        </w:rPr>
        <w:t xml:space="preserve">This position statement is endorsed by the following organisations: </w:t>
      </w:r>
    </w:p>
    <w:p w:rsidR="00B268C8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 w:rsidRPr="00822E23">
        <w:rPr>
          <w:rFonts w:ascii="Arial" w:eastAsia="Calibri" w:hAnsi="Arial" w:cs="Arial"/>
          <w:color w:val="000000"/>
        </w:rPr>
        <w:t>Australian College of Nurse Practitioners</w:t>
      </w:r>
    </w:p>
    <w:p w:rsidR="00B268C8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 w:rsidRPr="00822E23">
        <w:rPr>
          <w:rFonts w:ascii="Arial" w:eastAsia="Calibri" w:hAnsi="Arial" w:cs="Arial"/>
          <w:color w:val="000000"/>
        </w:rPr>
        <w:t xml:space="preserve">Australian Nursing and Midwifery Federation </w:t>
      </w:r>
    </w:p>
    <w:p w:rsidR="00B268C8" w:rsidRPr="00822E23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NPS MedicineWise</w:t>
      </w:r>
    </w:p>
    <w:p w:rsidR="00B268C8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 w:rsidRPr="00822E23">
        <w:rPr>
          <w:rFonts w:ascii="Arial" w:eastAsia="Calibri" w:hAnsi="Arial" w:cs="Arial"/>
          <w:color w:val="000000"/>
        </w:rPr>
        <w:t>Pharmaceutical Society of Australia</w:t>
      </w:r>
    </w:p>
    <w:p w:rsidR="00B268C8" w:rsidRDefault="00001EE9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The </w:t>
      </w:r>
      <w:r w:rsidR="00B268C8">
        <w:rPr>
          <w:rFonts w:ascii="Arial" w:eastAsia="Calibri" w:hAnsi="Arial" w:cs="Arial"/>
          <w:color w:val="000000"/>
        </w:rPr>
        <w:t xml:space="preserve">Royal Australian College </w:t>
      </w:r>
      <w:r w:rsidR="00B268C8" w:rsidRPr="00822E23">
        <w:rPr>
          <w:rFonts w:ascii="Arial" w:eastAsia="Calibri" w:hAnsi="Arial" w:cs="Arial"/>
          <w:color w:val="000000"/>
        </w:rPr>
        <w:t xml:space="preserve">of Physicians </w:t>
      </w:r>
    </w:p>
    <w:p w:rsidR="00B268C8" w:rsidRPr="00822E23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 w:rsidRPr="00822E23">
        <w:rPr>
          <w:rFonts w:ascii="Arial" w:eastAsia="Calibri" w:hAnsi="Arial" w:cs="Arial"/>
          <w:color w:val="000000"/>
        </w:rPr>
        <w:t>The Society of Hospital Pharmacists of Australia</w:t>
      </w:r>
    </w:p>
    <w:p w:rsidR="00B268C8" w:rsidRDefault="00B268C8" w:rsidP="00B268C8">
      <w:pPr>
        <w:numPr>
          <w:ilvl w:val="0"/>
          <w:numId w:val="27"/>
        </w:numPr>
        <w:autoSpaceDE w:val="0"/>
        <w:autoSpaceDN w:val="0"/>
        <w:spacing w:after="0"/>
        <w:rPr>
          <w:rFonts w:ascii="Arial" w:eastAsia="Calibri" w:hAnsi="Arial" w:cs="Arial"/>
          <w:color w:val="000000"/>
        </w:rPr>
      </w:pPr>
      <w:r w:rsidRPr="00822E23">
        <w:rPr>
          <w:rFonts w:ascii="Arial" w:eastAsia="Calibri" w:hAnsi="Arial" w:cs="Arial"/>
          <w:color w:val="000000"/>
        </w:rPr>
        <w:t>Women’s and Children’s Healthcare Australasia</w:t>
      </w:r>
    </w:p>
    <w:p w:rsidR="00B268C8" w:rsidRPr="00822E23" w:rsidRDefault="00731D7A" w:rsidP="00B268C8">
      <w:pPr>
        <w:autoSpaceDE w:val="0"/>
        <w:autoSpaceDN w:val="0"/>
        <w:spacing w:after="120"/>
        <w:rPr>
          <w:rFonts w:ascii="Arial" w:eastAsia="Calibri" w:hAnsi="Arial" w:cs="Arial"/>
          <w:color w:val="000000"/>
        </w:rPr>
      </w:pPr>
      <w:r w:rsidRPr="00731D7A">
        <w:rPr>
          <w:rFonts w:ascii="Arial" w:eastAsia="Calibri" w:hAnsi="Arial" w:cs="Arial"/>
          <w:color w:val="000000"/>
        </w:rPr>
        <w:t xml:space="preserve">The Royal Australian College of General Practitioners </w:t>
      </w:r>
      <w:r>
        <w:rPr>
          <w:rFonts w:ascii="Arial" w:eastAsia="Calibri" w:hAnsi="Arial" w:cs="Arial"/>
          <w:color w:val="000000"/>
        </w:rPr>
        <w:t>and The Pharmacy Guild of Australia</w:t>
      </w:r>
      <w:r w:rsidRPr="00731D7A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were</w:t>
      </w:r>
      <w:r w:rsidRPr="00731D7A">
        <w:rPr>
          <w:rFonts w:ascii="Arial" w:eastAsia="Calibri" w:hAnsi="Arial" w:cs="Arial"/>
          <w:color w:val="000000"/>
        </w:rPr>
        <w:t xml:space="preserve"> represented on the working group and consulted in the </w:t>
      </w:r>
      <w:r>
        <w:rPr>
          <w:rFonts w:ascii="Arial" w:eastAsia="Calibri" w:hAnsi="Arial" w:cs="Arial"/>
          <w:color w:val="000000"/>
        </w:rPr>
        <w:t xml:space="preserve">statement </w:t>
      </w:r>
      <w:r w:rsidRPr="00731D7A">
        <w:rPr>
          <w:rFonts w:ascii="Arial" w:eastAsia="Calibri" w:hAnsi="Arial" w:cs="Arial"/>
          <w:color w:val="000000"/>
        </w:rPr>
        <w:t>development.</w:t>
      </w:r>
    </w:p>
    <w:p w:rsidR="00E02518" w:rsidRPr="00E02518" w:rsidRDefault="001A502E" w:rsidP="00E02518">
      <w:pPr>
        <w:pStyle w:val="Heading3"/>
        <w:rPr>
          <w:rFonts w:ascii="Arial" w:hAnsi="Arial"/>
          <w:sz w:val="26"/>
        </w:rPr>
      </w:pPr>
      <w:r w:rsidRPr="00E02518">
        <w:rPr>
          <w:sz w:val="26"/>
        </w:rPr>
        <w:t>Reference</w:t>
      </w:r>
      <w:r w:rsidRPr="00E02518">
        <w:rPr>
          <w:rFonts w:ascii="Arial" w:hAnsi="Arial"/>
          <w:sz w:val="26"/>
        </w:rPr>
        <w:t xml:space="preserve"> </w:t>
      </w:r>
      <w:r w:rsidRPr="00E02518">
        <w:rPr>
          <w:sz w:val="26"/>
        </w:rPr>
        <w:t>text</w:t>
      </w:r>
      <w:r w:rsidR="00E02518">
        <w:rPr>
          <w:sz w:val="26"/>
        </w:rPr>
        <w:t>s</w:t>
      </w:r>
      <w:r w:rsidR="00781F96">
        <w:rPr>
          <w:sz w:val="26"/>
        </w:rPr>
        <w:t xml:space="preserve"> and r</w:t>
      </w:r>
      <w:r w:rsidR="00001EE9">
        <w:rPr>
          <w:sz w:val="26"/>
        </w:rPr>
        <w:t>esources</w:t>
      </w:r>
    </w:p>
    <w:p w:rsidR="001A502E" w:rsidRPr="00001EE9" w:rsidRDefault="001A502E" w:rsidP="001A502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B7C71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ustralian </w:t>
      </w:r>
      <w:r w:rsidRPr="003B7C71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 xml:space="preserve">edicines </w:t>
      </w:r>
      <w:r w:rsidRPr="003B7C71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andbook</w:t>
      </w:r>
      <w:r w:rsidRPr="003B7C71">
        <w:rPr>
          <w:rFonts w:ascii="Arial" w:hAnsi="Arial" w:cs="Arial"/>
          <w:i/>
          <w:sz w:val="22"/>
          <w:szCs w:val="22"/>
        </w:rPr>
        <w:t xml:space="preserve"> </w:t>
      </w:r>
      <w:r w:rsidRPr="0040387A">
        <w:rPr>
          <w:rFonts w:ascii="Arial" w:hAnsi="Arial" w:cs="Arial"/>
          <w:i/>
          <w:sz w:val="22"/>
          <w:szCs w:val="22"/>
        </w:rPr>
        <w:t>Children’s Dosing Companion</w:t>
      </w:r>
    </w:p>
    <w:p w:rsidR="00001EE9" w:rsidRPr="00843B3F" w:rsidRDefault="00001EE9" w:rsidP="00001EE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Australian </w:t>
      </w:r>
      <w:r w:rsidRPr="00001EE9">
        <w:rPr>
          <w:rFonts w:ascii="Arial" w:hAnsi="Arial" w:cs="Arial"/>
          <w:i/>
          <w:sz w:val="22"/>
          <w:szCs w:val="22"/>
        </w:rPr>
        <w:t>Pharmaceutical Formulary and Handbook</w:t>
      </w:r>
      <w:r>
        <w:rPr>
          <w:rFonts w:ascii="Arial" w:hAnsi="Arial" w:cs="Arial"/>
          <w:i/>
          <w:sz w:val="22"/>
          <w:szCs w:val="22"/>
        </w:rPr>
        <w:t xml:space="preserve"> (APF24)</w:t>
      </w:r>
    </w:p>
    <w:p w:rsidR="001A502E" w:rsidRPr="0040387A" w:rsidRDefault="001A502E" w:rsidP="001A502E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2"/>
          <w:szCs w:val="22"/>
        </w:rPr>
      </w:pPr>
      <w:r w:rsidRPr="0040387A">
        <w:rPr>
          <w:rFonts w:ascii="Arial" w:hAnsi="Arial" w:cs="Arial"/>
          <w:i/>
          <w:sz w:val="22"/>
          <w:szCs w:val="22"/>
        </w:rPr>
        <w:t>Therapeutic Guidelines</w:t>
      </w:r>
    </w:p>
    <w:p w:rsidR="001A502E" w:rsidRPr="0040387A" w:rsidRDefault="001A502E" w:rsidP="001A502E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Hospital Pharmacists of Australia </w:t>
      </w:r>
      <w:r w:rsidRPr="0040387A">
        <w:rPr>
          <w:rFonts w:ascii="Arial" w:hAnsi="Arial" w:cs="Arial"/>
          <w:i/>
          <w:sz w:val="22"/>
          <w:szCs w:val="22"/>
        </w:rPr>
        <w:t>Don’t Rush to Crush</w:t>
      </w:r>
      <w:r>
        <w:rPr>
          <w:rFonts w:ascii="Arial" w:hAnsi="Arial" w:cs="Arial"/>
          <w:sz w:val="22"/>
          <w:szCs w:val="22"/>
        </w:rPr>
        <w:t>, 2</w:t>
      </w:r>
      <w:r w:rsidRPr="002D6005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edition</w:t>
      </w:r>
    </w:p>
    <w:p w:rsidR="00001EE9" w:rsidRDefault="001A502E" w:rsidP="00001EE9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2"/>
          <w:szCs w:val="22"/>
        </w:rPr>
      </w:pPr>
      <w:r w:rsidRPr="0040387A">
        <w:rPr>
          <w:rFonts w:ascii="Arial" w:hAnsi="Arial" w:cs="Arial"/>
          <w:i/>
          <w:sz w:val="22"/>
          <w:szCs w:val="22"/>
        </w:rPr>
        <w:t>British National Formulary for Chi</w:t>
      </w:r>
      <w:r>
        <w:rPr>
          <w:rFonts w:ascii="Arial" w:hAnsi="Arial" w:cs="Arial"/>
          <w:i/>
          <w:sz w:val="22"/>
          <w:szCs w:val="22"/>
        </w:rPr>
        <w:t>ldren</w:t>
      </w:r>
    </w:p>
    <w:p w:rsidR="001A502E" w:rsidRPr="00001EE9" w:rsidRDefault="001A502E" w:rsidP="00001EE9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2"/>
          <w:szCs w:val="22"/>
        </w:rPr>
      </w:pPr>
      <w:r w:rsidRPr="00001EE9">
        <w:rPr>
          <w:rFonts w:ascii="Arial" w:hAnsi="Arial" w:cs="Arial"/>
          <w:sz w:val="22"/>
          <w:szCs w:val="22"/>
          <w:lang w:val="en-AU"/>
        </w:rPr>
        <w:t xml:space="preserve">Australian Commission on Safety and Quality in Health Care. </w:t>
      </w:r>
      <w:hyperlink r:id="rId9" w:history="1">
        <w:r w:rsidRPr="00001EE9">
          <w:rPr>
            <w:rStyle w:val="Hyperlink"/>
            <w:rFonts w:ascii="Arial" w:hAnsi="Arial" w:cs="Arial"/>
            <w:sz w:val="22"/>
            <w:szCs w:val="22"/>
            <w:lang w:val="en-AU"/>
          </w:rPr>
          <w:t>Recommendations for terminology, abbreviations and symbols used in medicines documentation</w:t>
        </w:r>
      </w:hyperlink>
    </w:p>
    <w:p w:rsidR="001A502E" w:rsidRPr="00031828" w:rsidRDefault="001A502E" w:rsidP="001A502E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2"/>
          <w:szCs w:val="22"/>
          <w:u w:val="single"/>
        </w:rPr>
      </w:pPr>
      <w:r w:rsidRPr="00031828">
        <w:rPr>
          <w:rFonts w:ascii="Arial" w:hAnsi="Arial" w:cs="Arial"/>
          <w:bCs/>
          <w:sz w:val="22"/>
          <w:szCs w:val="22"/>
        </w:rPr>
        <w:t xml:space="preserve">Agency for Healthcare Research and Quality (US). </w:t>
      </w:r>
      <w:hyperlink r:id="rId10" w:history="1">
        <w:r w:rsidRPr="00031828">
          <w:rPr>
            <w:rStyle w:val="Hyperlink"/>
            <w:rFonts w:ascii="Arial" w:hAnsi="Arial" w:cs="Arial"/>
            <w:sz w:val="22"/>
            <w:szCs w:val="22"/>
          </w:rPr>
          <w:t>Health literacy universal precautions toolkit, 2nd edition: use the teach-back method</w:t>
        </w:r>
      </w:hyperlink>
      <w:r w:rsidRPr="00031828">
        <w:rPr>
          <w:rFonts w:ascii="Arial" w:hAnsi="Arial" w:cs="Arial"/>
          <w:bCs/>
          <w:sz w:val="22"/>
          <w:szCs w:val="22"/>
        </w:rPr>
        <w:t xml:space="preserve"> </w:t>
      </w:r>
    </w:p>
    <w:p w:rsidR="001A502E" w:rsidRPr="001A502E" w:rsidRDefault="001A502E" w:rsidP="001A502E">
      <w:pPr>
        <w:pStyle w:val="ListParagraph"/>
        <w:rPr>
          <w:rFonts w:ascii="Arial" w:hAnsi="Arial" w:cs="Arial"/>
        </w:rPr>
      </w:pPr>
    </w:p>
    <w:p w:rsidR="001A502E" w:rsidRPr="00E02518" w:rsidRDefault="001A502E" w:rsidP="009424A5">
      <w:pPr>
        <w:rPr>
          <w:sz w:val="26"/>
          <w:szCs w:val="26"/>
        </w:rPr>
      </w:pPr>
      <w:r w:rsidRPr="00E02518">
        <w:rPr>
          <w:rFonts w:cs="Arial"/>
          <w:b/>
          <w:bCs/>
          <w:iCs/>
          <w:color w:val="1178A2"/>
          <w:kern w:val="28"/>
          <w:sz w:val="26"/>
          <w:szCs w:val="26"/>
        </w:rPr>
        <w:t>References</w:t>
      </w:r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15" w:name="_ENREF_1"/>
      <w:r w:rsidRPr="00F06BC7">
        <w:rPr>
          <w:rFonts w:ascii="Arial" w:hAnsi="Arial" w:cs="Arial"/>
          <w:noProof/>
          <w:sz w:val="20"/>
          <w:szCs w:val="16"/>
        </w:rPr>
        <w:t>Joint Commission. Preventing pediatric medication errors. Sentinel Event Alert 2008; issue 39.</w:t>
      </w:r>
      <w:bookmarkEnd w:id="15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16" w:name="_ENREF_2"/>
      <w:r w:rsidRPr="00F06BC7">
        <w:rPr>
          <w:rFonts w:ascii="Arial" w:hAnsi="Arial" w:cs="Arial"/>
          <w:noProof/>
          <w:sz w:val="20"/>
          <w:szCs w:val="16"/>
        </w:rPr>
        <w:t>Benavides S, Huynh D, Morgan J, Briars L. Approach to the pediatric prescription in a community pharmacy. J Pediatr Pharmacol Ther 2011;16(4):298–307.</w:t>
      </w:r>
      <w:bookmarkEnd w:id="16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17" w:name="_ENREF_3"/>
      <w:r w:rsidRPr="00F06BC7">
        <w:rPr>
          <w:rFonts w:ascii="Arial" w:hAnsi="Arial" w:cs="Arial"/>
          <w:noProof/>
          <w:sz w:val="20"/>
          <w:szCs w:val="16"/>
        </w:rPr>
        <w:t>Kaushal R, Bates DW, Landrigan C, McKenna KJ, Clapp MD, Federico F, et al. Medication errors and adverse drug events in pediatric inpatients. JAMA 2001;285(16):2114–20.</w:t>
      </w:r>
      <w:bookmarkEnd w:id="17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18" w:name="_ENREF_4"/>
      <w:r w:rsidRPr="00F06BC7">
        <w:rPr>
          <w:rFonts w:ascii="Arial" w:hAnsi="Arial" w:cs="Arial"/>
          <w:noProof/>
          <w:sz w:val="20"/>
          <w:szCs w:val="16"/>
        </w:rPr>
        <w:t>Miller MR, Robinson KA, Lubomski LH, Rinke ML, Pronovost PJ. Medication errors in paediatric care: a systematic review of epidemiology and an evaluation of evidence supporting reduction strategy recommendations. Qual Saf Health Care 2007;16(2):116–26.</w:t>
      </w:r>
      <w:bookmarkEnd w:id="18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19" w:name="_ENREF_5"/>
      <w:r w:rsidRPr="00F06BC7">
        <w:rPr>
          <w:rFonts w:ascii="Arial" w:hAnsi="Arial" w:cs="Arial"/>
          <w:noProof/>
          <w:sz w:val="20"/>
          <w:szCs w:val="16"/>
        </w:rPr>
        <w:t>Australian Medicines Handbook. AMH children's dosing companion. Adelaide: Australian Medicines Handbook Pty Ltd; 2015.</w:t>
      </w:r>
      <w:bookmarkEnd w:id="19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20" w:name="_ENREF_6"/>
      <w:r w:rsidRPr="00F06BC7">
        <w:rPr>
          <w:rFonts w:ascii="Arial" w:hAnsi="Arial" w:cs="Arial"/>
          <w:noProof/>
          <w:sz w:val="20"/>
          <w:szCs w:val="16"/>
        </w:rPr>
        <w:t>Doherty C, McDonnell C. Tenfold medication errors: 5 years’ experience at a university-affiliated pediatric hospital. Pediatrics 2012;129(5):916–24.</w:t>
      </w:r>
      <w:bookmarkEnd w:id="20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21" w:name="_ENREF_7"/>
      <w:r w:rsidRPr="00F06BC7">
        <w:rPr>
          <w:rFonts w:ascii="Arial" w:hAnsi="Arial" w:cs="Arial"/>
          <w:noProof/>
          <w:sz w:val="20"/>
          <w:szCs w:val="16"/>
        </w:rPr>
        <w:t>Royal Pharmaceutical Society of Great Britain. British National Formulary for children. London: BMJ Publishing; 2017.</w:t>
      </w:r>
      <w:bookmarkEnd w:id="21"/>
    </w:p>
    <w:p w:rsidR="001A502E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22" w:name="_ENREF_8"/>
      <w:r w:rsidRPr="00F06BC7">
        <w:rPr>
          <w:rFonts w:ascii="Arial" w:hAnsi="Arial" w:cs="Arial"/>
          <w:noProof/>
          <w:sz w:val="20"/>
          <w:szCs w:val="16"/>
        </w:rPr>
        <w:t>Levine S, Cohen M, Blanchard N, Frederico F, Magelli M, Lomax C, et al. Guidelines for preventing medication errors in paediatrics. J Pediatr Pharmacol Ther 2001;6:426–42.</w:t>
      </w:r>
      <w:bookmarkEnd w:id="22"/>
    </w:p>
    <w:p w:rsidR="008D49F9" w:rsidRPr="00F06BC7" w:rsidRDefault="001A502E" w:rsidP="006123F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noProof/>
          <w:sz w:val="20"/>
          <w:szCs w:val="16"/>
        </w:rPr>
      </w:pPr>
      <w:bookmarkStart w:id="23" w:name="_ENREF_9"/>
      <w:r w:rsidRPr="00F06BC7">
        <w:rPr>
          <w:rFonts w:ascii="Arial" w:hAnsi="Arial" w:cs="Arial"/>
          <w:noProof/>
          <w:sz w:val="20"/>
          <w:szCs w:val="16"/>
        </w:rPr>
        <w:t>American Academy of Pediatrics. Prevention of medication errors in the pediatric inpatient setting. Pediatrics 2003;112(2):431–6.</w:t>
      </w:r>
      <w:bookmarkEnd w:id="23"/>
    </w:p>
    <w:p w:rsidR="00822E23" w:rsidRPr="00A86148" w:rsidRDefault="00822E23" w:rsidP="00EE476F">
      <w:pPr>
        <w:spacing w:after="0"/>
      </w:pPr>
    </w:p>
    <w:sectPr w:rsidR="00822E23" w:rsidRPr="00A86148" w:rsidSect="001C2C96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95" w:rsidRDefault="00E40F95" w:rsidP="000B0274">
      <w:r>
        <w:separator/>
      </w:r>
    </w:p>
  </w:endnote>
  <w:endnote w:type="continuationSeparator" w:id="0">
    <w:p w:rsidR="00E40F95" w:rsidRDefault="00E40F95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3D" w:rsidRPr="00F57148" w:rsidRDefault="007E24DE" w:rsidP="009B053D">
    <w:pPr>
      <w:pStyle w:val="Footer"/>
      <w:jc w:val="right"/>
    </w:pPr>
    <w:r>
      <w:t>Position statement on paediatric prescribing</w:t>
    </w:r>
    <w:r w:rsidR="006A3D7C">
      <w:t xml:space="preserve"> – </w:t>
    </w:r>
    <w:r w:rsidR="00822E23">
      <w:t>March 2018</w:t>
    </w:r>
    <w:r w:rsidR="009B053D">
      <w:tab/>
    </w:r>
    <w:r w:rsidR="009B053D">
      <w:tab/>
    </w:r>
    <w:r w:rsidR="009B053D" w:rsidRPr="00F57148">
      <w:fldChar w:fldCharType="begin"/>
    </w:r>
    <w:r w:rsidR="009B053D" w:rsidRPr="00F57148">
      <w:instrText xml:space="preserve"> PAGE   \* MERGEFORMAT </w:instrText>
    </w:r>
    <w:r w:rsidR="009B053D" w:rsidRPr="00F57148">
      <w:fldChar w:fldCharType="separate"/>
    </w:r>
    <w:r w:rsidR="00BD2F70">
      <w:rPr>
        <w:noProof/>
      </w:rPr>
      <w:t>2</w:t>
    </w:r>
    <w:r w:rsidR="009B053D" w:rsidRPr="00F57148">
      <w:rPr>
        <w:noProof/>
      </w:rPr>
      <w:fldChar w:fldCharType="end"/>
    </w:r>
  </w:p>
  <w:p w:rsidR="009B053D" w:rsidRDefault="009B0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F9" w:rsidRPr="006803BA" w:rsidRDefault="007E24DE" w:rsidP="000B0274">
    <w:r>
      <w:tab/>
    </w:r>
    <w:r>
      <w:tab/>
    </w:r>
    <w:r>
      <w:tab/>
    </w:r>
    <w:r>
      <w:tab/>
    </w:r>
    <w:r>
      <w:tab/>
    </w:r>
    <w:r>
      <w:tab/>
    </w:r>
    <w:r w:rsidR="006803BA">
      <w:tab/>
    </w:r>
    <w:r>
      <w:tab/>
    </w:r>
    <w:r>
      <w:tab/>
    </w:r>
    <w:r>
      <w:tab/>
    </w:r>
    <w:r>
      <w:tab/>
    </w:r>
    <w:r>
      <w:tab/>
    </w:r>
    <w:r w:rsidR="006803BA" w:rsidRPr="006803BA">
      <w:fldChar w:fldCharType="begin"/>
    </w:r>
    <w:r w:rsidR="006803BA" w:rsidRPr="006803BA">
      <w:instrText xml:space="preserve"> PAGE   \* MERGEFORMAT </w:instrText>
    </w:r>
    <w:r w:rsidR="006803BA" w:rsidRPr="006803BA">
      <w:fldChar w:fldCharType="separate"/>
    </w:r>
    <w:r w:rsidR="00BD2F70">
      <w:rPr>
        <w:noProof/>
      </w:rPr>
      <w:t>1</w:t>
    </w:r>
    <w:r w:rsidR="006803BA" w:rsidRPr="006803BA">
      <w:rPr>
        <w:noProof/>
      </w:rPr>
      <w:fldChar w:fldCharType="end"/>
    </w:r>
  </w:p>
  <w:p w:rsidR="008A58F9" w:rsidRDefault="008A58F9" w:rsidP="000B0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95" w:rsidRDefault="00E40F95" w:rsidP="000B0274">
      <w:r>
        <w:separator/>
      </w:r>
    </w:p>
  </w:footnote>
  <w:footnote w:type="continuationSeparator" w:id="0">
    <w:p w:rsidR="00E40F95" w:rsidRDefault="00E40F95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96" w:rsidRPr="001A502E" w:rsidRDefault="001C2C96" w:rsidP="001A502E">
    <w:pPr>
      <w:rPr>
        <w:rFonts w:eastAsiaTheme="majorEastAsia"/>
      </w:rPr>
    </w:pPr>
    <w:r w:rsidRPr="008A251F">
      <w:rPr>
        <w:rFonts w:eastAsiaTheme="majorEastAsia"/>
        <w:noProof/>
      </w:rPr>
      <w:drawing>
        <wp:inline distT="0" distB="0" distL="0" distR="0" wp14:anchorId="1C948070" wp14:editId="080FFFC3">
          <wp:extent cx="4335880" cy="612000"/>
          <wp:effectExtent l="0" t="0" r="0" b="0"/>
          <wp:docPr id="1" name="Picture 1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88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502E">
      <w:tab/>
    </w:r>
    <w:r w:rsidR="001A502E" w:rsidRPr="001A502E">
      <w:rPr>
        <w:rFonts w:eastAsiaTheme="majorEastAsia"/>
        <w:sz w:val="18"/>
        <w:szCs w:val="18"/>
      </w:rPr>
      <w:t xml:space="preserve">TRIM: </w:t>
    </w:r>
    <w:r w:rsidR="0033776B">
      <w:rPr>
        <w:rFonts w:eastAsiaTheme="majorEastAsia"/>
        <w:sz w:val="18"/>
        <w:szCs w:val="18"/>
      </w:rPr>
      <w:t>D17-40552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66F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F89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9C9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78B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C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A88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087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E3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EA2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70744F2"/>
    <w:multiLevelType w:val="hybridMultilevel"/>
    <w:tmpl w:val="B2C47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>
    <w:nsid w:val="142C0AC3"/>
    <w:multiLevelType w:val="hybridMultilevel"/>
    <w:tmpl w:val="4C886172"/>
    <w:lvl w:ilvl="0" w:tplc="BC94F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80DAF"/>
    <w:multiLevelType w:val="multilevel"/>
    <w:tmpl w:val="79D2E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8AD4788"/>
    <w:multiLevelType w:val="hybridMultilevel"/>
    <w:tmpl w:val="C1D46E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14585"/>
    <w:multiLevelType w:val="hybridMultilevel"/>
    <w:tmpl w:val="C3DA0A86"/>
    <w:lvl w:ilvl="0" w:tplc="F36611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B0F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C484F"/>
    <w:multiLevelType w:val="multilevel"/>
    <w:tmpl w:val="EABE25FA"/>
    <w:numStyleLink w:val="Listbullets"/>
  </w:abstractNum>
  <w:abstractNum w:abstractNumId="19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320B2032"/>
    <w:multiLevelType w:val="hybridMultilevel"/>
    <w:tmpl w:val="A0E4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36CAF"/>
    <w:multiLevelType w:val="hybridMultilevel"/>
    <w:tmpl w:val="7A94EB46"/>
    <w:lvl w:ilvl="0" w:tplc="C78AA4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B195B"/>
    <w:multiLevelType w:val="hybridMultilevel"/>
    <w:tmpl w:val="B7C48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AB3DE0"/>
    <w:multiLevelType w:val="hybridMultilevel"/>
    <w:tmpl w:val="9002060E"/>
    <w:lvl w:ilvl="0" w:tplc="BD68E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94773"/>
    <w:multiLevelType w:val="multilevel"/>
    <w:tmpl w:val="0C09001D"/>
    <w:numStyleLink w:val="Bullet"/>
  </w:abstractNum>
  <w:abstractNum w:abstractNumId="27">
    <w:nsid w:val="70356B54"/>
    <w:multiLevelType w:val="multilevel"/>
    <w:tmpl w:val="A0B4CBEC"/>
    <w:lvl w:ilvl="0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5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624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5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86" w:firstLine="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0"/>
  </w:num>
  <w:num w:numId="5">
    <w:abstractNumId w:val="18"/>
  </w:num>
  <w:num w:numId="6">
    <w:abstractNumId w:val="15"/>
  </w:num>
  <w:num w:numId="7">
    <w:abstractNumId w:val="12"/>
  </w:num>
  <w:num w:numId="8">
    <w:abstractNumId w:val="19"/>
  </w:num>
  <w:num w:numId="9">
    <w:abstractNumId w:val="24"/>
  </w:num>
  <w:num w:numId="10">
    <w:abstractNumId w:val="10"/>
  </w:num>
  <w:num w:numId="11">
    <w:abstractNumId w:val="27"/>
  </w:num>
  <w:num w:numId="12">
    <w:abstractNumId w:val="23"/>
  </w:num>
  <w:num w:numId="13">
    <w:abstractNumId w:val="26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0"/>
  </w:num>
  <w:num w:numId="27">
    <w:abstractNumId w:val="22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TableGrid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9D"/>
    <w:rsid w:val="00001EE9"/>
    <w:rsid w:val="00003743"/>
    <w:rsid w:val="00025BC7"/>
    <w:rsid w:val="00031828"/>
    <w:rsid w:val="0003186E"/>
    <w:rsid w:val="00043671"/>
    <w:rsid w:val="00067456"/>
    <w:rsid w:val="000A0BFB"/>
    <w:rsid w:val="000A3571"/>
    <w:rsid w:val="000A3F0D"/>
    <w:rsid w:val="000B0274"/>
    <w:rsid w:val="000C1DD4"/>
    <w:rsid w:val="000D017D"/>
    <w:rsid w:val="000D4965"/>
    <w:rsid w:val="000E2F2E"/>
    <w:rsid w:val="000F4EED"/>
    <w:rsid w:val="00102776"/>
    <w:rsid w:val="0014144E"/>
    <w:rsid w:val="001921ED"/>
    <w:rsid w:val="001A05FB"/>
    <w:rsid w:val="001A502E"/>
    <w:rsid w:val="001B3443"/>
    <w:rsid w:val="001C2C96"/>
    <w:rsid w:val="001E1042"/>
    <w:rsid w:val="001E6FC6"/>
    <w:rsid w:val="001E77C4"/>
    <w:rsid w:val="001F1F63"/>
    <w:rsid w:val="00237ADF"/>
    <w:rsid w:val="00245D81"/>
    <w:rsid w:val="00255596"/>
    <w:rsid w:val="00261F43"/>
    <w:rsid w:val="002662B4"/>
    <w:rsid w:val="00267635"/>
    <w:rsid w:val="00281FD4"/>
    <w:rsid w:val="00282634"/>
    <w:rsid w:val="002C6AF0"/>
    <w:rsid w:val="002F3AE3"/>
    <w:rsid w:val="0030786C"/>
    <w:rsid w:val="00312A62"/>
    <w:rsid w:val="00316683"/>
    <w:rsid w:val="0033776B"/>
    <w:rsid w:val="003873C6"/>
    <w:rsid w:val="003C297A"/>
    <w:rsid w:val="003D17F9"/>
    <w:rsid w:val="003D437B"/>
    <w:rsid w:val="003E76C8"/>
    <w:rsid w:val="003F1291"/>
    <w:rsid w:val="00411B81"/>
    <w:rsid w:val="00412E9D"/>
    <w:rsid w:val="00443AAA"/>
    <w:rsid w:val="00447D31"/>
    <w:rsid w:val="004540ED"/>
    <w:rsid w:val="00470AB8"/>
    <w:rsid w:val="004867E2"/>
    <w:rsid w:val="00486826"/>
    <w:rsid w:val="004A0670"/>
    <w:rsid w:val="004B2999"/>
    <w:rsid w:val="004C03BF"/>
    <w:rsid w:val="004E58C1"/>
    <w:rsid w:val="005107F0"/>
    <w:rsid w:val="00512CF2"/>
    <w:rsid w:val="0052107C"/>
    <w:rsid w:val="005221B7"/>
    <w:rsid w:val="0054166A"/>
    <w:rsid w:val="00544A4E"/>
    <w:rsid w:val="00553E33"/>
    <w:rsid w:val="00562996"/>
    <w:rsid w:val="00566B97"/>
    <w:rsid w:val="0059724C"/>
    <w:rsid w:val="005C1496"/>
    <w:rsid w:val="005C6AAE"/>
    <w:rsid w:val="005E1EA2"/>
    <w:rsid w:val="005E2614"/>
    <w:rsid w:val="005F216B"/>
    <w:rsid w:val="00607B0B"/>
    <w:rsid w:val="006123F1"/>
    <w:rsid w:val="00617CC4"/>
    <w:rsid w:val="00617D74"/>
    <w:rsid w:val="0064303E"/>
    <w:rsid w:val="00677522"/>
    <w:rsid w:val="006803BA"/>
    <w:rsid w:val="00694EA4"/>
    <w:rsid w:val="006A3D7C"/>
    <w:rsid w:val="006E185B"/>
    <w:rsid w:val="006E688D"/>
    <w:rsid w:val="007028EC"/>
    <w:rsid w:val="0070703E"/>
    <w:rsid w:val="0071637F"/>
    <w:rsid w:val="00731D7A"/>
    <w:rsid w:val="007360BF"/>
    <w:rsid w:val="007545C7"/>
    <w:rsid w:val="00754DA4"/>
    <w:rsid w:val="0076005C"/>
    <w:rsid w:val="0076199C"/>
    <w:rsid w:val="007635C1"/>
    <w:rsid w:val="007646C2"/>
    <w:rsid w:val="00766B42"/>
    <w:rsid w:val="00775E56"/>
    <w:rsid w:val="007761D8"/>
    <w:rsid w:val="0078070C"/>
    <w:rsid w:val="00781F96"/>
    <w:rsid w:val="00784541"/>
    <w:rsid w:val="007968CC"/>
    <w:rsid w:val="00796FB7"/>
    <w:rsid w:val="007B04A9"/>
    <w:rsid w:val="007B16AC"/>
    <w:rsid w:val="007B171A"/>
    <w:rsid w:val="007E000D"/>
    <w:rsid w:val="007E24DE"/>
    <w:rsid w:val="00822E23"/>
    <w:rsid w:val="008264EB"/>
    <w:rsid w:val="00827924"/>
    <w:rsid w:val="00830756"/>
    <w:rsid w:val="008A58F9"/>
    <w:rsid w:val="008B38D3"/>
    <w:rsid w:val="008D49F9"/>
    <w:rsid w:val="008D7EC9"/>
    <w:rsid w:val="008E5D6A"/>
    <w:rsid w:val="0090155A"/>
    <w:rsid w:val="0091137C"/>
    <w:rsid w:val="009402C5"/>
    <w:rsid w:val="009424A5"/>
    <w:rsid w:val="00947AB5"/>
    <w:rsid w:val="00961421"/>
    <w:rsid w:val="00964277"/>
    <w:rsid w:val="00977D26"/>
    <w:rsid w:val="009A263C"/>
    <w:rsid w:val="009B053D"/>
    <w:rsid w:val="009B64E3"/>
    <w:rsid w:val="009E1F38"/>
    <w:rsid w:val="009E6B78"/>
    <w:rsid w:val="009F3B54"/>
    <w:rsid w:val="009F5557"/>
    <w:rsid w:val="00A0554C"/>
    <w:rsid w:val="00A15082"/>
    <w:rsid w:val="00A4199A"/>
    <w:rsid w:val="00A44A82"/>
    <w:rsid w:val="00A4512D"/>
    <w:rsid w:val="00A51B88"/>
    <w:rsid w:val="00A53246"/>
    <w:rsid w:val="00A705AF"/>
    <w:rsid w:val="00A75B58"/>
    <w:rsid w:val="00A86148"/>
    <w:rsid w:val="00A931E2"/>
    <w:rsid w:val="00A93A18"/>
    <w:rsid w:val="00A964DB"/>
    <w:rsid w:val="00AA6DC2"/>
    <w:rsid w:val="00AA7B58"/>
    <w:rsid w:val="00AB40AB"/>
    <w:rsid w:val="00AB6ED9"/>
    <w:rsid w:val="00AD52A0"/>
    <w:rsid w:val="00AF6154"/>
    <w:rsid w:val="00B24DF4"/>
    <w:rsid w:val="00B2665E"/>
    <w:rsid w:val="00B268C8"/>
    <w:rsid w:val="00B32DD1"/>
    <w:rsid w:val="00B3720C"/>
    <w:rsid w:val="00B41409"/>
    <w:rsid w:val="00B42851"/>
    <w:rsid w:val="00B47076"/>
    <w:rsid w:val="00B56B37"/>
    <w:rsid w:val="00B743C2"/>
    <w:rsid w:val="00B8026C"/>
    <w:rsid w:val="00B95A67"/>
    <w:rsid w:val="00BC07E4"/>
    <w:rsid w:val="00BC114A"/>
    <w:rsid w:val="00BD2F70"/>
    <w:rsid w:val="00C06314"/>
    <w:rsid w:val="00C1074C"/>
    <w:rsid w:val="00C436EE"/>
    <w:rsid w:val="00C51BE7"/>
    <w:rsid w:val="00C911AD"/>
    <w:rsid w:val="00CB0684"/>
    <w:rsid w:val="00CB5B1A"/>
    <w:rsid w:val="00CB733F"/>
    <w:rsid w:val="00CC697B"/>
    <w:rsid w:val="00D24922"/>
    <w:rsid w:val="00D40AE4"/>
    <w:rsid w:val="00D42B9A"/>
    <w:rsid w:val="00D469E4"/>
    <w:rsid w:val="00D56B91"/>
    <w:rsid w:val="00D73FE2"/>
    <w:rsid w:val="00D7465B"/>
    <w:rsid w:val="00D96327"/>
    <w:rsid w:val="00DA36F6"/>
    <w:rsid w:val="00DB5990"/>
    <w:rsid w:val="00DC0D24"/>
    <w:rsid w:val="00DE729E"/>
    <w:rsid w:val="00E02518"/>
    <w:rsid w:val="00E13C5C"/>
    <w:rsid w:val="00E236C6"/>
    <w:rsid w:val="00E26992"/>
    <w:rsid w:val="00E36552"/>
    <w:rsid w:val="00E37C38"/>
    <w:rsid w:val="00E40F95"/>
    <w:rsid w:val="00E4312B"/>
    <w:rsid w:val="00E60EE1"/>
    <w:rsid w:val="00E61247"/>
    <w:rsid w:val="00E708F6"/>
    <w:rsid w:val="00E86B67"/>
    <w:rsid w:val="00EA5FD0"/>
    <w:rsid w:val="00EE356F"/>
    <w:rsid w:val="00EE397E"/>
    <w:rsid w:val="00EE476F"/>
    <w:rsid w:val="00EF1C95"/>
    <w:rsid w:val="00F031A2"/>
    <w:rsid w:val="00F06BC7"/>
    <w:rsid w:val="00F078B7"/>
    <w:rsid w:val="00F17F4C"/>
    <w:rsid w:val="00F238F2"/>
    <w:rsid w:val="00F332B3"/>
    <w:rsid w:val="00F34D63"/>
    <w:rsid w:val="00F41C35"/>
    <w:rsid w:val="00F5269A"/>
    <w:rsid w:val="00F549D7"/>
    <w:rsid w:val="00F556DB"/>
    <w:rsid w:val="00F73D95"/>
    <w:rsid w:val="00F86785"/>
    <w:rsid w:val="00F95769"/>
    <w:rsid w:val="00FC6E0E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267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uiPriority="0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footnote text" w:locked="0" w:uiPriority="0"/>
    <w:lsdException w:name="annotation text" w:uiPriority="0"/>
    <w:lsdException w:name="header" w:uiPriority="0"/>
    <w:lsdException w:name="footer" w:locked="0" w:uiPriority="99"/>
    <w:lsdException w:name="caption" w:semiHidden="1" w:unhideWhenUsed="1" w:qFormat="1"/>
    <w:lsdException w:name="footnote reference" w:locked="0" w:uiPriority="0"/>
    <w:lsdException w:name="annotation reference" w:uiPriority="0"/>
    <w:lsdException w:name="Title" w:locked="0" w:uiPriority="0" w:qFormat="1"/>
    <w:lsdException w:name="Default Paragraph Font" w:locked="0" w:uiPriority="0"/>
    <w:lsdException w:name="Subtitle" w:uiPriority="11"/>
    <w:lsdException w:name="Hyperlink" w:locked="0" w:uiPriority="99"/>
    <w:lsdException w:name="FollowedHyperlink" w:locked="0" w:uiPriority="0"/>
    <w:lsdException w:name="Strong" w:locked="0" w:uiPriority="0" w:qFormat="1"/>
    <w:lsdException w:name="Emphasis" w:locked="0" w:uiPriority="0"/>
    <w:lsdException w:name="HTML Top of Form" w:locked="0" w:uiPriority="0"/>
    <w:lsdException w:name="HTML Bottom of Form" w:locked="0" w:uiPriority="0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locked="0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1074C"/>
    <w:pPr>
      <w:spacing w:after="20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BalloonText">
    <w:name w:val="Balloon Text"/>
    <w:basedOn w:val="Normal"/>
    <w:link w:val="BalloonTextChar"/>
    <w:locked/>
    <w:rsid w:val="000318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8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544A4E"/>
    <w:pPr>
      <w:numPr>
        <w:numId w:val="14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qFormat/>
    <w:rsid w:val="005C1496"/>
    <w:pPr>
      <w:spacing w:before="120" w:after="120"/>
    </w:pPr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qFormat/>
    <w:rsid w:val="009A263C"/>
    <w:pPr>
      <w:tabs>
        <w:tab w:val="right" w:pos="9016"/>
      </w:tabs>
      <w:spacing w:before="120" w:after="120"/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qFormat/>
    <w:rsid w:val="009A263C"/>
    <w:pPr>
      <w:tabs>
        <w:tab w:val="left" w:pos="8902"/>
      </w:tabs>
      <w:spacing w:after="0"/>
      <w:ind w:left="442"/>
    </w:pPr>
    <w:rPr>
      <w:rFonts w:cstheme="minorHAnsi"/>
      <w:iCs/>
      <w:sz w:val="20"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styleId="Hyperlink">
    <w:name w:val="Hyperlink"/>
    <w:basedOn w:val="DefaultParagraphFont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pPr>
      <w:spacing w:before="120" w:after="120"/>
    </w:pPr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4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12"/>
      </w:numPr>
      <w:spacing w:before="120"/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7"/>
      </w:numPr>
    </w:pPr>
  </w:style>
  <w:style w:type="numbering" w:customStyle="1" w:styleId="Bullets">
    <w:name w:val="Bullets"/>
    <w:uiPriority w:val="99"/>
    <w:locked/>
    <w:rsid w:val="000D017D"/>
    <w:pPr>
      <w:numPr>
        <w:numId w:val="8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9"/>
      </w:numPr>
    </w:pPr>
  </w:style>
  <w:style w:type="paragraph" w:customStyle="1" w:styleId="PublicationDate">
    <w:name w:val="Publication Date"/>
    <w:basedOn w:val="Normal"/>
    <w:link w:val="PublicationDateChar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styleId="Header">
    <w:name w:val="header"/>
    <w:basedOn w:val="Normal"/>
    <w:link w:val="HeaderChar"/>
    <w:locked/>
    <w:rsid w:val="00754D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4DA4"/>
  </w:style>
  <w:style w:type="character" w:styleId="CommentReference">
    <w:name w:val="annotation reference"/>
    <w:basedOn w:val="DefaultParagraphFont"/>
    <w:locked/>
    <w:rsid w:val="008B38D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B38D3"/>
    <w:pPr>
      <w:spacing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38D3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locked/>
    <w:rsid w:val="001A502E"/>
    <w:pPr>
      <w:spacing w:after="0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basedOn w:val="Normal"/>
    <w:uiPriority w:val="99"/>
    <w:rsid w:val="00822E23"/>
    <w:pPr>
      <w:autoSpaceDE w:val="0"/>
      <w:autoSpaceDN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68C8"/>
    <w:rPr>
      <w:rFonts w:cs="Arial"/>
      <w:b/>
      <w:bCs/>
      <w:iCs/>
      <w:color w:val="1178A2"/>
      <w:kern w:val="28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267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uiPriority="0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footnote text" w:locked="0" w:uiPriority="0"/>
    <w:lsdException w:name="annotation text" w:uiPriority="0"/>
    <w:lsdException w:name="header" w:uiPriority="0"/>
    <w:lsdException w:name="footer" w:locked="0" w:uiPriority="99"/>
    <w:lsdException w:name="caption" w:semiHidden="1" w:unhideWhenUsed="1" w:qFormat="1"/>
    <w:lsdException w:name="footnote reference" w:locked="0" w:uiPriority="0"/>
    <w:lsdException w:name="annotation reference" w:uiPriority="0"/>
    <w:lsdException w:name="Title" w:locked="0" w:uiPriority="0" w:qFormat="1"/>
    <w:lsdException w:name="Default Paragraph Font" w:locked="0" w:uiPriority="0"/>
    <w:lsdException w:name="Subtitle" w:uiPriority="11"/>
    <w:lsdException w:name="Hyperlink" w:locked="0" w:uiPriority="99"/>
    <w:lsdException w:name="FollowedHyperlink" w:locked="0" w:uiPriority="0"/>
    <w:lsdException w:name="Strong" w:locked="0" w:uiPriority="0" w:qFormat="1"/>
    <w:lsdException w:name="Emphasis" w:locked="0" w:uiPriority="0"/>
    <w:lsdException w:name="HTML Top of Form" w:locked="0" w:uiPriority="0"/>
    <w:lsdException w:name="HTML Bottom of Form" w:locked="0" w:uiPriority="0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locked="0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1074C"/>
    <w:pPr>
      <w:spacing w:after="20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BalloonText">
    <w:name w:val="Balloon Text"/>
    <w:basedOn w:val="Normal"/>
    <w:link w:val="BalloonTextChar"/>
    <w:locked/>
    <w:rsid w:val="000318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8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544A4E"/>
    <w:pPr>
      <w:numPr>
        <w:numId w:val="14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qFormat/>
    <w:rsid w:val="005C1496"/>
    <w:pPr>
      <w:spacing w:before="120" w:after="120"/>
    </w:pPr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qFormat/>
    <w:rsid w:val="009A263C"/>
    <w:pPr>
      <w:tabs>
        <w:tab w:val="right" w:pos="9016"/>
      </w:tabs>
      <w:spacing w:before="120" w:after="120"/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qFormat/>
    <w:rsid w:val="009A263C"/>
    <w:pPr>
      <w:tabs>
        <w:tab w:val="left" w:pos="8902"/>
      </w:tabs>
      <w:spacing w:after="0"/>
      <w:ind w:left="442"/>
    </w:pPr>
    <w:rPr>
      <w:rFonts w:cstheme="minorHAnsi"/>
      <w:iCs/>
      <w:sz w:val="20"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styleId="Hyperlink">
    <w:name w:val="Hyperlink"/>
    <w:basedOn w:val="DefaultParagraphFont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pPr>
      <w:spacing w:before="120" w:after="120"/>
    </w:pPr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4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12"/>
      </w:numPr>
      <w:spacing w:before="120"/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7"/>
      </w:numPr>
    </w:pPr>
  </w:style>
  <w:style w:type="numbering" w:customStyle="1" w:styleId="Bullets">
    <w:name w:val="Bullets"/>
    <w:uiPriority w:val="99"/>
    <w:locked/>
    <w:rsid w:val="000D017D"/>
    <w:pPr>
      <w:numPr>
        <w:numId w:val="8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9"/>
      </w:numPr>
    </w:pPr>
  </w:style>
  <w:style w:type="paragraph" w:customStyle="1" w:styleId="PublicationDate">
    <w:name w:val="Publication Date"/>
    <w:basedOn w:val="Normal"/>
    <w:link w:val="PublicationDateChar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styleId="Header">
    <w:name w:val="header"/>
    <w:basedOn w:val="Normal"/>
    <w:link w:val="HeaderChar"/>
    <w:locked/>
    <w:rsid w:val="00754D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4DA4"/>
  </w:style>
  <w:style w:type="character" w:styleId="CommentReference">
    <w:name w:val="annotation reference"/>
    <w:basedOn w:val="DefaultParagraphFont"/>
    <w:locked/>
    <w:rsid w:val="008B38D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B38D3"/>
    <w:pPr>
      <w:spacing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38D3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locked/>
    <w:rsid w:val="001A502E"/>
    <w:pPr>
      <w:spacing w:after="0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basedOn w:val="Normal"/>
    <w:uiPriority w:val="99"/>
    <w:rsid w:val="00822E23"/>
    <w:pPr>
      <w:autoSpaceDE w:val="0"/>
      <w:autoSpaceDN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68C8"/>
    <w:rPr>
      <w:rFonts w:cs="Arial"/>
      <w:b/>
      <w:bCs/>
      <w:iCs/>
      <w:color w:val="1178A2"/>
      <w:kern w:val="28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hrq.gov/professionals/quality-patient-safety/quality-resources/tools/literacy-toolkit/healthlittoolkit2-tool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fetyandquality.gov.au/publications/recommendations-for-terminology-abbreviations-and-symbols-used-in-medicines-document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5B12-88A8-4910-894A-480AD065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Cresswell Adam</dc:creator>
  <cp:lastModifiedBy>STINGEMORE, Karen</cp:lastModifiedBy>
  <cp:revision>2</cp:revision>
  <cp:lastPrinted>2018-03-20T01:09:00Z</cp:lastPrinted>
  <dcterms:created xsi:type="dcterms:W3CDTF">2018-04-26T02:56:00Z</dcterms:created>
  <dcterms:modified xsi:type="dcterms:W3CDTF">2018-04-26T02:56:00Z</dcterms:modified>
</cp:coreProperties>
</file>