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829F74" w14:textId="77777777" w:rsidR="00B24DF4" w:rsidRPr="00E867F6" w:rsidRDefault="00B24DF4" w:rsidP="009424A5">
      <w:bookmarkStart w:id="0" w:name="_Toc476822632"/>
      <w:bookmarkStart w:id="1" w:name="_Toc476822653"/>
      <w:r w:rsidRPr="00E867F6">
        <w:rPr>
          <w:rFonts w:eastAsiaTheme="majorEastAsia"/>
          <w:noProof/>
        </w:rPr>
        <w:drawing>
          <wp:inline distT="0" distB="0" distL="0" distR="0" wp14:anchorId="0034E737" wp14:editId="0896D771">
            <wp:extent cx="4335880" cy="612000"/>
            <wp:effectExtent l="0" t="0" r="0" b="0"/>
            <wp:docPr id="3" name="Picture 3"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35880" cy="612000"/>
                    </a:xfrm>
                    <a:prstGeom prst="rect">
                      <a:avLst/>
                    </a:prstGeom>
                  </pic:spPr>
                </pic:pic>
              </a:graphicData>
            </a:graphic>
          </wp:inline>
        </w:drawing>
      </w:r>
      <w:bookmarkEnd w:id="0"/>
      <w:bookmarkEnd w:id="1"/>
    </w:p>
    <w:p w14:paraId="382BD219" w14:textId="77777777" w:rsidR="00BC07E4" w:rsidRPr="00E867F6" w:rsidRDefault="00BC07E4" w:rsidP="009424A5">
      <w:pPr>
        <w:pStyle w:val="PublicationDate"/>
      </w:pPr>
    </w:p>
    <w:p w14:paraId="0427E253" w14:textId="77777777" w:rsidR="00BC07E4" w:rsidRPr="00E867F6" w:rsidRDefault="00BC07E4" w:rsidP="009424A5">
      <w:pPr>
        <w:pStyle w:val="PublicationDate"/>
      </w:pPr>
    </w:p>
    <w:p w14:paraId="09224A72" w14:textId="77777777" w:rsidR="00BC07E4" w:rsidRPr="00E867F6" w:rsidRDefault="00BC07E4" w:rsidP="00BC07E4">
      <w:pPr>
        <w:rPr>
          <w:rFonts w:eastAsiaTheme="majorEastAsia"/>
        </w:rPr>
      </w:pPr>
    </w:p>
    <w:p w14:paraId="038EA50D" w14:textId="26525905" w:rsidR="00BC07E4" w:rsidRPr="0044530F" w:rsidRDefault="00BC07E4" w:rsidP="00BC07E4">
      <w:pPr>
        <w:rPr>
          <w:rFonts w:eastAsiaTheme="majorEastAsia"/>
          <w:color w:val="7F7F7F" w:themeColor="text1" w:themeTint="80"/>
          <w:sz w:val="16"/>
          <w:szCs w:val="16"/>
          <w:highlight w:val="yellow"/>
        </w:rPr>
      </w:pPr>
      <w:r w:rsidRPr="0044530F">
        <w:rPr>
          <w:rFonts w:eastAsiaTheme="majorEastAsia"/>
          <w:color w:val="7F7F7F" w:themeColor="text1" w:themeTint="80"/>
          <w:sz w:val="16"/>
          <w:szCs w:val="16"/>
        </w:rPr>
        <w:t xml:space="preserve">TRIM: </w:t>
      </w:r>
      <w:r w:rsidR="008939C8" w:rsidRPr="0044530F">
        <w:rPr>
          <w:rFonts w:eastAsiaTheme="majorEastAsia"/>
          <w:color w:val="7F7F7F" w:themeColor="text1" w:themeTint="80"/>
          <w:sz w:val="16"/>
          <w:szCs w:val="16"/>
        </w:rPr>
        <w:t>D18-27543</w:t>
      </w:r>
    </w:p>
    <w:p w14:paraId="125E8897" w14:textId="77777777" w:rsidR="00BC07E4" w:rsidRPr="00E867F6" w:rsidRDefault="00BC07E4" w:rsidP="009424A5">
      <w:pPr>
        <w:pStyle w:val="PublicationDate"/>
      </w:pPr>
    </w:p>
    <w:p w14:paraId="4FAACA6B" w14:textId="77777777" w:rsidR="00BC07E4" w:rsidRPr="00E867F6" w:rsidRDefault="00BC07E4" w:rsidP="009424A5">
      <w:pPr>
        <w:pStyle w:val="PublicationDate"/>
      </w:pPr>
    </w:p>
    <w:p w14:paraId="6624423C" w14:textId="4B34DDEE" w:rsidR="000B0274" w:rsidRPr="00E867F6" w:rsidRDefault="00C450CE" w:rsidP="009424A5">
      <w:pPr>
        <w:pStyle w:val="PublicationDate"/>
      </w:pPr>
      <w:r>
        <w:t>March</w:t>
      </w:r>
      <w:r w:rsidR="00801C23">
        <w:t xml:space="preserve"> </w:t>
      </w:r>
      <w:r w:rsidR="00884864" w:rsidRPr="00E867F6">
        <w:t>201</w:t>
      </w:r>
      <w:r w:rsidR="00801C23">
        <w:t>9</w:t>
      </w:r>
    </w:p>
    <w:p w14:paraId="180DF00F" w14:textId="77777777" w:rsidR="00BC07E4" w:rsidRPr="00E867F6" w:rsidRDefault="00BC07E4" w:rsidP="009424A5">
      <w:pPr>
        <w:pStyle w:val="PublicationDate"/>
      </w:pPr>
    </w:p>
    <w:p w14:paraId="69BF3761" w14:textId="77777777" w:rsidR="00BC07E4" w:rsidRPr="00E867F6" w:rsidRDefault="00BC07E4" w:rsidP="009424A5">
      <w:pPr>
        <w:pStyle w:val="PublicationDate"/>
      </w:pPr>
    </w:p>
    <w:p w14:paraId="67BC6C76" w14:textId="77777777" w:rsidR="000B0274" w:rsidRPr="00E867F6" w:rsidRDefault="00884864" w:rsidP="009424A5">
      <w:pPr>
        <w:pStyle w:val="Title"/>
      </w:pPr>
      <w:r w:rsidRPr="00E867F6">
        <w:t>Public reporting of safety and quality in public and private hospitals</w:t>
      </w:r>
    </w:p>
    <w:p w14:paraId="4299DE1B" w14:textId="770E35AD" w:rsidR="000B0274" w:rsidRPr="00E867F6" w:rsidRDefault="003A7F59" w:rsidP="009424A5">
      <w:pPr>
        <w:pStyle w:val="Subheading"/>
      </w:pPr>
      <w:r w:rsidRPr="00E867F6">
        <w:t xml:space="preserve">Literature </w:t>
      </w:r>
      <w:r w:rsidR="00A65CB4">
        <w:t>r</w:t>
      </w:r>
      <w:r w:rsidR="00A65CB4" w:rsidRPr="00E867F6">
        <w:t xml:space="preserve">eview </w:t>
      </w:r>
      <w:r w:rsidR="00573932" w:rsidRPr="00E867F6">
        <w:t xml:space="preserve">and </w:t>
      </w:r>
      <w:r w:rsidR="00A65CB4">
        <w:t>e</w:t>
      </w:r>
      <w:r w:rsidR="00A65CB4" w:rsidRPr="00E867F6">
        <w:t xml:space="preserve">nvironment </w:t>
      </w:r>
      <w:r w:rsidR="00A65CB4">
        <w:t>s</w:t>
      </w:r>
      <w:r w:rsidR="00A65CB4" w:rsidRPr="00E867F6">
        <w:t>can</w:t>
      </w:r>
    </w:p>
    <w:p w14:paraId="23EA9996" w14:textId="77777777" w:rsidR="00D2773F" w:rsidRPr="00E867F6" w:rsidRDefault="00D2773F" w:rsidP="009A007B">
      <w:pPr>
        <w:sectPr w:rsidR="00D2773F" w:rsidRPr="00E867F6" w:rsidSect="001116C6">
          <w:footerReference w:type="default" r:id="rId10"/>
          <w:pgSz w:w="11906" w:h="16838"/>
          <w:pgMar w:top="1440" w:right="1440" w:bottom="1440" w:left="1440" w:header="708" w:footer="708" w:gutter="0"/>
          <w:cols w:space="708"/>
          <w:titlePg/>
          <w:docGrid w:linePitch="360"/>
        </w:sectPr>
      </w:pPr>
      <w:bookmarkStart w:id="2" w:name="_Toc476822633"/>
      <w:bookmarkStart w:id="3" w:name="_Toc476822654"/>
      <w:bookmarkStart w:id="4" w:name="_Toc476822854"/>
      <w:bookmarkStart w:id="5" w:name="_Toc476823158"/>
      <w:bookmarkStart w:id="6" w:name="_Toc476823667"/>
    </w:p>
    <w:p w14:paraId="7A12D8EB" w14:textId="77777777" w:rsidR="009A007B" w:rsidRPr="00E867F6" w:rsidRDefault="009A007B" w:rsidP="009A007B">
      <w:r w:rsidRPr="00E867F6">
        <w:lastRenderedPageBreak/>
        <w:t>Published by the Australian Commission on Safety and Quality in Health Care</w:t>
      </w:r>
      <w:r w:rsidRPr="00E867F6">
        <w:br/>
        <w:t>Level 5, 255 E</w:t>
      </w:r>
      <w:r w:rsidR="000406F8" w:rsidRPr="00E867F6">
        <w:t>lizabeth Street, Sydney NSW 2000</w:t>
      </w:r>
    </w:p>
    <w:p w14:paraId="4018AFE0" w14:textId="77777777" w:rsidR="009A007B" w:rsidRPr="00E867F6" w:rsidRDefault="009A007B" w:rsidP="009A007B">
      <w:r w:rsidRPr="00E867F6">
        <w:t>Phone: (02) 9126 3600</w:t>
      </w:r>
      <w:r w:rsidRPr="00E867F6">
        <w:br/>
        <w:t>Fax: (02) 9126 3613</w:t>
      </w:r>
    </w:p>
    <w:p w14:paraId="0E1FEBA3" w14:textId="77777777" w:rsidR="009A007B" w:rsidRPr="00E867F6" w:rsidRDefault="009A007B" w:rsidP="009A007B">
      <w:pPr>
        <w:rPr>
          <w:rFonts w:ascii="Times New Roman" w:hAnsi="Times New Roman"/>
          <w:snapToGrid w:val="0"/>
          <w:color w:val="000000"/>
          <w:w w:val="0"/>
          <w:sz w:val="0"/>
          <w:szCs w:val="0"/>
          <w:highlight w:val="yellow"/>
          <w:u w:color="000000"/>
          <w:bdr w:val="none" w:sz="0" w:space="0" w:color="000000"/>
          <w:shd w:val="clear" w:color="000000" w:fill="000000"/>
          <w:lang w:eastAsia="x-none" w:bidi="x-none"/>
        </w:rPr>
      </w:pPr>
      <w:r w:rsidRPr="00E867F6">
        <w:t xml:space="preserve">Email: mail@safetyandquality.gov.au </w:t>
      </w:r>
      <w:r w:rsidRPr="00E867F6">
        <w:br/>
        <w:t>Website: www.safetyandquality.gov.au</w:t>
      </w:r>
      <w:r w:rsidRPr="00E867F6">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p>
    <w:p w14:paraId="799F75B9" w14:textId="1679A3E9" w:rsidR="009A007B" w:rsidRPr="00E867F6" w:rsidRDefault="009A007B" w:rsidP="009A007B">
      <w:r w:rsidRPr="00E867F6">
        <w:t xml:space="preserve">ISBN: </w:t>
      </w:r>
      <w:r w:rsidR="00E70A77" w:rsidRPr="00E70A77">
        <w:t xml:space="preserve">978-1-925665-80-2           </w:t>
      </w:r>
      <w:r w:rsidRPr="00E867F6">
        <w:br/>
      </w:r>
    </w:p>
    <w:p w14:paraId="75742C2C" w14:textId="5391EBD3" w:rsidR="009A007B" w:rsidRPr="00E867F6" w:rsidRDefault="009A007B" w:rsidP="009A007B">
      <w:r w:rsidRPr="00E867F6">
        <w:t xml:space="preserve">© Australian Commission on Safety and Quality in Health Care </w:t>
      </w:r>
      <w:r w:rsidR="00801C23">
        <w:t>2019</w:t>
      </w:r>
    </w:p>
    <w:p w14:paraId="04CF7878" w14:textId="77777777" w:rsidR="00EF5C37" w:rsidRPr="00E867F6" w:rsidRDefault="00EF5C37" w:rsidP="00EF5C37">
      <w:r w:rsidRPr="00E867F6">
        <w:t xml:space="preserve">All material and work produced by the Australian Commission on Safety and Quality in Health Care (the Commission) is protected by copyright. The Commission reserves the right to set out the terms and conditions for the use of such material. </w:t>
      </w:r>
    </w:p>
    <w:p w14:paraId="264D3709" w14:textId="77777777" w:rsidR="00EF5C37" w:rsidRPr="00E867F6" w:rsidRDefault="00EF5C37" w:rsidP="00EF5C37">
      <w:r w:rsidRPr="00E867F6">
        <w:t>As far as practicable, material for which the copyright is owned by a third party will be clearly labelled. The Commission has made all reasonable efforts to ensure that this material has been reproduced in this publication with the full consent of the copyright owners.</w:t>
      </w:r>
    </w:p>
    <w:p w14:paraId="7B452AE2" w14:textId="77777777" w:rsidR="00EF5C37" w:rsidRPr="00E867F6" w:rsidRDefault="00EF5C37" w:rsidP="00EF5C37">
      <w:pPr>
        <w:rPr>
          <w:u w:val="single"/>
        </w:rPr>
      </w:pPr>
      <w:r w:rsidRPr="00E867F6">
        <w:t>With the exception of any material protected by a trademark, any content provided by third parties and where otherwise noted, all material presented in this publication is licensed under a </w:t>
      </w:r>
      <w:hyperlink r:id="rId11" w:history="1">
        <w:r w:rsidRPr="00E867F6">
          <w:rPr>
            <w:rStyle w:val="Hyperlink"/>
          </w:rPr>
          <w:t>Creative Commons Attribution–</w:t>
        </w:r>
        <w:proofErr w:type="spellStart"/>
        <w:r w:rsidRPr="00E867F6">
          <w:rPr>
            <w:rStyle w:val="Hyperlink"/>
          </w:rPr>
          <w:t>NonCommercial</w:t>
        </w:r>
        <w:proofErr w:type="spellEnd"/>
        <w:r w:rsidRPr="00E867F6">
          <w:rPr>
            <w:rStyle w:val="Hyperlink"/>
          </w:rPr>
          <w:t>–</w:t>
        </w:r>
        <w:proofErr w:type="spellStart"/>
        <w:r w:rsidRPr="00E867F6">
          <w:rPr>
            <w:rStyle w:val="Hyperlink"/>
          </w:rPr>
          <w:t>NoDerivatives</w:t>
        </w:r>
        <w:proofErr w:type="spellEnd"/>
        <w:r w:rsidRPr="00E867F6">
          <w:rPr>
            <w:rStyle w:val="Hyperlink"/>
          </w:rPr>
          <w:t xml:space="preserve"> 4.0 International licence</w:t>
        </w:r>
      </w:hyperlink>
      <w:r w:rsidRPr="00E867F6">
        <w:rPr>
          <w:u w:val="single"/>
        </w:rPr>
        <w:t>.</w:t>
      </w:r>
    </w:p>
    <w:p w14:paraId="278B1F68" w14:textId="77777777" w:rsidR="00EF5C37" w:rsidRPr="00E867F6" w:rsidRDefault="00AB1978" w:rsidP="00EF5C37">
      <w:r w:rsidRPr="00E867F6">
        <w:rPr>
          <w:noProof/>
        </w:rPr>
        <w:drawing>
          <wp:inline distT="0" distB="0" distL="0" distR="0" wp14:anchorId="1DD3AED8" wp14:editId="5CE75D70">
            <wp:extent cx="859221" cy="298210"/>
            <wp:effectExtent l="0" t="0" r="0" b="6985"/>
            <wp:docPr id="1" name="Picture 1" descr="\\central.health\dfsuserenv\Users\User_11\cresad\Desktop\CC BY-NC-ND 3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health\dfsuserenv\Users\User_11\cresad\Desktop\CC BY-NC-ND 3 lar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9619" cy="298348"/>
                    </a:xfrm>
                    <a:prstGeom prst="rect">
                      <a:avLst/>
                    </a:prstGeom>
                    <a:noFill/>
                    <a:ln>
                      <a:noFill/>
                    </a:ln>
                  </pic:spPr>
                </pic:pic>
              </a:graphicData>
            </a:graphic>
          </wp:inline>
        </w:drawing>
      </w:r>
    </w:p>
    <w:p w14:paraId="1F40A3A3" w14:textId="77777777" w:rsidR="00EF5C37" w:rsidRPr="00E867F6" w:rsidRDefault="00EF5C37" w:rsidP="00EF5C37">
      <w:r w:rsidRPr="00E867F6">
        <w:t xml:space="preserve">Enquiries about the licence and any use of this publication are welcome and can be sent to </w:t>
      </w:r>
      <w:hyperlink r:id="rId13" w:history="1">
        <w:r w:rsidRPr="00E867F6">
          <w:rPr>
            <w:rStyle w:val="Hyperlink"/>
          </w:rPr>
          <w:t>communications@safetyandquality.gov.au</w:t>
        </w:r>
      </w:hyperlink>
      <w:r w:rsidRPr="00E867F6">
        <w:t>.</w:t>
      </w:r>
    </w:p>
    <w:p w14:paraId="0DD2694D" w14:textId="77777777" w:rsidR="00EF5C37" w:rsidRPr="00E867F6" w:rsidRDefault="00EF5C37" w:rsidP="00EF5C37">
      <w:r w:rsidRPr="00E867F6">
        <w:t xml:space="preserve">The Commission’s preference is that you attribute this publication (and any material sourced from it) using the following citation: </w:t>
      </w:r>
    </w:p>
    <w:p w14:paraId="5C1E7494" w14:textId="77777777" w:rsidR="009A007B" w:rsidRPr="00E867F6" w:rsidRDefault="009A007B" w:rsidP="009A007B"/>
    <w:p w14:paraId="176B4828" w14:textId="6CE47725" w:rsidR="009A007B" w:rsidRPr="00E867F6" w:rsidRDefault="009A007B" w:rsidP="00A65CB4">
      <w:pPr>
        <w:ind w:left="720"/>
      </w:pPr>
      <w:proofErr w:type="gramStart"/>
      <w:r w:rsidRPr="0044530F">
        <w:t>Australian Commission on Safety and Quality in Health Care.</w:t>
      </w:r>
      <w:proofErr w:type="gramEnd"/>
      <w:r w:rsidRPr="0044530F">
        <w:t xml:space="preserve"> </w:t>
      </w:r>
      <w:r w:rsidR="00A65CB4" w:rsidRPr="00A65CB4">
        <w:t>Public reporting of safety and quality in public and private hospitals</w:t>
      </w:r>
      <w:r w:rsidR="00A65CB4" w:rsidRPr="009A499B">
        <w:t>: Literature</w:t>
      </w:r>
      <w:r w:rsidR="00A65CB4" w:rsidRPr="00D22EB9">
        <w:t xml:space="preserve"> review and environment </w:t>
      </w:r>
      <w:r w:rsidR="00A65CB4" w:rsidRPr="00EF3716">
        <w:t>scan</w:t>
      </w:r>
      <w:r w:rsidRPr="0044530F">
        <w:t xml:space="preserve">. Sydney: ACSQHC; </w:t>
      </w:r>
      <w:r w:rsidR="00A65CB4" w:rsidRPr="00A65CB4">
        <w:t>2019</w:t>
      </w:r>
      <w:r w:rsidR="00A65CB4" w:rsidRPr="00E867F6">
        <w:t xml:space="preserve"> </w:t>
      </w:r>
      <w:r w:rsidR="00DB5911" w:rsidRPr="00E867F6">
        <w:br/>
      </w:r>
    </w:p>
    <w:p w14:paraId="09BBD9B6" w14:textId="77777777" w:rsidR="002F7E6F" w:rsidRPr="00E867F6" w:rsidRDefault="002F7E6F" w:rsidP="009A007B">
      <w:pPr>
        <w:rPr>
          <w:rStyle w:val="Strong"/>
        </w:rPr>
      </w:pPr>
    </w:p>
    <w:p w14:paraId="069BD0EB" w14:textId="77777777" w:rsidR="00EF5C37" w:rsidRPr="00E867F6" w:rsidRDefault="00EF5C37" w:rsidP="00EF5C37">
      <w:pPr>
        <w:rPr>
          <w:b/>
          <w:bCs/>
        </w:rPr>
      </w:pPr>
      <w:r w:rsidRPr="00E867F6">
        <w:rPr>
          <w:b/>
          <w:bCs/>
        </w:rPr>
        <w:t>Disclaimer</w:t>
      </w:r>
    </w:p>
    <w:p w14:paraId="22AA8AE2" w14:textId="77777777" w:rsidR="00EF5C37" w:rsidRPr="00E867F6" w:rsidRDefault="00EF5C37" w:rsidP="00EF5C37">
      <w:pPr>
        <w:rPr>
          <w:bCs/>
        </w:rPr>
      </w:pPr>
      <w:r w:rsidRPr="00E867F6">
        <w:rPr>
          <w:bCs/>
        </w:rPr>
        <w:t xml:space="preserve">The content of this document is published in good faith by the Commission for information purposes. The document is not intended to provide guidance on particular healthcare choices. You should contact your health care provider for information or advice on particular healthcare choices. </w:t>
      </w:r>
    </w:p>
    <w:p w14:paraId="039ECCD5" w14:textId="77777777" w:rsidR="009A007B" w:rsidRPr="00E867F6" w:rsidRDefault="00EF5C37" w:rsidP="00EF5C37">
      <w:pPr>
        <w:rPr>
          <w:bCs/>
          <w:i/>
          <w:smallCaps/>
        </w:rPr>
      </w:pPr>
      <w:r w:rsidRPr="00E867F6">
        <w:rPr>
          <w:bCs/>
        </w:rPr>
        <w:t>The Commission does not accept any legal liability for any injury, loss or damage incurred by the use of, or reliance on, this document</w:t>
      </w:r>
      <w:r w:rsidR="00766545" w:rsidRPr="00E867F6">
        <w:rPr>
          <w:bCs/>
        </w:rPr>
        <w:t xml:space="preserve">. </w:t>
      </w:r>
    </w:p>
    <w:p w14:paraId="7E24BADA" w14:textId="589CF0B6" w:rsidR="00BC07E4" w:rsidRPr="00E867F6" w:rsidRDefault="00BC07E4" w:rsidP="00836B57">
      <w:pPr>
        <w:pStyle w:val="Heading1"/>
      </w:pPr>
      <w:bookmarkStart w:id="7" w:name="_Toc482782728"/>
      <w:bookmarkStart w:id="8" w:name="_Toc514351093"/>
      <w:bookmarkStart w:id="9" w:name="_Toc536631537"/>
      <w:bookmarkStart w:id="10" w:name="_Toc536689100"/>
      <w:bookmarkStart w:id="11" w:name="_Toc536712345"/>
      <w:bookmarkStart w:id="12" w:name="_Toc1460391"/>
      <w:bookmarkStart w:id="13" w:name="_Toc1476187"/>
      <w:bookmarkStart w:id="14" w:name="_Toc3195075"/>
      <w:r w:rsidRPr="00E867F6">
        <w:lastRenderedPageBreak/>
        <w:t>Contents</w:t>
      </w:r>
      <w:bookmarkEnd w:id="7"/>
      <w:bookmarkEnd w:id="8"/>
      <w:bookmarkEnd w:id="9"/>
      <w:bookmarkEnd w:id="10"/>
      <w:bookmarkEnd w:id="11"/>
      <w:bookmarkEnd w:id="12"/>
      <w:bookmarkEnd w:id="13"/>
      <w:bookmarkEnd w:id="14"/>
      <w:r w:rsidRPr="00E867F6">
        <w:t xml:space="preserve"> </w:t>
      </w:r>
    </w:p>
    <w:p w14:paraId="7CE9B9E9" w14:textId="483BD313" w:rsidR="00191B5D" w:rsidRDefault="00766545" w:rsidP="00191B5D">
      <w:pPr>
        <w:pStyle w:val="TOC1"/>
        <w:ind w:left="0" w:firstLine="0"/>
        <w:rPr>
          <w:rFonts w:asciiTheme="minorHAnsi" w:eastAsiaTheme="minorEastAsia" w:hAnsiTheme="minorHAnsi" w:cstheme="minorBidi"/>
          <w:b w:val="0"/>
          <w:bCs w:val="0"/>
          <w:color w:val="auto"/>
          <w:sz w:val="22"/>
          <w:szCs w:val="22"/>
        </w:rPr>
      </w:pPr>
      <w:r w:rsidRPr="00E867F6">
        <w:rPr>
          <w:noProof w:val="0"/>
          <w:szCs w:val="20"/>
        </w:rPr>
        <w:fldChar w:fldCharType="begin"/>
      </w:r>
      <w:r w:rsidRPr="00E867F6">
        <w:rPr>
          <w:noProof w:val="0"/>
        </w:rPr>
        <w:instrText xml:space="preserve"> TOC \o "1-1" \h \z \t "Heading 2,2" </w:instrText>
      </w:r>
      <w:r w:rsidRPr="00E867F6">
        <w:rPr>
          <w:noProof w:val="0"/>
          <w:szCs w:val="20"/>
        </w:rPr>
        <w:fldChar w:fldCharType="separate"/>
      </w:r>
      <w:hyperlink w:anchor="_Toc3195076" w:history="1">
        <w:r w:rsidR="00191B5D" w:rsidRPr="000D2BD6">
          <w:rPr>
            <w:rStyle w:val="Hyperlink"/>
          </w:rPr>
          <w:t>Key findings</w:t>
        </w:r>
        <w:r w:rsidR="00191B5D">
          <w:rPr>
            <w:webHidden/>
          </w:rPr>
          <w:tab/>
        </w:r>
        <w:r w:rsidR="00191B5D">
          <w:rPr>
            <w:webHidden/>
          </w:rPr>
          <w:fldChar w:fldCharType="begin"/>
        </w:r>
        <w:r w:rsidR="00191B5D">
          <w:rPr>
            <w:webHidden/>
          </w:rPr>
          <w:instrText xml:space="preserve"> PAGEREF _Toc3195076 \h </w:instrText>
        </w:r>
        <w:r w:rsidR="00191B5D">
          <w:rPr>
            <w:webHidden/>
          </w:rPr>
        </w:r>
        <w:r w:rsidR="00191B5D">
          <w:rPr>
            <w:webHidden/>
          </w:rPr>
          <w:fldChar w:fldCharType="separate"/>
        </w:r>
        <w:r w:rsidR="00F70157">
          <w:rPr>
            <w:webHidden/>
          </w:rPr>
          <w:t>1</w:t>
        </w:r>
        <w:r w:rsidR="00191B5D">
          <w:rPr>
            <w:webHidden/>
          </w:rPr>
          <w:fldChar w:fldCharType="end"/>
        </w:r>
      </w:hyperlink>
    </w:p>
    <w:p w14:paraId="2D8E228C" w14:textId="77777777" w:rsidR="00191B5D" w:rsidRDefault="00B329FD">
      <w:pPr>
        <w:pStyle w:val="TOC1"/>
        <w:rPr>
          <w:rFonts w:asciiTheme="minorHAnsi" w:eastAsiaTheme="minorEastAsia" w:hAnsiTheme="minorHAnsi" w:cstheme="minorBidi"/>
          <w:b w:val="0"/>
          <w:bCs w:val="0"/>
          <w:color w:val="auto"/>
          <w:sz w:val="22"/>
          <w:szCs w:val="22"/>
        </w:rPr>
      </w:pPr>
      <w:hyperlink w:anchor="_Toc3195077" w:history="1">
        <w:r w:rsidR="00191B5D" w:rsidRPr="000D2BD6">
          <w:rPr>
            <w:rStyle w:val="Hyperlink"/>
          </w:rPr>
          <w:t>Summary</w:t>
        </w:r>
        <w:r w:rsidR="00191B5D">
          <w:rPr>
            <w:webHidden/>
          </w:rPr>
          <w:tab/>
        </w:r>
        <w:r w:rsidR="00191B5D">
          <w:rPr>
            <w:webHidden/>
          </w:rPr>
          <w:fldChar w:fldCharType="begin"/>
        </w:r>
        <w:r w:rsidR="00191B5D">
          <w:rPr>
            <w:webHidden/>
          </w:rPr>
          <w:instrText xml:space="preserve"> PAGEREF _Toc3195077 \h </w:instrText>
        </w:r>
        <w:r w:rsidR="00191B5D">
          <w:rPr>
            <w:webHidden/>
          </w:rPr>
        </w:r>
        <w:r w:rsidR="00191B5D">
          <w:rPr>
            <w:webHidden/>
          </w:rPr>
          <w:fldChar w:fldCharType="separate"/>
        </w:r>
        <w:r w:rsidR="00F70157">
          <w:rPr>
            <w:webHidden/>
          </w:rPr>
          <w:t>2</w:t>
        </w:r>
        <w:r w:rsidR="00191B5D">
          <w:rPr>
            <w:webHidden/>
          </w:rPr>
          <w:fldChar w:fldCharType="end"/>
        </w:r>
      </w:hyperlink>
    </w:p>
    <w:p w14:paraId="40D014EC" w14:textId="77777777" w:rsidR="00191B5D" w:rsidRDefault="00B329FD">
      <w:pPr>
        <w:pStyle w:val="TOC1"/>
        <w:rPr>
          <w:rFonts w:asciiTheme="minorHAnsi" w:eastAsiaTheme="minorEastAsia" w:hAnsiTheme="minorHAnsi" w:cstheme="minorBidi"/>
          <w:b w:val="0"/>
          <w:bCs w:val="0"/>
          <w:color w:val="auto"/>
          <w:sz w:val="22"/>
          <w:szCs w:val="22"/>
        </w:rPr>
      </w:pPr>
      <w:hyperlink w:anchor="_Toc3195078" w:history="1">
        <w:r w:rsidR="00191B5D" w:rsidRPr="000D2BD6">
          <w:rPr>
            <w:rStyle w:val="Hyperlink"/>
          </w:rPr>
          <w:t>Introduction</w:t>
        </w:r>
        <w:r w:rsidR="00191B5D">
          <w:rPr>
            <w:webHidden/>
          </w:rPr>
          <w:tab/>
        </w:r>
        <w:r w:rsidR="00191B5D">
          <w:rPr>
            <w:webHidden/>
          </w:rPr>
          <w:fldChar w:fldCharType="begin"/>
        </w:r>
        <w:r w:rsidR="00191B5D">
          <w:rPr>
            <w:webHidden/>
          </w:rPr>
          <w:instrText xml:space="preserve"> PAGEREF _Toc3195078 \h </w:instrText>
        </w:r>
        <w:r w:rsidR="00191B5D">
          <w:rPr>
            <w:webHidden/>
          </w:rPr>
        </w:r>
        <w:r w:rsidR="00191B5D">
          <w:rPr>
            <w:webHidden/>
          </w:rPr>
          <w:fldChar w:fldCharType="separate"/>
        </w:r>
        <w:r w:rsidR="00F70157">
          <w:rPr>
            <w:webHidden/>
          </w:rPr>
          <w:t>6</w:t>
        </w:r>
        <w:r w:rsidR="00191B5D">
          <w:rPr>
            <w:webHidden/>
          </w:rPr>
          <w:fldChar w:fldCharType="end"/>
        </w:r>
      </w:hyperlink>
    </w:p>
    <w:p w14:paraId="09BF8731" w14:textId="77777777" w:rsidR="00191B5D" w:rsidRDefault="00B329FD">
      <w:pPr>
        <w:pStyle w:val="TOC2"/>
        <w:rPr>
          <w:rFonts w:asciiTheme="minorHAnsi" w:eastAsiaTheme="minorEastAsia" w:hAnsiTheme="minorHAnsi" w:cstheme="minorBidi"/>
          <w:szCs w:val="22"/>
        </w:rPr>
      </w:pPr>
      <w:hyperlink w:anchor="_Toc3195079" w:history="1">
        <w:r w:rsidR="00191B5D" w:rsidRPr="000D2BD6">
          <w:rPr>
            <w:rStyle w:val="Hyperlink"/>
          </w:rPr>
          <w:t>Project background and context</w:t>
        </w:r>
        <w:r w:rsidR="00191B5D">
          <w:rPr>
            <w:webHidden/>
          </w:rPr>
          <w:tab/>
        </w:r>
        <w:r w:rsidR="00191B5D">
          <w:rPr>
            <w:webHidden/>
          </w:rPr>
          <w:fldChar w:fldCharType="begin"/>
        </w:r>
        <w:r w:rsidR="00191B5D">
          <w:rPr>
            <w:webHidden/>
          </w:rPr>
          <w:instrText xml:space="preserve"> PAGEREF _Toc3195079 \h </w:instrText>
        </w:r>
        <w:r w:rsidR="00191B5D">
          <w:rPr>
            <w:webHidden/>
          </w:rPr>
        </w:r>
        <w:r w:rsidR="00191B5D">
          <w:rPr>
            <w:webHidden/>
          </w:rPr>
          <w:fldChar w:fldCharType="separate"/>
        </w:r>
        <w:r w:rsidR="00F70157">
          <w:rPr>
            <w:webHidden/>
          </w:rPr>
          <w:t>6</w:t>
        </w:r>
        <w:r w:rsidR="00191B5D">
          <w:rPr>
            <w:webHidden/>
          </w:rPr>
          <w:fldChar w:fldCharType="end"/>
        </w:r>
      </w:hyperlink>
    </w:p>
    <w:p w14:paraId="13B21408" w14:textId="77777777" w:rsidR="00191B5D" w:rsidRDefault="00B329FD">
      <w:pPr>
        <w:pStyle w:val="TOC2"/>
        <w:rPr>
          <w:rFonts w:asciiTheme="minorHAnsi" w:eastAsiaTheme="minorEastAsia" w:hAnsiTheme="minorHAnsi" w:cstheme="minorBidi"/>
          <w:szCs w:val="22"/>
        </w:rPr>
      </w:pPr>
      <w:hyperlink w:anchor="_Toc3195080" w:history="1">
        <w:r w:rsidR="00191B5D" w:rsidRPr="000D2BD6">
          <w:rPr>
            <w:rStyle w:val="Hyperlink"/>
          </w:rPr>
          <w:t>Structure of this document</w:t>
        </w:r>
        <w:r w:rsidR="00191B5D">
          <w:rPr>
            <w:webHidden/>
          </w:rPr>
          <w:tab/>
        </w:r>
        <w:r w:rsidR="00191B5D">
          <w:rPr>
            <w:webHidden/>
          </w:rPr>
          <w:fldChar w:fldCharType="begin"/>
        </w:r>
        <w:r w:rsidR="00191B5D">
          <w:rPr>
            <w:webHidden/>
          </w:rPr>
          <w:instrText xml:space="preserve"> PAGEREF _Toc3195080 \h </w:instrText>
        </w:r>
        <w:r w:rsidR="00191B5D">
          <w:rPr>
            <w:webHidden/>
          </w:rPr>
        </w:r>
        <w:r w:rsidR="00191B5D">
          <w:rPr>
            <w:webHidden/>
          </w:rPr>
          <w:fldChar w:fldCharType="separate"/>
        </w:r>
        <w:r w:rsidR="00F70157">
          <w:rPr>
            <w:webHidden/>
          </w:rPr>
          <w:t>7</w:t>
        </w:r>
        <w:r w:rsidR="00191B5D">
          <w:rPr>
            <w:webHidden/>
          </w:rPr>
          <w:fldChar w:fldCharType="end"/>
        </w:r>
      </w:hyperlink>
    </w:p>
    <w:p w14:paraId="31B73759" w14:textId="77777777" w:rsidR="00191B5D" w:rsidRDefault="00B329FD">
      <w:pPr>
        <w:pStyle w:val="TOC1"/>
        <w:rPr>
          <w:rFonts w:asciiTheme="minorHAnsi" w:eastAsiaTheme="minorEastAsia" w:hAnsiTheme="minorHAnsi" w:cstheme="minorBidi"/>
          <w:b w:val="0"/>
          <w:bCs w:val="0"/>
          <w:color w:val="auto"/>
          <w:sz w:val="22"/>
          <w:szCs w:val="22"/>
        </w:rPr>
      </w:pPr>
      <w:hyperlink w:anchor="_Toc3195081" w:history="1">
        <w:r w:rsidR="00191B5D" w:rsidRPr="000D2BD6">
          <w:rPr>
            <w:rStyle w:val="Hyperlink"/>
          </w:rPr>
          <w:t>Literature review</w:t>
        </w:r>
        <w:r w:rsidR="00191B5D">
          <w:rPr>
            <w:webHidden/>
          </w:rPr>
          <w:tab/>
        </w:r>
        <w:r w:rsidR="00191B5D">
          <w:rPr>
            <w:webHidden/>
          </w:rPr>
          <w:fldChar w:fldCharType="begin"/>
        </w:r>
        <w:r w:rsidR="00191B5D">
          <w:rPr>
            <w:webHidden/>
          </w:rPr>
          <w:instrText xml:space="preserve"> PAGEREF _Toc3195081 \h </w:instrText>
        </w:r>
        <w:r w:rsidR="00191B5D">
          <w:rPr>
            <w:webHidden/>
          </w:rPr>
        </w:r>
        <w:r w:rsidR="00191B5D">
          <w:rPr>
            <w:webHidden/>
          </w:rPr>
          <w:fldChar w:fldCharType="separate"/>
        </w:r>
        <w:r w:rsidR="00F70157">
          <w:rPr>
            <w:webHidden/>
          </w:rPr>
          <w:t>8</w:t>
        </w:r>
        <w:r w:rsidR="00191B5D">
          <w:rPr>
            <w:webHidden/>
          </w:rPr>
          <w:fldChar w:fldCharType="end"/>
        </w:r>
      </w:hyperlink>
    </w:p>
    <w:p w14:paraId="5CD30CE6" w14:textId="77777777" w:rsidR="00191B5D" w:rsidRDefault="00B329FD">
      <w:pPr>
        <w:pStyle w:val="TOC2"/>
        <w:rPr>
          <w:rFonts w:asciiTheme="minorHAnsi" w:eastAsiaTheme="minorEastAsia" w:hAnsiTheme="minorHAnsi" w:cstheme="minorBidi"/>
          <w:szCs w:val="22"/>
        </w:rPr>
      </w:pPr>
      <w:hyperlink w:anchor="_Toc3195082" w:history="1">
        <w:r w:rsidR="00191B5D" w:rsidRPr="000D2BD6">
          <w:rPr>
            <w:rStyle w:val="Hyperlink"/>
          </w:rPr>
          <w:t>Scope of the review</w:t>
        </w:r>
        <w:r w:rsidR="00191B5D">
          <w:rPr>
            <w:webHidden/>
          </w:rPr>
          <w:tab/>
        </w:r>
        <w:r w:rsidR="00191B5D">
          <w:rPr>
            <w:webHidden/>
          </w:rPr>
          <w:fldChar w:fldCharType="begin"/>
        </w:r>
        <w:r w:rsidR="00191B5D">
          <w:rPr>
            <w:webHidden/>
          </w:rPr>
          <w:instrText xml:space="preserve"> PAGEREF _Toc3195082 \h </w:instrText>
        </w:r>
        <w:r w:rsidR="00191B5D">
          <w:rPr>
            <w:webHidden/>
          </w:rPr>
        </w:r>
        <w:r w:rsidR="00191B5D">
          <w:rPr>
            <w:webHidden/>
          </w:rPr>
          <w:fldChar w:fldCharType="separate"/>
        </w:r>
        <w:r w:rsidR="00F70157">
          <w:rPr>
            <w:webHidden/>
          </w:rPr>
          <w:t>8</w:t>
        </w:r>
        <w:r w:rsidR="00191B5D">
          <w:rPr>
            <w:webHidden/>
          </w:rPr>
          <w:fldChar w:fldCharType="end"/>
        </w:r>
      </w:hyperlink>
    </w:p>
    <w:p w14:paraId="27A2BCE8" w14:textId="77777777" w:rsidR="00191B5D" w:rsidRDefault="00B329FD">
      <w:pPr>
        <w:pStyle w:val="TOC2"/>
        <w:rPr>
          <w:rFonts w:asciiTheme="minorHAnsi" w:eastAsiaTheme="minorEastAsia" w:hAnsiTheme="minorHAnsi" w:cstheme="minorBidi"/>
          <w:szCs w:val="22"/>
        </w:rPr>
      </w:pPr>
      <w:hyperlink w:anchor="_Toc3195083" w:history="1">
        <w:r w:rsidR="00191B5D" w:rsidRPr="000D2BD6">
          <w:rPr>
            <w:rStyle w:val="Hyperlink"/>
          </w:rPr>
          <w:t>Guiding questions for the literature review</w:t>
        </w:r>
        <w:r w:rsidR="00191B5D">
          <w:rPr>
            <w:webHidden/>
          </w:rPr>
          <w:tab/>
        </w:r>
        <w:r w:rsidR="00191B5D">
          <w:rPr>
            <w:webHidden/>
          </w:rPr>
          <w:fldChar w:fldCharType="begin"/>
        </w:r>
        <w:r w:rsidR="00191B5D">
          <w:rPr>
            <w:webHidden/>
          </w:rPr>
          <w:instrText xml:space="preserve"> PAGEREF _Toc3195083 \h </w:instrText>
        </w:r>
        <w:r w:rsidR="00191B5D">
          <w:rPr>
            <w:webHidden/>
          </w:rPr>
        </w:r>
        <w:r w:rsidR="00191B5D">
          <w:rPr>
            <w:webHidden/>
          </w:rPr>
          <w:fldChar w:fldCharType="separate"/>
        </w:r>
        <w:r w:rsidR="00F70157">
          <w:rPr>
            <w:webHidden/>
          </w:rPr>
          <w:t>8</w:t>
        </w:r>
        <w:r w:rsidR="00191B5D">
          <w:rPr>
            <w:webHidden/>
          </w:rPr>
          <w:fldChar w:fldCharType="end"/>
        </w:r>
      </w:hyperlink>
    </w:p>
    <w:p w14:paraId="2935D298" w14:textId="77777777" w:rsidR="00191B5D" w:rsidRDefault="00B329FD">
      <w:pPr>
        <w:pStyle w:val="TOC2"/>
        <w:rPr>
          <w:rFonts w:asciiTheme="minorHAnsi" w:eastAsiaTheme="minorEastAsia" w:hAnsiTheme="minorHAnsi" w:cstheme="minorBidi"/>
          <w:szCs w:val="22"/>
        </w:rPr>
      </w:pPr>
      <w:hyperlink w:anchor="_Toc3195084" w:history="1">
        <w:r w:rsidR="00191B5D" w:rsidRPr="000D2BD6">
          <w:rPr>
            <w:rStyle w:val="Hyperlink"/>
          </w:rPr>
          <w:t>Search strategy</w:t>
        </w:r>
        <w:r w:rsidR="00191B5D">
          <w:rPr>
            <w:webHidden/>
          </w:rPr>
          <w:tab/>
        </w:r>
        <w:r w:rsidR="00191B5D">
          <w:rPr>
            <w:webHidden/>
          </w:rPr>
          <w:fldChar w:fldCharType="begin"/>
        </w:r>
        <w:r w:rsidR="00191B5D">
          <w:rPr>
            <w:webHidden/>
          </w:rPr>
          <w:instrText xml:space="preserve"> PAGEREF _Toc3195084 \h </w:instrText>
        </w:r>
        <w:r w:rsidR="00191B5D">
          <w:rPr>
            <w:webHidden/>
          </w:rPr>
        </w:r>
        <w:r w:rsidR="00191B5D">
          <w:rPr>
            <w:webHidden/>
          </w:rPr>
          <w:fldChar w:fldCharType="separate"/>
        </w:r>
        <w:r w:rsidR="00F70157">
          <w:rPr>
            <w:webHidden/>
          </w:rPr>
          <w:t>8</w:t>
        </w:r>
        <w:r w:rsidR="00191B5D">
          <w:rPr>
            <w:webHidden/>
          </w:rPr>
          <w:fldChar w:fldCharType="end"/>
        </w:r>
      </w:hyperlink>
    </w:p>
    <w:p w14:paraId="10DCE18C" w14:textId="77777777" w:rsidR="00191B5D" w:rsidRDefault="00B329FD">
      <w:pPr>
        <w:pStyle w:val="TOC2"/>
        <w:rPr>
          <w:rFonts w:asciiTheme="minorHAnsi" w:eastAsiaTheme="minorEastAsia" w:hAnsiTheme="minorHAnsi" w:cstheme="minorBidi"/>
          <w:szCs w:val="22"/>
        </w:rPr>
      </w:pPr>
      <w:hyperlink w:anchor="_Toc3195085" w:history="1">
        <w:r w:rsidR="00191B5D" w:rsidRPr="000D2BD6">
          <w:rPr>
            <w:rStyle w:val="Hyperlink"/>
          </w:rPr>
          <w:t>Common aims of public reporting safety and quality data</w:t>
        </w:r>
        <w:r w:rsidR="00191B5D">
          <w:rPr>
            <w:webHidden/>
          </w:rPr>
          <w:tab/>
        </w:r>
        <w:r w:rsidR="00191B5D">
          <w:rPr>
            <w:webHidden/>
          </w:rPr>
          <w:fldChar w:fldCharType="begin"/>
        </w:r>
        <w:r w:rsidR="00191B5D">
          <w:rPr>
            <w:webHidden/>
          </w:rPr>
          <w:instrText xml:space="preserve"> PAGEREF _Toc3195085 \h </w:instrText>
        </w:r>
        <w:r w:rsidR="00191B5D">
          <w:rPr>
            <w:webHidden/>
          </w:rPr>
        </w:r>
        <w:r w:rsidR="00191B5D">
          <w:rPr>
            <w:webHidden/>
          </w:rPr>
          <w:fldChar w:fldCharType="separate"/>
        </w:r>
        <w:r w:rsidR="00F70157">
          <w:rPr>
            <w:webHidden/>
          </w:rPr>
          <w:t>9</w:t>
        </w:r>
        <w:r w:rsidR="00191B5D">
          <w:rPr>
            <w:webHidden/>
          </w:rPr>
          <w:fldChar w:fldCharType="end"/>
        </w:r>
      </w:hyperlink>
    </w:p>
    <w:p w14:paraId="04C5608D" w14:textId="77777777" w:rsidR="00191B5D" w:rsidRDefault="00B329FD">
      <w:pPr>
        <w:pStyle w:val="TOC2"/>
        <w:rPr>
          <w:rFonts w:asciiTheme="minorHAnsi" w:eastAsiaTheme="minorEastAsia" w:hAnsiTheme="minorHAnsi" w:cstheme="minorBidi"/>
          <w:szCs w:val="22"/>
        </w:rPr>
      </w:pPr>
      <w:hyperlink w:anchor="_Toc3195086" w:history="1">
        <w:r w:rsidR="00191B5D" w:rsidRPr="000D2BD6">
          <w:rPr>
            <w:rStyle w:val="Hyperlink"/>
          </w:rPr>
          <w:t>How public reporting can achieve its aims</w:t>
        </w:r>
        <w:r w:rsidR="00191B5D">
          <w:rPr>
            <w:webHidden/>
          </w:rPr>
          <w:tab/>
        </w:r>
        <w:r w:rsidR="00191B5D">
          <w:rPr>
            <w:webHidden/>
          </w:rPr>
          <w:fldChar w:fldCharType="begin"/>
        </w:r>
        <w:r w:rsidR="00191B5D">
          <w:rPr>
            <w:webHidden/>
          </w:rPr>
          <w:instrText xml:space="preserve"> PAGEREF _Toc3195086 \h </w:instrText>
        </w:r>
        <w:r w:rsidR="00191B5D">
          <w:rPr>
            <w:webHidden/>
          </w:rPr>
        </w:r>
        <w:r w:rsidR="00191B5D">
          <w:rPr>
            <w:webHidden/>
          </w:rPr>
          <w:fldChar w:fldCharType="separate"/>
        </w:r>
        <w:r w:rsidR="00F70157">
          <w:rPr>
            <w:webHidden/>
          </w:rPr>
          <w:t>10</w:t>
        </w:r>
        <w:r w:rsidR="00191B5D">
          <w:rPr>
            <w:webHidden/>
          </w:rPr>
          <w:fldChar w:fldCharType="end"/>
        </w:r>
      </w:hyperlink>
    </w:p>
    <w:p w14:paraId="2315A68A" w14:textId="77777777" w:rsidR="00191B5D" w:rsidRDefault="00B329FD">
      <w:pPr>
        <w:pStyle w:val="TOC2"/>
        <w:rPr>
          <w:rFonts w:asciiTheme="minorHAnsi" w:eastAsiaTheme="minorEastAsia" w:hAnsiTheme="minorHAnsi" w:cstheme="minorBidi"/>
          <w:szCs w:val="22"/>
        </w:rPr>
      </w:pPr>
      <w:hyperlink w:anchor="_Toc3195087" w:history="1">
        <w:r w:rsidR="00191B5D" w:rsidRPr="000D2BD6">
          <w:rPr>
            <w:rStyle w:val="Hyperlink"/>
          </w:rPr>
          <w:t>Positive factors and perverse impacts of public reporting</w:t>
        </w:r>
        <w:r w:rsidR="00191B5D">
          <w:rPr>
            <w:webHidden/>
          </w:rPr>
          <w:tab/>
        </w:r>
        <w:r w:rsidR="00191B5D">
          <w:rPr>
            <w:webHidden/>
          </w:rPr>
          <w:fldChar w:fldCharType="begin"/>
        </w:r>
        <w:r w:rsidR="00191B5D">
          <w:rPr>
            <w:webHidden/>
          </w:rPr>
          <w:instrText xml:space="preserve"> PAGEREF _Toc3195087 \h </w:instrText>
        </w:r>
        <w:r w:rsidR="00191B5D">
          <w:rPr>
            <w:webHidden/>
          </w:rPr>
        </w:r>
        <w:r w:rsidR="00191B5D">
          <w:rPr>
            <w:webHidden/>
          </w:rPr>
          <w:fldChar w:fldCharType="separate"/>
        </w:r>
        <w:r w:rsidR="00F70157">
          <w:rPr>
            <w:webHidden/>
          </w:rPr>
          <w:t>13</w:t>
        </w:r>
        <w:r w:rsidR="00191B5D">
          <w:rPr>
            <w:webHidden/>
          </w:rPr>
          <w:fldChar w:fldCharType="end"/>
        </w:r>
      </w:hyperlink>
    </w:p>
    <w:p w14:paraId="10A2C125" w14:textId="77777777" w:rsidR="00191B5D" w:rsidRDefault="00B329FD">
      <w:pPr>
        <w:pStyle w:val="TOC2"/>
        <w:rPr>
          <w:rFonts w:asciiTheme="minorHAnsi" w:eastAsiaTheme="minorEastAsia" w:hAnsiTheme="minorHAnsi" w:cstheme="minorBidi"/>
          <w:szCs w:val="22"/>
        </w:rPr>
      </w:pPr>
      <w:hyperlink w:anchor="_Toc3195088" w:history="1">
        <w:r w:rsidR="00191B5D" w:rsidRPr="000D2BD6">
          <w:rPr>
            <w:rStyle w:val="Hyperlink"/>
          </w:rPr>
          <w:t>Evidence of efficacy of public reporting</w:t>
        </w:r>
        <w:r w:rsidR="00191B5D">
          <w:rPr>
            <w:webHidden/>
          </w:rPr>
          <w:tab/>
        </w:r>
        <w:r w:rsidR="00191B5D">
          <w:rPr>
            <w:webHidden/>
          </w:rPr>
          <w:fldChar w:fldCharType="begin"/>
        </w:r>
        <w:r w:rsidR="00191B5D">
          <w:rPr>
            <w:webHidden/>
          </w:rPr>
          <w:instrText xml:space="preserve"> PAGEREF _Toc3195088 \h </w:instrText>
        </w:r>
        <w:r w:rsidR="00191B5D">
          <w:rPr>
            <w:webHidden/>
          </w:rPr>
        </w:r>
        <w:r w:rsidR="00191B5D">
          <w:rPr>
            <w:webHidden/>
          </w:rPr>
          <w:fldChar w:fldCharType="separate"/>
        </w:r>
        <w:r w:rsidR="00F70157">
          <w:rPr>
            <w:webHidden/>
          </w:rPr>
          <w:t>13</w:t>
        </w:r>
        <w:r w:rsidR="00191B5D">
          <w:rPr>
            <w:webHidden/>
          </w:rPr>
          <w:fldChar w:fldCharType="end"/>
        </w:r>
      </w:hyperlink>
    </w:p>
    <w:p w14:paraId="4ED86715" w14:textId="77777777" w:rsidR="00191B5D" w:rsidRDefault="00B329FD">
      <w:pPr>
        <w:pStyle w:val="TOC2"/>
        <w:rPr>
          <w:rFonts w:asciiTheme="minorHAnsi" w:eastAsiaTheme="minorEastAsia" w:hAnsiTheme="minorHAnsi" w:cstheme="minorBidi"/>
          <w:szCs w:val="22"/>
        </w:rPr>
      </w:pPr>
      <w:hyperlink w:anchor="_Toc3195089" w:history="1">
        <w:r w:rsidR="00191B5D" w:rsidRPr="000D2BD6">
          <w:rPr>
            <w:rStyle w:val="Hyperlink"/>
          </w:rPr>
          <w:t>Barriers and challenges for consumers</w:t>
        </w:r>
        <w:r w:rsidR="00191B5D">
          <w:rPr>
            <w:webHidden/>
          </w:rPr>
          <w:tab/>
        </w:r>
        <w:r w:rsidR="00191B5D">
          <w:rPr>
            <w:webHidden/>
          </w:rPr>
          <w:fldChar w:fldCharType="begin"/>
        </w:r>
        <w:r w:rsidR="00191B5D">
          <w:rPr>
            <w:webHidden/>
          </w:rPr>
          <w:instrText xml:space="preserve"> PAGEREF _Toc3195089 \h </w:instrText>
        </w:r>
        <w:r w:rsidR="00191B5D">
          <w:rPr>
            <w:webHidden/>
          </w:rPr>
        </w:r>
        <w:r w:rsidR="00191B5D">
          <w:rPr>
            <w:webHidden/>
          </w:rPr>
          <w:fldChar w:fldCharType="separate"/>
        </w:r>
        <w:r w:rsidR="00F70157">
          <w:rPr>
            <w:webHidden/>
          </w:rPr>
          <w:t>15</w:t>
        </w:r>
        <w:r w:rsidR="00191B5D">
          <w:rPr>
            <w:webHidden/>
          </w:rPr>
          <w:fldChar w:fldCharType="end"/>
        </w:r>
      </w:hyperlink>
    </w:p>
    <w:p w14:paraId="5EF764C6" w14:textId="77777777" w:rsidR="00191B5D" w:rsidRDefault="00B329FD">
      <w:pPr>
        <w:pStyle w:val="TOC2"/>
        <w:rPr>
          <w:rFonts w:asciiTheme="minorHAnsi" w:eastAsiaTheme="minorEastAsia" w:hAnsiTheme="minorHAnsi" w:cstheme="minorBidi"/>
          <w:szCs w:val="22"/>
        </w:rPr>
      </w:pPr>
      <w:hyperlink w:anchor="_Toc3195090" w:history="1">
        <w:r w:rsidR="00191B5D" w:rsidRPr="000D2BD6">
          <w:rPr>
            <w:rStyle w:val="Hyperlink"/>
          </w:rPr>
          <w:t>Barriers and challenges for healthcare organisations</w:t>
        </w:r>
        <w:r w:rsidR="00191B5D">
          <w:rPr>
            <w:webHidden/>
          </w:rPr>
          <w:tab/>
        </w:r>
        <w:r w:rsidR="00191B5D">
          <w:rPr>
            <w:webHidden/>
          </w:rPr>
          <w:fldChar w:fldCharType="begin"/>
        </w:r>
        <w:r w:rsidR="00191B5D">
          <w:rPr>
            <w:webHidden/>
          </w:rPr>
          <w:instrText xml:space="preserve"> PAGEREF _Toc3195090 \h </w:instrText>
        </w:r>
        <w:r w:rsidR="00191B5D">
          <w:rPr>
            <w:webHidden/>
          </w:rPr>
        </w:r>
        <w:r w:rsidR="00191B5D">
          <w:rPr>
            <w:webHidden/>
          </w:rPr>
          <w:fldChar w:fldCharType="separate"/>
        </w:r>
        <w:r w:rsidR="00F70157">
          <w:rPr>
            <w:webHidden/>
          </w:rPr>
          <w:t>17</w:t>
        </w:r>
        <w:r w:rsidR="00191B5D">
          <w:rPr>
            <w:webHidden/>
          </w:rPr>
          <w:fldChar w:fldCharType="end"/>
        </w:r>
      </w:hyperlink>
    </w:p>
    <w:p w14:paraId="53E1D918" w14:textId="77777777" w:rsidR="00191B5D" w:rsidRDefault="00B329FD">
      <w:pPr>
        <w:pStyle w:val="TOC2"/>
        <w:rPr>
          <w:rFonts w:asciiTheme="minorHAnsi" w:eastAsiaTheme="minorEastAsia" w:hAnsiTheme="minorHAnsi" w:cstheme="minorBidi"/>
          <w:szCs w:val="22"/>
        </w:rPr>
      </w:pPr>
      <w:hyperlink w:anchor="_Toc3195091" w:history="1">
        <w:r w:rsidR="00191B5D" w:rsidRPr="000D2BD6">
          <w:rPr>
            <w:rStyle w:val="Hyperlink"/>
          </w:rPr>
          <w:t>Features of an effective public reporting framework</w:t>
        </w:r>
        <w:r w:rsidR="00191B5D">
          <w:rPr>
            <w:webHidden/>
          </w:rPr>
          <w:tab/>
        </w:r>
        <w:r w:rsidR="00191B5D">
          <w:rPr>
            <w:webHidden/>
          </w:rPr>
          <w:fldChar w:fldCharType="begin"/>
        </w:r>
        <w:r w:rsidR="00191B5D">
          <w:rPr>
            <w:webHidden/>
          </w:rPr>
          <w:instrText xml:space="preserve"> PAGEREF _Toc3195091 \h </w:instrText>
        </w:r>
        <w:r w:rsidR="00191B5D">
          <w:rPr>
            <w:webHidden/>
          </w:rPr>
        </w:r>
        <w:r w:rsidR="00191B5D">
          <w:rPr>
            <w:webHidden/>
          </w:rPr>
          <w:fldChar w:fldCharType="separate"/>
        </w:r>
        <w:r w:rsidR="00F70157">
          <w:rPr>
            <w:webHidden/>
          </w:rPr>
          <w:t>18</w:t>
        </w:r>
        <w:r w:rsidR="00191B5D">
          <w:rPr>
            <w:webHidden/>
          </w:rPr>
          <w:fldChar w:fldCharType="end"/>
        </w:r>
      </w:hyperlink>
    </w:p>
    <w:p w14:paraId="1A524D68" w14:textId="77777777" w:rsidR="00191B5D" w:rsidRDefault="00B329FD">
      <w:pPr>
        <w:pStyle w:val="TOC1"/>
        <w:rPr>
          <w:rFonts w:asciiTheme="minorHAnsi" w:eastAsiaTheme="minorEastAsia" w:hAnsiTheme="minorHAnsi" w:cstheme="minorBidi"/>
          <w:b w:val="0"/>
          <w:bCs w:val="0"/>
          <w:color w:val="auto"/>
          <w:sz w:val="22"/>
          <w:szCs w:val="22"/>
        </w:rPr>
      </w:pPr>
      <w:hyperlink w:anchor="_Toc3195092" w:history="1">
        <w:r w:rsidR="00191B5D" w:rsidRPr="000D2BD6">
          <w:rPr>
            <w:rStyle w:val="Hyperlink"/>
          </w:rPr>
          <w:t>Environment scan</w:t>
        </w:r>
        <w:r w:rsidR="00191B5D">
          <w:rPr>
            <w:webHidden/>
          </w:rPr>
          <w:tab/>
        </w:r>
        <w:r w:rsidR="00191B5D">
          <w:rPr>
            <w:webHidden/>
          </w:rPr>
          <w:fldChar w:fldCharType="begin"/>
        </w:r>
        <w:r w:rsidR="00191B5D">
          <w:rPr>
            <w:webHidden/>
          </w:rPr>
          <w:instrText xml:space="preserve"> PAGEREF _Toc3195092 \h </w:instrText>
        </w:r>
        <w:r w:rsidR="00191B5D">
          <w:rPr>
            <w:webHidden/>
          </w:rPr>
        </w:r>
        <w:r w:rsidR="00191B5D">
          <w:rPr>
            <w:webHidden/>
          </w:rPr>
          <w:fldChar w:fldCharType="separate"/>
        </w:r>
        <w:r w:rsidR="00F70157">
          <w:rPr>
            <w:webHidden/>
          </w:rPr>
          <w:t>20</w:t>
        </w:r>
        <w:r w:rsidR="00191B5D">
          <w:rPr>
            <w:webHidden/>
          </w:rPr>
          <w:fldChar w:fldCharType="end"/>
        </w:r>
      </w:hyperlink>
    </w:p>
    <w:p w14:paraId="62704088" w14:textId="77777777" w:rsidR="00191B5D" w:rsidRDefault="00B329FD">
      <w:pPr>
        <w:pStyle w:val="TOC2"/>
        <w:rPr>
          <w:rFonts w:asciiTheme="minorHAnsi" w:eastAsiaTheme="minorEastAsia" w:hAnsiTheme="minorHAnsi" w:cstheme="minorBidi"/>
          <w:szCs w:val="22"/>
        </w:rPr>
      </w:pPr>
      <w:hyperlink w:anchor="_Toc3195093" w:history="1">
        <w:r w:rsidR="00191B5D" w:rsidRPr="000D2BD6">
          <w:rPr>
            <w:rStyle w:val="Hyperlink"/>
          </w:rPr>
          <w:t>Scope of the environment scan</w:t>
        </w:r>
        <w:r w:rsidR="00191B5D">
          <w:rPr>
            <w:webHidden/>
          </w:rPr>
          <w:tab/>
        </w:r>
        <w:r w:rsidR="00191B5D">
          <w:rPr>
            <w:webHidden/>
          </w:rPr>
          <w:fldChar w:fldCharType="begin"/>
        </w:r>
        <w:r w:rsidR="00191B5D">
          <w:rPr>
            <w:webHidden/>
          </w:rPr>
          <w:instrText xml:space="preserve"> PAGEREF _Toc3195093 \h </w:instrText>
        </w:r>
        <w:r w:rsidR="00191B5D">
          <w:rPr>
            <w:webHidden/>
          </w:rPr>
        </w:r>
        <w:r w:rsidR="00191B5D">
          <w:rPr>
            <w:webHidden/>
          </w:rPr>
          <w:fldChar w:fldCharType="separate"/>
        </w:r>
        <w:r w:rsidR="00F70157">
          <w:rPr>
            <w:webHidden/>
          </w:rPr>
          <w:t>20</w:t>
        </w:r>
        <w:r w:rsidR="00191B5D">
          <w:rPr>
            <w:webHidden/>
          </w:rPr>
          <w:fldChar w:fldCharType="end"/>
        </w:r>
      </w:hyperlink>
    </w:p>
    <w:p w14:paraId="076892A0" w14:textId="77777777" w:rsidR="00191B5D" w:rsidRDefault="00B329FD">
      <w:pPr>
        <w:pStyle w:val="TOC2"/>
        <w:rPr>
          <w:rFonts w:asciiTheme="minorHAnsi" w:eastAsiaTheme="minorEastAsia" w:hAnsiTheme="minorHAnsi" w:cstheme="minorBidi"/>
          <w:szCs w:val="22"/>
        </w:rPr>
      </w:pPr>
      <w:hyperlink w:anchor="_Toc3195094" w:history="1">
        <w:r w:rsidR="00191B5D" w:rsidRPr="000D2BD6">
          <w:rPr>
            <w:rStyle w:val="Hyperlink"/>
          </w:rPr>
          <w:t>Guiding questions for the environment scan</w:t>
        </w:r>
        <w:r w:rsidR="00191B5D">
          <w:rPr>
            <w:webHidden/>
          </w:rPr>
          <w:tab/>
        </w:r>
        <w:r w:rsidR="00191B5D">
          <w:rPr>
            <w:webHidden/>
          </w:rPr>
          <w:fldChar w:fldCharType="begin"/>
        </w:r>
        <w:r w:rsidR="00191B5D">
          <w:rPr>
            <w:webHidden/>
          </w:rPr>
          <w:instrText xml:space="preserve"> PAGEREF _Toc3195094 \h </w:instrText>
        </w:r>
        <w:r w:rsidR="00191B5D">
          <w:rPr>
            <w:webHidden/>
          </w:rPr>
        </w:r>
        <w:r w:rsidR="00191B5D">
          <w:rPr>
            <w:webHidden/>
          </w:rPr>
          <w:fldChar w:fldCharType="separate"/>
        </w:r>
        <w:r w:rsidR="00F70157">
          <w:rPr>
            <w:webHidden/>
          </w:rPr>
          <w:t>20</w:t>
        </w:r>
        <w:r w:rsidR="00191B5D">
          <w:rPr>
            <w:webHidden/>
          </w:rPr>
          <w:fldChar w:fldCharType="end"/>
        </w:r>
      </w:hyperlink>
    </w:p>
    <w:p w14:paraId="51CDC935" w14:textId="77777777" w:rsidR="00191B5D" w:rsidRDefault="00B329FD">
      <w:pPr>
        <w:pStyle w:val="TOC2"/>
        <w:rPr>
          <w:rFonts w:asciiTheme="minorHAnsi" w:eastAsiaTheme="minorEastAsia" w:hAnsiTheme="minorHAnsi" w:cstheme="minorBidi"/>
          <w:szCs w:val="22"/>
        </w:rPr>
      </w:pPr>
      <w:hyperlink w:anchor="_Toc3195095" w:history="1">
        <w:r w:rsidR="00191B5D" w:rsidRPr="000D2BD6">
          <w:rPr>
            <w:rStyle w:val="Hyperlink"/>
          </w:rPr>
          <w:t>Search strategy</w:t>
        </w:r>
        <w:r w:rsidR="00191B5D">
          <w:rPr>
            <w:webHidden/>
          </w:rPr>
          <w:tab/>
        </w:r>
        <w:r w:rsidR="00191B5D">
          <w:rPr>
            <w:webHidden/>
          </w:rPr>
          <w:fldChar w:fldCharType="begin"/>
        </w:r>
        <w:r w:rsidR="00191B5D">
          <w:rPr>
            <w:webHidden/>
          </w:rPr>
          <w:instrText xml:space="preserve"> PAGEREF _Toc3195095 \h </w:instrText>
        </w:r>
        <w:r w:rsidR="00191B5D">
          <w:rPr>
            <w:webHidden/>
          </w:rPr>
        </w:r>
        <w:r w:rsidR="00191B5D">
          <w:rPr>
            <w:webHidden/>
          </w:rPr>
          <w:fldChar w:fldCharType="separate"/>
        </w:r>
        <w:r w:rsidR="00F70157">
          <w:rPr>
            <w:webHidden/>
          </w:rPr>
          <w:t>20</w:t>
        </w:r>
        <w:r w:rsidR="00191B5D">
          <w:rPr>
            <w:webHidden/>
          </w:rPr>
          <w:fldChar w:fldCharType="end"/>
        </w:r>
      </w:hyperlink>
    </w:p>
    <w:p w14:paraId="5EACE239" w14:textId="77777777" w:rsidR="00191B5D" w:rsidRDefault="00B329FD">
      <w:pPr>
        <w:pStyle w:val="TOC2"/>
        <w:rPr>
          <w:rFonts w:asciiTheme="minorHAnsi" w:eastAsiaTheme="minorEastAsia" w:hAnsiTheme="minorHAnsi" w:cstheme="minorBidi"/>
          <w:szCs w:val="22"/>
        </w:rPr>
      </w:pPr>
      <w:hyperlink w:anchor="_Toc3195096" w:history="1">
        <w:r w:rsidR="00191B5D" w:rsidRPr="000D2BD6">
          <w:rPr>
            <w:rStyle w:val="Hyperlink"/>
          </w:rPr>
          <w:t>Australian national reporting mechanisms</w:t>
        </w:r>
        <w:r w:rsidR="00191B5D">
          <w:rPr>
            <w:webHidden/>
          </w:rPr>
          <w:tab/>
        </w:r>
        <w:r w:rsidR="00191B5D">
          <w:rPr>
            <w:webHidden/>
          </w:rPr>
          <w:fldChar w:fldCharType="begin"/>
        </w:r>
        <w:r w:rsidR="00191B5D">
          <w:rPr>
            <w:webHidden/>
          </w:rPr>
          <w:instrText xml:space="preserve"> PAGEREF _Toc3195096 \h </w:instrText>
        </w:r>
        <w:r w:rsidR="00191B5D">
          <w:rPr>
            <w:webHidden/>
          </w:rPr>
        </w:r>
        <w:r w:rsidR="00191B5D">
          <w:rPr>
            <w:webHidden/>
          </w:rPr>
          <w:fldChar w:fldCharType="separate"/>
        </w:r>
        <w:r w:rsidR="00F70157">
          <w:rPr>
            <w:webHidden/>
          </w:rPr>
          <w:t>21</w:t>
        </w:r>
        <w:r w:rsidR="00191B5D">
          <w:rPr>
            <w:webHidden/>
          </w:rPr>
          <w:fldChar w:fldCharType="end"/>
        </w:r>
      </w:hyperlink>
    </w:p>
    <w:p w14:paraId="296F9B18" w14:textId="77777777" w:rsidR="00191B5D" w:rsidRDefault="00B329FD">
      <w:pPr>
        <w:pStyle w:val="TOC2"/>
        <w:rPr>
          <w:rFonts w:asciiTheme="minorHAnsi" w:eastAsiaTheme="minorEastAsia" w:hAnsiTheme="minorHAnsi" w:cstheme="minorBidi"/>
          <w:szCs w:val="22"/>
        </w:rPr>
      </w:pPr>
      <w:hyperlink w:anchor="_Toc3195097" w:history="1">
        <w:r w:rsidR="00191B5D" w:rsidRPr="000D2BD6">
          <w:rPr>
            <w:rStyle w:val="Hyperlink"/>
          </w:rPr>
          <w:t>Jurisdictional reporting on public hospitals</w:t>
        </w:r>
        <w:r w:rsidR="00191B5D">
          <w:rPr>
            <w:webHidden/>
          </w:rPr>
          <w:tab/>
        </w:r>
        <w:r w:rsidR="00191B5D">
          <w:rPr>
            <w:webHidden/>
          </w:rPr>
          <w:fldChar w:fldCharType="begin"/>
        </w:r>
        <w:r w:rsidR="00191B5D">
          <w:rPr>
            <w:webHidden/>
          </w:rPr>
          <w:instrText xml:space="preserve"> PAGEREF _Toc3195097 \h </w:instrText>
        </w:r>
        <w:r w:rsidR="00191B5D">
          <w:rPr>
            <w:webHidden/>
          </w:rPr>
        </w:r>
        <w:r w:rsidR="00191B5D">
          <w:rPr>
            <w:webHidden/>
          </w:rPr>
          <w:fldChar w:fldCharType="separate"/>
        </w:r>
        <w:r w:rsidR="00F70157">
          <w:rPr>
            <w:webHidden/>
          </w:rPr>
          <w:t>22</w:t>
        </w:r>
        <w:r w:rsidR="00191B5D">
          <w:rPr>
            <w:webHidden/>
          </w:rPr>
          <w:fldChar w:fldCharType="end"/>
        </w:r>
      </w:hyperlink>
    </w:p>
    <w:p w14:paraId="399DC142" w14:textId="77777777" w:rsidR="00191B5D" w:rsidRDefault="00B329FD">
      <w:pPr>
        <w:pStyle w:val="TOC2"/>
        <w:rPr>
          <w:rFonts w:asciiTheme="minorHAnsi" w:eastAsiaTheme="minorEastAsia" w:hAnsiTheme="minorHAnsi" w:cstheme="minorBidi"/>
          <w:szCs w:val="22"/>
        </w:rPr>
      </w:pPr>
      <w:hyperlink w:anchor="_Toc3195098" w:history="1">
        <w:r w:rsidR="00191B5D" w:rsidRPr="000D2BD6">
          <w:rPr>
            <w:rStyle w:val="Hyperlink"/>
          </w:rPr>
          <w:t>Public reporting by private hospitals</w:t>
        </w:r>
        <w:r w:rsidR="00191B5D">
          <w:rPr>
            <w:webHidden/>
          </w:rPr>
          <w:tab/>
        </w:r>
        <w:r w:rsidR="00191B5D">
          <w:rPr>
            <w:webHidden/>
          </w:rPr>
          <w:fldChar w:fldCharType="begin"/>
        </w:r>
        <w:r w:rsidR="00191B5D">
          <w:rPr>
            <w:webHidden/>
          </w:rPr>
          <w:instrText xml:space="preserve"> PAGEREF _Toc3195098 \h </w:instrText>
        </w:r>
        <w:r w:rsidR="00191B5D">
          <w:rPr>
            <w:webHidden/>
          </w:rPr>
        </w:r>
        <w:r w:rsidR="00191B5D">
          <w:rPr>
            <w:webHidden/>
          </w:rPr>
          <w:fldChar w:fldCharType="separate"/>
        </w:r>
        <w:r w:rsidR="00F70157">
          <w:rPr>
            <w:webHidden/>
          </w:rPr>
          <w:t>27</w:t>
        </w:r>
        <w:r w:rsidR="00191B5D">
          <w:rPr>
            <w:webHidden/>
          </w:rPr>
          <w:fldChar w:fldCharType="end"/>
        </w:r>
      </w:hyperlink>
    </w:p>
    <w:p w14:paraId="740BDD23" w14:textId="77777777" w:rsidR="00191B5D" w:rsidRDefault="00B329FD">
      <w:pPr>
        <w:pStyle w:val="TOC2"/>
        <w:rPr>
          <w:rFonts w:asciiTheme="minorHAnsi" w:eastAsiaTheme="minorEastAsia" w:hAnsiTheme="minorHAnsi" w:cstheme="minorBidi"/>
          <w:szCs w:val="22"/>
        </w:rPr>
      </w:pPr>
      <w:hyperlink w:anchor="_Toc3195099" w:history="1">
        <w:r w:rsidR="00191B5D" w:rsidRPr="000D2BD6">
          <w:rPr>
            <w:rStyle w:val="Hyperlink"/>
          </w:rPr>
          <w:t>Non-government public reporting mechanisms in Australia</w:t>
        </w:r>
        <w:r w:rsidR="00191B5D">
          <w:rPr>
            <w:webHidden/>
          </w:rPr>
          <w:tab/>
        </w:r>
        <w:r w:rsidR="00191B5D">
          <w:rPr>
            <w:webHidden/>
          </w:rPr>
          <w:fldChar w:fldCharType="begin"/>
        </w:r>
        <w:r w:rsidR="00191B5D">
          <w:rPr>
            <w:webHidden/>
          </w:rPr>
          <w:instrText xml:space="preserve"> PAGEREF _Toc3195099 \h </w:instrText>
        </w:r>
        <w:r w:rsidR="00191B5D">
          <w:rPr>
            <w:webHidden/>
          </w:rPr>
        </w:r>
        <w:r w:rsidR="00191B5D">
          <w:rPr>
            <w:webHidden/>
          </w:rPr>
          <w:fldChar w:fldCharType="separate"/>
        </w:r>
        <w:r w:rsidR="00F70157">
          <w:rPr>
            <w:webHidden/>
          </w:rPr>
          <w:t>35</w:t>
        </w:r>
        <w:r w:rsidR="00191B5D">
          <w:rPr>
            <w:webHidden/>
          </w:rPr>
          <w:fldChar w:fldCharType="end"/>
        </w:r>
      </w:hyperlink>
    </w:p>
    <w:p w14:paraId="062F7198" w14:textId="77777777" w:rsidR="00191B5D" w:rsidRDefault="00B329FD">
      <w:pPr>
        <w:pStyle w:val="TOC2"/>
        <w:rPr>
          <w:rFonts w:asciiTheme="minorHAnsi" w:eastAsiaTheme="minorEastAsia" w:hAnsiTheme="minorHAnsi" w:cstheme="minorBidi"/>
          <w:szCs w:val="22"/>
        </w:rPr>
      </w:pPr>
      <w:hyperlink w:anchor="_Toc3195100" w:history="1">
        <w:r w:rsidR="00191B5D" w:rsidRPr="000D2BD6">
          <w:rPr>
            <w:rStyle w:val="Hyperlink"/>
          </w:rPr>
          <w:t>International examples of public reporting</w:t>
        </w:r>
        <w:r w:rsidR="00191B5D">
          <w:rPr>
            <w:webHidden/>
          </w:rPr>
          <w:tab/>
        </w:r>
        <w:r w:rsidR="00191B5D">
          <w:rPr>
            <w:webHidden/>
          </w:rPr>
          <w:fldChar w:fldCharType="begin"/>
        </w:r>
        <w:r w:rsidR="00191B5D">
          <w:rPr>
            <w:webHidden/>
          </w:rPr>
          <w:instrText xml:space="preserve"> PAGEREF _Toc3195100 \h </w:instrText>
        </w:r>
        <w:r w:rsidR="00191B5D">
          <w:rPr>
            <w:webHidden/>
          </w:rPr>
        </w:r>
        <w:r w:rsidR="00191B5D">
          <w:rPr>
            <w:webHidden/>
          </w:rPr>
          <w:fldChar w:fldCharType="separate"/>
        </w:r>
        <w:r w:rsidR="00F70157">
          <w:rPr>
            <w:webHidden/>
          </w:rPr>
          <w:t>37</w:t>
        </w:r>
        <w:r w:rsidR="00191B5D">
          <w:rPr>
            <w:webHidden/>
          </w:rPr>
          <w:fldChar w:fldCharType="end"/>
        </w:r>
      </w:hyperlink>
    </w:p>
    <w:p w14:paraId="65257AA8" w14:textId="77777777" w:rsidR="00191B5D" w:rsidRDefault="00B329FD">
      <w:pPr>
        <w:pStyle w:val="TOC1"/>
        <w:rPr>
          <w:rFonts w:asciiTheme="minorHAnsi" w:eastAsiaTheme="minorEastAsia" w:hAnsiTheme="minorHAnsi" w:cstheme="minorBidi"/>
          <w:b w:val="0"/>
          <w:bCs w:val="0"/>
          <w:color w:val="auto"/>
          <w:sz w:val="22"/>
          <w:szCs w:val="22"/>
        </w:rPr>
      </w:pPr>
      <w:hyperlink w:anchor="_Toc3195101" w:history="1">
        <w:r w:rsidR="00191B5D" w:rsidRPr="000D2BD6">
          <w:rPr>
            <w:rStyle w:val="Hyperlink"/>
            <w:rFonts w:ascii="Arial Bold" w:hAnsi="Arial Bold"/>
          </w:rPr>
          <w:t>Appendix A</w:t>
        </w:r>
        <w:r w:rsidR="00191B5D" w:rsidRPr="000D2BD6">
          <w:rPr>
            <w:rStyle w:val="Hyperlink"/>
          </w:rPr>
          <w:t xml:space="preserve"> : Detailed outline of public reporting across jurisdictions</w:t>
        </w:r>
        <w:r w:rsidR="00191B5D">
          <w:rPr>
            <w:webHidden/>
          </w:rPr>
          <w:tab/>
        </w:r>
        <w:r w:rsidR="00191B5D">
          <w:rPr>
            <w:webHidden/>
          </w:rPr>
          <w:fldChar w:fldCharType="begin"/>
        </w:r>
        <w:r w:rsidR="00191B5D">
          <w:rPr>
            <w:webHidden/>
          </w:rPr>
          <w:instrText xml:space="preserve"> PAGEREF _Toc3195101 \h </w:instrText>
        </w:r>
        <w:r w:rsidR="00191B5D">
          <w:rPr>
            <w:webHidden/>
          </w:rPr>
        </w:r>
        <w:r w:rsidR="00191B5D">
          <w:rPr>
            <w:webHidden/>
          </w:rPr>
          <w:fldChar w:fldCharType="separate"/>
        </w:r>
        <w:r w:rsidR="00F70157">
          <w:rPr>
            <w:webHidden/>
          </w:rPr>
          <w:t>45</w:t>
        </w:r>
        <w:r w:rsidR="00191B5D">
          <w:rPr>
            <w:webHidden/>
          </w:rPr>
          <w:fldChar w:fldCharType="end"/>
        </w:r>
      </w:hyperlink>
    </w:p>
    <w:p w14:paraId="69DF5FD6" w14:textId="77777777" w:rsidR="00191B5D" w:rsidRDefault="00B329FD">
      <w:pPr>
        <w:pStyle w:val="TOC1"/>
        <w:rPr>
          <w:rFonts w:asciiTheme="minorHAnsi" w:eastAsiaTheme="minorEastAsia" w:hAnsiTheme="minorHAnsi" w:cstheme="minorBidi"/>
          <w:b w:val="0"/>
          <w:bCs w:val="0"/>
          <w:color w:val="auto"/>
          <w:sz w:val="22"/>
          <w:szCs w:val="22"/>
        </w:rPr>
      </w:pPr>
      <w:hyperlink w:anchor="_Toc3195102" w:history="1">
        <w:r w:rsidR="00191B5D" w:rsidRPr="000D2BD6">
          <w:rPr>
            <w:rStyle w:val="Hyperlink"/>
            <w:rFonts w:ascii="Arial Bold" w:hAnsi="Arial Bold"/>
          </w:rPr>
          <w:t>Appendix B</w:t>
        </w:r>
        <w:r w:rsidR="00191B5D" w:rsidRPr="000D2BD6">
          <w:rPr>
            <w:rStyle w:val="Hyperlink"/>
          </w:rPr>
          <w:t xml:space="preserve"> : List of organisations searched</w:t>
        </w:r>
        <w:r w:rsidR="00191B5D">
          <w:rPr>
            <w:webHidden/>
          </w:rPr>
          <w:tab/>
        </w:r>
        <w:r w:rsidR="00191B5D">
          <w:rPr>
            <w:webHidden/>
          </w:rPr>
          <w:fldChar w:fldCharType="begin"/>
        </w:r>
        <w:r w:rsidR="00191B5D">
          <w:rPr>
            <w:webHidden/>
          </w:rPr>
          <w:instrText xml:space="preserve"> PAGEREF _Toc3195102 \h </w:instrText>
        </w:r>
        <w:r w:rsidR="00191B5D">
          <w:rPr>
            <w:webHidden/>
          </w:rPr>
        </w:r>
        <w:r w:rsidR="00191B5D">
          <w:rPr>
            <w:webHidden/>
          </w:rPr>
          <w:fldChar w:fldCharType="separate"/>
        </w:r>
        <w:r w:rsidR="00F70157">
          <w:rPr>
            <w:webHidden/>
          </w:rPr>
          <w:t>55</w:t>
        </w:r>
        <w:r w:rsidR="00191B5D">
          <w:rPr>
            <w:webHidden/>
          </w:rPr>
          <w:fldChar w:fldCharType="end"/>
        </w:r>
      </w:hyperlink>
    </w:p>
    <w:p w14:paraId="396C88A8" w14:textId="77777777" w:rsidR="00191B5D" w:rsidRDefault="00B329FD">
      <w:pPr>
        <w:pStyle w:val="TOC1"/>
        <w:rPr>
          <w:rFonts w:asciiTheme="minorHAnsi" w:eastAsiaTheme="minorEastAsia" w:hAnsiTheme="minorHAnsi" w:cstheme="minorBidi"/>
          <w:b w:val="0"/>
          <w:bCs w:val="0"/>
          <w:color w:val="auto"/>
          <w:sz w:val="22"/>
          <w:szCs w:val="22"/>
        </w:rPr>
      </w:pPr>
      <w:hyperlink w:anchor="_Toc3195103" w:history="1">
        <w:r w:rsidR="00191B5D" w:rsidRPr="000D2BD6">
          <w:rPr>
            <w:rStyle w:val="Hyperlink"/>
          </w:rPr>
          <w:t>Glossary</w:t>
        </w:r>
        <w:r w:rsidR="00191B5D">
          <w:rPr>
            <w:webHidden/>
          </w:rPr>
          <w:tab/>
        </w:r>
        <w:r w:rsidR="00191B5D">
          <w:rPr>
            <w:webHidden/>
          </w:rPr>
          <w:fldChar w:fldCharType="begin"/>
        </w:r>
        <w:r w:rsidR="00191B5D">
          <w:rPr>
            <w:webHidden/>
          </w:rPr>
          <w:instrText xml:space="preserve"> PAGEREF _Toc3195103 \h </w:instrText>
        </w:r>
        <w:r w:rsidR="00191B5D">
          <w:rPr>
            <w:webHidden/>
          </w:rPr>
        </w:r>
        <w:r w:rsidR="00191B5D">
          <w:rPr>
            <w:webHidden/>
          </w:rPr>
          <w:fldChar w:fldCharType="separate"/>
        </w:r>
        <w:r w:rsidR="00F70157">
          <w:rPr>
            <w:webHidden/>
          </w:rPr>
          <w:t>59</w:t>
        </w:r>
        <w:r w:rsidR="00191B5D">
          <w:rPr>
            <w:webHidden/>
          </w:rPr>
          <w:fldChar w:fldCharType="end"/>
        </w:r>
      </w:hyperlink>
    </w:p>
    <w:p w14:paraId="13C36ECC" w14:textId="77777777" w:rsidR="00191B5D" w:rsidRDefault="00B329FD">
      <w:pPr>
        <w:pStyle w:val="TOC1"/>
        <w:rPr>
          <w:rFonts w:asciiTheme="minorHAnsi" w:eastAsiaTheme="minorEastAsia" w:hAnsiTheme="minorHAnsi" w:cstheme="minorBidi"/>
          <w:b w:val="0"/>
          <w:bCs w:val="0"/>
          <w:color w:val="auto"/>
          <w:sz w:val="22"/>
          <w:szCs w:val="22"/>
        </w:rPr>
      </w:pPr>
      <w:hyperlink w:anchor="_Toc3195104" w:history="1">
        <w:r w:rsidR="00191B5D" w:rsidRPr="000D2BD6">
          <w:rPr>
            <w:rStyle w:val="Hyperlink"/>
          </w:rPr>
          <w:t>References</w:t>
        </w:r>
        <w:r w:rsidR="00191B5D">
          <w:rPr>
            <w:webHidden/>
          </w:rPr>
          <w:tab/>
        </w:r>
        <w:r w:rsidR="00191B5D">
          <w:rPr>
            <w:webHidden/>
          </w:rPr>
          <w:fldChar w:fldCharType="begin"/>
        </w:r>
        <w:r w:rsidR="00191B5D">
          <w:rPr>
            <w:webHidden/>
          </w:rPr>
          <w:instrText xml:space="preserve"> PAGEREF _Toc3195104 \h </w:instrText>
        </w:r>
        <w:r w:rsidR="00191B5D">
          <w:rPr>
            <w:webHidden/>
          </w:rPr>
        </w:r>
        <w:r w:rsidR="00191B5D">
          <w:rPr>
            <w:webHidden/>
          </w:rPr>
          <w:fldChar w:fldCharType="separate"/>
        </w:r>
        <w:r w:rsidR="00F70157">
          <w:rPr>
            <w:webHidden/>
          </w:rPr>
          <w:t>60</w:t>
        </w:r>
        <w:r w:rsidR="00191B5D">
          <w:rPr>
            <w:webHidden/>
          </w:rPr>
          <w:fldChar w:fldCharType="end"/>
        </w:r>
      </w:hyperlink>
    </w:p>
    <w:p w14:paraId="6DB1C034" w14:textId="71CE20D6" w:rsidR="00D2773F" w:rsidRPr="00E867F6" w:rsidRDefault="00766545" w:rsidP="0044530F">
      <w:pPr>
        <w:pStyle w:val="BodyText"/>
        <w:sectPr w:rsidR="00D2773F" w:rsidRPr="00E867F6" w:rsidSect="00D2773F">
          <w:footerReference w:type="default" r:id="rId14"/>
          <w:headerReference w:type="first" r:id="rId15"/>
          <w:footerReference w:type="first" r:id="rId16"/>
          <w:pgSz w:w="11906" w:h="16838"/>
          <w:pgMar w:top="1440" w:right="1440" w:bottom="1440" w:left="1440" w:header="708" w:footer="708" w:gutter="0"/>
          <w:pgNumType w:fmt="lowerRoman" w:start="1"/>
          <w:cols w:space="708"/>
          <w:docGrid w:linePitch="360"/>
        </w:sectPr>
      </w:pPr>
      <w:r w:rsidRPr="00E867F6">
        <w:fldChar w:fldCharType="end"/>
      </w:r>
      <w:bookmarkEnd w:id="2"/>
      <w:bookmarkEnd w:id="3"/>
      <w:bookmarkEnd w:id="4"/>
      <w:bookmarkEnd w:id="5"/>
      <w:bookmarkEnd w:id="6"/>
    </w:p>
    <w:p w14:paraId="738C1770" w14:textId="77777777" w:rsidR="0056155A" w:rsidRDefault="0056155A" w:rsidP="0056155A">
      <w:pPr>
        <w:pStyle w:val="Heading1"/>
      </w:pPr>
      <w:bookmarkStart w:id="15" w:name="_Toc3195076"/>
      <w:r>
        <w:lastRenderedPageBreak/>
        <w:t>Key findings</w:t>
      </w:r>
      <w:bookmarkEnd w:id="15"/>
      <w:r>
        <w:t xml:space="preserve"> </w:t>
      </w:r>
    </w:p>
    <w:p w14:paraId="41E3AC38" w14:textId="3B827D44" w:rsidR="0056155A" w:rsidRPr="00CD2CB7" w:rsidRDefault="0056155A" w:rsidP="00EC5C34">
      <w:pPr>
        <w:pStyle w:val="ListParagraph"/>
        <w:numPr>
          <w:ilvl w:val="3"/>
          <w:numId w:val="40"/>
        </w:numPr>
        <w:tabs>
          <w:tab w:val="left" w:pos="567"/>
        </w:tabs>
        <w:ind w:left="567" w:hanging="425"/>
        <w:contextualSpacing w:val="0"/>
        <w:rPr>
          <w:rFonts w:asciiTheme="minorHAnsi" w:hAnsiTheme="minorHAnsi" w:cstheme="minorHAnsi"/>
        </w:rPr>
      </w:pPr>
      <w:r w:rsidRPr="00CD2CB7">
        <w:rPr>
          <w:rFonts w:asciiTheme="minorHAnsi" w:hAnsiTheme="minorHAnsi" w:cstheme="minorHAnsi"/>
        </w:rPr>
        <w:t xml:space="preserve">The commonly cited aims of publicly reporting safety and quality data included supporting patient choice, increasing consumer literacy, driving provider quality improvement, enhancing transparency and promoting public trust in the health system. </w:t>
      </w:r>
    </w:p>
    <w:p w14:paraId="503E44A1" w14:textId="69364430" w:rsidR="0056155A" w:rsidRDefault="004A4DE6" w:rsidP="00EC5C34">
      <w:pPr>
        <w:pStyle w:val="ListParagraph"/>
        <w:numPr>
          <w:ilvl w:val="3"/>
          <w:numId w:val="40"/>
        </w:numPr>
        <w:tabs>
          <w:tab w:val="left" w:pos="567"/>
        </w:tabs>
        <w:ind w:left="567" w:hanging="425"/>
        <w:contextualSpacing w:val="0"/>
        <w:rPr>
          <w:rFonts w:asciiTheme="minorHAnsi" w:hAnsiTheme="minorHAnsi" w:cstheme="minorHAnsi"/>
        </w:rPr>
      </w:pPr>
      <w:r w:rsidRPr="00CD2CB7">
        <w:rPr>
          <w:rFonts w:asciiTheme="minorHAnsi" w:hAnsiTheme="minorHAnsi" w:cstheme="minorHAnsi"/>
        </w:rPr>
        <w:t>T</w:t>
      </w:r>
      <w:r w:rsidR="0056155A" w:rsidRPr="00CD2CB7">
        <w:rPr>
          <w:rFonts w:asciiTheme="minorHAnsi" w:hAnsiTheme="minorHAnsi" w:cstheme="minorHAnsi"/>
        </w:rPr>
        <w:t xml:space="preserve">he benefits of public reporting </w:t>
      </w:r>
      <w:r w:rsidRPr="00CD2CB7">
        <w:rPr>
          <w:rFonts w:asciiTheme="minorHAnsi" w:hAnsiTheme="minorHAnsi" w:cstheme="minorHAnsi"/>
        </w:rPr>
        <w:t>can be predominantly realised through</w:t>
      </w:r>
      <w:r w:rsidR="00CD2CB7">
        <w:rPr>
          <w:rFonts w:asciiTheme="minorHAnsi" w:hAnsiTheme="minorHAnsi" w:cstheme="minorHAnsi"/>
        </w:rPr>
        <w:t>:</w:t>
      </w:r>
    </w:p>
    <w:p w14:paraId="5261C70C" w14:textId="77777777" w:rsidR="00CD2CB7" w:rsidRPr="00CD2CB7" w:rsidRDefault="00CD2CB7" w:rsidP="007B72B2">
      <w:pPr>
        <w:pStyle w:val="ListParagraph"/>
        <w:numPr>
          <w:ilvl w:val="4"/>
          <w:numId w:val="42"/>
        </w:numPr>
        <w:tabs>
          <w:tab w:val="left" w:pos="567"/>
        </w:tabs>
        <w:ind w:left="1134"/>
        <w:contextualSpacing w:val="0"/>
        <w:rPr>
          <w:rFonts w:asciiTheme="minorHAnsi" w:hAnsiTheme="minorHAnsi" w:cstheme="minorHAnsi"/>
        </w:rPr>
      </w:pPr>
      <w:r w:rsidRPr="00CD2CB7">
        <w:rPr>
          <w:rFonts w:asciiTheme="minorHAnsi" w:hAnsiTheme="minorHAnsi" w:cstheme="minorHAnsi"/>
        </w:rPr>
        <w:t>Selection (consumer empowerment), whereby public reporting empowers health consumers and other relevant health sector stakeholders such as health insurers to identify and choose services from healthcare organisations that perform better and have better outcomes</w:t>
      </w:r>
    </w:p>
    <w:p w14:paraId="29B2316F" w14:textId="0BDEA8E5" w:rsidR="004A4DE6" w:rsidRPr="00EC5C34" w:rsidRDefault="00CD2CB7" w:rsidP="007B72B2">
      <w:pPr>
        <w:pStyle w:val="ListParagraph"/>
        <w:numPr>
          <w:ilvl w:val="4"/>
          <w:numId w:val="42"/>
        </w:numPr>
        <w:tabs>
          <w:tab w:val="left" w:pos="567"/>
        </w:tabs>
        <w:ind w:left="1134"/>
        <w:contextualSpacing w:val="0"/>
        <w:rPr>
          <w:rFonts w:asciiTheme="minorHAnsi" w:hAnsiTheme="minorHAnsi" w:cstheme="minorHAnsi"/>
        </w:rPr>
      </w:pPr>
      <w:r w:rsidRPr="00CD2CB7">
        <w:rPr>
          <w:rFonts w:asciiTheme="minorHAnsi" w:hAnsiTheme="minorHAnsi" w:cstheme="minorHAnsi"/>
        </w:rPr>
        <w:t xml:space="preserve">Changes in care (provider quality improvement), whereby public reporting provides greater visibility of organisational performance, generating momentum within an organisation to drive ongoing quality improvement activities to maintain or enhance its reputation. </w:t>
      </w:r>
    </w:p>
    <w:p w14:paraId="370683FF" w14:textId="0415AF3A" w:rsidR="00617AC4" w:rsidRPr="00617AC4" w:rsidRDefault="00617AC4" w:rsidP="00617AC4">
      <w:pPr>
        <w:pStyle w:val="ListParagraph"/>
        <w:numPr>
          <w:ilvl w:val="0"/>
          <w:numId w:val="40"/>
        </w:numPr>
        <w:ind w:left="567"/>
        <w:rPr>
          <w:rFonts w:asciiTheme="majorHAnsi" w:eastAsia="Times New Roman" w:hAnsiTheme="majorHAnsi" w:cstheme="majorHAnsi"/>
          <w:lang w:eastAsia="en-AU"/>
        </w:rPr>
      </w:pPr>
      <w:r w:rsidRPr="00617AC4">
        <w:rPr>
          <w:rFonts w:asciiTheme="majorHAnsi" w:eastAsia="Times New Roman" w:hAnsiTheme="majorHAnsi" w:cstheme="majorHAnsi"/>
          <w:lang w:eastAsia="en-AU"/>
        </w:rPr>
        <w:t>An effective public reporting framework should have a well-defined purpose, specific audience and clear outcomes, and be built around an institutional culture that recognises the value of reporting. Evidence-based indicators selected for public reporting should accurately capture quality outcomes and have minimal or no unintended consequences.</w:t>
      </w:r>
    </w:p>
    <w:p w14:paraId="5D427ED1" w14:textId="23E8B58A" w:rsidR="008E494C" w:rsidRDefault="00B329FD" w:rsidP="008E494C">
      <w:pPr>
        <w:pStyle w:val="Pa9"/>
        <w:numPr>
          <w:ilvl w:val="0"/>
          <w:numId w:val="40"/>
        </w:numPr>
        <w:tabs>
          <w:tab w:val="left" w:pos="567"/>
        </w:tabs>
        <w:spacing w:after="120" w:line="240" w:lineRule="auto"/>
        <w:ind w:left="567" w:hanging="425"/>
        <w:rPr>
          <w:rFonts w:asciiTheme="majorHAnsi" w:hAnsiTheme="majorHAnsi" w:cstheme="majorHAnsi"/>
          <w:sz w:val="22"/>
          <w:szCs w:val="22"/>
        </w:rPr>
      </w:pPr>
      <w:r>
        <w:rPr>
          <w:rFonts w:asciiTheme="majorHAnsi" w:hAnsiTheme="majorHAnsi" w:cstheme="majorHAnsi"/>
          <w:sz w:val="22"/>
          <w:szCs w:val="22"/>
        </w:rPr>
        <w:t>Most states and territories</w:t>
      </w:r>
      <w:r w:rsidR="00617AC4">
        <w:rPr>
          <w:rFonts w:asciiTheme="majorHAnsi" w:hAnsiTheme="majorHAnsi" w:cstheme="majorHAnsi"/>
          <w:sz w:val="22"/>
          <w:szCs w:val="22"/>
        </w:rPr>
        <w:t xml:space="preserve"> across Australia report health</w:t>
      </w:r>
      <w:r w:rsidR="00617AC4" w:rsidRPr="00AF6717">
        <w:rPr>
          <w:rFonts w:asciiTheme="majorHAnsi" w:hAnsiTheme="majorHAnsi" w:cstheme="majorHAnsi"/>
          <w:sz w:val="22"/>
          <w:szCs w:val="22"/>
        </w:rPr>
        <w:t>care quality and safety information</w:t>
      </w:r>
      <w:r w:rsidR="00617AC4">
        <w:rPr>
          <w:rFonts w:asciiTheme="majorHAnsi" w:hAnsiTheme="majorHAnsi" w:cstheme="majorHAnsi"/>
          <w:sz w:val="22"/>
          <w:szCs w:val="22"/>
        </w:rPr>
        <w:t>,</w:t>
      </w:r>
      <w:r w:rsidR="00617AC4" w:rsidRPr="00AF6717">
        <w:rPr>
          <w:rFonts w:asciiTheme="majorHAnsi" w:hAnsiTheme="majorHAnsi" w:cstheme="majorHAnsi"/>
          <w:sz w:val="22"/>
          <w:szCs w:val="22"/>
        </w:rPr>
        <w:t xml:space="preserve"> and the extent and approach </w:t>
      </w:r>
      <w:r w:rsidR="00617AC4" w:rsidRPr="00AF6717">
        <w:rPr>
          <w:rFonts w:asciiTheme="majorHAnsi" w:hAnsiTheme="majorHAnsi" w:cstheme="majorHAnsi"/>
          <w:color w:val="000000"/>
          <w:sz w:val="22"/>
          <w:szCs w:val="22"/>
        </w:rPr>
        <w:t xml:space="preserve">varies. </w:t>
      </w:r>
      <w:r w:rsidR="00617AC4" w:rsidRPr="00AF6717">
        <w:rPr>
          <w:rFonts w:asciiTheme="majorHAnsi" w:hAnsiTheme="majorHAnsi" w:cstheme="majorHAnsi"/>
          <w:sz w:val="22"/>
          <w:szCs w:val="22"/>
        </w:rPr>
        <w:t>For the private hospital sector, participation in the national public re</w:t>
      </w:r>
      <w:r w:rsidR="00617AC4">
        <w:rPr>
          <w:rFonts w:asciiTheme="majorHAnsi" w:hAnsiTheme="majorHAnsi" w:cstheme="majorHAnsi"/>
          <w:sz w:val="22"/>
          <w:szCs w:val="22"/>
        </w:rPr>
        <w:t>porting mechanism (</w:t>
      </w:r>
      <w:proofErr w:type="spellStart"/>
      <w:r w:rsidR="00617AC4">
        <w:rPr>
          <w:rFonts w:asciiTheme="majorHAnsi" w:hAnsiTheme="majorHAnsi" w:cstheme="majorHAnsi"/>
          <w:sz w:val="22"/>
          <w:szCs w:val="22"/>
        </w:rPr>
        <w:t>MyHospitals</w:t>
      </w:r>
      <w:proofErr w:type="spellEnd"/>
      <w:r w:rsidR="00617AC4">
        <w:rPr>
          <w:rFonts w:asciiTheme="majorHAnsi" w:hAnsiTheme="majorHAnsi" w:cstheme="majorHAnsi"/>
          <w:sz w:val="22"/>
          <w:szCs w:val="22"/>
        </w:rPr>
        <w:t>)</w:t>
      </w:r>
      <w:r w:rsidR="00617AC4" w:rsidRPr="00AF6717">
        <w:rPr>
          <w:rFonts w:asciiTheme="majorHAnsi" w:hAnsiTheme="majorHAnsi" w:cstheme="majorHAnsi"/>
          <w:sz w:val="22"/>
          <w:szCs w:val="22"/>
        </w:rPr>
        <w:t xml:space="preserve"> is relatively high and the majority of the private hospital providers </w:t>
      </w:r>
      <w:r w:rsidR="00617AC4">
        <w:rPr>
          <w:rFonts w:asciiTheme="majorHAnsi" w:hAnsiTheme="majorHAnsi" w:cstheme="majorHAnsi"/>
          <w:sz w:val="22"/>
          <w:szCs w:val="22"/>
        </w:rPr>
        <w:t>reported</w:t>
      </w:r>
      <w:r w:rsidR="00617AC4" w:rsidRPr="00AF6717">
        <w:rPr>
          <w:rFonts w:asciiTheme="majorHAnsi" w:hAnsiTheme="majorHAnsi" w:cstheme="majorHAnsi"/>
          <w:sz w:val="22"/>
          <w:szCs w:val="22"/>
        </w:rPr>
        <w:t xml:space="preserve"> safety and quality </w:t>
      </w:r>
      <w:r w:rsidR="00617AC4">
        <w:rPr>
          <w:rFonts w:asciiTheme="majorHAnsi" w:hAnsiTheme="majorHAnsi" w:cstheme="majorHAnsi"/>
          <w:sz w:val="22"/>
          <w:szCs w:val="22"/>
        </w:rPr>
        <w:t>performance</w:t>
      </w:r>
      <w:r w:rsidR="00617AC4" w:rsidRPr="00AF6717">
        <w:rPr>
          <w:rFonts w:asciiTheme="majorHAnsi" w:hAnsiTheme="majorHAnsi" w:cstheme="majorHAnsi"/>
          <w:sz w:val="22"/>
          <w:szCs w:val="22"/>
        </w:rPr>
        <w:t xml:space="preserve"> on their </w:t>
      </w:r>
      <w:r w:rsidR="00617AC4">
        <w:rPr>
          <w:rFonts w:asciiTheme="majorHAnsi" w:hAnsiTheme="majorHAnsi" w:cstheme="majorHAnsi"/>
          <w:sz w:val="22"/>
          <w:szCs w:val="22"/>
        </w:rPr>
        <w:t xml:space="preserve">websites. </w:t>
      </w:r>
      <w:r w:rsidR="00617AC4" w:rsidRPr="00AF6717">
        <w:rPr>
          <w:rFonts w:asciiTheme="majorHAnsi" w:hAnsiTheme="majorHAnsi" w:cstheme="majorHAnsi"/>
          <w:sz w:val="22"/>
          <w:szCs w:val="22"/>
        </w:rPr>
        <w:t xml:space="preserve">There are also non-government public reporting mechanisms in place </w:t>
      </w:r>
      <w:r w:rsidR="00617AC4">
        <w:rPr>
          <w:rFonts w:asciiTheme="majorHAnsi" w:hAnsiTheme="majorHAnsi" w:cstheme="majorHAnsi"/>
          <w:sz w:val="22"/>
          <w:szCs w:val="22"/>
        </w:rPr>
        <w:t>where</w:t>
      </w:r>
      <w:r w:rsidR="00617AC4" w:rsidRPr="00AF6717">
        <w:rPr>
          <w:rFonts w:asciiTheme="majorHAnsi" w:hAnsiTheme="majorHAnsi" w:cstheme="majorHAnsi"/>
          <w:sz w:val="22"/>
          <w:szCs w:val="22"/>
        </w:rPr>
        <w:t xml:space="preserve"> </w:t>
      </w:r>
      <w:r w:rsidR="00617AC4">
        <w:rPr>
          <w:rFonts w:asciiTheme="majorHAnsi" w:hAnsiTheme="majorHAnsi" w:cstheme="majorHAnsi"/>
          <w:sz w:val="22"/>
          <w:szCs w:val="22"/>
        </w:rPr>
        <w:t>consumers can share</w:t>
      </w:r>
      <w:r w:rsidR="00617AC4" w:rsidRPr="00AF6717">
        <w:rPr>
          <w:rFonts w:asciiTheme="majorHAnsi" w:hAnsiTheme="majorHAnsi" w:cstheme="majorHAnsi"/>
          <w:sz w:val="22"/>
          <w:szCs w:val="22"/>
        </w:rPr>
        <w:t xml:space="preserve"> their experiences with healthcare organisations and providers. </w:t>
      </w:r>
    </w:p>
    <w:p w14:paraId="736B3AFC" w14:textId="5A377C3E" w:rsidR="00EC5C34" w:rsidRPr="008E494C" w:rsidRDefault="006B58B4" w:rsidP="008E494C">
      <w:pPr>
        <w:pStyle w:val="Pa9"/>
        <w:numPr>
          <w:ilvl w:val="0"/>
          <w:numId w:val="40"/>
        </w:numPr>
        <w:tabs>
          <w:tab w:val="left" w:pos="567"/>
        </w:tabs>
        <w:spacing w:after="120" w:line="240" w:lineRule="auto"/>
        <w:ind w:left="567" w:hanging="425"/>
        <w:rPr>
          <w:rFonts w:asciiTheme="majorHAnsi" w:hAnsiTheme="majorHAnsi" w:cstheme="majorHAnsi"/>
          <w:sz w:val="22"/>
          <w:szCs w:val="22"/>
        </w:rPr>
      </w:pPr>
      <w:r w:rsidRPr="008E494C">
        <w:rPr>
          <w:rFonts w:asciiTheme="minorHAnsi" w:hAnsiTheme="minorHAnsi" w:cstheme="minorHAnsi"/>
          <w:sz w:val="22"/>
          <w:szCs w:val="22"/>
        </w:rPr>
        <w:t xml:space="preserve">An increase in volume and complexity of public reporting can make the information available to consumers difficult to navigate and understand in order to make choices. </w:t>
      </w:r>
      <w:r w:rsidR="00AF6717" w:rsidRPr="008E494C">
        <w:rPr>
          <w:rFonts w:asciiTheme="minorHAnsi" w:hAnsiTheme="minorHAnsi" w:cstheme="minorHAnsi"/>
          <w:sz w:val="22"/>
          <w:szCs w:val="22"/>
        </w:rPr>
        <w:t>However, good examples of more consumer-friendly presentation of public reporting were seen, for example in</w:t>
      </w:r>
      <w:r w:rsidR="00EC5C34" w:rsidRPr="008E494C">
        <w:rPr>
          <w:rFonts w:asciiTheme="minorHAnsi" w:hAnsiTheme="minorHAnsi" w:cstheme="minorHAnsi"/>
          <w:sz w:val="22"/>
          <w:szCs w:val="22"/>
        </w:rPr>
        <w:t xml:space="preserve"> Canada and the </w:t>
      </w:r>
      <w:r w:rsidR="008E494C">
        <w:rPr>
          <w:rFonts w:asciiTheme="minorHAnsi" w:hAnsiTheme="minorHAnsi" w:cstheme="minorHAnsi"/>
          <w:sz w:val="22"/>
          <w:szCs w:val="22"/>
        </w:rPr>
        <w:t>United States of America (USA), through the Leapfrog Group</w:t>
      </w:r>
      <w:r w:rsidR="00EC5C34" w:rsidRPr="008E494C">
        <w:rPr>
          <w:rFonts w:asciiTheme="minorHAnsi" w:hAnsiTheme="minorHAnsi" w:cstheme="minorHAnsi"/>
          <w:sz w:val="22"/>
          <w:szCs w:val="22"/>
        </w:rPr>
        <w:t xml:space="preserve">. </w:t>
      </w:r>
    </w:p>
    <w:p w14:paraId="6AF29D88" w14:textId="182A87D3" w:rsidR="002F5306" w:rsidRPr="00AF6717" w:rsidRDefault="002F5306" w:rsidP="00AF6717">
      <w:pPr>
        <w:pStyle w:val="ListParagraph"/>
        <w:numPr>
          <w:ilvl w:val="3"/>
          <w:numId w:val="40"/>
        </w:numPr>
        <w:tabs>
          <w:tab w:val="left" w:pos="567"/>
        </w:tabs>
        <w:ind w:left="567" w:hanging="425"/>
        <w:contextualSpacing w:val="0"/>
        <w:rPr>
          <w:rFonts w:asciiTheme="minorHAnsi" w:hAnsiTheme="minorHAnsi" w:cstheme="minorHAnsi"/>
          <w:lang w:val="en-GB"/>
        </w:rPr>
      </w:pPr>
      <w:r w:rsidRPr="00CD2CB7">
        <w:rPr>
          <w:rFonts w:asciiTheme="minorHAnsi" w:hAnsiTheme="minorHAnsi" w:cstheme="minorHAnsi"/>
          <w:lang w:val="en-GB"/>
        </w:rPr>
        <w:t>Multiple reporting requirements can lead to reporting fatigue and lack of participation in voluntary public reporting mechanisms. Where public reporting occurs at a provider level, a focus on individual responsibility can have a negative impact on collaborative team culture that is essential to patient safety.</w:t>
      </w:r>
      <w:r>
        <w:rPr>
          <w:rFonts w:asciiTheme="minorHAnsi" w:hAnsiTheme="minorHAnsi" w:cstheme="minorHAnsi"/>
          <w:lang w:val="en-GB"/>
        </w:rPr>
        <w:t xml:space="preserve"> </w:t>
      </w:r>
      <w:r w:rsidR="00AF6717" w:rsidRPr="002F5306">
        <w:rPr>
          <w:rFonts w:asciiTheme="minorHAnsi" w:hAnsiTheme="minorHAnsi" w:cstheme="minorHAnsi"/>
        </w:rPr>
        <w:t xml:space="preserve">There is </w:t>
      </w:r>
      <w:r w:rsidR="00AF6717">
        <w:rPr>
          <w:rFonts w:asciiTheme="minorHAnsi" w:hAnsiTheme="minorHAnsi" w:cstheme="minorHAnsi"/>
        </w:rPr>
        <w:t xml:space="preserve">also </w:t>
      </w:r>
      <w:r w:rsidR="00AF6717" w:rsidRPr="002F5306">
        <w:rPr>
          <w:rFonts w:asciiTheme="minorHAnsi" w:hAnsiTheme="minorHAnsi" w:cstheme="minorHAnsi"/>
        </w:rPr>
        <w:t>potential for public reporting to lead to selection bias against high risk consumers, which may impact equity of health access.</w:t>
      </w:r>
    </w:p>
    <w:p w14:paraId="005508DC" w14:textId="6C90CD50" w:rsidR="00EC5C34" w:rsidRPr="00AF6717" w:rsidRDefault="002F5306" w:rsidP="00EC5C34">
      <w:pPr>
        <w:pStyle w:val="ListParagraph"/>
        <w:numPr>
          <w:ilvl w:val="3"/>
          <w:numId w:val="40"/>
        </w:numPr>
        <w:tabs>
          <w:tab w:val="left" w:pos="567"/>
        </w:tabs>
        <w:ind w:left="567" w:hanging="425"/>
        <w:contextualSpacing w:val="0"/>
        <w:rPr>
          <w:rFonts w:asciiTheme="minorHAnsi" w:hAnsiTheme="minorHAnsi" w:cstheme="minorHAnsi"/>
        </w:rPr>
      </w:pPr>
      <w:r w:rsidRPr="00AF6717">
        <w:rPr>
          <w:rFonts w:asciiTheme="minorHAnsi" w:hAnsiTheme="minorHAnsi" w:cstheme="minorHAnsi"/>
          <w:color w:val="000000"/>
        </w:rPr>
        <w:t>There is value in combining patient generated reviews with more traditional indicator-based information, to provide a comprehensive view of both the workforce and organisations’ safety and quality of care.</w:t>
      </w:r>
      <w:r w:rsidR="00AF6717">
        <w:rPr>
          <w:rFonts w:asciiTheme="minorHAnsi" w:hAnsiTheme="minorHAnsi" w:cstheme="minorHAnsi"/>
          <w:color w:val="000000"/>
        </w:rPr>
        <w:t xml:space="preserve"> </w:t>
      </w:r>
      <w:r w:rsidR="006B58B4" w:rsidRPr="00AF6717">
        <w:rPr>
          <w:rFonts w:asciiTheme="minorHAnsi" w:hAnsiTheme="minorHAnsi" w:cstheme="minorHAnsi"/>
          <w:color w:val="000000"/>
        </w:rPr>
        <w:t>A multifactorial approach to monitoring and reporting patient safety is becoming increasingly commo</w:t>
      </w:r>
      <w:r w:rsidR="001A6ABF" w:rsidRPr="00AF6717">
        <w:rPr>
          <w:rFonts w:asciiTheme="minorHAnsi" w:hAnsiTheme="minorHAnsi" w:cstheme="minorHAnsi"/>
          <w:color w:val="000000"/>
        </w:rPr>
        <w:t xml:space="preserve">n </w:t>
      </w:r>
      <w:r w:rsidR="006B58B4" w:rsidRPr="00AF6717">
        <w:rPr>
          <w:rFonts w:asciiTheme="minorHAnsi" w:hAnsiTheme="minorHAnsi" w:cstheme="minorHAnsi"/>
          <w:color w:val="000000"/>
        </w:rPr>
        <w:t xml:space="preserve">across the globe with countries such as the Netherlands, </w:t>
      </w:r>
      <w:r w:rsidR="008E494C">
        <w:rPr>
          <w:rFonts w:asciiTheme="minorHAnsi" w:hAnsiTheme="minorHAnsi" w:cstheme="minorHAnsi"/>
          <w:color w:val="000000"/>
        </w:rPr>
        <w:t xml:space="preserve">USA </w:t>
      </w:r>
      <w:r w:rsidR="006B58B4" w:rsidRPr="00AF6717">
        <w:rPr>
          <w:rFonts w:asciiTheme="minorHAnsi" w:hAnsiTheme="minorHAnsi" w:cstheme="minorHAnsi"/>
          <w:color w:val="000000"/>
        </w:rPr>
        <w:t xml:space="preserve">and Canada having implemented such an approach, and realising improved outcomes as a result. </w:t>
      </w:r>
    </w:p>
    <w:p w14:paraId="441ECF7C" w14:textId="77777777" w:rsidR="00DC0F59" w:rsidRDefault="001A6ABF" w:rsidP="00DC0F59">
      <w:pPr>
        <w:pStyle w:val="Pa9"/>
        <w:numPr>
          <w:ilvl w:val="3"/>
          <w:numId w:val="40"/>
        </w:numPr>
        <w:tabs>
          <w:tab w:val="left" w:pos="567"/>
        </w:tabs>
        <w:spacing w:after="120" w:line="240" w:lineRule="auto"/>
        <w:ind w:left="567" w:hanging="425"/>
        <w:rPr>
          <w:rFonts w:asciiTheme="minorHAnsi" w:hAnsiTheme="minorHAnsi" w:cstheme="minorHAnsi"/>
          <w:sz w:val="22"/>
          <w:szCs w:val="22"/>
        </w:rPr>
      </w:pPr>
      <w:r w:rsidRPr="00CD2CB7">
        <w:rPr>
          <w:rFonts w:asciiTheme="minorHAnsi" w:hAnsiTheme="minorHAnsi" w:cstheme="minorHAnsi"/>
          <w:color w:val="000000"/>
          <w:sz w:val="22"/>
          <w:szCs w:val="22"/>
        </w:rPr>
        <w:t>P</w:t>
      </w:r>
      <w:r w:rsidR="006B58B4" w:rsidRPr="00CD2CB7">
        <w:rPr>
          <w:rFonts w:asciiTheme="minorHAnsi" w:hAnsiTheme="minorHAnsi" w:cstheme="minorHAnsi"/>
          <w:color w:val="000000"/>
          <w:sz w:val="22"/>
          <w:szCs w:val="22"/>
        </w:rPr>
        <w:t>ublic reporting has had a positive influence on provider quality improvement activities, particularly in the USA, and supports public reporting of agreed safety and quality indicators with risk adjustment, to facilitate accu</w:t>
      </w:r>
      <w:r w:rsidR="004A4DE6" w:rsidRPr="00CD2CB7">
        <w:rPr>
          <w:rFonts w:asciiTheme="minorHAnsi" w:hAnsiTheme="minorHAnsi" w:cstheme="minorHAnsi"/>
          <w:color w:val="000000"/>
          <w:sz w:val="22"/>
          <w:szCs w:val="22"/>
        </w:rPr>
        <w:t>rate comparisons between health</w:t>
      </w:r>
      <w:r w:rsidR="006B58B4" w:rsidRPr="00CD2CB7">
        <w:rPr>
          <w:rFonts w:asciiTheme="minorHAnsi" w:hAnsiTheme="minorHAnsi" w:cstheme="minorHAnsi"/>
          <w:color w:val="000000"/>
          <w:sz w:val="22"/>
          <w:szCs w:val="22"/>
        </w:rPr>
        <w:t xml:space="preserve">care organisations. </w:t>
      </w:r>
      <w:r w:rsidR="006B58B4" w:rsidRPr="00CD2CB7">
        <w:rPr>
          <w:rFonts w:asciiTheme="minorHAnsi" w:hAnsiTheme="minorHAnsi" w:cstheme="minorHAnsi"/>
          <w:sz w:val="22"/>
          <w:szCs w:val="22"/>
        </w:rPr>
        <w:t>Evidence of benefits from public reporting at the hospital level is typically identified through increased quality improvement activities, overall performance and outcomes, or both.</w:t>
      </w:r>
    </w:p>
    <w:p w14:paraId="0E2308FE" w14:textId="48E68FFD" w:rsidR="00A8050E" w:rsidRDefault="005A7A12" w:rsidP="00F560B3">
      <w:pPr>
        <w:pStyle w:val="Heading1"/>
      </w:pPr>
      <w:bookmarkStart w:id="16" w:name="_Toc3195077"/>
      <w:r>
        <w:lastRenderedPageBreak/>
        <w:t>S</w:t>
      </w:r>
      <w:r w:rsidR="00F560B3">
        <w:t>ummary</w:t>
      </w:r>
      <w:bookmarkEnd w:id="16"/>
    </w:p>
    <w:p w14:paraId="73AD0F2D" w14:textId="49B661D1" w:rsidR="00F560B3" w:rsidRDefault="00F560B3" w:rsidP="00F560B3">
      <w:r>
        <w:t>This report provides a summary of</w:t>
      </w:r>
      <w:r w:rsidRPr="00F560B3">
        <w:t xml:space="preserve"> </w:t>
      </w:r>
      <w:r>
        <w:t xml:space="preserve">findings from a literature review and environment scan </w:t>
      </w:r>
      <w:r w:rsidR="00EA6A50">
        <w:t xml:space="preserve">undertaken to inform options for national </w:t>
      </w:r>
      <w:r w:rsidR="00EA6A50" w:rsidRPr="00EA6A50">
        <w:t xml:space="preserve">public reporting standards of safety and quality in health care across public </w:t>
      </w:r>
      <w:r w:rsidR="00EA6A50">
        <w:t>and private hospitals in Australia.</w:t>
      </w:r>
    </w:p>
    <w:p w14:paraId="1086C4A4" w14:textId="57B7C13D" w:rsidR="008B388B" w:rsidRDefault="008B388B" w:rsidP="00F560B3">
      <w:r>
        <w:rPr>
          <w:rFonts w:cstheme="minorHAnsi"/>
          <w:lang w:val="en-GB"/>
        </w:rPr>
        <w:t xml:space="preserve">This literature review and environment scan is part of a </w:t>
      </w:r>
      <w:r w:rsidRPr="00821241">
        <w:rPr>
          <w:rFonts w:cstheme="minorHAnsi"/>
          <w:lang w:val="en-GB"/>
        </w:rPr>
        <w:t xml:space="preserve">project </w:t>
      </w:r>
      <w:r>
        <w:rPr>
          <w:rFonts w:cstheme="minorHAnsi"/>
          <w:lang w:val="en-GB"/>
        </w:rPr>
        <w:t xml:space="preserve">that </w:t>
      </w:r>
      <w:r w:rsidRPr="00821241">
        <w:rPr>
          <w:rFonts w:cstheme="minorHAnsi"/>
          <w:lang w:val="en-GB"/>
        </w:rPr>
        <w:t xml:space="preserve">was undertaken by the </w:t>
      </w:r>
      <w:r w:rsidRPr="008B388B">
        <w:rPr>
          <w:rFonts w:cstheme="minorHAnsi"/>
          <w:lang w:val="en-GB"/>
        </w:rPr>
        <w:t>Australian Commission on Safety and Quality in Health Care (the Commission)</w:t>
      </w:r>
      <w:r>
        <w:rPr>
          <w:rFonts w:cstheme="minorHAnsi"/>
          <w:lang w:val="en-GB"/>
        </w:rPr>
        <w:t xml:space="preserve"> </w:t>
      </w:r>
      <w:r w:rsidRPr="00821241">
        <w:rPr>
          <w:rFonts w:cstheme="minorHAnsi"/>
          <w:lang w:val="en-GB"/>
        </w:rPr>
        <w:t xml:space="preserve">in response to the </w:t>
      </w:r>
      <w:r>
        <w:rPr>
          <w:rFonts w:cstheme="minorHAnsi"/>
          <w:lang w:val="en-GB"/>
        </w:rPr>
        <w:t xml:space="preserve">request from the </w:t>
      </w:r>
      <w:r w:rsidR="00240CC4" w:rsidRPr="00240CC4">
        <w:rPr>
          <w:rFonts w:cstheme="minorHAnsi"/>
          <w:lang w:val="en-GB"/>
        </w:rPr>
        <w:t xml:space="preserve">Council of Australian Governments (COAG) </w:t>
      </w:r>
      <w:r w:rsidRPr="00821241">
        <w:rPr>
          <w:rFonts w:cstheme="minorHAnsi"/>
          <w:lang w:val="en-GB"/>
        </w:rPr>
        <w:t>Health Council (CHC)</w:t>
      </w:r>
      <w:r>
        <w:rPr>
          <w:rFonts w:cstheme="minorHAnsi"/>
          <w:lang w:val="en-GB"/>
        </w:rPr>
        <w:t>. I</w:t>
      </w:r>
      <w:r w:rsidRPr="00821241">
        <w:rPr>
          <w:rFonts w:cstheme="minorHAnsi"/>
        </w:rPr>
        <w:t>n August 2017</w:t>
      </w:r>
      <w:r>
        <w:rPr>
          <w:rFonts w:cstheme="minorHAnsi"/>
        </w:rPr>
        <w:t>, the Commission was asked</w:t>
      </w:r>
      <w:r w:rsidRPr="00821241">
        <w:rPr>
          <w:rFonts w:cstheme="minorHAnsi"/>
        </w:rPr>
        <w:t xml:space="preserve"> to identify options to align public reporting standards for the safety and quality of health care across public and private hospitals nationally, with a view to this work being </w:t>
      </w:r>
      <w:r w:rsidRPr="00821241">
        <w:rPr>
          <w:rFonts w:cstheme="minorHAnsi"/>
          <w:lang w:val="en-GB"/>
        </w:rPr>
        <w:t>incorporated in the national work being progressed on the A</w:t>
      </w:r>
      <w:r>
        <w:rPr>
          <w:rFonts w:cstheme="minorHAnsi"/>
          <w:lang w:val="en-GB"/>
        </w:rPr>
        <w:t>ustralian Health Performance Framework (AHPF)</w:t>
      </w:r>
      <w:r w:rsidRPr="00821241">
        <w:rPr>
          <w:rFonts w:cstheme="minorHAnsi"/>
          <w:lang w:val="en-GB"/>
        </w:rPr>
        <w:t>.</w:t>
      </w:r>
    </w:p>
    <w:p w14:paraId="599810A8" w14:textId="519B33A0" w:rsidR="00F560B3" w:rsidRDefault="00F560B3" w:rsidP="00F560B3">
      <w:r>
        <w:t xml:space="preserve">This document </w:t>
      </w:r>
      <w:r w:rsidR="00CD23C4">
        <w:t xml:space="preserve">includes findings </w:t>
      </w:r>
      <w:r w:rsidR="008B388B">
        <w:t>regarding</w:t>
      </w:r>
      <w:r w:rsidR="00CD23C4">
        <w:t xml:space="preserve"> </w:t>
      </w:r>
      <w:r>
        <w:t xml:space="preserve">public reporting in Australia and three other </w:t>
      </w:r>
      <w:proofErr w:type="gramStart"/>
      <w:r>
        <w:t>Organisation</w:t>
      </w:r>
      <w:proofErr w:type="gramEnd"/>
      <w:r>
        <w:t xml:space="preserve"> for Economic Co-operation and Development (OECD) countries: the Netherlands, Canada an</w:t>
      </w:r>
      <w:r w:rsidR="00AE409C">
        <w:t xml:space="preserve">d the </w:t>
      </w:r>
      <w:r>
        <w:t>US</w:t>
      </w:r>
      <w:r w:rsidR="004F4936">
        <w:t>A</w:t>
      </w:r>
      <w:r>
        <w:t xml:space="preserve">. </w:t>
      </w:r>
    </w:p>
    <w:p w14:paraId="3B9BC1C3" w14:textId="6C6E3AAC" w:rsidR="00F560B3" w:rsidRDefault="00F560B3" w:rsidP="00F560B3">
      <w:r>
        <w:t>The docum</w:t>
      </w:r>
      <w:r w:rsidR="00CD23C4">
        <w:t xml:space="preserve">ent is presented in two parts: </w:t>
      </w:r>
      <w:r>
        <w:t xml:space="preserve">the literature review </w:t>
      </w:r>
      <w:r w:rsidR="00CD23C4">
        <w:t xml:space="preserve">and </w:t>
      </w:r>
      <w:r>
        <w:t>the environment scan.</w:t>
      </w:r>
      <w:r w:rsidR="00CD23C4">
        <w:t xml:space="preserve"> The research questions and findings for each part are shown throughout the report and are summarised below. </w:t>
      </w:r>
      <w:r>
        <w:t xml:space="preserve">Along with this report, </w:t>
      </w:r>
      <w:r w:rsidRPr="00E867F6">
        <w:t>a number of focus groups with clinicians and consumers</w:t>
      </w:r>
      <w:r>
        <w:t xml:space="preserve"> were undertaken and this has been reported </w:t>
      </w:r>
      <w:r w:rsidRPr="00F0189B">
        <w:t>separately</w:t>
      </w:r>
      <w:r>
        <w:t xml:space="preserve">. </w:t>
      </w:r>
    </w:p>
    <w:p w14:paraId="727FA543" w14:textId="25F3DEC6" w:rsidR="00413FC8" w:rsidRPr="00413FC8" w:rsidRDefault="00413FC8" w:rsidP="00F560B3">
      <w:pPr>
        <w:rPr>
          <w:b/>
          <w:color w:val="1178A2" w:themeColor="accent1"/>
          <w:sz w:val="32"/>
          <w:szCs w:val="32"/>
        </w:rPr>
      </w:pPr>
      <w:r w:rsidRPr="00413FC8">
        <w:rPr>
          <w:b/>
          <w:color w:val="1178A2" w:themeColor="accent1"/>
          <w:sz w:val="32"/>
          <w:szCs w:val="32"/>
        </w:rPr>
        <w:t>Literature review</w:t>
      </w:r>
    </w:p>
    <w:p w14:paraId="38AD6C96" w14:textId="03D4CCD5" w:rsidR="00F560B3" w:rsidRPr="007A5557" w:rsidRDefault="00D513E1" w:rsidP="00F560B3">
      <w:pPr>
        <w:rPr>
          <w:rFonts w:cstheme="minorHAnsi"/>
          <w:b/>
          <w:color w:val="1178A2" w:themeColor="accent1"/>
          <w:sz w:val="28"/>
          <w:szCs w:val="28"/>
          <w:lang w:val="en-GB"/>
        </w:rPr>
      </w:pPr>
      <w:r w:rsidRPr="007A5557">
        <w:rPr>
          <w:b/>
          <w:color w:val="1178A2" w:themeColor="accent1"/>
          <w:sz w:val="28"/>
          <w:szCs w:val="28"/>
        </w:rPr>
        <w:t>Purpose of the l</w:t>
      </w:r>
      <w:r w:rsidR="00F560B3" w:rsidRPr="007A5557">
        <w:rPr>
          <w:b/>
          <w:color w:val="1178A2" w:themeColor="accent1"/>
          <w:sz w:val="28"/>
          <w:szCs w:val="28"/>
        </w:rPr>
        <w:t>iterature review</w:t>
      </w:r>
      <w:r w:rsidR="00CD23C4" w:rsidRPr="007A5557">
        <w:rPr>
          <w:b/>
          <w:color w:val="1178A2" w:themeColor="accent1"/>
          <w:sz w:val="28"/>
          <w:szCs w:val="28"/>
        </w:rPr>
        <w:t xml:space="preserve"> </w:t>
      </w:r>
    </w:p>
    <w:p w14:paraId="0D75CCD6" w14:textId="693AC8DD" w:rsidR="00F560B3" w:rsidRPr="00F560B3" w:rsidRDefault="00F560B3" w:rsidP="00F560B3">
      <w:r w:rsidRPr="00E867F6">
        <w:t xml:space="preserve">A review of relevant literature on public reporting frameworks was undertaken to inform responses to a range of guiding questions. </w:t>
      </w:r>
      <w:r w:rsidRPr="00E867F6">
        <w:rPr>
          <w:rFonts w:cs="Arial"/>
        </w:rPr>
        <w:t xml:space="preserve">In addition, the literature review considered research that outlined factors necessary for a successful public reporting framework, based on the lessons learned from various initiatives undertaken nationally and internationally over the past several decades. </w:t>
      </w:r>
    </w:p>
    <w:p w14:paraId="3B88B94F" w14:textId="77777777" w:rsidR="00F560B3" w:rsidRPr="00E867F6" w:rsidRDefault="00F560B3" w:rsidP="00F560B3">
      <w:pPr>
        <w:rPr>
          <w:rFonts w:cs="Arial"/>
        </w:rPr>
      </w:pPr>
      <w:r w:rsidRPr="00E867F6">
        <w:rPr>
          <w:rFonts w:cs="Arial"/>
        </w:rPr>
        <w:t>The research questions guiding this literature review are as follows:</w:t>
      </w:r>
    </w:p>
    <w:p w14:paraId="0739ED69" w14:textId="77777777" w:rsidR="00F560B3" w:rsidRPr="00E867F6" w:rsidRDefault="00F560B3" w:rsidP="00F560B3">
      <w:pPr>
        <w:numPr>
          <w:ilvl w:val="0"/>
          <w:numId w:val="9"/>
        </w:numPr>
        <w:spacing w:after="120"/>
        <w:ind w:left="851"/>
        <w:rPr>
          <w:rFonts w:cs="Arial"/>
        </w:rPr>
      </w:pPr>
      <w:r w:rsidRPr="00E867F6">
        <w:rPr>
          <w:rFonts w:cs="Arial"/>
        </w:rPr>
        <w:t>What are the commonly cited aims of publicly reporting safety and quality data?</w:t>
      </w:r>
    </w:p>
    <w:p w14:paraId="54558339" w14:textId="77777777" w:rsidR="00F560B3" w:rsidRPr="00E867F6" w:rsidRDefault="00F560B3" w:rsidP="00F560B3">
      <w:pPr>
        <w:numPr>
          <w:ilvl w:val="0"/>
          <w:numId w:val="9"/>
        </w:numPr>
        <w:spacing w:after="120"/>
        <w:ind w:left="851"/>
        <w:rPr>
          <w:rFonts w:cs="Arial"/>
        </w:rPr>
      </w:pPr>
      <w:r w:rsidRPr="00E867F6">
        <w:rPr>
          <w:rFonts w:cs="Arial"/>
        </w:rPr>
        <w:t>What are the mechanisms by which public reporting is thought to achieve these aims?</w:t>
      </w:r>
    </w:p>
    <w:p w14:paraId="3FBBB009" w14:textId="0BCD8E7B" w:rsidR="00CD23C4" w:rsidRPr="00D513E1" w:rsidRDefault="00F560B3" w:rsidP="00D513E1">
      <w:pPr>
        <w:numPr>
          <w:ilvl w:val="0"/>
          <w:numId w:val="9"/>
        </w:numPr>
        <w:spacing w:after="240"/>
        <w:ind w:left="850" w:hanging="357"/>
        <w:rPr>
          <w:rFonts w:cs="Arial"/>
        </w:rPr>
      </w:pPr>
      <w:r w:rsidRPr="00E867F6">
        <w:rPr>
          <w:rFonts w:cs="Arial"/>
        </w:rPr>
        <w:t>What factors are associated with positive and/or perverse impacts of public reporting of safety and quality information?</w:t>
      </w:r>
    </w:p>
    <w:p w14:paraId="1EB44F6D" w14:textId="6C0B58FB" w:rsidR="00F560B3" w:rsidRPr="007A5557" w:rsidRDefault="00F560B3" w:rsidP="00F560B3">
      <w:pPr>
        <w:rPr>
          <w:rFonts w:cstheme="minorHAnsi"/>
          <w:b/>
          <w:color w:val="1178A2" w:themeColor="accent1"/>
          <w:sz w:val="28"/>
          <w:szCs w:val="28"/>
          <w:lang w:val="en-GB"/>
        </w:rPr>
      </w:pPr>
      <w:r w:rsidRPr="007A5557">
        <w:rPr>
          <w:rFonts w:cstheme="minorHAnsi"/>
          <w:b/>
          <w:color w:val="1178A2" w:themeColor="accent1"/>
          <w:sz w:val="28"/>
          <w:szCs w:val="28"/>
          <w:lang w:val="en-GB"/>
        </w:rPr>
        <w:t>Findings of the literature review</w:t>
      </w:r>
    </w:p>
    <w:p w14:paraId="785139BE" w14:textId="086BAE76" w:rsidR="00D513E1" w:rsidRDefault="00D513E1" w:rsidP="00A31675">
      <w:r>
        <w:t xml:space="preserve">A summary of findings of the literature </w:t>
      </w:r>
      <w:r w:rsidR="00B94A26">
        <w:t>is</w:t>
      </w:r>
      <w:r>
        <w:t xml:space="preserve"> presented below, by research question or other consideration that the review sought to address. </w:t>
      </w:r>
    </w:p>
    <w:p w14:paraId="105D257A" w14:textId="3241E25D" w:rsidR="0037081B" w:rsidRPr="0037081B" w:rsidRDefault="0037081B" w:rsidP="0037081B">
      <w:pPr>
        <w:spacing w:after="120"/>
        <w:rPr>
          <w:rFonts w:cs="Arial"/>
          <w:b/>
          <w:sz w:val="24"/>
          <w:szCs w:val="24"/>
        </w:rPr>
      </w:pPr>
      <w:r w:rsidRPr="0037081B">
        <w:rPr>
          <w:rFonts w:cs="Arial"/>
          <w:b/>
          <w:sz w:val="24"/>
          <w:szCs w:val="24"/>
        </w:rPr>
        <w:t>What are the commonly cited aims of publicly reporting safety and quality data?</w:t>
      </w:r>
    </w:p>
    <w:p w14:paraId="4EB271D9" w14:textId="225FC0B4" w:rsidR="008B388B" w:rsidRDefault="00D513E1" w:rsidP="005E3945">
      <w:r>
        <w:t>The c</w:t>
      </w:r>
      <w:r w:rsidR="00A31675" w:rsidRPr="00A31675">
        <w:t>ommonly cited aims of publicly re</w:t>
      </w:r>
      <w:r w:rsidR="00A31675">
        <w:t>porting safety and quality data</w:t>
      </w:r>
      <w:r>
        <w:t xml:space="preserve"> in the literature included</w:t>
      </w:r>
      <w:r w:rsidR="005E3945">
        <w:t xml:space="preserve"> </w:t>
      </w:r>
      <w:r w:rsidR="008B388B">
        <w:t>support</w:t>
      </w:r>
      <w:r w:rsidR="005E3945">
        <w:t>ing</w:t>
      </w:r>
      <w:r w:rsidR="008B388B">
        <w:t xml:space="preserve"> patient choice, increas</w:t>
      </w:r>
      <w:r w:rsidR="005E3945">
        <w:t>ing</w:t>
      </w:r>
      <w:r w:rsidR="008B388B">
        <w:t xml:space="preserve"> consumer literacy, driv</w:t>
      </w:r>
      <w:r w:rsidR="005E3945">
        <w:t>ing</w:t>
      </w:r>
      <w:r w:rsidR="008B388B">
        <w:t xml:space="preserve"> provider quality improvement, enhanc</w:t>
      </w:r>
      <w:r w:rsidR="005E3945">
        <w:t>ing</w:t>
      </w:r>
      <w:r w:rsidR="008B388B">
        <w:t xml:space="preserve"> transparency and promot</w:t>
      </w:r>
      <w:r w:rsidR="005E3945">
        <w:t>ing</w:t>
      </w:r>
      <w:r w:rsidR="008B388B">
        <w:t xml:space="preserve"> public trust in the health system. </w:t>
      </w:r>
    </w:p>
    <w:p w14:paraId="6B44ECB1" w14:textId="77777777" w:rsidR="00D513E1" w:rsidRDefault="00D513E1">
      <w:pPr>
        <w:spacing w:after="80"/>
      </w:pPr>
      <w:r>
        <w:br w:type="page"/>
      </w:r>
    </w:p>
    <w:p w14:paraId="09182542" w14:textId="77777777" w:rsidR="00370739" w:rsidRPr="0037081B" w:rsidRDefault="00370739" w:rsidP="00370739">
      <w:pPr>
        <w:spacing w:after="240"/>
        <w:rPr>
          <w:b/>
          <w:sz w:val="24"/>
          <w:szCs w:val="24"/>
        </w:rPr>
      </w:pPr>
      <w:r w:rsidRPr="0037081B">
        <w:rPr>
          <w:rFonts w:cs="Arial"/>
          <w:b/>
          <w:sz w:val="24"/>
          <w:szCs w:val="24"/>
        </w:rPr>
        <w:lastRenderedPageBreak/>
        <w:t>What are the mechanisms by which public reporting is thought to achieve these aims?</w:t>
      </w:r>
    </w:p>
    <w:p w14:paraId="4457DAD3" w14:textId="77777777" w:rsidR="00F92112" w:rsidRDefault="00F92112" w:rsidP="00F92112">
      <w:pPr>
        <w:spacing w:before="120"/>
      </w:pPr>
      <w:r>
        <w:t>In broad terms, the benefits of public reporting have been categorised into two areas:</w:t>
      </w:r>
    </w:p>
    <w:p w14:paraId="7972B80D" w14:textId="77777777" w:rsidR="00F92112" w:rsidRDefault="00F92112" w:rsidP="00EC5C34">
      <w:pPr>
        <w:pStyle w:val="ListParagraph"/>
        <w:numPr>
          <w:ilvl w:val="0"/>
          <w:numId w:val="39"/>
        </w:numPr>
        <w:ind w:left="714" w:hanging="357"/>
        <w:contextualSpacing w:val="0"/>
      </w:pPr>
      <w:r>
        <w:t>Selection (consumer empowerment), whereby public reporting empowers health consumers and other relevant health sector stakeholders such as health insurers to identify and choose services from healthcare organisations that perform better and have better outcomes</w:t>
      </w:r>
    </w:p>
    <w:p w14:paraId="6395B3F8" w14:textId="77777777" w:rsidR="0037081B" w:rsidRDefault="00F92112" w:rsidP="00EC5C34">
      <w:pPr>
        <w:pStyle w:val="ListParagraph"/>
        <w:numPr>
          <w:ilvl w:val="0"/>
          <w:numId w:val="39"/>
        </w:numPr>
        <w:spacing w:after="240"/>
        <w:ind w:left="714" w:hanging="357"/>
        <w:contextualSpacing w:val="0"/>
      </w:pPr>
      <w:r>
        <w:t xml:space="preserve">Changes in care (provider quality improvement), whereby public reporting provides greater visibility of organisational performance, generating momentum within an organisation to drive ongoing quality improvement activities to maintain or enhance its reputation. </w:t>
      </w:r>
    </w:p>
    <w:p w14:paraId="0D6E94A3" w14:textId="5F68AD62" w:rsidR="00F92112" w:rsidRDefault="00F92112" w:rsidP="00370739">
      <w:r>
        <w:t>Safety and quality information that is publicly reported can focus on a single condition or cover a range of conditions and long</w:t>
      </w:r>
      <w:r w:rsidR="00370739">
        <w:t>-</w:t>
      </w:r>
      <w:r>
        <w:t xml:space="preserve">term health outcomes. The </w:t>
      </w:r>
      <w:r w:rsidR="00CC607C">
        <w:t xml:space="preserve">information is </w:t>
      </w:r>
      <w:r>
        <w:t xml:space="preserve">usually derived using either administrative, surveillance or bespoke data (or a collection of these </w:t>
      </w:r>
      <w:r w:rsidR="00CC607C">
        <w:t>data</w:t>
      </w:r>
      <w:r>
        <w:t xml:space="preserve">). </w:t>
      </w:r>
    </w:p>
    <w:p w14:paraId="6648E13E" w14:textId="77777777" w:rsidR="00F92112" w:rsidRDefault="00F92112" w:rsidP="00370739">
      <w:r>
        <w:t>User-generated reviews of healthcare providers and organisations are increasing in volume, through mechanisms such as social media channels and government websites.</w:t>
      </w:r>
    </w:p>
    <w:p w14:paraId="14F5F1ED" w14:textId="77777777" w:rsidR="00F92112" w:rsidRDefault="00F92112" w:rsidP="00370739">
      <w:r>
        <w:t xml:space="preserve">In some countries, a composite indicator is used to provide an overall view on performance, although this does not happen consistently. Public reporting now typically occurs via publicly accessible websites. </w:t>
      </w:r>
    </w:p>
    <w:p w14:paraId="3A4EC1E0" w14:textId="2B5236C4" w:rsidR="00F92112" w:rsidRDefault="00F92112" w:rsidP="00370739">
      <w:pPr>
        <w:spacing w:after="240"/>
      </w:pPr>
      <w:r>
        <w:t>Typically the data that are publicly reported are collected as part of a broader performance framework. Australia is currently transitioning towards using a</w:t>
      </w:r>
      <w:r w:rsidR="00B251C6">
        <w:t xml:space="preserve"> single framework, the AHPF</w:t>
      </w:r>
      <w:r>
        <w:t xml:space="preserve"> that has been endorsed by AHMAC in September 2017. </w:t>
      </w:r>
      <w:r w:rsidR="00ED4254">
        <w:t xml:space="preserve">Existing indicators from the </w:t>
      </w:r>
      <w:r w:rsidR="00ED4254" w:rsidRPr="00E867F6">
        <w:t>National Health Reform Performance and</w:t>
      </w:r>
      <w:r w:rsidR="00ED4254">
        <w:t xml:space="preserve"> Accountability Framework (PAF)</w:t>
      </w:r>
      <w:r w:rsidR="00ED4254" w:rsidRPr="00E867F6">
        <w:t xml:space="preserve"> </w:t>
      </w:r>
      <w:r w:rsidR="00ED4254">
        <w:t xml:space="preserve">and the </w:t>
      </w:r>
      <w:r w:rsidR="00ED4254" w:rsidRPr="00F92112">
        <w:t>National Health Performance Framework (NHPF)</w:t>
      </w:r>
      <w:r w:rsidR="00ED4254">
        <w:t xml:space="preserve"> will initially be transitioned and presented as a single set of indicators in the new framework (AHPF).</w:t>
      </w:r>
    </w:p>
    <w:p w14:paraId="07A5233E" w14:textId="77777777" w:rsidR="0037081B" w:rsidRPr="0037081B" w:rsidRDefault="0037081B" w:rsidP="0037081B">
      <w:pPr>
        <w:spacing w:after="240"/>
        <w:rPr>
          <w:rFonts w:cs="Arial"/>
          <w:b/>
          <w:sz w:val="24"/>
          <w:szCs w:val="24"/>
        </w:rPr>
      </w:pPr>
      <w:r w:rsidRPr="0037081B">
        <w:rPr>
          <w:rFonts w:cs="Arial"/>
          <w:b/>
          <w:sz w:val="24"/>
          <w:szCs w:val="24"/>
        </w:rPr>
        <w:t>What factors are associated with positive and/or perverse impacts of public reporting of safety and quality information?</w:t>
      </w:r>
    </w:p>
    <w:p w14:paraId="0A6190AB" w14:textId="4DC9DA69" w:rsidR="00F560B3" w:rsidRPr="00370739" w:rsidRDefault="00A31675" w:rsidP="00370739">
      <w:pPr>
        <w:rPr>
          <w:rFonts w:cstheme="minorHAnsi"/>
          <w:szCs w:val="24"/>
          <w:lang w:val="en-GB"/>
        </w:rPr>
      </w:pPr>
      <w:r w:rsidRPr="00370739">
        <w:rPr>
          <w:rFonts w:cstheme="minorHAnsi"/>
          <w:szCs w:val="24"/>
          <w:lang w:val="en-GB"/>
        </w:rPr>
        <w:t>There is limited evidence of public reporting influencing consumer behaviours. There is more evidence in the literature that public reporting has had a positive influence on provider quality improvement act</w:t>
      </w:r>
      <w:r w:rsidR="005E3945" w:rsidRPr="00370739">
        <w:rPr>
          <w:rFonts w:cstheme="minorHAnsi"/>
          <w:szCs w:val="24"/>
          <w:lang w:val="en-GB"/>
        </w:rPr>
        <w:t>ivities, particularly in the US</w:t>
      </w:r>
      <w:r w:rsidR="004F4936" w:rsidRPr="00370739">
        <w:rPr>
          <w:rFonts w:cstheme="minorHAnsi"/>
          <w:szCs w:val="24"/>
          <w:lang w:val="en-GB"/>
        </w:rPr>
        <w:t>A</w:t>
      </w:r>
      <w:r w:rsidR="00370739">
        <w:rPr>
          <w:rFonts w:cstheme="minorHAnsi"/>
          <w:szCs w:val="24"/>
          <w:lang w:val="en-GB"/>
        </w:rPr>
        <w:t>.</w:t>
      </w:r>
      <w:r w:rsidR="00A36E60" w:rsidRPr="00A36E60">
        <w:rPr>
          <w:rFonts w:cstheme="minorHAnsi"/>
          <w:szCs w:val="24"/>
          <w:lang w:val="en-GB"/>
        </w:rPr>
        <w:t xml:space="preserve"> Evidence of benefits from public reporting at the hospital level is typically identified through increased quality improvement activities, overall performance and outcomes, or both.</w:t>
      </w:r>
    </w:p>
    <w:p w14:paraId="2709BE43" w14:textId="41D9FD2B" w:rsidR="00A31675" w:rsidRDefault="00A31675" w:rsidP="00370739">
      <w:r w:rsidRPr="00171F17">
        <w:t xml:space="preserve">An increase in volume and complexity of public reporting </w:t>
      </w:r>
      <w:r>
        <w:t xml:space="preserve">can </w:t>
      </w:r>
      <w:r w:rsidRPr="00171F17">
        <w:t xml:space="preserve">make the information available </w:t>
      </w:r>
      <w:r>
        <w:t xml:space="preserve">to consumers </w:t>
      </w:r>
      <w:r w:rsidRPr="00171F17">
        <w:t xml:space="preserve">difficult to navigate and to understand </w:t>
      </w:r>
      <w:r>
        <w:t>in order to make informed choices</w:t>
      </w:r>
      <w:r w:rsidRPr="00171F17">
        <w:t>. Uptake and use of public reporting information has been minimal and much lowe</w:t>
      </w:r>
      <w:r w:rsidR="005E3945">
        <w:t>r amongst disadvantaged groups</w:t>
      </w:r>
      <w:r w:rsidR="00370739">
        <w:t>.</w:t>
      </w:r>
    </w:p>
    <w:p w14:paraId="654909DB" w14:textId="6D347227" w:rsidR="00A36E60" w:rsidRPr="00171F17" w:rsidRDefault="00A36E60" w:rsidP="00370739">
      <w:r w:rsidRPr="00171F17">
        <w:t xml:space="preserve">There is potential for public reporting to lead to selection bias against high risk consumers, which </w:t>
      </w:r>
      <w:r>
        <w:t>may</w:t>
      </w:r>
      <w:r w:rsidRPr="00171F17">
        <w:t xml:space="preserve"> </w:t>
      </w:r>
      <w:r>
        <w:t>impact equity of health access.</w:t>
      </w:r>
    </w:p>
    <w:p w14:paraId="2032626B" w14:textId="62D23CC6" w:rsidR="00976875" w:rsidRPr="00370739" w:rsidRDefault="00976875" w:rsidP="00370739">
      <w:pPr>
        <w:rPr>
          <w:rFonts w:cstheme="minorHAnsi"/>
          <w:szCs w:val="24"/>
          <w:lang w:val="en-GB"/>
        </w:rPr>
      </w:pPr>
      <w:r w:rsidRPr="00370739">
        <w:rPr>
          <w:rFonts w:cstheme="minorHAnsi"/>
          <w:szCs w:val="24"/>
          <w:lang w:val="en-GB"/>
        </w:rPr>
        <w:t>The use of accurate risk adjustment and appropriate sample sizes to make meaningful comparisons is a key challenge for broader acceptance of public reporting amongst health care organisa</w:t>
      </w:r>
      <w:r w:rsidR="005E3945" w:rsidRPr="00370739">
        <w:rPr>
          <w:rFonts w:cstheme="minorHAnsi"/>
          <w:szCs w:val="24"/>
          <w:lang w:val="en-GB"/>
        </w:rPr>
        <w:t>tions</w:t>
      </w:r>
      <w:r w:rsidR="00370739">
        <w:rPr>
          <w:rFonts w:cstheme="minorHAnsi"/>
          <w:szCs w:val="24"/>
          <w:lang w:val="en-GB"/>
        </w:rPr>
        <w:t>.</w:t>
      </w:r>
    </w:p>
    <w:p w14:paraId="7DDC193A" w14:textId="384797D3" w:rsidR="00F92112" w:rsidRPr="00370739" w:rsidRDefault="00976875" w:rsidP="00370739">
      <w:pPr>
        <w:spacing w:after="240"/>
        <w:rPr>
          <w:rFonts w:cstheme="minorHAnsi"/>
          <w:szCs w:val="24"/>
          <w:lang w:val="en-GB"/>
        </w:rPr>
      </w:pPr>
      <w:r w:rsidRPr="00370739">
        <w:rPr>
          <w:rFonts w:cstheme="minorHAnsi"/>
          <w:szCs w:val="24"/>
          <w:lang w:val="en-GB"/>
        </w:rPr>
        <w:t xml:space="preserve">Multiple reporting requirements can also lead to reporting fatigue and lack of participation in voluntary public reporting mechanisms. Where public reporting occurs at a provider level, a </w:t>
      </w:r>
      <w:r w:rsidRPr="00370739">
        <w:rPr>
          <w:rFonts w:cstheme="minorHAnsi"/>
          <w:szCs w:val="24"/>
          <w:lang w:val="en-GB"/>
        </w:rPr>
        <w:lastRenderedPageBreak/>
        <w:t>focus on individual responsibility can have a negative impact on collaborative team culture that is essential to patient safety.</w:t>
      </w:r>
    </w:p>
    <w:p w14:paraId="58D300AE" w14:textId="3D69F537" w:rsidR="00370739" w:rsidRPr="00A36E60" w:rsidRDefault="00370739" w:rsidP="006552A1">
      <w:pPr>
        <w:spacing w:before="120" w:after="120"/>
        <w:rPr>
          <w:rFonts w:cs="Arial"/>
          <w:b/>
          <w:sz w:val="24"/>
          <w:szCs w:val="24"/>
        </w:rPr>
      </w:pPr>
      <w:r w:rsidRPr="00A36E60">
        <w:rPr>
          <w:rFonts w:cs="Arial"/>
          <w:b/>
          <w:sz w:val="24"/>
          <w:szCs w:val="24"/>
        </w:rPr>
        <w:t>Factors for a successful public reporting framework</w:t>
      </w:r>
    </w:p>
    <w:p w14:paraId="126193D4" w14:textId="33986A37" w:rsidR="005E3945" w:rsidRDefault="0077028A" w:rsidP="00370739">
      <w:r>
        <w:t>The reviewed literature identifies that an effective public reporting framework should have a well-defined purpose, specific audience and clear outcomes, and be built around an institutional culture that recog</w:t>
      </w:r>
      <w:r w:rsidR="005E3945">
        <w:t>nises the value of reporting</w:t>
      </w:r>
      <w:r w:rsidR="00370739">
        <w:t>.</w:t>
      </w:r>
    </w:p>
    <w:p w14:paraId="0198CDD0" w14:textId="77777777" w:rsidR="00370739" w:rsidRDefault="0077028A" w:rsidP="00370739">
      <w:r>
        <w:t>The indicators that comprise the framework need to be evidence-based, carefully designed to accurately capture quality, closely linked to the outcomes being measured and have minimal</w:t>
      </w:r>
      <w:r w:rsidR="005E3945">
        <w:t xml:space="preserve"> or no unintended consequences</w:t>
      </w:r>
      <w:r w:rsidR="00370739">
        <w:t>.</w:t>
      </w:r>
    </w:p>
    <w:p w14:paraId="1C40FB49" w14:textId="5E1C52B8" w:rsidR="0077028A" w:rsidRDefault="0077028A" w:rsidP="00370739">
      <w:r>
        <w:t xml:space="preserve">Public reporting initiatives should consider the value of combining patient generated reviews with more traditional indicator-based information to provide a more comprehensive view of an organisation’s performance. </w:t>
      </w:r>
    </w:p>
    <w:p w14:paraId="2C1654C7" w14:textId="35F3B882" w:rsidR="00413FC8" w:rsidRDefault="00413FC8" w:rsidP="005E3945">
      <w:pPr>
        <w:spacing w:after="80"/>
        <w:rPr>
          <w:b/>
          <w:color w:val="1178A2" w:themeColor="accent1"/>
          <w:sz w:val="32"/>
          <w:szCs w:val="32"/>
        </w:rPr>
      </w:pPr>
      <w:r>
        <w:rPr>
          <w:b/>
          <w:color w:val="1178A2" w:themeColor="accent1"/>
          <w:sz w:val="32"/>
          <w:szCs w:val="32"/>
        </w:rPr>
        <w:t>E</w:t>
      </w:r>
      <w:r w:rsidRPr="00413FC8">
        <w:rPr>
          <w:b/>
          <w:color w:val="1178A2" w:themeColor="accent1"/>
          <w:sz w:val="32"/>
          <w:szCs w:val="32"/>
        </w:rPr>
        <w:t xml:space="preserve">nvironment scan </w:t>
      </w:r>
    </w:p>
    <w:p w14:paraId="2C421B5B" w14:textId="6FBF0EC9" w:rsidR="00F560B3" w:rsidRPr="007A5557" w:rsidRDefault="00D513E1" w:rsidP="007A5557">
      <w:pPr>
        <w:rPr>
          <w:rFonts w:cstheme="minorHAnsi"/>
          <w:b/>
          <w:color w:val="1178A2" w:themeColor="accent1"/>
          <w:sz w:val="28"/>
          <w:szCs w:val="28"/>
          <w:lang w:val="en-GB"/>
        </w:rPr>
      </w:pPr>
      <w:r w:rsidRPr="007A5557">
        <w:rPr>
          <w:rFonts w:cstheme="minorHAnsi"/>
          <w:b/>
          <w:color w:val="1178A2" w:themeColor="accent1"/>
          <w:sz w:val="28"/>
          <w:szCs w:val="28"/>
          <w:lang w:val="en-GB"/>
        </w:rPr>
        <w:t>Purpose of the e</w:t>
      </w:r>
      <w:r w:rsidR="002D1E79" w:rsidRPr="007A5557">
        <w:rPr>
          <w:rFonts w:cstheme="minorHAnsi"/>
          <w:b/>
          <w:color w:val="1178A2" w:themeColor="accent1"/>
          <w:sz w:val="28"/>
          <w:szCs w:val="28"/>
          <w:lang w:val="en-GB"/>
        </w:rPr>
        <w:t xml:space="preserve">nvironment scan </w:t>
      </w:r>
    </w:p>
    <w:p w14:paraId="1BD3F06D" w14:textId="77777777" w:rsidR="002D1E79" w:rsidRPr="00E867F6" w:rsidRDefault="002D1E79" w:rsidP="002D1E79">
      <w:pPr>
        <w:pStyle w:val="BodyText"/>
      </w:pPr>
      <w:r w:rsidRPr="00E867F6">
        <w:t xml:space="preserve">The environment scan involved an investigation into publically available safety and quality information across the Australian healthcare landscape. The collation of this information provides the current baseline for public reporting and identifies key differences in the type of quality and safety information reported publicly by both private and public healthcare organisations across Australia. In addition, this environment scan included three OECD countries to provide an overseas comparison. </w:t>
      </w:r>
    </w:p>
    <w:p w14:paraId="254A226C" w14:textId="3E8EB442" w:rsidR="002D1E79" w:rsidRPr="00E867F6" w:rsidRDefault="002D1E79" w:rsidP="007A5557">
      <w:pPr>
        <w:spacing w:before="120" w:after="120"/>
      </w:pPr>
      <w:r w:rsidRPr="00E867F6">
        <w:t xml:space="preserve">The environment scan </w:t>
      </w:r>
      <w:r w:rsidR="00D513E1">
        <w:t>responded</w:t>
      </w:r>
      <w:r w:rsidRPr="00E867F6">
        <w:t xml:space="preserve"> to the following guiding questions:</w:t>
      </w:r>
    </w:p>
    <w:p w14:paraId="28174A33" w14:textId="3189412E" w:rsidR="002D1E79" w:rsidRPr="00E867F6" w:rsidRDefault="002D1E79" w:rsidP="002D1E79">
      <w:pPr>
        <w:numPr>
          <w:ilvl w:val="0"/>
          <w:numId w:val="10"/>
        </w:numPr>
        <w:spacing w:after="120"/>
        <w:rPr>
          <w:rFonts w:cs="Arial"/>
        </w:rPr>
      </w:pPr>
      <w:r w:rsidRPr="00E867F6">
        <w:rPr>
          <w:rFonts w:cs="Arial"/>
        </w:rPr>
        <w:t>What safety and quality information is currently publicly reported in Australia about publicly- and privately-funded hospitals and how is it reported?</w:t>
      </w:r>
    </w:p>
    <w:p w14:paraId="20864C83" w14:textId="77777777" w:rsidR="002D1E79" w:rsidRPr="00E867F6" w:rsidRDefault="002D1E79" w:rsidP="002D1E79">
      <w:pPr>
        <w:numPr>
          <w:ilvl w:val="0"/>
          <w:numId w:val="10"/>
        </w:numPr>
        <w:spacing w:after="120"/>
        <w:rPr>
          <w:rFonts w:cs="Arial"/>
        </w:rPr>
      </w:pPr>
      <w:r w:rsidRPr="00E867F6">
        <w:rPr>
          <w:rFonts w:cs="Arial"/>
        </w:rPr>
        <w:t>What are the differences between safety and quality information reported about public and private hospitals?</w:t>
      </w:r>
    </w:p>
    <w:p w14:paraId="5B320A17" w14:textId="77777777" w:rsidR="002D1E79" w:rsidRPr="00E867F6" w:rsidRDefault="002D1E79" w:rsidP="002D1E79">
      <w:pPr>
        <w:numPr>
          <w:ilvl w:val="0"/>
          <w:numId w:val="10"/>
        </w:numPr>
        <w:spacing w:after="120"/>
        <w:rPr>
          <w:rFonts w:cs="Arial"/>
        </w:rPr>
      </w:pPr>
      <w:r w:rsidRPr="00E867F6">
        <w:rPr>
          <w:rFonts w:cs="Arial"/>
        </w:rPr>
        <w:t xml:space="preserve">What safety and quality information is currently publicly reported in selected OECD countries, how is it reported, and how does this differ from what is reported in Australia?  </w:t>
      </w:r>
    </w:p>
    <w:p w14:paraId="29B9FFA8" w14:textId="77777777" w:rsidR="002D1E79" w:rsidRPr="00E867F6" w:rsidRDefault="002D1E79" w:rsidP="00D513E1">
      <w:pPr>
        <w:numPr>
          <w:ilvl w:val="0"/>
          <w:numId w:val="10"/>
        </w:numPr>
        <w:spacing w:after="240"/>
        <w:ind w:left="714" w:hanging="357"/>
        <w:rPr>
          <w:rFonts w:cs="Arial"/>
        </w:rPr>
      </w:pPr>
      <w:r w:rsidRPr="00E867F6">
        <w:rPr>
          <w:rFonts w:cs="Arial"/>
        </w:rPr>
        <w:t>What are the emergent trends in the type of information reported and in the way it is reported, and what does this mean for the future shape of public reporting in Australia?</w:t>
      </w:r>
    </w:p>
    <w:p w14:paraId="216B9B9A" w14:textId="2768F489" w:rsidR="002D1E79" w:rsidRPr="007A5557" w:rsidRDefault="00D513E1" w:rsidP="007A5557">
      <w:pPr>
        <w:rPr>
          <w:rFonts w:cstheme="minorHAnsi"/>
          <w:b/>
          <w:color w:val="1178A2" w:themeColor="accent1"/>
          <w:sz w:val="28"/>
          <w:szCs w:val="28"/>
          <w:lang w:val="en-GB"/>
        </w:rPr>
      </w:pPr>
      <w:r w:rsidRPr="007A5557">
        <w:rPr>
          <w:rFonts w:cstheme="minorHAnsi"/>
          <w:b/>
          <w:color w:val="1178A2" w:themeColor="accent1"/>
          <w:sz w:val="28"/>
          <w:szCs w:val="28"/>
          <w:lang w:val="en-GB"/>
        </w:rPr>
        <w:t>Findings of the environment scan</w:t>
      </w:r>
    </w:p>
    <w:p w14:paraId="2D977FE7" w14:textId="5DEE1AFA" w:rsidR="00B94A26" w:rsidRDefault="00B94A26" w:rsidP="00B94A26">
      <w:r w:rsidRPr="00B94A26">
        <w:t>A summary of findings of the environment scan are presented below, by research question.</w:t>
      </w:r>
    </w:p>
    <w:p w14:paraId="4633FA6D" w14:textId="79965793" w:rsidR="0037081B" w:rsidRPr="0037081B" w:rsidRDefault="0037081B" w:rsidP="0037081B">
      <w:pPr>
        <w:spacing w:after="120"/>
        <w:rPr>
          <w:rFonts w:cs="Arial"/>
          <w:b/>
          <w:sz w:val="24"/>
          <w:szCs w:val="24"/>
        </w:rPr>
      </w:pPr>
      <w:r w:rsidRPr="0037081B">
        <w:rPr>
          <w:rFonts w:cs="Arial"/>
          <w:b/>
          <w:sz w:val="24"/>
          <w:szCs w:val="24"/>
        </w:rPr>
        <w:t>What safety and quality information is currently publicly reported in Australia about publicly- and privately-funded hospitals and how is it reported?</w:t>
      </w:r>
      <w:r>
        <w:rPr>
          <w:rFonts w:cs="Arial"/>
          <w:b/>
          <w:sz w:val="24"/>
          <w:szCs w:val="24"/>
        </w:rPr>
        <w:t xml:space="preserve"> </w:t>
      </w:r>
    </w:p>
    <w:p w14:paraId="27088FF8" w14:textId="33192C8F" w:rsidR="00B94A26" w:rsidRDefault="00B94A26" w:rsidP="00370739">
      <w:r>
        <w:t>Within Australia, there is a broad patchwork of public reporting systems at state/territory and national levels. The national portal for public reporting information (</w:t>
      </w:r>
      <w:proofErr w:type="spellStart"/>
      <w:r w:rsidRPr="00DC0F59">
        <w:t>MyHospitals</w:t>
      </w:r>
      <w:proofErr w:type="spellEnd"/>
      <w:r>
        <w:t>) arguably contains the least amount of information (with seven out of the proposed 16 performance indicators currently reported), amongst all of the public reporting portals cu</w:t>
      </w:r>
      <w:r w:rsidR="005E3945">
        <w:t>rrently available in Australia</w:t>
      </w:r>
      <w:r w:rsidR="00370739">
        <w:t>.</w:t>
      </w:r>
    </w:p>
    <w:p w14:paraId="0E87F00B" w14:textId="0CF63220" w:rsidR="00B94A26" w:rsidRDefault="00B94A26" w:rsidP="00370739">
      <w:r>
        <w:t xml:space="preserve">Across the Australian states/territories, NSW and (more recently), Victoria, have the most extensive public reporting mechanisms. Other jurisdictions, such as Queensland, are </w:t>
      </w:r>
      <w:r>
        <w:lastRenderedPageBreak/>
        <w:t xml:space="preserve">actively seeking to move toward more public reporting of safety and quality data.  Websites in Australia varied in terms of patient accessibility. The portal provided by the NSW </w:t>
      </w:r>
      <w:r w:rsidR="005E3945" w:rsidRPr="005E3945">
        <w:t xml:space="preserve">Bureau for Health Information </w:t>
      </w:r>
      <w:r w:rsidR="005E3945">
        <w:t xml:space="preserve">(BHI) </w:t>
      </w:r>
      <w:r>
        <w:t>was the most similar for usa</w:t>
      </w:r>
      <w:r w:rsidR="005E3945">
        <w:t>bility to international portals</w:t>
      </w:r>
      <w:r w:rsidR="00370739">
        <w:t>.</w:t>
      </w:r>
    </w:p>
    <w:p w14:paraId="6BDE4D5B" w14:textId="29991C43" w:rsidR="00A36E60" w:rsidRDefault="00A36E60" w:rsidP="00A36E60">
      <w:pPr>
        <w:spacing w:after="240"/>
      </w:pPr>
      <w:r>
        <w:t>In Australia, there are also a number of non-government public reporting mechanisms in place through which health consumers can write reviews of their experiences with healthcare organisations and providers. This type of patient review information is not available through any of the national and jurisdictional public reporting mechanisms.</w:t>
      </w:r>
    </w:p>
    <w:p w14:paraId="0E86E773" w14:textId="6869DCA6" w:rsidR="00A36E60" w:rsidRDefault="00A36E60" w:rsidP="00370739">
      <w:r w:rsidRPr="0037081B">
        <w:rPr>
          <w:rFonts w:cs="Arial"/>
          <w:b/>
          <w:sz w:val="24"/>
          <w:szCs w:val="24"/>
        </w:rPr>
        <w:t>What are the differences between safety and quality information reported about public and private hospitals?</w:t>
      </w:r>
    </w:p>
    <w:p w14:paraId="10108C66" w14:textId="77777777" w:rsidR="00B94A26" w:rsidRDefault="00B94A26" w:rsidP="00370739">
      <w:r>
        <w:t>For the private hospital sector, participation in the national public reporting mechanism (</w:t>
      </w:r>
      <w:proofErr w:type="spellStart"/>
      <w:r>
        <w:t>MyHospitals</w:t>
      </w:r>
      <w:proofErr w:type="spellEnd"/>
      <w:r>
        <w:t xml:space="preserve">), while voluntary, is relatively high. In addition the majority of the private hospital providers identified through the environment scan provided information on performance against safety and quality indicators on their own websites. However this information is not always easy to locate on these websites. </w:t>
      </w:r>
    </w:p>
    <w:p w14:paraId="491034B5" w14:textId="5817A1F1" w:rsidR="00370739" w:rsidRPr="00A36E60" w:rsidRDefault="00370739" w:rsidP="00370739">
      <w:pPr>
        <w:rPr>
          <w:rFonts w:cs="Arial"/>
          <w:b/>
          <w:sz w:val="24"/>
          <w:szCs w:val="24"/>
        </w:rPr>
      </w:pPr>
      <w:r w:rsidRPr="00A36E60">
        <w:rPr>
          <w:rFonts w:cs="Arial"/>
          <w:b/>
          <w:sz w:val="24"/>
          <w:szCs w:val="24"/>
        </w:rPr>
        <w:t>What safety and quality information is currently publicly reported in selected OECD countries, how is it reported, and how does this differ from what is reported in Australia?  What are the emergent trends in the type of information reported and in the way it is reported, and what does this mean for the future shape of public reporting in Australia?</w:t>
      </w:r>
    </w:p>
    <w:p w14:paraId="13D7935A" w14:textId="6D5577BE" w:rsidR="00F51676" w:rsidRPr="00370739" w:rsidRDefault="00F51676" w:rsidP="00370739">
      <w:pPr>
        <w:rPr>
          <w:rFonts w:cs="Arial"/>
        </w:rPr>
      </w:pPr>
      <w:r w:rsidRPr="00370739">
        <w:t>Data provided at the national level by the three OECD countries included in the review were more comprehensive, but also more variable, than the level of data reported at the national level</w:t>
      </w:r>
      <w:r w:rsidR="002A7241" w:rsidRPr="00370739">
        <w:t xml:space="preserve"> in Australia (via </w:t>
      </w:r>
      <w:proofErr w:type="spellStart"/>
      <w:r w:rsidR="002A7241" w:rsidRPr="00370739">
        <w:t>MyHospitals</w:t>
      </w:r>
      <w:proofErr w:type="spellEnd"/>
      <w:r w:rsidR="002A7241" w:rsidRPr="00370739">
        <w:t>)</w:t>
      </w:r>
      <w:r w:rsidR="00370739">
        <w:t>.</w:t>
      </w:r>
      <w:r w:rsidRPr="00370739">
        <w:t xml:space="preserve"> </w:t>
      </w:r>
    </w:p>
    <w:p w14:paraId="3EB42DD7" w14:textId="70CFC214" w:rsidR="00F51676" w:rsidRPr="00370739" w:rsidRDefault="00F51676" w:rsidP="00370739">
      <w:pPr>
        <w:rPr>
          <w:rFonts w:cs="Arial"/>
        </w:rPr>
      </w:pPr>
      <w:r>
        <w:t>Canada, which is most similar in health system structure to Australia of all of the countries included in the review, has a particularly extensive national public reporti</w:t>
      </w:r>
      <w:r w:rsidR="002A7241">
        <w:t>ng mechanism currently in place</w:t>
      </w:r>
      <w:r w:rsidR="00370739">
        <w:t>.</w:t>
      </w:r>
      <w:r>
        <w:t xml:space="preserve"> </w:t>
      </w:r>
    </w:p>
    <w:p w14:paraId="38ABF86C" w14:textId="3F5E16CA" w:rsidR="00F51676" w:rsidRPr="00370739" w:rsidRDefault="00F51676" w:rsidP="00370739">
      <w:pPr>
        <w:rPr>
          <w:rFonts w:cs="Arial"/>
        </w:rPr>
      </w:pPr>
      <w:r>
        <w:t>The Netherlands and the US</w:t>
      </w:r>
      <w:r w:rsidR="0037081B">
        <w:t>A</w:t>
      </w:r>
      <w:r>
        <w:t xml:space="preserve"> have good examples of public reporting that is specifically targeted at consumers with supportive context information and outlines of actions being undertaken by hospitals to drive improvements in their performance</w:t>
      </w:r>
      <w:r w:rsidR="00EC6478">
        <w:t>; for example,</w:t>
      </w:r>
      <w:r>
        <w:t xml:space="preserve"> through the Quality Window program and the Leapfrog</w:t>
      </w:r>
      <w:r w:rsidR="002A7241">
        <w:t xml:space="preserve"> Hospital Safety Grade program</w:t>
      </w:r>
      <w:r w:rsidR="00A36E60">
        <w:t>.</w:t>
      </w:r>
    </w:p>
    <w:p w14:paraId="7B71C61D" w14:textId="77F44BE8" w:rsidR="00B94A26" w:rsidRPr="00370739" w:rsidRDefault="00F51676" w:rsidP="00370739">
      <w:pPr>
        <w:rPr>
          <w:rFonts w:cs="Arial"/>
        </w:rPr>
      </w:pPr>
      <w:r>
        <w:t>The information presented in Canada and in the US</w:t>
      </w:r>
      <w:r w:rsidR="0037081B">
        <w:t>A</w:t>
      </w:r>
      <w:r>
        <w:t xml:space="preserve"> (through the Leapfrog Group) were good examples of more consumer-friendly presentation of public reporting data. These portals used interactive tools and clear explanations to present the data.</w:t>
      </w:r>
    </w:p>
    <w:p w14:paraId="711CAB4C" w14:textId="77777777" w:rsidR="005051AF" w:rsidRPr="00F0189B" w:rsidRDefault="008E73A8" w:rsidP="00F0189B">
      <w:pPr>
        <w:pStyle w:val="Heading1"/>
      </w:pPr>
      <w:bookmarkStart w:id="17" w:name="_Toc3195078"/>
      <w:r w:rsidRPr="00F0189B">
        <w:lastRenderedPageBreak/>
        <w:t>Introduction</w:t>
      </w:r>
      <w:bookmarkEnd w:id="17"/>
    </w:p>
    <w:p w14:paraId="73E47732" w14:textId="40C6E76E" w:rsidR="00955476" w:rsidRPr="00E867F6" w:rsidRDefault="006F678D" w:rsidP="00955476">
      <w:r w:rsidRPr="00E867F6">
        <w:t xml:space="preserve">The Australian Commission on Safety and Quality in Health Care (the Commission) is a government agency that leads and coordinates national improvements in safety and quality in health care across Australia. </w:t>
      </w:r>
      <w:r w:rsidR="00891B03" w:rsidRPr="00E867F6">
        <w:t xml:space="preserve">The Commission is an Australian Government agency, </w:t>
      </w:r>
      <w:r w:rsidR="00874965" w:rsidRPr="00E867F6">
        <w:t>funded jointly by all state and territory governments an</w:t>
      </w:r>
      <w:r w:rsidR="008E494C">
        <w:t xml:space="preserve">d the Commonwealth government. </w:t>
      </w:r>
      <w:r w:rsidR="00874965" w:rsidRPr="00E867F6">
        <w:t xml:space="preserve">It is </w:t>
      </w:r>
      <w:r w:rsidR="00891B03" w:rsidRPr="00E867F6">
        <w:t xml:space="preserve">established under the </w:t>
      </w:r>
      <w:r w:rsidR="00891B03" w:rsidRPr="00E867F6">
        <w:rPr>
          <w:i/>
        </w:rPr>
        <w:t>National Health and Hospitals Network Act 2011</w:t>
      </w:r>
      <w:r w:rsidR="00891B03" w:rsidRPr="00E867F6">
        <w:t xml:space="preserve"> and its role codified in the </w:t>
      </w:r>
      <w:r w:rsidR="00891B03" w:rsidRPr="00E867F6">
        <w:rPr>
          <w:i/>
        </w:rPr>
        <w:t>National Health Reform Act 2011</w:t>
      </w:r>
      <w:r w:rsidR="00891B03" w:rsidRPr="00E867F6">
        <w:t xml:space="preserve"> to lead and coordinate national improvements in safety and quality in health care. </w:t>
      </w:r>
    </w:p>
    <w:p w14:paraId="1EBDAB48" w14:textId="29A94A78" w:rsidR="006F678D" w:rsidRPr="00E867F6" w:rsidRDefault="00891B03" w:rsidP="00766545">
      <w:pPr>
        <w:pStyle w:val="BodyText"/>
      </w:pPr>
      <w:r w:rsidRPr="00E867F6">
        <w:t>The Commission works in partnership with the Australian, state and territory governments and the private sector to achieve a safe, high-quality and sustainable health system. In doing so, the Commission also works closely with patients, carers, clinicians, managers, policymakers and healthcare organisations.</w:t>
      </w:r>
    </w:p>
    <w:p w14:paraId="6D60B535" w14:textId="77777777" w:rsidR="00891B03" w:rsidRPr="00E867F6" w:rsidRDefault="00891B03" w:rsidP="00891B03">
      <w:r w:rsidRPr="00E867F6">
        <w:t>Key functions of the Commission include developing national safety and quality standards, developing clinical care standards to improve the implementation of evidence-based health care, coordinating work in specific areas to improve outcomes for patients, and providing information, publications and resources about safety and quality.</w:t>
      </w:r>
    </w:p>
    <w:p w14:paraId="32149A1B" w14:textId="77777777" w:rsidR="00891B03" w:rsidRPr="00E867F6" w:rsidRDefault="00891B03" w:rsidP="00955476">
      <w:pPr>
        <w:pStyle w:val="Bodytextkeepwithnext"/>
      </w:pPr>
      <w:r w:rsidRPr="00E867F6">
        <w:t>The Commission works in four priority areas:</w:t>
      </w:r>
    </w:p>
    <w:p w14:paraId="5B68CE5B" w14:textId="77777777" w:rsidR="00891B03" w:rsidRPr="00E867F6" w:rsidRDefault="00891B03" w:rsidP="004053CE">
      <w:pPr>
        <w:pStyle w:val="Numberedlists"/>
        <w:numPr>
          <w:ilvl w:val="0"/>
          <w:numId w:val="12"/>
        </w:numPr>
        <w:spacing w:before="0" w:after="0"/>
        <w:contextualSpacing w:val="0"/>
        <w:rPr>
          <w:rFonts w:cs="Arial"/>
        </w:rPr>
      </w:pPr>
      <w:r w:rsidRPr="00E867F6">
        <w:rPr>
          <w:rFonts w:cs="Arial"/>
        </w:rPr>
        <w:t>Patient safety</w:t>
      </w:r>
    </w:p>
    <w:p w14:paraId="5EC15D03" w14:textId="77777777" w:rsidR="00891B03" w:rsidRPr="00E867F6" w:rsidRDefault="00891B03" w:rsidP="004053CE">
      <w:pPr>
        <w:pStyle w:val="Numberedlists"/>
        <w:numPr>
          <w:ilvl w:val="0"/>
          <w:numId w:val="12"/>
        </w:numPr>
        <w:spacing w:before="0" w:after="0"/>
        <w:contextualSpacing w:val="0"/>
        <w:rPr>
          <w:rFonts w:cs="Arial"/>
        </w:rPr>
      </w:pPr>
      <w:r w:rsidRPr="00E867F6">
        <w:rPr>
          <w:rFonts w:cs="Arial"/>
        </w:rPr>
        <w:t>Partnering with patients, consumers and communities</w:t>
      </w:r>
    </w:p>
    <w:p w14:paraId="3B1A21C5" w14:textId="77777777" w:rsidR="00891B03" w:rsidRPr="00E867F6" w:rsidRDefault="00891B03" w:rsidP="004053CE">
      <w:pPr>
        <w:pStyle w:val="Numberedlists"/>
        <w:numPr>
          <w:ilvl w:val="0"/>
          <w:numId w:val="12"/>
        </w:numPr>
        <w:spacing w:before="0" w:after="0"/>
        <w:contextualSpacing w:val="0"/>
        <w:rPr>
          <w:rFonts w:cs="Arial"/>
        </w:rPr>
      </w:pPr>
      <w:r w:rsidRPr="00E867F6">
        <w:rPr>
          <w:rFonts w:cs="Arial"/>
        </w:rPr>
        <w:t>Quality, cost and value</w:t>
      </w:r>
    </w:p>
    <w:p w14:paraId="748E48B2" w14:textId="77777777" w:rsidR="00891B03" w:rsidRPr="00E867F6" w:rsidRDefault="00891B03" w:rsidP="004053CE">
      <w:pPr>
        <w:pStyle w:val="Numberedlists"/>
        <w:numPr>
          <w:ilvl w:val="0"/>
          <w:numId w:val="12"/>
        </w:numPr>
        <w:spacing w:before="0" w:after="0"/>
        <w:contextualSpacing w:val="0"/>
        <w:rPr>
          <w:rFonts w:cs="Arial"/>
        </w:rPr>
      </w:pPr>
      <w:r w:rsidRPr="00E867F6">
        <w:rPr>
          <w:rFonts w:cs="Arial"/>
        </w:rPr>
        <w:t>Supporting health professionals to provide care that is informed, supported and organised to deliver safe and high-quality health care.</w:t>
      </w:r>
    </w:p>
    <w:p w14:paraId="1187D578" w14:textId="77777777" w:rsidR="00891B03" w:rsidRPr="00E867F6" w:rsidRDefault="00891B03" w:rsidP="00937A50">
      <w:pPr>
        <w:pStyle w:val="Heading2"/>
      </w:pPr>
      <w:bookmarkStart w:id="18" w:name="_Toc3195079"/>
      <w:r w:rsidRPr="00E867F6">
        <w:t>Project background and context</w:t>
      </w:r>
      <w:bookmarkEnd w:id="18"/>
    </w:p>
    <w:p w14:paraId="369B9EE0" w14:textId="52B3B06B" w:rsidR="00A65CB4" w:rsidRPr="00C868F8" w:rsidRDefault="00A65CB4" w:rsidP="00A65CB4">
      <w:pPr>
        <w:rPr>
          <w:rFonts w:cstheme="minorHAnsi"/>
          <w:szCs w:val="24"/>
          <w:lang w:val="en-GB"/>
        </w:rPr>
      </w:pPr>
      <w:r>
        <w:rPr>
          <w:rFonts w:cstheme="minorHAnsi"/>
          <w:szCs w:val="24"/>
          <w:lang w:val="en-GB"/>
        </w:rPr>
        <w:t xml:space="preserve">In </w:t>
      </w:r>
      <w:r w:rsidRPr="00C868F8">
        <w:rPr>
          <w:rFonts w:cstheme="minorHAnsi"/>
          <w:szCs w:val="24"/>
          <w:lang w:val="en-GB"/>
        </w:rPr>
        <w:t>August 2017</w:t>
      </w:r>
      <w:r>
        <w:rPr>
          <w:rFonts w:cstheme="minorHAnsi"/>
          <w:szCs w:val="24"/>
          <w:lang w:val="en-GB"/>
        </w:rPr>
        <w:t>,</w:t>
      </w:r>
      <w:r w:rsidRPr="00C868F8">
        <w:rPr>
          <w:rFonts w:cstheme="minorHAnsi"/>
          <w:szCs w:val="24"/>
          <w:lang w:val="en-GB"/>
        </w:rPr>
        <w:t xml:space="preserve"> </w:t>
      </w:r>
      <w:r w:rsidR="00B251C6">
        <w:rPr>
          <w:rFonts w:cstheme="minorHAnsi"/>
          <w:szCs w:val="24"/>
          <w:lang w:val="en-GB"/>
        </w:rPr>
        <w:t>the CHC</w:t>
      </w:r>
      <w:r>
        <w:rPr>
          <w:rFonts w:cstheme="minorHAnsi"/>
          <w:szCs w:val="24"/>
          <w:lang w:val="en-GB"/>
        </w:rPr>
        <w:t xml:space="preserve"> </w:t>
      </w:r>
      <w:r w:rsidRPr="00C868F8">
        <w:rPr>
          <w:rFonts w:cstheme="minorHAnsi"/>
          <w:szCs w:val="24"/>
          <w:lang w:val="en-GB"/>
        </w:rPr>
        <w:t xml:space="preserve">asked the </w:t>
      </w:r>
      <w:r>
        <w:rPr>
          <w:rFonts w:cstheme="minorHAnsi"/>
          <w:szCs w:val="24"/>
          <w:lang w:val="en-GB"/>
        </w:rPr>
        <w:t>Commission</w:t>
      </w:r>
      <w:r w:rsidRPr="00AD749D" w:rsidDel="00AD749D">
        <w:rPr>
          <w:rFonts w:cstheme="minorHAnsi"/>
          <w:szCs w:val="24"/>
          <w:lang w:val="en-GB"/>
        </w:rPr>
        <w:t xml:space="preserve"> </w:t>
      </w:r>
      <w:r w:rsidRPr="00C868F8">
        <w:rPr>
          <w:rFonts w:cstheme="minorHAnsi"/>
          <w:szCs w:val="24"/>
          <w:lang w:val="en-GB"/>
        </w:rPr>
        <w:t xml:space="preserve">to identify options to align public reporting standards of safety and quality in health care across public and private hospitals nationally. The CHC requested that on finalisation, this work be incorporated in the national work being progressed on Australia’s health system performance and information reporting frameworks. The </w:t>
      </w:r>
      <w:r>
        <w:rPr>
          <w:rFonts w:cstheme="minorHAnsi"/>
          <w:szCs w:val="24"/>
          <w:lang w:val="en-GB"/>
        </w:rPr>
        <w:t>Commission</w:t>
      </w:r>
      <w:r w:rsidRPr="00AD749D" w:rsidDel="00AD749D">
        <w:rPr>
          <w:rFonts w:cstheme="minorHAnsi"/>
          <w:szCs w:val="24"/>
          <w:lang w:val="en-GB"/>
        </w:rPr>
        <w:t xml:space="preserve"> </w:t>
      </w:r>
      <w:r w:rsidRPr="00C868F8">
        <w:rPr>
          <w:rFonts w:cstheme="minorHAnsi"/>
          <w:szCs w:val="24"/>
          <w:lang w:val="en-GB"/>
        </w:rPr>
        <w:t xml:space="preserve">was requested to report back to </w:t>
      </w:r>
      <w:r w:rsidRPr="00A65CB4">
        <w:rPr>
          <w:rFonts w:cstheme="minorHAnsi"/>
          <w:szCs w:val="24"/>
          <w:lang w:val="en-GB"/>
        </w:rPr>
        <w:t>AHMA</w:t>
      </w:r>
      <w:r w:rsidR="00B251C6">
        <w:rPr>
          <w:rFonts w:cstheme="minorHAnsi"/>
          <w:szCs w:val="24"/>
          <w:lang w:val="en-GB"/>
        </w:rPr>
        <w:t>C</w:t>
      </w:r>
      <w:r w:rsidRPr="00A65CB4">
        <w:rPr>
          <w:rFonts w:cstheme="minorHAnsi"/>
          <w:szCs w:val="24"/>
          <w:lang w:val="en-GB"/>
        </w:rPr>
        <w:t xml:space="preserve"> </w:t>
      </w:r>
      <w:r w:rsidRPr="00C868F8">
        <w:rPr>
          <w:rFonts w:cstheme="minorHAnsi"/>
          <w:szCs w:val="24"/>
          <w:lang w:val="en-GB"/>
        </w:rPr>
        <w:t xml:space="preserve">and the CHC in early 2019. </w:t>
      </w:r>
    </w:p>
    <w:p w14:paraId="0B2ABE1C" w14:textId="77F25195" w:rsidR="00A65CB4" w:rsidRPr="00C868F8" w:rsidRDefault="00A65CB4" w:rsidP="00A65CB4">
      <w:pPr>
        <w:rPr>
          <w:rFonts w:cstheme="minorHAnsi"/>
          <w:szCs w:val="24"/>
          <w:lang w:val="en-GB"/>
        </w:rPr>
      </w:pPr>
      <w:r w:rsidRPr="00C868F8">
        <w:rPr>
          <w:rFonts w:cstheme="minorHAnsi"/>
          <w:szCs w:val="24"/>
          <w:lang w:val="en-GB"/>
        </w:rPr>
        <w:t xml:space="preserve">A number of reports have signalled a commitment by the Australian Government for increased transparency in reporting about public services, particularly to promote informed decision making by the consumers of those services. Firstly, in December 2016 the Australian Government Productivity Commission released the report </w:t>
      </w:r>
      <w:r w:rsidRPr="00C868F8">
        <w:rPr>
          <w:rFonts w:cstheme="minorHAnsi"/>
          <w:i/>
          <w:szCs w:val="24"/>
          <w:lang w:val="en-GB"/>
        </w:rPr>
        <w:t>Introducing Competition and Informed User Choice into Human Services: Identifying Sectors for Reform</w:t>
      </w:r>
      <w:r w:rsidRPr="00C868F8">
        <w:rPr>
          <w:rFonts w:cstheme="minorHAnsi"/>
          <w:szCs w:val="24"/>
          <w:lang w:val="en-GB"/>
        </w:rPr>
        <w:t>. This report sets out the Productivity Commission’s view on priority areas for reform that will improve individual and community wellbeing. One area of focus for the report was improving consumer choice through increased transparency and public reporting, and a final report making recommendations to the Australian Government was submitted in October 2017</w:t>
      </w:r>
      <w:r>
        <w:rPr>
          <w:rFonts w:cstheme="minorHAnsi"/>
          <w:szCs w:val="24"/>
          <w:lang w:val="en-GB"/>
        </w:rPr>
        <w:t>.</w:t>
      </w:r>
      <w:r w:rsidR="00A00C3D">
        <w:rPr>
          <w:rStyle w:val="EndnoteReference"/>
          <w:rFonts w:cstheme="minorHAnsi"/>
          <w:szCs w:val="24"/>
          <w:lang w:val="en-GB"/>
        </w:rPr>
        <w:endnoteReference w:id="1"/>
      </w:r>
    </w:p>
    <w:p w14:paraId="29B8EE53" w14:textId="177A526C" w:rsidR="009A3F7C" w:rsidRPr="0087089E" w:rsidRDefault="00A65CB4" w:rsidP="00D24B0D">
      <w:pPr>
        <w:rPr>
          <w:rFonts w:cstheme="minorHAnsi"/>
          <w:szCs w:val="24"/>
          <w:lang w:val="en-GB"/>
        </w:rPr>
      </w:pPr>
      <w:r w:rsidRPr="00C868F8">
        <w:rPr>
          <w:rFonts w:cstheme="minorHAnsi"/>
          <w:szCs w:val="24"/>
          <w:lang w:val="en-GB"/>
        </w:rPr>
        <w:t xml:space="preserve">Secondly, in November 2017, the CHC endorsed the </w:t>
      </w:r>
      <w:r w:rsidR="009A499B" w:rsidRPr="009A499B">
        <w:rPr>
          <w:rFonts w:cstheme="minorHAnsi"/>
          <w:szCs w:val="24"/>
          <w:lang w:val="en-GB"/>
        </w:rPr>
        <w:t>Australian Health Performance Framework</w:t>
      </w:r>
      <w:r w:rsidRPr="00C868F8">
        <w:rPr>
          <w:rFonts w:cstheme="minorHAnsi"/>
          <w:szCs w:val="24"/>
          <w:lang w:val="en-GB"/>
        </w:rPr>
        <w:t xml:space="preserve">. The </w:t>
      </w:r>
      <w:r w:rsidR="009A499B">
        <w:rPr>
          <w:rFonts w:cstheme="minorHAnsi"/>
          <w:szCs w:val="24"/>
          <w:lang w:val="en-GB"/>
        </w:rPr>
        <w:t>Framework</w:t>
      </w:r>
      <w:r w:rsidRPr="00C868F8">
        <w:rPr>
          <w:rFonts w:cstheme="minorHAnsi"/>
          <w:szCs w:val="24"/>
          <w:lang w:val="en-GB"/>
        </w:rPr>
        <w:t xml:space="preserve"> arose following the AHMAC </w:t>
      </w:r>
      <w:r w:rsidRPr="00C868F8">
        <w:rPr>
          <w:rFonts w:cstheme="minorHAnsi"/>
          <w:i/>
          <w:szCs w:val="24"/>
          <w:lang w:val="en-GB"/>
        </w:rPr>
        <w:t>Review of Australia’s health system performance information and reporting frameworks: final report.</w:t>
      </w:r>
      <w:r w:rsidRPr="00C868F8">
        <w:rPr>
          <w:rFonts w:cstheme="minorHAnsi"/>
          <w:szCs w:val="24"/>
          <w:lang w:val="en-GB"/>
        </w:rPr>
        <w:t xml:space="preserve"> This report recommended a single national performance reporting framework for primary and hospital care across both public and private sectors, identifying in particular the current lack of pu</w:t>
      </w:r>
      <w:r w:rsidR="00E72555">
        <w:rPr>
          <w:rFonts w:cstheme="minorHAnsi"/>
          <w:szCs w:val="24"/>
          <w:lang w:val="en-GB"/>
        </w:rPr>
        <w:t xml:space="preserve">blic reporting about private </w:t>
      </w:r>
      <w:r w:rsidR="003A49AA">
        <w:rPr>
          <w:rFonts w:cstheme="minorHAnsi"/>
          <w:szCs w:val="24"/>
          <w:lang w:val="en-GB"/>
        </w:rPr>
        <w:t>hos</w:t>
      </w:r>
      <w:r w:rsidRPr="00C868F8">
        <w:rPr>
          <w:rFonts w:cstheme="minorHAnsi"/>
          <w:szCs w:val="24"/>
          <w:lang w:val="en-GB"/>
        </w:rPr>
        <w:t xml:space="preserve">pitals’ performance. The </w:t>
      </w:r>
      <w:r w:rsidRPr="00C868F8">
        <w:rPr>
          <w:rFonts w:cstheme="minorHAnsi"/>
          <w:szCs w:val="24"/>
        </w:rPr>
        <w:t>Heads of Agreement</w:t>
      </w:r>
      <w:r w:rsidR="009A3F7C" w:rsidRPr="00C868F8">
        <w:rPr>
          <w:rFonts w:cstheme="minorHAnsi"/>
          <w:szCs w:val="24"/>
          <w:vertAlign w:val="superscript"/>
        </w:rPr>
        <w:endnoteReference w:id="2"/>
      </w:r>
      <w:r w:rsidR="009A3F7C" w:rsidRPr="00C868F8">
        <w:rPr>
          <w:rFonts w:cstheme="minorHAnsi"/>
          <w:szCs w:val="24"/>
        </w:rPr>
        <w:t xml:space="preserve"> on public hospital funding and health reform February 2018,</w:t>
      </w:r>
      <w:r w:rsidR="009A3F7C" w:rsidRPr="00C868F8">
        <w:rPr>
          <w:rFonts w:cstheme="minorHAnsi"/>
          <w:szCs w:val="24"/>
          <w:lang w:val="en-GB"/>
        </w:rPr>
        <w:t xml:space="preserve"> which sets out the agreement between the Commonwealth and the </w:t>
      </w:r>
      <w:r w:rsidR="009A3F7C">
        <w:rPr>
          <w:rFonts w:cstheme="minorHAnsi"/>
          <w:szCs w:val="24"/>
          <w:lang w:val="en-GB"/>
        </w:rPr>
        <w:t>s</w:t>
      </w:r>
      <w:r w:rsidR="009A3F7C" w:rsidRPr="00C868F8">
        <w:rPr>
          <w:rFonts w:cstheme="minorHAnsi"/>
          <w:szCs w:val="24"/>
          <w:lang w:val="en-GB"/>
        </w:rPr>
        <w:t xml:space="preserve">tates and </w:t>
      </w:r>
      <w:r w:rsidR="009A3F7C">
        <w:rPr>
          <w:rFonts w:cstheme="minorHAnsi"/>
          <w:szCs w:val="24"/>
          <w:lang w:val="en-GB"/>
        </w:rPr>
        <w:t>t</w:t>
      </w:r>
      <w:r w:rsidR="009A3F7C" w:rsidRPr="00C868F8">
        <w:rPr>
          <w:rFonts w:cstheme="minorHAnsi"/>
          <w:szCs w:val="24"/>
          <w:lang w:val="en-GB"/>
        </w:rPr>
        <w:t xml:space="preserve">erritories (Clause 7.d.ii) on public hospital funding and </w:t>
      </w:r>
      <w:r w:rsidR="009A3F7C" w:rsidRPr="00C868F8">
        <w:rPr>
          <w:rFonts w:cstheme="minorHAnsi"/>
          <w:szCs w:val="24"/>
          <w:lang w:val="en-GB"/>
        </w:rPr>
        <w:lastRenderedPageBreak/>
        <w:t xml:space="preserve">health reform, endorsed the implementation of the </w:t>
      </w:r>
      <w:r w:rsidR="009A3F7C">
        <w:rPr>
          <w:rFonts w:cstheme="minorHAnsi"/>
          <w:szCs w:val="24"/>
          <w:lang w:val="en-GB"/>
        </w:rPr>
        <w:t>Framework</w:t>
      </w:r>
      <w:r w:rsidR="009A3F7C" w:rsidRPr="00C868F8">
        <w:rPr>
          <w:rFonts w:cstheme="minorHAnsi"/>
          <w:szCs w:val="24"/>
          <w:lang w:val="en-GB"/>
        </w:rPr>
        <w:t xml:space="preserve">. </w:t>
      </w:r>
      <w:r w:rsidR="009A3F7C" w:rsidRPr="00C868F8">
        <w:rPr>
          <w:rFonts w:cstheme="minorHAnsi"/>
          <w:szCs w:val="24"/>
        </w:rPr>
        <w:t xml:space="preserve">Governance of the </w:t>
      </w:r>
      <w:r w:rsidR="009A3F7C" w:rsidRPr="009A499B">
        <w:rPr>
          <w:rFonts w:cstheme="minorHAnsi"/>
          <w:szCs w:val="24"/>
        </w:rPr>
        <w:t xml:space="preserve">Framework </w:t>
      </w:r>
      <w:r w:rsidR="009A3F7C" w:rsidRPr="00C868F8">
        <w:rPr>
          <w:rFonts w:cstheme="minorHAnsi"/>
          <w:szCs w:val="24"/>
        </w:rPr>
        <w:t>is undertaken by the Health Services Principal Committee, under AHMAC.</w:t>
      </w:r>
      <w:r w:rsidR="00A00C3D">
        <w:rPr>
          <w:rStyle w:val="EndnoteReference"/>
          <w:rFonts w:cstheme="minorHAnsi"/>
          <w:szCs w:val="24"/>
        </w:rPr>
        <w:endnoteReference w:id="3"/>
      </w:r>
    </w:p>
    <w:p w14:paraId="6EEE5563" w14:textId="5CAE12F3" w:rsidR="009A3F7C" w:rsidRDefault="009A3F7C" w:rsidP="00D24B0D">
      <w:r w:rsidRPr="00707B69">
        <w:t xml:space="preserve">In </w:t>
      </w:r>
      <w:r>
        <w:t xml:space="preserve">late </w:t>
      </w:r>
      <w:r w:rsidRPr="00707B69">
        <w:t>2017, the Queensland Government undertook a public consultation process to gauge community views about the collection, reporting and use of health</w:t>
      </w:r>
      <w:r>
        <w:t xml:space="preserve"> </w:t>
      </w:r>
      <w:r w:rsidRPr="00707B69">
        <w:t xml:space="preserve">care quality and patient safety information in Queensland through the release of a discussion paper. </w:t>
      </w:r>
      <w:r>
        <w:t>The Queensland Government received overwhelmingly supportive responses to</w:t>
      </w:r>
      <w:r w:rsidRPr="00D22EB9">
        <w:t xml:space="preserve"> public reporting on safety and quality across public and private hospitals within </w:t>
      </w:r>
      <w:r>
        <w:t>the state</w:t>
      </w:r>
      <w:r w:rsidRPr="00D22EB9">
        <w:t xml:space="preserve">. </w:t>
      </w:r>
      <w:r>
        <w:t>The Queensland Government found through this consultation that p</w:t>
      </w:r>
      <w:r w:rsidRPr="00D22EB9">
        <w:t>ublic reporting was seen to support a safety and quality culture, increase transparency and drive improvements in performance.</w:t>
      </w:r>
      <w:r w:rsidR="00A00C3D">
        <w:rPr>
          <w:rStyle w:val="EndnoteReference"/>
        </w:rPr>
        <w:endnoteReference w:id="4"/>
      </w:r>
    </w:p>
    <w:p w14:paraId="2FC4BF73" w14:textId="504617C4" w:rsidR="009A3F7C" w:rsidRPr="00E867F6" w:rsidRDefault="009A3F7C" w:rsidP="00D24B0D">
      <w:r w:rsidRPr="00E867F6">
        <w:t xml:space="preserve">The Commission </w:t>
      </w:r>
      <w:r w:rsidR="008B5C94">
        <w:t xml:space="preserve">convened the </w:t>
      </w:r>
      <w:r w:rsidR="008B5C94" w:rsidRPr="00945892">
        <w:t>Patient Safety Reporting Steering Committee</w:t>
      </w:r>
      <w:r w:rsidR="008B5C94">
        <w:t xml:space="preserve"> to </w:t>
      </w:r>
      <w:proofErr w:type="gramStart"/>
      <w:r w:rsidR="008B5C94">
        <w:t>advise</w:t>
      </w:r>
      <w:proofErr w:type="gramEnd"/>
      <w:r w:rsidR="008B5C94">
        <w:t xml:space="preserve"> on the deliv</w:t>
      </w:r>
      <w:r w:rsidR="0087089E">
        <w:t>erables of a four-phase project</w:t>
      </w:r>
      <w:r w:rsidR="008B5C94">
        <w:t xml:space="preserve"> </w:t>
      </w:r>
      <w:r w:rsidRPr="00E867F6">
        <w:t xml:space="preserve">to develop the options </w:t>
      </w:r>
      <w:r w:rsidRPr="00EF3716">
        <w:t>for public reporting on safety and quality in health care</w:t>
      </w:r>
      <w:r w:rsidR="008B5C94">
        <w:t>. The phases involved:</w:t>
      </w:r>
    </w:p>
    <w:p w14:paraId="45AF2FE6" w14:textId="77777777" w:rsidR="0083329B" w:rsidRPr="0083329B" w:rsidRDefault="0083329B" w:rsidP="0083329B">
      <w:pPr>
        <w:numPr>
          <w:ilvl w:val="0"/>
          <w:numId w:val="7"/>
        </w:numPr>
        <w:tabs>
          <w:tab w:val="clear" w:pos="697"/>
          <w:tab w:val="num" w:pos="709"/>
        </w:tabs>
        <w:spacing w:before="120" w:after="0"/>
        <w:ind w:left="709"/>
        <w:contextualSpacing/>
      </w:pPr>
      <w:r w:rsidRPr="0083329B">
        <w:rPr>
          <w:b/>
        </w:rPr>
        <w:t>Phase 1. Evidence collection and analysis</w:t>
      </w:r>
    </w:p>
    <w:p w14:paraId="6CCD6777" w14:textId="77777777" w:rsidR="0083329B" w:rsidRPr="0083329B" w:rsidRDefault="0083329B" w:rsidP="004F479C">
      <w:pPr>
        <w:numPr>
          <w:ilvl w:val="0"/>
          <w:numId w:val="8"/>
        </w:numPr>
        <w:tabs>
          <w:tab w:val="clear" w:pos="1054"/>
        </w:tabs>
        <w:spacing w:after="120"/>
        <w:ind w:left="1134" w:hanging="283"/>
        <w:contextualSpacing/>
      </w:pPr>
      <w:r w:rsidRPr="0083329B">
        <w:t>Step 1. Environment scan</w:t>
      </w:r>
    </w:p>
    <w:p w14:paraId="1F072310" w14:textId="77777777" w:rsidR="0083329B" w:rsidRPr="0083329B" w:rsidRDefault="0083329B" w:rsidP="004F479C">
      <w:pPr>
        <w:numPr>
          <w:ilvl w:val="0"/>
          <w:numId w:val="8"/>
        </w:numPr>
        <w:tabs>
          <w:tab w:val="clear" w:pos="1054"/>
        </w:tabs>
        <w:spacing w:before="120" w:after="120"/>
        <w:ind w:left="1134" w:hanging="283"/>
        <w:contextualSpacing/>
      </w:pPr>
      <w:r w:rsidRPr="0083329B">
        <w:t>Step 2. Literature review</w:t>
      </w:r>
    </w:p>
    <w:p w14:paraId="6FD8E6C4" w14:textId="77777777" w:rsidR="0083329B" w:rsidRPr="0083329B" w:rsidRDefault="0083329B" w:rsidP="004F479C">
      <w:pPr>
        <w:numPr>
          <w:ilvl w:val="0"/>
          <w:numId w:val="8"/>
        </w:numPr>
        <w:tabs>
          <w:tab w:val="clear" w:pos="1054"/>
        </w:tabs>
        <w:spacing w:before="120" w:after="0"/>
        <w:ind w:left="1134" w:hanging="283"/>
        <w:contextualSpacing/>
      </w:pPr>
      <w:r w:rsidRPr="0083329B">
        <w:t>Step 3. Focus groups and interviews</w:t>
      </w:r>
    </w:p>
    <w:p w14:paraId="6F19D1C1" w14:textId="77777777" w:rsidR="0083329B" w:rsidRPr="0083329B" w:rsidRDefault="0083329B" w:rsidP="004F479C">
      <w:pPr>
        <w:numPr>
          <w:ilvl w:val="0"/>
          <w:numId w:val="7"/>
        </w:numPr>
        <w:tabs>
          <w:tab w:val="clear" w:pos="697"/>
          <w:tab w:val="num" w:pos="709"/>
        </w:tabs>
        <w:spacing w:before="120" w:after="120"/>
        <w:ind w:left="709"/>
      </w:pPr>
      <w:r w:rsidRPr="0083329B">
        <w:rPr>
          <w:b/>
        </w:rPr>
        <w:t>Phase 2.</w:t>
      </w:r>
      <w:r w:rsidRPr="0083329B">
        <w:t xml:space="preserve"> </w:t>
      </w:r>
      <w:r w:rsidRPr="0083329B">
        <w:rPr>
          <w:b/>
        </w:rPr>
        <w:t>Options development</w:t>
      </w:r>
    </w:p>
    <w:p w14:paraId="4C90D02D" w14:textId="77777777" w:rsidR="0083329B" w:rsidRPr="0083329B" w:rsidRDefault="0083329B" w:rsidP="0083329B">
      <w:pPr>
        <w:keepNext/>
        <w:numPr>
          <w:ilvl w:val="0"/>
          <w:numId w:val="7"/>
        </w:numPr>
        <w:tabs>
          <w:tab w:val="clear" w:pos="697"/>
          <w:tab w:val="num" w:pos="709"/>
        </w:tabs>
        <w:spacing w:before="120" w:after="0"/>
        <w:ind w:left="709"/>
      </w:pPr>
      <w:r w:rsidRPr="0083329B">
        <w:rPr>
          <w:b/>
        </w:rPr>
        <w:t>Phase 3.</w:t>
      </w:r>
      <w:r w:rsidRPr="0083329B">
        <w:t xml:space="preserve"> </w:t>
      </w:r>
      <w:r w:rsidRPr="0083329B">
        <w:rPr>
          <w:b/>
        </w:rPr>
        <w:t>Validation of draft options</w:t>
      </w:r>
    </w:p>
    <w:p w14:paraId="6A8F19F3" w14:textId="77777777" w:rsidR="0083329B" w:rsidRPr="0083329B" w:rsidRDefault="0083329B" w:rsidP="004F479C">
      <w:pPr>
        <w:numPr>
          <w:ilvl w:val="0"/>
          <w:numId w:val="8"/>
        </w:numPr>
        <w:tabs>
          <w:tab w:val="clear" w:pos="1054"/>
        </w:tabs>
        <w:spacing w:after="120"/>
        <w:ind w:left="1134" w:hanging="284"/>
        <w:contextualSpacing/>
      </w:pPr>
      <w:r w:rsidRPr="0083329B">
        <w:t>Step 1. Public consultation survey</w:t>
      </w:r>
    </w:p>
    <w:p w14:paraId="0EE363AF" w14:textId="77777777" w:rsidR="0083329B" w:rsidRPr="0083329B" w:rsidRDefault="0083329B" w:rsidP="004F479C">
      <w:pPr>
        <w:numPr>
          <w:ilvl w:val="0"/>
          <w:numId w:val="8"/>
        </w:numPr>
        <w:tabs>
          <w:tab w:val="clear" w:pos="1054"/>
        </w:tabs>
        <w:spacing w:before="120" w:after="120"/>
        <w:ind w:left="1134" w:hanging="284"/>
        <w:contextualSpacing/>
      </w:pPr>
      <w:r w:rsidRPr="0083329B">
        <w:t>Step 2. Key stakeholder workshops</w:t>
      </w:r>
    </w:p>
    <w:p w14:paraId="4473F356" w14:textId="77777777" w:rsidR="0083329B" w:rsidRPr="0083329B" w:rsidRDefault="0083329B" w:rsidP="004F479C">
      <w:pPr>
        <w:numPr>
          <w:ilvl w:val="0"/>
          <w:numId w:val="8"/>
        </w:numPr>
        <w:tabs>
          <w:tab w:val="clear" w:pos="1054"/>
        </w:tabs>
        <w:spacing w:before="120" w:after="0"/>
        <w:ind w:left="1134" w:hanging="284"/>
        <w:contextualSpacing/>
      </w:pPr>
      <w:r w:rsidRPr="0083329B">
        <w:t>Step 3. Consensus through the Commission’s governance processes</w:t>
      </w:r>
    </w:p>
    <w:p w14:paraId="6AFF95C6" w14:textId="0FEB68A3" w:rsidR="0083329B" w:rsidRPr="0083329B" w:rsidRDefault="0083329B" w:rsidP="004F479C">
      <w:pPr>
        <w:numPr>
          <w:ilvl w:val="0"/>
          <w:numId w:val="7"/>
        </w:numPr>
        <w:spacing w:before="120" w:after="240"/>
        <w:ind w:left="709"/>
      </w:pPr>
      <w:r w:rsidRPr="0083329B">
        <w:rPr>
          <w:b/>
        </w:rPr>
        <w:t>Phase 4.</w:t>
      </w:r>
      <w:r w:rsidRPr="0083329B">
        <w:t xml:space="preserve"> </w:t>
      </w:r>
      <w:r w:rsidRPr="0083329B">
        <w:rPr>
          <w:b/>
        </w:rPr>
        <w:t>Finalise  and report on options</w:t>
      </w:r>
    </w:p>
    <w:p w14:paraId="4AC49F3B" w14:textId="03ADEF33" w:rsidR="009A3F7C" w:rsidRPr="00E867F6" w:rsidRDefault="009A3F7C" w:rsidP="0087225E">
      <w:r>
        <w:t>Along with this report,</w:t>
      </w:r>
      <w:r w:rsidRPr="00E867F6">
        <w:t xml:space="preserve"> Phase 1 of the project includes undertaking a number of focus groups with clinicians and consumers, as well as targeted expert interviews, to answer the following overarching research question: </w:t>
      </w:r>
    </w:p>
    <w:p w14:paraId="741D697B" w14:textId="77BAB359" w:rsidR="009A3F7C" w:rsidRPr="00E867F6" w:rsidRDefault="009A3F7C" w:rsidP="008F38F1">
      <w:pPr>
        <w:pStyle w:val="Quote"/>
      </w:pPr>
      <w:r w:rsidRPr="00E867F6">
        <w:t>What does evidence from research, policy and practice, and consumers tell us about the best ways to ensure every person has timely access to relevant, valid, and trustworthy information t</w:t>
      </w:r>
      <w:r w:rsidR="008E494C">
        <w:t>o enable well-informed decision-</w:t>
      </w:r>
      <w:r w:rsidRPr="00E867F6">
        <w:t xml:space="preserve">making? </w:t>
      </w:r>
    </w:p>
    <w:p w14:paraId="276485BA" w14:textId="77777777" w:rsidR="009A3F7C" w:rsidRPr="00E867F6" w:rsidRDefault="009A3F7C" w:rsidP="00A17E6E">
      <w:pPr>
        <w:pStyle w:val="Heading2"/>
      </w:pPr>
      <w:bookmarkStart w:id="19" w:name="_Toc3195080"/>
      <w:r w:rsidRPr="00E867F6">
        <w:t>Structure of this document</w:t>
      </w:r>
      <w:bookmarkEnd w:id="19"/>
    </w:p>
    <w:p w14:paraId="566AF5BA" w14:textId="53EA184B" w:rsidR="009A3F7C" w:rsidRPr="00E867F6" w:rsidRDefault="009A3F7C" w:rsidP="00D7781F">
      <w:r w:rsidRPr="00E867F6">
        <w:t>This document comprises a literature review and an environment scan on public reporting in Australia and three other OECD countries</w:t>
      </w:r>
      <w:r w:rsidR="00FA7C47">
        <w:t xml:space="preserve">: the </w:t>
      </w:r>
      <w:r w:rsidR="00FA7C47" w:rsidRPr="00E867F6">
        <w:t xml:space="preserve">Netherlands, Canada and the </w:t>
      </w:r>
      <w:r w:rsidR="00FA7C47">
        <w:t>US</w:t>
      </w:r>
      <w:r w:rsidR="004F4936">
        <w:t>A</w:t>
      </w:r>
      <w:r w:rsidRPr="00E867F6">
        <w:t xml:space="preserve">. </w:t>
      </w:r>
    </w:p>
    <w:p w14:paraId="6061D382" w14:textId="77777777" w:rsidR="009A3F7C" w:rsidRPr="00E867F6" w:rsidRDefault="009A3F7C" w:rsidP="00D7781F">
      <w:r w:rsidRPr="00E867F6">
        <w:t xml:space="preserve">The document is presented in two parts. </w:t>
      </w:r>
    </w:p>
    <w:p w14:paraId="23FC147F" w14:textId="77777777" w:rsidR="009A3F7C" w:rsidRPr="00E867F6" w:rsidRDefault="009A3F7C" w:rsidP="00D7781F">
      <w:r w:rsidRPr="00E867F6">
        <w:t>Firstly, findings from the literature review are described, outlining the nature of public reporting, the aims of reporting systems, and the benefits and challenges of public reporting. The characteristics of a successful public reporting framework are also distilled.</w:t>
      </w:r>
    </w:p>
    <w:p w14:paraId="18AAFFB1" w14:textId="669CB99F" w:rsidR="009A3F7C" w:rsidRPr="00E867F6" w:rsidRDefault="009A3F7C" w:rsidP="00D7781F">
      <w:r w:rsidRPr="00E867F6">
        <w:t xml:space="preserve">Secondly, the environment scan follows the literature review and sets out the current landscape of public reporting at a national, state/territory and at an international level across three selected OECD countries. </w:t>
      </w:r>
    </w:p>
    <w:p w14:paraId="731FDB93" w14:textId="77777777" w:rsidR="009A3F7C" w:rsidRPr="00E867F6" w:rsidRDefault="009A3F7C" w:rsidP="00557C3F"/>
    <w:p w14:paraId="28379209" w14:textId="77777777" w:rsidR="009A3F7C" w:rsidRPr="00E867F6" w:rsidRDefault="009A3F7C" w:rsidP="00A17E6E">
      <w:pPr>
        <w:pStyle w:val="Heading1"/>
      </w:pPr>
      <w:bookmarkStart w:id="20" w:name="_Toc3195081"/>
      <w:r w:rsidRPr="00E867F6">
        <w:lastRenderedPageBreak/>
        <w:t>Literature review</w:t>
      </w:r>
      <w:bookmarkEnd w:id="20"/>
    </w:p>
    <w:p w14:paraId="76EA3204" w14:textId="77777777" w:rsidR="009A3F7C" w:rsidRPr="00E867F6" w:rsidRDefault="009A3F7C" w:rsidP="00A17E6E">
      <w:pPr>
        <w:pStyle w:val="Heading2"/>
      </w:pPr>
      <w:bookmarkStart w:id="21" w:name="_Toc3195082"/>
      <w:r w:rsidRPr="00E867F6">
        <w:t>Scope of the review</w:t>
      </w:r>
      <w:bookmarkEnd w:id="21"/>
    </w:p>
    <w:p w14:paraId="118DBFFD" w14:textId="1E5D2E80" w:rsidR="009A3F7C" w:rsidRPr="00E867F6" w:rsidRDefault="009A3F7C" w:rsidP="007301C4">
      <w:r w:rsidRPr="00E867F6">
        <w:t xml:space="preserve">A review of relevant literature on public reporting frameworks was undertaken to inform responses to a range of guiding questions (outlined in the following sub-section). </w:t>
      </w:r>
      <w:r w:rsidRPr="00E867F6">
        <w:rPr>
          <w:rFonts w:cs="Arial"/>
        </w:rPr>
        <w:t xml:space="preserve">In addition, the literature review considered research that outlined factors necessary for a successful public reporting framework, based on the lessons learned from various initiatives undertaken nationally and internationally over the past several decades. The intention of this information is to assist with the development and refinement of options for public reporting, once the project moves beyond the current research and evidence collection phase. </w:t>
      </w:r>
    </w:p>
    <w:p w14:paraId="060AFC32" w14:textId="10AD6D20" w:rsidR="009A3F7C" w:rsidRPr="00E867F6" w:rsidRDefault="009A3F7C" w:rsidP="0087089E">
      <w:pPr>
        <w:pStyle w:val="Heading2"/>
      </w:pPr>
      <w:bookmarkStart w:id="22" w:name="_Toc3195083"/>
      <w:r w:rsidRPr="00E867F6">
        <w:t xml:space="preserve">Guiding questions </w:t>
      </w:r>
      <w:r>
        <w:t>for the</w:t>
      </w:r>
      <w:r w:rsidRPr="00E867F6">
        <w:t xml:space="preserve"> literature review</w:t>
      </w:r>
      <w:bookmarkEnd w:id="22"/>
    </w:p>
    <w:p w14:paraId="6E79AEE0" w14:textId="68401686" w:rsidR="009A3F7C" w:rsidRPr="00E867F6" w:rsidRDefault="009A3F7C" w:rsidP="00FC4D65">
      <w:pPr>
        <w:rPr>
          <w:rFonts w:cs="Arial"/>
        </w:rPr>
      </w:pPr>
      <w:r w:rsidRPr="00E867F6">
        <w:rPr>
          <w:rFonts w:cs="Arial"/>
        </w:rPr>
        <w:t>The research questions guiding this literature review are as follows:</w:t>
      </w:r>
    </w:p>
    <w:p w14:paraId="4D36C7BA" w14:textId="77777777" w:rsidR="009A3F7C" w:rsidRPr="00E867F6" w:rsidRDefault="009A3F7C" w:rsidP="00EC5C34">
      <w:pPr>
        <w:numPr>
          <w:ilvl w:val="0"/>
          <w:numId w:val="28"/>
        </w:numPr>
        <w:spacing w:after="120"/>
        <w:ind w:left="709"/>
        <w:rPr>
          <w:rFonts w:cs="Arial"/>
        </w:rPr>
      </w:pPr>
      <w:r w:rsidRPr="00E867F6">
        <w:rPr>
          <w:rFonts w:cs="Arial"/>
        </w:rPr>
        <w:t>What are the commonly cited aims of publicly reporting safety and quality data?</w:t>
      </w:r>
    </w:p>
    <w:p w14:paraId="49990A41" w14:textId="77777777" w:rsidR="009A3F7C" w:rsidRPr="00E867F6" w:rsidRDefault="009A3F7C" w:rsidP="00EC5C34">
      <w:pPr>
        <w:numPr>
          <w:ilvl w:val="0"/>
          <w:numId w:val="28"/>
        </w:numPr>
        <w:spacing w:after="120"/>
        <w:ind w:left="709"/>
        <w:rPr>
          <w:rFonts w:cs="Arial"/>
        </w:rPr>
      </w:pPr>
      <w:r w:rsidRPr="00E867F6">
        <w:rPr>
          <w:rFonts w:cs="Arial"/>
        </w:rPr>
        <w:t>What are the mechanisms by which public reporting is thought to achieve these aims?</w:t>
      </w:r>
    </w:p>
    <w:p w14:paraId="0F2B37BB" w14:textId="77777777" w:rsidR="009A3F7C" w:rsidRPr="00E867F6" w:rsidRDefault="009A3F7C" w:rsidP="00EC5C34">
      <w:pPr>
        <w:numPr>
          <w:ilvl w:val="0"/>
          <w:numId w:val="28"/>
        </w:numPr>
        <w:spacing w:after="120"/>
        <w:ind w:left="709"/>
        <w:rPr>
          <w:rFonts w:cs="Arial"/>
        </w:rPr>
      </w:pPr>
      <w:r w:rsidRPr="00E867F6">
        <w:rPr>
          <w:rFonts w:cs="Arial"/>
        </w:rPr>
        <w:t>What factors are associated with positive and/or perverse impacts of public reporting of safety and quality information?</w:t>
      </w:r>
    </w:p>
    <w:p w14:paraId="0805CBCA" w14:textId="77777777" w:rsidR="009A3F7C" w:rsidRPr="00E867F6" w:rsidRDefault="009A3F7C" w:rsidP="00A17E6E">
      <w:pPr>
        <w:pStyle w:val="Heading2"/>
      </w:pPr>
      <w:bookmarkStart w:id="23" w:name="_Toc3195084"/>
      <w:r w:rsidRPr="00E867F6">
        <w:t>Search strategy</w:t>
      </w:r>
      <w:bookmarkEnd w:id="23"/>
    </w:p>
    <w:p w14:paraId="6167C977" w14:textId="77777777" w:rsidR="009A3F7C" w:rsidRPr="00E867F6" w:rsidRDefault="009A3F7C" w:rsidP="00A17E6E">
      <w:pPr>
        <w:pStyle w:val="Heading3"/>
      </w:pPr>
      <w:r w:rsidRPr="00E867F6">
        <w:t>Search terms and parameters</w:t>
      </w:r>
    </w:p>
    <w:p w14:paraId="65A8C633" w14:textId="56A903A6" w:rsidR="009A3F7C" w:rsidRPr="00E867F6" w:rsidRDefault="009A3F7C" w:rsidP="00E65A6B">
      <w:pPr>
        <w:spacing w:after="120"/>
        <w:rPr>
          <w:rFonts w:cs="Arial"/>
        </w:rPr>
      </w:pPr>
      <w:r w:rsidRPr="00E867F6">
        <w:rPr>
          <w:rFonts w:cs="Arial"/>
        </w:rPr>
        <w:t>This literature review was informed by an analysis of publicly available literature. Searches were conducted via two main search engines</w:t>
      </w:r>
      <w:r>
        <w:rPr>
          <w:rFonts w:cs="Arial"/>
        </w:rPr>
        <w:t>, Google and PubMed</w:t>
      </w:r>
      <w:r w:rsidRPr="00E867F6">
        <w:rPr>
          <w:rFonts w:cs="Arial"/>
        </w:rPr>
        <w:t>.</w:t>
      </w:r>
    </w:p>
    <w:p w14:paraId="16C888EB" w14:textId="7DB0BFE8" w:rsidR="009A3F7C" w:rsidRPr="00E867F6" w:rsidRDefault="009A3F7C" w:rsidP="00E65A6B">
      <w:pPr>
        <w:spacing w:after="120"/>
        <w:rPr>
          <w:rFonts w:cs="Arial"/>
        </w:rPr>
      </w:pPr>
      <w:r w:rsidRPr="00E867F6">
        <w:rPr>
          <w:rFonts w:cs="Arial"/>
        </w:rPr>
        <w:t>Using the Google search engine, searches were conducted using combinations of the following keywords:</w:t>
      </w:r>
    </w:p>
    <w:p w14:paraId="2639528D" w14:textId="058E1DDE" w:rsidR="009A3F7C" w:rsidRPr="00A80B53" w:rsidRDefault="009A3F7C" w:rsidP="006552A1">
      <w:pPr>
        <w:pStyle w:val="ListParagraph"/>
        <w:numPr>
          <w:ilvl w:val="0"/>
          <w:numId w:val="23"/>
        </w:numPr>
        <w:rPr>
          <w:rFonts w:cs="Arial"/>
        </w:rPr>
      </w:pPr>
      <w:r w:rsidRPr="00A80B53">
        <w:rPr>
          <w:rFonts w:cs="Arial"/>
        </w:rPr>
        <w:t xml:space="preserve">Public </w:t>
      </w:r>
    </w:p>
    <w:p w14:paraId="0020A107" w14:textId="3705CC25" w:rsidR="009A3F7C" w:rsidRPr="00E0117C" w:rsidRDefault="009A3F7C" w:rsidP="006552A1">
      <w:pPr>
        <w:pStyle w:val="ListParagraph"/>
        <w:numPr>
          <w:ilvl w:val="0"/>
          <w:numId w:val="23"/>
        </w:numPr>
        <w:rPr>
          <w:rFonts w:cs="Arial"/>
        </w:rPr>
      </w:pPr>
      <w:r w:rsidRPr="00E0117C">
        <w:rPr>
          <w:rFonts w:cs="Arial"/>
        </w:rPr>
        <w:t>Reporting</w:t>
      </w:r>
    </w:p>
    <w:p w14:paraId="7ECE26B0" w14:textId="59D9853E" w:rsidR="009A3F7C" w:rsidRPr="00E0117C" w:rsidRDefault="009A3F7C" w:rsidP="006552A1">
      <w:pPr>
        <w:pStyle w:val="ListParagraph"/>
        <w:numPr>
          <w:ilvl w:val="0"/>
          <w:numId w:val="23"/>
        </w:numPr>
        <w:rPr>
          <w:rFonts w:cs="Arial"/>
        </w:rPr>
      </w:pPr>
      <w:r w:rsidRPr="00E0117C">
        <w:rPr>
          <w:rFonts w:cs="Arial"/>
        </w:rPr>
        <w:t>Health</w:t>
      </w:r>
    </w:p>
    <w:p w14:paraId="45AF2107" w14:textId="1B32EE8B" w:rsidR="009A3F7C" w:rsidRPr="009A3F7C" w:rsidRDefault="009A3F7C" w:rsidP="006552A1">
      <w:pPr>
        <w:pStyle w:val="ListParagraph"/>
        <w:numPr>
          <w:ilvl w:val="0"/>
          <w:numId w:val="23"/>
        </w:numPr>
        <w:rPr>
          <w:rFonts w:cs="Arial"/>
        </w:rPr>
      </w:pPr>
      <w:r w:rsidRPr="009A3F7C">
        <w:rPr>
          <w:rFonts w:cs="Arial"/>
        </w:rPr>
        <w:t xml:space="preserve">Information </w:t>
      </w:r>
    </w:p>
    <w:p w14:paraId="6A92F1C4" w14:textId="79AC6DA4" w:rsidR="009A3F7C" w:rsidRPr="009D6E2E" w:rsidRDefault="009A3F7C" w:rsidP="006552A1">
      <w:pPr>
        <w:pStyle w:val="ListParagraph"/>
        <w:numPr>
          <w:ilvl w:val="0"/>
          <w:numId w:val="23"/>
        </w:numPr>
        <w:rPr>
          <w:rFonts w:cs="Arial"/>
        </w:rPr>
      </w:pPr>
      <w:r w:rsidRPr="009D6E2E">
        <w:rPr>
          <w:rFonts w:cs="Arial"/>
        </w:rPr>
        <w:t>Data</w:t>
      </w:r>
    </w:p>
    <w:p w14:paraId="2251DF72" w14:textId="309827C5" w:rsidR="009A3F7C" w:rsidRPr="00E70A77" w:rsidRDefault="009A3F7C" w:rsidP="006552A1">
      <w:pPr>
        <w:pStyle w:val="ListParagraph"/>
        <w:numPr>
          <w:ilvl w:val="0"/>
          <w:numId w:val="23"/>
        </w:numPr>
        <w:rPr>
          <w:rFonts w:cs="Arial"/>
        </w:rPr>
      </w:pPr>
      <w:r w:rsidRPr="00A80B53">
        <w:rPr>
          <w:rFonts w:cs="Arial"/>
        </w:rPr>
        <w:t>Transparency</w:t>
      </w:r>
    </w:p>
    <w:p w14:paraId="39F5D9D4" w14:textId="5832F115" w:rsidR="009A3F7C" w:rsidRPr="00E70A77" w:rsidRDefault="009A3F7C" w:rsidP="006552A1">
      <w:pPr>
        <w:pStyle w:val="ListParagraph"/>
        <w:numPr>
          <w:ilvl w:val="0"/>
          <w:numId w:val="23"/>
        </w:numPr>
        <w:rPr>
          <w:rFonts w:cs="Arial"/>
        </w:rPr>
      </w:pPr>
      <w:r w:rsidRPr="00A80B53">
        <w:rPr>
          <w:rFonts w:cs="Arial"/>
        </w:rPr>
        <w:t>Accountability</w:t>
      </w:r>
    </w:p>
    <w:p w14:paraId="27B26372" w14:textId="77777777" w:rsidR="009A3F7C" w:rsidRPr="00E867F6" w:rsidRDefault="009A3F7C" w:rsidP="00E65A6B">
      <w:pPr>
        <w:spacing w:after="120"/>
        <w:rPr>
          <w:rFonts w:cs="Arial"/>
        </w:rPr>
      </w:pPr>
      <w:r w:rsidRPr="00E867F6">
        <w:rPr>
          <w:rFonts w:cs="Arial"/>
        </w:rPr>
        <w:t xml:space="preserve">From the Google search, a range of documents were identified, including policy documents, presentations and scholarly articles. Where relevant, references from these documents were identified and original source documents retrieved. </w:t>
      </w:r>
    </w:p>
    <w:p w14:paraId="019DE68F" w14:textId="40A54E6E" w:rsidR="009A3F7C" w:rsidRPr="00E867F6" w:rsidRDefault="009A3F7C" w:rsidP="00E65A6B">
      <w:pPr>
        <w:spacing w:after="120"/>
        <w:rPr>
          <w:rFonts w:cs="Arial"/>
        </w:rPr>
      </w:pPr>
      <w:r w:rsidRPr="00E867F6">
        <w:rPr>
          <w:rFonts w:cs="Arial"/>
        </w:rPr>
        <w:t xml:space="preserve">A search of the PubMed database was also conducted. Medical Subject </w:t>
      </w:r>
      <w:r>
        <w:rPr>
          <w:rFonts w:cs="Arial"/>
        </w:rPr>
        <w:t>H</w:t>
      </w:r>
      <w:r w:rsidRPr="00A80B53">
        <w:rPr>
          <w:rFonts w:cs="Arial"/>
        </w:rPr>
        <w:t xml:space="preserve">eadings </w:t>
      </w:r>
      <w:r w:rsidRPr="00E867F6">
        <w:rPr>
          <w:rFonts w:cs="Arial"/>
        </w:rPr>
        <w:t>(</w:t>
      </w:r>
      <w:proofErr w:type="spellStart"/>
      <w:r w:rsidRPr="00E867F6">
        <w:rPr>
          <w:rFonts w:cs="Arial"/>
        </w:rPr>
        <w:t>MeSH</w:t>
      </w:r>
      <w:proofErr w:type="spellEnd"/>
      <w:r w:rsidRPr="00E867F6">
        <w:rPr>
          <w:rFonts w:cs="Arial"/>
        </w:rPr>
        <w:t>) used to direct the search were combined in a number of permutations and included:</w:t>
      </w:r>
    </w:p>
    <w:p w14:paraId="21A29CC5" w14:textId="77777777" w:rsidR="009A3F7C" w:rsidRPr="00E867F6" w:rsidRDefault="009A3F7C" w:rsidP="006552A1">
      <w:pPr>
        <w:pStyle w:val="ListParagraph"/>
        <w:numPr>
          <w:ilvl w:val="0"/>
          <w:numId w:val="14"/>
        </w:numPr>
        <w:tabs>
          <w:tab w:val="clear" w:pos="340"/>
          <w:tab w:val="num" w:pos="709"/>
        </w:tabs>
        <w:ind w:left="709"/>
        <w:rPr>
          <w:rFonts w:cs="Arial"/>
        </w:rPr>
      </w:pPr>
      <w:r w:rsidRPr="00E867F6">
        <w:rPr>
          <w:rFonts w:cs="Arial"/>
        </w:rPr>
        <w:t>Patient safety</w:t>
      </w:r>
    </w:p>
    <w:p w14:paraId="7664FA78" w14:textId="77777777" w:rsidR="009A3F7C" w:rsidRPr="00E867F6" w:rsidRDefault="009A3F7C" w:rsidP="006552A1">
      <w:pPr>
        <w:pStyle w:val="ListParagraph"/>
        <w:numPr>
          <w:ilvl w:val="0"/>
          <w:numId w:val="14"/>
        </w:numPr>
        <w:tabs>
          <w:tab w:val="clear" w:pos="340"/>
          <w:tab w:val="num" w:pos="709"/>
        </w:tabs>
        <w:ind w:left="709"/>
        <w:rPr>
          <w:rFonts w:cs="Arial"/>
        </w:rPr>
      </w:pPr>
      <w:r w:rsidRPr="00E867F6">
        <w:rPr>
          <w:rFonts w:cs="Arial"/>
        </w:rPr>
        <w:t>Risk management</w:t>
      </w:r>
    </w:p>
    <w:p w14:paraId="1AE9CF2F" w14:textId="77777777" w:rsidR="009A3F7C" w:rsidRPr="00E867F6" w:rsidRDefault="009A3F7C" w:rsidP="006552A1">
      <w:pPr>
        <w:pStyle w:val="ListParagraph"/>
        <w:numPr>
          <w:ilvl w:val="0"/>
          <w:numId w:val="14"/>
        </w:numPr>
        <w:tabs>
          <w:tab w:val="clear" w:pos="340"/>
          <w:tab w:val="num" w:pos="709"/>
        </w:tabs>
        <w:ind w:left="709"/>
        <w:rPr>
          <w:rFonts w:cs="Arial"/>
        </w:rPr>
      </w:pPr>
      <w:r w:rsidRPr="00E867F6">
        <w:rPr>
          <w:rFonts w:cs="Arial"/>
        </w:rPr>
        <w:t xml:space="preserve">Quality indicators </w:t>
      </w:r>
    </w:p>
    <w:p w14:paraId="16BE0A6E" w14:textId="77777777" w:rsidR="009A3F7C" w:rsidRPr="00E867F6" w:rsidRDefault="009A3F7C" w:rsidP="006552A1">
      <w:pPr>
        <w:pStyle w:val="ListParagraph"/>
        <w:numPr>
          <w:ilvl w:val="0"/>
          <w:numId w:val="14"/>
        </w:numPr>
        <w:tabs>
          <w:tab w:val="clear" w:pos="340"/>
          <w:tab w:val="num" w:pos="709"/>
        </w:tabs>
        <w:ind w:left="709"/>
        <w:rPr>
          <w:rFonts w:cs="Arial"/>
        </w:rPr>
      </w:pPr>
      <w:r w:rsidRPr="00E867F6">
        <w:rPr>
          <w:rFonts w:cs="Arial"/>
        </w:rPr>
        <w:t>Healthcare</w:t>
      </w:r>
    </w:p>
    <w:p w14:paraId="13A2D4F6" w14:textId="77777777" w:rsidR="009A3F7C" w:rsidRPr="00E867F6" w:rsidRDefault="009A3F7C" w:rsidP="00E65A6B">
      <w:pPr>
        <w:spacing w:after="120"/>
        <w:rPr>
          <w:rFonts w:cs="Arial"/>
        </w:rPr>
      </w:pPr>
      <w:r w:rsidRPr="00E867F6">
        <w:rPr>
          <w:rFonts w:cs="Arial"/>
        </w:rPr>
        <w:t>The following limits were applied and included in all circumstances: English language and humans. The PubMed search was also restricted to articles from the past 10 years.</w:t>
      </w:r>
    </w:p>
    <w:p w14:paraId="68D0A147" w14:textId="77777777" w:rsidR="009A3F7C" w:rsidRPr="00E867F6" w:rsidRDefault="009A3F7C" w:rsidP="00A17E6E">
      <w:pPr>
        <w:pStyle w:val="Heading3"/>
      </w:pPr>
      <w:r w:rsidRPr="00E867F6">
        <w:lastRenderedPageBreak/>
        <w:t>General exclusions and limitations</w:t>
      </w:r>
    </w:p>
    <w:p w14:paraId="26C81EAD" w14:textId="77777777" w:rsidR="009A3F7C" w:rsidRPr="00E867F6" w:rsidRDefault="009A3F7C" w:rsidP="00E65A6B">
      <w:pPr>
        <w:spacing w:after="120"/>
        <w:rPr>
          <w:rFonts w:cs="Arial"/>
        </w:rPr>
      </w:pPr>
      <w:r w:rsidRPr="00E867F6">
        <w:rPr>
          <w:rFonts w:cs="Arial"/>
        </w:rPr>
        <w:t xml:space="preserve">This literature review is not intended to be a comprehensive, academic review of all relevant literature. It has been undertaken to provide high level findings to the guiding questions outlined previously. </w:t>
      </w:r>
    </w:p>
    <w:p w14:paraId="664D8C51" w14:textId="207897AA" w:rsidR="009A3F7C" w:rsidRPr="00E867F6" w:rsidRDefault="009A3F7C" w:rsidP="00A17E6E">
      <w:pPr>
        <w:pStyle w:val="Heading2"/>
      </w:pPr>
      <w:bookmarkStart w:id="24" w:name="_Toc3195085"/>
      <w:r w:rsidRPr="00E867F6">
        <w:t>Common aims of public reporting safety and quality data</w:t>
      </w:r>
      <w:bookmarkEnd w:id="24"/>
    </w:p>
    <w:p w14:paraId="0459157F" w14:textId="1D798F5F" w:rsidR="00055699" w:rsidRDefault="00D43039" w:rsidP="0087089E">
      <w:pPr>
        <w:pStyle w:val="Heading3"/>
      </w:pPr>
      <w:r>
        <w:t>Moving</w:t>
      </w:r>
      <w:r w:rsidR="00055699">
        <w:t xml:space="preserve"> towards greater </w:t>
      </w:r>
      <w:r>
        <w:t>public reporting in health care</w:t>
      </w:r>
    </w:p>
    <w:p w14:paraId="480CE57A" w14:textId="09571B50" w:rsidR="009A3F7C" w:rsidRPr="00E867F6" w:rsidRDefault="009A3F7C" w:rsidP="00FC4D65">
      <w:pPr>
        <w:spacing w:after="120"/>
        <w:rPr>
          <w:rFonts w:cs="Arial"/>
        </w:rPr>
      </w:pPr>
      <w:r w:rsidRPr="00E867F6">
        <w:rPr>
          <w:rFonts w:cs="Arial"/>
        </w:rPr>
        <w:t xml:space="preserve">The overall view that openness and transparency about hospital system performance is fundamental to improving safety is one that is broadly accepted within the health care community. In 2009, </w:t>
      </w:r>
      <w:proofErr w:type="spellStart"/>
      <w:r w:rsidRPr="00E867F6">
        <w:rPr>
          <w:rFonts w:cs="Arial"/>
        </w:rPr>
        <w:t>Leape</w:t>
      </w:r>
      <w:proofErr w:type="spellEnd"/>
      <w:r w:rsidRPr="00E867F6">
        <w:rPr>
          <w:rFonts w:cs="Arial"/>
        </w:rPr>
        <w:t xml:space="preserve"> </w:t>
      </w:r>
      <w:r>
        <w:rPr>
          <w:rFonts w:cs="Arial"/>
        </w:rPr>
        <w:t>et al.</w:t>
      </w:r>
      <w:r w:rsidRPr="00E867F6">
        <w:rPr>
          <w:rFonts w:cs="Arial"/>
        </w:rPr>
        <w:t xml:space="preserve"> stated that, </w:t>
      </w:r>
      <w:r w:rsidR="0087089E">
        <w:rPr>
          <w:rFonts w:cs="Arial"/>
        </w:rPr>
        <w:t>‘</w:t>
      </w:r>
      <w:r w:rsidRPr="00E867F6">
        <w:rPr>
          <w:rFonts w:cs="Arial"/>
        </w:rPr>
        <w:t>in complex, tightly coupled systems like health</w:t>
      </w:r>
      <w:r>
        <w:rPr>
          <w:rFonts w:cs="Arial"/>
        </w:rPr>
        <w:t xml:space="preserve"> </w:t>
      </w:r>
      <w:r w:rsidRPr="00E867F6">
        <w:rPr>
          <w:rFonts w:cs="Arial"/>
        </w:rPr>
        <w:t>care, transparency is a precondition to safety. Its absence inhibits learning from mistakes, distorts collegiality and erodes patient trust</w:t>
      </w:r>
      <w:r w:rsidR="0087089E">
        <w:rPr>
          <w:rFonts w:cs="Arial"/>
        </w:rPr>
        <w:t>’</w:t>
      </w:r>
      <w:r w:rsidRPr="00E867F6">
        <w:rPr>
          <w:rFonts w:cs="Arial"/>
        </w:rPr>
        <w:t>.</w:t>
      </w:r>
      <w:r w:rsidRPr="00E867F6">
        <w:rPr>
          <w:rStyle w:val="EndnoteReference"/>
          <w:rFonts w:cs="Arial"/>
        </w:rPr>
        <w:endnoteReference w:id="5"/>
      </w:r>
    </w:p>
    <w:p w14:paraId="31CC624C" w14:textId="4F470D72" w:rsidR="009A3F7C" w:rsidRPr="00E867F6" w:rsidRDefault="009A3F7C" w:rsidP="008A2AB9">
      <w:pPr>
        <w:spacing w:after="120"/>
        <w:rPr>
          <w:rFonts w:cs="Arial"/>
        </w:rPr>
      </w:pPr>
      <w:r w:rsidRPr="00E867F6">
        <w:rPr>
          <w:rFonts w:cs="Arial"/>
        </w:rPr>
        <w:t>Historically, consumers have had very little, if any, user-friendly access to quality and cost information in health</w:t>
      </w:r>
      <w:r>
        <w:rPr>
          <w:rFonts w:cs="Arial"/>
        </w:rPr>
        <w:t xml:space="preserve"> </w:t>
      </w:r>
      <w:r w:rsidRPr="00E867F6">
        <w:rPr>
          <w:rFonts w:cs="Arial"/>
        </w:rPr>
        <w:t>care, in comparison to most other industries.</w:t>
      </w:r>
      <w:r w:rsidRPr="00E867F6">
        <w:rPr>
          <w:rStyle w:val="EndnoteReference"/>
          <w:rFonts w:cs="Arial"/>
        </w:rPr>
        <w:endnoteReference w:id="6"/>
      </w:r>
      <w:r w:rsidRPr="00E867F6">
        <w:rPr>
          <w:rFonts w:cs="Arial"/>
        </w:rPr>
        <w:t xml:space="preserve"> However, as the value of transparency in promoting ongoing clinical quality improvement and consumer empowerment became more apparent, the level of information gathered and reported began to increase. </w:t>
      </w:r>
    </w:p>
    <w:p w14:paraId="08E3C372" w14:textId="1AD6C735" w:rsidR="009A3F7C" w:rsidRDefault="009A3F7C" w:rsidP="00FC4D65">
      <w:pPr>
        <w:spacing w:after="120"/>
        <w:rPr>
          <w:rFonts w:cs="Arial"/>
        </w:rPr>
      </w:pPr>
      <w:r w:rsidRPr="00E867F6">
        <w:rPr>
          <w:rFonts w:cs="Arial"/>
        </w:rPr>
        <w:t>Some of the first public reporting initiatives commenced in the US</w:t>
      </w:r>
      <w:r w:rsidR="004F4936">
        <w:rPr>
          <w:rFonts w:cs="Arial"/>
        </w:rPr>
        <w:t>A</w:t>
      </w:r>
      <w:r w:rsidRPr="00E867F6">
        <w:rPr>
          <w:rFonts w:cs="Arial"/>
        </w:rPr>
        <w:t xml:space="preserve"> (through the Joint Commission) as recently as 1988.</w:t>
      </w:r>
      <w:r w:rsidRPr="00E867F6">
        <w:rPr>
          <w:rStyle w:val="EndnoteReference"/>
          <w:rFonts w:cs="Arial"/>
        </w:rPr>
        <w:endnoteReference w:id="7"/>
      </w:r>
      <w:r w:rsidRPr="00E867F6">
        <w:rPr>
          <w:rFonts w:cs="Arial"/>
        </w:rPr>
        <w:t xml:space="preserve"> In the US</w:t>
      </w:r>
      <w:r w:rsidR="004F4936">
        <w:rPr>
          <w:rFonts w:cs="Arial"/>
        </w:rPr>
        <w:t>A</w:t>
      </w:r>
      <w:r w:rsidRPr="00E867F6">
        <w:rPr>
          <w:rFonts w:cs="Arial"/>
        </w:rPr>
        <w:t xml:space="preserve">, public reporting of safety and quality data (public reporting) has been given added impetus over recent years following increasing concern with the growing costs of healthcare provision, coupled with awareness that the quality of care provided had been often been suboptimal. The concern </w:t>
      </w:r>
      <w:r>
        <w:rPr>
          <w:rFonts w:cs="Arial"/>
        </w:rPr>
        <w:t xml:space="preserve">for actions to improve the quality of health care </w:t>
      </w:r>
      <w:r w:rsidRPr="00E867F6">
        <w:rPr>
          <w:rFonts w:cs="Arial"/>
        </w:rPr>
        <w:t>were further heightened following the release of two landmark Institute of Medicine (IOM) reports —</w:t>
      </w:r>
      <w:r w:rsidRPr="00E867F6">
        <w:rPr>
          <w:rFonts w:cs="Arial"/>
          <w:i/>
        </w:rPr>
        <w:t xml:space="preserve">To Err Is Human: Building a Safer Health System </w:t>
      </w:r>
      <w:r w:rsidRPr="0087089E">
        <w:rPr>
          <w:rFonts w:cs="Arial"/>
        </w:rPr>
        <w:t>in 2000</w:t>
      </w:r>
      <w:r>
        <w:rPr>
          <w:rFonts w:cs="Arial"/>
          <w:i/>
        </w:rPr>
        <w:t xml:space="preserve"> </w:t>
      </w:r>
      <w:r w:rsidRPr="00E867F6">
        <w:rPr>
          <w:rFonts w:cs="Arial"/>
        </w:rPr>
        <w:t xml:space="preserve">and </w:t>
      </w:r>
      <w:r w:rsidRPr="00E867F6">
        <w:rPr>
          <w:rFonts w:cs="Arial"/>
          <w:i/>
        </w:rPr>
        <w:t>Crossing the Quality Chasm: A New Health System for the 21st Century</w:t>
      </w:r>
      <w:r w:rsidRPr="00E867F6">
        <w:rPr>
          <w:rFonts w:cs="Arial"/>
        </w:rPr>
        <w:t xml:space="preserve"> </w:t>
      </w:r>
      <w:r>
        <w:rPr>
          <w:rFonts w:cs="Arial"/>
        </w:rPr>
        <w:t>in 2001</w:t>
      </w:r>
      <w:r w:rsidRPr="00E867F6">
        <w:rPr>
          <w:rFonts w:cs="Arial"/>
        </w:rPr>
        <w:t>.</w:t>
      </w:r>
      <w:r w:rsidR="00FA7C47">
        <w:rPr>
          <w:rStyle w:val="EndnoteReference"/>
          <w:rFonts w:cs="Arial"/>
        </w:rPr>
        <w:endnoteReference w:id="8"/>
      </w:r>
      <w:r w:rsidRPr="00E867F6">
        <w:rPr>
          <w:rFonts w:cs="Arial"/>
        </w:rPr>
        <w:t xml:space="preserve"> Similar policy considerations have been made across various other countries, including Australia, since the release of these reports.</w:t>
      </w:r>
    </w:p>
    <w:p w14:paraId="005B8C09" w14:textId="4873D30F" w:rsidR="00D43039" w:rsidRPr="00E867F6" w:rsidRDefault="00D43039" w:rsidP="00FA7C47">
      <w:pPr>
        <w:pStyle w:val="Heading3"/>
      </w:pPr>
      <w:r>
        <w:t xml:space="preserve">Aims </w:t>
      </w:r>
      <w:r w:rsidR="00FA7C47">
        <w:t>for</w:t>
      </w:r>
      <w:r>
        <w:t xml:space="preserve"> greater public reporting in health care</w:t>
      </w:r>
    </w:p>
    <w:p w14:paraId="24CDAAFB" w14:textId="77777777" w:rsidR="009A3F7C" w:rsidRPr="00E867F6" w:rsidRDefault="009A3F7C" w:rsidP="00FC4D65">
      <w:pPr>
        <w:spacing w:after="120"/>
        <w:rPr>
          <w:rFonts w:cs="Arial"/>
        </w:rPr>
      </w:pPr>
      <w:r w:rsidRPr="00E867F6">
        <w:rPr>
          <w:rFonts w:cs="Arial"/>
        </w:rPr>
        <w:t>There are a number of commonly cited reasons that underpin the push toward greater public reporting, including to:</w:t>
      </w:r>
    </w:p>
    <w:p w14:paraId="01252C5D" w14:textId="4C120A0F" w:rsidR="009A3F7C" w:rsidRPr="00E0117C" w:rsidRDefault="009A3F7C" w:rsidP="006552A1">
      <w:pPr>
        <w:pStyle w:val="ListParagraph"/>
        <w:numPr>
          <w:ilvl w:val="0"/>
          <w:numId w:val="24"/>
        </w:numPr>
        <w:rPr>
          <w:rFonts w:cs="Arial"/>
        </w:rPr>
      </w:pPr>
      <w:r w:rsidRPr="00E0117C">
        <w:rPr>
          <w:rFonts w:cs="Arial"/>
        </w:rPr>
        <w:t>Support patient choice</w:t>
      </w:r>
    </w:p>
    <w:p w14:paraId="0A23A2B6" w14:textId="316819F1" w:rsidR="009A3F7C" w:rsidRPr="00E0117C" w:rsidRDefault="009A3F7C" w:rsidP="006552A1">
      <w:pPr>
        <w:pStyle w:val="ListParagraph"/>
        <w:numPr>
          <w:ilvl w:val="0"/>
          <w:numId w:val="24"/>
        </w:numPr>
        <w:rPr>
          <w:rFonts w:cs="Arial"/>
        </w:rPr>
      </w:pPr>
      <w:r w:rsidRPr="00E0117C">
        <w:rPr>
          <w:rFonts w:cs="Arial"/>
        </w:rPr>
        <w:t>Improve community health literacy</w:t>
      </w:r>
    </w:p>
    <w:p w14:paraId="1425D911" w14:textId="5CFDE7D1" w:rsidR="009A3F7C" w:rsidRPr="00E0117C" w:rsidRDefault="009A3F7C" w:rsidP="006552A1">
      <w:pPr>
        <w:pStyle w:val="ListParagraph"/>
        <w:numPr>
          <w:ilvl w:val="0"/>
          <w:numId w:val="24"/>
        </w:numPr>
        <w:rPr>
          <w:rFonts w:cs="Arial"/>
        </w:rPr>
      </w:pPr>
      <w:r w:rsidRPr="00E0117C">
        <w:rPr>
          <w:rFonts w:cs="Arial"/>
        </w:rPr>
        <w:t>Stimulate provider actions</w:t>
      </w:r>
    </w:p>
    <w:p w14:paraId="0B86B541" w14:textId="77777777" w:rsidR="00955CC9" w:rsidRDefault="009A3F7C" w:rsidP="006552A1">
      <w:pPr>
        <w:pStyle w:val="ListParagraph"/>
        <w:numPr>
          <w:ilvl w:val="0"/>
          <w:numId w:val="24"/>
        </w:numPr>
        <w:rPr>
          <w:rFonts w:cs="Arial"/>
        </w:rPr>
      </w:pPr>
      <w:r w:rsidRPr="00E0117C">
        <w:rPr>
          <w:rFonts w:cs="Arial"/>
        </w:rPr>
        <w:t>Enhance transparency of the provider-funder relationship</w:t>
      </w:r>
      <w:r>
        <w:rPr>
          <w:rFonts w:cs="Arial"/>
        </w:rPr>
        <w:t xml:space="preserve"> </w:t>
      </w:r>
    </w:p>
    <w:p w14:paraId="5EF45562" w14:textId="49E4310A" w:rsidR="009A3F7C" w:rsidRPr="00E0117C" w:rsidRDefault="009A3F7C" w:rsidP="006552A1">
      <w:pPr>
        <w:pStyle w:val="ListParagraph"/>
        <w:numPr>
          <w:ilvl w:val="0"/>
          <w:numId w:val="24"/>
        </w:numPr>
        <w:rPr>
          <w:rFonts w:cs="Arial"/>
        </w:rPr>
      </w:pPr>
      <w:r w:rsidRPr="00E0117C">
        <w:rPr>
          <w:rFonts w:cs="Arial"/>
        </w:rPr>
        <w:t>Promote public trust, through holding healthcare providers and funders to account for the quality of care they provide and the purchasing decisions they make.</w:t>
      </w:r>
      <w:r w:rsidRPr="00E867F6">
        <w:rPr>
          <w:vertAlign w:val="superscript"/>
        </w:rPr>
        <w:endnoteReference w:id="9"/>
      </w:r>
      <w:r w:rsidRPr="00E0117C">
        <w:rPr>
          <w:rFonts w:cs="Arial"/>
        </w:rPr>
        <w:t xml:space="preserve"> </w:t>
      </w:r>
      <w:r w:rsidRPr="00E867F6">
        <w:rPr>
          <w:vertAlign w:val="superscript"/>
        </w:rPr>
        <w:endnoteReference w:id="10"/>
      </w:r>
    </w:p>
    <w:p w14:paraId="2482A274" w14:textId="0D7381F4" w:rsidR="009A3F7C" w:rsidRDefault="00F0189B" w:rsidP="00FA7C47">
      <w:pPr>
        <w:rPr>
          <w:rFonts w:cs="Arial"/>
        </w:rPr>
      </w:pPr>
      <w:r w:rsidRPr="00E867F6">
        <w:rPr>
          <w:noProof/>
        </w:rPr>
        <mc:AlternateContent>
          <mc:Choice Requires="wps">
            <w:drawing>
              <wp:anchor distT="45720" distB="45720" distL="114300" distR="114300" simplePos="0" relativeHeight="251732992" behindDoc="0" locked="0" layoutInCell="1" allowOverlap="1" wp14:anchorId="245F7480" wp14:editId="0EA60792">
                <wp:simplePos x="0" y="0"/>
                <wp:positionH relativeFrom="column">
                  <wp:posOffset>-28575</wp:posOffset>
                </wp:positionH>
                <wp:positionV relativeFrom="paragraph">
                  <wp:posOffset>859790</wp:posOffset>
                </wp:positionV>
                <wp:extent cx="5759450" cy="81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819150"/>
                        </a:xfrm>
                        <a:prstGeom prst="rect">
                          <a:avLst/>
                        </a:prstGeom>
                        <a:solidFill>
                          <a:srgbClr val="1178A2">
                            <a:lumMod val="20000"/>
                            <a:lumOff val="80000"/>
                          </a:srgbClr>
                        </a:solidFill>
                        <a:ln w="9525">
                          <a:noFill/>
                          <a:miter lim="800000"/>
                          <a:headEnd/>
                          <a:tailEnd/>
                        </a:ln>
                      </wps:spPr>
                      <wps:txbx>
                        <w:txbxContent>
                          <w:p w14:paraId="15E879EB" w14:textId="77777777" w:rsidR="00F70157" w:rsidRPr="004F4936" w:rsidRDefault="00F70157" w:rsidP="00F0189B">
                            <w:pPr>
                              <w:spacing w:after="60"/>
                              <w:rPr>
                                <w:b/>
                              </w:rPr>
                            </w:pPr>
                            <w:r w:rsidRPr="004F4936">
                              <w:rPr>
                                <w:b/>
                              </w:rPr>
                              <w:t>Finding summary</w:t>
                            </w:r>
                          </w:p>
                          <w:p w14:paraId="1299F522" w14:textId="77777777" w:rsidR="00F70157" w:rsidRDefault="00F70157" w:rsidP="00F0189B">
                            <w:r>
                              <w:t xml:space="preserve">The commonly cited aims of public reporting in the literature are to support patient choice, increase consumer literacy, drive provider quality improvement, enhance transparency and promote public trust in the health system.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25pt;margin-top:67.7pt;width:453.5pt;height:64.5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" fillcolor="#c3e9f9" stroked="f">
                <v:textbox>
                  <w:txbxContent>
                    <w:p w14:paraId="15E879EB" w14:textId="77777777" w:rsidR="00F70157" w:rsidRPr="004F4936" w:rsidRDefault="00F70157" w:rsidP="00F0189B">
                      <w:pPr>
                        <w:spacing w:after="60"/>
                        <w:rPr>
                          <w:b/>
                        </w:rPr>
                      </w:pPr>
                      <w:r w:rsidRPr="004F4936">
                        <w:rPr>
                          <w:b/>
                        </w:rPr>
                        <w:t>Finding summary</w:t>
                      </w:r>
                    </w:p>
                    <w:p w14:paraId="1299F522" w14:textId="77777777" w:rsidR="00F70157" w:rsidRDefault="00F70157" w:rsidP="00F0189B">
                      <w:r>
                        <w:t xml:space="preserve">The commonly cited aims of public reporting in the literature are to support patient choice, increase consumer literacy, drive provider quality improvement, enhance transparency and promote public trust in the health system. </w:t>
                      </w:r>
                    </w:p>
                  </w:txbxContent>
                </v:textbox>
                <w10:wrap type="square"/>
              </v:shape>
            </w:pict>
          </mc:Fallback>
        </mc:AlternateContent>
      </w:r>
      <w:r w:rsidR="009A3F7C" w:rsidRPr="00E867F6">
        <w:rPr>
          <w:rFonts w:cs="Arial"/>
        </w:rPr>
        <w:t xml:space="preserve">At a community level, public reporting can not only </w:t>
      </w:r>
      <w:r w:rsidR="009A3F7C">
        <w:rPr>
          <w:rFonts w:cs="Arial"/>
        </w:rPr>
        <w:t>increase knowledge to assist consumers to make</w:t>
      </w:r>
      <w:r w:rsidR="009A3F7C" w:rsidRPr="00E867F6">
        <w:rPr>
          <w:rFonts w:cs="Arial"/>
        </w:rPr>
        <w:t xml:space="preserve"> </w:t>
      </w:r>
      <w:r w:rsidR="009A3F7C">
        <w:rPr>
          <w:rFonts w:cs="Arial"/>
        </w:rPr>
        <w:t xml:space="preserve">informed </w:t>
      </w:r>
      <w:r w:rsidR="009A3F7C" w:rsidRPr="00E867F6">
        <w:rPr>
          <w:rFonts w:cs="Arial"/>
        </w:rPr>
        <w:t>choice</w:t>
      </w:r>
      <w:r w:rsidR="009A3F7C">
        <w:rPr>
          <w:rFonts w:cs="Arial"/>
        </w:rPr>
        <w:t xml:space="preserve">s and motivate </w:t>
      </w:r>
      <w:r w:rsidR="009A3F7C" w:rsidRPr="00D83677">
        <w:rPr>
          <w:rFonts w:cs="Arial"/>
        </w:rPr>
        <w:t xml:space="preserve">provider </w:t>
      </w:r>
      <w:r w:rsidR="009A3F7C">
        <w:rPr>
          <w:rFonts w:cs="Arial"/>
        </w:rPr>
        <w:t>performance</w:t>
      </w:r>
      <w:r w:rsidR="009A3F7C" w:rsidRPr="00D83677">
        <w:rPr>
          <w:rFonts w:cs="Arial"/>
        </w:rPr>
        <w:t xml:space="preserve"> improvement</w:t>
      </w:r>
      <w:r w:rsidR="009A3F7C">
        <w:rPr>
          <w:rFonts w:cs="Arial"/>
        </w:rPr>
        <w:t>, it can</w:t>
      </w:r>
      <w:r w:rsidR="009A3F7C" w:rsidRPr="00E867F6">
        <w:rPr>
          <w:rFonts w:cs="Arial"/>
        </w:rPr>
        <w:t xml:space="preserve"> also serve to improve overall community </w:t>
      </w:r>
      <w:r w:rsidR="009A3F7C">
        <w:rPr>
          <w:rFonts w:cs="Arial"/>
        </w:rPr>
        <w:t xml:space="preserve">quality and safety </w:t>
      </w:r>
      <w:r w:rsidR="009A3F7C" w:rsidRPr="00E867F6">
        <w:rPr>
          <w:rFonts w:cs="Arial"/>
        </w:rPr>
        <w:t>health literacy</w:t>
      </w:r>
      <w:r w:rsidR="009A3F7C">
        <w:rPr>
          <w:rFonts w:cs="Arial"/>
        </w:rPr>
        <w:t xml:space="preserve"> </w:t>
      </w:r>
      <w:r w:rsidR="009A3F7C" w:rsidRPr="00E867F6">
        <w:rPr>
          <w:rFonts w:cs="Arial"/>
        </w:rPr>
        <w:t>through the open and transparent disclosure of health system performance information.</w:t>
      </w:r>
      <w:r w:rsidR="009A3F7C" w:rsidRPr="00E867F6">
        <w:rPr>
          <w:rFonts w:cs="Arial"/>
          <w:sz w:val="20"/>
          <w:vertAlign w:val="superscript"/>
        </w:rPr>
        <w:endnoteReference w:id="11"/>
      </w:r>
      <w:r w:rsidR="009A3F7C" w:rsidRPr="00E867F6">
        <w:rPr>
          <w:rFonts w:cs="Arial"/>
          <w:sz w:val="20"/>
          <w:vertAlign w:val="superscript"/>
        </w:rPr>
        <w:t xml:space="preserve"> </w:t>
      </w:r>
      <w:r w:rsidR="009A3F7C" w:rsidRPr="00E867F6">
        <w:rPr>
          <w:rFonts w:cs="Arial"/>
        </w:rPr>
        <w:t xml:space="preserve"> </w:t>
      </w:r>
    </w:p>
    <w:p w14:paraId="53B01FF8" w14:textId="0F38B8A7" w:rsidR="009A3F7C" w:rsidRPr="00E867F6" w:rsidRDefault="009A3F7C" w:rsidP="00EC6478">
      <w:pPr>
        <w:pStyle w:val="Heading2"/>
      </w:pPr>
      <w:bookmarkStart w:id="25" w:name="_Toc3195086"/>
      <w:r w:rsidRPr="00E867F6">
        <w:lastRenderedPageBreak/>
        <w:t xml:space="preserve">How public reporting </w:t>
      </w:r>
      <w:r>
        <w:t xml:space="preserve">can </w:t>
      </w:r>
      <w:r w:rsidRPr="00E867F6">
        <w:t xml:space="preserve">achieve </w:t>
      </w:r>
      <w:r>
        <w:t>its</w:t>
      </w:r>
      <w:r w:rsidRPr="00E867F6">
        <w:t xml:space="preserve"> aims</w:t>
      </w:r>
      <w:bookmarkEnd w:id="25"/>
    </w:p>
    <w:p w14:paraId="5CF0C3DF" w14:textId="59D7AA20" w:rsidR="00D43039" w:rsidRDefault="002946D0" w:rsidP="00FA7C47">
      <w:pPr>
        <w:pStyle w:val="Heading3"/>
      </w:pPr>
      <w:r>
        <w:t>P</w:t>
      </w:r>
      <w:r w:rsidR="00D43039">
        <w:t>ublic repo</w:t>
      </w:r>
      <w:r>
        <w:t>rting in health</w:t>
      </w:r>
      <w:r w:rsidR="00D43039">
        <w:t>care</w:t>
      </w:r>
      <w:r>
        <w:t xml:space="preserve"> quality improvement </w:t>
      </w:r>
    </w:p>
    <w:p w14:paraId="26C75073" w14:textId="210989D0" w:rsidR="009A3F7C" w:rsidRPr="00E867F6" w:rsidRDefault="009A3F7C" w:rsidP="008F38F1">
      <w:pPr>
        <w:pStyle w:val="BodyText"/>
      </w:pPr>
      <w:r w:rsidRPr="00E867F6">
        <w:t xml:space="preserve">In broad terms, the benefits of public reporting have been categorised into two areas. These were outlined by Berwick </w:t>
      </w:r>
      <w:r>
        <w:t>et al</w:t>
      </w:r>
      <w:r w:rsidR="002C0DF5">
        <w:t>.</w:t>
      </w:r>
      <w:r w:rsidRPr="00E867F6">
        <w:t xml:space="preserve"> (2003) and form a fundamental basis for much of the literature outlining the ways in which public reporting can lead to ongoing quality improvement in the healthcare setting. </w:t>
      </w:r>
      <w:r w:rsidRPr="00E867F6">
        <w:rPr>
          <w:rFonts w:ascii="Arial" w:hAnsi="Arial"/>
          <w:vertAlign w:val="superscript"/>
        </w:rPr>
        <w:endnoteReference w:id="12"/>
      </w:r>
      <w:r w:rsidRPr="00E867F6">
        <w:t xml:space="preserve"> </w:t>
      </w:r>
      <w:r w:rsidRPr="00E867F6">
        <w:rPr>
          <w:rFonts w:ascii="Arial" w:hAnsi="Arial"/>
          <w:vertAlign w:val="superscript"/>
        </w:rPr>
        <w:endnoteReference w:id="13"/>
      </w:r>
      <w:r w:rsidRPr="00E867F6">
        <w:t xml:space="preserve"> </w:t>
      </w:r>
      <w:r w:rsidRPr="00E867F6">
        <w:rPr>
          <w:rFonts w:ascii="Arial" w:hAnsi="Arial"/>
          <w:vertAlign w:val="superscript"/>
        </w:rPr>
        <w:endnoteReference w:id="14"/>
      </w:r>
      <w:r w:rsidRPr="00E867F6">
        <w:t xml:space="preserve"> </w:t>
      </w:r>
    </w:p>
    <w:p w14:paraId="47662012" w14:textId="2E9A46BB" w:rsidR="009A3F7C" w:rsidRPr="00E867F6" w:rsidRDefault="009A3F7C" w:rsidP="008F38F1">
      <w:pPr>
        <w:pStyle w:val="Bodytextkeepwithnext"/>
      </w:pPr>
      <w:r w:rsidRPr="00E867F6">
        <w:t xml:space="preserve">The </w:t>
      </w:r>
      <w:r>
        <w:t xml:space="preserve">improvements </w:t>
      </w:r>
      <w:r w:rsidRPr="00E867F6">
        <w:t>are</w:t>
      </w:r>
      <w:r>
        <w:t xml:space="preserve"> gained through</w:t>
      </w:r>
      <w:r w:rsidRPr="00E867F6">
        <w:t>:</w:t>
      </w:r>
    </w:p>
    <w:p w14:paraId="33E939A4" w14:textId="3D1D9ED7" w:rsidR="009A3F7C" w:rsidRPr="00E867F6" w:rsidRDefault="009A3F7C" w:rsidP="008F38F1">
      <w:pPr>
        <w:pStyle w:val="ListBullet"/>
        <w:rPr>
          <w:rFonts w:eastAsia="Calibri"/>
          <w:lang w:eastAsia="en-US"/>
        </w:rPr>
      </w:pPr>
      <w:r>
        <w:rPr>
          <w:rFonts w:eastAsia="Calibri"/>
          <w:lang w:eastAsia="en-US"/>
        </w:rPr>
        <w:t>S</w:t>
      </w:r>
      <w:r w:rsidRPr="00E867F6">
        <w:rPr>
          <w:rFonts w:eastAsia="Calibri"/>
          <w:lang w:eastAsia="en-US"/>
        </w:rPr>
        <w:t>election (consumer empowerment)</w:t>
      </w:r>
      <w:r>
        <w:rPr>
          <w:rFonts w:eastAsia="Calibri"/>
          <w:lang w:eastAsia="en-US"/>
        </w:rPr>
        <w:t>, whereby</w:t>
      </w:r>
      <w:r w:rsidRPr="00E867F6">
        <w:rPr>
          <w:rFonts w:eastAsia="Calibri"/>
          <w:lang w:eastAsia="en-US"/>
        </w:rPr>
        <w:t xml:space="preserve"> public reporting empowers health consumers and other relevant health sector stakeholders </w:t>
      </w:r>
      <w:r>
        <w:rPr>
          <w:rFonts w:eastAsia="Calibri"/>
          <w:lang w:eastAsia="en-US"/>
        </w:rPr>
        <w:t>such as</w:t>
      </w:r>
      <w:r w:rsidRPr="00E867F6">
        <w:rPr>
          <w:rFonts w:eastAsia="Calibri"/>
          <w:lang w:eastAsia="en-US"/>
        </w:rPr>
        <w:t xml:space="preserve"> health insurers to identify and choose services from healthcare organisations that perform better and have better outcomes</w:t>
      </w:r>
    </w:p>
    <w:p w14:paraId="15552006" w14:textId="2B26DDE6" w:rsidR="009A3F7C" w:rsidRPr="00E867F6" w:rsidRDefault="009A3F7C" w:rsidP="008F38F1">
      <w:pPr>
        <w:pStyle w:val="ListBullet"/>
        <w:rPr>
          <w:rFonts w:eastAsia="Calibri"/>
          <w:lang w:eastAsia="en-US"/>
        </w:rPr>
      </w:pPr>
      <w:r>
        <w:rPr>
          <w:rFonts w:eastAsia="Calibri"/>
          <w:lang w:eastAsia="en-US"/>
        </w:rPr>
        <w:t>C</w:t>
      </w:r>
      <w:r w:rsidRPr="00E867F6">
        <w:rPr>
          <w:rFonts w:eastAsia="Calibri"/>
          <w:lang w:eastAsia="en-US"/>
        </w:rPr>
        <w:t>hanges in care (provider quality improvement)</w:t>
      </w:r>
      <w:r>
        <w:rPr>
          <w:rFonts w:eastAsia="Calibri"/>
          <w:lang w:eastAsia="en-US"/>
        </w:rPr>
        <w:t>, whereby</w:t>
      </w:r>
      <w:r w:rsidRPr="00E867F6">
        <w:rPr>
          <w:rFonts w:eastAsia="Calibri"/>
          <w:lang w:eastAsia="en-US"/>
        </w:rPr>
        <w:t xml:space="preserve"> public reporting provides greater visibility of organisational performance, generating momentum within an organisation to drive ongoing quality improvement activities to maintain or enhance its reputation.</w:t>
      </w:r>
      <w:r w:rsidRPr="00E867F6">
        <w:rPr>
          <w:rFonts w:eastAsia="Calibri"/>
          <w:vertAlign w:val="superscript"/>
          <w:lang w:eastAsia="en-US"/>
        </w:rPr>
        <w:endnoteReference w:id="15"/>
      </w:r>
      <w:r w:rsidRPr="00E867F6">
        <w:rPr>
          <w:rFonts w:eastAsia="Calibri"/>
          <w:lang w:eastAsia="en-US"/>
        </w:rPr>
        <w:t xml:space="preserve"> </w:t>
      </w:r>
    </w:p>
    <w:p w14:paraId="7DBA38AE" w14:textId="72E8956F" w:rsidR="009A3F7C" w:rsidRPr="00E867F6" w:rsidRDefault="009A3F7C" w:rsidP="008F38F1">
      <w:pPr>
        <w:pStyle w:val="BodyText"/>
      </w:pPr>
      <w:r>
        <w:t>The</w:t>
      </w:r>
      <w:r w:rsidRPr="00E867F6">
        <w:t xml:space="preserve"> literature </w:t>
      </w:r>
      <w:r>
        <w:t xml:space="preserve">further </w:t>
      </w:r>
      <w:r w:rsidRPr="00E867F6">
        <w:t>identifies ways in which provider quality improvement can be enhanced through public reporting. These include:</w:t>
      </w:r>
    </w:p>
    <w:p w14:paraId="6C1D5562" w14:textId="153B442B" w:rsidR="009A3F7C" w:rsidRPr="00E867F6" w:rsidRDefault="009A3F7C" w:rsidP="008F38F1">
      <w:pPr>
        <w:pStyle w:val="ListBullet"/>
        <w:rPr>
          <w:rFonts w:eastAsia="Calibri"/>
          <w:lang w:eastAsia="en-US"/>
        </w:rPr>
      </w:pPr>
      <w:r w:rsidRPr="00E867F6">
        <w:rPr>
          <w:rFonts w:eastAsia="Calibri"/>
          <w:lang w:eastAsia="en-US"/>
        </w:rPr>
        <w:t>Benchmarking</w:t>
      </w:r>
      <w:r>
        <w:rPr>
          <w:rFonts w:eastAsia="Calibri"/>
          <w:lang w:eastAsia="en-US"/>
        </w:rPr>
        <w:t>, which may</w:t>
      </w:r>
      <w:r w:rsidRPr="00E867F6">
        <w:rPr>
          <w:rFonts w:eastAsia="Calibri"/>
          <w:lang w:eastAsia="en-US"/>
        </w:rPr>
        <w:t xml:space="preserve"> motivat</w:t>
      </w:r>
      <w:r>
        <w:rPr>
          <w:rFonts w:eastAsia="Calibri"/>
          <w:lang w:eastAsia="en-US"/>
        </w:rPr>
        <w:t>e</w:t>
      </w:r>
      <w:r w:rsidRPr="00E867F6">
        <w:rPr>
          <w:rFonts w:eastAsia="Calibri"/>
          <w:lang w:eastAsia="en-US"/>
        </w:rPr>
        <w:t xml:space="preserve"> poor performers to catch up with other providers</w:t>
      </w:r>
    </w:p>
    <w:p w14:paraId="3C617947" w14:textId="3E586A5D" w:rsidR="009A3F7C" w:rsidRPr="00E867F6" w:rsidRDefault="009A3F7C" w:rsidP="008F38F1">
      <w:pPr>
        <w:pStyle w:val="ListBullet"/>
        <w:rPr>
          <w:rFonts w:eastAsia="Calibri"/>
          <w:lang w:eastAsia="en-US"/>
        </w:rPr>
      </w:pPr>
      <w:r w:rsidRPr="00E867F6">
        <w:rPr>
          <w:rFonts w:eastAsia="Calibri"/>
          <w:lang w:eastAsia="en-US"/>
        </w:rPr>
        <w:t xml:space="preserve">Driving high performers to maintain their </w:t>
      </w:r>
      <w:r w:rsidR="0090417B">
        <w:rPr>
          <w:rFonts w:eastAsia="Calibri"/>
          <w:lang w:eastAsia="en-US"/>
        </w:rPr>
        <w:t>‘</w:t>
      </w:r>
      <w:r w:rsidRPr="00E867F6">
        <w:rPr>
          <w:rFonts w:eastAsia="Calibri"/>
          <w:lang w:eastAsia="en-US"/>
        </w:rPr>
        <w:t>good</w:t>
      </w:r>
      <w:r w:rsidR="0090417B">
        <w:rPr>
          <w:rFonts w:eastAsia="Calibri"/>
          <w:lang w:eastAsia="en-US"/>
        </w:rPr>
        <w:t>’</w:t>
      </w:r>
      <w:r w:rsidRPr="00E867F6">
        <w:rPr>
          <w:rFonts w:eastAsia="Calibri"/>
          <w:lang w:eastAsia="en-US"/>
        </w:rPr>
        <w:t xml:space="preserve"> reputation </w:t>
      </w:r>
    </w:p>
    <w:p w14:paraId="02766932" w14:textId="244F8F25" w:rsidR="009A3F7C" w:rsidRPr="00E867F6" w:rsidRDefault="009A3F7C" w:rsidP="008F38F1">
      <w:pPr>
        <w:pStyle w:val="ListBullet"/>
        <w:rPr>
          <w:rFonts w:eastAsia="Calibri"/>
          <w:lang w:eastAsia="en-US"/>
        </w:rPr>
      </w:pPr>
      <w:r w:rsidRPr="00E867F6">
        <w:rPr>
          <w:rFonts w:eastAsia="Calibri"/>
          <w:lang w:eastAsia="en-US"/>
        </w:rPr>
        <w:t>Increasing overall responsiveness of providers.</w:t>
      </w:r>
      <w:r w:rsidRPr="00E867F6">
        <w:rPr>
          <w:rFonts w:eastAsia="Calibri"/>
          <w:vertAlign w:val="superscript"/>
          <w:lang w:eastAsia="en-US"/>
        </w:rPr>
        <w:endnoteReference w:id="16"/>
      </w:r>
    </w:p>
    <w:p w14:paraId="13AE52D2" w14:textId="219DF71D" w:rsidR="009A3F7C" w:rsidRPr="00E867F6" w:rsidRDefault="009A3F7C" w:rsidP="00FA7C47">
      <w:pPr>
        <w:pStyle w:val="Heading3"/>
      </w:pPr>
      <w:r w:rsidRPr="00E867F6">
        <w:t>Structure and extent of public reporti</w:t>
      </w:r>
      <w:r w:rsidR="00FA7C47">
        <w:t>ng</w:t>
      </w:r>
    </w:p>
    <w:p w14:paraId="21AC09DA" w14:textId="70C8864F" w:rsidR="009A3F7C" w:rsidRPr="00E867F6" w:rsidRDefault="009A3F7C" w:rsidP="008F38F1">
      <w:pPr>
        <w:pStyle w:val="BodyText"/>
      </w:pPr>
      <w:r w:rsidRPr="00E867F6">
        <w:t xml:space="preserve">As the </w:t>
      </w:r>
      <w:r>
        <w:t>interest</w:t>
      </w:r>
      <w:r w:rsidRPr="00E867F6">
        <w:t xml:space="preserve"> </w:t>
      </w:r>
      <w:r>
        <w:t>in</w:t>
      </w:r>
      <w:r w:rsidRPr="00E867F6">
        <w:t xml:space="preserve"> public reporting has grown, a variety of mechanisms to present this information have been developed and used. These mechanisms vary </w:t>
      </w:r>
      <w:r>
        <w:t xml:space="preserve">depending on their specific purpose, being </w:t>
      </w:r>
      <w:r w:rsidRPr="00E867F6">
        <w:t>a product of their specific health system context and policy setting.</w:t>
      </w:r>
      <w:r w:rsidRPr="00E867F6">
        <w:rPr>
          <w:rFonts w:ascii="Arial" w:hAnsi="Arial"/>
          <w:vertAlign w:val="superscript"/>
        </w:rPr>
        <w:endnoteReference w:id="17"/>
      </w:r>
      <w:r w:rsidRPr="00E867F6">
        <w:t xml:space="preserve"> The overarching policy context (including funding and governance of the health system) has a direct bearing on the type of information that is publicly reported. </w:t>
      </w:r>
    </w:p>
    <w:p w14:paraId="6002A638" w14:textId="6CA3559B" w:rsidR="009A3F7C" w:rsidRPr="00E867F6" w:rsidRDefault="009A3F7C" w:rsidP="00EB67AA">
      <w:pPr>
        <w:pStyle w:val="BodyText"/>
        <w:rPr>
          <w:rFonts w:eastAsia="Calibri"/>
          <w:lang w:eastAsia="en-US"/>
        </w:rPr>
      </w:pPr>
      <w:r w:rsidRPr="00E867F6">
        <w:rPr>
          <w:rFonts w:eastAsia="Calibri"/>
          <w:lang w:eastAsia="en-US"/>
        </w:rPr>
        <w:t>Public reporting varies in extent and scope. It can be</w:t>
      </w:r>
      <w:r>
        <w:rPr>
          <w:rFonts w:eastAsia="Calibri"/>
          <w:lang w:eastAsia="en-US"/>
        </w:rPr>
        <w:t xml:space="preserve"> narrow in scope and</w:t>
      </w:r>
      <w:r w:rsidRPr="00E867F6">
        <w:rPr>
          <w:rFonts w:eastAsia="Calibri"/>
          <w:lang w:eastAsia="en-US"/>
        </w:rPr>
        <w:t xml:space="preserve"> focused on a single condition or procedure (</w:t>
      </w:r>
      <w:r>
        <w:rPr>
          <w:rFonts w:eastAsia="Calibri"/>
          <w:lang w:eastAsia="en-US"/>
        </w:rPr>
        <w:t>for example, to inform waiting times only</w:t>
      </w:r>
      <w:r w:rsidRPr="00E867F6">
        <w:rPr>
          <w:rFonts w:eastAsia="Calibri"/>
          <w:lang w:eastAsia="en-US"/>
        </w:rPr>
        <w:t>) or can be much broader</w:t>
      </w:r>
      <w:r>
        <w:rPr>
          <w:rFonts w:eastAsia="Calibri"/>
          <w:lang w:eastAsia="en-US"/>
        </w:rPr>
        <w:t xml:space="preserve"> systems with</w:t>
      </w:r>
      <w:r w:rsidRPr="00EB67AA">
        <w:rPr>
          <w:rFonts w:eastAsia="Calibri"/>
          <w:lang w:eastAsia="en-US"/>
        </w:rPr>
        <w:t xml:space="preserve"> detailed information</w:t>
      </w:r>
      <w:r>
        <w:rPr>
          <w:rFonts w:eastAsia="Calibri"/>
          <w:lang w:eastAsia="en-US"/>
        </w:rPr>
        <w:t xml:space="preserve"> </w:t>
      </w:r>
      <w:r w:rsidRPr="00EB67AA">
        <w:rPr>
          <w:rFonts w:eastAsia="Calibri"/>
          <w:lang w:eastAsia="en-US"/>
        </w:rPr>
        <w:t>on provider quality</w:t>
      </w:r>
      <w:r>
        <w:rPr>
          <w:rFonts w:eastAsia="Calibri"/>
          <w:lang w:eastAsia="en-US"/>
        </w:rPr>
        <w:t xml:space="preserve">, </w:t>
      </w:r>
      <w:r w:rsidRPr="00E867F6">
        <w:rPr>
          <w:rFonts w:eastAsia="Calibri"/>
          <w:lang w:eastAsia="en-US"/>
        </w:rPr>
        <w:t>covering multiple conditions</w:t>
      </w:r>
      <w:r>
        <w:rPr>
          <w:rFonts w:eastAsia="Calibri"/>
          <w:lang w:eastAsia="en-US"/>
        </w:rPr>
        <w:t xml:space="preserve"> or </w:t>
      </w:r>
      <w:r w:rsidRPr="00E867F6">
        <w:rPr>
          <w:rFonts w:eastAsia="Calibri"/>
          <w:lang w:eastAsia="en-US"/>
        </w:rPr>
        <w:t>procedures and overall outcomes.</w:t>
      </w:r>
      <w:r w:rsidRPr="00E867F6">
        <w:rPr>
          <w:rStyle w:val="EndnoteReference"/>
          <w:rFonts w:eastAsia="Calibri" w:cs="Arial"/>
          <w:lang w:eastAsia="en-US"/>
        </w:rPr>
        <w:endnoteReference w:id="18"/>
      </w:r>
      <w:r w:rsidRPr="00E867F6">
        <w:rPr>
          <w:rFonts w:eastAsia="Calibri"/>
          <w:lang w:eastAsia="en-US"/>
        </w:rPr>
        <w:t xml:space="preserve"> </w:t>
      </w:r>
      <w:r w:rsidRPr="00E867F6">
        <w:rPr>
          <w:rStyle w:val="EndnoteReference"/>
          <w:rFonts w:eastAsia="Calibri" w:cs="Arial"/>
          <w:lang w:eastAsia="en-US"/>
        </w:rPr>
        <w:endnoteReference w:id="19"/>
      </w:r>
      <w:r w:rsidRPr="00E867F6">
        <w:rPr>
          <w:rFonts w:eastAsia="Calibri"/>
          <w:lang w:eastAsia="en-US"/>
        </w:rPr>
        <w:t xml:space="preserve"> In practice, this ranges from basic information on select indicators, to detailed information on a range of performance and quality of care indicators at an individual provider level (</w:t>
      </w:r>
      <w:r>
        <w:rPr>
          <w:rFonts w:eastAsia="Calibri"/>
          <w:lang w:eastAsia="en-US"/>
        </w:rPr>
        <w:t>for example</w:t>
      </w:r>
      <w:r w:rsidRPr="00E867F6">
        <w:rPr>
          <w:rFonts w:eastAsia="Calibri"/>
          <w:lang w:eastAsia="en-US"/>
        </w:rPr>
        <w:t xml:space="preserve"> the </w:t>
      </w:r>
      <w:proofErr w:type="spellStart"/>
      <w:r w:rsidRPr="00E867F6">
        <w:rPr>
          <w:rFonts w:eastAsia="Calibri"/>
          <w:lang w:eastAsia="en-US"/>
        </w:rPr>
        <w:t>Weisse</w:t>
      </w:r>
      <w:proofErr w:type="spellEnd"/>
      <w:r w:rsidRPr="00E867F6">
        <w:rPr>
          <w:rFonts w:eastAsia="Calibri"/>
          <w:lang w:eastAsia="en-US"/>
        </w:rPr>
        <w:t xml:space="preserve"> List in Germany, Hospi</w:t>
      </w:r>
      <w:r w:rsidR="004F4936">
        <w:rPr>
          <w:rFonts w:eastAsia="Calibri"/>
          <w:lang w:eastAsia="en-US"/>
        </w:rPr>
        <w:t>tal Compare in the USA</w:t>
      </w:r>
      <w:r w:rsidRPr="00E867F6">
        <w:rPr>
          <w:rFonts w:eastAsia="Calibri"/>
          <w:lang w:eastAsia="en-US"/>
        </w:rPr>
        <w:t xml:space="preserve"> and </w:t>
      </w:r>
      <w:proofErr w:type="spellStart"/>
      <w:r w:rsidRPr="00E867F6">
        <w:rPr>
          <w:rFonts w:eastAsia="Calibri"/>
          <w:lang w:eastAsia="en-US"/>
        </w:rPr>
        <w:t>Sundhedskvalitet</w:t>
      </w:r>
      <w:proofErr w:type="spellEnd"/>
      <w:r w:rsidRPr="00E867F6">
        <w:rPr>
          <w:rFonts w:eastAsia="Calibri"/>
          <w:lang w:eastAsia="en-US"/>
        </w:rPr>
        <w:t xml:space="preserve"> in Denmark)</w:t>
      </w:r>
      <w:r w:rsidR="0045524C">
        <w:rPr>
          <w:rFonts w:eastAsia="Calibri"/>
          <w:lang w:eastAsia="en-US"/>
        </w:rPr>
        <w:t xml:space="preserve"> </w:t>
      </w:r>
      <w:r w:rsidRPr="00E867F6">
        <w:rPr>
          <w:rStyle w:val="EndnoteReference"/>
          <w:rFonts w:eastAsia="Calibri" w:cs="Arial"/>
          <w:lang w:eastAsia="en-US"/>
        </w:rPr>
        <w:endnoteReference w:id="20"/>
      </w:r>
      <w:r w:rsidRPr="00E867F6">
        <w:rPr>
          <w:rFonts w:eastAsia="Calibri"/>
          <w:lang w:eastAsia="en-US"/>
        </w:rPr>
        <w:t>.</w:t>
      </w:r>
    </w:p>
    <w:p w14:paraId="30D16480" w14:textId="1BBFD181" w:rsidR="00EC6478" w:rsidRPr="00F0189B" w:rsidRDefault="009A3F7C" w:rsidP="00C761BC">
      <w:pPr>
        <w:pStyle w:val="BodyText"/>
        <w:spacing w:after="240"/>
        <w:rPr>
          <w:rFonts w:eastAsia="Calibri"/>
          <w:lang w:eastAsia="en-US"/>
        </w:rPr>
      </w:pPr>
      <w:proofErr w:type="spellStart"/>
      <w:r w:rsidRPr="00E867F6">
        <w:rPr>
          <w:rFonts w:eastAsia="Calibri"/>
          <w:lang w:eastAsia="en-US"/>
        </w:rPr>
        <w:t>Kumpunen</w:t>
      </w:r>
      <w:proofErr w:type="spellEnd"/>
      <w:r w:rsidRPr="00E867F6">
        <w:rPr>
          <w:rFonts w:eastAsia="Calibri"/>
          <w:lang w:eastAsia="en-US"/>
        </w:rPr>
        <w:t xml:space="preserve"> </w:t>
      </w:r>
      <w:r>
        <w:rPr>
          <w:rFonts w:eastAsia="Calibri"/>
          <w:lang w:eastAsia="en-US"/>
        </w:rPr>
        <w:t>et al</w:t>
      </w:r>
      <w:r w:rsidRPr="00E867F6">
        <w:rPr>
          <w:rFonts w:eastAsia="Calibri"/>
          <w:lang w:eastAsia="en-US"/>
        </w:rPr>
        <w:t xml:space="preserve"> identif</w:t>
      </w:r>
      <w:r>
        <w:rPr>
          <w:rFonts w:eastAsia="Calibri"/>
          <w:lang w:eastAsia="en-US"/>
        </w:rPr>
        <w:t>ied</w:t>
      </w:r>
      <w:r w:rsidRPr="00E867F6">
        <w:rPr>
          <w:rFonts w:eastAsia="Calibri"/>
          <w:lang w:eastAsia="en-US"/>
        </w:rPr>
        <w:t xml:space="preserve"> three categories of information from which public reporting information is derived</w:t>
      </w:r>
      <w:r>
        <w:rPr>
          <w:rFonts w:eastAsia="Calibri"/>
          <w:lang w:eastAsia="en-US"/>
        </w:rPr>
        <w:t>: administrative, surveillance and bespoke</w:t>
      </w:r>
      <w:r w:rsidR="00E70A77">
        <w:rPr>
          <w:rFonts w:eastAsia="Calibri"/>
          <w:lang w:eastAsia="en-US"/>
        </w:rPr>
        <w:t xml:space="preserve">. </w:t>
      </w:r>
      <w:r w:rsidR="000D7FCA">
        <w:rPr>
          <w:rFonts w:eastAsia="Calibri"/>
          <w:lang w:eastAsia="en-US"/>
        </w:rPr>
        <w:t xml:space="preserve">Examples for the types of data used to generate public reporting information within each category are at </w:t>
      </w:r>
      <w:bookmarkStart w:id="26" w:name="_Ref514413520"/>
      <w:r w:rsidR="00C761BC">
        <w:rPr>
          <w:rFonts w:eastAsia="Calibri"/>
          <w:lang w:eastAsia="en-US"/>
        </w:rPr>
        <w:t xml:space="preserve">Table 1. </w:t>
      </w:r>
    </w:p>
    <w:p w14:paraId="496B1B34" w14:textId="61F21E2E" w:rsidR="009A3F7C" w:rsidRPr="001427F9" w:rsidRDefault="009A3F7C" w:rsidP="00F95C6C">
      <w:pPr>
        <w:pStyle w:val="Caption"/>
        <w:rPr>
          <w:b/>
          <w:i w:val="0"/>
          <w:sz w:val="22"/>
          <w:szCs w:val="22"/>
        </w:rPr>
      </w:pPr>
      <w:r w:rsidRPr="001427F9">
        <w:rPr>
          <w:b/>
          <w:i w:val="0"/>
          <w:sz w:val="22"/>
          <w:szCs w:val="22"/>
        </w:rPr>
        <w:t xml:space="preserve">Table </w:t>
      </w:r>
      <w:r w:rsidR="009F3195" w:rsidRPr="001427F9">
        <w:rPr>
          <w:b/>
          <w:i w:val="0"/>
          <w:sz w:val="22"/>
          <w:szCs w:val="22"/>
        </w:rPr>
        <w:fldChar w:fldCharType="begin"/>
      </w:r>
      <w:r w:rsidR="009F3195" w:rsidRPr="001427F9">
        <w:rPr>
          <w:b/>
          <w:i w:val="0"/>
          <w:sz w:val="22"/>
          <w:szCs w:val="22"/>
        </w:rPr>
        <w:instrText xml:space="preserve"> SEQ Table \* ARABIC </w:instrText>
      </w:r>
      <w:r w:rsidR="009F3195" w:rsidRPr="001427F9">
        <w:rPr>
          <w:b/>
          <w:i w:val="0"/>
          <w:sz w:val="22"/>
          <w:szCs w:val="22"/>
        </w:rPr>
        <w:fldChar w:fldCharType="separate"/>
      </w:r>
      <w:r w:rsidR="00F70157">
        <w:rPr>
          <w:b/>
          <w:i w:val="0"/>
          <w:noProof/>
          <w:sz w:val="22"/>
          <w:szCs w:val="22"/>
        </w:rPr>
        <w:t>1</w:t>
      </w:r>
      <w:r w:rsidR="009F3195" w:rsidRPr="001427F9">
        <w:rPr>
          <w:b/>
          <w:i w:val="0"/>
          <w:sz w:val="22"/>
          <w:szCs w:val="22"/>
        </w:rPr>
        <w:fldChar w:fldCharType="end"/>
      </w:r>
      <w:bookmarkEnd w:id="26"/>
      <w:r w:rsidR="004F4936" w:rsidRPr="001427F9">
        <w:rPr>
          <w:b/>
          <w:i w:val="0"/>
          <w:sz w:val="22"/>
          <w:szCs w:val="22"/>
        </w:rPr>
        <w:t>:</w:t>
      </w:r>
      <w:r w:rsidRPr="001427F9">
        <w:rPr>
          <w:b/>
          <w:i w:val="0"/>
          <w:sz w:val="22"/>
          <w:szCs w:val="22"/>
        </w:rPr>
        <w:t xml:space="preserve"> Types of data used in generating public reporting information</w:t>
      </w:r>
      <w:r w:rsidR="00C761BC" w:rsidRPr="00C761BC">
        <w:rPr>
          <w:rStyle w:val="EndnoteReference"/>
          <w:rFonts w:cs="Arial"/>
          <w:i w:val="0"/>
        </w:rPr>
        <w:endnoteReference w:id="21"/>
      </w:r>
    </w:p>
    <w:tbl>
      <w:tblPr>
        <w:tblStyle w:val="LightList-Accent2"/>
        <w:tblW w:w="0" w:type="auto"/>
        <w:tblLook w:val="04A0" w:firstRow="1" w:lastRow="0" w:firstColumn="1" w:lastColumn="0" w:noHBand="0" w:noVBand="1"/>
      </w:tblPr>
      <w:tblGrid>
        <w:gridCol w:w="3005"/>
        <w:gridCol w:w="3005"/>
        <w:gridCol w:w="3006"/>
      </w:tblGrid>
      <w:tr w:rsidR="009A3F7C" w:rsidRPr="00E867F6" w14:paraId="222E494C" w14:textId="77777777" w:rsidTr="004F49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2CFF74DB" w14:textId="77777777" w:rsidR="009A3F7C" w:rsidRPr="00E867F6" w:rsidRDefault="009A3F7C" w:rsidP="004F4936">
            <w:pPr>
              <w:pStyle w:val="Tableheading"/>
              <w:contextualSpacing w:val="0"/>
              <w:rPr>
                <w:b/>
              </w:rPr>
            </w:pPr>
            <w:r w:rsidRPr="00E867F6">
              <w:rPr>
                <w:b/>
              </w:rPr>
              <w:t>Administrative</w:t>
            </w:r>
          </w:p>
        </w:tc>
        <w:tc>
          <w:tcPr>
            <w:tcW w:w="3005" w:type="dxa"/>
            <w:vAlign w:val="center"/>
          </w:tcPr>
          <w:p w14:paraId="5F32BCAA" w14:textId="77777777" w:rsidR="009A3F7C" w:rsidRPr="00E867F6" w:rsidRDefault="009A3F7C" w:rsidP="004F4936">
            <w:pPr>
              <w:pStyle w:val="Tableheading"/>
              <w:contextualSpacing w:val="0"/>
              <w:cnfStyle w:val="100000000000" w:firstRow="1" w:lastRow="0" w:firstColumn="0" w:lastColumn="0" w:oddVBand="0" w:evenVBand="0" w:oddHBand="0" w:evenHBand="0" w:firstRowFirstColumn="0" w:firstRowLastColumn="0" w:lastRowFirstColumn="0" w:lastRowLastColumn="0"/>
              <w:rPr>
                <w:b/>
              </w:rPr>
            </w:pPr>
            <w:r w:rsidRPr="00E867F6">
              <w:rPr>
                <w:b/>
              </w:rPr>
              <w:t>Surveillance</w:t>
            </w:r>
          </w:p>
        </w:tc>
        <w:tc>
          <w:tcPr>
            <w:tcW w:w="3006" w:type="dxa"/>
            <w:vAlign w:val="center"/>
          </w:tcPr>
          <w:p w14:paraId="387CAE0F" w14:textId="77777777" w:rsidR="009A3F7C" w:rsidRPr="00E867F6" w:rsidRDefault="009A3F7C" w:rsidP="004F4936">
            <w:pPr>
              <w:pStyle w:val="Tableheading"/>
              <w:contextualSpacing w:val="0"/>
              <w:cnfStyle w:val="100000000000" w:firstRow="1" w:lastRow="0" w:firstColumn="0" w:lastColumn="0" w:oddVBand="0" w:evenVBand="0" w:oddHBand="0" w:evenHBand="0" w:firstRowFirstColumn="0" w:firstRowLastColumn="0" w:lastRowFirstColumn="0" w:lastRowLastColumn="0"/>
              <w:rPr>
                <w:b/>
              </w:rPr>
            </w:pPr>
            <w:r w:rsidRPr="00E867F6">
              <w:rPr>
                <w:b/>
              </w:rPr>
              <w:t>Bespoke</w:t>
            </w:r>
          </w:p>
        </w:tc>
      </w:tr>
      <w:tr w:rsidR="009A3F7C" w:rsidRPr="00E867F6" w14:paraId="454662B5" w14:textId="77777777" w:rsidTr="00904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4BEA5E6" w14:textId="77777777" w:rsidR="009A3F7C" w:rsidRPr="00E867F6" w:rsidRDefault="009A3F7C" w:rsidP="008F38F1">
            <w:pPr>
              <w:pStyle w:val="Tablebullet1"/>
              <w:rPr>
                <w:b w:val="0"/>
              </w:rPr>
            </w:pPr>
            <w:r w:rsidRPr="00E867F6">
              <w:rPr>
                <w:b w:val="0"/>
              </w:rPr>
              <w:t>Hospital records and activity</w:t>
            </w:r>
          </w:p>
          <w:p w14:paraId="00EF58BA" w14:textId="77777777" w:rsidR="009A3F7C" w:rsidRPr="00E867F6" w:rsidRDefault="009A3F7C" w:rsidP="008F38F1">
            <w:pPr>
              <w:pStyle w:val="Tablebullet1"/>
              <w:rPr>
                <w:b w:val="0"/>
              </w:rPr>
            </w:pPr>
            <w:r w:rsidRPr="00E867F6">
              <w:rPr>
                <w:b w:val="0"/>
              </w:rPr>
              <w:t>General practice patient records</w:t>
            </w:r>
          </w:p>
          <w:p w14:paraId="792B87D2" w14:textId="77777777" w:rsidR="009A3F7C" w:rsidRPr="00E867F6" w:rsidRDefault="009A3F7C" w:rsidP="008F38F1">
            <w:pPr>
              <w:pStyle w:val="Tablebullet1"/>
            </w:pPr>
            <w:r w:rsidRPr="00E867F6">
              <w:rPr>
                <w:b w:val="0"/>
              </w:rPr>
              <w:t>Insurance records</w:t>
            </w:r>
          </w:p>
        </w:tc>
        <w:tc>
          <w:tcPr>
            <w:tcW w:w="3005" w:type="dxa"/>
          </w:tcPr>
          <w:p w14:paraId="16068299" w14:textId="77777777" w:rsidR="009A3F7C" w:rsidRPr="00E867F6" w:rsidRDefault="009A3F7C" w:rsidP="008F38F1">
            <w:pPr>
              <w:pStyle w:val="Tablebullet1"/>
              <w:cnfStyle w:val="000000100000" w:firstRow="0" w:lastRow="0" w:firstColumn="0" w:lastColumn="0" w:oddVBand="0" w:evenVBand="0" w:oddHBand="1" w:evenHBand="0" w:firstRowFirstColumn="0" w:firstRowLastColumn="0" w:lastRowFirstColumn="0" w:lastRowLastColumn="0"/>
            </w:pPr>
            <w:r w:rsidRPr="00E867F6">
              <w:t>Clinical registers</w:t>
            </w:r>
          </w:p>
          <w:p w14:paraId="12CCD79D" w14:textId="77777777" w:rsidR="009A3F7C" w:rsidRPr="00E867F6" w:rsidRDefault="009A3F7C" w:rsidP="008F38F1">
            <w:pPr>
              <w:pStyle w:val="Tablebullet1"/>
              <w:cnfStyle w:val="000000100000" w:firstRow="0" w:lastRow="0" w:firstColumn="0" w:lastColumn="0" w:oddVBand="0" w:evenVBand="0" w:oddHBand="1" w:evenHBand="0" w:firstRowFirstColumn="0" w:firstRowLastColumn="0" w:lastRowFirstColumn="0" w:lastRowLastColumn="0"/>
            </w:pPr>
            <w:r w:rsidRPr="00E867F6">
              <w:t>Assessment instruments</w:t>
            </w:r>
          </w:p>
          <w:p w14:paraId="57786612" w14:textId="77777777" w:rsidR="009A3F7C" w:rsidRPr="00E867F6" w:rsidRDefault="009A3F7C" w:rsidP="008F38F1">
            <w:pPr>
              <w:pStyle w:val="Tablebullet1"/>
              <w:cnfStyle w:val="000000100000" w:firstRow="0" w:lastRow="0" w:firstColumn="0" w:lastColumn="0" w:oddVBand="0" w:evenVBand="0" w:oddHBand="1" w:evenHBand="0" w:firstRowFirstColumn="0" w:firstRowLastColumn="0" w:lastRowFirstColumn="0" w:lastRowLastColumn="0"/>
            </w:pPr>
            <w:r w:rsidRPr="00E867F6">
              <w:t>Screening data</w:t>
            </w:r>
          </w:p>
          <w:p w14:paraId="40F097AE" w14:textId="77777777" w:rsidR="009A3F7C" w:rsidRPr="00E867F6" w:rsidRDefault="009A3F7C" w:rsidP="008F38F1">
            <w:pPr>
              <w:pStyle w:val="Tablebullet1"/>
              <w:cnfStyle w:val="000000100000" w:firstRow="0" w:lastRow="0" w:firstColumn="0" w:lastColumn="0" w:oddVBand="0" w:evenVBand="0" w:oddHBand="1" w:evenHBand="0" w:firstRowFirstColumn="0" w:firstRowLastColumn="0" w:lastRowFirstColumn="0" w:lastRowLastColumn="0"/>
            </w:pPr>
            <w:r w:rsidRPr="00E867F6">
              <w:t>Immunisation coverage</w:t>
            </w:r>
          </w:p>
          <w:p w14:paraId="68F7D190" w14:textId="77777777" w:rsidR="009A3F7C" w:rsidRPr="00E867F6" w:rsidRDefault="009A3F7C" w:rsidP="008F38F1">
            <w:pPr>
              <w:pStyle w:val="Tablebullet1"/>
              <w:cnfStyle w:val="000000100000" w:firstRow="0" w:lastRow="0" w:firstColumn="0" w:lastColumn="0" w:oddVBand="0" w:evenVBand="0" w:oddHBand="1" w:evenHBand="0" w:firstRowFirstColumn="0" w:firstRowLastColumn="0" w:lastRowFirstColumn="0" w:lastRowLastColumn="0"/>
            </w:pPr>
            <w:r w:rsidRPr="00E867F6">
              <w:t>Waiting times</w:t>
            </w:r>
          </w:p>
          <w:p w14:paraId="062F7BF9" w14:textId="77777777" w:rsidR="009A3F7C" w:rsidRPr="00E867F6" w:rsidRDefault="009A3F7C" w:rsidP="008F38F1">
            <w:pPr>
              <w:pStyle w:val="Tablebullet1"/>
              <w:cnfStyle w:val="000000100000" w:firstRow="0" w:lastRow="0" w:firstColumn="0" w:lastColumn="0" w:oddVBand="0" w:evenVBand="0" w:oddHBand="1" w:evenHBand="0" w:firstRowFirstColumn="0" w:firstRowLastColumn="0" w:lastRowFirstColumn="0" w:lastRowLastColumn="0"/>
            </w:pPr>
            <w:r w:rsidRPr="00E867F6">
              <w:t>Delayed transfers of care</w:t>
            </w:r>
          </w:p>
        </w:tc>
        <w:tc>
          <w:tcPr>
            <w:tcW w:w="3006" w:type="dxa"/>
          </w:tcPr>
          <w:p w14:paraId="66B3C031" w14:textId="77777777" w:rsidR="009A3F7C" w:rsidRPr="00E867F6" w:rsidRDefault="009A3F7C" w:rsidP="008F38F1">
            <w:pPr>
              <w:pStyle w:val="Tablebullet1"/>
              <w:cnfStyle w:val="000000100000" w:firstRow="0" w:lastRow="0" w:firstColumn="0" w:lastColumn="0" w:oddVBand="0" w:evenVBand="0" w:oddHBand="1" w:evenHBand="0" w:firstRowFirstColumn="0" w:firstRowLastColumn="0" w:lastRowFirstColumn="0" w:lastRowLastColumn="0"/>
            </w:pPr>
            <w:r w:rsidRPr="00E867F6">
              <w:t>Inspections</w:t>
            </w:r>
          </w:p>
          <w:p w14:paraId="18E1159C" w14:textId="77777777" w:rsidR="009A3F7C" w:rsidRPr="00E867F6" w:rsidRDefault="009A3F7C" w:rsidP="008F38F1">
            <w:pPr>
              <w:pStyle w:val="Tablebullet1"/>
              <w:cnfStyle w:val="000000100000" w:firstRow="0" w:lastRow="0" w:firstColumn="0" w:lastColumn="0" w:oddVBand="0" w:evenVBand="0" w:oddHBand="1" w:evenHBand="0" w:firstRowFirstColumn="0" w:firstRowLastColumn="0" w:lastRowFirstColumn="0" w:lastRowLastColumn="0"/>
            </w:pPr>
            <w:r w:rsidRPr="00E867F6">
              <w:t>Accreditation schemes</w:t>
            </w:r>
          </w:p>
          <w:p w14:paraId="0E06B42D" w14:textId="77777777" w:rsidR="009A3F7C" w:rsidRPr="00E867F6" w:rsidRDefault="009A3F7C" w:rsidP="008F38F1">
            <w:pPr>
              <w:pStyle w:val="Tablebullet1"/>
              <w:cnfStyle w:val="000000100000" w:firstRow="0" w:lastRow="0" w:firstColumn="0" w:lastColumn="0" w:oddVBand="0" w:evenVBand="0" w:oddHBand="1" w:evenHBand="0" w:firstRowFirstColumn="0" w:firstRowLastColumn="0" w:lastRowFirstColumn="0" w:lastRowLastColumn="0"/>
            </w:pPr>
            <w:r w:rsidRPr="00E867F6">
              <w:t>Patient experience and outcome surveys</w:t>
            </w:r>
          </w:p>
          <w:p w14:paraId="323AE629" w14:textId="77777777" w:rsidR="009A3F7C" w:rsidRPr="00E867F6" w:rsidRDefault="009A3F7C" w:rsidP="008F38F1">
            <w:pPr>
              <w:pStyle w:val="Tablebullet1"/>
              <w:cnfStyle w:val="000000100000" w:firstRow="0" w:lastRow="0" w:firstColumn="0" w:lastColumn="0" w:oddVBand="0" w:evenVBand="0" w:oddHBand="1" w:evenHBand="0" w:firstRowFirstColumn="0" w:firstRowLastColumn="0" w:lastRowFirstColumn="0" w:lastRowLastColumn="0"/>
            </w:pPr>
            <w:r w:rsidRPr="00E867F6">
              <w:t>Staff surveys</w:t>
            </w:r>
          </w:p>
          <w:p w14:paraId="189C7522" w14:textId="77777777" w:rsidR="009A3F7C" w:rsidRPr="00E867F6" w:rsidRDefault="009A3F7C" w:rsidP="008F38F1">
            <w:pPr>
              <w:pStyle w:val="Tablebullet1"/>
              <w:cnfStyle w:val="000000100000" w:firstRow="0" w:lastRow="0" w:firstColumn="0" w:lastColumn="0" w:oddVBand="0" w:evenVBand="0" w:oddHBand="1" w:evenHBand="0" w:firstRowFirstColumn="0" w:firstRowLastColumn="0" w:lastRowFirstColumn="0" w:lastRowLastColumn="0"/>
            </w:pPr>
            <w:r w:rsidRPr="00E867F6">
              <w:t>Clinical audits</w:t>
            </w:r>
          </w:p>
        </w:tc>
      </w:tr>
    </w:tbl>
    <w:p w14:paraId="6C095AD7" w14:textId="77777777" w:rsidR="00EC6478" w:rsidRDefault="00EC6478" w:rsidP="008F0D8B">
      <w:pPr>
        <w:rPr>
          <w:rFonts w:cs="Arial"/>
        </w:rPr>
      </w:pPr>
    </w:p>
    <w:p w14:paraId="5F3C2B66" w14:textId="50DCEC93" w:rsidR="009A3F7C" w:rsidRPr="00E867F6" w:rsidRDefault="009A3F7C" w:rsidP="008F0D8B">
      <w:pPr>
        <w:rPr>
          <w:rFonts w:cs="Arial"/>
        </w:rPr>
      </w:pPr>
      <w:r>
        <w:rPr>
          <w:rFonts w:cs="Arial"/>
        </w:rPr>
        <w:lastRenderedPageBreak/>
        <w:t xml:space="preserve">In addition to the reporting of information by </w:t>
      </w:r>
      <w:r w:rsidR="00E70A77">
        <w:rPr>
          <w:rFonts w:cs="Arial"/>
        </w:rPr>
        <w:t>health systems</w:t>
      </w:r>
      <w:r>
        <w:rPr>
          <w:rFonts w:cs="Arial"/>
        </w:rPr>
        <w:t>, u</w:t>
      </w:r>
      <w:r w:rsidRPr="00E867F6">
        <w:rPr>
          <w:rFonts w:cs="Arial"/>
        </w:rPr>
        <w:t>ser-generated reviews of healthcare providers and organisations are increasing in volume, through mechanisms such as social media channels and government websites</w:t>
      </w:r>
      <w:r w:rsidR="000D7FCA">
        <w:rPr>
          <w:rFonts w:cs="Arial"/>
        </w:rPr>
        <w:t>, for example</w:t>
      </w:r>
      <w:r w:rsidRPr="00E867F6">
        <w:rPr>
          <w:rFonts w:cs="Arial"/>
        </w:rPr>
        <w:t xml:space="preserve"> NHS Choices.</w:t>
      </w:r>
      <w:r w:rsidRPr="00E867F6">
        <w:rPr>
          <w:rStyle w:val="EndnoteReference"/>
          <w:rFonts w:cs="Arial"/>
        </w:rPr>
        <w:endnoteReference w:id="22"/>
      </w:r>
    </w:p>
    <w:p w14:paraId="74F55EE1" w14:textId="2C1AA105" w:rsidR="00095581" w:rsidRDefault="002946D0" w:rsidP="0090417B">
      <w:pPr>
        <w:pStyle w:val="Heading3"/>
      </w:pPr>
      <w:r>
        <w:t>Health</w:t>
      </w:r>
      <w:r w:rsidR="00095581">
        <w:t xml:space="preserve"> performance frameworks</w:t>
      </w:r>
    </w:p>
    <w:p w14:paraId="2259D6F3" w14:textId="466CA0FD" w:rsidR="009A3F7C" w:rsidRDefault="001739F5" w:rsidP="008F0D8B">
      <w:pPr>
        <w:rPr>
          <w:rFonts w:cs="Arial"/>
        </w:rPr>
      </w:pPr>
      <w:r>
        <w:rPr>
          <w:rFonts w:cs="Arial"/>
        </w:rPr>
        <w:t>L</w:t>
      </w:r>
      <w:r w:rsidRPr="00E867F6">
        <w:rPr>
          <w:rFonts w:cs="Arial"/>
        </w:rPr>
        <w:t xml:space="preserve">iterature </w:t>
      </w:r>
      <w:r w:rsidR="009A3F7C" w:rsidRPr="00E867F6">
        <w:rPr>
          <w:rFonts w:cs="Arial"/>
        </w:rPr>
        <w:t xml:space="preserve">indicates that public reporting in most countries is guided by a broader health performance framework or frameworks at a state-wide or national level. Having an overarching performance framework is broadly recognised as an important element in guiding the development of appropriate and relevant performance indicators, as it sets the overall rationale and design principles for those indicators. </w:t>
      </w:r>
    </w:p>
    <w:p w14:paraId="0323688C" w14:textId="682EB712" w:rsidR="006B1154" w:rsidRDefault="009A3F7C" w:rsidP="008F0D8B">
      <w:pPr>
        <w:rPr>
          <w:rFonts w:cs="Arial"/>
        </w:rPr>
      </w:pPr>
      <w:r w:rsidRPr="00E867F6">
        <w:t>In some instances, public reporting mechanisms include a composite indicator of quality</w:t>
      </w:r>
      <w:r w:rsidR="001739F5">
        <w:t>, for example,</w:t>
      </w:r>
      <w:r w:rsidRPr="00E867F6">
        <w:t xml:space="preserve"> through an overall star rating. This is intended to support consumers to more easily digest a complex set of information presented on </w:t>
      </w:r>
      <w:r w:rsidR="001739F5" w:rsidRPr="001739F5">
        <w:t xml:space="preserve">healthcare </w:t>
      </w:r>
      <w:r w:rsidRPr="00E867F6">
        <w:t>performance.</w:t>
      </w:r>
      <w:r w:rsidRPr="00E867F6">
        <w:rPr>
          <w:rStyle w:val="EndnoteReference"/>
          <w:rFonts w:cs="Arial"/>
        </w:rPr>
        <w:t xml:space="preserve"> </w:t>
      </w:r>
      <w:r w:rsidRPr="00E867F6">
        <w:rPr>
          <w:rStyle w:val="EndnoteReference"/>
          <w:rFonts w:cs="Arial"/>
        </w:rPr>
        <w:endnoteReference w:id="23"/>
      </w:r>
      <w:r w:rsidR="0045524C">
        <w:t xml:space="preserve"> </w:t>
      </w:r>
      <w:r w:rsidRPr="00E867F6">
        <w:rPr>
          <w:rStyle w:val="EndnoteReference"/>
          <w:rFonts w:cs="Arial"/>
        </w:rPr>
        <w:endnoteReference w:id="24"/>
      </w:r>
      <w:r w:rsidRPr="00E867F6">
        <w:t xml:space="preserve"> Braithwaite </w:t>
      </w:r>
      <w:r w:rsidR="00C761BC">
        <w:t>et al.</w:t>
      </w:r>
      <w:r w:rsidRPr="00E867F6">
        <w:t xml:space="preserve"> noted that the use of a single composite indicator of</w:t>
      </w:r>
      <w:r>
        <w:t xml:space="preserve"> performance</w:t>
      </w:r>
      <w:r w:rsidRPr="00E867F6">
        <w:t xml:space="preserve"> has largely been replaced in favour of multidimensional frameworks, which is recognition of the difficulties in trying to simplify a complex set of health information.</w:t>
      </w:r>
      <w:r w:rsidRPr="00E867F6">
        <w:rPr>
          <w:rFonts w:ascii="Arial" w:hAnsi="Arial"/>
          <w:vertAlign w:val="superscript"/>
        </w:rPr>
        <w:endnoteReference w:id="25"/>
      </w:r>
      <w:r w:rsidRPr="00E867F6">
        <w:t xml:space="preserve"> </w:t>
      </w:r>
      <w:r w:rsidRPr="0082058E">
        <w:rPr>
          <w:rFonts w:cs="Arial"/>
        </w:rPr>
        <w:t>In Australia</w:t>
      </w:r>
      <w:r w:rsidR="002946D0" w:rsidRPr="00512B9E">
        <w:rPr>
          <w:rFonts w:cs="Arial"/>
        </w:rPr>
        <w:t>,</w:t>
      </w:r>
      <w:r w:rsidRPr="001F2ED9">
        <w:rPr>
          <w:rFonts w:cs="Arial"/>
        </w:rPr>
        <w:t xml:space="preserve"> public reporting has been informed by a number of performance frameworks from which information is publicly released to cater to a wide number of stakeholders. These include </w:t>
      </w:r>
      <w:r w:rsidRPr="0082058E">
        <w:rPr>
          <w:rFonts w:cs="Arial"/>
        </w:rPr>
        <w:t>policymakers, health</w:t>
      </w:r>
      <w:r w:rsidRPr="001F2ED9">
        <w:rPr>
          <w:rFonts w:cs="Arial"/>
        </w:rPr>
        <w:t>care administrators and consumers, amongst others.</w:t>
      </w:r>
      <w:r w:rsidRPr="00E867F6">
        <w:rPr>
          <w:rFonts w:cs="Arial"/>
        </w:rPr>
        <w:t xml:space="preserve"> </w:t>
      </w:r>
    </w:p>
    <w:p w14:paraId="3B997FB7" w14:textId="5DD6D350" w:rsidR="006B1154" w:rsidRDefault="00C054B1" w:rsidP="008F0D8B">
      <w:pPr>
        <w:rPr>
          <w:rFonts w:cs="Arial"/>
        </w:rPr>
      </w:pPr>
      <w:r>
        <w:rPr>
          <w:rFonts w:cs="Arial"/>
        </w:rPr>
        <w:t>T</w:t>
      </w:r>
      <w:r w:rsidR="006B1154" w:rsidRPr="006B1154">
        <w:rPr>
          <w:rFonts w:cs="Arial"/>
        </w:rPr>
        <w:t>he Australian Heal</w:t>
      </w:r>
      <w:r w:rsidR="006B1154">
        <w:rPr>
          <w:rFonts w:cs="Arial"/>
        </w:rPr>
        <w:t xml:space="preserve">th Performance Framework (AHPF) </w:t>
      </w:r>
      <w:r w:rsidR="00F70157">
        <w:rPr>
          <w:rFonts w:cs="Arial"/>
        </w:rPr>
        <w:t xml:space="preserve">which </w:t>
      </w:r>
      <w:r w:rsidR="006B1154">
        <w:rPr>
          <w:rFonts w:cs="Arial"/>
        </w:rPr>
        <w:t>was released</w:t>
      </w:r>
      <w:r w:rsidR="006B1154" w:rsidRPr="006B1154">
        <w:rPr>
          <w:rFonts w:cs="Arial"/>
        </w:rPr>
        <w:t xml:space="preserve"> </w:t>
      </w:r>
      <w:r>
        <w:rPr>
          <w:rFonts w:cs="Arial"/>
        </w:rPr>
        <w:t>i</w:t>
      </w:r>
      <w:r w:rsidRPr="00C054B1">
        <w:rPr>
          <w:rFonts w:cs="Arial"/>
        </w:rPr>
        <w:t xml:space="preserve">n September </w:t>
      </w:r>
      <w:proofErr w:type="gramStart"/>
      <w:r w:rsidRPr="00C054B1">
        <w:rPr>
          <w:rFonts w:cs="Arial"/>
        </w:rPr>
        <w:t>2017,</w:t>
      </w:r>
      <w:proofErr w:type="gramEnd"/>
      <w:r w:rsidRPr="00C054B1">
        <w:rPr>
          <w:rFonts w:cs="Arial"/>
        </w:rPr>
        <w:t xml:space="preserve"> </w:t>
      </w:r>
      <w:r w:rsidR="006B1154" w:rsidRPr="006B1154">
        <w:rPr>
          <w:rFonts w:cs="Arial"/>
        </w:rPr>
        <w:t>was developed to provide a single framework for system-wide reporting o</w:t>
      </w:r>
      <w:r w:rsidR="006B1154">
        <w:rPr>
          <w:rFonts w:cs="Arial"/>
        </w:rPr>
        <w:t>n Australia’s health and health</w:t>
      </w:r>
      <w:r w:rsidR="006B1154" w:rsidRPr="006B1154">
        <w:rPr>
          <w:rFonts w:cs="Arial"/>
        </w:rPr>
        <w:t>care performance.</w:t>
      </w:r>
      <w:r w:rsidR="006B1154">
        <w:rPr>
          <w:rFonts w:cs="Arial"/>
        </w:rPr>
        <w:t xml:space="preserve"> The AHPF is owned by AHMAC and intends to learn from previous frameworks to inform future work in a more contemporary approach. </w:t>
      </w:r>
    </w:p>
    <w:p w14:paraId="4BEBF633" w14:textId="1FD138C9" w:rsidR="009A3F7C" w:rsidRPr="00E867F6" w:rsidRDefault="009A3F7C" w:rsidP="008F0D8B">
      <w:pPr>
        <w:rPr>
          <w:rFonts w:cs="Arial"/>
        </w:rPr>
      </w:pPr>
      <w:r w:rsidRPr="00E867F6">
        <w:rPr>
          <w:rFonts w:cs="Arial"/>
        </w:rPr>
        <w:t xml:space="preserve">The performance frameworks </w:t>
      </w:r>
      <w:r w:rsidR="006B1154">
        <w:rPr>
          <w:rFonts w:cs="Arial"/>
        </w:rPr>
        <w:t>on</w:t>
      </w:r>
      <w:r w:rsidR="006B1154" w:rsidRPr="00E867F6">
        <w:rPr>
          <w:rFonts w:cs="Arial"/>
        </w:rPr>
        <w:t xml:space="preserve"> </w:t>
      </w:r>
      <w:r w:rsidRPr="00E867F6">
        <w:rPr>
          <w:rFonts w:cs="Arial"/>
        </w:rPr>
        <w:t xml:space="preserve">which </w:t>
      </w:r>
      <w:r w:rsidR="006B1154">
        <w:rPr>
          <w:rFonts w:cs="Arial"/>
        </w:rPr>
        <w:t>the AHPF is based</w:t>
      </w:r>
      <w:r w:rsidRPr="00E867F6">
        <w:rPr>
          <w:rFonts w:cs="Arial"/>
        </w:rPr>
        <w:t xml:space="preserve"> include:</w:t>
      </w:r>
    </w:p>
    <w:p w14:paraId="3650E416" w14:textId="4128D645" w:rsidR="009A3F7C" w:rsidRPr="00E867F6" w:rsidRDefault="009A3F7C" w:rsidP="00CD23C4">
      <w:pPr>
        <w:pStyle w:val="ListBullet"/>
        <w:contextualSpacing w:val="0"/>
        <w:rPr>
          <w:rFonts w:eastAsia="Calibri"/>
          <w:lang w:eastAsia="en-US"/>
        </w:rPr>
      </w:pPr>
      <w:r w:rsidRPr="00E867F6">
        <w:rPr>
          <w:rFonts w:eastAsia="Calibri"/>
          <w:lang w:eastAsia="en-US"/>
        </w:rPr>
        <w:t>The National Health Reform Performance and Accountability Framework (PAF), designed to improve accountability and transparency of health service provision across both the primary and acute care sectors, using a combination of service delivery and population health outcomes.</w:t>
      </w:r>
      <w:r w:rsidRPr="00E867F6">
        <w:rPr>
          <w:rStyle w:val="EndnoteReference"/>
          <w:rFonts w:eastAsia="Calibri" w:cs="Arial"/>
          <w:lang w:eastAsia="en-US"/>
        </w:rPr>
        <w:endnoteReference w:id="26"/>
      </w:r>
      <w:r w:rsidRPr="00E867F6">
        <w:rPr>
          <w:rFonts w:eastAsia="Calibri"/>
          <w:lang w:eastAsia="en-US"/>
        </w:rPr>
        <w:t xml:space="preserve"> The framework comprises 48 national indicators, 31 covering primary care (at a </w:t>
      </w:r>
      <w:r w:rsidR="008E494C">
        <w:rPr>
          <w:rFonts w:eastAsia="Calibri"/>
          <w:lang w:eastAsia="en-US"/>
        </w:rPr>
        <w:t>p</w:t>
      </w:r>
      <w:r w:rsidRPr="00E867F6">
        <w:rPr>
          <w:rFonts w:eastAsia="Calibri"/>
          <w:lang w:eastAsia="en-US"/>
        </w:rPr>
        <w:t xml:space="preserve">rimary </w:t>
      </w:r>
      <w:r w:rsidR="008E494C">
        <w:rPr>
          <w:rFonts w:eastAsia="Calibri"/>
          <w:lang w:eastAsia="en-US"/>
        </w:rPr>
        <w:t>h</w:t>
      </w:r>
      <w:r w:rsidRPr="00E867F6">
        <w:rPr>
          <w:rFonts w:eastAsia="Calibri"/>
          <w:lang w:eastAsia="en-US"/>
        </w:rPr>
        <w:t xml:space="preserve">ealth </w:t>
      </w:r>
      <w:r w:rsidR="008E494C">
        <w:rPr>
          <w:rFonts w:eastAsia="Calibri"/>
          <w:lang w:eastAsia="en-US"/>
        </w:rPr>
        <w:t>n</w:t>
      </w:r>
      <w:r w:rsidRPr="00E867F6">
        <w:rPr>
          <w:rFonts w:eastAsia="Calibri"/>
          <w:lang w:eastAsia="en-US"/>
        </w:rPr>
        <w:t xml:space="preserve">etwork level) and 17 covering acute care (at a </w:t>
      </w:r>
      <w:r w:rsidR="008E494C" w:rsidRPr="00E867F6">
        <w:rPr>
          <w:rFonts w:eastAsia="Calibri"/>
          <w:lang w:eastAsia="en-US"/>
        </w:rPr>
        <w:t xml:space="preserve">local </w:t>
      </w:r>
      <w:r w:rsidR="008E494C">
        <w:rPr>
          <w:rFonts w:eastAsia="Calibri"/>
          <w:lang w:eastAsia="en-US"/>
        </w:rPr>
        <w:t>health</w:t>
      </w:r>
      <w:r w:rsidR="008E494C" w:rsidRPr="00E867F6">
        <w:rPr>
          <w:rFonts w:eastAsia="Calibri"/>
          <w:lang w:eastAsia="en-US"/>
        </w:rPr>
        <w:t xml:space="preserve"> network </w:t>
      </w:r>
      <w:r w:rsidRPr="00E867F6">
        <w:rPr>
          <w:rFonts w:eastAsia="Calibri"/>
          <w:lang w:eastAsia="en-US"/>
        </w:rPr>
        <w:t>or equivalent level)</w:t>
      </w:r>
    </w:p>
    <w:p w14:paraId="2FB42977" w14:textId="548D2D52" w:rsidR="00E24BF5" w:rsidRPr="0090417B" w:rsidRDefault="009A3F7C" w:rsidP="0090417B">
      <w:pPr>
        <w:pStyle w:val="ListBullet"/>
        <w:rPr>
          <w:rFonts w:eastAsia="Calibri"/>
          <w:lang w:eastAsia="en-US"/>
        </w:rPr>
      </w:pPr>
      <w:r w:rsidRPr="00E867F6">
        <w:rPr>
          <w:rFonts w:eastAsia="Calibri"/>
          <w:lang w:eastAsia="en-US"/>
        </w:rPr>
        <w:t xml:space="preserve">The Productivity Commission’s </w:t>
      </w:r>
      <w:r w:rsidR="001739F5">
        <w:rPr>
          <w:rFonts w:eastAsia="Calibri"/>
          <w:lang w:eastAsia="en-US"/>
        </w:rPr>
        <w:t xml:space="preserve">National </w:t>
      </w:r>
      <w:r w:rsidRPr="00E867F6">
        <w:rPr>
          <w:rFonts w:eastAsia="Calibri"/>
          <w:lang w:eastAsia="en-US"/>
        </w:rPr>
        <w:t xml:space="preserve">Health Performance Framework </w:t>
      </w:r>
      <w:r w:rsidR="006B1154">
        <w:rPr>
          <w:rFonts w:eastAsia="Calibri"/>
          <w:lang w:eastAsia="en-US"/>
        </w:rPr>
        <w:t xml:space="preserve">(NHPF) </w:t>
      </w:r>
      <w:r w:rsidRPr="00E867F6">
        <w:rPr>
          <w:rFonts w:eastAsia="Calibri"/>
          <w:lang w:eastAsia="en-US"/>
        </w:rPr>
        <w:t xml:space="preserve">for the Review </w:t>
      </w:r>
      <w:proofErr w:type="gramStart"/>
      <w:r w:rsidRPr="00E867F6">
        <w:rPr>
          <w:rFonts w:eastAsia="Calibri"/>
          <w:lang w:eastAsia="en-US"/>
        </w:rPr>
        <w:t>Of</w:t>
      </w:r>
      <w:proofErr w:type="gramEnd"/>
      <w:r w:rsidRPr="00E867F6">
        <w:rPr>
          <w:rFonts w:eastAsia="Calibri"/>
          <w:lang w:eastAsia="en-US"/>
        </w:rPr>
        <w:t xml:space="preserve"> Government Services (ROGS). This framework includes sector-wide indicators and specific indicator sets for Primary and Community Health, Public Hospitals (including Maternity Services)</w:t>
      </w:r>
      <w:r w:rsidR="0090417B">
        <w:rPr>
          <w:rFonts w:eastAsia="Calibri"/>
          <w:lang w:eastAsia="en-US"/>
        </w:rPr>
        <w:t xml:space="preserve"> and Mental Health Management. </w:t>
      </w:r>
    </w:p>
    <w:p w14:paraId="00D7468F" w14:textId="79E15678" w:rsidR="00E24BF5" w:rsidRDefault="009A3F7C" w:rsidP="008F38F1">
      <w:pPr>
        <w:pStyle w:val="BodyText"/>
      </w:pPr>
      <w:r>
        <w:t>Existing indicators from the</w:t>
      </w:r>
      <w:r w:rsidR="006B1154">
        <w:t>se</w:t>
      </w:r>
      <w:r>
        <w:t xml:space="preserve"> two frameworks</w:t>
      </w:r>
      <w:r w:rsidR="006B1154">
        <w:t>, the NHPF and the PAF,</w:t>
      </w:r>
      <w:r>
        <w:t xml:space="preserve"> will initially be transitioned and presented as a single set of indicators in the new framework. Over time, it is expected that these indicators will be subject to further review and a new set of revised indicators</w:t>
      </w:r>
      <w:r w:rsidR="0090417B">
        <w:t xml:space="preserve"> will be </w:t>
      </w:r>
      <w:r>
        <w:t>developed.</w:t>
      </w:r>
      <w:r>
        <w:rPr>
          <w:rStyle w:val="EndnoteReference"/>
        </w:rPr>
        <w:endnoteReference w:id="27"/>
      </w:r>
      <w:r>
        <w:t xml:space="preserve"> </w:t>
      </w:r>
    </w:p>
    <w:p w14:paraId="5DBA8D07" w14:textId="62049B25" w:rsidR="00E24BF5" w:rsidRDefault="00E24BF5" w:rsidP="00E24BF5">
      <w:pPr>
        <w:pStyle w:val="BodyText"/>
        <w:rPr>
          <w:rFonts w:cs="Arial"/>
        </w:rPr>
      </w:pPr>
      <w:r>
        <w:rPr>
          <w:rFonts w:cs="Arial"/>
        </w:rPr>
        <w:t>AHPF allows for</w:t>
      </w:r>
      <w:r w:rsidRPr="00E24BF5">
        <w:t xml:space="preserve"> </w:t>
      </w:r>
      <w:r w:rsidRPr="00E24BF5">
        <w:rPr>
          <w:rFonts w:cs="Arial"/>
        </w:rPr>
        <w:t>health system activities and outputs to be measur</w:t>
      </w:r>
      <w:r w:rsidR="00B329FD">
        <w:rPr>
          <w:rFonts w:cs="Arial"/>
        </w:rPr>
        <w:t>ed against</w:t>
      </w:r>
      <w:r w:rsidRPr="00E24BF5">
        <w:rPr>
          <w:rFonts w:cs="Arial"/>
        </w:rPr>
        <w:t xml:space="preserve"> quality dimensions including safety, accessibility, appropriateness, continuity, effectiveness and efficiency.</w:t>
      </w:r>
      <w:r>
        <w:rPr>
          <w:rFonts w:cs="Arial"/>
        </w:rPr>
        <w:t xml:space="preserve"> </w:t>
      </w:r>
      <w:r w:rsidRPr="00E24BF5">
        <w:rPr>
          <w:rFonts w:cs="Arial"/>
        </w:rPr>
        <w:t>Health system activities and outputs may include policy and governance</w:t>
      </w:r>
      <w:r>
        <w:rPr>
          <w:rFonts w:cs="Arial"/>
        </w:rPr>
        <w:t>, health</w:t>
      </w:r>
      <w:r w:rsidRPr="00E24BF5">
        <w:rPr>
          <w:rFonts w:cs="Arial"/>
        </w:rPr>
        <w:t>care management</w:t>
      </w:r>
      <w:r>
        <w:rPr>
          <w:rFonts w:cs="Arial"/>
        </w:rPr>
        <w:t>,</w:t>
      </w:r>
      <w:r w:rsidRPr="00E24BF5">
        <w:rPr>
          <w:rFonts w:cs="Arial"/>
        </w:rPr>
        <w:t xml:space="preserve"> health protection and promotion</w:t>
      </w:r>
      <w:r>
        <w:rPr>
          <w:rFonts w:cs="Arial"/>
        </w:rPr>
        <w:t xml:space="preserve">, </w:t>
      </w:r>
      <w:r w:rsidRPr="00E24BF5">
        <w:rPr>
          <w:rFonts w:cs="Arial"/>
        </w:rPr>
        <w:t>service delivery and clinical care</w:t>
      </w:r>
      <w:r>
        <w:rPr>
          <w:rFonts w:cs="Arial"/>
        </w:rPr>
        <w:t>,</w:t>
      </w:r>
      <w:r w:rsidRPr="00E24BF5">
        <w:rPr>
          <w:rFonts w:cs="Arial"/>
        </w:rPr>
        <w:t xml:space="preserve"> and health system improvement activities.</w:t>
      </w:r>
      <w:r>
        <w:rPr>
          <w:rStyle w:val="EndnoteReference"/>
          <w:rFonts w:cs="Arial"/>
        </w:rPr>
        <w:endnoteReference w:id="28"/>
      </w:r>
    </w:p>
    <w:p w14:paraId="5CF08FA7" w14:textId="108FD3C3" w:rsidR="006A4940" w:rsidRDefault="006A4940" w:rsidP="00E24BF5">
      <w:pPr>
        <w:pStyle w:val="BodyText"/>
        <w:rPr>
          <w:rFonts w:cs="Arial"/>
        </w:rPr>
      </w:pPr>
      <w:r>
        <w:rPr>
          <w:rFonts w:cs="Arial"/>
        </w:rPr>
        <w:t>The uses of the AHPF may include:</w:t>
      </w:r>
    </w:p>
    <w:p w14:paraId="55AF91A5" w14:textId="4ACCA938" w:rsidR="006A4940" w:rsidRDefault="0090417B" w:rsidP="006552A1">
      <w:pPr>
        <w:pStyle w:val="BodyText"/>
        <w:numPr>
          <w:ilvl w:val="0"/>
          <w:numId w:val="25"/>
        </w:numPr>
        <w:rPr>
          <w:rFonts w:cs="Arial"/>
        </w:rPr>
      </w:pPr>
      <w:r>
        <w:rPr>
          <w:rFonts w:cs="Arial"/>
        </w:rPr>
        <w:t>‘</w:t>
      </w:r>
      <w:r w:rsidR="006A4940" w:rsidRPr="006A4940">
        <w:rPr>
          <w:rFonts w:cs="Arial"/>
        </w:rPr>
        <w:t>Traditional</w:t>
      </w:r>
      <w:r>
        <w:rPr>
          <w:rFonts w:cs="Arial"/>
        </w:rPr>
        <w:t>’</w:t>
      </w:r>
      <w:r w:rsidR="006A4940" w:rsidRPr="006A4940">
        <w:rPr>
          <w:rFonts w:cs="Arial"/>
        </w:rPr>
        <w:t xml:space="preserve"> measurement and assessment of health system performance at</w:t>
      </w:r>
      <w:r w:rsidR="006A4940">
        <w:rPr>
          <w:rFonts w:cs="Arial"/>
        </w:rPr>
        <w:t xml:space="preserve"> </w:t>
      </w:r>
      <w:r w:rsidR="006A4940" w:rsidRPr="006A4940">
        <w:rPr>
          <w:rFonts w:cs="Arial"/>
        </w:rPr>
        <w:t xml:space="preserve">national, state and territory and </w:t>
      </w:r>
      <w:r w:rsidR="006A4940">
        <w:rPr>
          <w:rFonts w:cs="Arial"/>
        </w:rPr>
        <w:t>local areas to determine and report on progress against indicators</w:t>
      </w:r>
    </w:p>
    <w:p w14:paraId="589AB639" w14:textId="22A58DAC" w:rsidR="006A4940" w:rsidRDefault="006A4940" w:rsidP="006552A1">
      <w:pPr>
        <w:pStyle w:val="BodyText"/>
        <w:numPr>
          <w:ilvl w:val="0"/>
          <w:numId w:val="25"/>
        </w:numPr>
        <w:rPr>
          <w:rFonts w:cs="Arial"/>
        </w:rPr>
      </w:pPr>
      <w:r w:rsidRPr="006A4940">
        <w:rPr>
          <w:rFonts w:cs="Arial"/>
        </w:rPr>
        <w:lastRenderedPageBreak/>
        <w:t>Evaluation of policies and programs</w:t>
      </w:r>
    </w:p>
    <w:p w14:paraId="4438C518" w14:textId="360A1C36" w:rsidR="006A4940" w:rsidRPr="006A4940" w:rsidRDefault="006A4940" w:rsidP="006552A1">
      <w:pPr>
        <w:pStyle w:val="BodyText"/>
        <w:numPr>
          <w:ilvl w:val="0"/>
          <w:numId w:val="25"/>
        </w:numPr>
        <w:rPr>
          <w:rFonts w:cs="Arial"/>
        </w:rPr>
      </w:pPr>
      <w:r>
        <w:t>Guiding, prioritising and supporting system-level improvement activities</w:t>
      </w:r>
    </w:p>
    <w:p w14:paraId="3CE911D8" w14:textId="60509741" w:rsidR="006A4940" w:rsidRDefault="006A4940" w:rsidP="006552A1">
      <w:pPr>
        <w:pStyle w:val="BodyText"/>
        <w:numPr>
          <w:ilvl w:val="0"/>
          <w:numId w:val="25"/>
        </w:numPr>
        <w:rPr>
          <w:rFonts w:cs="Arial"/>
        </w:rPr>
      </w:pPr>
      <w:r w:rsidRPr="006A4940">
        <w:rPr>
          <w:rFonts w:cs="Arial"/>
        </w:rPr>
        <w:t>Facilitating international comparisons</w:t>
      </w:r>
    </w:p>
    <w:p w14:paraId="0EC79406" w14:textId="7044EDFC" w:rsidR="006A4940" w:rsidRPr="006A4940" w:rsidRDefault="006A4940" w:rsidP="006552A1">
      <w:pPr>
        <w:pStyle w:val="BodyText"/>
        <w:numPr>
          <w:ilvl w:val="0"/>
          <w:numId w:val="25"/>
        </w:numPr>
        <w:rPr>
          <w:rFonts w:cs="Arial"/>
        </w:rPr>
      </w:pPr>
      <w:r>
        <w:t>Providing a stronger platform to assess value in health care and sustainability of the Australian health system</w:t>
      </w:r>
    </w:p>
    <w:p w14:paraId="5C450A5F" w14:textId="7C47447D" w:rsidR="00C054B1" w:rsidRDefault="006A4940" w:rsidP="006552A1">
      <w:pPr>
        <w:pStyle w:val="BodyText"/>
        <w:numPr>
          <w:ilvl w:val="0"/>
          <w:numId w:val="25"/>
        </w:numPr>
        <w:rPr>
          <w:rFonts w:cs="Arial"/>
        </w:rPr>
      </w:pPr>
      <w:r w:rsidRPr="006A4940">
        <w:rPr>
          <w:rFonts w:cs="Arial"/>
        </w:rPr>
        <w:t xml:space="preserve">Providing a flexible vehicle and </w:t>
      </w:r>
      <w:r w:rsidR="0090417B">
        <w:rPr>
          <w:rFonts w:cs="Arial"/>
        </w:rPr>
        <w:t>‘</w:t>
      </w:r>
      <w:r w:rsidRPr="006A4940">
        <w:rPr>
          <w:rFonts w:cs="Arial"/>
        </w:rPr>
        <w:t>contain</w:t>
      </w:r>
      <w:r w:rsidRPr="00C054B1">
        <w:rPr>
          <w:rFonts w:cs="Arial"/>
        </w:rPr>
        <w:t>er</w:t>
      </w:r>
      <w:r w:rsidR="0090417B">
        <w:rPr>
          <w:rFonts w:cs="Arial"/>
        </w:rPr>
        <w:t>’</w:t>
      </w:r>
      <w:r w:rsidRPr="00C054B1">
        <w:rPr>
          <w:rFonts w:cs="Arial"/>
        </w:rPr>
        <w:t xml:space="preserve"> to significantly expand the use of patient reported measures</w:t>
      </w:r>
      <w:r w:rsidR="00CC607C">
        <w:rPr>
          <w:rFonts w:cs="Arial"/>
        </w:rPr>
        <w:t>.</w:t>
      </w:r>
      <w:r w:rsidRPr="00C054B1">
        <w:rPr>
          <w:rFonts w:cs="Arial"/>
        </w:rPr>
        <w:t xml:space="preserve"> </w:t>
      </w:r>
    </w:p>
    <w:p w14:paraId="2162AA41" w14:textId="77777777" w:rsidR="00C054B1" w:rsidRDefault="00C054B1" w:rsidP="00C054B1">
      <w:pPr>
        <w:pStyle w:val="BodyText"/>
      </w:pPr>
      <w:r>
        <w:t>Crucial for reporting under the AHPF will be the ability to provide tiered reporting, allowing for showing multiple perspectives, such as:</w:t>
      </w:r>
    </w:p>
    <w:p w14:paraId="40790AAF" w14:textId="52218BD3" w:rsidR="00C054B1" w:rsidRDefault="00C054B1" w:rsidP="00C761BC">
      <w:pPr>
        <w:pStyle w:val="BodyText"/>
        <w:numPr>
          <w:ilvl w:val="0"/>
          <w:numId w:val="26"/>
        </w:numPr>
      </w:pPr>
      <w:r>
        <w:t>Individual providers, local (</w:t>
      </w:r>
      <w:r w:rsidR="00C761BC" w:rsidRPr="00C761BC">
        <w:t>primary health network</w:t>
      </w:r>
      <w:r>
        <w:t xml:space="preserve">, </w:t>
      </w:r>
      <w:r w:rsidR="00C761BC">
        <w:t>local health network</w:t>
      </w:r>
      <w:r>
        <w:t>), state/territory, national and international</w:t>
      </w:r>
    </w:p>
    <w:p w14:paraId="2608B16B" w14:textId="46BC7BEB" w:rsidR="00C054B1" w:rsidRDefault="00C054B1" w:rsidP="006552A1">
      <w:pPr>
        <w:pStyle w:val="BodyText"/>
        <w:numPr>
          <w:ilvl w:val="0"/>
          <w:numId w:val="26"/>
        </w:numPr>
      </w:pPr>
      <w:r>
        <w:t>Specific population groups including Aboriginal and Torres Strait Islander people</w:t>
      </w:r>
    </w:p>
    <w:p w14:paraId="333654E4" w14:textId="77777777" w:rsidR="00C054B1" w:rsidRDefault="00C054B1" w:rsidP="006552A1">
      <w:pPr>
        <w:pStyle w:val="BodyText"/>
        <w:numPr>
          <w:ilvl w:val="0"/>
          <w:numId w:val="26"/>
        </w:numPr>
      </w:pPr>
      <w:r>
        <w:t>Funding sources (including out-of-pocket costs)</w:t>
      </w:r>
    </w:p>
    <w:p w14:paraId="1E1D610B" w14:textId="77777777" w:rsidR="00C054B1" w:rsidRDefault="00C054B1" w:rsidP="006552A1">
      <w:pPr>
        <w:pStyle w:val="BodyText"/>
        <w:numPr>
          <w:ilvl w:val="0"/>
          <w:numId w:val="26"/>
        </w:numPr>
      </w:pPr>
      <w:r>
        <w:t>Health conditions</w:t>
      </w:r>
    </w:p>
    <w:p w14:paraId="5CC5C74F" w14:textId="77777777" w:rsidR="00C054B1" w:rsidRDefault="00C054B1" w:rsidP="006552A1">
      <w:pPr>
        <w:pStyle w:val="BodyText"/>
        <w:numPr>
          <w:ilvl w:val="0"/>
          <w:numId w:val="26"/>
        </w:numPr>
      </w:pPr>
      <w:r>
        <w:t>Demographic and socio-economic groups</w:t>
      </w:r>
    </w:p>
    <w:p w14:paraId="6B1FBDE6" w14:textId="2E400E05" w:rsidR="00F92112" w:rsidRPr="00437C15" w:rsidRDefault="00ED05C2" w:rsidP="00437C15">
      <w:pPr>
        <w:pStyle w:val="BodyText"/>
        <w:numPr>
          <w:ilvl w:val="0"/>
          <w:numId w:val="26"/>
        </w:numPr>
      </w:pPr>
      <w:r w:rsidRPr="00E867F6">
        <w:rPr>
          <w:rFonts w:cs="Arial"/>
          <w:noProof/>
        </w:rPr>
        <mc:AlternateContent>
          <mc:Choice Requires="wps">
            <w:drawing>
              <wp:anchor distT="45720" distB="45720" distL="114300" distR="114300" simplePos="0" relativeHeight="251730944" behindDoc="0" locked="0" layoutInCell="1" allowOverlap="1" wp14:anchorId="61013E8E" wp14:editId="7212E388">
                <wp:simplePos x="0" y="0"/>
                <wp:positionH relativeFrom="column">
                  <wp:posOffset>-38100</wp:posOffset>
                </wp:positionH>
                <wp:positionV relativeFrom="paragraph">
                  <wp:posOffset>323850</wp:posOffset>
                </wp:positionV>
                <wp:extent cx="5759450" cy="489585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895850"/>
                        </a:xfrm>
                        <a:prstGeom prst="rect">
                          <a:avLst/>
                        </a:prstGeom>
                        <a:solidFill>
                          <a:srgbClr val="1178A2">
                            <a:lumMod val="20000"/>
                            <a:lumOff val="80000"/>
                          </a:srgbClr>
                        </a:solidFill>
                        <a:ln w="9525">
                          <a:noFill/>
                          <a:miter lim="800000"/>
                          <a:headEnd/>
                          <a:tailEnd/>
                        </a:ln>
                      </wps:spPr>
                      <wps:txbx>
                        <w:txbxContent>
                          <w:p w14:paraId="31687CCE" w14:textId="77777777" w:rsidR="00F70157" w:rsidRPr="0045524C" w:rsidRDefault="00F70157" w:rsidP="00ED05C2">
                            <w:pPr>
                              <w:spacing w:after="60"/>
                              <w:rPr>
                                <w:b/>
                              </w:rPr>
                            </w:pPr>
                            <w:r w:rsidRPr="0045524C">
                              <w:rPr>
                                <w:b/>
                              </w:rPr>
                              <w:t>Finding summary</w:t>
                            </w:r>
                          </w:p>
                          <w:p w14:paraId="00334EDC" w14:textId="07D11A30" w:rsidR="00F70157" w:rsidRDefault="00F70157" w:rsidP="009826A3">
                            <w:pPr>
                              <w:pStyle w:val="ListBullet"/>
                              <w:numPr>
                                <w:ilvl w:val="0"/>
                                <w:numId w:val="0"/>
                              </w:numPr>
                              <w:contextualSpacing w:val="0"/>
                            </w:pPr>
                            <w:r w:rsidRPr="00E867F6">
                              <w:t>In broad terms, the benefits of public reporting have b</w:t>
                            </w:r>
                            <w:r>
                              <w:t>een categorised into two areas:</w:t>
                            </w:r>
                          </w:p>
                          <w:p w14:paraId="4BE5AE03" w14:textId="4B64EC1E" w:rsidR="00F70157" w:rsidRPr="00E867F6" w:rsidRDefault="00F70157" w:rsidP="009826A3">
                            <w:pPr>
                              <w:pStyle w:val="ListBullet"/>
                              <w:rPr>
                                <w:rFonts w:eastAsia="Calibri"/>
                                <w:lang w:eastAsia="en-US"/>
                              </w:rPr>
                            </w:pPr>
                            <w:r>
                              <w:rPr>
                                <w:rFonts w:eastAsia="Calibri"/>
                                <w:lang w:eastAsia="en-US"/>
                              </w:rPr>
                              <w:t>S</w:t>
                            </w:r>
                            <w:r w:rsidRPr="00E867F6">
                              <w:rPr>
                                <w:rFonts w:eastAsia="Calibri"/>
                                <w:lang w:eastAsia="en-US"/>
                              </w:rPr>
                              <w:t>election (consumer empowerment)</w:t>
                            </w:r>
                            <w:r>
                              <w:rPr>
                                <w:rFonts w:eastAsia="Calibri"/>
                                <w:lang w:eastAsia="en-US"/>
                              </w:rPr>
                              <w:t>, whereby</w:t>
                            </w:r>
                            <w:r w:rsidRPr="00E867F6">
                              <w:rPr>
                                <w:rFonts w:eastAsia="Calibri"/>
                                <w:lang w:eastAsia="en-US"/>
                              </w:rPr>
                              <w:t xml:space="preserve"> public reporting empowers health consumers and other relevant health sector stakeholders </w:t>
                            </w:r>
                            <w:r>
                              <w:rPr>
                                <w:rFonts w:eastAsia="Calibri"/>
                                <w:lang w:eastAsia="en-US"/>
                              </w:rPr>
                              <w:t>such as</w:t>
                            </w:r>
                            <w:r w:rsidRPr="00E867F6">
                              <w:rPr>
                                <w:rFonts w:eastAsia="Calibri"/>
                                <w:lang w:eastAsia="en-US"/>
                              </w:rPr>
                              <w:t xml:space="preserve"> health insurers to identify and choose services from healthcare organisations that perform better and have better outcomes</w:t>
                            </w:r>
                          </w:p>
                          <w:p w14:paraId="67EFA8A2" w14:textId="7FFC02E6" w:rsidR="00F70157" w:rsidRDefault="00F70157" w:rsidP="005D1983">
                            <w:pPr>
                              <w:pStyle w:val="ListBullet"/>
                              <w:rPr>
                                <w:rFonts w:eastAsia="Calibri"/>
                                <w:lang w:eastAsia="en-US"/>
                              </w:rPr>
                            </w:pPr>
                            <w:r>
                              <w:rPr>
                                <w:rFonts w:eastAsia="Calibri"/>
                                <w:lang w:eastAsia="en-US"/>
                              </w:rPr>
                              <w:t>C</w:t>
                            </w:r>
                            <w:r w:rsidRPr="00E867F6">
                              <w:rPr>
                                <w:rFonts w:eastAsia="Calibri"/>
                                <w:lang w:eastAsia="en-US"/>
                              </w:rPr>
                              <w:t>hanges in care (provider quality improvement)</w:t>
                            </w:r>
                            <w:r>
                              <w:rPr>
                                <w:rFonts w:eastAsia="Calibri"/>
                                <w:lang w:eastAsia="en-US"/>
                              </w:rPr>
                              <w:t>, whereby</w:t>
                            </w:r>
                            <w:r w:rsidRPr="00E867F6">
                              <w:rPr>
                                <w:rFonts w:eastAsia="Calibri"/>
                                <w:lang w:eastAsia="en-US"/>
                              </w:rPr>
                              <w:t xml:space="preserve"> public reporting provides greater visibility of organisational performance, generating momentum within an organisation to drive ongoing quality improvement activities to maintain or enhance its reputation.</w:t>
                            </w:r>
                            <w:r>
                              <w:rPr>
                                <w:rFonts w:eastAsia="Calibri"/>
                                <w:lang w:eastAsia="en-US"/>
                              </w:rPr>
                              <w:t xml:space="preserve"> </w:t>
                            </w:r>
                          </w:p>
                          <w:p w14:paraId="1D0337C1" w14:textId="77777777" w:rsidR="00F70157" w:rsidRPr="009826A3" w:rsidRDefault="00F70157" w:rsidP="00F92112">
                            <w:pPr>
                              <w:pStyle w:val="ListBullet"/>
                              <w:numPr>
                                <w:ilvl w:val="0"/>
                                <w:numId w:val="0"/>
                              </w:numPr>
                              <w:ind w:left="697"/>
                              <w:rPr>
                                <w:rFonts w:eastAsia="Calibri"/>
                                <w:lang w:eastAsia="en-US"/>
                              </w:rPr>
                            </w:pPr>
                          </w:p>
                          <w:p w14:paraId="3F3B841B" w14:textId="3475DC09" w:rsidR="00F70157" w:rsidRDefault="00F70157" w:rsidP="00F92112">
                            <w:pPr>
                              <w:pStyle w:val="ListBullet"/>
                              <w:numPr>
                                <w:ilvl w:val="0"/>
                                <w:numId w:val="0"/>
                              </w:numPr>
                              <w:spacing w:before="0"/>
                              <w:contextualSpacing w:val="0"/>
                            </w:pPr>
                            <w:r>
                              <w:t xml:space="preserve">Safety and quality information that is publicly reported can focus on a single condition or cover a range of conditions and long-term health outcomes. The information is usually derived using either administrative, surveillance or bespoke data (or a collection of these data). </w:t>
                            </w:r>
                          </w:p>
                          <w:p w14:paraId="1D875B90" w14:textId="33B09BA9" w:rsidR="00F70157" w:rsidRPr="00F92112" w:rsidRDefault="00F70157" w:rsidP="00F92112">
                            <w:pPr>
                              <w:spacing w:after="120"/>
                              <w:rPr>
                                <w:rFonts w:cs="Arial"/>
                              </w:rPr>
                            </w:pPr>
                            <w:r>
                              <w:rPr>
                                <w:rFonts w:cs="Arial"/>
                              </w:rPr>
                              <w:t>U</w:t>
                            </w:r>
                            <w:r w:rsidRPr="00E867F6">
                              <w:rPr>
                                <w:rFonts w:cs="Arial"/>
                              </w:rPr>
                              <w:t>ser-generated reviews of healthcare providers and organisations are increasing in volume, through mechanisms such as social media channels and government websites</w:t>
                            </w:r>
                            <w:r>
                              <w:rPr>
                                <w:rFonts w:cs="Arial"/>
                              </w:rPr>
                              <w:t>.</w:t>
                            </w:r>
                          </w:p>
                          <w:p w14:paraId="43126E10" w14:textId="349CEBD2" w:rsidR="00F70157" w:rsidRPr="00F92112" w:rsidRDefault="00F70157" w:rsidP="00F92112">
                            <w:pPr>
                              <w:pStyle w:val="ListBullet"/>
                              <w:numPr>
                                <w:ilvl w:val="0"/>
                                <w:numId w:val="0"/>
                              </w:numPr>
                              <w:spacing w:before="0"/>
                              <w:contextualSpacing w:val="0"/>
                              <w:rPr>
                                <w:rFonts w:eastAsia="Calibri"/>
                                <w:lang w:eastAsia="en-US"/>
                              </w:rPr>
                            </w:pPr>
                            <w:r>
                              <w:rPr>
                                <w:rFonts w:eastAsia="Calibri"/>
                                <w:lang w:eastAsia="en-US"/>
                              </w:rPr>
                              <w:t xml:space="preserve">In some countries, a composite indicator is used to provide an overall view on performance, although this does not happen consistently. Public reporting now typically occurs via publicly accessible websites. </w:t>
                            </w:r>
                          </w:p>
                          <w:p w14:paraId="6BBC21AB" w14:textId="562876B2" w:rsidR="00F70157" w:rsidRPr="00F92112" w:rsidRDefault="00F70157" w:rsidP="00F92112">
                            <w:pPr>
                              <w:pStyle w:val="ListBullet"/>
                              <w:numPr>
                                <w:ilvl w:val="0"/>
                                <w:numId w:val="0"/>
                              </w:numPr>
                              <w:spacing w:before="0"/>
                              <w:contextualSpacing w:val="0"/>
                              <w:rPr>
                                <w:rFonts w:ascii="Arial" w:eastAsia="Calibri" w:hAnsi="Arial" w:cs="Arial"/>
                                <w:lang w:eastAsia="en-US"/>
                              </w:rPr>
                            </w:pPr>
                            <w:r>
                              <w:t>Typically the data that are publicly reported are collected as part of a broader performance framework.</w:t>
                            </w:r>
                            <w:r>
                              <w:rPr>
                                <w:rFonts w:ascii="Arial" w:eastAsia="Calibri" w:hAnsi="Arial" w:cs="Arial"/>
                                <w:lang w:eastAsia="en-US"/>
                              </w:rPr>
                              <w:t xml:space="preserve"> Australia is currently transitioning towards using a single framework, the </w:t>
                            </w:r>
                            <w:r w:rsidRPr="006B1154">
                              <w:rPr>
                                <w:rFonts w:cs="Arial"/>
                              </w:rPr>
                              <w:t>Australian Heal</w:t>
                            </w:r>
                            <w:r>
                              <w:rPr>
                                <w:rFonts w:cs="Arial"/>
                              </w:rPr>
                              <w:t>th Performance Framework</w:t>
                            </w:r>
                            <w:r>
                              <w:rPr>
                                <w:rFonts w:ascii="Arial" w:eastAsia="Calibri" w:hAnsi="Arial" w:cs="Arial"/>
                                <w:lang w:eastAsia="en-US"/>
                              </w:rPr>
                              <w:t xml:space="preserve"> (AHPF) that has been endorsed by AHMAC in September 2017. </w:t>
                            </w:r>
                            <w:r>
                              <w:t xml:space="preserve">Existing indicators from the </w:t>
                            </w:r>
                            <w:r w:rsidRPr="00E867F6">
                              <w:rPr>
                                <w:rFonts w:eastAsia="Calibri"/>
                                <w:lang w:eastAsia="en-US"/>
                              </w:rPr>
                              <w:t>National Health Reform Performance and</w:t>
                            </w:r>
                            <w:r>
                              <w:rPr>
                                <w:rFonts w:eastAsia="Calibri"/>
                                <w:lang w:eastAsia="en-US"/>
                              </w:rPr>
                              <w:t xml:space="preserve"> Accountability Framework (PAF)</w:t>
                            </w:r>
                            <w:r w:rsidRPr="00E867F6">
                              <w:rPr>
                                <w:rFonts w:eastAsia="Calibri"/>
                                <w:lang w:eastAsia="en-US"/>
                              </w:rPr>
                              <w:t xml:space="preserve"> </w:t>
                            </w:r>
                            <w:r>
                              <w:t xml:space="preserve">and the </w:t>
                            </w:r>
                            <w:r w:rsidRPr="00F92112">
                              <w:t>National Health Performance Framework (NHPF)</w:t>
                            </w:r>
                            <w:r>
                              <w:t xml:space="preserve"> will initially be transitioned and presented as a single set of indicators in the new framework (AHPF).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pt;margin-top:25.5pt;width:453.5pt;height:385.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" fillcolor="#c3e9f9" stroked="f">
                <v:textbox>
                  <w:txbxContent>
                    <w:p w14:paraId="31687CCE" w14:textId="77777777" w:rsidR="00F70157" w:rsidRPr="0045524C" w:rsidRDefault="00F70157" w:rsidP="00ED05C2">
                      <w:pPr>
                        <w:spacing w:after="60"/>
                        <w:rPr>
                          <w:b/>
                        </w:rPr>
                      </w:pPr>
                      <w:r w:rsidRPr="0045524C">
                        <w:rPr>
                          <w:b/>
                        </w:rPr>
                        <w:t>Finding summary</w:t>
                      </w:r>
                    </w:p>
                    <w:p w14:paraId="00334EDC" w14:textId="07D11A30" w:rsidR="00F70157" w:rsidRDefault="00F70157" w:rsidP="009826A3">
                      <w:pPr>
                        <w:pStyle w:val="ListBullet"/>
                        <w:numPr>
                          <w:ilvl w:val="0"/>
                          <w:numId w:val="0"/>
                        </w:numPr>
                        <w:contextualSpacing w:val="0"/>
                      </w:pPr>
                      <w:r w:rsidRPr="00E867F6">
                        <w:t>In broad terms, the benefits of public reporting have b</w:t>
                      </w:r>
                      <w:r>
                        <w:t>een categorised into two areas:</w:t>
                      </w:r>
                    </w:p>
                    <w:p w14:paraId="4BE5AE03" w14:textId="4B64EC1E" w:rsidR="00F70157" w:rsidRPr="00E867F6" w:rsidRDefault="00F70157" w:rsidP="009826A3">
                      <w:pPr>
                        <w:pStyle w:val="ListBullet"/>
                        <w:rPr>
                          <w:rFonts w:eastAsia="Calibri"/>
                          <w:lang w:eastAsia="en-US"/>
                        </w:rPr>
                      </w:pPr>
                      <w:r>
                        <w:rPr>
                          <w:rFonts w:eastAsia="Calibri"/>
                          <w:lang w:eastAsia="en-US"/>
                        </w:rPr>
                        <w:t>S</w:t>
                      </w:r>
                      <w:r w:rsidRPr="00E867F6">
                        <w:rPr>
                          <w:rFonts w:eastAsia="Calibri"/>
                          <w:lang w:eastAsia="en-US"/>
                        </w:rPr>
                        <w:t>election (consumer empowerment)</w:t>
                      </w:r>
                      <w:r>
                        <w:rPr>
                          <w:rFonts w:eastAsia="Calibri"/>
                          <w:lang w:eastAsia="en-US"/>
                        </w:rPr>
                        <w:t>, whereby</w:t>
                      </w:r>
                      <w:r w:rsidRPr="00E867F6">
                        <w:rPr>
                          <w:rFonts w:eastAsia="Calibri"/>
                          <w:lang w:eastAsia="en-US"/>
                        </w:rPr>
                        <w:t xml:space="preserve"> public reporting empowers health consumers and other relevant health sector stakeholders </w:t>
                      </w:r>
                      <w:r>
                        <w:rPr>
                          <w:rFonts w:eastAsia="Calibri"/>
                          <w:lang w:eastAsia="en-US"/>
                        </w:rPr>
                        <w:t>such as</w:t>
                      </w:r>
                      <w:r w:rsidRPr="00E867F6">
                        <w:rPr>
                          <w:rFonts w:eastAsia="Calibri"/>
                          <w:lang w:eastAsia="en-US"/>
                        </w:rPr>
                        <w:t xml:space="preserve"> health insurers to identify and choose services from healthcare organisations that perform better and have better outcomes</w:t>
                      </w:r>
                    </w:p>
                    <w:p w14:paraId="67EFA8A2" w14:textId="7FFC02E6" w:rsidR="00F70157" w:rsidRDefault="00F70157" w:rsidP="005D1983">
                      <w:pPr>
                        <w:pStyle w:val="ListBullet"/>
                        <w:rPr>
                          <w:rFonts w:eastAsia="Calibri"/>
                          <w:lang w:eastAsia="en-US"/>
                        </w:rPr>
                      </w:pPr>
                      <w:r>
                        <w:rPr>
                          <w:rFonts w:eastAsia="Calibri"/>
                          <w:lang w:eastAsia="en-US"/>
                        </w:rPr>
                        <w:t>C</w:t>
                      </w:r>
                      <w:r w:rsidRPr="00E867F6">
                        <w:rPr>
                          <w:rFonts w:eastAsia="Calibri"/>
                          <w:lang w:eastAsia="en-US"/>
                        </w:rPr>
                        <w:t>hanges in care (provider quality improvement)</w:t>
                      </w:r>
                      <w:r>
                        <w:rPr>
                          <w:rFonts w:eastAsia="Calibri"/>
                          <w:lang w:eastAsia="en-US"/>
                        </w:rPr>
                        <w:t>, whereby</w:t>
                      </w:r>
                      <w:r w:rsidRPr="00E867F6">
                        <w:rPr>
                          <w:rFonts w:eastAsia="Calibri"/>
                          <w:lang w:eastAsia="en-US"/>
                        </w:rPr>
                        <w:t xml:space="preserve"> public reporting provides greater visibility of organisational performance, generating momentum within an organisation to drive ongoing quality improvement activities to maintain or enhance its reputation.</w:t>
                      </w:r>
                      <w:r>
                        <w:rPr>
                          <w:rFonts w:eastAsia="Calibri"/>
                          <w:lang w:eastAsia="en-US"/>
                        </w:rPr>
                        <w:t xml:space="preserve"> </w:t>
                      </w:r>
                    </w:p>
                    <w:p w14:paraId="1D0337C1" w14:textId="77777777" w:rsidR="00F70157" w:rsidRPr="009826A3" w:rsidRDefault="00F70157" w:rsidP="00F92112">
                      <w:pPr>
                        <w:pStyle w:val="ListBullet"/>
                        <w:numPr>
                          <w:ilvl w:val="0"/>
                          <w:numId w:val="0"/>
                        </w:numPr>
                        <w:ind w:left="697"/>
                        <w:rPr>
                          <w:rFonts w:eastAsia="Calibri"/>
                          <w:lang w:eastAsia="en-US"/>
                        </w:rPr>
                      </w:pPr>
                    </w:p>
                    <w:p w14:paraId="3F3B841B" w14:textId="3475DC09" w:rsidR="00F70157" w:rsidRDefault="00F70157" w:rsidP="00F92112">
                      <w:pPr>
                        <w:pStyle w:val="ListBullet"/>
                        <w:numPr>
                          <w:ilvl w:val="0"/>
                          <w:numId w:val="0"/>
                        </w:numPr>
                        <w:spacing w:before="0"/>
                        <w:contextualSpacing w:val="0"/>
                      </w:pPr>
                      <w:r>
                        <w:t xml:space="preserve">Safety and quality information that is publicly reported can focus on a single condition or cover a range of conditions and long-term health outcomes. The information is usually derived using either administrative, surveillance or bespoke data (or a collection of these data). </w:t>
                      </w:r>
                    </w:p>
                    <w:p w14:paraId="1D875B90" w14:textId="33B09BA9" w:rsidR="00F70157" w:rsidRPr="00F92112" w:rsidRDefault="00F70157" w:rsidP="00F92112">
                      <w:pPr>
                        <w:spacing w:after="120"/>
                        <w:rPr>
                          <w:rFonts w:cs="Arial"/>
                        </w:rPr>
                      </w:pPr>
                      <w:r>
                        <w:rPr>
                          <w:rFonts w:cs="Arial"/>
                        </w:rPr>
                        <w:t>U</w:t>
                      </w:r>
                      <w:r w:rsidRPr="00E867F6">
                        <w:rPr>
                          <w:rFonts w:cs="Arial"/>
                        </w:rPr>
                        <w:t>ser-generated reviews of healthcare providers and organisations are increasing in volume, through mechanisms such as social media channels and government websites</w:t>
                      </w:r>
                      <w:r>
                        <w:rPr>
                          <w:rFonts w:cs="Arial"/>
                        </w:rPr>
                        <w:t>.</w:t>
                      </w:r>
                    </w:p>
                    <w:p w14:paraId="43126E10" w14:textId="349CEBD2" w:rsidR="00F70157" w:rsidRPr="00F92112" w:rsidRDefault="00F70157" w:rsidP="00F92112">
                      <w:pPr>
                        <w:pStyle w:val="ListBullet"/>
                        <w:numPr>
                          <w:ilvl w:val="0"/>
                          <w:numId w:val="0"/>
                        </w:numPr>
                        <w:spacing w:before="0"/>
                        <w:contextualSpacing w:val="0"/>
                        <w:rPr>
                          <w:rFonts w:eastAsia="Calibri"/>
                          <w:lang w:eastAsia="en-US"/>
                        </w:rPr>
                      </w:pPr>
                      <w:r>
                        <w:rPr>
                          <w:rFonts w:eastAsia="Calibri"/>
                          <w:lang w:eastAsia="en-US"/>
                        </w:rPr>
                        <w:t xml:space="preserve">In some countries, a composite indicator is used to provide an overall view on performance, although this does not happen consistently. Public reporting now typically occurs via publicly accessible websites. </w:t>
                      </w:r>
                    </w:p>
                    <w:p w14:paraId="6BBC21AB" w14:textId="562876B2" w:rsidR="00F70157" w:rsidRPr="00F92112" w:rsidRDefault="00F70157" w:rsidP="00F92112">
                      <w:pPr>
                        <w:pStyle w:val="ListBullet"/>
                        <w:numPr>
                          <w:ilvl w:val="0"/>
                          <w:numId w:val="0"/>
                        </w:numPr>
                        <w:spacing w:before="0"/>
                        <w:contextualSpacing w:val="0"/>
                        <w:rPr>
                          <w:rFonts w:ascii="Arial" w:eastAsia="Calibri" w:hAnsi="Arial" w:cs="Arial"/>
                          <w:lang w:eastAsia="en-US"/>
                        </w:rPr>
                      </w:pPr>
                      <w:r>
                        <w:t>Typically the data that are publicly reported are collected as part of a broader performance framework.</w:t>
                      </w:r>
                      <w:r>
                        <w:rPr>
                          <w:rFonts w:ascii="Arial" w:eastAsia="Calibri" w:hAnsi="Arial" w:cs="Arial"/>
                          <w:lang w:eastAsia="en-US"/>
                        </w:rPr>
                        <w:t xml:space="preserve"> Australia is currently transitioning towards using a single framework, the </w:t>
                      </w:r>
                      <w:r w:rsidRPr="006B1154">
                        <w:rPr>
                          <w:rFonts w:cs="Arial"/>
                        </w:rPr>
                        <w:t>Australian Heal</w:t>
                      </w:r>
                      <w:r>
                        <w:rPr>
                          <w:rFonts w:cs="Arial"/>
                        </w:rPr>
                        <w:t>th Performance Framework</w:t>
                      </w:r>
                      <w:r>
                        <w:rPr>
                          <w:rFonts w:ascii="Arial" w:eastAsia="Calibri" w:hAnsi="Arial" w:cs="Arial"/>
                          <w:lang w:eastAsia="en-US"/>
                        </w:rPr>
                        <w:t xml:space="preserve"> (AHPF) that has been endorsed by AHMAC in September 2017. </w:t>
                      </w:r>
                      <w:r>
                        <w:t xml:space="preserve">Existing indicators from the </w:t>
                      </w:r>
                      <w:r w:rsidRPr="00E867F6">
                        <w:rPr>
                          <w:rFonts w:eastAsia="Calibri"/>
                          <w:lang w:eastAsia="en-US"/>
                        </w:rPr>
                        <w:t>National Health Reform Performance and</w:t>
                      </w:r>
                      <w:r>
                        <w:rPr>
                          <w:rFonts w:eastAsia="Calibri"/>
                          <w:lang w:eastAsia="en-US"/>
                        </w:rPr>
                        <w:t xml:space="preserve"> Accountability Framework (PAF)</w:t>
                      </w:r>
                      <w:r w:rsidRPr="00E867F6">
                        <w:rPr>
                          <w:rFonts w:eastAsia="Calibri"/>
                          <w:lang w:eastAsia="en-US"/>
                        </w:rPr>
                        <w:t xml:space="preserve"> </w:t>
                      </w:r>
                      <w:r>
                        <w:t xml:space="preserve">and the </w:t>
                      </w:r>
                      <w:r w:rsidRPr="00F92112">
                        <w:t>National Health Performance Framework (NHPF)</w:t>
                      </w:r>
                      <w:r>
                        <w:t xml:space="preserve"> will initially be transitioned and presented as a single set of indicators in the new framework (AHPF).</w:t>
                      </w:r>
                    </w:p>
                  </w:txbxContent>
                </v:textbox>
                <w10:wrap type="square"/>
              </v:shape>
            </w:pict>
          </mc:Fallback>
        </mc:AlternateContent>
      </w:r>
      <w:r w:rsidR="00C054B1">
        <w:t>Public and private healthcare providers and funders.</w:t>
      </w:r>
    </w:p>
    <w:p w14:paraId="396AE952" w14:textId="62CCEFFE" w:rsidR="009A3F7C" w:rsidRPr="00E867F6" w:rsidRDefault="009A3F7C" w:rsidP="0090417B">
      <w:pPr>
        <w:pStyle w:val="Heading2"/>
      </w:pPr>
      <w:bookmarkStart w:id="27" w:name="_Toc3195087"/>
      <w:r>
        <w:lastRenderedPageBreak/>
        <w:t>P</w:t>
      </w:r>
      <w:r w:rsidRPr="00E867F6">
        <w:t xml:space="preserve">ositive </w:t>
      </w:r>
      <w:r>
        <w:t xml:space="preserve">factors </w:t>
      </w:r>
      <w:r w:rsidRPr="00E867F6">
        <w:t>and perverse impacts of public reporting</w:t>
      </w:r>
      <w:bookmarkEnd w:id="27"/>
    </w:p>
    <w:p w14:paraId="5585B718" w14:textId="54BF2B55" w:rsidR="009A3F7C" w:rsidRPr="00E867F6" w:rsidRDefault="009A3F7C" w:rsidP="00F5322E">
      <w:pPr>
        <w:spacing w:after="80"/>
        <w:rPr>
          <w:rFonts w:cs="Arial"/>
        </w:rPr>
      </w:pPr>
      <w:r w:rsidRPr="00E867F6">
        <w:rPr>
          <w:rFonts w:cs="Arial"/>
        </w:rPr>
        <w:t xml:space="preserve">While the notion of public reporting as a concept is broadly supported, establishing a public reporting mechanism that achieves its stated aims is not a straightforward task. The global experience with public reporting has led to an extensive body of literature that has identified both negative and perverse impacts of public reporting. This section </w:t>
      </w:r>
      <w:r w:rsidR="00F80283">
        <w:rPr>
          <w:rFonts w:cs="Arial"/>
        </w:rPr>
        <w:t>presents</w:t>
      </w:r>
      <w:r w:rsidRPr="00E867F6">
        <w:rPr>
          <w:rFonts w:cs="Arial"/>
        </w:rPr>
        <w:t xml:space="preserve"> evidence of efficacy as well as some of the challenges and unintended consequences that can result from public reporting. </w:t>
      </w:r>
    </w:p>
    <w:p w14:paraId="05CDF86D" w14:textId="77777777" w:rsidR="009A3F7C" w:rsidRPr="00E867F6" w:rsidRDefault="009A3F7C" w:rsidP="00A17E6E">
      <w:pPr>
        <w:pStyle w:val="Heading2"/>
      </w:pPr>
      <w:bookmarkStart w:id="28" w:name="_Toc3195088"/>
      <w:r w:rsidRPr="00E867F6">
        <w:t>Evidence of efficacy of public reporting</w:t>
      </w:r>
      <w:bookmarkEnd w:id="28"/>
    </w:p>
    <w:p w14:paraId="49C025DE" w14:textId="0FEDF82B" w:rsidR="009A3F7C" w:rsidRPr="00E867F6" w:rsidRDefault="00CC607C" w:rsidP="00ED05C2">
      <w:pPr>
        <w:pStyle w:val="Heading3"/>
      </w:pPr>
      <w:r>
        <w:t>E</w:t>
      </w:r>
      <w:r w:rsidR="009A3F7C" w:rsidRPr="00E867F6">
        <w:t xml:space="preserve">fficacy in </w:t>
      </w:r>
      <w:r>
        <w:t>impacting</w:t>
      </w:r>
      <w:r w:rsidR="009A3F7C" w:rsidRPr="00E867F6">
        <w:t xml:space="preserve"> consumer behaviour</w:t>
      </w:r>
    </w:p>
    <w:p w14:paraId="6B799F4C" w14:textId="19AC4574" w:rsidR="009A3F7C" w:rsidRPr="00E867F6" w:rsidRDefault="009A3F7C" w:rsidP="00F5322E">
      <w:pPr>
        <w:rPr>
          <w:rFonts w:cs="Arial"/>
        </w:rPr>
      </w:pPr>
      <w:r w:rsidRPr="00E867F6">
        <w:rPr>
          <w:rFonts w:cs="Arial"/>
        </w:rPr>
        <w:t xml:space="preserve">There is limited evidence of the impact of public reporting on consumer behaviour. An intervention review undertaken by </w:t>
      </w:r>
      <w:proofErr w:type="spellStart"/>
      <w:r w:rsidRPr="00E867F6">
        <w:rPr>
          <w:rFonts w:cs="Arial"/>
        </w:rPr>
        <w:t>Ketelaar</w:t>
      </w:r>
      <w:proofErr w:type="spellEnd"/>
      <w:r w:rsidRPr="00E867F6">
        <w:rPr>
          <w:rFonts w:cs="Arial"/>
        </w:rPr>
        <w:t xml:space="preserve"> </w:t>
      </w:r>
      <w:r>
        <w:rPr>
          <w:rFonts w:cs="Arial"/>
        </w:rPr>
        <w:t>et al.</w:t>
      </w:r>
      <w:r w:rsidRPr="00E867F6">
        <w:rPr>
          <w:rFonts w:cs="Arial"/>
        </w:rPr>
        <w:t xml:space="preserve"> in 2011 to identify the impact of public release of performance data in changing the behaviour of healthcare consumers, professionals or organisations examined four studies covering 35,000 consumers and 1</w:t>
      </w:r>
      <w:r w:rsidR="002C0DF5">
        <w:rPr>
          <w:rFonts w:cs="Arial"/>
        </w:rPr>
        <w:t>,</w:t>
      </w:r>
      <w:r w:rsidRPr="00E867F6">
        <w:rPr>
          <w:rFonts w:cs="Arial"/>
        </w:rPr>
        <w:t xml:space="preserve">560 hospitals. The review found the evidence was limited and of low quality, thereby preventing the ability to arrive at any definitive conclusions on the impact of public reporting on consumer behaviour. </w:t>
      </w:r>
      <w:r w:rsidRPr="00E867F6">
        <w:rPr>
          <w:rStyle w:val="EndnoteReference"/>
          <w:rFonts w:cs="Arial"/>
        </w:rPr>
        <w:endnoteReference w:id="29"/>
      </w:r>
    </w:p>
    <w:p w14:paraId="33E104CC" w14:textId="3B0BDBC1" w:rsidR="009A3F7C" w:rsidRPr="00E867F6" w:rsidRDefault="009A3F7C" w:rsidP="00F5322E">
      <w:pPr>
        <w:rPr>
          <w:rFonts w:cs="Arial"/>
        </w:rPr>
      </w:pPr>
      <w:r w:rsidRPr="00E867F6">
        <w:rPr>
          <w:rFonts w:cs="Arial"/>
        </w:rPr>
        <w:t xml:space="preserve">In a study </w:t>
      </w:r>
      <w:r w:rsidR="00C761BC" w:rsidRPr="00C761BC">
        <w:rPr>
          <w:rFonts w:cs="Arial"/>
        </w:rPr>
        <w:t>conducted in 2011</w:t>
      </w:r>
      <w:r w:rsidR="00C761BC">
        <w:rPr>
          <w:rFonts w:cs="Arial"/>
        </w:rPr>
        <w:t xml:space="preserve"> </w:t>
      </w:r>
      <w:r w:rsidRPr="00E867F6">
        <w:rPr>
          <w:rFonts w:cs="Arial"/>
        </w:rPr>
        <w:t>of a representative sample of Californians, it was found that only 17</w:t>
      </w:r>
      <w:r w:rsidR="00F76EE9">
        <w:rPr>
          <w:rFonts w:cs="Arial"/>
        </w:rPr>
        <w:t>%</w:t>
      </w:r>
      <w:r w:rsidRPr="00E867F6">
        <w:rPr>
          <w:rFonts w:cs="Arial"/>
        </w:rPr>
        <w:t xml:space="preserve"> of individuals had accessed publicly reported quality information on hospitals, with just </w:t>
      </w:r>
      <w:r w:rsidR="002B7DD0">
        <w:rPr>
          <w:rFonts w:cs="Arial"/>
        </w:rPr>
        <w:t>1%</w:t>
      </w:r>
      <w:r w:rsidRPr="00E867F6">
        <w:rPr>
          <w:rFonts w:cs="Arial"/>
        </w:rPr>
        <w:t xml:space="preserve"> indicating </w:t>
      </w:r>
      <w:r w:rsidR="00C761BC">
        <w:rPr>
          <w:rFonts w:cs="Arial"/>
        </w:rPr>
        <w:t xml:space="preserve">that </w:t>
      </w:r>
      <w:r w:rsidRPr="00E867F6">
        <w:rPr>
          <w:rFonts w:cs="Arial"/>
        </w:rPr>
        <w:t>they had made a change in their se</w:t>
      </w:r>
      <w:r w:rsidR="00C761BC">
        <w:rPr>
          <w:rFonts w:cs="Arial"/>
        </w:rPr>
        <w:t>lection of provider based on the</w:t>
      </w:r>
      <w:r w:rsidRPr="00E867F6">
        <w:rPr>
          <w:rFonts w:cs="Arial"/>
        </w:rPr>
        <w:t>s</w:t>
      </w:r>
      <w:r w:rsidR="00C761BC">
        <w:rPr>
          <w:rFonts w:cs="Arial"/>
        </w:rPr>
        <w:t>e</w:t>
      </w:r>
      <w:r w:rsidRPr="00E867F6">
        <w:rPr>
          <w:rFonts w:cs="Arial"/>
        </w:rPr>
        <w:t xml:space="preserve"> data.</w:t>
      </w:r>
      <w:r w:rsidRPr="00E867F6">
        <w:rPr>
          <w:rStyle w:val="EndnoteReference"/>
          <w:rFonts w:cs="Arial"/>
        </w:rPr>
        <w:endnoteReference w:id="30"/>
      </w:r>
      <w:r w:rsidRPr="00E867F6">
        <w:rPr>
          <w:rFonts w:cs="Arial"/>
        </w:rPr>
        <w:t xml:space="preserve"> </w:t>
      </w:r>
    </w:p>
    <w:p w14:paraId="5A81C606" w14:textId="0974E2E8" w:rsidR="009A3F7C" w:rsidRPr="00E867F6" w:rsidRDefault="009A3F7C" w:rsidP="00F5322E">
      <w:pPr>
        <w:rPr>
          <w:rFonts w:cs="Arial"/>
        </w:rPr>
      </w:pPr>
      <w:proofErr w:type="spellStart"/>
      <w:r w:rsidRPr="00E867F6">
        <w:rPr>
          <w:rFonts w:cs="Arial"/>
        </w:rPr>
        <w:t>Kumpunen</w:t>
      </w:r>
      <w:proofErr w:type="spellEnd"/>
      <w:r w:rsidRPr="00E867F6">
        <w:rPr>
          <w:rFonts w:cs="Arial"/>
        </w:rPr>
        <w:t xml:space="preserve"> </w:t>
      </w:r>
      <w:r>
        <w:rPr>
          <w:rFonts w:cs="Arial"/>
        </w:rPr>
        <w:t>et al.</w:t>
      </w:r>
      <w:r w:rsidRPr="00E867F6">
        <w:rPr>
          <w:rFonts w:cs="Arial"/>
        </w:rPr>
        <w:t xml:space="preserve"> also reviewed the literature for evidence of public reporting influencing consumer behaviours. They identified some limited evidence of a small increase in patient volumes following the publication of the outcomes of cardiac surgery in New York in the early </w:t>
      </w:r>
      <w:proofErr w:type="gramStart"/>
      <w:r w:rsidRPr="00E867F6">
        <w:rPr>
          <w:rFonts w:cs="Arial"/>
        </w:rPr>
        <w:t>1990s</w:t>
      </w:r>
      <w:r w:rsidR="00161686">
        <w:rPr>
          <w:rFonts w:cs="Arial"/>
        </w:rPr>
        <w:t xml:space="preserve"> </w:t>
      </w:r>
      <w:proofErr w:type="gramEnd"/>
      <w:r w:rsidRPr="00E867F6">
        <w:rPr>
          <w:rStyle w:val="EndnoteReference"/>
          <w:rFonts w:cs="Arial"/>
        </w:rPr>
        <w:endnoteReference w:id="31"/>
      </w:r>
      <w:r w:rsidRPr="00E867F6">
        <w:rPr>
          <w:rFonts w:cs="Arial"/>
        </w:rPr>
        <w:t xml:space="preserve">; however, a number of other studies have yet to find any effect. Further evidence they reviewed from the Netherlands and the </w:t>
      </w:r>
      <w:r w:rsidR="00C761BC">
        <w:rPr>
          <w:rFonts w:cs="Arial"/>
        </w:rPr>
        <w:t>United Kingdom</w:t>
      </w:r>
      <w:r w:rsidRPr="00E867F6">
        <w:rPr>
          <w:rFonts w:cs="Arial"/>
        </w:rPr>
        <w:t xml:space="preserve"> showed only between </w:t>
      </w:r>
      <w:r w:rsidR="002D1372">
        <w:rPr>
          <w:rFonts w:cs="Arial"/>
        </w:rPr>
        <w:t>3-4%</w:t>
      </w:r>
      <w:r w:rsidRPr="00E867F6">
        <w:rPr>
          <w:rFonts w:cs="Arial"/>
        </w:rPr>
        <w:t xml:space="preserve"> of people had accessed available quality information before making a choice about a hospital. Even high-profile investigations and publication of reports and newspaper coverage of problems with infections in three hospitals in England did not prompt patients to switch hospitals. The authors also found research from the US</w:t>
      </w:r>
      <w:r w:rsidR="004F4936">
        <w:rPr>
          <w:rFonts w:cs="Arial"/>
        </w:rPr>
        <w:t>A</w:t>
      </w:r>
      <w:r w:rsidRPr="00E867F6">
        <w:rPr>
          <w:rFonts w:cs="Arial"/>
        </w:rPr>
        <w:t xml:space="preserve"> that indicated individuals were more likely to spend more time researching the quality of a car or fridge before purchasing than researching a hospital before having a surgical procedure.</w:t>
      </w:r>
    </w:p>
    <w:p w14:paraId="3F96ABB2" w14:textId="70C35126" w:rsidR="009A3F7C" w:rsidRPr="00E867F6" w:rsidRDefault="00CC607C" w:rsidP="00ED05C2">
      <w:pPr>
        <w:pStyle w:val="Heading3"/>
      </w:pPr>
      <w:r>
        <w:t xml:space="preserve">Influencing </w:t>
      </w:r>
      <w:r w:rsidR="009A3F7C" w:rsidRPr="00E867F6">
        <w:t>clinical safety and quality improvement activities</w:t>
      </w:r>
    </w:p>
    <w:p w14:paraId="1245AB80" w14:textId="23A8AFFE" w:rsidR="009A3F7C" w:rsidRPr="00E867F6" w:rsidRDefault="009A3F7C" w:rsidP="00F5322E">
      <w:pPr>
        <w:rPr>
          <w:rFonts w:cs="Arial"/>
        </w:rPr>
      </w:pPr>
      <w:r w:rsidRPr="00E867F6">
        <w:rPr>
          <w:rFonts w:cs="Arial"/>
        </w:rPr>
        <w:t>From a healthcare provider perspective, there is evidence to suggest that public reporting stimulates ongoing quality improvement activities. In a survey of hospital leaders from 380 hospitals on the indicators found on the US</w:t>
      </w:r>
      <w:r w:rsidR="004F4936">
        <w:rPr>
          <w:rFonts w:cs="Arial"/>
        </w:rPr>
        <w:t>A</w:t>
      </w:r>
      <w:r w:rsidRPr="00E867F6">
        <w:rPr>
          <w:rFonts w:cs="Arial"/>
        </w:rPr>
        <w:t xml:space="preserve"> Centre for Medicare &amp; Medicaid Services Hospital Compare website conducted in 2012, more than 70</w:t>
      </w:r>
      <w:r w:rsidR="00F76EE9">
        <w:rPr>
          <w:rFonts w:cs="Arial"/>
        </w:rPr>
        <w:t>%</w:t>
      </w:r>
      <w:r w:rsidRPr="00E867F6">
        <w:rPr>
          <w:rFonts w:cs="Arial"/>
        </w:rPr>
        <w:t xml:space="preserve"> agreed with the statement that</w:t>
      </w:r>
      <w:r w:rsidR="00ED05C2">
        <w:rPr>
          <w:rFonts w:cs="Arial"/>
        </w:rPr>
        <w:t xml:space="preserve"> ‘</w:t>
      </w:r>
      <w:r w:rsidRPr="00E867F6">
        <w:rPr>
          <w:rFonts w:cs="Arial"/>
        </w:rPr>
        <w:t>public reporting stimulates quality improve</w:t>
      </w:r>
      <w:r w:rsidR="00ED05C2">
        <w:rPr>
          <w:rFonts w:cs="Arial"/>
        </w:rPr>
        <w:t>ment activity at my institution’</w:t>
      </w:r>
      <w:r w:rsidRPr="00E867F6">
        <w:rPr>
          <w:rFonts w:cs="Arial"/>
        </w:rPr>
        <w:t>.</w:t>
      </w:r>
      <w:r w:rsidRPr="00E867F6">
        <w:rPr>
          <w:rStyle w:val="EndnoteReference"/>
          <w:rFonts w:cs="Arial"/>
        </w:rPr>
        <w:endnoteReference w:id="32"/>
      </w:r>
      <w:r w:rsidR="00161686">
        <w:rPr>
          <w:rFonts w:cs="Arial"/>
        </w:rPr>
        <w:t xml:space="preserve"> </w:t>
      </w:r>
      <w:r w:rsidR="002C0DF5">
        <w:rPr>
          <w:rFonts w:cs="Arial"/>
        </w:rPr>
        <w:t>A</w:t>
      </w:r>
      <w:r w:rsidRPr="00E867F6">
        <w:rPr>
          <w:rFonts w:cs="Arial"/>
        </w:rPr>
        <w:t xml:space="preserve"> systematic review undertaken by the US</w:t>
      </w:r>
      <w:r w:rsidR="004F4936">
        <w:rPr>
          <w:rFonts w:cs="Arial"/>
        </w:rPr>
        <w:t>A</w:t>
      </w:r>
      <w:r w:rsidRPr="00E867F6">
        <w:rPr>
          <w:rFonts w:cs="Arial"/>
        </w:rPr>
        <w:t xml:space="preserve"> Agency for Healthcare Research and Quality in 2012 indicated that there is a high strength of evidence that public reporting is more likely to result in improvements in quality if the clinician or hospital organisation is operating within a competitive market.</w:t>
      </w:r>
      <w:r w:rsidRPr="00E867F6">
        <w:rPr>
          <w:rStyle w:val="EndnoteReference"/>
          <w:rFonts w:cs="Arial"/>
        </w:rPr>
        <w:endnoteReference w:id="33"/>
      </w:r>
      <w:r w:rsidRPr="00E867F6">
        <w:rPr>
          <w:rFonts w:cs="Arial"/>
        </w:rPr>
        <w:t xml:space="preserve"> This has implications for the Australian context, particularly the potential relative efficacy of public reporting on the public and private sectors. </w:t>
      </w:r>
    </w:p>
    <w:p w14:paraId="15D10D31" w14:textId="5C75B2F4" w:rsidR="009A3F7C" w:rsidRPr="00E867F6" w:rsidRDefault="009A3F7C" w:rsidP="00F5322E">
      <w:pPr>
        <w:rPr>
          <w:rFonts w:cs="Arial"/>
        </w:rPr>
      </w:pPr>
      <w:r w:rsidRPr="00E867F6">
        <w:rPr>
          <w:rFonts w:cs="Arial"/>
        </w:rPr>
        <w:t>Evidence of benefits from public reporting at the hospital level is typically identified through increased quality improvement activities, overall performance</w:t>
      </w:r>
      <w:r w:rsidR="002C0DF5">
        <w:rPr>
          <w:rFonts w:cs="Arial"/>
        </w:rPr>
        <w:t xml:space="preserve"> and </w:t>
      </w:r>
      <w:r w:rsidRPr="00E867F6">
        <w:rPr>
          <w:rFonts w:cs="Arial"/>
        </w:rPr>
        <w:t>outcomes</w:t>
      </w:r>
      <w:r w:rsidR="002C0DF5">
        <w:rPr>
          <w:rFonts w:cs="Arial"/>
        </w:rPr>
        <w:t>,</w:t>
      </w:r>
      <w:r w:rsidRPr="00E867F6">
        <w:rPr>
          <w:rFonts w:cs="Arial"/>
        </w:rPr>
        <w:t xml:space="preserve"> or both. A RAND Corporation report on the experience of public reporting in seven countries cited a </w:t>
      </w:r>
      <w:r w:rsidRPr="00E867F6">
        <w:rPr>
          <w:rFonts w:cs="Arial"/>
        </w:rPr>
        <w:lastRenderedPageBreak/>
        <w:t>number of studies from the US</w:t>
      </w:r>
      <w:r w:rsidR="004F4936">
        <w:rPr>
          <w:rFonts w:cs="Arial"/>
        </w:rPr>
        <w:t>A</w:t>
      </w:r>
      <w:r w:rsidRPr="00E867F6">
        <w:rPr>
          <w:rFonts w:cs="Arial"/>
        </w:rPr>
        <w:t xml:space="preserve"> that highlighted quality improvements that were likely due to public reporting initiatives. This included research demonstrating how hospitals improved in clinical areas following the public release of performance data on those areas. </w:t>
      </w:r>
    </w:p>
    <w:p w14:paraId="0FF3D36A" w14:textId="1E1A5756" w:rsidR="009A3F7C" w:rsidRPr="00E867F6" w:rsidRDefault="009A3F7C" w:rsidP="00F5322E">
      <w:pPr>
        <w:rPr>
          <w:rFonts w:cs="Arial"/>
        </w:rPr>
      </w:pPr>
      <w:r w:rsidRPr="00E867F6">
        <w:rPr>
          <w:rFonts w:cs="Arial"/>
        </w:rPr>
        <w:t>Other cited research demonstrated how patients receiving treatment in hospitals that were subject to public reporting had a significantly lower risk of in-hospital mortality for a range of frequent, high mortality conditions, compared with those receiving treatment in other areas with limited or no public reporting.</w:t>
      </w:r>
      <w:r w:rsidRPr="00E867F6">
        <w:rPr>
          <w:rStyle w:val="EndnoteReference"/>
          <w:rFonts w:cs="Arial"/>
        </w:rPr>
        <w:endnoteReference w:id="34"/>
      </w:r>
      <w:r w:rsidRPr="00E867F6">
        <w:rPr>
          <w:rFonts w:cs="Arial"/>
        </w:rPr>
        <w:t xml:space="preserve"> </w:t>
      </w:r>
      <w:proofErr w:type="spellStart"/>
      <w:r w:rsidRPr="00E867F6">
        <w:rPr>
          <w:rFonts w:cs="Arial"/>
        </w:rPr>
        <w:t>Tu</w:t>
      </w:r>
      <w:proofErr w:type="spellEnd"/>
      <w:r w:rsidRPr="00E867F6">
        <w:rPr>
          <w:rFonts w:cs="Arial"/>
        </w:rPr>
        <w:t xml:space="preserve"> </w:t>
      </w:r>
      <w:r>
        <w:rPr>
          <w:rFonts w:cs="Arial"/>
        </w:rPr>
        <w:t>et al.</w:t>
      </w:r>
      <w:r w:rsidRPr="00E867F6">
        <w:rPr>
          <w:rFonts w:cs="Arial"/>
        </w:rPr>
        <w:t xml:space="preserve"> undertook a cluster randomised trial to determine whether publicly-released report card data could improve the quality of cardiac care in Ontario, Canada. They found the public release of hospital-specific quality indicators did not significantly improve the process-of-care indicators for </w:t>
      </w:r>
      <w:r w:rsidR="00F76EE9" w:rsidRPr="00F76EE9">
        <w:rPr>
          <w:rFonts w:cs="Arial"/>
        </w:rPr>
        <w:t>acute myocardial infarction</w:t>
      </w:r>
      <w:r w:rsidR="00F76EE9" w:rsidRPr="00F76EE9" w:rsidDel="00F76EE9">
        <w:rPr>
          <w:rFonts w:cs="Arial"/>
        </w:rPr>
        <w:t xml:space="preserve"> </w:t>
      </w:r>
      <w:r w:rsidRPr="00E867F6">
        <w:rPr>
          <w:rFonts w:cs="Arial"/>
        </w:rPr>
        <w:t xml:space="preserve">or </w:t>
      </w:r>
      <w:r w:rsidR="00F76EE9" w:rsidRPr="00F76EE9">
        <w:rPr>
          <w:rFonts w:cs="Arial"/>
        </w:rPr>
        <w:t>congestive heart failure</w:t>
      </w:r>
      <w:r w:rsidRPr="00E867F6">
        <w:rPr>
          <w:rFonts w:cs="Arial"/>
        </w:rPr>
        <w:t>. However, the data potentially stimulated hospital-specific changes in the delivery of care that may have contributed to the better outcomes observed at the hospitals that received early feedback (as opposed to a second group that received delayed feedback on their indicators).</w:t>
      </w:r>
      <w:r w:rsidRPr="00E867F6">
        <w:rPr>
          <w:rStyle w:val="EndnoteReference"/>
          <w:rFonts w:cs="Arial"/>
        </w:rPr>
        <w:endnoteReference w:id="35"/>
      </w:r>
    </w:p>
    <w:p w14:paraId="18024F58" w14:textId="77777777" w:rsidR="009A3F7C" w:rsidRPr="00E867F6" w:rsidRDefault="009A3F7C" w:rsidP="00F5322E">
      <w:pPr>
        <w:rPr>
          <w:rFonts w:cs="Arial"/>
        </w:rPr>
      </w:pPr>
      <w:r w:rsidRPr="00E867F6">
        <w:rPr>
          <w:rFonts w:cs="Arial"/>
        </w:rPr>
        <w:t>In a separate RAND Corporation systematic review undertaken to identify if public release of performance results leads to improve care quality, 18 relevant studies were identified. In particular, there were a number of studies that identified a decline in risk-adjusted mortality rates following the introduction of the New York State Cardiac Surgery Reporting System discussed above.</w:t>
      </w:r>
      <w:r w:rsidRPr="00E867F6">
        <w:rPr>
          <w:rStyle w:val="EndnoteReference"/>
          <w:rFonts w:cs="Arial"/>
        </w:rPr>
        <w:endnoteReference w:id="36"/>
      </w:r>
      <w:r w:rsidRPr="00E867F6">
        <w:rPr>
          <w:rFonts w:cs="Arial"/>
        </w:rPr>
        <w:t xml:space="preserve"> However, the authors have cautioned that attributing public reporting as the cause of declining mortality rates is problematic and also noted that there were other studies cited in the review, which did not demonstrate similar results. </w:t>
      </w:r>
    </w:p>
    <w:p w14:paraId="2BAAA189" w14:textId="76CE27D0" w:rsidR="009A3F7C" w:rsidRPr="00E867F6" w:rsidRDefault="009A3F7C" w:rsidP="00F5322E">
      <w:pPr>
        <w:rPr>
          <w:rFonts w:cs="Arial"/>
        </w:rPr>
      </w:pPr>
      <w:r w:rsidRPr="00E867F6">
        <w:rPr>
          <w:rFonts w:cs="Arial"/>
        </w:rPr>
        <w:t>Hospitals identified as outliers through the public reporting of coronary artery bypass graft (CABG) surgery outcomes were subject to sanction by the New York Department of Health. Winthrop University Hospital’s cardiac surgery program was put on probation because it had one of the highest risk-adjusted mortality rates. The hospital undertook a detailed review and hired a full-time head of cardiac surgery in response. The operational changes arising from the review and new staffing structure had a strong positive impact</w:t>
      </w:r>
      <w:r w:rsidR="00D9305F">
        <w:rPr>
          <w:rFonts w:cs="Arial"/>
        </w:rPr>
        <w:t xml:space="preserve"> and r</w:t>
      </w:r>
      <w:r w:rsidRPr="00E867F6">
        <w:rPr>
          <w:rFonts w:cs="Arial"/>
        </w:rPr>
        <w:t>isk-adjusted mortality at the hospital fell from 9.2</w:t>
      </w:r>
      <w:r w:rsidR="00D9305F">
        <w:rPr>
          <w:rFonts w:cs="Arial"/>
        </w:rPr>
        <w:t>%</w:t>
      </w:r>
      <w:r w:rsidRPr="00E867F6">
        <w:rPr>
          <w:rFonts w:cs="Arial"/>
        </w:rPr>
        <w:t xml:space="preserve"> in 1989 to 2.3</w:t>
      </w:r>
      <w:r w:rsidR="00D9305F">
        <w:rPr>
          <w:rFonts w:cs="Arial"/>
        </w:rPr>
        <w:t>%</w:t>
      </w:r>
      <w:r w:rsidRPr="00E867F6">
        <w:rPr>
          <w:rFonts w:cs="Arial"/>
        </w:rPr>
        <w:t xml:space="preserve"> in 1991.</w:t>
      </w:r>
      <w:r w:rsidRPr="00E867F6">
        <w:rPr>
          <w:rStyle w:val="EndnoteReference"/>
          <w:rFonts w:cs="Arial"/>
        </w:rPr>
        <w:endnoteReference w:id="37"/>
      </w:r>
    </w:p>
    <w:p w14:paraId="46A17ADB" w14:textId="64319AD2" w:rsidR="005A7A12" w:rsidRPr="00E867F6" w:rsidRDefault="009A3F7C" w:rsidP="002D1372">
      <w:pPr>
        <w:spacing w:after="240"/>
        <w:rPr>
          <w:rFonts w:cs="Arial"/>
        </w:rPr>
      </w:pPr>
      <w:r w:rsidRPr="00E867F6">
        <w:rPr>
          <w:rFonts w:cs="Arial"/>
        </w:rPr>
        <w:t xml:space="preserve">Hibbard </w:t>
      </w:r>
      <w:r>
        <w:rPr>
          <w:rFonts w:cs="Arial"/>
        </w:rPr>
        <w:t>et al.</w:t>
      </w:r>
      <w:r w:rsidRPr="00E867F6">
        <w:rPr>
          <w:rFonts w:cs="Arial"/>
        </w:rPr>
        <w:t xml:space="preserve"> compared the performance of 24 hospitals in south central Wisconsin, allocated to three groups: those which published the </w:t>
      </w:r>
      <w:r>
        <w:rPr>
          <w:rFonts w:cs="Arial"/>
        </w:rPr>
        <w:t>‘</w:t>
      </w:r>
      <w:proofErr w:type="spellStart"/>
      <w:r w:rsidRPr="00E867F6">
        <w:rPr>
          <w:rFonts w:cs="Arial"/>
        </w:rPr>
        <w:t>QualityCounts</w:t>
      </w:r>
      <w:proofErr w:type="spellEnd"/>
      <w:r>
        <w:rPr>
          <w:rFonts w:cs="Arial"/>
        </w:rPr>
        <w:t>’</w:t>
      </w:r>
      <w:r w:rsidRPr="00E867F6">
        <w:rPr>
          <w:rFonts w:cs="Arial"/>
        </w:rPr>
        <w:t xml:space="preserve"> quality measures externally; those who published internally; and those who did not publish at all. Measures were taken before and after publication. Hospitals were rated as better than expected (fewer deaths/complications), worse than expected, or as expected. There was wide press coverage and substantial public interest and dissemination of this information. Their research indicated hospitals that reported publicly put more quality improvement activities in place, and subsequently showed clear improvements in performance, compared with hospitals that reported internally or not at all.</w:t>
      </w:r>
      <w:r w:rsidRPr="00E867F6">
        <w:rPr>
          <w:rStyle w:val="EndnoteReference"/>
          <w:rFonts w:cs="Arial"/>
        </w:rPr>
        <w:endnoteReference w:id="38"/>
      </w:r>
      <w:r w:rsidRPr="00E867F6">
        <w:rPr>
          <w:rFonts w:cs="Arial"/>
        </w:rPr>
        <w:t xml:space="preserve"> </w:t>
      </w:r>
    </w:p>
    <w:p w14:paraId="499A0E33" w14:textId="77777777" w:rsidR="009A3F7C" w:rsidRPr="00E867F6" w:rsidRDefault="009A3F7C" w:rsidP="00171F17">
      <w:pPr>
        <w:rPr>
          <w:rFonts w:cs="Arial"/>
        </w:rPr>
      </w:pPr>
      <w:r w:rsidRPr="00E867F6">
        <w:rPr>
          <w:rFonts w:cs="Arial"/>
          <w:noProof/>
        </w:rPr>
        <mc:AlternateContent>
          <mc:Choice Requires="wps">
            <w:drawing>
              <wp:inline distT="0" distB="0" distL="0" distR="0" wp14:anchorId="31918BBA" wp14:editId="5EEB9FE3">
                <wp:extent cx="5759450" cy="1333500"/>
                <wp:effectExtent l="0" t="0" r="0" b="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333500"/>
                        </a:xfrm>
                        <a:prstGeom prst="rect">
                          <a:avLst/>
                        </a:prstGeom>
                        <a:solidFill>
                          <a:schemeClr val="tx2">
                            <a:lumMod val="20000"/>
                            <a:lumOff val="80000"/>
                          </a:schemeClr>
                        </a:solidFill>
                        <a:ln w="9525">
                          <a:noFill/>
                          <a:miter lim="800000"/>
                          <a:headEnd/>
                          <a:tailEnd/>
                        </a:ln>
                      </wps:spPr>
                      <wps:txbx>
                        <w:txbxContent>
                          <w:p w14:paraId="3059C785" w14:textId="77777777" w:rsidR="00F70157" w:rsidRPr="005E6578" w:rsidRDefault="00F70157" w:rsidP="008F38F1">
                            <w:pPr>
                              <w:rPr>
                                <w:b/>
                              </w:rPr>
                            </w:pPr>
                            <w:r w:rsidRPr="005E6578">
                              <w:rPr>
                                <w:b/>
                              </w:rPr>
                              <w:t>Finding summary</w:t>
                            </w:r>
                          </w:p>
                          <w:p w14:paraId="7F48146D" w14:textId="7FCAA8D4" w:rsidR="00F70157" w:rsidRDefault="00F70157" w:rsidP="008F38F1">
                            <w:r>
                              <w:t xml:space="preserve">There is limited evidence of public reporting influencing consumer behaviours. There is more evidence in the literature that public reporting has had a positive influence on provider quality improvement activities, particularly in the USA. </w:t>
                            </w:r>
                            <w:r w:rsidRPr="00E867F6">
                              <w:rPr>
                                <w:rFonts w:cs="Arial"/>
                              </w:rPr>
                              <w:t>Evidence of benefits from public reporting at the hospital level is typically identified through increased quality improvement activities, overall performance</w:t>
                            </w:r>
                            <w:r>
                              <w:rPr>
                                <w:rFonts w:cs="Arial"/>
                              </w:rPr>
                              <w:t xml:space="preserve"> and </w:t>
                            </w:r>
                            <w:r w:rsidRPr="00E867F6">
                              <w:rPr>
                                <w:rFonts w:cs="Arial"/>
                              </w:rPr>
                              <w:t>outcomes</w:t>
                            </w:r>
                            <w:r>
                              <w:rPr>
                                <w:rFonts w:cs="Arial"/>
                              </w:rPr>
                              <w:t>,</w:t>
                            </w:r>
                            <w:r w:rsidRPr="00E867F6">
                              <w:rPr>
                                <w:rFonts w:cs="Arial"/>
                              </w:rPr>
                              <w:t xml:space="preserve"> or both.</w:t>
                            </w:r>
                          </w:p>
                        </w:txbxContent>
                      </wps:txbx>
                      <wps:bodyPr rot="0" vert="horz" wrap="square" lIns="91440" tIns="45720" rIns="91440" bIns="45720" anchor="t" anchorCtr="0">
                        <a:noAutofit/>
                      </wps:bodyPr>
                    </wps:wsp>
                  </a:graphicData>
                </a:graphic>
              </wp:inline>
            </w:drawing>
          </mc:Choice>
          <mc:Fallback>
            <w:pict>
              <v:shape id="Text Box 2" o:spid="_x0000_s1028" type="#_x0000_t202" style="width:453.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" fillcolor="#c2e9f8 [671]" stroked="f">
                <v:textbox>
                  <w:txbxContent>
                    <w:p w14:paraId="3059C785" w14:textId="77777777" w:rsidR="00F70157" w:rsidRPr="005E6578" w:rsidRDefault="00F70157" w:rsidP="008F38F1">
                      <w:pPr>
                        <w:rPr>
                          <w:b/>
                        </w:rPr>
                      </w:pPr>
                      <w:r w:rsidRPr="005E6578">
                        <w:rPr>
                          <w:b/>
                        </w:rPr>
                        <w:t>Finding summary</w:t>
                      </w:r>
                    </w:p>
                    <w:p w14:paraId="7F48146D" w14:textId="7FCAA8D4" w:rsidR="00F70157" w:rsidRDefault="00F70157" w:rsidP="008F38F1">
                      <w:r>
                        <w:t xml:space="preserve">There is limited evidence of public reporting influencing consumer behaviours. There is more evidence in the literature that public reporting has had a positive influence on provider quality improvement activities, particularly in the USA. </w:t>
                      </w:r>
                      <w:r w:rsidRPr="00E867F6">
                        <w:rPr>
                          <w:rFonts w:cs="Arial"/>
                        </w:rPr>
                        <w:t>Evidence of benefits from public reporting at the hospital level is typically identified through increased quality improvement activities, overall performance</w:t>
                      </w:r>
                      <w:r>
                        <w:rPr>
                          <w:rFonts w:cs="Arial"/>
                        </w:rPr>
                        <w:t xml:space="preserve"> and </w:t>
                      </w:r>
                      <w:r w:rsidRPr="00E867F6">
                        <w:rPr>
                          <w:rFonts w:cs="Arial"/>
                        </w:rPr>
                        <w:t>outcomes</w:t>
                      </w:r>
                      <w:r>
                        <w:rPr>
                          <w:rFonts w:cs="Arial"/>
                        </w:rPr>
                        <w:t>,</w:t>
                      </w:r>
                      <w:r w:rsidRPr="00E867F6">
                        <w:rPr>
                          <w:rFonts w:cs="Arial"/>
                        </w:rPr>
                        <w:t xml:space="preserve"> or both.</w:t>
                      </w:r>
                    </w:p>
                  </w:txbxContent>
                </v:textbox>
                <w10:anchorlock/>
              </v:shape>
            </w:pict>
          </mc:Fallback>
        </mc:AlternateContent>
      </w:r>
    </w:p>
    <w:p w14:paraId="596B1F4A" w14:textId="77777777" w:rsidR="00E048E7" w:rsidRDefault="00E048E7">
      <w:pPr>
        <w:spacing w:after="80"/>
        <w:rPr>
          <w:rFonts w:cs="Arial"/>
          <w:b/>
          <w:iCs/>
          <w:color w:val="1178A2"/>
          <w:kern w:val="28"/>
          <w:sz w:val="32"/>
          <w:szCs w:val="28"/>
        </w:rPr>
      </w:pPr>
      <w:r>
        <w:br w:type="page"/>
      </w:r>
    </w:p>
    <w:p w14:paraId="361F99D6" w14:textId="7FA433FB" w:rsidR="009A3F7C" w:rsidRPr="00E867F6" w:rsidRDefault="009A3F7C" w:rsidP="00ED05C2">
      <w:pPr>
        <w:pStyle w:val="Heading2"/>
      </w:pPr>
      <w:bookmarkStart w:id="29" w:name="_Toc3195089"/>
      <w:r w:rsidRPr="00E867F6">
        <w:lastRenderedPageBreak/>
        <w:t>Barriers and challenges for consumers</w:t>
      </w:r>
      <w:bookmarkEnd w:id="29"/>
      <w:r w:rsidRPr="00E867F6">
        <w:t xml:space="preserve"> </w:t>
      </w:r>
    </w:p>
    <w:p w14:paraId="59AA7806" w14:textId="5C0087CD" w:rsidR="00316738" w:rsidRDefault="002B7DD0" w:rsidP="00ED05C2">
      <w:pPr>
        <w:pStyle w:val="Heading3"/>
      </w:pPr>
      <w:r>
        <w:t>Barriers to</w:t>
      </w:r>
      <w:r w:rsidR="00316738">
        <w:t xml:space="preserve"> </w:t>
      </w:r>
      <w:r w:rsidR="004B4AC8">
        <w:t xml:space="preserve">the </w:t>
      </w:r>
      <w:r>
        <w:t xml:space="preserve">use of </w:t>
      </w:r>
      <w:r w:rsidR="00316738">
        <w:t xml:space="preserve">reporting </w:t>
      </w:r>
      <w:r>
        <w:t>to inform consumer choice</w:t>
      </w:r>
    </w:p>
    <w:p w14:paraId="755D8260" w14:textId="34CDEB29" w:rsidR="009A3F7C" w:rsidRPr="00E867F6" w:rsidRDefault="009A3F7C" w:rsidP="00F5322E">
      <w:pPr>
        <w:rPr>
          <w:rFonts w:cs="Arial"/>
        </w:rPr>
      </w:pPr>
      <w:r w:rsidRPr="00E867F6">
        <w:rPr>
          <w:rFonts w:cs="Arial"/>
        </w:rPr>
        <w:t>Evidence suggests that the typical cost-benefit analysis</w:t>
      </w:r>
      <w:r w:rsidR="00D9305F">
        <w:rPr>
          <w:rFonts w:cs="Arial"/>
        </w:rPr>
        <w:t xml:space="preserve"> that</w:t>
      </w:r>
      <w:r w:rsidRPr="00E867F6">
        <w:rPr>
          <w:rFonts w:cs="Arial"/>
        </w:rPr>
        <w:t xml:space="preserve"> consumers may use when selecting other goods and services do</w:t>
      </w:r>
      <w:r w:rsidR="00D9305F">
        <w:rPr>
          <w:rFonts w:cs="Arial"/>
        </w:rPr>
        <w:t>es</w:t>
      </w:r>
      <w:r w:rsidRPr="00E867F6">
        <w:rPr>
          <w:rFonts w:cs="Arial"/>
        </w:rPr>
        <w:t xml:space="preserve"> not always apply in a health care context. Sixty per</w:t>
      </w:r>
      <w:r>
        <w:rPr>
          <w:rFonts w:cs="Arial"/>
        </w:rPr>
        <w:t xml:space="preserve"> </w:t>
      </w:r>
      <w:r w:rsidRPr="00E867F6">
        <w:rPr>
          <w:rFonts w:cs="Arial"/>
        </w:rPr>
        <w:t xml:space="preserve">cent of consumers said they would choose a hospital that was familiar over one that was rated </w:t>
      </w:r>
      <w:r w:rsidR="00161686">
        <w:rPr>
          <w:rFonts w:cs="Arial"/>
        </w:rPr>
        <w:t>‘</w:t>
      </w:r>
      <w:r w:rsidRPr="00E867F6">
        <w:rPr>
          <w:rFonts w:cs="Arial"/>
        </w:rPr>
        <w:t>much higher</w:t>
      </w:r>
      <w:r w:rsidR="00161686">
        <w:rPr>
          <w:rFonts w:cs="Arial"/>
        </w:rPr>
        <w:t>’</w:t>
      </w:r>
      <w:r w:rsidRPr="00E867F6">
        <w:rPr>
          <w:rFonts w:cs="Arial"/>
        </w:rPr>
        <w:t xml:space="preserve"> from a quality standpoint, assuming </w:t>
      </w:r>
      <w:r w:rsidR="00D9305F">
        <w:rPr>
          <w:rFonts w:cs="Arial"/>
        </w:rPr>
        <w:t xml:space="preserve">that </w:t>
      </w:r>
      <w:r w:rsidRPr="00E867F6">
        <w:rPr>
          <w:rFonts w:cs="Arial"/>
        </w:rPr>
        <w:t xml:space="preserve">no problems </w:t>
      </w:r>
      <w:r w:rsidR="00D9305F" w:rsidRPr="00D9305F">
        <w:rPr>
          <w:rFonts w:cs="Arial"/>
        </w:rPr>
        <w:t xml:space="preserve">had </w:t>
      </w:r>
      <w:r w:rsidRPr="00E867F6">
        <w:rPr>
          <w:rFonts w:cs="Arial"/>
        </w:rPr>
        <w:t>previously been experienced at the lower-rated facility by the consumer or his or her family members, according to research undertaken by the Kaiser Family Foundation.</w:t>
      </w:r>
      <w:r w:rsidRPr="00E867F6">
        <w:rPr>
          <w:rStyle w:val="EndnoteReference"/>
          <w:rFonts w:cs="Arial"/>
        </w:rPr>
        <w:endnoteReference w:id="39"/>
      </w:r>
    </w:p>
    <w:p w14:paraId="1F5FA2B3" w14:textId="197B9491" w:rsidR="009A3F7C" w:rsidRPr="00E867F6" w:rsidRDefault="009A3F7C" w:rsidP="00F5322E">
      <w:pPr>
        <w:rPr>
          <w:rFonts w:cs="Arial"/>
        </w:rPr>
      </w:pPr>
      <w:r w:rsidRPr="00E867F6">
        <w:rPr>
          <w:rFonts w:cs="Arial"/>
        </w:rPr>
        <w:t xml:space="preserve">A 2011 study of 16 community </w:t>
      </w:r>
      <w:proofErr w:type="spellStart"/>
      <w:r w:rsidRPr="00E867F6">
        <w:rPr>
          <w:rFonts w:cs="Arial"/>
        </w:rPr>
        <w:t>collaborative</w:t>
      </w:r>
      <w:r>
        <w:rPr>
          <w:rFonts w:cs="Arial"/>
        </w:rPr>
        <w:t>s</w:t>
      </w:r>
      <w:proofErr w:type="spellEnd"/>
      <w:r w:rsidRPr="00E867F6">
        <w:rPr>
          <w:rFonts w:cs="Arial"/>
        </w:rPr>
        <w:t xml:space="preserve"> undertaken by the US</w:t>
      </w:r>
      <w:r w:rsidR="004F4936">
        <w:rPr>
          <w:rFonts w:cs="Arial"/>
        </w:rPr>
        <w:t>A</w:t>
      </w:r>
      <w:r w:rsidRPr="00E867F6">
        <w:rPr>
          <w:rFonts w:cs="Arial"/>
        </w:rPr>
        <w:t>’</w:t>
      </w:r>
      <w:r w:rsidR="004F4936">
        <w:rPr>
          <w:rFonts w:cs="Arial"/>
        </w:rPr>
        <w:t>s</w:t>
      </w:r>
      <w:r w:rsidRPr="00E867F6">
        <w:rPr>
          <w:rFonts w:cs="Arial"/>
        </w:rPr>
        <w:t xml:space="preserve"> Agency for </w:t>
      </w:r>
      <w:r w:rsidRPr="0082058E">
        <w:rPr>
          <w:rFonts w:cs="Arial"/>
        </w:rPr>
        <w:t xml:space="preserve">Healthcare Research and Quality (AHRQ) found that some websites comparing hospital performance were </w:t>
      </w:r>
      <w:r w:rsidR="0082058E">
        <w:rPr>
          <w:rFonts w:cs="Arial"/>
        </w:rPr>
        <w:t xml:space="preserve">not used frequently </w:t>
      </w:r>
      <w:r w:rsidRPr="00E867F6">
        <w:rPr>
          <w:rFonts w:cs="Arial"/>
        </w:rPr>
        <w:t>by vulnerable populations, and only about half of those visiting the sites indicated they were likely to use the data to choose a hospital.</w:t>
      </w:r>
      <w:r w:rsidRPr="00E867F6">
        <w:rPr>
          <w:rStyle w:val="EndnoteReference"/>
          <w:rFonts w:cs="Arial"/>
        </w:rPr>
        <w:endnoteReference w:id="40"/>
      </w:r>
      <w:r w:rsidRPr="00E867F6">
        <w:rPr>
          <w:rFonts w:cs="Arial"/>
        </w:rPr>
        <w:t xml:space="preserve"> </w:t>
      </w:r>
    </w:p>
    <w:p w14:paraId="32F17064" w14:textId="77777777" w:rsidR="009A3F7C" w:rsidRPr="00E867F6" w:rsidRDefault="009A3F7C" w:rsidP="00F5322E">
      <w:pPr>
        <w:rPr>
          <w:rFonts w:cs="Arial"/>
        </w:rPr>
      </w:pPr>
      <w:r w:rsidRPr="00E867F6">
        <w:rPr>
          <w:rFonts w:cs="Arial"/>
        </w:rPr>
        <w:t>The AHRQ has identified four key challenges that potentially limit the positive impacts of presenting performance data to consumers. While these are US-centric, they are nevertheless informative in outlining the difficulties in impacting consumer behaviours.</w:t>
      </w:r>
      <w:r w:rsidRPr="00E867F6">
        <w:rPr>
          <w:rStyle w:val="EndnoteReference"/>
          <w:rFonts w:cs="Arial"/>
        </w:rPr>
        <w:endnoteReference w:id="41"/>
      </w:r>
      <w:r w:rsidRPr="00E867F6">
        <w:rPr>
          <w:rFonts w:cs="Arial"/>
        </w:rPr>
        <w:t xml:space="preserve">   These challenges include:</w:t>
      </w:r>
    </w:p>
    <w:p w14:paraId="73716B1D" w14:textId="61945EC5" w:rsidR="009A3F7C" w:rsidRPr="00E867F6" w:rsidRDefault="009A3F7C" w:rsidP="003661DE">
      <w:pPr>
        <w:pStyle w:val="ListBullet"/>
        <w:contextualSpacing w:val="0"/>
      </w:pPr>
      <w:r w:rsidRPr="00E867F6">
        <w:t>Consumers are not aware that there is a quality gap</w:t>
      </w:r>
      <w:r w:rsidR="00582D17">
        <w:t>, with</w:t>
      </w:r>
      <w:r w:rsidRPr="00E867F6">
        <w:t xml:space="preserve"> messages about the </w:t>
      </w:r>
      <w:r w:rsidR="003661DE">
        <w:t>‘</w:t>
      </w:r>
      <w:r w:rsidRPr="00E867F6">
        <w:t>significant and pervasive quality gaps in health care have been much less omnipresent</w:t>
      </w:r>
      <w:r w:rsidR="003661DE">
        <w:t>’</w:t>
      </w:r>
      <w:r w:rsidRPr="00E867F6">
        <w:t xml:space="preserve"> in the US</w:t>
      </w:r>
      <w:r w:rsidR="004F4936">
        <w:t>A</w:t>
      </w:r>
      <w:r w:rsidRPr="00E867F6">
        <w:t xml:space="preserve"> than broader messaging that the US</w:t>
      </w:r>
      <w:r w:rsidR="004F4936">
        <w:t>A</w:t>
      </w:r>
      <w:r w:rsidR="00E21E79">
        <w:t xml:space="preserve"> has the most advanced health</w:t>
      </w:r>
      <w:r w:rsidRPr="00E867F6">
        <w:t>care system in the world</w:t>
      </w:r>
    </w:p>
    <w:p w14:paraId="61273FFA" w14:textId="65B8DF9C" w:rsidR="009A3F7C" w:rsidRPr="00E867F6" w:rsidRDefault="009A3F7C" w:rsidP="003661DE">
      <w:pPr>
        <w:pStyle w:val="ListBullet"/>
        <w:contextualSpacing w:val="0"/>
      </w:pPr>
      <w:r w:rsidRPr="00E867F6">
        <w:t>Consumers and clinical experts define quality differently</w:t>
      </w:r>
      <w:r w:rsidR="00582D17">
        <w:t>, with</w:t>
      </w:r>
      <w:r w:rsidRPr="00E867F6">
        <w:t xml:space="preserve"> consumers tend</w:t>
      </w:r>
      <w:r w:rsidR="00582D17">
        <w:t>ing</w:t>
      </w:r>
      <w:r w:rsidRPr="00E867F6">
        <w:t xml:space="preserve"> to value affordability, access and doctors’ qualifications over the more complex clinical and patient outcome measures that public reporting currently tends to involve </w:t>
      </w:r>
    </w:p>
    <w:p w14:paraId="39CE512F" w14:textId="6394CDB8" w:rsidR="009A3F7C" w:rsidRPr="00E867F6" w:rsidRDefault="009A3F7C" w:rsidP="003661DE">
      <w:pPr>
        <w:pStyle w:val="ListBullet"/>
        <w:contextualSpacing w:val="0"/>
      </w:pPr>
      <w:r w:rsidRPr="00E867F6">
        <w:t xml:space="preserve">Existing public reporting measures are complicated and not meaningful to </w:t>
      </w:r>
      <w:proofErr w:type="spellStart"/>
      <w:r w:rsidRPr="00E867F6">
        <w:t>consumers</w:t>
      </w:r>
      <w:r w:rsidR="00582D17">
        <w:t>,</w:t>
      </w:r>
      <w:r w:rsidRPr="00E867F6">
        <w:t>cit</w:t>
      </w:r>
      <w:r w:rsidR="00582D17">
        <w:t>ing</w:t>
      </w:r>
      <w:proofErr w:type="spellEnd"/>
      <w:r w:rsidR="00582D17">
        <w:t xml:space="preserve"> </w:t>
      </w:r>
      <w:r w:rsidRPr="00E867F6">
        <w:t>length of stay (LOS) indicators</w:t>
      </w:r>
      <w:r w:rsidR="00582D17">
        <w:t xml:space="preserve"> as an example</w:t>
      </w:r>
      <w:r w:rsidRPr="00E867F6">
        <w:t xml:space="preserve">, which some consumers interpret </w:t>
      </w:r>
      <w:r w:rsidR="00582D17">
        <w:t>as</w:t>
      </w:r>
      <w:r w:rsidR="00582D17" w:rsidRPr="00E867F6">
        <w:t xml:space="preserve"> </w:t>
      </w:r>
      <w:r w:rsidRPr="00E867F6">
        <w:t>they are more likely to be allowed to stay longer to complete their recovery and rehabilitation</w:t>
      </w:r>
    </w:p>
    <w:p w14:paraId="3B0D391D" w14:textId="77AD4989" w:rsidR="009A3F7C" w:rsidRPr="00E867F6" w:rsidRDefault="009A3F7C" w:rsidP="003661DE">
      <w:pPr>
        <w:pStyle w:val="ListBullet"/>
        <w:contextualSpacing w:val="0"/>
      </w:pPr>
      <w:r w:rsidRPr="00E867F6">
        <w:t>Making informed choices based on existing public reporting measures is cognitively challenging</w:t>
      </w:r>
      <w:r w:rsidR="00582D17">
        <w:t xml:space="preserve"> and giving people </w:t>
      </w:r>
      <w:r w:rsidR="0004756D">
        <w:t>large amounts</w:t>
      </w:r>
      <w:r w:rsidR="00582D17">
        <w:t xml:space="preserve"> of information </w:t>
      </w:r>
      <w:r w:rsidR="0004756D">
        <w:t xml:space="preserve">to make a choice </w:t>
      </w:r>
      <w:r w:rsidR="00582D17">
        <w:t xml:space="preserve">can be counterproductive. </w:t>
      </w:r>
    </w:p>
    <w:p w14:paraId="0554DA7E" w14:textId="71F80262" w:rsidR="009A3F7C" w:rsidRPr="00E867F6" w:rsidRDefault="009A3F7C" w:rsidP="00D6551E">
      <w:pPr>
        <w:pStyle w:val="BodyText"/>
      </w:pPr>
      <w:r w:rsidRPr="00E867F6">
        <w:t>The final point above is a particularly important consideration and relevant not just in the US</w:t>
      </w:r>
      <w:r w:rsidR="004F4936">
        <w:t>A</w:t>
      </w:r>
      <w:r w:rsidRPr="00E867F6">
        <w:t xml:space="preserve"> but across any health system that has public reporting in place. As the AHRQ research identifies, using public reporting to inform care choices involves three distinct tasks</w:t>
      </w:r>
      <w:r w:rsidR="0004756D">
        <w:t xml:space="preserve"> whereby</w:t>
      </w:r>
      <w:r w:rsidRPr="00E867F6">
        <w:t xml:space="preserve"> consumers must process a large amount of information</w:t>
      </w:r>
      <w:r w:rsidR="0004756D">
        <w:t>,</w:t>
      </w:r>
      <w:r w:rsidRPr="00E867F6">
        <w:t xml:space="preserve"> select relevant factors</w:t>
      </w:r>
      <w:r w:rsidR="0004756D">
        <w:t>,</w:t>
      </w:r>
      <w:r w:rsidRPr="00E867F6">
        <w:t xml:space="preserve"> and differentially weight them based on what is important to them and the specific choice they need to make at that time</w:t>
      </w:r>
      <w:r w:rsidR="0004756D">
        <w:t>.</w:t>
      </w:r>
      <w:r w:rsidRPr="00E867F6">
        <w:t xml:space="preserve"> T</w:t>
      </w:r>
      <w:r w:rsidR="00E21E79" w:rsidRPr="00E867F6">
        <w:t xml:space="preserve">he evidence suggests </w:t>
      </w:r>
      <w:r w:rsidR="00E21E79">
        <w:t>t</w:t>
      </w:r>
      <w:r w:rsidRPr="00E867F6">
        <w:t xml:space="preserve">hese are tasks </w:t>
      </w:r>
      <w:r w:rsidR="00E21E79">
        <w:t>that</w:t>
      </w:r>
      <w:r w:rsidRPr="00E867F6">
        <w:t xml:space="preserve"> </w:t>
      </w:r>
      <w:r w:rsidR="00E21E79">
        <w:t>people</w:t>
      </w:r>
      <w:r w:rsidRPr="00E867F6">
        <w:t xml:space="preserve"> are not very adept at undertaking</w:t>
      </w:r>
      <w:r w:rsidR="0004756D">
        <w:t>; for example differentially weighting factors according to their preferences</w:t>
      </w:r>
      <w:r w:rsidRPr="00E867F6">
        <w:t>.</w:t>
      </w:r>
      <w:r w:rsidRPr="00E867F6">
        <w:rPr>
          <w:rStyle w:val="EndnoteReference"/>
          <w:rFonts w:cs="Arial"/>
        </w:rPr>
        <w:endnoteReference w:id="42"/>
      </w:r>
    </w:p>
    <w:p w14:paraId="234EB5CB" w14:textId="5D5CAD4F" w:rsidR="009A3F7C" w:rsidRPr="00E867F6" w:rsidRDefault="009A3F7C" w:rsidP="00D6551E">
      <w:pPr>
        <w:pStyle w:val="BodyText"/>
      </w:pPr>
      <w:r w:rsidRPr="00E867F6">
        <w:t xml:space="preserve">As </w:t>
      </w:r>
      <w:proofErr w:type="spellStart"/>
      <w:r w:rsidRPr="00E867F6">
        <w:t>Cacace</w:t>
      </w:r>
      <w:proofErr w:type="spellEnd"/>
      <w:r w:rsidRPr="00E867F6">
        <w:t xml:space="preserve"> </w:t>
      </w:r>
      <w:r>
        <w:t>et al.</w:t>
      </w:r>
      <w:r w:rsidRPr="00E867F6">
        <w:t xml:space="preserve"> </w:t>
      </w:r>
      <w:r w:rsidR="00955CC9">
        <w:t xml:space="preserve">note, </w:t>
      </w:r>
      <w:r w:rsidR="00E21E79">
        <w:t xml:space="preserve">this problem is compounded because </w:t>
      </w:r>
      <w:r w:rsidRPr="00E867F6">
        <w:t xml:space="preserve">the information </w:t>
      </w:r>
      <w:r w:rsidR="00E21E79" w:rsidRPr="00E21E79">
        <w:t xml:space="preserve">typically </w:t>
      </w:r>
      <w:r w:rsidRPr="00E867F6">
        <w:t xml:space="preserve">published for consumers </w:t>
      </w:r>
      <w:r w:rsidR="00E21E79">
        <w:t>presents</w:t>
      </w:r>
      <w:r w:rsidRPr="00E867F6">
        <w:t xml:space="preserve"> t</w:t>
      </w:r>
      <w:r w:rsidR="00E21E79">
        <w:t>he same data aimed at informing</w:t>
      </w:r>
      <w:r w:rsidRPr="00E867F6">
        <w:t xml:space="preserve"> and healthca</w:t>
      </w:r>
      <w:r w:rsidR="00201356">
        <w:t xml:space="preserve">re </w:t>
      </w:r>
      <w:r w:rsidR="00E21E79">
        <w:t xml:space="preserve">administrators and </w:t>
      </w:r>
      <w:r w:rsidR="00201356" w:rsidRPr="00FE17B9">
        <w:t>policymakers. They note that</w:t>
      </w:r>
      <w:r w:rsidRPr="00FE17B9">
        <w:t xml:space="preserve"> many </w:t>
      </w:r>
      <w:r w:rsidR="00FE17B9" w:rsidRPr="00FE17B9">
        <w:t xml:space="preserve">information </w:t>
      </w:r>
      <w:r w:rsidRPr="00FE17B9">
        <w:t xml:space="preserve">systems </w:t>
      </w:r>
      <w:r w:rsidR="00FE17B9" w:rsidRPr="00FE17B9">
        <w:t xml:space="preserve">are </w:t>
      </w:r>
      <w:r w:rsidRPr="00FE17B9">
        <w:t>classified as p</w:t>
      </w:r>
      <w:r w:rsidR="00FE17B9" w:rsidRPr="00FE17B9">
        <w:t>rimarily aimed at commissioners and</w:t>
      </w:r>
      <w:r w:rsidRPr="00FE17B9">
        <w:t xml:space="preserve"> regulators a</w:t>
      </w:r>
      <w:r w:rsidR="00FE17B9" w:rsidRPr="00FE17B9">
        <w:t>nd also made publicly available,</w:t>
      </w:r>
      <w:r w:rsidRPr="00FE17B9">
        <w:t xml:space="preserve"> which</w:t>
      </w:r>
      <w:r w:rsidRPr="00E867F6">
        <w:t xml:space="preserve"> is not particularly useful, </w:t>
      </w:r>
      <w:r w:rsidR="00002045">
        <w:t>‘</w:t>
      </w:r>
      <w:r w:rsidRPr="00E867F6">
        <w:t>as this information is often not presented in a way that is meaningful or accessible to patients</w:t>
      </w:r>
      <w:r w:rsidR="00002045">
        <w:t>'</w:t>
      </w:r>
      <w:r w:rsidRPr="00E867F6">
        <w:t>.</w:t>
      </w:r>
      <w:r w:rsidRPr="00E867F6">
        <w:rPr>
          <w:rStyle w:val="EndnoteReference"/>
          <w:rFonts w:cs="Arial"/>
        </w:rPr>
        <w:endnoteReference w:id="43"/>
      </w:r>
    </w:p>
    <w:p w14:paraId="1DA0F20F" w14:textId="03E99E1B" w:rsidR="009A3F7C" w:rsidRPr="00E867F6" w:rsidRDefault="009A3F7C" w:rsidP="00D6551E">
      <w:pPr>
        <w:pStyle w:val="BodyText"/>
      </w:pPr>
      <w:r w:rsidRPr="00E867F6">
        <w:t xml:space="preserve">Consumer decision-making (for </w:t>
      </w:r>
      <w:r w:rsidR="0004756D">
        <w:t xml:space="preserve">example, </w:t>
      </w:r>
      <w:r w:rsidRPr="00E867F6">
        <w:t>choosing a healthcare provider) using public reporting data is made even more complex due to the growing number of public reporting bodies. In healthcare systems such as the US</w:t>
      </w:r>
      <w:r w:rsidR="004F4936">
        <w:t>A</w:t>
      </w:r>
      <w:r w:rsidRPr="00E867F6">
        <w:t xml:space="preserve">, the number of public reporting mechanisms </w:t>
      </w:r>
      <w:r w:rsidRPr="00E867F6">
        <w:lastRenderedPageBreak/>
        <w:t xml:space="preserve">have grown significantly (through both commercial and non-commercial public reporting bodies) and have, in some cases, provided differing ratings on the same hospitals and providers, leading to, </w:t>
      </w:r>
      <w:r w:rsidR="00161686">
        <w:t>‘</w:t>
      </w:r>
      <w:r w:rsidRPr="00E867F6">
        <w:t>distressing cognitive dissonance</w:t>
      </w:r>
      <w:r w:rsidR="00161686">
        <w:t>’</w:t>
      </w:r>
      <w:r w:rsidRPr="00E867F6">
        <w:t xml:space="preserve"> for consumers.</w:t>
      </w:r>
      <w:r w:rsidRPr="00E867F6">
        <w:rPr>
          <w:rStyle w:val="EndnoteReference"/>
          <w:rFonts w:cs="Arial"/>
        </w:rPr>
        <w:endnoteReference w:id="44"/>
      </w:r>
      <w:r w:rsidR="00161686">
        <w:t xml:space="preserve"> </w:t>
      </w:r>
      <w:r w:rsidRPr="00E867F6">
        <w:t>There are so many providers of public reporting information that a website has been set up with the sole purpose of helping consumers find the most useful publicly reported information for them.</w:t>
      </w:r>
      <w:r w:rsidRPr="00E867F6">
        <w:rPr>
          <w:rStyle w:val="EndnoteReference"/>
          <w:rFonts w:cs="Arial"/>
        </w:rPr>
        <w:endnoteReference w:id="45"/>
      </w:r>
    </w:p>
    <w:p w14:paraId="35A678FC" w14:textId="2A222619" w:rsidR="002B7DD0" w:rsidRDefault="004B4AC8" w:rsidP="00ED05C2">
      <w:pPr>
        <w:pStyle w:val="Heading3"/>
      </w:pPr>
      <w:r>
        <w:t>The influence of</w:t>
      </w:r>
      <w:r w:rsidR="002B7DD0">
        <w:t xml:space="preserve"> reporting</w:t>
      </w:r>
      <w:r>
        <w:t xml:space="preserve"> on </w:t>
      </w:r>
      <w:r w:rsidR="002B7DD0">
        <w:t xml:space="preserve">provider behaviour and equity </w:t>
      </w:r>
    </w:p>
    <w:p w14:paraId="4BAC209B" w14:textId="5FEB5B4A" w:rsidR="009A3F7C" w:rsidRPr="00E867F6" w:rsidRDefault="009A3F7C" w:rsidP="00D6551E">
      <w:pPr>
        <w:pStyle w:val="BodyText"/>
      </w:pPr>
      <w:r w:rsidRPr="00E867F6">
        <w:t xml:space="preserve">The literature also indicates that one perverse impact of public reporting </w:t>
      </w:r>
      <w:r w:rsidR="002B7DD0">
        <w:t>may be</w:t>
      </w:r>
      <w:r w:rsidR="002B7DD0" w:rsidRPr="00E867F6">
        <w:t xml:space="preserve"> </w:t>
      </w:r>
      <w:r w:rsidRPr="00E867F6">
        <w:t>a reduction in the overall equity of access to health care. Public reporting of performance data such as mortality rates can increase the likelihood that individual providers and hospitals become less likely to treat higher-risk patients (known as selection bias), given the potential impact on their performance data. In this regard, research conducted on the New York State Cardiac Surgery Reporting system found a greater reluctance to care for high-risk patients once the system began to publicly release performance data.</w:t>
      </w:r>
      <w:r w:rsidRPr="00E867F6">
        <w:rPr>
          <w:rStyle w:val="EndnoteReference"/>
          <w:rFonts w:cs="Arial"/>
        </w:rPr>
        <w:endnoteReference w:id="46"/>
      </w:r>
      <w:r w:rsidRPr="00E867F6">
        <w:t xml:space="preserve"> Research has also indicated that the implementation of the cardiac surgery reporting system is linked to a greater frequency in out-of-state referrals from New York to Ohio for bypass surgery.</w:t>
      </w:r>
      <w:r w:rsidRPr="00E867F6">
        <w:rPr>
          <w:rStyle w:val="EndnoteReference"/>
          <w:rFonts w:cs="Arial"/>
        </w:rPr>
        <w:endnoteReference w:id="47"/>
      </w:r>
    </w:p>
    <w:p w14:paraId="256BB4F9" w14:textId="585A1FD4" w:rsidR="009A3F7C" w:rsidRPr="00E867F6" w:rsidRDefault="009A3F7C" w:rsidP="00D6551E">
      <w:pPr>
        <w:pStyle w:val="BodyText"/>
      </w:pPr>
      <w:r w:rsidRPr="00E867F6">
        <w:t>In Pennsylvania, public reporting of physician risk-adjusted in-hospital mortality rates has been mandated for cardiothoracic surgery since the early 2000s. A survey of cardiologists conducted in Pennsylvania found that 59</w:t>
      </w:r>
      <w:r w:rsidR="002B7DD0">
        <w:t>%</w:t>
      </w:r>
      <w:r w:rsidR="0090417B">
        <w:t xml:space="preserve"> </w:t>
      </w:r>
      <w:r w:rsidRPr="00E867F6">
        <w:t>said they had difficulty locating a cardiothoracic surgeon willing to perform a surgical procedure for a patient who is severely ill. In addition, 63</w:t>
      </w:r>
      <w:r w:rsidR="002B7DD0">
        <w:t>%</w:t>
      </w:r>
      <w:r w:rsidRPr="00E867F6">
        <w:t xml:space="preserve"> of Pennsylvania</w:t>
      </w:r>
      <w:r w:rsidR="002B7DD0">
        <w:t>n</w:t>
      </w:r>
      <w:r w:rsidRPr="00E867F6">
        <w:t xml:space="preserve"> cardiac surgeons reported decreased willingness to operate on patients who were severely ill.</w:t>
      </w:r>
      <w:r w:rsidRPr="00E867F6">
        <w:rPr>
          <w:rStyle w:val="EndnoteReference"/>
          <w:rFonts w:cs="Arial"/>
        </w:rPr>
        <w:endnoteReference w:id="48"/>
      </w:r>
      <w:r w:rsidRPr="00E867F6">
        <w:t xml:space="preserve"> </w:t>
      </w:r>
    </w:p>
    <w:p w14:paraId="1EC59982" w14:textId="5B76650E" w:rsidR="009A3F7C" w:rsidRPr="00E867F6" w:rsidRDefault="009A3F7C" w:rsidP="00D6551E">
      <w:pPr>
        <w:pStyle w:val="BodyText"/>
      </w:pPr>
      <w:r w:rsidRPr="00E867F6">
        <w:t xml:space="preserve">Public release of performance data may also lead to a </w:t>
      </w:r>
      <w:r w:rsidRPr="00E867F6">
        <w:rPr>
          <w:rStyle w:val="BodyTextChar"/>
        </w:rPr>
        <w:t xml:space="preserve">growing incentive for healthcare organisations to manipulate or </w:t>
      </w:r>
      <w:r w:rsidR="00D34572">
        <w:rPr>
          <w:rStyle w:val="BodyTextChar"/>
        </w:rPr>
        <w:t>‘</w:t>
      </w:r>
      <w:r w:rsidRPr="00E867F6">
        <w:rPr>
          <w:rStyle w:val="BodyTextChar"/>
        </w:rPr>
        <w:t>game</w:t>
      </w:r>
      <w:r w:rsidR="00D34572">
        <w:rPr>
          <w:rStyle w:val="BodyTextChar"/>
        </w:rPr>
        <w:t>’</w:t>
      </w:r>
      <w:r w:rsidRPr="00E867F6">
        <w:rPr>
          <w:rStyle w:val="BodyTextChar"/>
        </w:rPr>
        <w:t xml:space="preserve"> the system, particul</w:t>
      </w:r>
      <w:r w:rsidRPr="00E867F6">
        <w:t>arly where the risks (</w:t>
      </w:r>
      <w:r w:rsidR="002B7DD0">
        <w:t>for example,</w:t>
      </w:r>
      <w:r w:rsidRPr="00E867F6">
        <w:t xml:space="preserve"> reputational and financial) are significant. </w:t>
      </w:r>
    </w:p>
    <w:p w14:paraId="1D9EE293" w14:textId="19BF1731" w:rsidR="009A3F7C" w:rsidRPr="00E867F6" w:rsidRDefault="009A3F7C" w:rsidP="00D6551E">
      <w:pPr>
        <w:pStyle w:val="BodyText"/>
      </w:pPr>
      <w:r w:rsidRPr="00E867F6">
        <w:t xml:space="preserve">An example of potential gaming is suggested in research conducted by Bevan and Hamblin in 2009 on Ambulance Trusts in England, Scotland and Wales. Targets were set for ambulance response times in all three countries. However, only England opted to use a </w:t>
      </w:r>
      <w:r w:rsidR="00E21E79">
        <w:t>‘</w:t>
      </w:r>
      <w:r w:rsidRPr="00E867F6">
        <w:t>star rating</w:t>
      </w:r>
      <w:r w:rsidR="00E21E79">
        <w:t>’</w:t>
      </w:r>
      <w:r w:rsidRPr="00E867F6">
        <w:t xml:space="preserve"> system that was widely disseminated. In Scotland and Wales, similar targets were set with no ranking system, relying on internal pressures alone to meet those targets. Outwardly, the impact of using star ratings seemed overwhelmingly positive, as English ambulance response times improved dramaticall</w:t>
      </w:r>
      <w:r w:rsidR="00E21E79">
        <w:t xml:space="preserve">y to and above the target of 75% </w:t>
      </w:r>
      <w:r w:rsidRPr="00E867F6">
        <w:t>of urgent calls being answered by an ambulance within eight minutes. In Wales and Scotland, little improvement was seen in the same area. However, it was subsequently thought that there may have been some gaming of the data, based on a huge spike in numbers of calls being</w:t>
      </w:r>
      <w:r w:rsidR="00B05C5E">
        <w:t xml:space="preserve"> answered just before the eight-</w:t>
      </w:r>
      <w:r w:rsidRPr="00E867F6">
        <w:t xml:space="preserve">minute mark and then an equally significant drop straight after the </w:t>
      </w:r>
      <w:r w:rsidR="00E21E79">
        <w:t>eight</w:t>
      </w:r>
      <w:r w:rsidR="00B05C5E">
        <w:t>-</w:t>
      </w:r>
      <w:r w:rsidRPr="00E867F6">
        <w:t>minute mark.</w:t>
      </w:r>
      <w:r w:rsidRPr="00E867F6">
        <w:rPr>
          <w:rStyle w:val="EndnoteReference"/>
          <w:rFonts w:cs="Arial"/>
        </w:rPr>
        <w:endnoteReference w:id="49"/>
      </w:r>
      <w:r w:rsidRPr="00E867F6">
        <w:t xml:space="preserve"> </w:t>
      </w:r>
    </w:p>
    <w:p w14:paraId="7366ECC7" w14:textId="61F412B3" w:rsidR="009A3F7C" w:rsidRDefault="009A3F7C" w:rsidP="00F5322E">
      <w:pPr>
        <w:autoSpaceDE w:val="0"/>
        <w:autoSpaceDN w:val="0"/>
        <w:adjustRightInd w:val="0"/>
        <w:spacing w:after="0"/>
        <w:rPr>
          <w:rFonts w:cs="Arial"/>
        </w:rPr>
      </w:pPr>
      <w:r w:rsidRPr="00E867F6">
        <w:rPr>
          <w:rFonts w:cs="Arial"/>
        </w:rPr>
        <w:t>It should be noted that a systematic review looking into potential harms has indicated the evidence is inconsistent at best in terms of whether public reporting does generate harm, either through selection bias or gaming behaviour.</w:t>
      </w:r>
      <w:r w:rsidRPr="00E867F6">
        <w:rPr>
          <w:rStyle w:val="EndnoteReference"/>
          <w:rFonts w:cs="Arial"/>
        </w:rPr>
        <w:endnoteReference w:id="50"/>
      </w:r>
      <w:r w:rsidRPr="00E867F6">
        <w:rPr>
          <w:rFonts w:cs="Arial"/>
        </w:rPr>
        <w:t xml:space="preserve"> The review authors noted almost all studies did not identify access restrictions (i.e. selection bias against higher risk consumers) occurred. They did, however, caution that the few cases where such restrictions were identified merited attention because of the likelihood of persistent effects and contribution to o</w:t>
      </w:r>
      <w:r w:rsidR="00955CC9">
        <w:rPr>
          <w:rFonts w:cs="Arial"/>
        </w:rPr>
        <w:t>verall health care disparities. F</w:t>
      </w:r>
      <w:r w:rsidR="0070312F">
        <w:rPr>
          <w:rFonts w:cs="Arial"/>
        </w:rPr>
        <w:t>or example</w:t>
      </w:r>
      <w:r w:rsidRPr="00E867F6">
        <w:rPr>
          <w:rFonts w:cs="Arial"/>
        </w:rPr>
        <w:t xml:space="preserve">, the finding </w:t>
      </w:r>
      <w:proofErr w:type="gramStart"/>
      <w:r w:rsidRPr="00E867F6">
        <w:rPr>
          <w:rFonts w:cs="Arial"/>
        </w:rPr>
        <w:t>that racial and ethnic disparities</w:t>
      </w:r>
      <w:proofErr w:type="gramEnd"/>
      <w:r w:rsidRPr="00E867F6">
        <w:rPr>
          <w:rFonts w:cs="Arial"/>
        </w:rPr>
        <w:t xml:space="preserve"> in access to services increased after public reporting and persisted for 9 years.</w:t>
      </w:r>
      <w:r w:rsidRPr="00E867F6">
        <w:rPr>
          <w:rStyle w:val="EndnoteReference"/>
          <w:rFonts w:cs="Arial"/>
        </w:rPr>
        <w:endnoteReference w:id="51"/>
      </w:r>
    </w:p>
    <w:p w14:paraId="631A07AA" w14:textId="77777777" w:rsidR="00ED05C2" w:rsidRPr="00E867F6" w:rsidRDefault="00ED05C2" w:rsidP="00F5322E">
      <w:pPr>
        <w:autoSpaceDE w:val="0"/>
        <w:autoSpaceDN w:val="0"/>
        <w:adjustRightInd w:val="0"/>
        <w:spacing w:after="0"/>
        <w:rPr>
          <w:rFonts w:cs="Arial"/>
        </w:rPr>
      </w:pPr>
    </w:p>
    <w:p w14:paraId="4E968428" w14:textId="77777777" w:rsidR="009A3F7C" w:rsidRPr="00E867F6" w:rsidRDefault="009A3F7C" w:rsidP="00F5322E">
      <w:pPr>
        <w:autoSpaceDE w:val="0"/>
        <w:autoSpaceDN w:val="0"/>
        <w:adjustRightInd w:val="0"/>
        <w:spacing w:after="0"/>
        <w:rPr>
          <w:rFonts w:cs="Arial"/>
        </w:rPr>
      </w:pPr>
      <w:r w:rsidRPr="00E867F6">
        <w:rPr>
          <w:rFonts w:cs="Arial"/>
          <w:noProof/>
        </w:rPr>
        <w:lastRenderedPageBreak/>
        <mc:AlternateContent>
          <mc:Choice Requires="wps">
            <w:drawing>
              <wp:inline distT="0" distB="0" distL="0" distR="0" wp14:anchorId="18348677" wp14:editId="5CBC5A9E">
                <wp:extent cx="5759450" cy="1562100"/>
                <wp:effectExtent l="0" t="0" r="0" b="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562100"/>
                        </a:xfrm>
                        <a:prstGeom prst="rect">
                          <a:avLst/>
                        </a:prstGeom>
                        <a:solidFill>
                          <a:schemeClr val="tx2">
                            <a:lumMod val="20000"/>
                            <a:lumOff val="80000"/>
                          </a:schemeClr>
                        </a:solidFill>
                        <a:ln w="9525">
                          <a:noFill/>
                          <a:miter lim="800000"/>
                          <a:headEnd/>
                          <a:tailEnd/>
                        </a:ln>
                      </wps:spPr>
                      <wps:txbx>
                        <w:txbxContent>
                          <w:p w14:paraId="766077E8" w14:textId="77777777" w:rsidR="00F70157" w:rsidRPr="00161686" w:rsidRDefault="00F70157" w:rsidP="00171F17">
                            <w:pPr>
                              <w:rPr>
                                <w:b/>
                              </w:rPr>
                            </w:pPr>
                            <w:r w:rsidRPr="00161686">
                              <w:rPr>
                                <w:b/>
                              </w:rPr>
                              <w:t>Finding summary</w:t>
                            </w:r>
                          </w:p>
                          <w:p w14:paraId="03990EB4" w14:textId="75D3AC85" w:rsidR="00F70157" w:rsidRDefault="00F70157" w:rsidP="00171F17">
                            <w:r w:rsidRPr="00171F17">
                              <w:t xml:space="preserve">An increase in volume and complexity of public reporting </w:t>
                            </w:r>
                            <w:r>
                              <w:t xml:space="preserve">can </w:t>
                            </w:r>
                            <w:r w:rsidRPr="00171F17">
                              <w:t xml:space="preserve">make the information available </w:t>
                            </w:r>
                            <w:r>
                              <w:t xml:space="preserve">to consumers </w:t>
                            </w:r>
                            <w:r w:rsidRPr="00171F17">
                              <w:t xml:space="preserve">difficult to navigate and to understand </w:t>
                            </w:r>
                            <w:r>
                              <w:t>in order to make informed choices</w:t>
                            </w:r>
                            <w:r w:rsidRPr="00171F17">
                              <w:t xml:space="preserve">. Uptake and use of public reporting information has been minimal and much lower amongst disadvantaged groups. </w:t>
                            </w:r>
                          </w:p>
                          <w:p w14:paraId="50EF53F3" w14:textId="77777777" w:rsidR="00F70157" w:rsidRDefault="00F70157" w:rsidP="00A36E60">
                            <w:r w:rsidRPr="00171F17">
                              <w:t xml:space="preserve">There is potential for public reporting to lead to selection bias against high risk consumers, which </w:t>
                            </w:r>
                            <w:r>
                              <w:t>may</w:t>
                            </w:r>
                            <w:r w:rsidRPr="00171F17">
                              <w:t xml:space="preserve"> impact equity of health access. </w:t>
                            </w:r>
                          </w:p>
                          <w:p w14:paraId="3EEE2431" w14:textId="77777777" w:rsidR="00F70157" w:rsidRPr="00171F17" w:rsidRDefault="00F70157" w:rsidP="00171F17"/>
                        </w:txbxContent>
                      </wps:txbx>
                      <wps:bodyPr rot="0" vert="horz" wrap="square" lIns="91440" tIns="45720" rIns="91440" bIns="45720" anchor="t" anchorCtr="0">
                        <a:noAutofit/>
                      </wps:bodyPr>
                    </wps:wsp>
                  </a:graphicData>
                </a:graphic>
              </wp:inline>
            </w:drawing>
          </mc:Choice>
          <mc:Fallback>
            <w:pict>
              <v:shape id="_x0000_s1029" type="#_x0000_t202" style="width:453.5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" fillcolor="#c2e9f8 [671]" stroked="f">
                <v:textbox>
                  <w:txbxContent>
                    <w:p w14:paraId="766077E8" w14:textId="77777777" w:rsidR="00F70157" w:rsidRPr="00161686" w:rsidRDefault="00F70157" w:rsidP="00171F17">
                      <w:pPr>
                        <w:rPr>
                          <w:b/>
                        </w:rPr>
                      </w:pPr>
                      <w:r w:rsidRPr="00161686">
                        <w:rPr>
                          <w:b/>
                        </w:rPr>
                        <w:t>Finding summary</w:t>
                      </w:r>
                    </w:p>
                    <w:p w14:paraId="03990EB4" w14:textId="75D3AC85" w:rsidR="00F70157" w:rsidRDefault="00F70157" w:rsidP="00171F17">
                      <w:r w:rsidRPr="00171F17">
                        <w:t xml:space="preserve">An increase in volume and complexity of public reporting </w:t>
                      </w:r>
                      <w:r>
                        <w:t xml:space="preserve">can </w:t>
                      </w:r>
                      <w:r w:rsidRPr="00171F17">
                        <w:t xml:space="preserve">make the information available </w:t>
                      </w:r>
                      <w:r>
                        <w:t xml:space="preserve">to consumers </w:t>
                      </w:r>
                      <w:r w:rsidRPr="00171F17">
                        <w:t xml:space="preserve">difficult to navigate and to understand </w:t>
                      </w:r>
                      <w:r>
                        <w:t>in order to make informed choices</w:t>
                      </w:r>
                      <w:r w:rsidRPr="00171F17">
                        <w:t xml:space="preserve">. Uptake and use of public reporting information has been minimal and much lower amongst disadvantaged groups. </w:t>
                      </w:r>
                    </w:p>
                    <w:p w14:paraId="50EF53F3" w14:textId="77777777" w:rsidR="00F70157" w:rsidRDefault="00F70157" w:rsidP="00A36E60">
                      <w:r w:rsidRPr="00171F17">
                        <w:t xml:space="preserve">There is potential for public reporting to lead to selection bias against high risk consumers, which </w:t>
                      </w:r>
                      <w:r>
                        <w:t>may</w:t>
                      </w:r>
                      <w:r w:rsidRPr="00171F17">
                        <w:t xml:space="preserve"> impact equity of health access. </w:t>
                      </w:r>
                    </w:p>
                    <w:p w14:paraId="3EEE2431" w14:textId="77777777" w:rsidR="00F70157" w:rsidRPr="00171F17" w:rsidRDefault="00F70157" w:rsidP="00171F17"/>
                  </w:txbxContent>
                </v:textbox>
                <w10:anchorlock/>
              </v:shape>
            </w:pict>
          </mc:Fallback>
        </mc:AlternateContent>
      </w:r>
    </w:p>
    <w:p w14:paraId="0B0CFC8D" w14:textId="78A4E02B" w:rsidR="009A3F7C" w:rsidRPr="00E867F6" w:rsidRDefault="009A3F7C" w:rsidP="00ED05C2">
      <w:pPr>
        <w:pStyle w:val="Heading2"/>
      </w:pPr>
      <w:bookmarkStart w:id="30" w:name="_Toc3195090"/>
      <w:r w:rsidRPr="00E867F6">
        <w:t>Barriers and challenges for healthcare organisations</w:t>
      </w:r>
      <w:bookmarkEnd w:id="30"/>
    </w:p>
    <w:p w14:paraId="24709702" w14:textId="2B7754C0" w:rsidR="00655069" w:rsidRDefault="00655069" w:rsidP="00ED05C2">
      <w:pPr>
        <w:pStyle w:val="Heading3"/>
      </w:pPr>
      <w:r>
        <w:t>Impact of reporting on culture and provider behaviour</w:t>
      </w:r>
    </w:p>
    <w:p w14:paraId="0C4169FE" w14:textId="44E7A382" w:rsidR="009A3F7C" w:rsidRDefault="009A3F7C" w:rsidP="00F5322E">
      <w:pPr>
        <w:rPr>
          <w:rFonts w:cs="Arial"/>
        </w:rPr>
      </w:pPr>
      <w:r w:rsidRPr="00E867F6">
        <w:rPr>
          <w:rFonts w:cs="Arial"/>
        </w:rPr>
        <w:t xml:space="preserve">The benefits of public reporting have been questioned at a healthcare provider and organisational level. </w:t>
      </w:r>
      <w:r w:rsidR="0052310F">
        <w:rPr>
          <w:rFonts w:cs="Arial"/>
        </w:rPr>
        <w:t>O</w:t>
      </w:r>
      <w:r w:rsidRPr="00E867F6">
        <w:rPr>
          <w:rFonts w:cs="Arial"/>
        </w:rPr>
        <w:t>ne concern with public reporting is the potential to damage morale due to poor results, which may have an impact on performance.</w:t>
      </w:r>
      <w:r w:rsidRPr="00E867F6">
        <w:rPr>
          <w:rStyle w:val="EndnoteReference"/>
          <w:rFonts w:cs="Arial"/>
        </w:rPr>
        <w:endnoteReference w:id="52"/>
      </w:r>
      <w:r w:rsidRPr="00E867F6">
        <w:rPr>
          <w:rFonts w:cs="Arial"/>
        </w:rPr>
        <w:t xml:space="preserve"> </w:t>
      </w:r>
    </w:p>
    <w:p w14:paraId="20967E6C" w14:textId="52E96048" w:rsidR="00655069" w:rsidRPr="00E867F6" w:rsidRDefault="00655069" w:rsidP="00655069">
      <w:pPr>
        <w:rPr>
          <w:rFonts w:cs="Arial"/>
        </w:rPr>
      </w:pPr>
      <w:r w:rsidRPr="00E867F6">
        <w:rPr>
          <w:rFonts w:cs="Arial"/>
        </w:rPr>
        <w:t>Research also indicates that there is a level of fatigue possible through the requirements of public reporting, particularly when multiple reporting requirements exist. In California, the withdrawal of support by the California Hospital Association for the voluntary public reporting program known as the California Hospital Assessment and Reporting Taskforce (CHART) was blamed partly on the fact that the emergence of national reporting systems made state-wide and other reporting mechanisms redundant</w:t>
      </w:r>
      <w:r w:rsidR="00B05C5E">
        <w:rPr>
          <w:rFonts w:cs="Arial"/>
        </w:rPr>
        <w:t xml:space="preserve"> and</w:t>
      </w:r>
      <w:r w:rsidRPr="00E867F6">
        <w:rPr>
          <w:rFonts w:cs="Arial"/>
        </w:rPr>
        <w:t xml:space="preserve"> often burdensome.</w:t>
      </w:r>
      <w:r w:rsidRPr="00E867F6">
        <w:rPr>
          <w:rStyle w:val="EndnoteReference"/>
          <w:rFonts w:cs="Arial"/>
        </w:rPr>
        <w:endnoteReference w:id="53"/>
      </w:r>
      <w:r w:rsidRPr="00E867F6">
        <w:rPr>
          <w:rFonts w:cs="Arial"/>
        </w:rPr>
        <w:t xml:space="preserve"> </w:t>
      </w:r>
    </w:p>
    <w:p w14:paraId="350BCBCE" w14:textId="449E96A7" w:rsidR="00655069" w:rsidRPr="00E867F6" w:rsidRDefault="00655069" w:rsidP="00F5322E">
      <w:pPr>
        <w:rPr>
          <w:rFonts w:cs="Arial"/>
        </w:rPr>
      </w:pPr>
      <w:r w:rsidRPr="00E867F6">
        <w:rPr>
          <w:rFonts w:cs="Arial"/>
        </w:rPr>
        <w:t>Where reporting is occurring at an individual provider level (</w:t>
      </w:r>
      <w:r>
        <w:rPr>
          <w:rFonts w:cs="Arial"/>
        </w:rPr>
        <w:t>for example,</w:t>
      </w:r>
      <w:r w:rsidRPr="00E867F6">
        <w:rPr>
          <w:rFonts w:cs="Arial"/>
        </w:rPr>
        <w:t xml:space="preserve"> surgeon outcomes), there is a particular risk that providers may respond by increased assertion of the importance of individual responsibility to the detriment of a focus on teamwork, with the perverse potential for increased variation in practice and poorer outcomes overall.</w:t>
      </w:r>
      <w:r w:rsidRPr="00E867F6">
        <w:rPr>
          <w:rStyle w:val="EndnoteReference"/>
          <w:rFonts w:cs="Arial"/>
        </w:rPr>
        <w:endnoteReference w:id="54"/>
      </w:r>
      <w:r w:rsidRPr="00E867F6">
        <w:rPr>
          <w:rFonts w:cs="Arial"/>
        </w:rPr>
        <w:t xml:space="preserve">  Research has indicated that</w:t>
      </w:r>
      <w:r w:rsidRPr="00E867F6">
        <w:t xml:space="preserve"> </w:t>
      </w:r>
      <w:r w:rsidRPr="00E867F6">
        <w:rPr>
          <w:rFonts w:cs="Arial"/>
        </w:rPr>
        <w:t>that cardiac surgical patient mortality rates did not follow a particular surgeon mo</w:t>
      </w:r>
      <w:r>
        <w:rPr>
          <w:rFonts w:cs="Arial"/>
        </w:rPr>
        <w:t>ving between institutions (i.e.</w:t>
      </w:r>
      <w:r w:rsidRPr="00E867F6">
        <w:rPr>
          <w:rFonts w:cs="Arial"/>
        </w:rPr>
        <w:t xml:space="preserve"> that t</w:t>
      </w:r>
      <w:r>
        <w:rPr>
          <w:rFonts w:cs="Arial"/>
        </w:rPr>
        <w:t xml:space="preserve">heir performance was not fully </w:t>
      </w:r>
      <w:r w:rsidR="00A31675">
        <w:rPr>
          <w:rFonts w:cs="Arial"/>
        </w:rPr>
        <w:t>‘</w:t>
      </w:r>
      <w:r>
        <w:rPr>
          <w:rFonts w:cs="Arial"/>
        </w:rPr>
        <w:t>portable</w:t>
      </w:r>
      <w:r w:rsidR="00A31675">
        <w:rPr>
          <w:rFonts w:cs="Arial"/>
        </w:rPr>
        <w:t>’</w:t>
      </w:r>
      <w:r w:rsidRPr="00E867F6">
        <w:rPr>
          <w:rFonts w:cs="Arial"/>
        </w:rPr>
        <w:t xml:space="preserve">). Patient outcomes were not tied to an individual surgeon; rather, they </w:t>
      </w:r>
      <w:r>
        <w:rPr>
          <w:rFonts w:cs="Arial"/>
        </w:rPr>
        <w:t>were dependent on other factors related to team, facility,</w:t>
      </w:r>
      <w:r w:rsidRPr="00E867F6">
        <w:rPr>
          <w:rFonts w:cs="Arial"/>
        </w:rPr>
        <w:t xml:space="preserve"> and organisation. The US</w:t>
      </w:r>
      <w:r w:rsidR="004F4936">
        <w:rPr>
          <w:rFonts w:cs="Arial"/>
        </w:rPr>
        <w:t>A</w:t>
      </w:r>
      <w:r w:rsidRPr="00E867F6">
        <w:rPr>
          <w:rFonts w:cs="Arial"/>
        </w:rPr>
        <w:t xml:space="preserve"> Veterans Health Administration discourages use of surgeon specific outcomes for this reason.</w:t>
      </w:r>
      <w:r w:rsidRPr="00E867F6">
        <w:rPr>
          <w:rStyle w:val="EndnoteReference"/>
          <w:rFonts w:cs="Arial"/>
        </w:rPr>
        <w:endnoteReference w:id="55"/>
      </w:r>
      <w:r w:rsidRPr="00E867F6">
        <w:rPr>
          <w:rFonts w:cs="Arial"/>
        </w:rPr>
        <w:t xml:space="preserve"> This view aligns closely with broader patient safety science that increasingly focuses on organisational culture and teamwork as a key driver of safety improvement. </w:t>
      </w:r>
    </w:p>
    <w:p w14:paraId="389F6E29" w14:textId="5751EF56" w:rsidR="00655069" w:rsidRDefault="00655069" w:rsidP="00976875">
      <w:pPr>
        <w:pStyle w:val="Heading3"/>
      </w:pPr>
      <w:r>
        <w:t>Adjustment to account for varied risks or population size</w:t>
      </w:r>
    </w:p>
    <w:p w14:paraId="448BF4AA" w14:textId="1EFE555F" w:rsidR="009A3F7C" w:rsidRPr="00E867F6" w:rsidRDefault="009A3F7C" w:rsidP="00F5322E">
      <w:pPr>
        <w:rPr>
          <w:rFonts w:cs="Arial"/>
        </w:rPr>
      </w:pPr>
      <w:r w:rsidRPr="00E867F6">
        <w:rPr>
          <w:rFonts w:cs="Arial"/>
        </w:rPr>
        <w:t>A commonly cited concern is the challenge of developing appropriate indicators that can enable unbiased public reporting. A large range of external factors including social, demographic and environmental issues may impact on the nature of the consumer cohort that attends a particular hospital, thereby increasing or decreasing particular risk factors and influencing overall outcomes. Appropriate risk adjustment is therefore vital to ensuring that accurate comparisons can be made between healthcare organisations, but this can be quite difficult to achieve in reality.</w:t>
      </w:r>
      <w:r w:rsidRPr="00E867F6">
        <w:rPr>
          <w:rStyle w:val="EndnoteReference"/>
          <w:rFonts w:cs="Arial"/>
        </w:rPr>
        <w:endnoteReference w:id="56"/>
      </w:r>
      <w:r w:rsidRPr="00E867F6">
        <w:rPr>
          <w:rFonts w:cs="Arial"/>
        </w:rPr>
        <w:t xml:space="preserve"> </w:t>
      </w:r>
    </w:p>
    <w:p w14:paraId="4835EADC" w14:textId="2E2DEB34" w:rsidR="009A3F7C" w:rsidRPr="00E867F6" w:rsidRDefault="009A3F7C" w:rsidP="00F5322E">
      <w:pPr>
        <w:rPr>
          <w:rFonts w:cs="Arial"/>
        </w:rPr>
      </w:pPr>
      <w:r w:rsidRPr="00E867F6">
        <w:rPr>
          <w:rFonts w:cs="Arial"/>
        </w:rPr>
        <w:t>In addition, some healthcare organisations may deal with much smaller patient populations and small sample sizes can also hinder public reporting, by presenting a sk</w:t>
      </w:r>
      <w:r w:rsidR="00F83148">
        <w:rPr>
          <w:rFonts w:cs="Arial"/>
        </w:rPr>
        <w:t>ewed perception of performance.</w:t>
      </w:r>
      <w:r w:rsidRPr="00E867F6">
        <w:rPr>
          <w:rStyle w:val="EndnoteReference"/>
          <w:rFonts w:cs="Arial"/>
        </w:rPr>
        <w:endnoteReference w:id="57"/>
      </w:r>
    </w:p>
    <w:p w14:paraId="7718571D" w14:textId="77777777" w:rsidR="009A3F7C" w:rsidRPr="00E867F6" w:rsidRDefault="009A3F7C" w:rsidP="00F5322E">
      <w:pPr>
        <w:rPr>
          <w:rFonts w:cs="Arial"/>
        </w:rPr>
      </w:pPr>
      <w:r w:rsidRPr="00E867F6">
        <w:rPr>
          <w:rFonts w:cs="Arial"/>
          <w:noProof/>
        </w:rPr>
        <w:lastRenderedPageBreak/>
        <mc:AlternateContent>
          <mc:Choice Requires="wps">
            <w:drawing>
              <wp:inline distT="0" distB="0" distL="0" distR="0" wp14:anchorId="429FCCA3" wp14:editId="490ABDE3">
                <wp:extent cx="5731510" cy="1704975"/>
                <wp:effectExtent l="0" t="0" r="2540" b="952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1704975"/>
                        </a:xfrm>
                        <a:prstGeom prst="rect">
                          <a:avLst/>
                        </a:prstGeom>
                        <a:solidFill>
                          <a:schemeClr val="tx2">
                            <a:lumMod val="20000"/>
                            <a:lumOff val="80000"/>
                          </a:schemeClr>
                        </a:solidFill>
                        <a:ln w="9525">
                          <a:noFill/>
                          <a:miter lim="800000"/>
                          <a:headEnd/>
                          <a:tailEnd/>
                        </a:ln>
                      </wps:spPr>
                      <wps:txbx>
                        <w:txbxContent>
                          <w:p w14:paraId="206DD2A7" w14:textId="77777777" w:rsidR="00F70157" w:rsidRPr="00161686" w:rsidRDefault="00F70157" w:rsidP="00D6551E">
                            <w:pPr>
                              <w:rPr>
                                <w:b/>
                              </w:rPr>
                            </w:pPr>
                            <w:r w:rsidRPr="00161686">
                              <w:rPr>
                                <w:b/>
                              </w:rPr>
                              <w:t>Finding summary</w:t>
                            </w:r>
                          </w:p>
                          <w:p w14:paraId="69F0B5E9" w14:textId="291B988A" w:rsidR="00F70157" w:rsidRDefault="00F70157" w:rsidP="00D6551E">
                            <w:r>
                              <w:t xml:space="preserve">The use of accurate risk adjustment and appropriate sample sizes to make meaningful comparisons is a key challenge for broader acceptance of public reporting amongst health care organisations. </w:t>
                            </w:r>
                          </w:p>
                          <w:p w14:paraId="30370126" w14:textId="527F9691" w:rsidR="00F70157" w:rsidRPr="00171F17" w:rsidRDefault="00F70157" w:rsidP="00D6551E">
                            <w:r>
                              <w:t>Multiple reporting requirements can also lead to reporting fatigue and lack of participation in voluntary public reporting mechanisms. Where public reporting occurs at a provider level, a focus on individual responsibility can have a negative impact on collaborative team culture that is essential to patient safety.</w:t>
                            </w:r>
                            <w:r w:rsidRPr="00171F17">
                              <w:t xml:space="preserve"> </w:t>
                            </w:r>
                          </w:p>
                        </w:txbxContent>
                      </wps:txbx>
                      <wps:bodyPr rot="0" vert="horz" wrap="square" lIns="91440" tIns="45720" rIns="91440" bIns="45720" anchor="t" anchorCtr="0">
                        <a:noAutofit/>
                      </wps:bodyPr>
                    </wps:wsp>
                  </a:graphicData>
                </a:graphic>
              </wp:inline>
            </w:drawing>
          </mc:Choice>
          <mc:Fallback>
            <w:pict>
              <v:shape id="_x0000_s1030" type="#_x0000_t202" style="width:451.3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" fillcolor="#c2e9f8 [671]" stroked="f">
                <v:textbox>
                  <w:txbxContent>
                    <w:p w14:paraId="206DD2A7" w14:textId="77777777" w:rsidR="00F70157" w:rsidRPr="00161686" w:rsidRDefault="00F70157" w:rsidP="00D6551E">
                      <w:pPr>
                        <w:rPr>
                          <w:b/>
                        </w:rPr>
                      </w:pPr>
                      <w:r w:rsidRPr="00161686">
                        <w:rPr>
                          <w:b/>
                        </w:rPr>
                        <w:t>Finding summary</w:t>
                      </w:r>
                    </w:p>
                    <w:p w14:paraId="69F0B5E9" w14:textId="291B988A" w:rsidR="00F70157" w:rsidRDefault="00F70157" w:rsidP="00D6551E">
                      <w:r>
                        <w:t xml:space="preserve">The use of accurate risk adjustment and appropriate sample sizes to make meaningful comparisons is a key challenge for broader acceptance of public reporting amongst health care organisations. </w:t>
                      </w:r>
                    </w:p>
                    <w:p w14:paraId="30370126" w14:textId="527F9691" w:rsidR="00F70157" w:rsidRPr="00171F17" w:rsidRDefault="00F70157" w:rsidP="00D6551E">
                      <w:r>
                        <w:t>Multiple reporting requirements can also lead to reporting fatigue and lack of participation in voluntary public reporting mechanisms. Where public reporting occurs at a provider level, a focus on individual responsibility can have a negative impact on collaborative team culture that is essential to patient safety.</w:t>
                      </w:r>
                      <w:r w:rsidRPr="00171F17">
                        <w:t xml:space="preserve"> </w:t>
                      </w:r>
                    </w:p>
                  </w:txbxContent>
                </v:textbox>
                <w10:anchorlock/>
              </v:shape>
            </w:pict>
          </mc:Fallback>
        </mc:AlternateContent>
      </w:r>
    </w:p>
    <w:p w14:paraId="683C1BA1" w14:textId="4B1EBC1C" w:rsidR="009A3F7C" w:rsidRPr="00E867F6" w:rsidRDefault="00976875" w:rsidP="00976875">
      <w:pPr>
        <w:pStyle w:val="Heading2"/>
      </w:pPr>
      <w:bookmarkStart w:id="31" w:name="_Toc3195091"/>
      <w:r>
        <w:t>F</w:t>
      </w:r>
      <w:r w:rsidR="009A3F7C" w:rsidRPr="00E867F6">
        <w:t>eatures of an effective public reporting framework</w:t>
      </w:r>
      <w:bookmarkEnd w:id="31"/>
    </w:p>
    <w:p w14:paraId="64FCCBDF" w14:textId="77777777" w:rsidR="009A3F7C" w:rsidRPr="00E867F6" w:rsidRDefault="009A3F7C" w:rsidP="006B67EA">
      <w:pPr>
        <w:spacing w:after="80"/>
        <w:rPr>
          <w:rFonts w:cs="Arial"/>
        </w:rPr>
      </w:pPr>
      <w:r w:rsidRPr="00E867F6">
        <w:rPr>
          <w:rFonts w:cs="Arial"/>
        </w:rPr>
        <w:t>On the whole, the literature suggests that public reporting of safety and quality measures, when properly implemented, makes health care better.</w:t>
      </w:r>
      <w:r w:rsidRPr="00E867F6">
        <w:rPr>
          <w:rStyle w:val="EndnoteReference"/>
          <w:rFonts w:cs="Arial"/>
        </w:rPr>
        <w:endnoteReference w:id="58"/>
      </w:r>
      <w:r w:rsidRPr="00E867F6">
        <w:rPr>
          <w:rFonts w:cs="Arial"/>
        </w:rPr>
        <w:t xml:space="preserve"> However, this requires a strong focus on ensuring the public reporting framework is carefully developed. Through a review of stakeholder perspectives on strengthening the impact of public reporting, </w:t>
      </w:r>
      <w:proofErr w:type="spellStart"/>
      <w:r w:rsidRPr="00E867F6">
        <w:rPr>
          <w:rFonts w:cs="Arial"/>
        </w:rPr>
        <w:t>Bismark</w:t>
      </w:r>
      <w:proofErr w:type="spellEnd"/>
      <w:r w:rsidRPr="00E867F6">
        <w:rPr>
          <w:rFonts w:cs="Arial"/>
        </w:rPr>
        <w:t xml:space="preserve"> </w:t>
      </w:r>
      <w:r>
        <w:rPr>
          <w:rFonts w:cs="Arial"/>
        </w:rPr>
        <w:t>et al.</w:t>
      </w:r>
      <w:r w:rsidRPr="00E867F6">
        <w:rPr>
          <w:rFonts w:cs="Arial"/>
        </w:rPr>
        <w:t xml:space="preserve"> outlined a number of factors that need to be considered when developing an effective public reporting framework.</w:t>
      </w:r>
      <w:r w:rsidRPr="00E867F6">
        <w:rPr>
          <w:rStyle w:val="EndnoteReference"/>
          <w:rFonts w:cs="Arial"/>
        </w:rPr>
        <w:endnoteReference w:id="59"/>
      </w:r>
      <w:r w:rsidRPr="00E867F6">
        <w:rPr>
          <w:rFonts w:cs="Arial"/>
        </w:rPr>
        <w:t xml:space="preserve">  These factors included the following:</w:t>
      </w:r>
    </w:p>
    <w:p w14:paraId="512628CA" w14:textId="65C0B8B3" w:rsidR="009A3F7C" w:rsidRPr="00E867F6" w:rsidRDefault="009A3F7C" w:rsidP="00D6551E">
      <w:pPr>
        <w:pStyle w:val="ListBullet"/>
      </w:pPr>
      <w:r w:rsidRPr="00E867F6">
        <w:t>Scoping and defining the meaning of ‘public’ reporting</w:t>
      </w:r>
      <w:r w:rsidR="00200CD3">
        <w:t>, as</w:t>
      </w:r>
      <w:r w:rsidRPr="00E867F6">
        <w:t xml:space="preserve"> currently the concept of </w:t>
      </w:r>
      <w:r w:rsidR="00200CD3">
        <w:t>this</w:t>
      </w:r>
      <w:r w:rsidRPr="00E867F6">
        <w:t xml:space="preserve"> has differing meanings across stakeholder groups, from information genuinely designed for public </w:t>
      </w:r>
      <w:r w:rsidR="00200CD3">
        <w:t>use</w:t>
      </w:r>
      <w:r w:rsidRPr="00E867F6">
        <w:t>, to any type of public reporting information in</w:t>
      </w:r>
      <w:r w:rsidR="00B329FD">
        <w:t xml:space="preserve"> the</w:t>
      </w:r>
      <w:r w:rsidRPr="00E867F6">
        <w:t xml:space="preserve"> public domain (whether or not it is designed for ease of public interpretation)</w:t>
      </w:r>
    </w:p>
    <w:p w14:paraId="3FF7B41C" w14:textId="429369E5" w:rsidR="009A3F7C" w:rsidRPr="00E867F6" w:rsidRDefault="009A3F7C" w:rsidP="00D6551E">
      <w:pPr>
        <w:pStyle w:val="ListBullet"/>
      </w:pPr>
      <w:r w:rsidRPr="00E867F6">
        <w:t>Identifying the primary audience, objectives and outcomes</w:t>
      </w:r>
      <w:r w:rsidR="00200CD3">
        <w:t xml:space="preserve"> of</w:t>
      </w:r>
      <w:r w:rsidRPr="00E867F6">
        <w:t xml:space="preserve"> </w:t>
      </w:r>
      <w:r w:rsidR="00200CD3">
        <w:t>the</w:t>
      </w:r>
      <w:r w:rsidRPr="00E867F6">
        <w:t xml:space="preserve"> information </w:t>
      </w:r>
      <w:r w:rsidR="00200CD3">
        <w:t xml:space="preserve">to be provided </w:t>
      </w:r>
    </w:p>
    <w:p w14:paraId="3624DD9F" w14:textId="2D7A9833" w:rsidR="00CD2CB7" w:rsidRDefault="009A3F7C" w:rsidP="00CD2CB7">
      <w:pPr>
        <w:pStyle w:val="ListBullet"/>
      </w:pPr>
      <w:r w:rsidRPr="00E867F6">
        <w:t>Encouraging institutional reporting cultures</w:t>
      </w:r>
      <w:r w:rsidR="00200CD3">
        <w:t xml:space="preserve">, </w:t>
      </w:r>
      <w:proofErr w:type="gramStart"/>
      <w:r w:rsidR="00200CD3">
        <w:t>which</w:t>
      </w:r>
      <w:r w:rsidRPr="00E867F6">
        <w:t xml:space="preserve"> can be achieved through developing and supporting institutional cultures across healthcare settings that genuinely believe in the benefits of </w:t>
      </w:r>
      <w:r w:rsidR="00CD2CB7">
        <w:t>public reporting</w:t>
      </w:r>
      <w:r w:rsidR="00B329FD">
        <w:t>.</w:t>
      </w:r>
      <w:proofErr w:type="gramEnd"/>
    </w:p>
    <w:p w14:paraId="0758F6F2" w14:textId="77777777" w:rsidR="00CD2CB7" w:rsidRDefault="00CD2CB7" w:rsidP="00CD2CB7">
      <w:pPr>
        <w:pStyle w:val="ListBullet"/>
        <w:numPr>
          <w:ilvl w:val="0"/>
          <w:numId w:val="0"/>
        </w:numPr>
      </w:pPr>
    </w:p>
    <w:p w14:paraId="7B066712" w14:textId="77777777" w:rsidR="00CD2CB7" w:rsidRDefault="009A3F7C" w:rsidP="00B05C5E">
      <w:pPr>
        <w:pStyle w:val="ListBullet"/>
        <w:numPr>
          <w:ilvl w:val="0"/>
          <w:numId w:val="0"/>
        </w:numPr>
        <w:contextualSpacing w:val="0"/>
      </w:pPr>
      <w:r w:rsidRPr="00E867F6">
        <w:t xml:space="preserve">In terms of the public reporting system itself, ensuring the quality of the indicators developed and utilised for this purpose is critical to the widespread acceptance of the information gathered through the system. This is a critical role for those designing the systems, which will include policymakers, healthcare professionals and consumers. </w:t>
      </w:r>
      <w:proofErr w:type="spellStart"/>
      <w:r w:rsidRPr="00E867F6">
        <w:t>Chassin</w:t>
      </w:r>
      <w:proofErr w:type="spellEnd"/>
      <w:r w:rsidRPr="00E867F6">
        <w:t xml:space="preserve"> </w:t>
      </w:r>
      <w:r>
        <w:t>et al.</w:t>
      </w:r>
      <w:r w:rsidRPr="00E867F6">
        <w:t xml:space="preserve"> outlined four characteristics that outcome indicators used for public reporting should contain</w:t>
      </w:r>
      <w:r w:rsidR="00200CD3">
        <w:t xml:space="preserve">. They note the messages should: </w:t>
      </w:r>
    </w:p>
    <w:p w14:paraId="667AB09A" w14:textId="154F6C65" w:rsidR="00CD2CB7" w:rsidRDefault="00200CD3" w:rsidP="00EC5C34">
      <w:pPr>
        <w:pStyle w:val="ListBullet"/>
        <w:numPr>
          <w:ilvl w:val="0"/>
          <w:numId w:val="41"/>
        </w:numPr>
      </w:pPr>
      <w:r>
        <w:t>B</w:t>
      </w:r>
      <w:r w:rsidR="009A3F7C" w:rsidRPr="00E867F6">
        <w:t xml:space="preserve">e based on strong research (i.e. more than a single study) that links the process captured by that measure, when </w:t>
      </w:r>
      <w:r w:rsidR="00B329FD">
        <w:t xml:space="preserve">performed correctly and </w:t>
      </w:r>
      <w:r w:rsidR="009A3F7C" w:rsidRPr="00E867F6">
        <w:t>leads to improved clinical outcomes</w:t>
      </w:r>
    </w:p>
    <w:p w14:paraId="4D7C76B3" w14:textId="28004A4E" w:rsidR="009A3F7C" w:rsidRPr="00E867F6" w:rsidRDefault="00CD2CB7" w:rsidP="00EC5C34">
      <w:pPr>
        <w:pStyle w:val="ListBullet"/>
        <w:numPr>
          <w:ilvl w:val="0"/>
          <w:numId w:val="41"/>
        </w:numPr>
      </w:pPr>
      <w:r>
        <w:t>A</w:t>
      </w:r>
      <w:r w:rsidR="00200CD3" w:rsidRPr="00E867F6">
        <w:t xml:space="preserve">ccurately </w:t>
      </w:r>
      <w:r w:rsidR="009A3F7C" w:rsidRPr="00E867F6">
        <w:t>capture whether evidence-based care has been delivered (</w:t>
      </w:r>
      <w:r w:rsidR="00200CD3">
        <w:t>for example,</w:t>
      </w:r>
      <w:r w:rsidR="009A3F7C" w:rsidRPr="00E867F6">
        <w:t xml:space="preserve"> a measure simply requiring a clinician to check a box to indicate an activity has occurred will not be a sufficient indicator of quality) </w:t>
      </w:r>
    </w:p>
    <w:p w14:paraId="3AE294AF" w14:textId="33456B7E" w:rsidR="009A3F7C" w:rsidRPr="00E867F6" w:rsidRDefault="00200CD3" w:rsidP="00D6551E">
      <w:pPr>
        <w:pStyle w:val="ListBullet"/>
      </w:pPr>
      <w:r>
        <w:t>A</w:t>
      </w:r>
      <w:r w:rsidR="009A3F7C" w:rsidRPr="00E867F6">
        <w:t>ddress a process proximate to the desired outcome to ensure the contribution of the process to the outcomes is clear</w:t>
      </w:r>
    </w:p>
    <w:p w14:paraId="216EC761" w14:textId="02210862" w:rsidR="009A3F7C" w:rsidRPr="00E867F6" w:rsidRDefault="00200CD3" w:rsidP="00D6551E">
      <w:pPr>
        <w:pStyle w:val="ListBullet"/>
      </w:pPr>
      <w:r>
        <w:t>H</w:t>
      </w:r>
      <w:r w:rsidR="009A3F7C" w:rsidRPr="00E867F6">
        <w:t>ave minimal or no unintended adverse consequences.</w:t>
      </w:r>
      <w:r w:rsidR="009A3F7C" w:rsidRPr="00E867F6">
        <w:rPr>
          <w:rStyle w:val="EndnoteReference"/>
          <w:rFonts w:cs="Arial"/>
        </w:rPr>
        <w:endnoteReference w:id="60"/>
      </w:r>
    </w:p>
    <w:p w14:paraId="31E3AADB" w14:textId="358A30CB" w:rsidR="009A3F7C" w:rsidRPr="00E867F6" w:rsidRDefault="009A3F7C" w:rsidP="00D6551E">
      <w:pPr>
        <w:pStyle w:val="BodyText"/>
      </w:pPr>
      <w:r w:rsidRPr="00E867F6">
        <w:t xml:space="preserve">The literature also identifies that presentation of the public reporting data in a manner that is user-friendly and accessible to consumers is essential to its overall success. Faber </w:t>
      </w:r>
      <w:r>
        <w:t>et al.</w:t>
      </w:r>
      <w:r w:rsidRPr="00E867F6">
        <w:t xml:space="preserve"> reviewed a range of studies to identify how consumers use public reporting information and considered the impact of presentation formats on consumer behaviours in this regard. Unsurprisingly, the review found that the addition of context information (</w:t>
      </w:r>
      <w:r w:rsidR="00200CD3">
        <w:t>for example,</w:t>
      </w:r>
      <w:r w:rsidRPr="00E867F6">
        <w:t xml:space="preserve"> risk messages) and easy-to-read lay-out styles (</w:t>
      </w:r>
      <w:r w:rsidR="00200CD3">
        <w:t>for example</w:t>
      </w:r>
      <w:r w:rsidRPr="00E867F6">
        <w:t xml:space="preserve">, star ratings and rank ordering) were success factors in these. In two of the studies they reviewed, a clear differential effect </w:t>
      </w:r>
      <w:r w:rsidRPr="00E867F6">
        <w:lastRenderedPageBreak/>
        <w:t>of easy-to-read presentation formats and information content was observed</w:t>
      </w:r>
      <w:r w:rsidR="00B505B2">
        <w:t>;</w:t>
      </w:r>
      <w:r w:rsidRPr="00E867F6">
        <w:t xml:space="preserve"> elderly participants and participants with poor numeracy benefit most from these approaches.</w:t>
      </w:r>
      <w:r w:rsidRPr="00E867F6">
        <w:rPr>
          <w:rStyle w:val="EndnoteReference"/>
          <w:rFonts w:cs="Arial"/>
        </w:rPr>
        <w:endnoteReference w:id="61"/>
      </w:r>
    </w:p>
    <w:p w14:paraId="061E6C81" w14:textId="742B4C81" w:rsidR="009A3F7C" w:rsidRPr="00E867F6" w:rsidRDefault="009A3F7C" w:rsidP="00D6551E">
      <w:pPr>
        <w:pStyle w:val="BodyText"/>
      </w:pPr>
      <w:r w:rsidRPr="00E867F6">
        <w:t xml:space="preserve">The rapid evolution of social media also provides lessons for the overall design and dissemination of public reporting data in a manner that can be most effective for consumers. </w:t>
      </w:r>
      <w:proofErr w:type="spellStart"/>
      <w:r w:rsidRPr="00E867F6">
        <w:t>Lagu</w:t>
      </w:r>
      <w:proofErr w:type="spellEnd"/>
      <w:r w:rsidRPr="00E867F6">
        <w:t xml:space="preserve"> and Greaves discuss research that found hospitals with lower risk-adjusted readmission rates reported on the U</w:t>
      </w:r>
      <w:r w:rsidR="00B505B2">
        <w:t>S</w:t>
      </w:r>
      <w:r w:rsidR="004F4936">
        <w:t>A</w:t>
      </w:r>
      <w:r w:rsidRPr="00E867F6">
        <w:t>’</w:t>
      </w:r>
      <w:r w:rsidR="004F4936">
        <w:t>s</w:t>
      </w:r>
      <w:r w:rsidRPr="00E867F6">
        <w:t xml:space="preserve"> Hospital Compare reporting system were associated with a higher number of stars patients gave hospitals as part of their Facebook reviews and vice versa.</w:t>
      </w:r>
      <w:r w:rsidRPr="00E867F6">
        <w:rPr>
          <w:rStyle w:val="EndnoteReference"/>
          <w:rFonts w:cs="Arial"/>
        </w:rPr>
        <w:endnoteReference w:id="62"/>
      </w:r>
      <w:r w:rsidRPr="00E867F6">
        <w:t xml:space="preserve"> </w:t>
      </w:r>
    </w:p>
    <w:p w14:paraId="58353547" w14:textId="5CAE6225" w:rsidR="009A3F7C" w:rsidRDefault="009A3F7C" w:rsidP="00D6551E">
      <w:pPr>
        <w:pStyle w:val="BodyText"/>
      </w:pPr>
      <w:r w:rsidRPr="00E867F6">
        <w:t xml:space="preserve">While making clear that the use of Facebook or other social media reviews should not be seen as a definitive indicator of quality, </w:t>
      </w:r>
      <w:proofErr w:type="spellStart"/>
      <w:r w:rsidR="00B505B2" w:rsidRPr="00B505B2">
        <w:t>Lagu</w:t>
      </w:r>
      <w:proofErr w:type="spellEnd"/>
      <w:r w:rsidR="00B505B2" w:rsidRPr="00B505B2">
        <w:t xml:space="preserve"> and Greaves </w:t>
      </w:r>
      <w:r w:rsidRPr="00E867F6">
        <w:t>argue that reviews, and particularly narrative reviews, are easier to interpret than numeric data such as process measures or risk-adjusted mortality rates, which has been one of the reasons why traditional public reporting frameworks have not influenced consumer behaviour as had been hoped. To maximise the impact of the existing investments into government-led public reporting websites and portals, the authors suggest that patient review data be published alongside the traditional indicator information, to connect with consumers on an emotional level.</w:t>
      </w:r>
      <w:r w:rsidRPr="00E867F6">
        <w:rPr>
          <w:rStyle w:val="EndnoteReference"/>
          <w:rFonts w:cs="Arial"/>
        </w:rPr>
        <w:endnoteReference w:id="63"/>
      </w:r>
      <w:r w:rsidRPr="00E867F6">
        <w:t xml:space="preserve"> Taking this approach would overcome what they see is a significant limitation of current reporting practice, which is that, </w:t>
      </w:r>
      <w:r w:rsidR="00B505B2">
        <w:t>’</w:t>
      </w:r>
      <w:r w:rsidRPr="00E867F6">
        <w:t>powers that be…define and assess quality and decide which data patients should use to make decisions</w:t>
      </w:r>
      <w:r w:rsidR="00B505B2">
        <w:t>’</w:t>
      </w:r>
      <w:r w:rsidR="00B505B2" w:rsidRPr="00E867F6">
        <w:t xml:space="preserve">, </w:t>
      </w:r>
      <w:r w:rsidRPr="00E867F6">
        <w:t>which is counter to the approach of social reporting used as part of these social media platforms.</w:t>
      </w:r>
      <w:r w:rsidRPr="00E867F6">
        <w:rPr>
          <w:rStyle w:val="EndnoteReference"/>
          <w:rFonts w:cs="Arial"/>
        </w:rPr>
        <w:endnoteReference w:id="64"/>
      </w:r>
    </w:p>
    <w:p w14:paraId="0C49C946" w14:textId="77777777" w:rsidR="009A3F7C" w:rsidRPr="00E867F6" w:rsidRDefault="009A3F7C" w:rsidP="00D6551E">
      <w:pPr>
        <w:pStyle w:val="BodyText"/>
      </w:pPr>
    </w:p>
    <w:p w14:paraId="05BB4C2A" w14:textId="77777777" w:rsidR="009A3F7C" w:rsidRPr="00E867F6" w:rsidRDefault="009A3F7C" w:rsidP="00D6551E">
      <w:pPr>
        <w:pStyle w:val="BodyText"/>
      </w:pPr>
      <w:r w:rsidRPr="00E867F6">
        <w:rPr>
          <w:noProof/>
        </w:rPr>
        <mc:AlternateContent>
          <mc:Choice Requires="wps">
            <w:drawing>
              <wp:inline distT="0" distB="0" distL="0" distR="0" wp14:anchorId="7DBDFBAD" wp14:editId="794C65A2">
                <wp:extent cx="5731510" cy="2066925"/>
                <wp:effectExtent l="0" t="0" r="2540" b="952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066925"/>
                        </a:xfrm>
                        <a:prstGeom prst="rect">
                          <a:avLst/>
                        </a:prstGeom>
                        <a:solidFill>
                          <a:schemeClr val="tx2">
                            <a:lumMod val="20000"/>
                            <a:lumOff val="80000"/>
                          </a:schemeClr>
                        </a:solidFill>
                        <a:ln w="9525">
                          <a:noFill/>
                          <a:miter lim="800000"/>
                          <a:headEnd/>
                          <a:tailEnd/>
                        </a:ln>
                      </wps:spPr>
                      <wps:txbx>
                        <w:txbxContent>
                          <w:p w14:paraId="64B0934C" w14:textId="77777777" w:rsidR="00F70157" w:rsidRPr="005E6578" w:rsidRDefault="00F70157" w:rsidP="00D6551E">
                            <w:pPr>
                              <w:rPr>
                                <w:b/>
                              </w:rPr>
                            </w:pPr>
                            <w:r w:rsidRPr="005E6578">
                              <w:rPr>
                                <w:b/>
                              </w:rPr>
                              <w:t>Finding summary</w:t>
                            </w:r>
                          </w:p>
                          <w:p w14:paraId="4A0DA763" w14:textId="77777777" w:rsidR="00F70157" w:rsidRDefault="00F70157" w:rsidP="00D6551E">
                            <w:r>
                              <w:t xml:space="preserve">The reviewed literature identifies that an effective public reporting framework should have a well-defined purpose, specific audience and clear outcomes, and be built around an institutional culture that recognises the value of reporting. The indicators that comprise the framework need to be evidence-based, carefully designed to accurately capture quality, closely linked to the outcomes being measured and have minimal or no unintended consequences. </w:t>
                            </w:r>
                          </w:p>
                          <w:p w14:paraId="650FB036" w14:textId="08569D69" w:rsidR="00F70157" w:rsidRDefault="00F70157" w:rsidP="00D6551E">
                            <w:r>
                              <w:t xml:space="preserve">Public reporting initiatives should consider the value of combining patient generated reviews with more traditional indicator-based information to provide a more comprehensive view of an organisation’s performance. </w:t>
                            </w:r>
                          </w:p>
                          <w:p w14:paraId="25E7ED26" w14:textId="77777777" w:rsidR="00F70157" w:rsidRPr="00171F17" w:rsidRDefault="00F70157" w:rsidP="00D6551E"/>
                        </w:txbxContent>
                      </wps:txbx>
                      <wps:bodyPr rot="0" vert="horz" wrap="square" lIns="91440" tIns="45720" rIns="91440" bIns="45720" anchor="t" anchorCtr="0">
                        <a:noAutofit/>
                      </wps:bodyPr>
                    </wps:wsp>
                  </a:graphicData>
                </a:graphic>
              </wp:inline>
            </w:drawing>
          </mc:Choice>
          <mc:Fallback>
            <w:pict>
              <v:shape id="_x0000_s1031" type="#_x0000_t202" style="width:451.3pt;height:16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" fillcolor="#c2e9f8 [671]" stroked="f">
                <v:textbox>
                  <w:txbxContent>
                    <w:p w14:paraId="64B0934C" w14:textId="77777777" w:rsidR="00F70157" w:rsidRPr="005E6578" w:rsidRDefault="00F70157" w:rsidP="00D6551E">
                      <w:pPr>
                        <w:rPr>
                          <w:b/>
                        </w:rPr>
                      </w:pPr>
                      <w:r w:rsidRPr="005E6578">
                        <w:rPr>
                          <w:b/>
                        </w:rPr>
                        <w:t>Finding summary</w:t>
                      </w:r>
                    </w:p>
                    <w:p w14:paraId="4A0DA763" w14:textId="77777777" w:rsidR="00F70157" w:rsidRDefault="00F70157" w:rsidP="00D6551E">
                      <w:r>
                        <w:t xml:space="preserve">The reviewed literature identifies that an effective public reporting framework should have a well-defined purpose, specific audience and clear outcomes, and be built around an institutional culture that recognises the value of reporting. The indicators that comprise the framework need to be evidence-based, carefully designed to accurately capture quality, closely linked to the outcomes being measured and have minimal or no unintended consequences. </w:t>
                      </w:r>
                    </w:p>
                    <w:p w14:paraId="650FB036" w14:textId="08569D69" w:rsidR="00F70157" w:rsidRDefault="00F70157" w:rsidP="00D6551E">
                      <w:r>
                        <w:t xml:space="preserve">Public reporting initiatives should consider the value of combining patient generated reviews with more traditional indicator-based information to provide a more comprehensive view of an organisation’s performance. </w:t>
                      </w:r>
                    </w:p>
                    <w:p w14:paraId="25E7ED26" w14:textId="77777777" w:rsidR="00F70157" w:rsidRPr="00171F17" w:rsidRDefault="00F70157" w:rsidP="00D6551E"/>
                  </w:txbxContent>
                </v:textbox>
                <w10:anchorlock/>
              </v:shape>
            </w:pict>
          </mc:Fallback>
        </mc:AlternateContent>
      </w:r>
    </w:p>
    <w:p w14:paraId="7D65908A" w14:textId="77777777" w:rsidR="009A3F7C" w:rsidRPr="00E867F6" w:rsidRDefault="009A3F7C" w:rsidP="00D6551E">
      <w:pPr>
        <w:pStyle w:val="BodyText"/>
      </w:pPr>
    </w:p>
    <w:p w14:paraId="3C67018F" w14:textId="77777777" w:rsidR="009A3F7C" w:rsidRPr="00E867F6" w:rsidRDefault="009A3F7C" w:rsidP="00937A50">
      <w:pPr>
        <w:pStyle w:val="Heading1"/>
      </w:pPr>
      <w:bookmarkStart w:id="32" w:name="_Toc514158744"/>
      <w:bookmarkStart w:id="33" w:name="_Toc3195092"/>
      <w:r w:rsidRPr="00E867F6">
        <w:lastRenderedPageBreak/>
        <w:t>Environment scan</w:t>
      </w:r>
      <w:bookmarkEnd w:id="32"/>
      <w:bookmarkEnd w:id="33"/>
      <w:r w:rsidRPr="00E867F6">
        <w:t xml:space="preserve"> </w:t>
      </w:r>
    </w:p>
    <w:p w14:paraId="56B39580" w14:textId="77777777" w:rsidR="009A3F7C" w:rsidRPr="00E867F6" w:rsidRDefault="009A3F7C" w:rsidP="00937A50">
      <w:pPr>
        <w:pStyle w:val="Heading2"/>
      </w:pPr>
      <w:bookmarkStart w:id="34" w:name="_Toc514158745"/>
      <w:bookmarkStart w:id="35" w:name="_Toc3195093"/>
      <w:r w:rsidRPr="00E867F6">
        <w:t>Scope of the environment scan</w:t>
      </w:r>
      <w:bookmarkEnd w:id="34"/>
      <w:bookmarkEnd w:id="35"/>
    </w:p>
    <w:p w14:paraId="427B4570" w14:textId="506EA0A3" w:rsidR="009A3F7C" w:rsidRPr="00E867F6" w:rsidRDefault="009A3F7C" w:rsidP="00DE3FB6">
      <w:pPr>
        <w:pStyle w:val="BodyText"/>
      </w:pPr>
      <w:r w:rsidRPr="00E867F6">
        <w:t xml:space="preserve">The environment scan involved an investigation into publically available safety and quality information across the Australian healthcare landscape. The collation of this information provides the current baseline for public reporting and identifies key differences in the type of quality and safety information reported publicly by both private and public healthcare organisations across Australia. In addition, this environment scan included three OECD countries to provide an overseas comparison. </w:t>
      </w:r>
    </w:p>
    <w:p w14:paraId="0E23AFC9" w14:textId="3F156807" w:rsidR="009A3F7C" w:rsidRPr="00E867F6" w:rsidRDefault="009A3F7C" w:rsidP="00D6551E">
      <w:pPr>
        <w:pStyle w:val="Heading2"/>
      </w:pPr>
      <w:bookmarkStart w:id="36" w:name="_Toc514158746"/>
      <w:bookmarkStart w:id="37" w:name="_Toc3195094"/>
      <w:r w:rsidRPr="00E867F6">
        <w:t xml:space="preserve">Guiding questions </w:t>
      </w:r>
      <w:r w:rsidR="00EF69B7">
        <w:t>for the</w:t>
      </w:r>
      <w:r w:rsidR="00EF69B7" w:rsidRPr="00E867F6">
        <w:t xml:space="preserve"> </w:t>
      </w:r>
      <w:r w:rsidRPr="00E867F6">
        <w:t>environment scan</w:t>
      </w:r>
      <w:bookmarkEnd w:id="36"/>
      <w:bookmarkEnd w:id="37"/>
      <w:r w:rsidRPr="00E867F6">
        <w:t xml:space="preserve"> </w:t>
      </w:r>
    </w:p>
    <w:p w14:paraId="0A1B5A2F" w14:textId="77777777" w:rsidR="009A3F7C" w:rsidRPr="00E867F6" w:rsidRDefault="009A3F7C" w:rsidP="00DE3FB6">
      <w:pPr>
        <w:pStyle w:val="BodyText"/>
      </w:pPr>
      <w:r w:rsidRPr="00E867F6">
        <w:t>The environment scan has been structured to provide responses to the following guiding questions:</w:t>
      </w:r>
    </w:p>
    <w:p w14:paraId="565F7E56" w14:textId="22FE09C7" w:rsidR="009A3F7C" w:rsidRPr="00E867F6" w:rsidRDefault="009A3F7C" w:rsidP="00EC5C34">
      <w:pPr>
        <w:numPr>
          <w:ilvl w:val="0"/>
          <w:numId w:val="38"/>
        </w:numPr>
        <w:spacing w:after="120"/>
        <w:rPr>
          <w:rFonts w:cs="Arial"/>
        </w:rPr>
      </w:pPr>
      <w:r w:rsidRPr="00E867F6">
        <w:rPr>
          <w:rFonts w:cs="Arial"/>
        </w:rPr>
        <w:t>What safety and quality information is currently publicly reported in Australia about publicly- and privately-funded hospitals and how is it reported?</w:t>
      </w:r>
    </w:p>
    <w:p w14:paraId="287E8B1A" w14:textId="77777777" w:rsidR="009A3F7C" w:rsidRPr="00E867F6" w:rsidRDefault="009A3F7C" w:rsidP="00EC5C34">
      <w:pPr>
        <w:numPr>
          <w:ilvl w:val="0"/>
          <w:numId w:val="38"/>
        </w:numPr>
        <w:spacing w:after="120"/>
        <w:rPr>
          <w:rFonts w:cs="Arial"/>
        </w:rPr>
      </w:pPr>
      <w:r w:rsidRPr="00E867F6">
        <w:rPr>
          <w:rFonts w:cs="Arial"/>
        </w:rPr>
        <w:t>What are the differences between safety and quality information reported about public and private hospitals?</w:t>
      </w:r>
    </w:p>
    <w:p w14:paraId="19AB2077" w14:textId="77777777" w:rsidR="009A3F7C" w:rsidRPr="00E867F6" w:rsidRDefault="009A3F7C" w:rsidP="00EC5C34">
      <w:pPr>
        <w:numPr>
          <w:ilvl w:val="0"/>
          <w:numId w:val="38"/>
        </w:numPr>
        <w:spacing w:after="120"/>
        <w:rPr>
          <w:rFonts w:cs="Arial"/>
        </w:rPr>
      </w:pPr>
      <w:r w:rsidRPr="00E867F6">
        <w:rPr>
          <w:rFonts w:cs="Arial"/>
        </w:rPr>
        <w:t xml:space="preserve">What safety and quality information is currently publicly reported in selected OECD countries, how is it reported, and how does this differ from what is reported in Australia?  </w:t>
      </w:r>
    </w:p>
    <w:p w14:paraId="55093BA9" w14:textId="77777777" w:rsidR="009A3F7C" w:rsidRPr="00E867F6" w:rsidRDefault="009A3F7C" w:rsidP="00EC5C34">
      <w:pPr>
        <w:numPr>
          <w:ilvl w:val="0"/>
          <w:numId w:val="38"/>
        </w:numPr>
        <w:spacing w:after="120"/>
        <w:rPr>
          <w:rFonts w:cs="Arial"/>
        </w:rPr>
      </w:pPr>
      <w:r w:rsidRPr="00E867F6">
        <w:rPr>
          <w:rFonts w:cs="Arial"/>
        </w:rPr>
        <w:t>What are the emergent trends in the type of information reported and in the way it is reported, and what does this mean for the future shape of public reporting in Australia?</w:t>
      </w:r>
    </w:p>
    <w:p w14:paraId="5E42B8B4" w14:textId="77777777" w:rsidR="009A3F7C" w:rsidRPr="00E867F6" w:rsidRDefault="009A3F7C" w:rsidP="00937A50">
      <w:pPr>
        <w:pStyle w:val="Heading2"/>
      </w:pPr>
      <w:bookmarkStart w:id="38" w:name="_Toc514158747"/>
      <w:bookmarkStart w:id="39" w:name="_Toc3195095"/>
      <w:r w:rsidRPr="00E867F6">
        <w:t>Search strategy</w:t>
      </w:r>
      <w:bookmarkEnd w:id="38"/>
      <w:bookmarkEnd w:id="39"/>
    </w:p>
    <w:p w14:paraId="40B4CA53" w14:textId="77777777" w:rsidR="009A3F7C" w:rsidRPr="00E867F6" w:rsidRDefault="009A3F7C" w:rsidP="00DE3FB6">
      <w:pPr>
        <w:pStyle w:val="Heading3"/>
      </w:pPr>
      <w:r w:rsidRPr="00E867F6">
        <w:t>Search terms and parameters</w:t>
      </w:r>
    </w:p>
    <w:p w14:paraId="72C2B26F" w14:textId="77777777" w:rsidR="009A3F7C" w:rsidRPr="00E867F6" w:rsidRDefault="009A3F7C" w:rsidP="00DE3FB6">
      <w:pPr>
        <w:pStyle w:val="BodyText"/>
      </w:pPr>
      <w:r w:rsidRPr="00E867F6">
        <w:t>The environment scan only considered publicly available quantitative and qualitative safety and quality information that is currently reported online in Australia and internationally.</w:t>
      </w:r>
    </w:p>
    <w:p w14:paraId="324435D3" w14:textId="7D7565C4" w:rsidR="009A3F7C" w:rsidRPr="00E867F6" w:rsidRDefault="009A3F7C" w:rsidP="00DE3FB6">
      <w:pPr>
        <w:pStyle w:val="BodyText"/>
      </w:pPr>
      <w:r w:rsidRPr="00E867F6">
        <w:t xml:space="preserve">The environment scan was informed by two templates provided by the Commission, one for private hospitals and one for public hospitals, which specified the parameters for the search. Further, a list for private and public healthcare organisations was provided, outlining healthcare organisations within the scope of the research. </w:t>
      </w:r>
    </w:p>
    <w:p w14:paraId="7DD1AFE6" w14:textId="61B2F133" w:rsidR="009A3F7C" w:rsidRPr="00E867F6" w:rsidRDefault="009A3F7C" w:rsidP="00DE3FB6">
      <w:pPr>
        <w:pStyle w:val="BodyText"/>
      </w:pPr>
      <w:r w:rsidRPr="00E867F6">
        <w:t>The environment scan includes the completion of a purposive web search for both public and private hospitals and healthcare organisations in Australia. The purposive web search was also extended to three OECD countries</w:t>
      </w:r>
      <w:r w:rsidR="00EF69B7">
        <w:t xml:space="preserve">: </w:t>
      </w:r>
      <w:r w:rsidR="00EF69B7" w:rsidRPr="00E867F6">
        <w:t>Canada; the Netherlands; and the US</w:t>
      </w:r>
      <w:r w:rsidR="00B05C5E">
        <w:t>A</w:t>
      </w:r>
      <w:r w:rsidRPr="00E867F6">
        <w:t>. The following information available online was collected:</w:t>
      </w:r>
    </w:p>
    <w:p w14:paraId="7055F8FF" w14:textId="5E51B99A" w:rsidR="009A3F7C" w:rsidRPr="00E867F6" w:rsidRDefault="00EF69B7" w:rsidP="00776E32">
      <w:pPr>
        <w:pStyle w:val="ListBullet"/>
        <w:contextualSpacing w:val="0"/>
      </w:pPr>
      <w:r w:rsidRPr="00E867F6">
        <w:t xml:space="preserve">Quantitative </w:t>
      </w:r>
      <w:r w:rsidR="009A3F7C" w:rsidRPr="00E867F6">
        <w:t>and qualitative safety and quality information reported by private and public healthcare organisation in Australia</w:t>
      </w:r>
    </w:p>
    <w:p w14:paraId="2D3E44F3" w14:textId="2D0416A3" w:rsidR="009A3F7C" w:rsidRPr="00E867F6" w:rsidRDefault="00EF69B7" w:rsidP="00776E32">
      <w:pPr>
        <w:pStyle w:val="ListBullet"/>
        <w:contextualSpacing w:val="0"/>
      </w:pPr>
      <w:r w:rsidRPr="00E867F6">
        <w:t xml:space="preserve">Prominence </w:t>
      </w:r>
      <w:r w:rsidR="009A3F7C" w:rsidRPr="00E867F6">
        <w:t>or accessibility to publically available safety and quality information</w:t>
      </w:r>
    </w:p>
    <w:p w14:paraId="48E7F0EC" w14:textId="46D918C8" w:rsidR="009A3F7C" w:rsidRPr="00E867F6" w:rsidRDefault="00EF69B7" w:rsidP="00776E32">
      <w:pPr>
        <w:pStyle w:val="ListBullet"/>
        <w:contextualSpacing w:val="0"/>
      </w:pPr>
      <w:r w:rsidRPr="00E867F6">
        <w:t xml:space="preserve">Type </w:t>
      </w:r>
      <w:r w:rsidR="009A3F7C" w:rsidRPr="00E867F6">
        <w:t>of safety and quality indicators reported, benchmarking and frequency of reporting</w:t>
      </w:r>
    </w:p>
    <w:p w14:paraId="051274FD" w14:textId="26FFB98A" w:rsidR="009A3F7C" w:rsidRPr="00E867F6" w:rsidRDefault="00EF69B7" w:rsidP="00776E32">
      <w:pPr>
        <w:pStyle w:val="ListBullet"/>
        <w:contextualSpacing w:val="0"/>
      </w:pPr>
      <w:r w:rsidRPr="00E867F6">
        <w:t>Presentation</w:t>
      </w:r>
      <w:r w:rsidR="009A3F7C" w:rsidRPr="00E867F6">
        <w:t>, rationale and intended audience for reporting</w:t>
      </w:r>
    </w:p>
    <w:p w14:paraId="301ECCED" w14:textId="5F072DD0" w:rsidR="009A3F7C" w:rsidRPr="00E867F6" w:rsidRDefault="00EF69B7" w:rsidP="00776E32">
      <w:pPr>
        <w:pStyle w:val="ListBullet"/>
        <w:contextualSpacing w:val="0"/>
        <w:rPr>
          <w:bCs/>
        </w:rPr>
      </w:pPr>
      <w:r w:rsidRPr="00E867F6">
        <w:rPr>
          <w:bCs/>
        </w:rPr>
        <w:t xml:space="preserve">Miscellaneous </w:t>
      </w:r>
      <w:r w:rsidR="009A3F7C" w:rsidRPr="00E867F6">
        <w:rPr>
          <w:bCs/>
        </w:rPr>
        <w:t xml:space="preserve">background information relevant to this topic. </w:t>
      </w:r>
    </w:p>
    <w:p w14:paraId="28A870B9" w14:textId="6B7E4134" w:rsidR="009A3F7C" w:rsidRPr="00E867F6" w:rsidRDefault="009A3F7C" w:rsidP="00DE3FB6">
      <w:pPr>
        <w:pStyle w:val="BodyText"/>
        <w:rPr>
          <w:rFonts w:cs="Arial"/>
          <w:bCs/>
        </w:rPr>
      </w:pPr>
      <w:r w:rsidRPr="00E867F6">
        <w:rPr>
          <w:rFonts w:cs="Arial"/>
          <w:bCs/>
        </w:rPr>
        <w:lastRenderedPageBreak/>
        <w:t xml:space="preserve">Findings from the purposive web search have been summarised in this report. </w:t>
      </w:r>
    </w:p>
    <w:p w14:paraId="60F92DC4" w14:textId="77777777" w:rsidR="009A3F7C" w:rsidRPr="00E867F6" w:rsidRDefault="009A3F7C" w:rsidP="00DE3FB6">
      <w:pPr>
        <w:pStyle w:val="Heading3"/>
      </w:pPr>
      <w:r w:rsidRPr="00E867F6">
        <w:t>General exclusions and limitations</w:t>
      </w:r>
    </w:p>
    <w:p w14:paraId="6BE09458" w14:textId="3C22D498" w:rsidR="009A3F7C" w:rsidRPr="00E867F6" w:rsidRDefault="009A3F7C" w:rsidP="00DE3FB6">
      <w:pPr>
        <w:pStyle w:val="BodyText"/>
      </w:pPr>
      <w:r w:rsidRPr="00E867F6">
        <w:t>The international search was limited to three OECD countries that have a health system comparable to Australia. These countries included: Canada; the Netherlands; and the US</w:t>
      </w:r>
      <w:r w:rsidR="004F4936">
        <w:t>A</w:t>
      </w:r>
      <w:r w:rsidR="007E0D1E">
        <w:t xml:space="preserve">. </w:t>
      </w:r>
    </w:p>
    <w:p w14:paraId="3D296776" w14:textId="5A5C49E2" w:rsidR="00282694" w:rsidRPr="00282694" w:rsidRDefault="009A3F7C" w:rsidP="00282694">
      <w:pPr>
        <w:pStyle w:val="Heading2"/>
      </w:pPr>
      <w:bookmarkStart w:id="40" w:name="_Toc514158748"/>
      <w:bookmarkStart w:id="41" w:name="_Toc3195096"/>
      <w:r w:rsidRPr="00E867F6">
        <w:t>Australia</w:t>
      </w:r>
      <w:bookmarkEnd w:id="40"/>
      <w:r w:rsidR="007E0D1E">
        <w:t>n</w:t>
      </w:r>
      <w:r w:rsidR="00282694">
        <w:t xml:space="preserve"> n</w:t>
      </w:r>
      <w:r w:rsidR="00282694" w:rsidRPr="00282694">
        <w:t>ational reporting mechanisms</w:t>
      </w:r>
      <w:bookmarkEnd w:id="41"/>
    </w:p>
    <w:p w14:paraId="42DEF2B3" w14:textId="40051068" w:rsidR="009A3F7C" w:rsidRPr="00E867F6" w:rsidRDefault="009A3F7C" w:rsidP="00282694">
      <w:pPr>
        <w:pStyle w:val="Heading3"/>
      </w:pPr>
      <w:bookmarkStart w:id="42" w:name="_Toc514158749"/>
      <w:r w:rsidRPr="00E867F6">
        <w:t xml:space="preserve">National Safety and Quality Health Service Standards </w:t>
      </w:r>
      <w:bookmarkEnd w:id="42"/>
    </w:p>
    <w:p w14:paraId="15D8ECCE" w14:textId="28DC22AC" w:rsidR="00BD2821" w:rsidRPr="007E0D1E" w:rsidRDefault="009A3F7C" w:rsidP="00BD2821">
      <w:pPr>
        <w:spacing w:after="150"/>
        <w:rPr>
          <w:rFonts w:cstheme="minorHAnsi"/>
          <w:iCs/>
        </w:rPr>
      </w:pPr>
      <w:r w:rsidRPr="007E0D1E">
        <w:rPr>
          <w:rFonts w:cstheme="minorHAnsi"/>
          <w:iCs/>
        </w:rPr>
        <w:t xml:space="preserve">The National Safety and Quality Health Service </w:t>
      </w:r>
      <w:r w:rsidR="0082058E" w:rsidRPr="007E0D1E">
        <w:rPr>
          <w:rFonts w:cstheme="minorHAnsi"/>
          <w:iCs/>
        </w:rPr>
        <w:t xml:space="preserve">(NSQHS) </w:t>
      </w:r>
      <w:r w:rsidRPr="007E0D1E">
        <w:rPr>
          <w:rFonts w:cstheme="minorHAnsi"/>
          <w:iCs/>
        </w:rPr>
        <w:t>Standards</w:t>
      </w:r>
      <w:r w:rsidR="0082058E" w:rsidRPr="007E0D1E">
        <w:rPr>
          <w:rFonts w:cstheme="minorHAnsi"/>
          <w:iCs/>
        </w:rPr>
        <w:t xml:space="preserve"> (second edition)</w:t>
      </w:r>
      <w:r w:rsidRPr="007E0D1E">
        <w:rPr>
          <w:rFonts w:cstheme="minorHAnsi"/>
          <w:iCs/>
        </w:rPr>
        <w:t xml:space="preserve"> </w:t>
      </w:r>
      <w:r w:rsidR="00BD2821" w:rsidRPr="007E0D1E">
        <w:rPr>
          <w:rFonts w:ascii="Arial" w:hAnsi="Arial" w:cs="Arial"/>
          <w:shd w:val="clear" w:color="auto" w:fill="FFFFFF"/>
        </w:rPr>
        <w:t xml:space="preserve">were developed by the Commission with the Australian Government, state and territory partners, consumers and the private sector. The primary aim of the NSQHS </w:t>
      </w:r>
      <w:r w:rsidR="00B05C5E">
        <w:rPr>
          <w:rFonts w:ascii="Arial" w:hAnsi="Arial" w:cs="Arial"/>
          <w:shd w:val="clear" w:color="auto" w:fill="FFFFFF"/>
        </w:rPr>
        <w:t xml:space="preserve">Standards </w:t>
      </w:r>
      <w:r w:rsidR="00BD2821" w:rsidRPr="007E0D1E">
        <w:rPr>
          <w:rFonts w:ascii="Arial" w:hAnsi="Arial" w:cs="Arial"/>
          <w:shd w:val="clear" w:color="auto" w:fill="FFFFFF"/>
        </w:rPr>
        <w:t>is</w:t>
      </w:r>
      <w:r w:rsidRPr="007E0D1E">
        <w:rPr>
          <w:rFonts w:cstheme="minorHAnsi"/>
          <w:iCs/>
        </w:rPr>
        <w:t xml:space="preserve"> </w:t>
      </w:r>
      <w:r w:rsidR="00BD2821" w:rsidRPr="007E0D1E">
        <w:rPr>
          <w:rFonts w:cstheme="minorHAnsi"/>
          <w:iCs/>
        </w:rPr>
        <w:t xml:space="preserve">to protect the public from harm and improve the quality of health care. </w:t>
      </w:r>
    </w:p>
    <w:p w14:paraId="7E119DAE" w14:textId="7646B473" w:rsidR="009A3F7C" w:rsidRPr="007E0D1E" w:rsidRDefault="00BD2821" w:rsidP="00BD2821">
      <w:pPr>
        <w:spacing w:after="150"/>
        <w:rPr>
          <w:rFonts w:cstheme="minorHAnsi"/>
          <w:iCs/>
        </w:rPr>
      </w:pPr>
      <w:r w:rsidRPr="007E0D1E">
        <w:rPr>
          <w:rFonts w:cstheme="minorHAnsi"/>
          <w:iCs/>
        </w:rPr>
        <w:t>They provide a quality assurance mechanism that tests whether relevant systems are in place to ensure that expected standards of safety and quality are met.</w:t>
      </w:r>
      <w:r w:rsidRPr="007E0D1E" w:rsidDel="00BD2821">
        <w:rPr>
          <w:rFonts w:cstheme="minorHAnsi"/>
          <w:iCs/>
        </w:rPr>
        <w:t xml:space="preserve"> </w:t>
      </w:r>
      <w:r w:rsidR="009A3F7C" w:rsidRPr="007E0D1E">
        <w:rPr>
          <w:rFonts w:cstheme="minorHAnsi"/>
          <w:iCs/>
        </w:rPr>
        <w:t xml:space="preserve">The </w:t>
      </w:r>
      <w:r w:rsidR="0082058E" w:rsidRPr="007E0D1E">
        <w:rPr>
          <w:rFonts w:cstheme="minorHAnsi"/>
          <w:iCs/>
        </w:rPr>
        <w:t xml:space="preserve">Standards </w:t>
      </w:r>
      <w:r w:rsidR="009A3F7C" w:rsidRPr="007E0D1E">
        <w:rPr>
          <w:rFonts w:cstheme="minorHAnsi"/>
          <w:iCs/>
        </w:rPr>
        <w:t>provide a nationally consistent statement about the level of care consumers can expect from health services.</w:t>
      </w:r>
    </w:p>
    <w:p w14:paraId="04DB288E" w14:textId="27AA83AD" w:rsidR="009A3F7C" w:rsidRPr="007E0D1E" w:rsidRDefault="009A3F7C" w:rsidP="00DE3FB6">
      <w:pPr>
        <w:spacing w:after="150"/>
        <w:rPr>
          <w:rFonts w:cstheme="minorHAnsi"/>
          <w:iCs/>
        </w:rPr>
      </w:pPr>
      <w:r w:rsidRPr="007E0D1E">
        <w:rPr>
          <w:rFonts w:cstheme="minorHAnsi"/>
          <w:iCs/>
        </w:rPr>
        <w:t xml:space="preserve">There are </w:t>
      </w:r>
      <w:r w:rsidR="00BD2821" w:rsidRPr="007E0D1E">
        <w:rPr>
          <w:rFonts w:cstheme="minorHAnsi"/>
          <w:iCs/>
        </w:rPr>
        <w:t xml:space="preserve">eight </w:t>
      </w:r>
      <w:r w:rsidRPr="007E0D1E">
        <w:rPr>
          <w:rFonts w:cstheme="minorHAnsi"/>
          <w:iCs/>
        </w:rPr>
        <w:t xml:space="preserve">national </w:t>
      </w:r>
      <w:r w:rsidR="00B05C5E">
        <w:rPr>
          <w:rFonts w:cstheme="minorHAnsi"/>
          <w:iCs/>
        </w:rPr>
        <w:t>S</w:t>
      </w:r>
      <w:r w:rsidRPr="007E0D1E">
        <w:rPr>
          <w:rFonts w:cstheme="minorHAnsi"/>
          <w:iCs/>
        </w:rPr>
        <w:t>tandards focusing on areas that are essential to the implementation and use of safety and quality systems:</w:t>
      </w:r>
    </w:p>
    <w:p w14:paraId="66AF8B4D" w14:textId="4E9F0E9F" w:rsidR="009A3F7C" w:rsidRPr="007E0D1E" w:rsidRDefault="00BD2821" w:rsidP="00776E32">
      <w:pPr>
        <w:numPr>
          <w:ilvl w:val="0"/>
          <w:numId w:val="11"/>
        </w:numPr>
        <w:spacing w:before="120" w:after="120"/>
        <w:ind w:left="714" w:right="147" w:hanging="357"/>
        <w:rPr>
          <w:rFonts w:cstheme="minorHAnsi"/>
          <w:iCs/>
        </w:rPr>
      </w:pPr>
      <w:r w:rsidRPr="007E0D1E">
        <w:rPr>
          <w:rFonts w:cstheme="minorHAnsi"/>
          <w:iCs/>
        </w:rPr>
        <w:t xml:space="preserve">Clinical </w:t>
      </w:r>
      <w:r w:rsidR="009A3F7C" w:rsidRPr="007E0D1E">
        <w:rPr>
          <w:rFonts w:cstheme="minorHAnsi"/>
          <w:iCs/>
        </w:rPr>
        <w:t xml:space="preserve">Governance </w:t>
      </w:r>
    </w:p>
    <w:p w14:paraId="77800041" w14:textId="77777777" w:rsidR="009A3F7C" w:rsidRPr="007E0D1E" w:rsidRDefault="009A3F7C" w:rsidP="00776E32">
      <w:pPr>
        <w:numPr>
          <w:ilvl w:val="0"/>
          <w:numId w:val="11"/>
        </w:numPr>
        <w:spacing w:before="120" w:after="120"/>
        <w:ind w:left="714" w:right="147" w:hanging="357"/>
        <w:rPr>
          <w:rFonts w:cstheme="minorHAnsi"/>
          <w:iCs/>
        </w:rPr>
      </w:pPr>
      <w:r w:rsidRPr="007E0D1E">
        <w:rPr>
          <w:rFonts w:cstheme="minorHAnsi"/>
          <w:iCs/>
        </w:rPr>
        <w:t>Partnering with Consumers</w:t>
      </w:r>
    </w:p>
    <w:p w14:paraId="0496C46A" w14:textId="051A4893" w:rsidR="009A3F7C" w:rsidRPr="007E0D1E" w:rsidRDefault="009A3F7C" w:rsidP="00776E32">
      <w:pPr>
        <w:numPr>
          <w:ilvl w:val="0"/>
          <w:numId w:val="11"/>
        </w:numPr>
        <w:spacing w:before="120" w:after="120"/>
        <w:ind w:left="714" w:right="147" w:hanging="357"/>
        <w:rPr>
          <w:rFonts w:cstheme="minorHAnsi"/>
          <w:iCs/>
        </w:rPr>
      </w:pPr>
      <w:r w:rsidRPr="007E0D1E">
        <w:rPr>
          <w:rFonts w:cstheme="minorHAnsi"/>
          <w:iCs/>
        </w:rPr>
        <w:t>Preventing and Controlling Healthcare</w:t>
      </w:r>
      <w:r w:rsidR="00BD2821" w:rsidRPr="007E0D1E">
        <w:rPr>
          <w:rFonts w:cstheme="minorHAnsi"/>
          <w:iCs/>
        </w:rPr>
        <w:t>-</w:t>
      </w:r>
      <w:r w:rsidRPr="007E0D1E">
        <w:rPr>
          <w:rFonts w:cstheme="minorHAnsi"/>
          <w:iCs/>
        </w:rPr>
        <w:t>Associated Infections</w:t>
      </w:r>
    </w:p>
    <w:p w14:paraId="26F9C14B" w14:textId="77777777" w:rsidR="009A3F7C" w:rsidRPr="007E0D1E" w:rsidRDefault="009A3F7C" w:rsidP="00776E32">
      <w:pPr>
        <w:numPr>
          <w:ilvl w:val="0"/>
          <w:numId w:val="11"/>
        </w:numPr>
        <w:spacing w:before="120" w:after="120"/>
        <w:ind w:left="714" w:right="147" w:hanging="357"/>
        <w:rPr>
          <w:rFonts w:cstheme="minorHAnsi"/>
          <w:iCs/>
        </w:rPr>
      </w:pPr>
      <w:r w:rsidRPr="007E0D1E">
        <w:rPr>
          <w:rFonts w:cstheme="minorHAnsi"/>
          <w:iCs/>
        </w:rPr>
        <w:t>Medication Safety</w:t>
      </w:r>
    </w:p>
    <w:p w14:paraId="54F317B2" w14:textId="2ABC1D96" w:rsidR="00BD2821" w:rsidRPr="007E0D1E" w:rsidRDefault="00BD2821" w:rsidP="00776E32">
      <w:pPr>
        <w:numPr>
          <w:ilvl w:val="0"/>
          <w:numId w:val="11"/>
        </w:numPr>
        <w:spacing w:before="120" w:after="120"/>
        <w:ind w:left="714" w:right="147" w:hanging="357"/>
        <w:rPr>
          <w:rFonts w:cstheme="minorHAnsi"/>
          <w:iCs/>
        </w:rPr>
      </w:pPr>
      <w:r w:rsidRPr="007E0D1E">
        <w:rPr>
          <w:rFonts w:cstheme="minorHAnsi"/>
          <w:iCs/>
        </w:rPr>
        <w:t>Comprehensive Care</w:t>
      </w:r>
    </w:p>
    <w:p w14:paraId="0DC7DF22" w14:textId="67E1306C" w:rsidR="00BD2821" w:rsidRPr="007E0D1E" w:rsidRDefault="00BD2821" w:rsidP="00776E32">
      <w:pPr>
        <w:numPr>
          <w:ilvl w:val="0"/>
          <w:numId w:val="11"/>
        </w:numPr>
        <w:spacing w:before="120" w:after="120"/>
        <w:ind w:left="714" w:right="147" w:hanging="357"/>
        <w:rPr>
          <w:rFonts w:cstheme="minorHAnsi"/>
          <w:iCs/>
        </w:rPr>
      </w:pPr>
      <w:r w:rsidRPr="007E0D1E">
        <w:rPr>
          <w:rFonts w:cstheme="minorHAnsi"/>
          <w:iCs/>
        </w:rPr>
        <w:t>Communicating for Safety</w:t>
      </w:r>
    </w:p>
    <w:p w14:paraId="0AFAB601" w14:textId="5C5EEFD7" w:rsidR="009A3F7C" w:rsidRPr="007E0D1E" w:rsidRDefault="009A3F7C" w:rsidP="00776E32">
      <w:pPr>
        <w:numPr>
          <w:ilvl w:val="0"/>
          <w:numId w:val="11"/>
        </w:numPr>
        <w:spacing w:before="120" w:after="120"/>
        <w:ind w:left="714" w:right="147" w:hanging="357"/>
        <w:rPr>
          <w:rFonts w:cstheme="minorHAnsi"/>
          <w:iCs/>
        </w:rPr>
      </w:pPr>
      <w:r w:rsidRPr="007E0D1E">
        <w:rPr>
          <w:rFonts w:cstheme="minorHAnsi"/>
          <w:iCs/>
        </w:rPr>
        <w:t xml:space="preserve">Blood </w:t>
      </w:r>
      <w:r w:rsidR="00BD2821" w:rsidRPr="007E0D1E">
        <w:rPr>
          <w:rFonts w:cstheme="minorHAnsi"/>
          <w:iCs/>
        </w:rPr>
        <w:t>Management</w:t>
      </w:r>
    </w:p>
    <w:p w14:paraId="6A92AC0C" w14:textId="2DED779E" w:rsidR="009A3F7C" w:rsidRPr="007E0D1E" w:rsidRDefault="009A3F7C" w:rsidP="00776E32">
      <w:pPr>
        <w:numPr>
          <w:ilvl w:val="0"/>
          <w:numId w:val="11"/>
        </w:numPr>
        <w:spacing w:before="120" w:after="240"/>
        <w:ind w:left="714" w:right="147" w:hanging="357"/>
        <w:rPr>
          <w:rFonts w:cstheme="minorHAnsi"/>
          <w:iCs/>
        </w:rPr>
      </w:pPr>
      <w:r w:rsidRPr="007E0D1E">
        <w:rPr>
          <w:rFonts w:cstheme="minorHAnsi"/>
          <w:iCs/>
        </w:rPr>
        <w:t xml:space="preserve">Recognising and Responding to </w:t>
      </w:r>
      <w:r w:rsidR="00BD2821" w:rsidRPr="007E0D1E">
        <w:rPr>
          <w:rFonts w:cstheme="minorHAnsi"/>
          <w:iCs/>
        </w:rPr>
        <w:t xml:space="preserve">Acute </w:t>
      </w:r>
      <w:r w:rsidRPr="007E0D1E">
        <w:rPr>
          <w:rFonts w:cstheme="minorHAnsi"/>
          <w:iCs/>
        </w:rPr>
        <w:t>Deterioration</w:t>
      </w:r>
      <w:r w:rsidR="00A14F17">
        <w:rPr>
          <w:rFonts w:cstheme="minorHAnsi"/>
          <w:iCs/>
        </w:rPr>
        <w:t>.</w:t>
      </w:r>
      <w:r w:rsidR="00EF69B7" w:rsidRPr="007E0D1E">
        <w:rPr>
          <w:rStyle w:val="EndnoteReference"/>
          <w:rFonts w:cstheme="minorHAnsi"/>
          <w:iCs/>
        </w:rPr>
        <w:endnoteReference w:id="65"/>
      </w:r>
    </w:p>
    <w:p w14:paraId="69322D8A" w14:textId="09013BE3" w:rsidR="009A3F7C" w:rsidRPr="00E867F6" w:rsidRDefault="009A3F7C" w:rsidP="00D6551E">
      <w:pPr>
        <w:pStyle w:val="BodyText"/>
      </w:pPr>
      <w:r w:rsidRPr="007E0D1E">
        <w:t xml:space="preserve">Each of the </w:t>
      </w:r>
      <w:r w:rsidR="00BD2821" w:rsidRPr="007E0D1E">
        <w:rPr>
          <w:rFonts w:cstheme="minorHAnsi"/>
          <w:iCs/>
        </w:rPr>
        <w:t>NSQHS</w:t>
      </w:r>
      <w:r w:rsidR="00BD2821" w:rsidRPr="007E0D1E">
        <w:t xml:space="preserve"> </w:t>
      </w:r>
      <w:r w:rsidR="00B308AD" w:rsidRPr="007E0D1E">
        <w:t>S</w:t>
      </w:r>
      <w:r w:rsidRPr="007E0D1E">
        <w:t xml:space="preserve">tandards specifies a range of tasks and actions that must be </w:t>
      </w:r>
      <w:r w:rsidRPr="00E867F6">
        <w:t xml:space="preserve">undertaken to ensure compliance. Healthcare organisations have an obligation to collect and monitor relevant indicators associated with actions to the NSQHS </w:t>
      </w:r>
      <w:r w:rsidR="0082058E">
        <w:t xml:space="preserve">Standards </w:t>
      </w:r>
      <w:r w:rsidRPr="00E867F6">
        <w:t>and to report these to the highest appropriate level of gove</w:t>
      </w:r>
      <w:r w:rsidR="007E0D1E">
        <w:t xml:space="preserve">rnance within the organisation. </w:t>
      </w:r>
      <w:r w:rsidR="003442CA">
        <w:t>Health service organisations must pass external assessments to show they have implemented all of the requ</w:t>
      </w:r>
      <w:r w:rsidR="00B329FD">
        <w:t>irements of the NSQHS Standards</w:t>
      </w:r>
      <w:r w:rsidR="003442CA">
        <w:t xml:space="preserve"> in order to become accredited.</w:t>
      </w:r>
    </w:p>
    <w:p w14:paraId="4509E89D" w14:textId="5B35122F" w:rsidR="009A3F7C" w:rsidRPr="00E867F6" w:rsidRDefault="009A3F7C" w:rsidP="00D6551E">
      <w:pPr>
        <w:pStyle w:val="BodyText"/>
      </w:pPr>
      <w:r w:rsidRPr="00E867F6">
        <w:t xml:space="preserve">The information collected as part of the NSQHS </w:t>
      </w:r>
      <w:r w:rsidR="003442CA">
        <w:t xml:space="preserve">Standards </w:t>
      </w:r>
      <w:r w:rsidRPr="00E867F6">
        <w:t xml:space="preserve">compliance monitoring process by accredited healthcare organisations therefore typically forms a fundamental component of the data they report publicly through the mechanisms outlined below. </w:t>
      </w:r>
    </w:p>
    <w:p w14:paraId="50C41D25" w14:textId="77777777" w:rsidR="009A3F7C" w:rsidRPr="00E867F6" w:rsidRDefault="009A3F7C" w:rsidP="00DE3FB6">
      <w:pPr>
        <w:pStyle w:val="Heading3"/>
      </w:pPr>
      <w:r w:rsidRPr="00E867F6">
        <w:t>The Australian Institute of Health and Welfare</w:t>
      </w:r>
    </w:p>
    <w:p w14:paraId="5C4E83F0" w14:textId="4DE4B53D" w:rsidR="003442CA" w:rsidRDefault="009A3F7C" w:rsidP="00D6551E">
      <w:pPr>
        <w:pStyle w:val="BodyText"/>
      </w:pPr>
      <w:r w:rsidRPr="00E867F6">
        <w:t xml:space="preserve">The Australian Institute of Health and Welfare (AIHW) is the national agency that leads the collection and dissemination of health and welfare information in Australia. Its work helps to drive improvements in health services by publishing nationally </w:t>
      </w:r>
      <w:proofErr w:type="gramStart"/>
      <w:r w:rsidRPr="00E867F6">
        <w:t>comparable,</w:t>
      </w:r>
      <w:proofErr w:type="gramEnd"/>
      <w:r w:rsidRPr="00E867F6">
        <w:t xml:space="preserve"> local-level information about how healthcare organisations are performing against a set of nationally agreed indicators. The AIHW collects a range of hospital data, which is used to regularly </w:t>
      </w:r>
      <w:r w:rsidRPr="00E867F6">
        <w:lastRenderedPageBreak/>
        <w:t xml:space="preserve">inform the publication of its Australian hospital statistics suite of reports. </w:t>
      </w:r>
      <w:r w:rsidR="001427F9" w:rsidRPr="001427F9">
        <w:t xml:space="preserve">The AIHW runs the </w:t>
      </w:r>
      <w:proofErr w:type="spellStart"/>
      <w:r w:rsidR="001427F9" w:rsidRPr="001427F9">
        <w:t>MyHospitals</w:t>
      </w:r>
      <w:proofErr w:type="spellEnd"/>
      <w:r w:rsidR="001427F9" w:rsidRPr="001427F9">
        <w:t xml:space="preserve"> website, </w:t>
      </w:r>
      <w:r w:rsidR="001427F9">
        <w:t>providing</w:t>
      </w:r>
      <w:r w:rsidR="001427F9" w:rsidRPr="001427F9">
        <w:t xml:space="preserve"> performance information for public and private hospitals.</w:t>
      </w:r>
    </w:p>
    <w:p w14:paraId="0E9EF8C6" w14:textId="1F170E98" w:rsidR="009A3F7C" w:rsidRPr="00E867F6" w:rsidRDefault="001F2ED9" w:rsidP="00D6551E">
      <w:pPr>
        <w:pStyle w:val="BodyText"/>
      </w:pPr>
      <w:r>
        <w:t>As part of</w:t>
      </w:r>
      <w:r w:rsidR="009A3F7C" w:rsidRPr="00E867F6">
        <w:t xml:space="preserve"> safety and quality</w:t>
      </w:r>
      <w:r>
        <w:t xml:space="preserve"> reporting</w:t>
      </w:r>
      <w:r w:rsidR="009A3F7C" w:rsidRPr="00E867F6">
        <w:t xml:space="preserve">, the AIHW publishes an annual report on </w:t>
      </w:r>
      <w:r w:rsidR="009A3F7C" w:rsidRPr="00E867F6">
        <w:rPr>
          <w:i/>
        </w:rPr>
        <w:t>Staphylococcus Aureus Bacteraemia</w:t>
      </w:r>
      <w:r w:rsidR="009A3F7C" w:rsidRPr="00E867F6">
        <w:t xml:space="preserve"> </w:t>
      </w:r>
      <w:r w:rsidR="009A3F7C" w:rsidRPr="00E867F6">
        <w:rPr>
          <w:i/>
        </w:rPr>
        <w:t>(SAB) in Australian hospitals</w:t>
      </w:r>
      <w:r w:rsidR="009A3F7C" w:rsidRPr="00E867F6">
        <w:t>. The report provides a four year summary of SAB activity across all public and select private hospitals in Australia, which are compared to the national benchmark, at the jurisdictional level.</w:t>
      </w:r>
      <w:r w:rsidR="009A3F7C" w:rsidRPr="00E867F6">
        <w:rPr>
          <w:vertAlign w:val="superscript"/>
        </w:rPr>
        <w:endnoteReference w:id="66"/>
      </w:r>
      <w:r w:rsidR="009A3F7C" w:rsidRPr="00E867F6">
        <w:t xml:space="preserve"> </w:t>
      </w:r>
    </w:p>
    <w:p w14:paraId="5C83FF64" w14:textId="77777777" w:rsidR="009A3F7C" w:rsidRPr="00E867F6" w:rsidRDefault="009A3F7C" w:rsidP="00DE3FB6">
      <w:pPr>
        <w:pStyle w:val="Heading3"/>
      </w:pPr>
      <w:proofErr w:type="spellStart"/>
      <w:r w:rsidRPr="00E867F6">
        <w:t>MyHospitals</w:t>
      </w:r>
      <w:proofErr w:type="spellEnd"/>
    </w:p>
    <w:p w14:paraId="4EE99723" w14:textId="1BC867D5" w:rsidR="009A3F7C" w:rsidRPr="00E867F6" w:rsidRDefault="009A3F7C" w:rsidP="00DE3FB6">
      <w:r w:rsidRPr="00E867F6">
        <w:t xml:space="preserve">In 2010, the Australian Government developed the </w:t>
      </w:r>
      <w:proofErr w:type="spellStart"/>
      <w:r w:rsidRPr="00E867F6">
        <w:t>MyHospitals</w:t>
      </w:r>
      <w:proofErr w:type="spellEnd"/>
      <w:r w:rsidRPr="00E867F6">
        <w:t xml:space="preserve"> website to provide easily accessible and user friendly information abou</w:t>
      </w:r>
      <w:r w:rsidR="00DC0F59">
        <w:t>t the performance of Australia’s health</w:t>
      </w:r>
      <w:r w:rsidRPr="00E867F6">
        <w:t xml:space="preserve">care system. Reporting via </w:t>
      </w:r>
      <w:proofErr w:type="spellStart"/>
      <w:r w:rsidRPr="00E867F6">
        <w:t>MyHospitals</w:t>
      </w:r>
      <w:proofErr w:type="spellEnd"/>
      <w:r w:rsidRPr="00E867F6">
        <w:t xml:space="preserve"> is mandatory for public hospitals but voluntary for private hospitals. The website provides users with access to performance information of more than 1,000 public and private hospitals on indicators related to waiting times in emergency departments, waiting times for some types of surgery, rates of bloodstream infections acquired in hospital, the length of time patients spend in hospital after being admitted for various conditions or procedures, amongst other indicators. </w:t>
      </w:r>
    </w:p>
    <w:p w14:paraId="7258048F" w14:textId="489E5BD7" w:rsidR="009A3F7C" w:rsidRPr="00E867F6" w:rsidRDefault="00DF3E47" w:rsidP="00E6668C">
      <w:pPr>
        <w:spacing w:before="120" w:after="120"/>
      </w:pPr>
      <w:r w:rsidRPr="00E867F6">
        <w:rPr>
          <w:noProof/>
        </w:rPr>
        <w:drawing>
          <wp:anchor distT="0" distB="0" distL="114300" distR="114300" simplePos="0" relativeHeight="251715584" behindDoc="1" locked="0" layoutInCell="1" allowOverlap="1" wp14:anchorId="0080D468" wp14:editId="1712082F">
            <wp:simplePos x="0" y="0"/>
            <wp:positionH relativeFrom="column">
              <wp:posOffset>3552825</wp:posOffset>
            </wp:positionH>
            <wp:positionV relativeFrom="paragraph">
              <wp:posOffset>22225</wp:posOffset>
            </wp:positionV>
            <wp:extent cx="2066925" cy="204533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yHospital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6925" cy="2045335"/>
                    </a:xfrm>
                    <a:prstGeom prst="rect">
                      <a:avLst/>
                    </a:prstGeom>
                  </pic:spPr>
                </pic:pic>
              </a:graphicData>
            </a:graphic>
            <wp14:sizeRelH relativeFrom="margin">
              <wp14:pctWidth>0</wp14:pctWidth>
            </wp14:sizeRelH>
            <wp14:sizeRelV relativeFrom="margin">
              <wp14:pctHeight>0</wp14:pctHeight>
            </wp14:sizeRelV>
          </wp:anchor>
        </w:drawing>
      </w:r>
      <w:r w:rsidR="009A3F7C" w:rsidRPr="00E867F6">
        <w:t>The website enables users to:</w:t>
      </w:r>
    </w:p>
    <w:p w14:paraId="35B3E2E7" w14:textId="77777777" w:rsidR="009A3F7C" w:rsidRPr="00E867F6" w:rsidRDefault="00B329FD" w:rsidP="00E6668C">
      <w:pPr>
        <w:pStyle w:val="ListBullet"/>
      </w:pPr>
      <w:hyperlink r:id="rId18" w:history="1">
        <w:r w:rsidR="009A3F7C" w:rsidRPr="00E867F6">
          <w:t>Search for a hospital by state or postcode</w:t>
        </w:r>
      </w:hyperlink>
    </w:p>
    <w:p w14:paraId="5114829F" w14:textId="77777777" w:rsidR="009A3F7C" w:rsidRPr="00E867F6" w:rsidRDefault="00B329FD" w:rsidP="00E6668C">
      <w:pPr>
        <w:pStyle w:val="ListBullet"/>
      </w:pPr>
      <w:hyperlink r:id="rId19" w:history="1">
        <w:r w:rsidR="009A3F7C" w:rsidRPr="00E867F6">
          <w:t xml:space="preserve">View a hospital's profile and the services a hospital offers </w:t>
        </w:r>
      </w:hyperlink>
    </w:p>
    <w:p w14:paraId="1AE3EB46" w14:textId="77777777" w:rsidR="009A3F7C" w:rsidRPr="00E867F6" w:rsidRDefault="00B329FD" w:rsidP="00E6668C">
      <w:pPr>
        <w:pStyle w:val="ListBullet"/>
      </w:pPr>
      <w:hyperlink r:id="rId20" w:history="1">
        <w:r w:rsidR="009A3F7C" w:rsidRPr="00E867F6">
          <w:t>See how a hospital performs against health performance indicators</w:t>
        </w:r>
      </w:hyperlink>
    </w:p>
    <w:p w14:paraId="34C5AA48" w14:textId="77777777" w:rsidR="009A3F7C" w:rsidRPr="00E867F6" w:rsidRDefault="00B329FD" w:rsidP="00E6668C">
      <w:pPr>
        <w:pStyle w:val="ListBullet"/>
      </w:pPr>
      <w:hyperlink r:id="rId21" w:history="1">
        <w:r w:rsidR="009A3F7C" w:rsidRPr="00E867F6">
          <w:t>See changes in results for a hospital over time</w:t>
        </w:r>
      </w:hyperlink>
    </w:p>
    <w:p w14:paraId="1E225B6F" w14:textId="1A22F1EA" w:rsidR="009A3F7C" w:rsidRPr="00E867F6" w:rsidRDefault="00B329FD" w:rsidP="00E6668C">
      <w:pPr>
        <w:pStyle w:val="ListBullet"/>
      </w:pPr>
      <w:hyperlink r:id="rId22" w:history="1">
        <w:r w:rsidR="009A3F7C" w:rsidRPr="00E867F6">
          <w:t>Compare a hospital’s results with similar hospitals or peers</w:t>
        </w:r>
      </w:hyperlink>
    </w:p>
    <w:p w14:paraId="1CD37D89" w14:textId="5C94E7D1" w:rsidR="007E0D1E" w:rsidRDefault="00B329FD" w:rsidP="00E6668C">
      <w:pPr>
        <w:pStyle w:val="ListBullet"/>
      </w:pPr>
      <w:hyperlink r:id="rId23" w:history="1">
        <w:r w:rsidR="009A3F7C" w:rsidRPr="00E867F6">
          <w:t>Download Hospital Performance reports</w:t>
        </w:r>
      </w:hyperlink>
      <w:r w:rsidR="007E0D1E">
        <w:t>.</w:t>
      </w:r>
    </w:p>
    <w:p w14:paraId="3B9C9281" w14:textId="578E15B7" w:rsidR="009A3F7C" w:rsidRPr="00E867F6" w:rsidRDefault="00DF3E47" w:rsidP="00E6668C">
      <w:pPr>
        <w:pStyle w:val="BodyText"/>
      </w:pPr>
      <w:r w:rsidRPr="00E867F6">
        <w:rPr>
          <w:noProof/>
        </w:rPr>
        <mc:AlternateContent>
          <mc:Choice Requires="wps">
            <w:drawing>
              <wp:anchor distT="0" distB="0" distL="114300" distR="114300" simplePos="0" relativeHeight="251716608" behindDoc="0" locked="0" layoutInCell="1" allowOverlap="1" wp14:anchorId="56B51970" wp14:editId="08BC5D1A">
                <wp:simplePos x="0" y="0"/>
                <wp:positionH relativeFrom="column">
                  <wp:posOffset>3657600</wp:posOffset>
                </wp:positionH>
                <wp:positionV relativeFrom="paragraph">
                  <wp:posOffset>331470</wp:posOffset>
                </wp:positionV>
                <wp:extent cx="1990725" cy="895350"/>
                <wp:effectExtent l="0" t="0" r="9525" b="0"/>
                <wp:wrapThrough wrapText="bothSides">
                  <wp:wrapPolygon edited="0">
                    <wp:start x="0" y="0"/>
                    <wp:lineTo x="0" y="21140"/>
                    <wp:lineTo x="21497" y="21140"/>
                    <wp:lineTo x="21497" y="0"/>
                    <wp:lineTo x="0" y="0"/>
                  </wp:wrapPolygon>
                </wp:wrapThrough>
                <wp:docPr id="22" name="Text Box 22"/>
                <wp:cNvGraphicFramePr/>
                <a:graphic xmlns:a="http://schemas.openxmlformats.org/drawingml/2006/main">
                  <a:graphicData uri="http://schemas.microsoft.com/office/word/2010/wordprocessingShape">
                    <wps:wsp>
                      <wps:cNvSpPr txBox="1"/>
                      <wps:spPr>
                        <a:xfrm>
                          <a:off x="0" y="0"/>
                          <a:ext cx="199072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B79AD" w14:textId="513067A9" w:rsidR="00F70157" w:rsidRPr="00DF3E47" w:rsidRDefault="00F70157" w:rsidP="00DE3FB6">
                            <w:pPr>
                              <w:rPr>
                                <w:i/>
                                <w:sz w:val="18"/>
                                <w:szCs w:val="18"/>
                                <w:lang w:val="en-US"/>
                              </w:rPr>
                            </w:pPr>
                            <w:r w:rsidRPr="00DF3E47">
                              <w:rPr>
                                <w:i/>
                                <w:sz w:val="18"/>
                                <w:szCs w:val="18"/>
                                <w:lang w:val="en-US"/>
                              </w:rPr>
                              <w:t xml:space="preserve">Image: example of </w:t>
                            </w:r>
                            <w:proofErr w:type="spellStart"/>
                            <w:r w:rsidRPr="00DF3E47">
                              <w:rPr>
                                <w:i/>
                                <w:sz w:val="18"/>
                                <w:szCs w:val="18"/>
                                <w:lang w:val="en-US"/>
                              </w:rPr>
                              <w:t>MyHospitals</w:t>
                            </w:r>
                            <w:proofErr w:type="spellEnd"/>
                            <w:r w:rsidRPr="00DF3E47">
                              <w:rPr>
                                <w:i/>
                                <w:sz w:val="18"/>
                                <w:szCs w:val="18"/>
                                <w:lang w:val="en-US"/>
                              </w:rPr>
                              <w:t xml:space="preserve"> homepage. Source: </w:t>
                            </w:r>
                            <w:hyperlink r:id="rId24" w:history="1">
                              <w:r w:rsidRPr="00DF3E47">
                                <w:rPr>
                                  <w:rStyle w:val="Hyperlink"/>
                                  <w:i/>
                                  <w:sz w:val="18"/>
                                  <w:szCs w:val="18"/>
                                  <w:lang w:val="en-US"/>
                                </w:rPr>
                                <w:t>https://www.myhospitals.gov.au/</w:t>
                              </w:r>
                            </w:hyperlink>
                            <w:r w:rsidRPr="00DF3E47">
                              <w:rPr>
                                <w:i/>
                                <w:sz w:val="18"/>
                                <w:szCs w:val="18"/>
                                <w:lang w:val="en-US"/>
                              </w:rPr>
                              <w:t>. Accessed 13/05/2018</w:t>
                            </w:r>
                            <w:r>
                              <w:rPr>
                                <w:i/>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margin-left:4in;margin-top:26.1pt;width:156.75pt;height:7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" fillcolor="white [3201]" stroked="f" strokeweight=".5pt">
                <v:textbox>
                  <w:txbxContent>
                    <w:p w14:paraId="7C8B79AD" w14:textId="513067A9" w:rsidR="00F70157" w:rsidRPr="00DF3E47" w:rsidRDefault="00F70157" w:rsidP="00DE3FB6">
                      <w:pPr>
                        <w:rPr>
                          <w:i/>
                          <w:sz w:val="18"/>
                          <w:szCs w:val="18"/>
                          <w:lang w:val="en-US"/>
                        </w:rPr>
                      </w:pPr>
                      <w:r w:rsidRPr="00DF3E47">
                        <w:rPr>
                          <w:i/>
                          <w:sz w:val="18"/>
                          <w:szCs w:val="18"/>
                          <w:lang w:val="en-US"/>
                        </w:rPr>
                        <w:t xml:space="preserve">Image: example of MyHospitals homepage. Source: </w:t>
                      </w:r>
                      <w:hyperlink r:id="rId25" w:history="1">
                        <w:r w:rsidRPr="00DF3E47">
                          <w:rPr>
                            <w:rStyle w:val="Hyperlink"/>
                            <w:i/>
                            <w:sz w:val="18"/>
                            <w:szCs w:val="18"/>
                            <w:lang w:val="en-US"/>
                          </w:rPr>
                          <w:t>https://www.myhospitals.gov.au/</w:t>
                        </w:r>
                      </w:hyperlink>
                      <w:r w:rsidRPr="00DF3E47">
                        <w:rPr>
                          <w:i/>
                          <w:sz w:val="18"/>
                          <w:szCs w:val="18"/>
                          <w:lang w:val="en-US"/>
                        </w:rPr>
                        <w:t>. Accessed 13/05/2018</w:t>
                      </w:r>
                      <w:r>
                        <w:rPr>
                          <w:i/>
                          <w:sz w:val="18"/>
                          <w:szCs w:val="18"/>
                          <w:lang w:val="en-US"/>
                        </w:rPr>
                        <w:t>.</w:t>
                      </w:r>
                    </w:p>
                  </w:txbxContent>
                </v:textbox>
                <w10:wrap type="through"/>
              </v:shape>
            </w:pict>
          </mc:Fallback>
        </mc:AlternateContent>
      </w:r>
      <w:r w:rsidR="009A3F7C" w:rsidRPr="00E867F6">
        <w:t xml:space="preserve">While the </w:t>
      </w:r>
      <w:proofErr w:type="spellStart"/>
      <w:r w:rsidR="009A3F7C" w:rsidRPr="00E867F6">
        <w:t>MyHospitals</w:t>
      </w:r>
      <w:proofErr w:type="spellEnd"/>
      <w:r w:rsidR="009A3F7C" w:rsidRPr="00E867F6">
        <w:t xml:space="preserve"> website was intended to provide data from 17 indicators (based on the national Performance and Accountability Framework), only seven of these indicators currently have reporting capability. Of these indicators, the only safety and quality information available is related to health care associated infections and hand hygiene rates. This is made available for both public and private hospitals. </w:t>
      </w:r>
    </w:p>
    <w:p w14:paraId="00AD44FF" w14:textId="582CB051" w:rsidR="009A3F7C" w:rsidRPr="00E867F6" w:rsidRDefault="00B329FD" w:rsidP="00937A50">
      <w:pPr>
        <w:pStyle w:val="Heading2"/>
      </w:pPr>
      <w:bookmarkStart w:id="43" w:name="_Toc514158753"/>
      <w:bookmarkStart w:id="44" w:name="_Toc3195097"/>
      <w:r>
        <w:t xml:space="preserve">State and territory </w:t>
      </w:r>
      <w:r w:rsidR="009A3F7C" w:rsidRPr="00E867F6">
        <w:t>reporting on public hospitals</w:t>
      </w:r>
      <w:bookmarkEnd w:id="43"/>
      <w:bookmarkEnd w:id="44"/>
    </w:p>
    <w:p w14:paraId="123C8DDB" w14:textId="36C58E59" w:rsidR="009A3F7C" w:rsidRPr="00E867F6" w:rsidRDefault="009A3F7C" w:rsidP="00E6668C">
      <w:pPr>
        <w:pStyle w:val="BodyText"/>
      </w:pPr>
      <w:r w:rsidRPr="00E867F6">
        <w:t>The environment scan found that most jurisdictions</w:t>
      </w:r>
      <w:r w:rsidR="008400F3">
        <w:t xml:space="preserve"> across Australia report health</w:t>
      </w:r>
      <w:r w:rsidRPr="00E867F6">
        <w:t>care quality and safet</w:t>
      </w:r>
      <w:r w:rsidR="00651D64">
        <w:t xml:space="preserve">y information, and </w:t>
      </w:r>
      <w:r w:rsidRPr="00E867F6">
        <w:t xml:space="preserve">it is evident that there is variance in the level of reporting and approach taken. It is noted that both Queensland and the Australian Capital Territory </w:t>
      </w:r>
      <w:r w:rsidR="001F2ED9">
        <w:t xml:space="preserve">have recently </w:t>
      </w:r>
      <w:r w:rsidR="00EC6609">
        <w:t>undertaken</w:t>
      </w:r>
      <w:r w:rsidR="001F2ED9">
        <w:t xml:space="preserve"> </w:t>
      </w:r>
      <w:r w:rsidRPr="00E867F6">
        <w:t xml:space="preserve">reviews </w:t>
      </w:r>
      <w:r w:rsidR="00651D64">
        <w:t>about</w:t>
      </w:r>
      <w:r w:rsidRPr="00E867F6">
        <w:t xml:space="preserve"> public reporting of healthcare indicators in their jurisdictions. </w:t>
      </w:r>
      <w:r w:rsidR="00651D64" w:rsidRPr="00651D64">
        <w:t>A high-level summary of findings is outlined in Table 2; a detailed outline of public reporting across jurisdictions is at Appendix A.</w:t>
      </w:r>
    </w:p>
    <w:p w14:paraId="3CC38D27" w14:textId="410EC889" w:rsidR="009A3F7C" w:rsidRPr="00E867F6" w:rsidRDefault="009A3F7C" w:rsidP="00E6668C">
      <w:pPr>
        <w:pStyle w:val="BodyText"/>
      </w:pPr>
      <w:r w:rsidRPr="00E867F6">
        <w:t xml:space="preserve">South Australia, Tasmania and Western Australia publish safety and quality information in annual reports. Western Australia also publishes a range of information and graphs for a number of indicators on their website at varying frequencies, enabling users </w:t>
      </w:r>
      <w:r w:rsidR="007E0D1E">
        <w:t xml:space="preserve">to drill into the information. </w:t>
      </w:r>
      <w:r w:rsidRPr="00E867F6">
        <w:t xml:space="preserve">Both New South Wales and Victoria have a significant amount of safety and quality information reported publically, published by a number of various organisations, including independent health information agencies. </w:t>
      </w:r>
      <w:r w:rsidR="00651D64">
        <w:t>The</w:t>
      </w:r>
      <w:r w:rsidR="00651D64" w:rsidRPr="00651D64">
        <w:t xml:space="preserve"> Northern Territory does not currently publish any quality and safety information. </w:t>
      </w:r>
    </w:p>
    <w:p w14:paraId="350AD654" w14:textId="77777777" w:rsidR="009A3F7C" w:rsidRPr="00E867F6" w:rsidRDefault="009A3F7C" w:rsidP="00E6668C">
      <w:pPr>
        <w:pStyle w:val="BodyText"/>
        <w:sectPr w:rsidR="009A3F7C" w:rsidRPr="00E867F6" w:rsidSect="00D2773F">
          <w:endnotePr>
            <w:numFmt w:val="decimal"/>
          </w:endnotePr>
          <w:pgSz w:w="11906" w:h="16838"/>
          <w:pgMar w:top="1440" w:right="1440" w:bottom="1440" w:left="1440" w:header="708" w:footer="708" w:gutter="0"/>
          <w:pgNumType w:start="1"/>
          <w:cols w:space="708"/>
          <w:docGrid w:linePitch="360"/>
        </w:sectPr>
      </w:pPr>
    </w:p>
    <w:p w14:paraId="7BCD2117" w14:textId="686DF3C5" w:rsidR="009A3F7C" w:rsidRPr="001427F9" w:rsidRDefault="009A3F7C" w:rsidP="00F95C6C">
      <w:pPr>
        <w:pStyle w:val="Caption"/>
        <w:rPr>
          <w:b/>
          <w:i w:val="0"/>
          <w:sz w:val="22"/>
          <w:szCs w:val="22"/>
        </w:rPr>
      </w:pPr>
      <w:bookmarkStart w:id="45" w:name="_Ref514413553"/>
      <w:r w:rsidRPr="001427F9">
        <w:rPr>
          <w:b/>
          <w:i w:val="0"/>
          <w:sz w:val="22"/>
          <w:szCs w:val="22"/>
        </w:rPr>
        <w:lastRenderedPageBreak/>
        <w:t xml:space="preserve">Table </w:t>
      </w:r>
      <w:r w:rsidR="00793D86" w:rsidRPr="001427F9">
        <w:rPr>
          <w:b/>
          <w:i w:val="0"/>
          <w:sz w:val="22"/>
          <w:szCs w:val="22"/>
        </w:rPr>
        <w:fldChar w:fldCharType="begin"/>
      </w:r>
      <w:r w:rsidR="00793D86" w:rsidRPr="001427F9">
        <w:rPr>
          <w:b/>
          <w:i w:val="0"/>
          <w:sz w:val="22"/>
          <w:szCs w:val="22"/>
        </w:rPr>
        <w:instrText xml:space="preserve"> SEQ Table \* ARABIC </w:instrText>
      </w:r>
      <w:r w:rsidR="00793D86" w:rsidRPr="001427F9">
        <w:rPr>
          <w:b/>
          <w:i w:val="0"/>
          <w:sz w:val="22"/>
          <w:szCs w:val="22"/>
        </w:rPr>
        <w:fldChar w:fldCharType="separate"/>
      </w:r>
      <w:r w:rsidR="00F70157">
        <w:rPr>
          <w:b/>
          <w:i w:val="0"/>
          <w:noProof/>
          <w:sz w:val="22"/>
          <w:szCs w:val="22"/>
        </w:rPr>
        <w:t>2</w:t>
      </w:r>
      <w:r w:rsidR="00793D86" w:rsidRPr="001427F9">
        <w:rPr>
          <w:b/>
          <w:i w:val="0"/>
          <w:sz w:val="22"/>
          <w:szCs w:val="22"/>
        </w:rPr>
        <w:fldChar w:fldCharType="end"/>
      </w:r>
      <w:bookmarkEnd w:id="45"/>
      <w:r w:rsidR="008400F3">
        <w:rPr>
          <w:b/>
          <w:i w:val="0"/>
          <w:sz w:val="22"/>
          <w:szCs w:val="22"/>
        </w:rPr>
        <w:t xml:space="preserve">: </w:t>
      </w:r>
      <w:r w:rsidRPr="001427F9">
        <w:rPr>
          <w:b/>
          <w:i w:val="0"/>
          <w:sz w:val="22"/>
          <w:szCs w:val="22"/>
        </w:rPr>
        <w:t xml:space="preserve">Summary of public </w:t>
      </w:r>
      <w:r w:rsidR="008400F3">
        <w:rPr>
          <w:b/>
          <w:i w:val="0"/>
          <w:sz w:val="22"/>
          <w:szCs w:val="22"/>
        </w:rPr>
        <w:t xml:space="preserve">healthcare </w:t>
      </w:r>
      <w:r w:rsidRPr="001427F9">
        <w:rPr>
          <w:b/>
          <w:i w:val="0"/>
          <w:sz w:val="22"/>
          <w:szCs w:val="22"/>
        </w:rPr>
        <w:t xml:space="preserve">safety and quality information reported by </w:t>
      </w:r>
      <w:r w:rsidR="007E0D1E" w:rsidRPr="001427F9">
        <w:rPr>
          <w:b/>
          <w:i w:val="0"/>
          <w:sz w:val="22"/>
          <w:szCs w:val="22"/>
        </w:rPr>
        <w:t xml:space="preserve">Australian </w:t>
      </w:r>
      <w:r w:rsidR="00397AFF" w:rsidRPr="001427F9">
        <w:rPr>
          <w:b/>
          <w:i w:val="0"/>
          <w:sz w:val="22"/>
          <w:szCs w:val="22"/>
        </w:rPr>
        <w:t>jurisdiction</w:t>
      </w:r>
      <w:r w:rsidRPr="001427F9">
        <w:rPr>
          <w:b/>
          <w:i w:val="0"/>
          <w:sz w:val="22"/>
          <w:szCs w:val="22"/>
        </w:rPr>
        <w:t xml:space="preserve"> </w:t>
      </w:r>
    </w:p>
    <w:tbl>
      <w:tblPr>
        <w:tblStyle w:val="LightList-Accent2"/>
        <w:tblW w:w="13575" w:type="dxa"/>
        <w:tblLook w:val="04A0" w:firstRow="1" w:lastRow="0" w:firstColumn="1" w:lastColumn="0" w:noHBand="0" w:noVBand="1"/>
      </w:tblPr>
      <w:tblGrid>
        <w:gridCol w:w="2235"/>
        <w:gridCol w:w="4064"/>
        <w:gridCol w:w="2924"/>
        <w:gridCol w:w="4352"/>
      </w:tblGrid>
      <w:tr w:rsidR="009A3F7C" w:rsidRPr="00E867F6" w14:paraId="39CCC104" w14:textId="77777777" w:rsidTr="00651D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5" w:type="dxa"/>
          </w:tcPr>
          <w:p w14:paraId="077B61A0" w14:textId="77777777" w:rsidR="009A3F7C" w:rsidRPr="00E867F6" w:rsidRDefault="009A3F7C" w:rsidP="00E6668C">
            <w:pPr>
              <w:pStyle w:val="Tableheading"/>
            </w:pPr>
            <w:r w:rsidRPr="00E867F6">
              <w:t>Jurisdiction</w:t>
            </w:r>
          </w:p>
        </w:tc>
        <w:tc>
          <w:tcPr>
            <w:tcW w:w="4064" w:type="dxa"/>
          </w:tcPr>
          <w:p w14:paraId="235CEAC1" w14:textId="77777777" w:rsidR="009A3F7C" w:rsidRPr="00E867F6" w:rsidRDefault="009A3F7C" w:rsidP="00E6668C">
            <w:pPr>
              <w:pStyle w:val="Tableheading"/>
              <w:cnfStyle w:val="100000000000" w:firstRow="1" w:lastRow="0" w:firstColumn="0" w:lastColumn="0" w:oddVBand="0" w:evenVBand="0" w:oddHBand="0" w:evenHBand="0" w:firstRowFirstColumn="0" w:firstRowLastColumn="0" w:lastRowFirstColumn="0" w:lastRowLastColumn="0"/>
            </w:pPr>
            <w:r w:rsidRPr="00E867F6">
              <w:t>Summary of findings</w:t>
            </w:r>
          </w:p>
        </w:tc>
        <w:tc>
          <w:tcPr>
            <w:tcW w:w="2924" w:type="dxa"/>
          </w:tcPr>
          <w:p w14:paraId="3EA6A75C" w14:textId="77777777" w:rsidR="009A3F7C" w:rsidRPr="00E867F6" w:rsidRDefault="009A3F7C" w:rsidP="00E6668C">
            <w:pPr>
              <w:pStyle w:val="Tableheading"/>
              <w:cnfStyle w:val="100000000000" w:firstRow="1" w:lastRow="0" w:firstColumn="0" w:lastColumn="0" w:oddVBand="0" w:evenVBand="0" w:oddHBand="0" w:evenHBand="0" w:firstRowFirstColumn="0" w:firstRowLastColumn="0" w:lastRowFirstColumn="0" w:lastRowLastColumn="0"/>
            </w:pPr>
            <w:r w:rsidRPr="00E867F6">
              <w:t>Information reported</w:t>
            </w:r>
          </w:p>
        </w:tc>
        <w:tc>
          <w:tcPr>
            <w:tcW w:w="4352" w:type="dxa"/>
          </w:tcPr>
          <w:p w14:paraId="1A6F4592" w14:textId="46FC6533" w:rsidR="009A3F7C" w:rsidRPr="00E867F6" w:rsidRDefault="007E0D1E" w:rsidP="007E0D1E">
            <w:pPr>
              <w:pStyle w:val="Tableheading"/>
              <w:cnfStyle w:val="100000000000" w:firstRow="1" w:lastRow="0" w:firstColumn="0" w:lastColumn="0" w:oddVBand="0" w:evenVBand="0" w:oddHBand="0" w:evenHBand="0" w:firstRowFirstColumn="0" w:firstRowLastColumn="0" w:lastRowFirstColumn="0" w:lastRowLastColumn="0"/>
            </w:pPr>
            <w:r>
              <w:t>M</w:t>
            </w:r>
            <w:r w:rsidR="009A3F7C" w:rsidRPr="00E867F6">
              <w:t>ethod &amp; frequency</w:t>
            </w:r>
            <w:r w:rsidR="00651D64">
              <w:t xml:space="preserve"> of reporting </w:t>
            </w:r>
          </w:p>
        </w:tc>
      </w:tr>
      <w:tr w:rsidR="009A3F7C" w:rsidRPr="00E867F6" w14:paraId="5F4A24BC" w14:textId="77777777" w:rsidTr="00651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F157B29" w14:textId="77777777" w:rsidR="009A3F7C" w:rsidRPr="00E867F6" w:rsidRDefault="009A3F7C" w:rsidP="00F95C6C">
            <w:pPr>
              <w:pStyle w:val="Tabletext"/>
            </w:pPr>
            <w:r w:rsidRPr="00E867F6">
              <w:t>Australian Capital Territory</w:t>
            </w:r>
          </w:p>
          <w:p w14:paraId="7622C363" w14:textId="77777777" w:rsidR="009A3F7C" w:rsidRPr="00E867F6" w:rsidRDefault="009A3F7C" w:rsidP="00204A25">
            <w:pPr>
              <w:rPr>
                <w:rFonts w:ascii="Arial" w:hAnsi="Arial" w:cs="Arial"/>
                <w:b w:val="0"/>
                <w:i/>
                <w:sz w:val="20"/>
                <w:szCs w:val="20"/>
              </w:rPr>
            </w:pPr>
            <w:r w:rsidRPr="00E867F6">
              <w:rPr>
                <w:rFonts w:ascii="Arial" w:hAnsi="Arial" w:cs="Arial"/>
                <w:b w:val="0"/>
                <w:i/>
                <w:sz w:val="20"/>
                <w:szCs w:val="20"/>
              </w:rPr>
              <w:t>ACT Health</w:t>
            </w:r>
          </w:p>
        </w:tc>
        <w:tc>
          <w:tcPr>
            <w:tcW w:w="4064" w:type="dxa"/>
          </w:tcPr>
          <w:p w14:paraId="2EAE9198"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ACT Health reports limited safety and quality information publically.</w:t>
            </w:r>
          </w:p>
          <w:p w14:paraId="7A144BF5" w14:textId="4345BC47" w:rsidR="009A3F7C" w:rsidRPr="00E867F6" w:rsidRDefault="001F2ED9" w:rsidP="00E6668C">
            <w:pPr>
              <w:pStyle w:val="Tablebullet1"/>
              <w:cnfStyle w:val="000000100000" w:firstRow="0" w:lastRow="0" w:firstColumn="0" w:lastColumn="0" w:oddVBand="0" w:evenVBand="0" w:oddHBand="1" w:evenHBand="0" w:firstRowFirstColumn="0" w:firstRowLastColumn="0" w:lastRowFirstColumn="0" w:lastRowLastColumn="0"/>
              <w:rPr>
                <w:szCs w:val="20"/>
              </w:rPr>
            </w:pPr>
            <w:r>
              <w:rPr>
                <w:szCs w:val="20"/>
              </w:rPr>
              <w:t>Recent</w:t>
            </w:r>
            <w:r w:rsidR="008400F3">
              <w:rPr>
                <w:szCs w:val="20"/>
              </w:rPr>
              <w:t xml:space="preserve"> comprehensive system-</w:t>
            </w:r>
            <w:r w:rsidR="009A3F7C" w:rsidRPr="00E867F6">
              <w:rPr>
                <w:szCs w:val="20"/>
              </w:rPr>
              <w:t>wide review of health data</w:t>
            </w:r>
            <w:r>
              <w:rPr>
                <w:szCs w:val="20"/>
              </w:rPr>
              <w:t xml:space="preserve"> undertaken</w:t>
            </w:r>
            <w:r w:rsidR="009A3F7C" w:rsidRPr="00E867F6">
              <w:rPr>
                <w:szCs w:val="20"/>
              </w:rPr>
              <w:t xml:space="preserve">, including collection, analysis and reporting is being undertaken to inform future health data governance system requirements. </w:t>
            </w:r>
          </w:p>
          <w:p w14:paraId="77B2EABD" w14:textId="6416BC46" w:rsidR="009A3F7C" w:rsidRPr="00E867F6" w:rsidRDefault="009A3F7C" w:rsidP="001F2ED9">
            <w:pPr>
              <w:pStyle w:val="Tablebullet1"/>
              <w:cnfStyle w:val="000000100000" w:firstRow="0" w:lastRow="0" w:firstColumn="0" w:lastColumn="0" w:oddVBand="0" w:evenVBand="0" w:oddHBand="1" w:evenHBand="0" w:firstRowFirstColumn="0" w:firstRowLastColumn="0" w:lastRowFirstColumn="0" w:lastRowLastColumn="0"/>
              <w:rPr>
                <w:szCs w:val="20"/>
              </w:rPr>
            </w:pPr>
            <w:r w:rsidRPr="00E867F6">
              <w:rPr>
                <w:szCs w:val="20"/>
              </w:rPr>
              <w:t xml:space="preserve">Information is </w:t>
            </w:r>
            <w:r w:rsidR="001F2ED9">
              <w:rPr>
                <w:szCs w:val="20"/>
              </w:rPr>
              <w:t>best found using</w:t>
            </w:r>
            <w:r w:rsidRPr="00E867F6">
              <w:rPr>
                <w:szCs w:val="20"/>
              </w:rPr>
              <w:t xml:space="preserve"> relevant ‘keyword’ searches</w:t>
            </w:r>
            <w:r w:rsidR="001F2ED9">
              <w:rPr>
                <w:szCs w:val="20"/>
              </w:rPr>
              <w:t>.</w:t>
            </w:r>
          </w:p>
        </w:tc>
        <w:tc>
          <w:tcPr>
            <w:tcW w:w="2924" w:type="dxa"/>
          </w:tcPr>
          <w:p w14:paraId="25E454DD" w14:textId="764E5035" w:rsidR="009A3F7C" w:rsidRPr="00E867F6" w:rsidRDefault="009165D8" w:rsidP="00E6668C">
            <w:pPr>
              <w:pStyle w:val="Tablebullet1"/>
              <w:cnfStyle w:val="000000100000" w:firstRow="0" w:lastRow="0" w:firstColumn="0" w:lastColumn="0" w:oddVBand="0" w:evenVBand="0" w:oddHBand="1" w:evenHBand="0" w:firstRowFirstColumn="0" w:firstRowLastColumn="0" w:lastRowFirstColumn="0" w:lastRowLastColumn="0"/>
              <w:rPr>
                <w:szCs w:val="20"/>
              </w:rPr>
            </w:pPr>
            <w:r w:rsidRPr="00E867F6">
              <w:rPr>
                <w:i/>
              </w:rPr>
              <w:t>staphylococcus aureus bacteraemia</w:t>
            </w:r>
            <w:r w:rsidRPr="00E867F6">
              <w:t xml:space="preserve"> </w:t>
            </w:r>
            <w:r>
              <w:t>(</w:t>
            </w:r>
            <w:r w:rsidR="009A3F7C" w:rsidRPr="00E867F6">
              <w:rPr>
                <w:szCs w:val="20"/>
              </w:rPr>
              <w:t>SAB</w:t>
            </w:r>
            <w:r>
              <w:rPr>
                <w:szCs w:val="20"/>
              </w:rPr>
              <w:t>)</w:t>
            </w:r>
          </w:p>
          <w:p w14:paraId="43987408"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rPr>
                <w:szCs w:val="20"/>
              </w:rPr>
            </w:pPr>
            <w:r w:rsidRPr="00E867F6">
              <w:rPr>
                <w:szCs w:val="20"/>
              </w:rPr>
              <w:t>Hand hygiene</w:t>
            </w:r>
          </w:p>
          <w:p w14:paraId="4AA83744"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rPr>
                <w:szCs w:val="20"/>
              </w:rPr>
            </w:pPr>
            <w:r w:rsidRPr="00E867F6">
              <w:rPr>
                <w:szCs w:val="20"/>
              </w:rPr>
              <w:t>Unplanned readmissions</w:t>
            </w:r>
          </w:p>
          <w:p w14:paraId="325CF5CF"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rPr>
                <w:szCs w:val="20"/>
              </w:rPr>
            </w:pPr>
            <w:r w:rsidRPr="00E867F6">
              <w:rPr>
                <w:szCs w:val="20"/>
              </w:rPr>
              <w:t>Unplanned return to operating theatre within an episode of care</w:t>
            </w:r>
          </w:p>
        </w:tc>
        <w:tc>
          <w:tcPr>
            <w:tcW w:w="4352" w:type="dxa"/>
          </w:tcPr>
          <w:p w14:paraId="334ED254"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rPr>
                <w:rFonts w:eastAsiaTheme="minorHAnsi"/>
                <w:szCs w:val="20"/>
              </w:rPr>
            </w:pPr>
            <w:r w:rsidRPr="00E867F6">
              <w:rPr>
                <w:rFonts w:eastAsiaTheme="minorHAnsi"/>
                <w:szCs w:val="20"/>
              </w:rPr>
              <w:t>PDF Performance Reports published quarterly.</w:t>
            </w:r>
          </w:p>
          <w:p w14:paraId="71E7A8F8" w14:textId="5741C463" w:rsidR="009A3F7C" w:rsidRPr="00E867F6" w:rsidRDefault="009A3F7C" w:rsidP="007E0D1E">
            <w:pPr>
              <w:pStyle w:val="Tablebullet1"/>
              <w:numPr>
                <w:ilvl w:val="0"/>
                <w:numId w:val="0"/>
              </w:numPr>
              <w:ind w:left="340"/>
              <w:cnfStyle w:val="000000100000" w:firstRow="0" w:lastRow="0" w:firstColumn="0" w:lastColumn="0" w:oddVBand="0" w:evenVBand="0" w:oddHBand="1" w:evenHBand="0" w:firstRowFirstColumn="0" w:firstRowLastColumn="0" w:lastRowFirstColumn="0" w:lastRowLastColumn="0"/>
              <w:rPr>
                <w:rFonts w:eastAsiaTheme="minorHAnsi"/>
                <w:szCs w:val="20"/>
              </w:rPr>
            </w:pPr>
          </w:p>
        </w:tc>
      </w:tr>
      <w:tr w:rsidR="009A3F7C" w:rsidRPr="00E867F6" w14:paraId="5527176E" w14:textId="77777777" w:rsidTr="00651D64">
        <w:tc>
          <w:tcPr>
            <w:cnfStyle w:val="001000000000" w:firstRow="0" w:lastRow="0" w:firstColumn="1" w:lastColumn="0" w:oddVBand="0" w:evenVBand="0" w:oddHBand="0" w:evenHBand="0" w:firstRowFirstColumn="0" w:firstRowLastColumn="0" w:lastRowFirstColumn="0" w:lastRowLastColumn="0"/>
            <w:tcW w:w="2235" w:type="dxa"/>
          </w:tcPr>
          <w:p w14:paraId="3A7016D7" w14:textId="77777777" w:rsidR="009A3F7C" w:rsidRPr="00E867F6" w:rsidRDefault="009A3F7C" w:rsidP="00F95C6C">
            <w:pPr>
              <w:pStyle w:val="Tabletext"/>
            </w:pPr>
            <w:r w:rsidRPr="00E867F6">
              <w:t>New South Wales</w:t>
            </w:r>
          </w:p>
          <w:p w14:paraId="79290813" w14:textId="5BCF6CE2" w:rsidR="009A3F7C" w:rsidRPr="00E867F6" w:rsidRDefault="009A3F7C" w:rsidP="00204A25">
            <w:pPr>
              <w:rPr>
                <w:rFonts w:ascii="Arial" w:hAnsi="Arial" w:cs="Arial"/>
                <w:b w:val="0"/>
                <w:i/>
                <w:sz w:val="20"/>
                <w:szCs w:val="20"/>
              </w:rPr>
            </w:pPr>
            <w:r w:rsidRPr="00E867F6">
              <w:rPr>
                <w:rFonts w:ascii="Arial" w:hAnsi="Arial" w:cs="Arial"/>
                <w:b w:val="0"/>
                <w:i/>
                <w:sz w:val="20"/>
                <w:szCs w:val="20"/>
              </w:rPr>
              <w:t>Bureau for Health Information</w:t>
            </w:r>
            <w:r w:rsidR="001F2ED9">
              <w:rPr>
                <w:rFonts w:ascii="Arial" w:hAnsi="Arial" w:cs="Arial"/>
                <w:b w:val="0"/>
                <w:i/>
                <w:sz w:val="20"/>
                <w:szCs w:val="20"/>
              </w:rPr>
              <w:t xml:space="preserve"> (BHI)</w:t>
            </w:r>
          </w:p>
          <w:p w14:paraId="3627B62B" w14:textId="02719E38" w:rsidR="009A3F7C" w:rsidRPr="00E867F6" w:rsidRDefault="009A3F7C" w:rsidP="00D30C40">
            <w:pPr>
              <w:rPr>
                <w:rFonts w:ascii="Arial" w:hAnsi="Arial" w:cs="Arial"/>
                <w:b w:val="0"/>
                <w:i/>
                <w:sz w:val="20"/>
                <w:szCs w:val="20"/>
              </w:rPr>
            </w:pPr>
            <w:r w:rsidRPr="00E867F6">
              <w:rPr>
                <w:rFonts w:ascii="Arial" w:hAnsi="Arial" w:cs="Arial"/>
                <w:b w:val="0"/>
                <w:i/>
                <w:sz w:val="20"/>
                <w:szCs w:val="20"/>
              </w:rPr>
              <w:t>Clinical Excellence Commission</w:t>
            </w:r>
            <w:r w:rsidR="001F2ED9">
              <w:rPr>
                <w:rFonts w:ascii="Arial" w:hAnsi="Arial" w:cs="Arial"/>
                <w:b w:val="0"/>
                <w:i/>
                <w:sz w:val="20"/>
                <w:szCs w:val="20"/>
              </w:rPr>
              <w:t xml:space="preserve"> (CEC)</w:t>
            </w:r>
          </w:p>
        </w:tc>
        <w:tc>
          <w:tcPr>
            <w:tcW w:w="4064" w:type="dxa"/>
          </w:tcPr>
          <w:p w14:paraId="2C844D70" w14:textId="51A4CD92" w:rsidR="009A3F7C" w:rsidRPr="00E867F6" w:rsidRDefault="007E0D1E"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szCs w:val="20"/>
              </w:rPr>
            </w:pPr>
            <w:r>
              <w:rPr>
                <w:rFonts w:eastAsiaTheme="minorHAnsi"/>
                <w:szCs w:val="20"/>
              </w:rPr>
              <w:t xml:space="preserve">CEC </w:t>
            </w:r>
            <w:r w:rsidR="009A3F7C" w:rsidRPr="00E867F6">
              <w:rPr>
                <w:rFonts w:eastAsiaTheme="minorHAnsi"/>
                <w:szCs w:val="20"/>
              </w:rPr>
              <w:t>publishes clinical incident information falls, patient identification pressure injuries and sentinel events, as well as the number and types of Root Cause Analyses (RCAs) undertaken and complaints received.</w:t>
            </w:r>
          </w:p>
          <w:p w14:paraId="6A9B95E8"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E867F6">
              <w:rPr>
                <w:rFonts w:eastAsiaTheme="minorHAnsi"/>
                <w:szCs w:val="20"/>
              </w:rPr>
              <w:t xml:space="preserve">Information on the CEC website is relatively easy to retrieve. </w:t>
            </w:r>
          </w:p>
          <w:p w14:paraId="6DD2C569" w14:textId="5E766D75" w:rsidR="009A3F7C" w:rsidRPr="00E867F6" w:rsidRDefault="009A3F7C" w:rsidP="009165D8">
            <w:pPr>
              <w:pStyle w:val="Tablebullet1"/>
              <w:cnfStyle w:val="000000000000" w:firstRow="0" w:lastRow="0" w:firstColumn="0" w:lastColumn="0" w:oddVBand="0" w:evenVBand="0" w:oddHBand="0" w:evenHBand="0" w:firstRowFirstColumn="0" w:firstRowLastColumn="0" w:lastRowFirstColumn="0" w:lastRowLastColumn="0"/>
            </w:pPr>
            <w:r w:rsidRPr="00E867F6">
              <w:t>The BHI publishes details on emergency department waiting times and transfer of care times as well as elective surgery waiting times</w:t>
            </w:r>
            <w:r w:rsidR="009165D8">
              <w:t>,</w:t>
            </w:r>
            <w:r w:rsidR="007E0D1E">
              <w:t xml:space="preserve"> </w:t>
            </w:r>
            <w:r w:rsidRPr="00E867F6">
              <w:t xml:space="preserve">at a state-wide, </w:t>
            </w:r>
            <w:r w:rsidR="009165D8" w:rsidRPr="009165D8">
              <w:rPr>
                <w:rFonts w:eastAsiaTheme="minorHAnsi"/>
                <w:szCs w:val="20"/>
              </w:rPr>
              <w:t xml:space="preserve">Local Hospital District (LHD) </w:t>
            </w:r>
            <w:r w:rsidR="009165D8">
              <w:rPr>
                <w:rFonts w:eastAsiaTheme="minorHAnsi"/>
                <w:szCs w:val="20"/>
              </w:rPr>
              <w:t>/</w:t>
            </w:r>
            <w:r w:rsidR="009165D8" w:rsidRPr="009165D8">
              <w:rPr>
                <w:rFonts w:eastAsiaTheme="minorHAnsi"/>
                <w:szCs w:val="20"/>
              </w:rPr>
              <w:t xml:space="preserve"> Specialty Health Network (SHN)</w:t>
            </w:r>
            <w:r w:rsidR="009165D8">
              <w:t>,</w:t>
            </w:r>
            <w:r w:rsidRPr="00E867F6">
              <w:t xml:space="preserve"> and facility level.</w:t>
            </w:r>
            <w:r w:rsidR="009165D8">
              <w:t xml:space="preserve"> </w:t>
            </w:r>
            <w:r w:rsidRPr="00E867F6">
              <w:t xml:space="preserve">BHI also publishes patient-reported data gathered through various patient surveys. </w:t>
            </w:r>
          </w:p>
          <w:p w14:paraId="49EC4F12" w14:textId="00520F81"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E867F6">
              <w:rPr>
                <w:rFonts w:eastAsiaTheme="minorHAnsi"/>
                <w:szCs w:val="20"/>
              </w:rPr>
              <w:t xml:space="preserve">BHI provides an interactive website to allow users to search for publicly reported data. </w:t>
            </w:r>
          </w:p>
        </w:tc>
        <w:tc>
          <w:tcPr>
            <w:tcW w:w="2924" w:type="dxa"/>
          </w:tcPr>
          <w:p w14:paraId="09A23E2F"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E867F6">
              <w:rPr>
                <w:rFonts w:eastAsiaTheme="minorHAnsi"/>
                <w:szCs w:val="20"/>
              </w:rPr>
              <w:t>Sentinel events</w:t>
            </w:r>
          </w:p>
          <w:p w14:paraId="30383FFB"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E867F6">
              <w:rPr>
                <w:rFonts w:eastAsiaTheme="minorHAnsi"/>
                <w:szCs w:val="20"/>
              </w:rPr>
              <w:t>Patient falls</w:t>
            </w:r>
          </w:p>
          <w:p w14:paraId="78FB4EC8"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E867F6">
              <w:rPr>
                <w:rFonts w:eastAsiaTheme="minorHAnsi"/>
                <w:szCs w:val="20"/>
              </w:rPr>
              <w:t>Pressure injuries</w:t>
            </w:r>
          </w:p>
          <w:p w14:paraId="5C0A3D40"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E867F6">
              <w:rPr>
                <w:rFonts w:eastAsiaTheme="minorHAnsi"/>
                <w:szCs w:val="20"/>
              </w:rPr>
              <w:t>Complaints</w:t>
            </w:r>
          </w:p>
          <w:p w14:paraId="0FDC9DFD"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E867F6">
              <w:rPr>
                <w:rFonts w:eastAsiaTheme="minorHAnsi"/>
                <w:szCs w:val="20"/>
              </w:rPr>
              <w:t>Patient experience</w:t>
            </w:r>
          </w:p>
          <w:p w14:paraId="1DA5AF4E" w14:textId="1B1BCF07" w:rsidR="009A3F7C" w:rsidRPr="00E867F6" w:rsidRDefault="007E0D1E"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szCs w:val="20"/>
              </w:rPr>
            </w:pPr>
            <w:r>
              <w:t>Healthcare-a</w:t>
            </w:r>
            <w:r w:rsidR="009165D8">
              <w:t>ssociated Infection</w:t>
            </w:r>
            <w:r w:rsidR="009165D8" w:rsidRPr="00E867F6">
              <w:t xml:space="preserve"> </w:t>
            </w:r>
            <w:r w:rsidR="009165D8">
              <w:t>(</w:t>
            </w:r>
            <w:r w:rsidR="009A3F7C" w:rsidRPr="00E867F6">
              <w:rPr>
                <w:rFonts w:eastAsiaTheme="minorHAnsi"/>
                <w:szCs w:val="20"/>
              </w:rPr>
              <w:t>HAI</w:t>
            </w:r>
            <w:r w:rsidR="009165D8">
              <w:rPr>
                <w:rFonts w:eastAsiaTheme="minorHAnsi"/>
                <w:szCs w:val="20"/>
              </w:rPr>
              <w:t>)</w:t>
            </w:r>
          </w:p>
          <w:p w14:paraId="7843063E"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E867F6">
              <w:rPr>
                <w:rFonts w:eastAsiaTheme="minorHAnsi"/>
                <w:szCs w:val="20"/>
              </w:rPr>
              <w:t>SAB</w:t>
            </w:r>
          </w:p>
        </w:tc>
        <w:tc>
          <w:tcPr>
            <w:tcW w:w="4352" w:type="dxa"/>
          </w:tcPr>
          <w:p w14:paraId="3E538098"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E867F6">
              <w:rPr>
                <w:rFonts w:eastAsiaTheme="minorHAnsi"/>
                <w:szCs w:val="20"/>
              </w:rPr>
              <w:t>PDF Performance reports are published bi-annually or annually (depending on lead Agency)</w:t>
            </w:r>
          </w:p>
          <w:p w14:paraId="24791BAA"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szCs w:val="20"/>
              </w:rPr>
            </w:pPr>
            <w:r w:rsidRPr="00E867F6">
              <w:rPr>
                <w:rFonts w:eastAsiaTheme="minorHAnsi"/>
                <w:szCs w:val="20"/>
              </w:rPr>
              <w:t xml:space="preserve">Interactive data based on the performance reports developed by the BHI available through the BHI’s online Health Observer portal. </w:t>
            </w:r>
          </w:p>
        </w:tc>
      </w:tr>
      <w:tr w:rsidR="009A3F7C" w:rsidRPr="00E867F6" w14:paraId="0B2AE22E" w14:textId="77777777" w:rsidTr="00651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7BACC86" w14:textId="77777777" w:rsidR="009A3F7C" w:rsidRPr="00E867F6" w:rsidRDefault="009A3F7C" w:rsidP="00F95C6C">
            <w:pPr>
              <w:pStyle w:val="Tabletext"/>
            </w:pPr>
            <w:r w:rsidRPr="00E867F6">
              <w:t>Northern Territory</w:t>
            </w:r>
          </w:p>
          <w:p w14:paraId="34450A4C" w14:textId="77777777" w:rsidR="009A3F7C" w:rsidRPr="00E867F6" w:rsidRDefault="009A3F7C" w:rsidP="00204A25">
            <w:pPr>
              <w:rPr>
                <w:rFonts w:ascii="Arial" w:hAnsi="Arial" w:cs="Arial"/>
                <w:b w:val="0"/>
                <w:i/>
                <w:sz w:val="20"/>
                <w:szCs w:val="20"/>
              </w:rPr>
            </w:pPr>
            <w:r w:rsidRPr="00E867F6">
              <w:rPr>
                <w:rFonts w:ascii="Arial" w:hAnsi="Arial" w:cs="Arial"/>
                <w:b w:val="0"/>
                <w:i/>
                <w:sz w:val="20"/>
                <w:szCs w:val="20"/>
              </w:rPr>
              <w:t>Department of Health</w:t>
            </w:r>
          </w:p>
        </w:tc>
        <w:tc>
          <w:tcPr>
            <w:tcW w:w="4064" w:type="dxa"/>
          </w:tcPr>
          <w:p w14:paraId="57A8C260" w14:textId="0A805D5F" w:rsidR="009A3F7C" w:rsidRPr="00E867F6" w:rsidRDefault="009A3F7C" w:rsidP="007E0D1E">
            <w:pPr>
              <w:pStyle w:val="Tablebullet1"/>
              <w:cnfStyle w:val="000000100000" w:firstRow="0" w:lastRow="0" w:firstColumn="0" w:lastColumn="0" w:oddVBand="0" w:evenVBand="0" w:oddHBand="1" w:evenHBand="0" w:firstRowFirstColumn="0" w:firstRowLastColumn="0" w:lastRowFirstColumn="0" w:lastRowLastColumn="0"/>
            </w:pPr>
            <w:r w:rsidRPr="00E867F6">
              <w:t>No public safety and quality information published about the healthcare system.</w:t>
            </w:r>
          </w:p>
        </w:tc>
        <w:tc>
          <w:tcPr>
            <w:tcW w:w="2924" w:type="dxa"/>
          </w:tcPr>
          <w:p w14:paraId="0035C2A2" w14:textId="77777777" w:rsidR="009A3F7C" w:rsidRPr="00E867F6" w:rsidRDefault="009A3F7C" w:rsidP="00204A2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352" w:type="dxa"/>
          </w:tcPr>
          <w:p w14:paraId="29786797" w14:textId="77777777" w:rsidR="009A3F7C" w:rsidRPr="00E867F6" w:rsidRDefault="009A3F7C" w:rsidP="00204A25">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9A3F7C" w:rsidRPr="00E867F6" w14:paraId="6FE3A915" w14:textId="77777777" w:rsidTr="00651D64">
        <w:tc>
          <w:tcPr>
            <w:cnfStyle w:val="001000000000" w:firstRow="0" w:lastRow="0" w:firstColumn="1" w:lastColumn="0" w:oddVBand="0" w:evenVBand="0" w:oddHBand="0" w:evenHBand="0" w:firstRowFirstColumn="0" w:firstRowLastColumn="0" w:lastRowFirstColumn="0" w:lastRowLastColumn="0"/>
            <w:tcW w:w="2235" w:type="dxa"/>
          </w:tcPr>
          <w:p w14:paraId="0733A3CE" w14:textId="77777777" w:rsidR="009A3F7C" w:rsidRPr="00E867F6" w:rsidRDefault="009A3F7C" w:rsidP="00F95C6C">
            <w:pPr>
              <w:pStyle w:val="Tabletext"/>
            </w:pPr>
            <w:r w:rsidRPr="00E867F6">
              <w:lastRenderedPageBreak/>
              <w:t>Queensland</w:t>
            </w:r>
          </w:p>
          <w:p w14:paraId="631FC5F0" w14:textId="3B68218F" w:rsidR="009A3F7C" w:rsidRPr="00E867F6" w:rsidRDefault="009A3F7C" w:rsidP="00204A25">
            <w:pPr>
              <w:rPr>
                <w:rFonts w:ascii="Arial" w:hAnsi="Arial" w:cs="Arial"/>
                <w:b w:val="0"/>
                <w:i/>
                <w:sz w:val="20"/>
                <w:szCs w:val="20"/>
              </w:rPr>
            </w:pPr>
            <w:r w:rsidRPr="00E867F6">
              <w:rPr>
                <w:rFonts w:ascii="Arial" w:hAnsi="Arial" w:cs="Arial"/>
                <w:b w:val="0"/>
                <w:i/>
                <w:sz w:val="20"/>
                <w:szCs w:val="20"/>
              </w:rPr>
              <w:t>Health</w:t>
            </w:r>
          </w:p>
        </w:tc>
        <w:tc>
          <w:tcPr>
            <w:tcW w:w="4064" w:type="dxa"/>
          </w:tcPr>
          <w:p w14:paraId="54F9798E"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pPr>
            <w:r w:rsidRPr="00E867F6">
              <w:t xml:space="preserve">Limited public hospital performance information published. </w:t>
            </w:r>
          </w:p>
          <w:p w14:paraId="01B90F9C" w14:textId="24DC3940" w:rsidR="009A3F7C" w:rsidRPr="00E867F6" w:rsidRDefault="001F2ED9" w:rsidP="00E6668C">
            <w:pPr>
              <w:pStyle w:val="Tablebullet1"/>
              <w:cnfStyle w:val="000000000000" w:firstRow="0" w:lastRow="0" w:firstColumn="0" w:lastColumn="0" w:oddVBand="0" w:evenVBand="0" w:oddHBand="0" w:evenHBand="0" w:firstRowFirstColumn="0" w:firstRowLastColumn="0" w:lastRowFirstColumn="0" w:lastRowLastColumn="0"/>
            </w:pPr>
            <w:r>
              <w:t>I</w:t>
            </w:r>
            <w:r w:rsidRPr="00E867F6">
              <w:t xml:space="preserve">nformation </w:t>
            </w:r>
            <w:r>
              <w:t xml:space="preserve">that is </w:t>
            </w:r>
            <w:r w:rsidR="009A3F7C" w:rsidRPr="00E867F6">
              <w:t>publically reported relates to the activity of immunisation rates, emergency departments, elective surgery, hospital activity, specialist outpatient and patient experience.</w:t>
            </w:r>
          </w:p>
          <w:p w14:paraId="3398910A" w14:textId="49542EC9" w:rsidR="009A3F7C" w:rsidRPr="00E867F6" w:rsidRDefault="009A3F7C" w:rsidP="00460621">
            <w:pPr>
              <w:pStyle w:val="Tablebullet1"/>
              <w:cnfStyle w:val="000000000000" w:firstRow="0" w:lastRow="0" w:firstColumn="0" w:lastColumn="0" w:oddVBand="0" w:evenVBand="0" w:oddHBand="0" w:evenHBand="0" w:firstRowFirstColumn="0" w:firstRowLastColumn="0" w:lastRowFirstColumn="0" w:lastRowLastColumn="0"/>
            </w:pPr>
            <w:r w:rsidRPr="00E867F6">
              <w:t xml:space="preserve">The Queensland Government is currently considering options on how to progress </w:t>
            </w:r>
            <w:r w:rsidR="00A1023C" w:rsidRPr="00E867F6">
              <w:t>public reporting of safety and quality information</w:t>
            </w:r>
            <w:r w:rsidRPr="00E867F6">
              <w:t xml:space="preserve">. </w:t>
            </w:r>
            <w:r w:rsidR="00460621">
              <w:t>A</w:t>
            </w:r>
            <w:r w:rsidR="00460621" w:rsidRPr="00460621">
              <w:t xml:space="preserve">n interactive website </w:t>
            </w:r>
            <w:r w:rsidR="00A1023C">
              <w:t>has been proposed</w:t>
            </w:r>
            <w:r w:rsidR="00460621">
              <w:t>; consultation underway during October 2018 to January 2019 to inform content</w:t>
            </w:r>
            <w:r w:rsidR="00A1023C">
              <w:t xml:space="preserve">. </w:t>
            </w:r>
          </w:p>
          <w:p w14:paraId="7F00FD68"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pPr>
            <w:r w:rsidRPr="00E867F6">
              <w:t xml:space="preserve">Information is not prominent but can be found easily using a search for hospital performance. </w:t>
            </w:r>
          </w:p>
        </w:tc>
        <w:tc>
          <w:tcPr>
            <w:tcW w:w="2924" w:type="dxa"/>
          </w:tcPr>
          <w:p w14:paraId="64066847" w14:textId="52CE2452" w:rsidR="009A3F7C" w:rsidRPr="00E867F6" w:rsidRDefault="009A3F7C" w:rsidP="009165D8">
            <w:pPr>
              <w:pStyle w:val="Tablebullet1"/>
              <w:cnfStyle w:val="000000000000" w:firstRow="0" w:lastRow="0" w:firstColumn="0" w:lastColumn="0" w:oddVBand="0" w:evenVBand="0" w:oddHBand="0" w:evenHBand="0" w:firstRowFirstColumn="0" w:firstRowLastColumn="0" w:lastRowFirstColumn="0" w:lastRowLastColumn="0"/>
            </w:pPr>
            <w:r w:rsidRPr="00E867F6">
              <w:t>Patient experience (</w:t>
            </w:r>
            <w:r w:rsidR="009165D8">
              <w:t>emergency department</w:t>
            </w:r>
            <w:r w:rsidR="009165D8" w:rsidRPr="00E867F6">
              <w:t xml:space="preserve"> </w:t>
            </w:r>
            <w:r w:rsidRPr="00E867F6">
              <w:t>and maternity patient categories only)</w:t>
            </w:r>
          </w:p>
        </w:tc>
        <w:tc>
          <w:tcPr>
            <w:tcW w:w="4352" w:type="dxa"/>
          </w:tcPr>
          <w:p w14:paraId="64DB6267"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rPr>
            </w:pPr>
            <w:r w:rsidRPr="00E867F6">
              <w:rPr>
                <w:rFonts w:eastAsiaTheme="minorHAnsi"/>
              </w:rPr>
              <w:t>Results are presented in a table format at state-wide level.</w:t>
            </w:r>
          </w:p>
          <w:p w14:paraId="4F5AF7DD" w14:textId="3D93BC6C" w:rsidR="009A3F7C" w:rsidRPr="00E867F6" w:rsidRDefault="009A3F7C" w:rsidP="007E0D1E">
            <w:pPr>
              <w:pStyle w:val="Tablebullet1"/>
              <w:numPr>
                <w:ilvl w:val="0"/>
                <w:numId w:val="0"/>
              </w:numPr>
              <w:ind w:left="340"/>
              <w:cnfStyle w:val="000000000000" w:firstRow="0" w:lastRow="0" w:firstColumn="0" w:lastColumn="0" w:oddVBand="0" w:evenVBand="0" w:oddHBand="0" w:evenHBand="0" w:firstRowFirstColumn="0" w:firstRowLastColumn="0" w:lastRowFirstColumn="0" w:lastRowLastColumn="0"/>
              <w:rPr>
                <w:rFonts w:eastAsiaTheme="minorHAnsi"/>
              </w:rPr>
            </w:pPr>
          </w:p>
        </w:tc>
      </w:tr>
      <w:tr w:rsidR="009A3F7C" w:rsidRPr="00E867F6" w14:paraId="1E8CADED" w14:textId="77777777" w:rsidTr="00651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0BDA75A1" w14:textId="77777777" w:rsidR="009A3F7C" w:rsidRPr="00E867F6" w:rsidRDefault="009A3F7C" w:rsidP="00F95C6C">
            <w:pPr>
              <w:pStyle w:val="Tabletext"/>
            </w:pPr>
            <w:r w:rsidRPr="00E867F6">
              <w:t>South Australia</w:t>
            </w:r>
          </w:p>
          <w:p w14:paraId="56DF63A6" w14:textId="77777777" w:rsidR="009A3F7C" w:rsidRPr="00E867F6" w:rsidRDefault="009A3F7C" w:rsidP="00204A25">
            <w:pPr>
              <w:rPr>
                <w:rFonts w:ascii="Arial" w:hAnsi="Arial" w:cs="Arial"/>
                <w:b w:val="0"/>
                <w:i/>
                <w:sz w:val="20"/>
                <w:szCs w:val="20"/>
              </w:rPr>
            </w:pPr>
            <w:r w:rsidRPr="00E867F6">
              <w:rPr>
                <w:rFonts w:ascii="Arial" w:hAnsi="Arial" w:cs="Arial"/>
                <w:b w:val="0"/>
                <w:i/>
                <w:sz w:val="20"/>
                <w:szCs w:val="20"/>
              </w:rPr>
              <w:t>SA Health</w:t>
            </w:r>
          </w:p>
        </w:tc>
        <w:tc>
          <w:tcPr>
            <w:tcW w:w="4064" w:type="dxa"/>
          </w:tcPr>
          <w:p w14:paraId="52FEC00E"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SA Health produces two key reports related to quality and safety: Patient Safety Annual Report and Measuring Consumer Experience Annual Report.</w:t>
            </w:r>
          </w:p>
          <w:p w14:paraId="121AB061" w14:textId="70CE21D1" w:rsidR="009A3F7C" w:rsidRPr="00E867F6" w:rsidRDefault="00EC6609" w:rsidP="00E6668C">
            <w:pPr>
              <w:pStyle w:val="Tablebullet1"/>
              <w:cnfStyle w:val="000000100000" w:firstRow="0" w:lastRow="0" w:firstColumn="0" w:lastColumn="0" w:oddVBand="0" w:evenVBand="0" w:oddHBand="1" w:evenHBand="0" w:firstRowFirstColumn="0" w:firstRowLastColumn="0" w:lastRowFirstColumn="0" w:lastRowLastColumn="0"/>
            </w:pPr>
            <w:r>
              <w:t>Information</w:t>
            </w:r>
            <w:r w:rsidRPr="00E867F6">
              <w:t xml:space="preserve"> </w:t>
            </w:r>
            <w:r w:rsidR="009A3F7C" w:rsidRPr="00E867F6">
              <w:t>is</w:t>
            </w:r>
            <w:r>
              <w:t xml:space="preserve"> best accessed </w:t>
            </w:r>
            <w:r w:rsidR="009A3F7C" w:rsidRPr="00E867F6">
              <w:t>through the clinical link on the department’s landing page.</w:t>
            </w:r>
          </w:p>
          <w:p w14:paraId="24ED442B"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SA Health also has a dashboard for major hospitals that is updated every 30 minutes on patient activity and waiting times. </w:t>
            </w:r>
          </w:p>
        </w:tc>
        <w:tc>
          <w:tcPr>
            <w:tcW w:w="2924" w:type="dxa"/>
          </w:tcPr>
          <w:p w14:paraId="3D5CF1AC"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Patient experience</w:t>
            </w:r>
          </w:p>
          <w:p w14:paraId="31B03B56"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Sentinel events</w:t>
            </w:r>
          </w:p>
          <w:p w14:paraId="50E122A4"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Accreditation</w:t>
            </w:r>
          </w:p>
          <w:p w14:paraId="67FAC398" w14:textId="2EF43A99"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HAI</w:t>
            </w:r>
          </w:p>
          <w:p w14:paraId="1A2E8C24"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Medication safety</w:t>
            </w:r>
          </w:p>
          <w:p w14:paraId="06C30677"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Patient identification incidents</w:t>
            </w:r>
          </w:p>
          <w:p w14:paraId="02DBBE5A"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Blood transfusions</w:t>
            </w:r>
          </w:p>
          <w:p w14:paraId="4322423C"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Pressure injuries</w:t>
            </w:r>
          </w:p>
          <w:p w14:paraId="1453D2D7"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Patient falls</w:t>
            </w:r>
          </w:p>
          <w:p w14:paraId="6ECC40D1"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Hand hygiene</w:t>
            </w:r>
          </w:p>
        </w:tc>
        <w:tc>
          <w:tcPr>
            <w:tcW w:w="4352" w:type="dxa"/>
          </w:tcPr>
          <w:p w14:paraId="2CDF9367"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rPr>
                <w:rFonts w:eastAsiaTheme="minorHAnsi"/>
              </w:rPr>
            </w:pPr>
            <w:r w:rsidRPr="00E867F6">
              <w:rPr>
                <w:rFonts w:eastAsiaTheme="minorHAnsi"/>
              </w:rPr>
              <w:t>PDF Reports are published annually.</w:t>
            </w:r>
          </w:p>
          <w:p w14:paraId="1826AB77" w14:textId="6A78DA2B" w:rsidR="009A3F7C" w:rsidRPr="00E867F6" w:rsidRDefault="009A3F7C" w:rsidP="00651D64">
            <w:pPr>
              <w:pStyle w:val="Tablebullet1"/>
              <w:numPr>
                <w:ilvl w:val="0"/>
                <w:numId w:val="0"/>
              </w:numPr>
              <w:ind w:left="340"/>
              <w:cnfStyle w:val="000000100000" w:firstRow="0" w:lastRow="0" w:firstColumn="0" w:lastColumn="0" w:oddVBand="0" w:evenVBand="0" w:oddHBand="1" w:evenHBand="0" w:firstRowFirstColumn="0" w:firstRowLastColumn="0" w:lastRowFirstColumn="0" w:lastRowLastColumn="0"/>
              <w:rPr>
                <w:rFonts w:eastAsiaTheme="minorHAnsi"/>
              </w:rPr>
            </w:pPr>
          </w:p>
        </w:tc>
      </w:tr>
      <w:tr w:rsidR="009A3F7C" w:rsidRPr="00E867F6" w14:paraId="16E495F7" w14:textId="77777777" w:rsidTr="00651D64">
        <w:tc>
          <w:tcPr>
            <w:cnfStyle w:val="001000000000" w:firstRow="0" w:lastRow="0" w:firstColumn="1" w:lastColumn="0" w:oddVBand="0" w:evenVBand="0" w:oddHBand="0" w:evenHBand="0" w:firstRowFirstColumn="0" w:firstRowLastColumn="0" w:lastRowFirstColumn="0" w:lastRowLastColumn="0"/>
            <w:tcW w:w="2235" w:type="dxa"/>
          </w:tcPr>
          <w:p w14:paraId="15F931B2" w14:textId="77777777" w:rsidR="009A3F7C" w:rsidRPr="00E867F6" w:rsidRDefault="009A3F7C" w:rsidP="00F95C6C">
            <w:pPr>
              <w:pStyle w:val="Tabletext"/>
            </w:pPr>
            <w:r w:rsidRPr="00E867F6">
              <w:t>Tasmania</w:t>
            </w:r>
          </w:p>
          <w:p w14:paraId="13F42FEA" w14:textId="77777777" w:rsidR="009A3F7C" w:rsidRPr="00E867F6" w:rsidRDefault="009A3F7C" w:rsidP="00204A25">
            <w:pPr>
              <w:rPr>
                <w:rFonts w:ascii="Arial" w:hAnsi="Arial" w:cs="Arial"/>
                <w:b w:val="0"/>
                <w:i/>
                <w:sz w:val="20"/>
                <w:szCs w:val="20"/>
              </w:rPr>
            </w:pPr>
            <w:r w:rsidRPr="00E867F6">
              <w:rPr>
                <w:rFonts w:ascii="Arial" w:hAnsi="Arial" w:cs="Arial"/>
                <w:b w:val="0"/>
                <w:i/>
                <w:sz w:val="20"/>
                <w:szCs w:val="20"/>
              </w:rPr>
              <w:t>Department of Health and Human Services</w:t>
            </w:r>
          </w:p>
          <w:p w14:paraId="19DEEAF8" w14:textId="77777777" w:rsidR="009A3F7C" w:rsidRPr="00E867F6" w:rsidRDefault="009A3F7C" w:rsidP="00204A25">
            <w:pPr>
              <w:rPr>
                <w:rFonts w:ascii="Arial" w:hAnsi="Arial" w:cs="Arial"/>
                <w:b w:val="0"/>
                <w:i/>
                <w:sz w:val="20"/>
                <w:szCs w:val="20"/>
              </w:rPr>
            </w:pPr>
          </w:p>
        </w:tc>
        <w:tc>
          <w:tcPr>
            <w:tcW w:w="4064" w:type="dxa"/>
          </w:tcPr>
          <w:p w14:paraId="17E8E019"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pPr>
            <w:r w:rsidRPr="00E867F6">
              <w:t>Limited data reported publically on safety and quality.</w:t>
            </w:r>
          </w:p>
          <w:p w14:paraId="5BE9D4CE"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pPr>
            <w:r w:rsidRPr="00E867F6">
              <w:t>Tasmanian Acute Public Hospitals Healthcare Associated Infection Surveillance Report is published publically every year.</w:t>
            </w:r>
          </w:p>
          <w:p w14:paraId="3495C5BE"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pPr>
            <w:r w:rsidRPr="00E867F6">
              <w:lastRenderedPageBreak/>
              <w:t xml:space="preserve">A </w:t>
            </w:r>
            <w:proofErr w:type="spellStart"/>
            <w:r w:rsidRPr="00E867F6">
              <w:t>HealthStats</w:t>
            </w:r>
            <w:proofErr w:type="spellEnd"/>
            <w:r w:rsidRPr="00E867F6">
              <w:t xml:space="preserve"> dashboard provides current hospital performance information related to emergency department, elective surgery, outpatients, ambulance, mental health, breast screening and oral health data. No safety and quality performance metrics reported on the dashboard.</w:t>
            </w:r>
          </w:p>
          <w:p w14:paraId="70CFDADE" w14:textId="49902194" w:rsidR="009A3F7C" w:rsidRPr="00E867F6" w:rsidRDefault="009A3F7C" w:rsidP="00EC6609">
            <w:pPr>
              <w:pStyle w:val="Tablebullet1"/>
              <w:cnfStyle w:val="000000000000" w:firstRow="0" w:lastRow="0" w:firstColumn="0" w:lastColumn="0" w:oddVBand="0" w:evenVBand="0" w:oddHBand="0" w:evenHBand="0" w:firstRowFirstColumn="0" w:firstRowLastColumn="0" w:lastRowFirstColumn="0" w:lastRowLastColumn="0"/>
            </w:pPr>
            <w:r w:rsidRPr="00E867F6">
              <w:t xml:space="preserve">Information is </w:t>
            </w:r>
            <w:r w:rsidR="00EC6609">
              <w:t>best found with</w:t>
            </w:r>
            <w:r w:rsidRPr="00E867F6">
              <w:t xml:space="preserve"> relevant ‘keyword’ searches.</w:t>
            </w:r>
          </w:p>
        </w:tc>
        <w:tc>
          <w:tcPr>
            <w:tcW w:w="2924" w:type="dxa"/>
          </w:tcPr>
          <w:p w14:paraId="710C7679" w14:textId="3964FCBD" w:rsidR="009A3F7C" w:rsidRPr="00E867F6" w:rsidRDefault="006E3B18" w:rsidP="006E3B18">
            <w:pPr>
              <w:pStyle w:val="Tablebullet1"/>
              <w:cnfStyle w:val="000000000000" w:firstRow="0" w:lastRow="0" w:firstColumn="0" w:lastColumn="0" w:oddVBand="0" w:evenVBand="0" w:oddHBand="0" w:evenHBand="0" w:firstRowFirstColumn="0" w:firstRowLastColumn="0" w:lastRowFirstColumn="0" w:lastRowLastColumn="0"/>
            </w:pPr>
            <w:r w:rsidRPr="006E3B18">
              <w:lastRenderedPageBreak/>
              <w:t>Central Line Associated Blood Stream Infection (CLABSI)</w:t>
            </w:r>
            <w:r w:rsidRPr="006E3B18" w:rsidDel="006E3B18">
              <w:t xml:space="preserve"> </w:t>
            </w:r>
            <w:r>
              <w:t xml:space="preserve">- </w:t>
            </w:r>
            <w:r w:rsidRPr="007E0D1E">
              <w:rPr>
                <w:bCs w:val="0"/>
                <w:color w:val="222222"/>
                <w:shd w:val="clear" w:color="auto" w:fill="FFFFFF"/>
              </w:rPr>
              <w:t>intensive care unit</w:t>
            </w:r>
            <w:r w:rsidRPr="00E867F6">
              <w:t xml:space="preserve"> </w:t>
            </w:r>
            <w:r w:rsidR="009A3F7C" w:rsidRPr="00E867F6">
              <w:t>(ICU)</w:t>
            </w:r>
          </w:p>
          <w:p w14:paraId="0629FBAB"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pPr>
            <w:r w:rsidRPr="00E867F6">
              <w:t>SAB</w:t>
            </w:r>
          </w:p>
          <w:p w14:paraId="7B4DE21F" w14:textId="364F2B0E" w:rsidR="009A3F7C" w:rsidRPr="00E867F6" w:rsidRDefault="006E3B18" w:rsidP="00E6668C">
            <w:pPr>
              <w:pStyle w:val="Tablebullet1"/>
              <w:cnfStyle w:val="000000000000" w:firstRow="0" w:lastRow="0" w:firstColumn="0" w:lastColumn="0" w:oddVBand="0" w:evenVBand="0" w:oddHBand="0" w:evenHBand="0" w:firstRowFirstColumn="0" w:firstRowLastColumn="0" w:lastRowFirstColumn="0" w:lastRowLastColumn="0"/>
            </w:pPr>
            <w:r w:rsidRPr="006E3B18">
              <w:t xml:space="preserve">Clostridium difficile </w:t>
            </w:r>
            <w:r w:rsidRPr="006E3B18">
              <w:lastRenderedPageBreak/>
              <w:t>infection (CDI)</w:t>
            </w:r>
            <w:r w:rsidRPr="006E3B18" w:rsidDel="006E3B18">
              <w:t xml:space="preserve"> </w:t>
            </w:r>
            <w:r w:rsidR="004B3832">
              <w:t>Va</w:t>
            </w:r>
            <w:r w:rsidR="004B3832" w:rsidRPr="004B3832">
              <w:t>ncomycin-resistant enterococci (VRE)</w:t>
            </w:r>
            <w:r w:rsidR="004B3832" w:rsidRPr="004B3832" w:rsidDel="004B3832">
              <w:t xml:space="preserve"> </w:t>
            </w:r>
            <w:r w:rsidR="009A3F7C" w:rsidRPr="00E867F6">
              <w:t>Hand hygiene</w:t>
            </w:r>
          </w:p>
        </w:tc>
        <w:tc>
          <w:tcPr>
            <w:tcW w:w="4352" w:type="dxa"/>
          </w:tcPr>
          <w:p w14:paraId="75E8C53B" w14:textId="77777777" w:rsidR="009A3F7C" w:rsidRPr="00E867F6" w:rsidRDefault="009A3F7C" w:rsidP="00E6668C">
            <w:pPr>
              <w:pStyle w:val="Tablebullet1"/>
              <w:cnfStyle w:val="000000000000" w:firstRow="0" w:lastRow="0" w:firstColumn="0" w:lastColumn="0" w:oddVBand="0" w:evenVBand="0" w:oddHBand="0" w:evenHBand="0" w:firstRowFirstColumn="0" w:firstRowLastColumn="0" w:lastRowFirstColumn="0" w:lastRowLastColumn="0"/>
              <w:rPr>
                <w:rFonts w:eastAsiaTheme="minorHAnsi"/>
              </w:rPr>
            </w:pPr>
            <w:r w:rsidRPr="00E867F6">
              <w:rPr>
                <w:rFonts w:eastAsiaTheme="minorHAnsi"/>
              </w:rPr>
              <w:lastRenderedPageBreak/>
              <w:t>PDF Reports are published quarterly and annually.</w:t>
            </w:r>
          </w:p>
          <w:p w14:paraId="7DE35FF1" w14:textId="16338557" w:rsidR="009A3F7C" w:rsidRPr="00E867F6" w:rsidRDefault="009A3F7C" w:rsidP="007E0D1E">
            <w:pPr>
              <w:pStyle w:val="Tablebullet1"/>
              <w:numPr>
                <w:ilvl w:val="0"/>
                <w:numId w:val="0"/>
              </w:numPr>
              <w:ind w:left="340"/>
              <w:cnfStyle w:val="000000000000" w:firstRow="0" w:lastRow="0" w:firstColumn="0" w:lastColumn="0" w:oddVBand="0" w:evenVBand="0" w:oddHBand="0" w:evenHBand="0" w:firstRowFirstColumn="0" w:firstRowLastColumn="0" w:lastRowFirstColumn="0" w:lastRowLastColumn="0"/>
              <w:rPr>
                <w:rFonts w:eastAsiaTheme="minorHAnsi"/>
              </w:rPr>
            </w:pPr>
          </w:p>
        </w:tc>
      </w:tr>
      <w:tr w:rsidR="009A3F7C" w:rsidRPr="00E867F6" w14:paraId="13D9F329" w14:textId="77777777" w:rsidTr="00651D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5A59F07B" w14:textId="77777777" w:rsidR="009A3F7C" w:rsidRPr="00E867F6" w:rsidRDefault="009A3F7C" w:rsidP="00F95C6C">
            <w:pPr>
              <w:pStyle w:val="Tabletext"/>
            </w:pPr>
            <w:r w:rsidRPr="00E867F6">
              <w:lastRenderedPageBreak/>
              <w:t>Victoria</w:t>
            </w:r>
          </w:p>
          <w:p w14:paraId="476B9106" w14:textId="77777777" w:rsidR="009A3F7C" w:rsidRPr="00E867F6" w:rsidRDefault="009A3F7C" w:rsidP="00204A25">
            <w:pPr>
              <w:rPr>
                <w:rFonts w:ascii="Arial" w:hAnsi="Arial" w:cs="Arial"/>
                <w:b w:val="0"/>
                <w:i/>
                <w:sz w:val="20"/>
                <w:szCs w:val="20"/>
              </w:rPr>
            </w:pPr>
            <w:r w:rsidRPr="00E867F6">
              <w:rPr>
                <w:rFonts w:ascii="Arial" w:hAnsi="Arial" w:cs="Arial"/>
                <w:b w:val="0"/>
                <w:i/>
                <w:sz w:val="20"/>
                <w:szCs w:val="20"/>
              </w:rPr>
              <w:t>Department of Health and Human Services</w:t>
            </w:r>
          </w:p>
          <w:p w14:paraId="04A77411" w14:textId="038BAFED" w:rsidR="009A3F7C" w:rsidRPr="00E867F6" w:rsidRDefault="009A3F7C" w:rsidP="00204A25">
            <w:pPr>
              <w:rPr>
                <w:rFonts w:ascii="Arial" w:hAnsi="Arial" w:cs="Arial"/>
                <w:b w:val="0"/>
                <w:i/>
                <w:sz w:val="20"/>
                <w:szCs w:val="20"/>
              </w:rPr>
            </w:pPr>
            <w:r w:rsidRPr="00E867F6">
              <w:rPr>
                <w:rFonts w:ascii="Arial" w:hAnsi="Arial" w:cs="Arial"/>
                <w:b w:val="0"/>
                <w:i/>
                <w:sz w:val="20"/>
                <w:szCs w:val="20"/>
              </w:rPr>
              <w:t>Safer Care Victoria</w:t>
            </w:r>
            <w:r w:rsidR="00FA51F1">
              <w:rPr>
                <w:rFonts w:ascii="Arial" w:hAnsi="Arial" w:cs="Arial"/>
                <w:b w:val="0"/>
                <w:i/>
                <w:sz w:val="20"/>
                <w:szCs w:val="20"/>
              </w:rPr>
              <w:t xml:space="preserve"> (SCV)</w:t>
            </w:r>
          </w:p>
          <w:p w14:paraId="271C5E55" w14:textId="7D131E88" w:rsidR="009A3F7C" w:rsidRDefault="009A3F7C" w:rsidP="00204A25">
            <w:pPr>
              <w:rPr>
                <w:rFonts w:ascii="Arial" w:hAnsi="Arial" w:cs="Arial"/>
                <w:b w:val="0"/>
                <w:i/>
                <w:sz w:val="20"/>
                <w:szCs w:val="20"/>
              </w:rPr>
            </w:pPr>
            <w:r w:rsidRPr="00E867F6">
              <w:rPr>
                <w:rFonts w:ascii="Arial" w:hAnsi="Arial" w:cs="Arial"/>
                <w:b w:val="0"/>
                <w:i/>
                <w:sz w:val="20"/>
                <w:szCs w:val="20"/>
              </w:rPr>
              <w:t>Victorian Agency for Health Information</w:t>
            </w:r>
            <w:r w:rsidR="00FA51F1">
              <w:rPr>
                <w:rFonts w:ascii="Arial" w:hAnsi="Arial" w:cs="Arial"/>
                <w:b w:val="0"/>
                <w:i/>
                <w:sz w:val="20"/>
                <w:szCs w:val="20"/>
              </w:rPr>
              <w:t xml:space="preserve"> (VAHI)</w:t>
            </w:r>
          </w:p>
          <w:p w14:paraId="065BB887" w14:textId="518F187F" w:rsidR="009A3F7C" w:rsidRPr="00E867F6" w:rsidRDefault="00FA51F1" w:rsidP="007E0D1E">
            <w:pPr>
              <w:spacing w:after="0"/>
              <w:rPr>
                <w:rFonts w:ascii="Arial" w:hAnsi="Arial" w:cs="Arial"/>
                <w:b w:val="0"/>
                <w:i/>
                <w:sz w:val="20"/>
                <w:szCs w:val="20"/>
              </w:rPr>
            </w:pPr>
            <w:r w:rsidRPr="007E0D1E">
              <w:rPr>
                <w:rFonts w:ascii="Arial" w:hAnsi="Arial" w:cs="Arial"/>
                <w:b w:val="0"/>
                <w:i/>
                <w:sz w:val="20"/>
                <w:szCs w:val="20"/>
              </w:rPr>
              <w:t>Victorian Hospital Acquired Infection Surveillance System</w:t>
            </w:r>
            <w:r>
              <w:rPr>
                <w:rFonts w:ascii="Arial" w:hAnsi="Arial" w:cs="Arial"/>
                <w:b w:val="0"/>
                <w:i/>
                <w:sz w:val="20"/>
                <w:szCs w:val="20"/>
              </w:rPr>
              <w:t>(</w:t>
            </w:r>
            <w:r w:rsidR="009A3F7C" w:rsidRPr="00E867F6">
              <w:rPr>
                <w:rFonts w:ascii="Arial" w:hAnsi="Arial" w:cs="Arial"/>
                <w:b w:val="0"/>
                <w:i/>
                <w:sz w:val="20"/>
                <w:szCs w:val="20"/>
              </w:rPr>
              <w:t>VICNISS</w:t>
            </w:r>
            <w:r>
              <w:rPr>
                <w:rFonts w:ascii="Arial" w:hAnsi="Arial" w:cs="Arial"/>
                <w:b w:val="0"/>
                <w:i/>
                <w:sz w:val="20"/>
                <w:szCs w:val="20"/>
              </w:rPr>
              <w:t>)</w:t>
            </w:r>
          </w:p>
        </w:tc>
        <w:tc>
          <w:tcPr>
            <w:tcW w:w="4064" w:type="dxa"/>
          </w:tcPr>
          <w:p w14:paraId="07C2B7C3"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There are three organisations that report on and publish various reports on safety and quality.</w:t>
            </w:r>
          </w:p>
          <w:p w14:paraId="54106777"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Hospital performance reports relating to safety and quality measures are published by the Department of Health and Human Services quarterly on its performance website.</w:t>
            </w:r>
          </w:p>
          <w:p w14:paraId="145E1FD8"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SCV is responsible for publishing the triennial report on sentinel events, perinatal services performance indicators and Victorian Quality Accounts.</w:t>
            </w:r>
          </w:p>
          <w:p w14:paraId="79F84C40"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VAHI has published an adult patient experience report and is working towards developing their public reporting work plan.</w:t>
            </w:r>
          </w:p>
          <w:p w14:paraId="45922896"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VICNISS publishes reports on health care-associated infections.</w:t>
            </w:r>
          </w:p>
          <w:p w14:paraId="132BEDB8"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Information is not prominent and relevant ‘keyword’ searches are required to find it. </w:t>
            </w:r>
          </w:p>
          <w:p w14:paraId="174B5C8D" w14:textId="47729B2A" w:rsidR="009A3F7C" w:rsidRPr="00E867F6" w:rsidRDefault="009A3F7C" w:rsidP="007E0D1E">
            <w:pPr>
              <w:pStyle w:val="Tablebullet1"/>
              <w:numPr>
                <w:ilvl w:val="0"/>
                <w:numId w:val="0"/>
              </w:numPr>
              <w:cnfStyle w:val="000000100000" w:firstRow="0" w:lastRow="0" w:firstColumn="0" w:lastColumn="0" w:oddVBand="0" w:evenVBand="0" w:oddHBand="1" w:evenHBand="0" w:firstRowFirstColumn="0" w:firstRowLastColumn="0" w:lastRowFirstColumn="0" w:lastRowLastColumn="0"/>
            </w:pPr>
          </w:p>
        </w:tc>
        <w:tc>
          <w:tcPr>
            <w:tcW w:w="2924" w:type="dxa"/>
          </w:tcPr>
          <w:p w14:paraId="412A433F"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Patient experience</w:t>
            </w:r>
          </w:p>
          <w:p w14:paraId="0D62A04E"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Accreditation</w:t>
            </w:r>
          </w:p>
          <w:p w14:paraId="1BAC90B4"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Health worker immunisation rates</w:t>
            </w:r>
          </w:p>
          <w:p w14:paraId="4637FDFE"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SAB</w:t>
            </w:r>
          </w:p>
          <w:p w14:paraId="6D17C061"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CDI</w:t>
            </w:r>
          </w:p>
          <w:p w14:paraId="433C318A"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CLASBI (ICU)</w:t>
            </w:r>
          </w:p>
          <w:p w14:paraId="77454EF9" w14:textId="3B64C598" w:rsidR="009A3F7C" w:rsidRPr="00E867F6" w:rsidRDefault="004B3832" w:rsidP="004B3832">
            <w:pPr>
              <w:pStyle w:val="Tablebullet1"/>
              <w:cnfStyle w:val="000000100000" w:firstRow="0" w:lastRow="0" w:firstColumn="0" w:lastColumn="0" w:oddVBand="0" w:evenVBand="0" w:oddHBand="1" w:evenHBand="0" w:firstRowFirstColumn="0" w:firstRowLastColumn="0" w:lastRowFirstColumn="0" w:lastRowLastColumn="0"/>
            </w:pPr>
            <w:r>
              <w:t>S</w:t>
            </w:r>
            <w:r w:rsidRPr="004B3832">
              <w:t xml:space="preserve">urgical site infection </w:t>
            </w:r>
            <w:r>
              <w:t>(</w:t>
            </w:r>
            <w:r w:rsidR="009A3F7C" w:rsidRPr="00E867F6">
              <w:t>SSI</w:t>
            </w:r>
            <w:r>
              <w:t>)</w:t>
            </w:r>
          </w:p>
          <w:p w14:paraId="38F3B07A" w14:textId="7C47CBFF" w:rsidR="009A3F7C" w:rsidRPr="00E867F6" w:rsidRDefault="00D27170" w:rsidP="00E6668C">
            <w:pPr>
              <w:pStyle w:val="Tablebullet1"/>
              <w:cnfStyle w:val="000000100000" w:firstRow="0" w:lastRow="0" w:firstColumn="0" w:lastColumn="0" w:oddVBand="0" w:evenVBand="0" w:oddHBand="1" w:evenHBand="0" w:firstRowFirstColumn="0" w:firstRowLastColumn="0" w:lastRowFirstColumn="0" w:lastRowLastColumn="0"/>
            </w:pPr>
            <w:r>
              <w:t>Apgar</w:t>
            </w:r>
            <w:r w:rsidR="009A3F7C" w:rsidRPr="00E867F6">
              <w:t xml:space="preserve"> score &lt;7</w:t>
            </w:r>
          </w:p>
          <w:p w14:paraId="77C60245" w14:textId="12B77633" w:rsidR="009A3F7C" w:rsidRPr="00E867F6" w:rsidRDefault="009A3F7C" w:rsidP="004B3832">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Rate of </w:t>
            </w:r>
            <w:r w:rsidR="004B3832" w:rsidRPr="004B3832">
              <w:t xml:space="preserve">severe </w:t>
            </w:r>
            <w:proofErr w:type="spellStart"/>
            <w:r w:rsidR="004B3832" w:rsidRPr="004B3832">
              <w:t>fetal</w:t>
            </w:r>
            <w:proofErr w:type="spellEnd"/>
            <w:r w:rsidR="004B3832" w:rsidRPr="004B3832">
              <w:t xml:space="preserve"> growth restriction</w:t>
            </w:r>
          </w:p>
          <w:p w14:paraId="02521BFD"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Sentinel events </w:t>
            </w:r>
          </w:p>
        </w:tc>
        <w:tc>
          <w:tcPr>
            <w:tcW w:w="4352" w:type="dxa"/>
          </w:tcPr>
          <w:p w14:paraId="23086366" w14:textId="77777777" w:rsidR="009A3F7C" w:rsidRPr="00E867F6" w:rsidRDefault="009A3F7C" w:rsidP="00E6668C">
            <w:pPr>
              <w:pStyle w:val="Tablebullet1"/>
              <w:cnfStyle w:val="000000100000" w:firstRow="0" w:lastRow="0" w:firstColumn="0" w:lastColumn="0" w:oddVBand="0" w:evenVBand="0" w:oddHBand="1" w:evenHBand="0" w:firstRowFirstColumn="0" w:firstRowLastColumn="0" w:lastRowFirstColumn="0" w:lastRowLastColumn="0"/>
              <w:rPr>
                <w:rFonts w:eastAsiaTheme="minorHAnsi"/>
              </w:rPr>
            </w:pPr>
            <w:r w:rsidRPr="00E867F6">
              <w:rPr>
                <w:rFonts w:eastAsiaTheme="minorHAnsi"/>
              </w:rPr>
              <w:t xml:space="preserve">PDF reports are published annually (or on an ad hoc basis) depending on the lead agency. </w:t>
            </w:r>
          </w:p>
        </w:tc>
      </w:tr>
      <w:tr w:rsidR="009A3F7C" w:rsidRPr="00E867F6" w14:paraId="6172034A" w14:textId="77777777" w:rsidTr="00651D64">
        <w:tc>
          <w:tcPr>
            <w:cnfStyle w:val="001000000000" w:firstRow="0" w:lastRow="0" w:firstColumn="1" w:lastColumn="0" w:oddVBand="0" w:evenVBand="0" w:oddHBand="0" w:evenHBand="0" w:firstRowFirstColumn="0" w:firstRowLastColumn="0" w:lastRowFirstColumn="0" w:lastRowLastColumn="0"/>
            <w:tcW w:w="2235" w:type="dxa"/>
          </w:tcPr>
          <w:p w14:paraId="2B5231BB" w14:textId="77777777" w:rsidR="009A3F7C" w:rsidRPr="00E867F6" w:rsidRDefault="009A3F7C" w:rsidP="00F95C6C">
            <w:pPr>
              <w:pStyle w:val="Tabletext"/>
            </w:pPr>
            <w:r w:rsidRPr="00E867F6">
              <w:t>Western Australia</w:t>
            </w:r>
          </w:p>
          <w:p w14:paraId="0B4A9181" w14:textId="77777777" w:rsidR="009A3F7C" w:rsidRPr="00E867F6" w:rsidRDefault="009A3F7C" w:rsidP="00204A25">
            <w:pPr>
              <w:rPr>
                <w:rFonts w:ascii="Arial" w:hAnsi="Arial" w:cs="Arial"/>
                <w:b w:val="0"/>
                <w:i/>
                <w:sz w:val="20"/>
                <w:szCs w:val="20"/>
              </w:rPr>
            </w:pPr>
            <w:r w:rsidRPr="00E867F6">
              <w:rPr>
                <w:rFonts w:ascii="Arial" w:hAnsi="Arial" w:cs="Arial"/>
                <w:b w:val="0"/>
                <w:i/>
                <w:sz w:val="20"/>
                <w:szCs w:val="20"/>
              </w:rPr>
              <w:t>Department of Health</w:t>
            </w:r>
          </w:p>
        </w:tc>
        <w:tc>
          <w:tcPr>
            <w:tcW w:w="4064" w:type="dxa"/>
          </w:tcPr>
          <w:p w14:paraId="46BCA8AD"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 xml:space="preserve">Health service and hospital level (where possible) performance reports are published at varying frequencies. </w:t>
            </w:r>
          </w:p>
          <w:p w14:paraId="4E9FD222" w14:textId="3F69CDC4"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lastRenderedPageBreak/>
              <w:t>There are there are four core safety and quality areas of reporting: monitoring and reporting of hand hygiene, patient safety surveillance, healthcare infection surveillance and health</w:t>
            </w:r>
            <w:r w:rsidR="004A02FA" w:rsidRPr="00E867F6">
              <w:t>care</w:t>
            </w:r>
            <w:r w:rsidR="004A02FA">
              <w:t>-</w:t>
            </w:r>
            <w:r w:rsidRPr="00E867F6">
              <w:t>associated SAB.</w:t>
            </w:r>
          </w:p>
          <w:p w14:paraId="644D41A9"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Reports on hand hygiene compliance rates and SAB are published regularly, represented in visual graphs.</w:t>
            </w:r>
          </w:p>
          <w:p w14:paraId="02DCCC09"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A comprehensive annual report on patient safety is published annually.</w:t>
            </w:r>
          </w:p>
          <w:p w14:paraId="6B8C2E5D"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Information is prominent. A link to performance can be found on the landing page.</w:t>
            </w:r>
          </w:p>
        </w:tc>
        <w:tc>
          <w:tcPr>
            <w:tcW w:w="2924" w:type="dxa"/>
          </w:tcPr>
          <w:p w14:paraId="7BDB8F5C"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lastRenderedPageBreak/>
              <w:t>Accreditation</w:t>
            </w:r>
          </w:p>
          <w:p w14:paraId="3117AAA5"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Sentinel events</w:t>
            </w:r>
          </w:p>
          <w:p w14:paraId="73FA36E8"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lastRenderedPageBreak/>
              <w:t>Medical safety</w:t>
            </w:r>
          </w:p>
          <w:p w14:paraId="6119609C"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Patient identification incidents</w:t>
            </w:r>
          </w:p>
          <w:p w14:paraId="259C241B"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Clinical handover incidents</w:t>
            </w:r>
          </w:p>
          <w:p w14:paraId="7221D4B5"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Blood transfusions</w:t>
            </w:r>
          </w:p>
          <w:p w14:paraId="16EA06BD" w14:textId="5907B470"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HAI</w:t>
            </w:r>
          </w:p>
          <w:p w14:paraId="2B113230"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SAB</w:t>
            </w:r>
          </w:p>
          <w:p w14:paraId="4DBF37C0" w14:textId="17A21D88" w:rsidR="009A3F7C" w:rsidRPr="004B3832" w:rsidRDefault="004B3832" w:rsidP="007E0D1E">
            <w:pPr>
              <w:pStyle w:val="Tablebullet1"/>
              <w:spacing w:before="240"/>
              <w:cnfStyle w:val="000000000000" w:firstRow="0" w:lastRow="0" w:firstColumn="0" w:lastColumn="0" w:oddVBand="0" w:evenVBand="0" w:oddHBand="0" w:evenHBand="0" w:firstRowFirstColumn="0" w:firstRowLastColumn="0" w:lastRowFirstColumn="0" w:lastRowLastColumn="0"/>
              <w:rPr>
                <w:szCs w:val="20"/>
              </w:rPr>
            </w:pPr>
            <w:r w:rsidRPr="007E0D1E">
              <w:rPr>
                <w:rFonts w:asciiTheme="majorHAnsi" w:hAnsiTheme="majorHAnsi" w:cstheme="majorHAnsi"/>
                <w:szCs w:val="20"/>
              </w:rPr>
              <w:t xml:space="preserve">Methicillin-resistant </w:t>
            </w:r>
            <w:r w:rsidRPr="007E0D1E">
              <w:rPr>
                <w:rFonts w:asciiTheme="majorHAnsi" w:hAnsiTheme="majorHAnsi" w:cstheme="majorHAnsi"/>
                <w:i/>
                <w:iCs/>
                <w:szCs w:val="20"/>
              </w:rPr>
              <w:t>Staphylococcus aureus (</w:t>
            </w:r>
            <w:r w:rsidRPr="004B3832">
              <w:rPr>
                <w:szCs w:val="20"/>
              </w:rPr>
              <w:t>MRSA</w:t>
            </w:r>
          </w:p>
          <w:p w14:paraId="3BCA9233" w14:textId="77777777" w:rsidR="009A3F7C" w:rsidRPr="007E0D1E" w:rsidRDefault="009A3F7C" w:rsidP="00B10CAC">
            <w:pPr>
              <w:pStyle w:val="Tablebullet1"/>
              <w:cnfStyle w:val="000000000000" w:firstRow="0" w:lastRow="0" w:firstColumn="0" w:lastColumn="0" w:oddVBand="0" w:evenVBand="0" w:oddHBand="0" w:evenHBand="0" w:firstRowFirstColumn="0" w:firstRowLastColumn="0" w:lastRowFirstColumn="0" w:lastRowLastColumn="0"/>
              <w:rPr>
                <w:szCs w:val="20"/>
              </w:rPr>
            </w:pPr>
            <w:r w:rsidRPr="007E0D1E">
              <w:rPr>
                <w:szCs w:val="20"/>
              </w:rPr>
              <w:t>CLASBI</w:t>
            </w:r>
          </w:p>
          <w:p w14:paraId="65577303"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CDI</w:t>
            </w:r>
          </w:p>
          <w:p w14:paraId="66E414AD"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VRE</w:t>
            </w:r>
          </w:p>
          <w:p w14:paraId="56FA21D7"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Pressure injuries</w:t>
            </w:r>
          </w:p>
          <w:p w14:paraId="54F10BA6"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Clinical deterioration incidents</w:t>
            </w:r>
          </w:p>
          <w:p w14:paraId="3E58B147"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Patient falls</w:t>
            </w:r>
          </w:p>
          <w:p w14:paraId="6B95BFB1"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Hand hygiene</w:t>
            </w:r>
          </w:p>
          <w:p w14:paraId="6AE7CD67"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Complaints</w:t>
            </w:r>
          </w:p>
        </w:tc>
        <w:tc>
          <w:tcPr>
            <w:tcW w:w="4352" w:type="dxa"/>
          </w:tcPr>
          <w:p w14:paraId="77E7C687" w14:textId="0B3A027D" w:rsidR="009A3F7C" w:rsidRPr="00E867F6" w:rsidRDefault="009A3F7C" w:rsidP="00B10CAC">
            <w:pPr>
              <w:pStyle w:val="Tabletext"/>
              <w:cnfStyle w:val="000000000000" w:firstRow="0" w:lastRow="0" w:firstColumn="0" w:lastColumn="0" w:oddVBand="0" w:evenVBand="0" w:oddHBand="0" w:evenHBand="0" w:firstRowFirstColumn="0" w:firstRowLastColumn="0" w:lastRowFirstColumn="0" w:lastRowLastColumn="0"/>
              <w:rPr>
                <w:b w:val="0"/>
              </w:rPr>
            </w:pPr>
            <w:r w:rsidRPr="00E867F6">
              <w:rPr>
                <w:b w:val="0"/>
              </w:rPr>
              <w:lastRenderedPageBreak/>
              <w:t>PDF reports are published annually (and depending on the topic, at various times).</w:t>
            </w:r>
          </w:p>
          <w:p w14:paraId="11B82BB9" w14:textId="77777777" w:rsidR="009A3F7C" w:rsidRPr="00E867F6" w:rsidRDefault="009A3F7C" w:rsidP="00B10CAC">
            <w:pPr>
              <w:pStyle w:val="Tabletext"/>
              <w:cnfStyle w:val="000000000000" w:firstRow="0" w:lastRow="0" w:firstColumn="0" w:lastColumn="0" w:oddVBand="0" w:evenVBand="0" w:oddHBand="0" w:evenHBand="0" w:firstRowFirstColumn="0" w:firstRowLastColumn="0" w:lastRowFirstColumn="0" w:lastRowLastColumn="0"/>
            </w:pPr>
            <w:r w:rsidRPr="00E867F6">
              <w:rPr>
                <w:b w:val="0"/>
              </w:rPr>
              <w:t xml:space="preserve">Other performance information is presented in </w:t>
            </w:r>
            <w:r w:rsidRPr="00E867F6">
              <w:rPr>
                <w:b w:val="0"/>
              </w:rPr>
              <w:lastRenderedPageBreak/>
              <w:t xml:space="preserve">graphs. </w:t>
            </w:r>
          </w:p>
        </w:tc>
      </w:tr>
    </w:tbl>
    <w:p w14:paraId="6DF518BA" w14:textId="77777777" w:rsidR="009A3F7C" w:rsidRPr="00E867F6" w:rsidRDefault="009A3F7C" w:rsidP="00B10CAC">
      <w:pPr>
        <w:pStyle w:val="BodyText"/>
      </w:pPr>
    </w:p>
    <w:p w14:paraId="6EC29885" w14:textId="77777777" w:rsidR="009A3F7C" w:rsidRPr="00E867F6" w:rsidRDefault="009A3F7C" w:rsidP="00DE3FB6">
      <w:pPr>
        <w:rPr>
          <w:rFonts w:ascii="Arial" w:hAnsi="Arial" w:cs="Arial"/>
          <w:sz w:val="20"/>
          <w:szCs w:val="20"/>
        </w:rPr>
      </w:pPr>
    </w:p>
    <w:p w14:paraId="3A621762" w14:textId="77777777" w:rsidR="009A3F7C" w:rsidRPr="00E867F6" w:rsidRDefault="009A3F7C" w:rsidP="00DE3FB6">
      <w:pPr>
        <w:sectPr w:rsidR="009A3F7C" w:rsidRPr="00E867F6" w:rsidSect="00D2773F">
          <w:pgSz w:w="16838" w:h="11906" w:orient="landscape"/>
          <w:pgMar w:top="1440" w:right="1440" w:bottom="1440" w:left="1440" w:header="708" w:footer="708" w:gutter="0"/>
          <w:cols w:space="708"/>
          <w:docGrid w:linePitch="360"/>
        </w:sectPr>
      </w:pPr>
    </w:p>
    <w:p w14:paraId="6027E82F" w14:textId="77777777" w:rsidR="009A3F7C" w:rsidRPr="00E867F6" w:rsidRDefault="009A3F7C" w:rsidP="00937A50">
      <w:pPr>
        <w:pStyle w:val="Heading2"/>
      </w:pPr>
      <w:bookmarkStart w:id="46" w:name="_Toc514158754"/>
      <w:bookmarkStart w:id="47" w:name="_Toc3195098"/>
      <w:r w:rsidRPr="00E867F6">
        <w:lastRenderedPageBreak/>
        <w:t>Public reporting by private hospitals</w:t>
      </w:r>
      <w:bookmarkEnd w:id="46"/>
      <w:bookmarkEnd w:id="47"/>
    </w:p>
    <w:p w14:paraId="76034E41" w14:textId="77777777" w:rsidR="009A3F7C" w:rsidRPr="00E867F6" w:rsidRDefault="009A3F7C" w:rsidP="00DE3FB6">
      <w:pPr>
        <w:pStyle w:val="Heading3"/>
      </w:pPr>
      <w:r w:rsidRPr="00E867F6">
        <w:t>Background and context</w:t>
      </w:r>
    </w:p>
    <w:p w14:paraId="77DE0520" w14:textId="5AF2A601" w:rsidR="009A3F7C" w:rsidRPr="00E867F6" w:rsidRDefault="009A3F7C" w:rsidP="00B10CAC">
      <w:pPr>
        <w:pStyle w:val="BodyText"/>
      </w:pPr>
      <w:r w:rsidRPr="00E867F6">
        <w:t>In Australia, approximately 30</w:t>
      </w:r>
      <w:r w:rsidR="008C3F6A">
        <w:t>%</w:t>
      </w:r>
      <w:r w:rsidR="00651D64">
        <w:t xml:space="preserve"> </w:t>
      </w:r>
      <w:r w:rsidRPr="00E867F6">
        <w:t xml:space="preserve">of the healthcare sector </w:t>
      </w:r>
      <w:r w:rsidR="009165D8">
        <w:t>is</w:t>
      </w:r>
      <w:r w:rsidR="009165D8" w:rsidRPr="00E867F6">
        <w:t xml:space="preserve"> </w:t>
      </w:r>
      <w:r w:rsidRPr="00E867F6">
        <w:t>comprised of private hospitals. They are mainly owned and managed by private organisations, either for-profit companies or not-for-profit non-government organisations. Some private facilities provide services on a day-only basis.</w:t>
      </w:r>
    </w:p>
    <w:p w14:paraId="57DC3659" w14:textId="148AFC77" w:rsidR="009A3F7C" w:rsidRPr="00E867F6" w:rsidRDefault="009A3F7C" w:rsidP="00DE3FB6">
      <w:pPr>
        <w:pStyle w:val="BodyText"/>
      </w:pPr>
      <w:r w:rsidRPr="00E867F6">
        <w:t>Private hospitals and day procedure centres primarily provide elective surgery, catering for patients who are treated by a doctor of their choice. Patients are charged fees for accommodation and other related health services provided by the provider.</w:t>
      </w:r>
      <w:r w:rsidR="004B3832">
        <w:t xml:space="preserve"> </w:t>
      </w:r>
      <w:r w:rsidRPr="00E867F6">
        <w:t xml:space="preserve">Private hospitals and day procedure centres operate under fee-for-service funding models that reward additional activity, which means that they are incentivised to maximise the number of people they treat. </w:t>
      </w:r>
    </w:p>
    <w:p w14:paraId="361DC8B4" w14:textId="3304286A" w:rsidR="009A3F7C" w:rsidRPr="00E867F6" w:rsidRDefault="009A3F7C" w:rsidP="00DE3FB6">
      <w:pPr>
        <w:pStyle w:val="BodyText"/>
      </w:pPr>
      <w:r w:rsidRPr="00E867F6">
        <w:t xml:space="preserve">Private hospitals must be licensed by the relevant state or territory health authority to operate. Free-standing day hospitals that are approved by the Commonwealth for the purposes of health insurance benefits must also be registered with their respective state/territory health authority. Each jurisdiction sets its own requirements under state/territory legislation on how they monitor and enforce patient safety and quality of care requirements in private healthcare organisations. </w:t>
      </w:r>
    </w:p>
    <w:p w14:paraId="2FA96919" w14:textId="5D2DBE4E" w:rsidR="009A3F7C" w:rsidRPr="00E867F6" w:rsidRDefault="009A3F7C" w:rsidP="00DE3FB6">
      <w:pPr>
        <w:pStyle w:val="BodyText"/>
      </w:pPr>
      <w:r w:rsidRPr="00E867F6">
        <w:t xml:space="preserve">For example, in Victoria a condition of licencing requires each private hospital and day procedure centre to be accredited under the NSQHS </w:t>
      </w:r>
      <w:r w:rsidR="008400F3">
        <w:t xml:space="preserve">Standards </w:t>
      </w:r>
      <w:r w:rsidRPr="00E867F6">
        <w:t>and assessed by a third party accreditation organisation. Failure to meet regulatory requirements, which may include detailed reporting of safety and quality information to the regulatory authority, may result in loss of licence to operate and potential closure of a hospital.</w:t>
      </w:r>
    </w:p>
    <w:p w14:paraId="1131B768" w14:textId="418F336A" w:rsidR="009A3F7C" w:rsidRPr="00E867F6" w:rsidRDefault="009A3F7C" w:rsidP="00DE3FB6">
      <w:pPr>
        <w:pStyle w:val="BodyText"/>
      </w:pPr>
      <w:r w:rsidRPr="00E867F6">
        <w:t>In addition, health funds are at liberty to choose which private hospitals they enter into a contractual agreement with to provide healthcare services to their privately insured members. Failure to satisfy the quality requirements of a major health funder resulting in the loss of a contract would have significant financial implications for a private hospital, threatening its ongoing viability.</w:t>
      </w:r>
    </w:p>
    <w:p w14:paraId="3B55C3A8" w14:textId="29D76D26" w:rsidR="009A3F7C" w:rsidRPr="00E867F6" w:rsidRDefault="00760432" w:rsidP="00DE3FB6">
      <w:pPr>
        <w:pStyle w:val="BodyText"/>
      </w:pPr>
      <w:r>
        <w:t>T</w:t>
      </w:r>
      <w:r w:rsidR="009A3F7C" w:rsidRPr="00E867F6">
        <w:t>he</w:t>
      </w:r>
      <w:r>
        <w:t>se</w:t>
      </w:r>
      <w:r w:rsidR="009A3F7C" w:rsidRPr="00E867F6">
        <w:t xml:space="preserve"> </w:t>
      </w:r>
      <w:r>
        <w:t>factors contribute to</w:t>
      </w:r>
      <w:r w:rsidR="009A3F7C" w:rsidRPr="00E867F6">
        <w:t xml:space="preserve"> </w:t>
      </w:r>
      <w:r>
        <w:t xml:space="preserve">the decision by </w:t>
      </w:r>
      <w:r w:rsidR="009A3F7C" w:rsidRPr="00E867F6">
        <w:t>a number of private hospital organisations to publicly report on various patient safety outcomes</w:t>
      </w:r>
      <w:r>
        <w:t>,</w:t>
      </w:r>
      <w:r w:rsidR="009A3F7C" w:rsidRPr="00E867F6">
        <w:t xml:space="preserve"> </w:t>
      </w:r>
      <w:r>
        <w:t>reporting</w:t>
      </w:r>
      <w:r w:rsidRPr="00E867F6">
        <w:t xml:space="preserve"> </w:t>
      </w:r>
      <w:r w:rsidR="009A3F7C" w:rsidRPr="00E867F6">
        <w:t xml:space="preserve">on their own facility and/or group website or via the </w:t>
      </w:r>
      <w:proofErr w:type="spellStart"/>
      <w:r w:rsidR="009A3F7C" w:rsidRPr="00E867F6">
        <w:t>MyHospitals</w:t>
      </w:r>
      <w:proofErr w:type="spellEnd"/>
      <w:r w:rsidR="009A3F7C" w:rsidRPr="00E867F6">
        <w:t xml:space="preserve"> website. These reported outcome measures are aligned with the NSQHS</w:t>
      </w:r>
      <w:r>
        <w:t xml:space="preserve"> Standards</w:t>
      </w:r>
      <w:r w:rsidR="009A3F7C" w:rsidRPr="00E867F6">
        <w:t>.</w:t>
      </w:r>
    </w:p>
    <w:p w14:paraId="643FEAAE" w14:textId="48831D27" w:rsidR="009A3F7C" w:rsidRPr="00E867F6" w:rsidRDefault="009A3F7C" w:rsidP="00DE3FB6">
      <w:pPr>
        <w:pStyle w:val="Heading3"/>
      </w:pPr>
      <w:r w:rsidRPr="00E867F6">
        <w:t>Public reporting of safety and quality information by private healthcare organisations</w:t>
      </w:r>
    </w:p>
    <w:p w14:paraId="031B0F93" w14:textId="69022C8B" w:rsidR="009A3F7C" w:rsidRPr="00E867F6" w:rsidRDefault="009A3F7C" w:rsidP="00DE3FB6">
      <w:pPr>
        <w:pStyle w:val="BodyText"/>
      </w:pPr>
      <w:r w:rsidRPr="00E867F6">
        <w:t xml:space="preserve">The environment scan reviewed safety and quality information publically available online for 24 private healthcare organisations and five private health insurance providers in Australia. </w:t>
      </w:r>
    </w:p>
    <w:p w14:paraId="40311F44" w14:textId="52E1EB1D" w:rsidR="009A3F7C" w:rsidRPr="00E867F6" w:rsidRDefault="009A3F7C" w:rsidP="00DE3FB6">
      <w:pPr>
        <w:pStyle w:val="BodyText"/>
      </w:pPr>
      <w:r w:rsidRPr="00E867F6">
        <w:t xml:space="preserve">The search found that that indicators reported publically varied, </w:t>
      </w:r>
      <w:r w:rsidR="00760432">
        <w:t>with</w:t>
      </w:r>
      <w:r w:rsidR="00760432" w:rsidRPr="00E867F6">
        <w:t xml:space="preserve"> </w:t>
      </w:r>
      <w:r w:rsidRPr="00E867F6">
        <w:t>larger private health organisations currently reporting on indicators cover</w:t>
      </w:r>
      <w:r w:rsidR="00760432">
        <w:t>ing</w:t>
      </w:r>
      <w:r w:rsidRPr="00E867F6">
        <w:t xml:space="preserve"> most of the NSQHS</w:t>
      </w:r>
      <w:r w:rsidR="00760432">
        <w:t xml:space="preserve"> Standards</w:t>
      </w:r>
      <w:r w:rsidRPr="00E867F6">
        <w:t xml:space="preserve">. The search also found that 19 of the 24 private health services reviewed as part of this scan reported some form of safety and quality information on their website. At a minimum, information was provided on accreditation and hand hygiene. However, it was noted that, with the exception of Mercy Health, all private hospitals that did not provide safety and quality performance information were specialised, for cancer care, vision surgery or endoscopy healthcare services only. </w:t>
      </w:r>
    </w:p>
    <w:p w14:paraId="37895BA2" w14:textId="77777777" w:rsidR="009A3F7C" w:rsidRPr="00E867F6" w:rsidRDefault="009A3F7C" w:rsidP="00DE3FB6">
      <w:pPr>
        <w:pStyle w:val="Bodytextkeepwithnext"/>
      </w:pPr>
      <w:r w:rsidRPr="00E867F6">
        <w:lastRenderedPageBreak/>
        <w:t>Larger private health service organisations currently publicly report on all or most of the following:</w:t>
      </w:r>
    </w:p>
    <w:p w14:paraId="2B8D1DDC" w14:textId="40059CEA" w:rsidR="009A3F7C" w:rsidRPr="00E867F6" w:rsidRDefault="009A3F7C" w:rsidP="00776E32">
      <w:pPr>
        <w:pStyle w:val="ListBullet"/>
        <w:contextualSpacing w:val="0"/>
      </w:pPr>
      <w:r w:rsidRPr="00E867F6">
        <w:t xml:space="preserve">Accreditation </w:t>
      </w:r>
      <w:r w:rsidR="00760432">
        <w:t>s</w:t>
      </w:r>
      <w:r w:rsidR="00760432" w:rsidRPr="00E867F6">
        <w:t>tatus</w:t>
      </w:r>
    </w:p>
    <w:p w14:paraId="5FBF49C0" w14:textId="32618DA2" w:rsidR="009A3F7C" w:rsidRPr="00E867F6" w:rsidRDefault="009A3F7C" w:rsidP="00776E32">
      <w:pPr>
        <w:pStyle w:val="ListBullet"/>
        <w:contextualSpacing w:val="0"/>
      </w:pPr>
      <w:r w:rsidRPr="00E867F6">
        <w:t xml:space="preserve">Infection </w:t>
      </w:r>
      <w:r w:rsidR="00760432">
        <w:t>r</w:t>
      </w:r>
      <w:r w:rsidRPr="00E867F6">
        <w:t>ates – SAB and CDI</w:t>
      </w:r>
    </w:p>
    <w:p w14:paraId="487D39DE" w14:textId="63834469" w:rsidR="009A3F7C" w:rsidRPr="00E867F6" w:rsidRDefault="009A3F7C" w:rsidP="00776E32">
      <w:pPr>
        <w:pStyle w:val="ListBullet"/>
        <w:contextualSpacing w:val="0"/>
      </w:pPr>
      <w:r w:rsidRPr="00E867F6">
        <w:t xml:space="preserve">Hand </w:t>
      </w:r>
      <w:r w:rsidR="00760432">
        <w:t>h</w:t>
      </w:r>
      <w:r w:rsidR="00760432" w:rsidRPr="00E867F6">
        <w:t>ygiene</w:t>
      </w:r>
    </w:p>
    <w:p w14:paraId="0721E1CD" w14:textId="3DE451B4" w:rsidR="009A3F7C" w:rsidRPr="00E867F6" w:rsidRDefault="009A3F7C" w:rsidP="00776E32">
      <w:pPr>
        <w:pStyle w:val="ListBullet"/>
        <w:contextualSpacing w:val="0"/>
      </w:pPr>
      <w:r w:rsidRPr="00E867F6">
        <w:t xml:space="preserve">Patient </w:t>
      </w:r>
      <w:r w:rsidR="00760432">
        <w:t>f</w:t>
      </w:r>
      <w:r w:rsidR="00760432" w:rsidRPr="00E867F6">
        <w:t>alls</w:t>
      </w:r>
    </w:p>
    <w:p w14:paraId="39E03B62" w14:textId="760A4A78" w:rsidR="009A3F7C" w:rsidRPr="00E867F6" w:rsidRDefault="009A3F7C" w:rsidP="00776E32">
      <w:pPr>
        <w:pStyle w:val="ListBullet"/>
        <w:contextualSpacing w:val="0"/>
      </w:pPr>
      <w:r w:rsidRPr="00E867F6">
        <w:t xml:space="preserve">Unplanned </w:t>
      </w:r>
      <w:r w:rsidR="00760432">
        <w:t>r</w:t>
      </w:r>
      <w:r w:rsidR="00760432" w:rsidRPr="00E867F6">
        <w:t xml:space="preserve">eadmissions </w:t>
      </w:r>
      <w:r w:rsidRPr="00E867F6">
        <w:t xml:space="preserve">within 28 </w:t>
      </w:r>
      <w:r w:rsidR="00760432">
        <w:t>d</w:t>
      </w:r>
      <w:r w:rsidR="00760432" w:rsidRPr="00E867F6">
        <w:t>ays</w:t>
      </w:r>
    </w:p>
    <w:p w14:paraId="6A52E422" w14:textId="09AFC084" w:rsidR="009A3F7C" w:rsidRPr="00E867F6" w:rsidRDefault="009A3F7C" w:rsidP="00776E32">
      <w:pPr>
        <w:pStyle w:val="ListBullet"/>
        <w:contextualSpacing w:val="0"/>
      </w:pPr>
      <w:r w:rsidRPr="00E867F6">
        <w:t xml:space="preserve">Unplanned </w:t>
      </w:r>
      <w:r w:rsidR="00760432">
        <w:t>r</w:t>
      </w:r>
      <w:r w:rsidR="00760432" w:rsidRPr="00E867F6">
        <w:t xml:space="preserve">eturns </w:t>
      </w:r>
      <w:r w:rsidRPr="00E867F6">
        <w:t xml:space="preserve">to </w:t>
      </w:r>
      <w:r w:rsidR="00760432">
        <w:t>t</w:t>
      </w:r>
      <w:r w:rsidR="00760432" w:rsidRPr="00E867F6">
        <w:t>heatre</w:t>
      </w:r>
    </w:p>
    <w:p w14:paraId="0906DBC6" w14:textId="66C6BBA7" w:rsidR="009A3F7C" w:rsidRPr="00E867F6" w:rsidRDefault="009A3F7C" w:rsidP="00776E32">
      <w:pPr>
        <w:pStyle w:val="ListBullet"/>
        <w:contextualSpacing w:val="0"/>
      </w:pPr>
      <w:r w:rsidRPr="00E867F6">
        <w:t xml:space="preserve">Medication </w:t>
      </w:r>
      <w:r w:rsidR="00760432">
        <w:t>s</w:t>
      </w:r>
      <w:r w:rsidR="00760432" w:rsidRPr="00E867F6">
        <w:t xml:space="preserve">afety </w:t>
      </w:r>
      <w:r w:rsidR="00760432">
        <w:t>e</w:t>
      </w:r>
      <w:r w:rsidRPr="00E867F6">
        <w:t>rrors</w:t>
      </w:r>
    </w:p>
    <w:p w14:paraId="6729F23A" w14:textId="7119E65C" w:rsidR="009A3F7C" w:rsidRPr="00E867F6" w:rsidRDefault="009A3F7C" w:rsidP="00776E32">
      <w:pPr>
        <w:pStyle w:val="ListBullet"/>
        <w:contextualSpacing w:val="0"/>
      </w:pPr>
      <w:r w:rsidRPr="00E867F6">
        <w:t xml:space="preserve">Blood </w:t>
      </w:r>
      <w:r w:rsidR="00760432">
        <w:t>t</w:t>
      </w:r>
      <w:r w:rsidR="00760432" w:rsidRPr="00E867F6">
        <w:t xml:space="preserve">ransfusion </w:t>
      </w:r>
      <w:r w:rsidRPr="00E867F6">
        <w:t>outcomes</w:t>
      </w:r>
    </w:p>
    <w:p w14:paraId="4F3E76DB" w14:textId="569FEDE1" w:rsidR="009A3F7C" w:rsidRPr="00E867F6" w:rsidRDefault="009A3F7C" w:rsidP="00776E32">
      <w:pPr>
        <w:pStyle w:val="ListBullet"/>
        <w:contextualSpacing w:val="0"/>
      </w:pPr>
      <w:r w:rsidRPr="00E867F6">
        <w:t xml:space="preserve">Patients </w:t>
      </w:r>
      <w:r w:rsidR="00760432">
        <w:t>d</w:t>
      </w:r>
      <w:r w:rsidR="00760432" w:rsidRPr="00E867F6">
        <w:t xml:space="preserve">eveloping </w:t>
      </w:r>
      <w:r w:rsidR="00760432">
        <w:t>p</w:t>
      </w:r>
      <w:r w:rsidRPr="00E867F6">
        <w:t xml:space="preserve">ressure </w:t>
      </w:r>
      <w:r w:rsidR="00760432">
        <w:t>i</w:t>
      </w:r>
      <w:r w:rsidR="00952674">
        <w:t>njuries while</w:t>
      </w:r>
      <w:r w:rsidRPr="00E867F6">
        <w:t xml:space="preserve"> in hospital</w:t>
      </w:r>
    </w:p>
    <w:p w14:paraId="2A629CF5" w14:textId="58228F06" w:rsidR="009A3F7C" w:rsidRPr="00E867F6" w:rsidRDefault="009A3F7C" w:rsidP="00776E32">
      <w:pPr>
        <w:pStyle w:val="ListBullet"/>
        <w:contextualSpacing w:val="0"/>
      </w:pPr>
      <w:r w:rsidRPr="00E867F6">
        <w:t xml:space="preserve">Adverse </w:t>
      </w:r>
      <w:r w:rsidR="00760432">
        <w:t>t</w:t>
      </w:r>
      <w:r w:rsidRPr="00E867F6">
        <w:t xml:space="preserve">ransfusion </w:t>
      </w:r>
      <w:r w:rsidR="00760432">
        <w:t>e</w:t>
      </w:r>
      <w:r w:rsidR="00760432" w:rsidRPr="00E867F6">
        <w:t>vents</w:t>
      </w:r>
    </w:p>
    <w:p w14:paraId="242C1DF9" w14:textId="40D5B26B" w:rsidR="009A3F7C" w:rsidRPr="00E867F6" w:rsidRDefault="009A3F7C" w:rsidP="00776E32">
      <w:pPr>
        <w:pStyle w:val="ListBullet"/>
        <w:contextualSpacing w:val="0"/>
      </w:pPr>
      <w:r w:rsidRPr="00E867F6">
        <w:t xml:space="preserve">Patient </w:t>
      </w:r>
      <w:r w:rsidR="00760432">
        <w:t>s</w:t>
      </w:r>
      <w:r w:rsidR="00760432" w:rsidRPr="00E867F6">
        <w:t>atisfaction</w:t>
      </w:r>
    </w:p>
    <w:p w14:paraId="4B86B16C" w14:textId="77777777" w:rsidR="009A3F7C" w:rsidRPr="00E867F6" w:rsidRDefault="009A3F7C" w:rsidP="00776E32">
      <w:pPr>
        <w:pStyle w:val="ListBullet"/>
        <w:contextualSpacing w:val="0"/>
      </w:pPr>
      <w:r w:rsidRPr="00E867F6">
        <w:t xml:space="preserve">Rehabilitation outcomes – Functional Independence Measure </w:t>
      </w:r>
    </w:p>
    <w:p w14:paraId="09515F85" w14:textId="3CF22114" w:rsidR="009A3F7C" w:rsidRPr="00E867F6" w:rsidRDefault="009A3F7C" w:rsidP="00776E32">
      <w:pPr>
        <w:pStyle w:val="ListBullet"/>
        <w:contextualSpacing w:val="0"/>
      </w:pPr>
      <w:r w:rsidRPr="00E867F6">
        <w:t xml:space="preserve">Improvement in </w:t>
      </w:r>
      <w:r w:rsidR="00760432">
        <w:t>m</w:t>
      </w:r>
      <w:r w:rsidR="00760432" w:rsidRPr="00E867F6">
        <w:t xml:space="preserve">ental </w:t>
      </w:r>
      <w:r w:rsidR="00760432">
        <w:t>h</w:t>
      </w:r>
      <w:r w:rsidR="00760432" w:rsidRPr="00E867F6">
        <w:t xml:space="preserve">ealth </w:t>
      </w:r>
      <w:r w:rsidRPr="00E867F6">
        <w:t xml:space="preserve">– </w:t>
      </w:r>
      <w:r w:rsidR="00760432">
        <w:rPr>
          <w:rFonts w:ascii="Arial" w:hAnsi="Arial" w:cs="Arial"/>
          <w:color w:val="222222"/>
          <w:shd w:val="clear" w:color="auto" w:fill="FFFFFF"/>
        </w:rPr>
        <w:t>Health of the Nation Outcome Scales </w:t>
      </w:r>
      <w:r w:rsidR="00760432" w:rsidRPr="00E867F6">
        <w:t xml:space="preserve"> </w:t>
      </w:r>
      <w:r w:rsidR="00760432">
        <w:t>(</w:t>
      </w:r>
      <w:proofErr w:type="spellStart"/>
      <w:r w:rsidRPr="00E867F6">
        <w:t>HoNOS</w:t>
      </w:r>
      <w:proofErr w:type="spellEnd"/>
      <w:r w:rsidR="00760432">
        <w:t>)</w:t>
      </w:r>
      <w:r w:rsidRPr="00E867F6">
        <w:t xml:space="preserve"> </w:t>
      </w:r>
      <w:r w:rsidR="00760432">
        <w:t>s</w:t>
      </w:r>
      <w:r w:rsidR="00760432" w:rsidRPr="00E867F6">
        <w:t xml:space="preserve">core </w:t>
      </w:r>
    </w:p>
    <w:p w14:paraId="11CA1848" w14:textId="2FEBBDD4" w:rsidR="009A3F7C" w:rsidRPr="00E867F6" w:rsidRDefault="009A3F7C" w:rsidP="00776E32">
      <w:pPr>
        <w:pStyle w:val="ListBullet"/>
        <w:contextualSpacing w:val="0"/>
      </w:pPr>
      <w:r w:rsidRPr="00E867F6">
        <w:t xml:space="preserve">Healthy Apgar </w:t>
      </w:r>
      <w:r w:rsidR="00760432">
        <w:t>s</w:t>
      </w:r>
      <w:r w:rsidR="00760432" w:rsidRPr="00E867F6">
        <w:t xml:space="preserve">core </w:t>
      </w:r>
    </w:p>
    <w:p w14:paraId="11124705" w14:textId="14B90070" w:rsidR="009A3F7C" w:rsidRPr="00E867F6" w:rsidRDefault="009A3F7C" w:rsidP="00776E32">
      <w:pPr>
        <w:pStyle w:val="ListBullet"/>
        <w:spacing w:after="240"/>
        <w:contextualSpacing w:val="0"/>
      </w:pPr>
      <w:r w:rsidRPr="00E867F6">
        <w:t xml:space="preserve">Emergency </w:t>
      </w:r>
      <w:r w:rsidR="00760432">
        <w:t>d</w:t>
      </w:r>
      <w:r w:rsidRPr="00E867F6">
        <w:t xml:space="preserve">epartment </w:t>
      </w:r>
      <w:r w:rsidR="00760432">
        <w:t>w</w:t>
      </w:r>
      <w:r w:rsidR="00760432" w:rsidRPr="00E867F6">
        <w:t xml:space="preserve">aiting </w:t>
      </w:r>
      <w:r w:rsidR="00760432">
        <w:t>t</w:t>
      </w:r>
      <w:r w:rsidRPr="00E867F6">
        <w:t xml:space="preserve">imes (where applicable) </w:t>
      </w:r>
    </w:p>
    <w:p w14:paraId="19597F05" w14:textId="77777777" w:rsidR="0043212E" w:rsidRDefault="009A3F7C" w:rsidP="00426565">
      <w:pPr>
        <w:pStyle w:val="Bodytextkeepwithnext"/>
      </w:pPr>
      <w:r w:rsidRPr="00651D64">
        <w:t>Generally, quality and safety information is presented graphically with individual hospital performance compared to a relevant industry benchmark and supported by explanatory text.</w:t>
      </w:r>
      <w:r w:rsidR="00760432" w:rsidRPr="00651D64">
        <w:t xml:space="preserve"> </w:t>
      </w:r>
    </w:p>
    <w:p w14:paraId="08E27211" w14:textId="2CE30114" w:rsidR="00760432" w:rsidRPr="0043212E" w:rsidRDefault="00426565" w:rsidP="0043212E">
      <w:pPr>
        <w:pStyle w:val="Bodytextkeepwithnext"/>
        <w:rPr>
          <w:rFonts w:ascii="Arial" w:hAnsi="Arial"/>
          <w:b/>
        </w:rPr>
      </w:pPr>
      <w:r>
        <w:t>The intended audience</w:t>
      </w:r>
      <w:r w:rsidR="00D41BFC">
        <w:t>s</w:t>
      </w:r>
      <w:r>
        <w:t xml:space="preserve"> </w:t>
      </w:r>
      <w:r w:rsidR="00D41BFC">
        <w:t>of</w:t>
      </w:r>
      <w:r>
        <w:t xml:space="preserve"> these websites generally </w:t>
      </w:r>
      <w:r>
        <w:rPr>
          <w:rFonts w:ascii="Arial" w:hAnsi="Arial"/>
        </w:rPr>
        <w:t>appeared to be p</w:t>
      </w:r>
      <w:r w:rsidRPr="0047344D">
        <w:rPr>
          <w:rFonts w:ascii="Arial" w:hAnsi="Arial"/>
        </w:rPr>
        <w:t>atient</w:t>
      </w:r>
      <w:r>
        <w:rPr>
          <w:rFonts w:ascii="Arial" w:hAnsi="Arial"/>
        </w:rPr>
        <w:t xml:space="preserve">s, consumers and </w:t>
      </w:r>
      <w:r w:rsidR="00D41BFC">
        <w:rPr>
          <w:rFonts w:ascii="Arial" w:hAnsi="Arial"/>
        </w:rPr>
        <w:t xml:space="preserve">the </w:t>
      </w:r>
      <w:r>
        <w:rPr>
          <w:rFonts w:ascii="Arial" w:hAnsi="Arial"/>
        </w:rPr>
        <w:t xml:space="preserve">general public, and for some websites, </w:t>
      </w:r>
      <w:r w:rsidR="00D41BFC">
        <w:rPr>
          <w:rFonts w:ascii="Arial" w:hAnsi="Arial"/>
        </w:rPr>
        <w:t xml:space="preserve">the intended audiences also included </w:t>
      </w:r>
      <w:r w:rsidRPr="00426565">
        <w:rPr>
          <w:rFonts w:ascii="Arial" w:hAnsi="Arial"/>
        </w:rPr>
        <w:t>researchers and clinicians</w:t>
      </w:r>
      <w:r>
        <w:rPr>
          <w:rFonts w:ascii="Arial" w:hAnsi="Arial"/>
        </w:rPr>
        <w:t xml:space="preserve">. </w:t>
      </w:r>
      <w:r w:rsidR="008C5C83">
        <w:rPr>
          <w:rFonts w:cs="Arial"/>
        </w:rPr>
        <w:t xml:space="preserve">The prominence of the available </w:t>
      </w:r>
      <w:r w:rsidR="007255C2">
        <w:rPr>
          <w:rFonts w:cs="Arial"/>
        </w:rPr>
        <w:t>performance reporting</w:t>
      </w:r>
      <w:r w:rsidR="008C5C83">
        <w:rPr>
          <w:rFonts w:cs="Arial"/>
        </w:rPr>
        <w:t xml:space="preserve"> varied</w:t>
      </w:r>
      <w:r w:rsidR="007255C2">
        <w:rPr>
          <w:rFonts w:cs="Arial"/>
        </w:rPr>
        <w:t xml:space="preserve">, with some organisations providing information that was easily available from their homepage while other websites required searching and </w:t>
      </w:r>
      <w:r w:rsidR="00D41BFC">
        <w:rPr>
          <w:rFonts w:cs="Arial"/>
        </w:rPr>
        <w:t>accessing</w:t>
      </w:r>
      <w:r w:rsidR="007255C2">
        <w:rPr>
          <w:rFonts w:cs="Arial"/>
        </w:rPr>
        <w:t xml:space="preserve"> multiple pages to find the relevant information. </w:t>
      </w:r>
    </w:p>
    <w:p w14:paraId="2072568D" w14:textId="53C62863" w:rsidR="00760432" w:rsidRPr="00651D64" w:rsidRDefault="00760432" w:rsidP="00760432">
      <w:pPr>
        <w:pStyle w:val="Caption"/>
        <w:rPr>
          <w:rFonts w:cs="Arial"/>
          <w:i w:val="0"/>
          <w:sz w:val="22"/>
          <w:szCs w:val="22"/>
        </w:rPr>
      </w:pPr>
      <w:r w:rsidRPr="00651D64">
        <w:rPr>
          <w:rFonts w:cs="Arial"/>
          <w:i w:val="0"/>
          <w:sz w:val="22"/>
          <w:szCs w:val="22"/>
        </w:rPr>
        <w:t xml:space="preserve">A summary of the public reporting of safety and quality information reported by private healthcare organisations that was found as part of the search is at Table 3. </w:t>
      </w:r>
    </w:p>
    <w:p w14:paraId="053B3B86" w14:textId="77777777" w:rsidR="009A3F7C" w:rsidRPr="00E867F6" w:rsidRDefault="009A3F7C" w:rsidP="00DE3FB6">
      <w:pPr>
        <w:pStyle w:val="BodyText"/>
      </w:pPr>
    </w:p>
    <w:p w14:paraId="4C6739B4" w14:textId="77777777" w:rsidR="009A3F7C" w:rsidRPr="00E867F6" w:rsidRDefault="009A3F7C" w:rsidP="00DE3FB6">
      <w:pPr>
        <w:pStyle w:val="BodyText"/>
      </w:pPr>
    </w:p>
    <w:p w14:paraId="2F1D86CF" w14:textId="77777777" w:rsidR="009A3F7C" w:rsidRPr="00E867F6" w:rsidRDefault="009A3F7C" w:rsidP="00DE3FB6">
      <w:pPr>
        <w:pStyle w:val="BodyText"/>
      </w:pPr>
    </w:p>
    <w:p w14:paraId="1AC97391" w14:textId="77777777" w:rsidR="009A3F7C" w:rsidRPr="00E867F6" w:rsidRDefault="009A3F7C" w:rsidP="00DE3FB6">
      <w:pPr>
        <w:pStyle w:val="BodyText"/>
        <w:sectPr w:rsidR="009A3F7C" w:rsidRPr="00E867F6" w:rsidSect="00D2773F">
          <w:pgSz w:w="11906" w:h="16838"/>
          <w:pgMar w:top="1440" w:right="1440" w:bottom="1440" w:left="1440" w:header="708" w:footer="708" w:gutter="0"/>
          <w:cols w:space="708"/>
          <w:docGrid w:linePitch="360"/>
        </w:sectPr>
      </w:pPr>
    </w:p>
    <w:p w14:paraId="3D633647" w14:textId="3F09D893" w:rsidR="009A3F7C" w:rsidRPr="00CD2CB7" w:rsidRDefault="009A3F7C" w:rsidP="00F95C6C">
      <w:pPr>
        <w:pStyle w:val="Caption"/>
        <w:rPr>
          <w:b/>
          <w:i w:val="0"/>
          <w:sz w:val="22"/>
          <w:szCs w:val="22"/>
        </w:rPr>
      </w:pPr>
      <w:r w:rsidRPr="00CD2CB7">
        <w:rPr>
          <w:b/>
          <w:i w:val="0"/>
          <w:sz w:val="22"/>
          <w:szCs w:val="22"/>
        </w:rPr>
        <w:lastRenderedPageBreak/>
        <w:t xml:space="preserve">Table </w:t>
      </w:r>
      <w:r w:rsidR="00793D86" w:rsidRPr="00CD2CB7">
        <w:rPr>
          <w:b/>
          <w:i w:val="0"/>
          <w:sz w:val="22"/>
          <w:szCs w:val="22"/>
        </w:rPr>
        <w:fldChar w:fldCharType="begin"/>
      </w:r>
      <w:r w:rsidR="00793D86" w:rsidRPr="00CD2CB7">
        <w:rPr>
          <w:b/>
          <w:i w:val="0"/>
          <w:sz w:val="22"/>
          <w:szCs w:val="22"/>
        </w:rPr>
        <w:instrText xml:space="preserve"> SEQ Table \* ARABIC </w:instrText>
      </w:r>
      <w:r w:rsidR="00793D86" w:rsidRPr="00CD2CB7">
        <w:rPr>
          <w:b/>
          <w:i w:val="0"/>
          <w:sz w:val="22"/>
          <w:szCs w:val="22"/>
        </w:rPr>
        <w:fldChar w:fldCharType="separate"/>
      </w:r>
      <w:r w:rsidR="00F70157">
        <w:rPr>
          <w:b/>
          <w:i w:val="0"/>
          <w:noProof/>
          <w:sz w:val="22"/>
          <w:szCs w:val="22"/>
        </w:rPr>
        <w:t>3</w:t>
      </w:r>
      <w:r w:rsidR="00793D86" w:rsidRPr="00CD2CB7">
        <w:rPr>
          <w:b/>
          <w:i w:val="0"/>
          <w:sz w:val="22"/>
          <w:szCs w:val="22"/>
        </w:rPr>
        <w:fldChar w:fldCharType="end"/>
      </w:r>
      <w:r w:rsidR="00397AFF" w:rsidRPr="00CD2CB7">
        <w:rPr>
          <w:b/>
          <w:i w:val="0"/>
          <w:sz w:val="22"/>
          <w:szCs w:val="22"/>
        </w:rPr>
        <w:t>:</w:t>
      </w:r>
      <w:r w:rsidRPr="00CD2CB7">
        <w:rPr>
          <w:b/>
          <w:i w:val="0"/>
          <w:sz w:val="22"/>
          <w:szCs w:val="22"/>
        </w:rPr>
        <w:t xml:space="preserve"> Summary of public reporting of safety and quality information by private healthcare organisations</w:t>
      </w:r>
    </w:p>
    <w:tbl>
      <w:tblPr>
        <w:tblStyle w:val="LightList-Accent2"/>
        <w:tblW w:w="14142" w:type="dxa"/>
        <w:tblLayout w:type="fixed"/>
        <w:tblLook w:val="04A0" w:firstRow="1" w:lastRow="0" w:firstColumn="1" w:lastColumn="0" w:noHBand="0" w:noVBand="1"/>
      </w:tblPr>
      <w:tblGrid>
        <w:gridCol w:w="2660"/>
        <w:gridCol w:w="6662"/>
        <w:gridCol w:w="4820"/>
      </w:tblGrid>
      <w:tr w:rsidR="009A3F7C" w:rsidRPr="00E867F6" w14:paraId="6C820312" w14:textId="77777777" w:rsidTr="00FA3AE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222608E7" w14:textId="77777777" w:rsidR="009A3F7C" w:rsidRPr="00E867F6" w:rsidRDefault="009A3F7C" w:rsidP="00B10CAC">
            <w:pPr>
              <w:pStyle w:val="Tableheading"/>
            </w:pPr>
            <w:r w:rsidRPr="00E867F6">
              <w:t xml:space="preserve">Organisation </w:t>
            </w:r>
          </w:p>
        </w:tc>
        <w:tc>
          <w:tcPr>
            <w:tcW w:w="6662" w:type="dxa"/>
          </w:tcPr>
          <w:p w14:paraId="283047DB" w14:textId="77777777" w:rsidR="009A3F7C" w:rsidRPr="00E867F6" w:rsidRDefault="009A3F7C" w:rsidP="00B10CAC">
            <w:pPr>
              <w:pStyle w:val="Tableheading"/>
              <w:cnfStyle w:val="100000000000" w:firstRow="1" w:lastRow="0" w:firstColumn="0" w:lastColumn="0" w:oddVBand="0" w:evenVBand="0" w:oddHBand="0" w:evenHBand="0" w:firstRowFirstColumn="0" w:firstRowLastColumn="0" w:lastRowFirstColumn="0" w:lastRowLastColumn="0"/>
            </w:pPr>
            <w:r w:rsidRPr="00E867F6">
              <w:t>Stated purpose for reporting and prominence of information</w:t>
            </w:r>
          </w:p>
        </w:tc>
        <w:tc>
          <w:tcPr>
            <w:tcW w:w="4820" w:type="dxa"/>
          </w:tcPr>
          <w:p w14:paraId="5F417067" w14:textId="2F4CCA9D" w:rsidR="009A3F7C" w:rsidRPr="00E867F6" w:rsidRDefault="009A3F7C" w:rsidP="00492500">
            <w:pPr>
              <w:pStyle w:val="Tableheading"/>
              <w:cnfStyle w:val="100000000000" w:firstRow="1" w:lastRow="0" w:firstColumn="0" w:lastColumn="0" w:oddVBand="0" w:evenVBand="0" w:oddHBand="0" w:evenHBand="0" w:firstRowFirstColumn="0" w:firstRowLastColumn="0" w:lastRowFirstColumn="0" w:lastRowLastColumn="0"/>
            </w:pPr>
            <w:r w:rsidRPr="00E867F6">
              <w:t xml:space="preserve">Indicators </w:t>
            </w:r>
            <w:r w:rsidR="00492500">
              <w:t>r</w:t>
            </w:r>
            <w:r w:rsidR="00492500" w:rsidRPr="00E867F6">
              <w:t>eported</w:t>
            </w:r>
          </w:p>
        </w:tc>
      </w:tr>
      <w:tr w:rsidR="009A3F7C" w:rsidRPr="00E867F6" w14:paraId="5E9252FB"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2BCB9B5" w14:textId="7E4D0AB3" w:rsidR="009A3F7C" w:rsidRPr="00E867F6" w:rsidRDefault="00492500" w:rsidP="00B10CAC">
            <w:pPr>
              <w:pStyle w:val="Tabletext"/>
            </w:pPr>
            <w:r w:rsidRPr="00E867F6">
              <w:t>Ramsay Health Care</w:t>
            </w:r>
          </w:p>
        </w:tc>
        <w:tc>
          <w:tcPr>
            <w:tcW w:w="6662" w:type="dxa"/>
          </w:tcPr>
          <w:p w14:paraId="2D2D2B73" w14:textId="3005AB46" w:rsidR="009A3F7C" w:rsidRPr="00E867F6" w:rsidRDefault="00492500" w:rsidP="00B10CAC">
            <w:pPr>
              <w:pStyle w:val="Tablebullet1"/>
              <w:cnfStyle w:val="000000100000" w:firstRow="0" w:lastRow="0" w:firstColumn="0" w:lastColumn="0" w:oddVBand="0" w:evenVBand="0" w:oddHBand="1" w:evenHBand="0" w:firstRowFirstColumn="0" w:firstRowLastColumn="0" w:lastRowFirstColumn="0" w:lastRowLastColumn="0"/>
            </w:pPr>
            <w:r>
              <w:t xml:space="preserve">States it </w:t>
            </w:r>
            <w:r w:rsidR="009A3F7C" w:rsidRPr="00E867F6">
              <w:t>provide</w:t>
            </w:r>
            <w:r>
              <w:t>s</w:t>
            </w:r>
            <w:r w:rsidR="009A3F7C" w:rsidRPr="00E867F6">
              <w:t xml:space="preserve"> information about its performance, which reflects the quality and safety of its network of 46 hospitals.</w:t>
            </w:r>
          </w:p>
          <w:p w14:paraId="38E89453" w14:textId="5FB5A330" w:rsidR="009A3F7C" w:rsidRPr="00E867F6" w:rsidRDefault="00492500" w:rsidP="00B10CAC">
            <w:pPr>
              <w:pStyle w:val="Tablebullet1"/>
              <w:cnfStyle w:val="000000100000" w:firstRow="0" w:lastRow="0" w:firstColumn="0" w:lastColumn="0" w:oddVBand="0" w:evenVBand="0" w:oddHBand="1" w:evenHBand="0" w:firstRowFirstColumn="0" w:firstRowLastColumn="0" w:lastRowFirstColumn="0" w:lastRowLastColumn="0"/>
            </w:pPr>
            <w:r>
              <w:t>States that o</w:t>
            </w:r>
            <w:r w:rsidR="009A3F7C" w:rsidRPr="00E867F6">
              <w:t>ne part of its program is to maintain and continually improve high standards.</w:t>
            </w:r>
          </w:p>
          <w:p w14:paraId="4D8EFACF"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Patients and clinicians are the primary audience. </w:t>
            </w:r>
          </w:p>
          <w:p w14:paraId="0138BC0F" w14:textId="56425A1A"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Data </w:t>
            </w:r>
            <w:r w:rsidR="00492500">
              <w:t>are</w:t>
            </w:r>
            <w:r w:rsidR="00492500" w:rsidRPr="00E867F6">
              <w:t xml:space="preserve"> </w:t>
            </w:r>
            <w:r w:rsidRPr="00E867F6">
              <w:t xml:space="preserve">prominent to find and displayed in a consumer friendly way. </w:t>
            </w:r>
          </w:p>
          <w:p w14:paraId="78932B4A"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Explanations given as to how it is using the data for improvement. </w:t>
            </w:r>
          </w:p>
          <w:p w14:paraId="40F0BDA8" w14:textId="4C398ADA" w:rsidR="009A3F7C" w:rsidRPr="00E867F6" w:rsidRDefault="009A3F7C" w:rsidP="00492500">
            <w:pPr>
              <w:pStyle w:val="Tablebullet1"/>
              <w:cnfStyle w:val="000000100000" w:firstRow="0" w:lastRow="0" w:firstColumn="0" w:lastColumn="0" w:oddVBand="0" w:evenVBand="0" w:oddHBand="1" w:evenHBand="0" w:firstRowFirstColumn="0" w:firstRowLastColumn="0" w:lastRowFirstColumn="0" w:lastRowLastColumn="0"/>
            </w:pPr>
            <w:r w:rsidRPr="00E867F6">
              <w:t>Provides links to resources for clinicians (</w:t>
            </w:r>
            <w:r w:rsidR="00492500">
              <w:t>for example, h</w:t>
            </w:r>
            <w:r w:rsidR="00492500" w:rsidRPr="00E867F6">
              <w:t xml:space="preserve">and </w:t>
            </w:r>
            <w:r w:rsidRPr="00E867F6">
              <w:t>hygiene interactive video training).</w:t>
            </w:r>
          </w:p>
        </w:tc>
        <w:tc>
          <w:tcPr>
            <w:tcW w:w="4820" w:type="dxa"/>
          </w:tcPr>
          <w:p w14:paraId="6EA89A23"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Accreditation</w:t>
            </w:r>
          </w:p>
          <w:p w14:paraId="552E3530" w14:textId="56909F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Mental </w:t>
            </w:r>
            <w:r w:rsidR="00492500">
              <w:t>h</w:t>
            </w:r>
            <w:r w:rsidR="00492500" w:rsidRPr="00E867F6">
              <w:t>ealth</w:t>
            </w:r>
          </w:p>
          <w:p w14:paraId="68BB51AB"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Rehabilitation outcomes</w:t>
            </w:r>
          </w:p>
          <w:p w14:paraId="75390827"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Infection rates </w:t>
            </w:r>
          </w:p>
          <w:p w14:paraId="27FAA3C0"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SAB</w:t>
            </w:r>
          </w:p>
          <w:p w14:paraId="5568BFA9"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Hand hygiene</w:t>
            </w:r>
          </w:p>
          <w:p w14:paraId="2E8D981A"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Patient falls</w:t>
            </w:r>
          </w:p>
          <w:p w14:paraId="0910F1E5"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Pressure injuries</w:t>
            </w:r>
          </w:p>
          <w:p w14:paraId="6A1C8680"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Blood transfusions</w:t>
            </w:r>
          </w:p>
          <w:p w14:paraId="6360D210" w14:textId="05428302" w:rsidR="009A3F7C" w:rsidRPr="00E867F6" w:rsidRDefault="00492500" w:rsidP="00B10CAC">
            <w:pPr>
              <w:pStyle w:val="Tablebullet1"/>
              <w:cnfStyle w:val="000000100000" w:firstRow="0" w:lastRow="0" w:firstColumn="0" w:lastColumn="0" w:oddVBand="0" w:evenVBand="0" w:oddHBand="1" w:evenHBand="0" w:firstRowFirstColumn="0" w:firstRowLastColumn="0" w:lastRowFirstColumn="0" w:lastRowLastColumn="0"/>
            </w:pPr>
            <w:r>
              <w:t>emergency department</w:t>
            </w:r>
            <w:r w:rsidRPr="00E867F6">
              <w:t xml:space="preserve"> </w:t>
            </w:r>
            <w:r w:rsidR="009A3F7C" w:rsidRPr="00E867F6">
              <w:t>waiting times</w:t>
            </w:r>
          </w:p>
          <w:p w14:paraId="1467896E"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Unplanned overnight stay</w:t>
            </w:r>
          </w:p>
          <w:p w14:paraId="630FFDBA"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Unplanned admissions</w:t>
            </w:r>
          </w:p>
          <w:p w14:paraId="7785AE52"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Unplanned theatre return</w:t>
            </w:r>
          </w:p>
          <w:p w14:paraId="5E7D7341"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Unplanned baby to ICU</w:t>
            </w:r>
          </w:p>
          <w:p w14:paraId="0DBB5B02" w14:textId="3BFDA445"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Baby with </w:t>
            </w:r>
            <w:r w:rsidR="00D27170">
              <w:t>Apgar</w:t>
            </w:r>
            <w:r w:rsidRPr="00E867F6">
              <w:t xml:space="preserve"> score</w:t>
            </w:r>
          </w:p>
          <w:p w14:paraId="679F1FC2"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Length of stay after childbirth</w:t>
            </w:r>
          </w:p>
        </w:tc>
      </w:tr>
      <w:tr w:rsidR="009A3F7C" w:rsidRPr="00E867F6" w14:paraId="5AC8B5D0"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2E864A8A" w14:textId="61B2D622" w:rsidR="009A3F7C" w:rsidRPr="00E867F6" w:rsidRDefault="00492500" w:rsidP="00B10CAC">
            <w:pPr>
              <w:pStyle w:val="Tabletext"/>
            </w:pPr>
            <w:proofErr w:type="spellStart"/>
            <w:r w:rsidRPr="00E867F6">
              <w:t>Healthscope</w:t>
            </w:r>
            <w:proofErr w:type="spellEnd"/>
            <w:r w:rsidRPr="00E867F6">
              <w:t xml:space="preserve"> Limited</w:t>
            </w:r>
          </w:p>
        </w:tc>
        <w:tc>
          <w:tcPr>
            <w:tcW w:w="6662" w:type="dxa"/>
          </w:tcPr>
          <w:p w14:paraId="70E6646D" w14:textId="63A890FB" w:rsidR="009A3F7C" w:rsidRPr="00E867F6" w:rsidRDefault="00492500" w:rsidP="00B10CAC">
            <w:pPr>
              <w:pStyle w:val="Tablebullet1"/>
              <w:cnfStyle w:val="000000000000" w:firstRow="0" w:lastRow="0" w:firstColumn="0" w:lastColumn="0" w:oddVBand="0" w:evenVBand="0" w:oddHBand="0" w:evenHBand="0" w:firstRowFirstColumn="0" w:firstRowLastColumn="0" w:lastRowFirstColumn="0" w:lastRowLastColumn="0"/>
            </w:pPr>
            <w:r>
              <w:t>States it is c</w:t>
            </w:r>
            <w:r w:rsidRPr="00E867F6">
              <w:t xml:space="preserve">ommitted </w:t>
            </w:r>
            <w:r w:rsidR="009A3F7C" w:rsidRPr="00E867F6">
              <w:t xml:space="preserve">to ongoing improvement of patient care in all areas. </w:t>
            </w:r>
          </w:p>
          <w:p w14:paraId="51A790B3"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 xml:space="preserve">States it has an excellent record in delivering quality patient care and managing risks, with continuing focus on improvements. </w:t>
            </w:r>
          </w:p>
          <w:p w14:paraId="2466FA78"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States it has a strong commitment to safety and quality that is reflected in its approach to:</w:t>
            </w:r>
          </w:p>
          <w:p w14:paraId="1DA3A676" w14:textId="1FCC53C7" w:rsidR="009A3F7C" w:rsidRPr="00E867F6" w:rsidRDefault="009A3F7C" w:rsidP="00EC5C34">
            <w:pPr>
              <w:pStyle w:val="Tablebullet2"/>
              <w:numPr>
                <w:ilvl w:val="0"/>
                <w:numId w:val="27"/>
              </w:numPr>
              <w:cnfStyle w:val="000000000000" w:firstRow="0" w:lastRow="0" w:firstColumn="0" w:lastColumn="0" w:oddVBand="0" w:evenVBand="0" w:oddHBand="0" w:evenHBand="0" w:firstRowFirstColumn="0" w:firstRowLastColumn="0" w:lastRowFirstColumn="0" w:lastRowLastColumn="0"/>
              <w:rPr>
                <w:lang w:val="en-AU"/>
              </w:rPr>
            </w:pPr>
            <w:r w:rsidRPr="00E867F6">
              <w:rPr>
                <w:lang w:val="en-AU"/>
              </w:rPr>
              <w:t>Creating safe environments and systems of work for staff</w:t>
            </w:r>
          </w:p>
          <w:p w14:paraId="2A35C0AE" w14:textId="0C27D887" w:rsidR="009A3F7C" w:rsidRPr="00E867F6" w:rsidRDefault="009A3F7C" w:rsidP="00EC5C34">
            <w:pPr>
              <w:pStyle w:val="Tablebullet2"/>
              <w:numPr>
                <w:ilvl w:val="0"/>
                <w:numId w:val="27"/>
              </w:numPr>
              <w:cnfStyle w:val="000000000000" w:firstRow="0" w:lastRow="0" w:firstColumn="0" w:lastColumn="0" w:oddVBand="0" w:evenVBand="0" w:oddHBand="0" w:evenHBand="0" w:firstRowFirstColumn="0" w:firstRowLastColumn="0" w:lastRowFirstColumn="0" w:lastRowLastColumn="0"/>
              <w:rPr>
                <w:lang w:val="en-AU"/>
              </w:rPr>
            </w:pPr>
            <w:r w:rsidRPr="00E867F6">
              <w:rPr>
                <w:lang w:val="en-AU"/>
              </w:rPr>
              <w:t>Reviewing and improving on a continuous basis the performance of patient safety and quality systems</w:t>
            </w:r>
          </w:p>
          <w:p w14:paraId="6B2D9572" w14:textId="2558900E" w:rsidR="009A3F7C" w:rsidRPr="00E867F6" w:rsidRDefault="009A3F7C" w:rsidP="00EC5C34">
            <w:pPr>
              <w:pStyle w:val="Tablebullet2"/>
              <w:numPr>
                <w:ilvl w:val="0"/>
                <w:numId w:val="27"/>
              </w:numPr>
              <w:cnfStyle w:val="000000000000" w:firstRow="0" w:lastRow="0" w:firstColumn="0" w:lastColumn="0" w:oddVBand="0" w:evenVBand="0" w:oddHBand="0" w:evenHBand="0" w:firstRowFirstColumn="0" w:firstRowLastColumn="0" w:lastRowFirstColumn="0" w:lastRowLastColumn="0"/>
              <w:rPr>
                <w:lang w:val="en-AU"/>
              </w:rPr>
            </w:pPr>
            <w:r w:rsidRPr="00E867F6">
              <w:rPr>
                <w:lang w:val="en-AU"/>
              </w:rPr>
              <w:t>Assisting healthcare professionals and Visiting Medical Practitioners to monitor the safety and quality of care they provide</w:t>
            </w:r>
          </w:p>
          <w:p w14:paraId="4ECB2622" w14:textId="1AB5EE05" w:rsidR="009A3F7C" w:rsidRPr="00E867F6" w:rsidRDefault="009A3F7C" w:rsidP="00EC5C34">
            <w:pPr>
              <w:numPr>
                <w:ilvl w:val="0"/>
                <w:numId w:val="27"/>
              </w:numPr>
              <w:spacing w:after="0"/>
              <w:cnfStyle w:val="000000000000" w:firstRow="0" w:lastRow="0" w:firstColumn="0" w:lastColumn="0" w:oddVBand="0" w:evenVBand="0" w:oddHBand="0" w:evenHBand="0" w:firstRowFirstColumn="0" w:firstRowLastColumn="0" w:lastRowFirstColumn="0" w:lastRowLastColumn="0"/>
              <w:rPr>
                <w:rFonts w:cs="Arial"/>
                <w:sz w:val="20"/>
                <w:szCs w:val="20"/>
              </w:rPr>
            </w:pPr>
            <w:r w:rsidRPr="00E867F6">
              <w:rPr>
                <w:rFonts w:cs="Arial"/>
                <w:sz w:val="20"/>
                <w:szCs w:val="20"/>
              </w:rPr>
              <w:t>Ensuring accountability for the safety and quality of care at all levels of our organisation reporting through to the Board of Ramsay Health Care</w:t>
            </w:r>
            <w:r w:rsidR="00492500">
              <w:rPr>
                <w:rFonts w:cs="Arial"/>
                <w:sz w:val="20"/>
                <w:szCs w:val="20"/>
              </w:rPr>
              <w:t>.</w:t>
            </w:r>
          </w:p>
          <w:p w14:paraId="6282B998" w14:textId="5078F9C7" w:rsidR="009A3F7C" w:rsidRPr="00E867F6" w:rsidRDefault="009A3F7C" w:rsidP="00204A25">
            <w:pPr>
              <w:pStyle w:val="Tablebullet1"/>
              <w:cnfStyle w:val="000000000000" w:firstRow="0" w:lastRow="0" w:firstColumn="0" w:lastColumn="0" w:oddVBand="0" w:evenVBand="0" w:oddHBand="0" w:evenHBand="0" w:firstRowFirstColumn="0" w:firstRowLastColumn="0" w:lastRowFirstColumn="0" w:lastRowLastColumn="0"/>
              <w:rPr>
                <w:color w:val="000000" w:themeColor="text1"/>
              </w:rPr>
            </w:pPr>
            <w:r w:rsidRPr="00E867F6">
              <w:lastRenderedPageBreak/>
              <w:t xml:space="preserve">Information is for consumers and clinicians and </w:t>
            </w:r>
            <w:r w:rsidR="00492500">
              <w:t xml:space="preserve">is </w:t>
            </w:r>
            <w:r w:rsidRPr="00E867F6">
              <w:t>prominent.</w:t>
            </w:r>
          </w:p>
        </w:tc>
        <w:tc>
          <w:tcPr>
            <w:tcW w:w="4820" w:type="dxa"/>
          </w:tcPr>
          <w:p w14:paraId="4C16F4DA"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lastRenderedPageBreak/>
              <w:t>Accreditation</w:t>
            </w:r>
          </w:p>
          <w:p w14:paraId="27BC39F8" w14:textId="519B3AFB"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 xml:space="preserve">Mental </w:t>
            </w:r>
            <w:r w:rsidR="00492500">
              <w:t>h</w:t>
            </w:r>
            <w:r w:rsidR="00492500" w:rsidRPr="00E867F6">
              <w:t>ealth</w:t>
            </w:r>
          </w:p>
          <w:p w14:paraId="7B08B2B6"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Rehabilitation outcomes</w:t>
            </w:r>
          </w:p>
          <w:p w14:paraId="17BCE53C"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 xml:space="preserve">Infection rates </w:t>
            </w:r>
          </w:p>
          <w:p w14:paraId="44B2DEAD" w14:textId="77777777" w:rsidR="009A3F7C" w:rsidRPr="00E867F6" w:rsidRDefault="009A3F7C" w:rsidP="00EC5C34">
            <w:pPr>
              <w:pStyle w:val="Tablebullet2"/>
              <w:numPr>
                <w:ilvl w:val="0"/>
                <w:numId w:val="31"/>
              </w:numPr>
              <w:cnfStyle w:val="000000000000" w:firstRow="0" w:lastRow="0" w:firstColumn="0" w:lastColumn="0" w:oddVBand="0" w:evenVBand="0" w:oddHBand="0" w:evenHBand="0" w:firstRowFirstColumn="0" w:firstRowLastColumn="0" w:lastRowFirstColumn="0" w:lastRowLastColumn="0"/>
              <w:rPr>
                <w:lang w:val="en-AU"/>
              </w:rPr>
            </w:pPr>
            <w:r w:rsidRPr="00E867F6">
              <w:rPr>
                <w:lang w:val="en-AU"/>
              </w:rPr>
              <w:t>SAB</w:t>
            </w:r>
          </w:p>
          <w:p w14:paraId="1D156F50" w14:textId="77777777" w:rsidR="009A3F7C" w:rsidRPr="00E867F6" w:rsidRDefault="009A3F7C" w:rsidP="00EC5C34">
            <w:pPr>
              <w:pStyle w:val="Tablebullet2"/>
              <w:numPr>
                <w:ilvl w:val="0"/>
                <w:numId w:val="31"/>
              </w:numPr>
              <w:cnfStyle w:val="000000000000" w:firstRow="0" w:lastRow="0" w:firstColumn="0" w:lastColumn="0" w:oddVBand="0" w:evenVBand="0" w:oddHBand="0" w:evenHBand="0" w:firstRowFirstColumn="0" w:firstRowLastColumn="0" w:lastRowFirstColumn="0" w:lastRowLastColumn="0"/>
              <w:rPr>
                <w:lang w:val="en-AU"/>
              </w:rPr>
            </w:pPr>
            <w:r w:rsidRPr="00E867F6">
              <w:rPr>
                <w:lang w:val="en-AU"/>
              </w:rPr>
              <w:t>CDI</w:t>
            </w:r>
          </w:p>
          <w:p w14:paraId="5A5C0915"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Hand hygiene</w:t>
            </w:r>
          </w:p>
          <w:p w14:paraId="17D54D3D"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Patient falls</w:t>
            </w:r>
          </w:p>
          <w:p w14:paraId="6D00D222"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Pressure injuries</w:t>
            </w:r>
          </w:p>
          <w:p w14:paraId="538A4C4D"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Blood transfusions</w:t>
            </w:r>
          </w:p>
          <w:p w14:paraId="7B9DF9D0"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Medication safety</w:t>
            </w:r>
          </w:p>
          <w:p w14:paraId="7685AA94"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Unplanned admissions</w:t>
            </w:r>
          </w:p>
          <w:p w14:paraId="00EDE016"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Unplanned theatre return</w:t>
            </w:r>
          </w:p>
          <w:p w14:paraId="40BA6A42" w14:textId="439BAB96"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 xml:space="preserve">Baby with </w:t>
            </w:r>
            <w:r w:rsidR="00D27170">
              <w:t>Apgar</w:t>
            </w:r>
            <w:r w:rsidRPr="00E867F6">
              <w:t xml:space="preserve"> score</w:t>
            </w:r>
          </w:p>
          <w:p w14:paraId="4A8B3DA5" w14:textId="77777777" w:rsidR="009A3F7C" w:rsidRPr="00E867F6" w:rsidRDefault="009A3F7C" w:rsidP="006552A1">
            <w:pPr>
              <w:pStyle w:val="ListParagraph"/>
              <w:keepLines w:val="0"/>
              <w:numPr>
                <w:ilvl w:val="0"/>
                <w:numId w:val="17"/>
              </w:numPr>
              <w:spacing w:before="0" w:after="0"/>
              <w:cnfStyle w:val="000000000000" w:firstRow="0" w:lastRow="0" w:firstColumn="0" w:lastColumn="0" w:oddVBand="0" w:evenVBand="0" w:oddHBand="0" w:evenHBand="0" w:firstRowFirstColumn="0" w:firstRowLastColumn="0" w:lastRowFirstColumn="0" w:lastRowLastColumn="0"/>
              <w:rPr>
                <w:sz w:val="20"/>
                <w:szCs w:val="20"/>
              </w:rPr>
            </w:pPr>
            <w:r w:rsidRPr="00E867F6">
              <w:rPr>
                <w:sz w:val="20"/>
                <w:szCs w:val="20"/>
              </w:rPr>
              <w:lastRenderedPageBreak/>
              <w:t>Patient satisfaction</w:t>
            </w:r>
          </w:p>
        </w:tc>
      </w:tr>
      <w:tr w:rsidR="009A3F7C" w:rsidRPr="00E867F6" w14:paraId="4929192B"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0F3C25B" w14:textId="01D05AC5" w:rsidR="009A3F7C" w:rsidRPr="00E867F6" w:rsidRDefault="00492500" w:rsidP="00B10CAC">
            <w:pPr>
              <w:pStyle w:val="Tabletext"/>
            </w:pPr>
            <w:r w:rsidRPr="00E867F6">
              <w:lastRenderedPageBreak/>
              <w:t>St John Of God Health Care</w:t>
            </w:r>
          </w:p>
        </w:tc>
        <w:tc>
          <w:tcPr>
            <w:tcW w:w="6662" w:type="dxa"/>
          </w:tcPr>
          <w:p w14:paraId="0273F614" w14:textId="4B329D7A" w:rsidR="009A3F7C" w:rsidRPr="00E867F6" w:rsidRDefault="00492500" w:rsidP="00492500">
            <w:pPr>
              <w:pStyle w:val="Tablebullet1"/>
              <w:cnfStyle w:val="000000100000" w:firstRow="0" w:lastRow="0" w:firstColumn="0" w:lastColumn="0" w:oddVBand="0" w:evenVBand="0" w:oddHBand="1" w:evenHBand="0" w:firstRowFirstColumn="0" w:firstRowLastColumn="0" w:lastRowFirstColumn="0" w:lastRowLastColumn="0"/>
            </w:pPr>
            <w:r>
              <w:t>States that it a</w:t>
            </w:r>
            <w:r w:rsidR="009A3F7C" w:rsidRPr="00E867F6">
              <w:t xml:space="preserve">ctively benchmarks and shares quality, clinical risk and performance metrics as well as patient satisfaction results, so that consumers can rest assured that they are receiving the best possible care in a safe environment. </w:t>
            </w:r>
          </w:p>
          <w:p w14:paraId="2193FC02" w14:textId="6FD0398B" w:rsidR="00492500" w:rsidRDefault="009A3F7C" w:rsidP="00492500">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Information is for patients and semi-prominent to find. </w:t>
            </w:r>
          </w:p>
          <w:p w14:paraId="35B408A6" w14:textId="058A2014" w:rsidR="009A3F7C" w:rsidRPr="00E867F6" w:rsidRDefault="00492500" w:rsidP="00492500">
            <w:pPr>
              <w:pStyle w:val="Tablebullet1"/>
              <w:cnfStyle w:val="000000100000" w:firstRow="0" w:lastRow="0" w:firstColumn="0" w:lastColumn="0" w:oddVBand="0" w:evenVBand="0" w:oddHBand="1" w:evenHBand="0" w:firstRowFirstColumn="0" w:firstRowLastColumn="0" w:lastRowFirstColumn="0" w:lastRowLastColumn="0"/>
            </w:pPr>
            <w:r>
              <w:t>Relevant information is best found</w:t>
            </w:r>
            <w:r w:rsidRPr="00E867F6">
              <w:t xml:space="preserve"> </w:t>
            </w:r>
            <w:r>
              <w:t>by</w:t>
            </w:r>
            <w:r w:rsidRPr="00E867F6">
              <w:t xml:space="preserve"> </w:t>
            </w:r>
            <w:r w:rsidR="009A3F7C" w:rsidRPr="00E867F6">
              <w:t>search</w:t>
            </w:r>
            <w:r>
              <w:t>ing</w:t>
            </w:r>
            <w:r w:rsidR="009A3F7C" w:rsidRPr="00E867F6">
              <w:t xml:space="preserve"> through homepage.</w:t>
            </w:r>
          </w:p>
        </w:tc>
        <w:tc>
          <w:tcPr>
            <w:tcW w:w="4820" w:type="dxa"/>
          </w:tcPr>
          <w:p w14:paraId="56BCA8AA"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Accreditation</w:t>
            </w:r>
          </w:p>
          <w:p w14:paraId="1E9F62DE"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Infection rates </w:t>
            </w:r>
          </w:p>
          <w:p w14:paraId="63A0A1B5" w14:textId="77777777" w:rsidR="009A3F7C" w:rsidRPr="00E867F6" w:rsidRDefault="009A3F7C" w:rsidP="00EC5C34">
            <w:pPr>
              <w:pStyle w:val="Tablebullet2"/>
              <w:numPr>
                <w:ilvl w:val="0"/>
                <w:numId w:val="32"/>
              </w:numPr>
              <w:cnfStyle w:val="000000100000" w:firstRow="0" w:lastRow="0" w:firstColumn="0" w:lastColumn="0" w:oddVBand="0" w:evenVBand="0" w:oddHBand="1" w:evenHBand="0" w:firstRowFirstColumn="0" w:firstRowLastColumn="0" w:lastRowFirstColumn="0" w:lastRowLastColumn="0"/>
              <w:rPr>
                <w:lang w:val="en-AU"/>
              </w:rPr>
            </w:pPr>
            <w:r w:rsidRPr="00E867F6">
              <w:rPr>
                <w:lang w:val="en-AU"/>
              </w:rPr>
              <w:t>SAB</w:t>
            </w:r>
          </w:p>
          <w:p w14:paraId="24688C66"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Hand hygiene</w:t>
            </w:r>
          </w:p>
          <w:p w14:paraId="59DEF141"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Patient falls</w:t>
            </w:r>
          </w:p>
          <w:p w14:paraId="58DA4066"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Pressure injuries</w:t>
            </w:r>
          </w:p>
          <w:p w14:paraId="47E57793"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Patient satisfaction</w:t>
            </w:r>
          </w:p>
        </w:tc>
      </w:tr>
      <w:tr w:rsidR="009A3F7C" w:rsidRPr="00E867F6" w14:paraId="4C3ED130"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48B76D7F" w14:textId="233FD289" w:rsidR="009A3F7C" w:rsidRPr="00E867F6" w:rsidRDefault="00492500" w:rsidP="00B10CAC">
            <w:pPr>
              <w:pStyle w:val="Tabletext"/>
            </w:pPr>
            <w:proofErr w:type="spellStart"/>
            <w:r w:rsidRPr="00E867F6">
              <w:t>Cura</w:t>
            </w:r>
            <w:proofErr w:type="spellEnd"/>
            <w:r w:rsidRPr="00E867F6">
              <w:t xml:space="preserve"> Day Hospitals Group</w:t>
            </w:r>
          </w:p>
        </w:tc>
        <w:tc>
          <w:tcPr>
            <w:tcW w:w="6662" w:type="dxa"/>
          </w:tcPr>
          <w:p w14:paraId="3FF08A09" w14:textId="77777777" w:rsidR="009A3F7C" w:rsidRPr="00E867F6" w:rsidRDefault="009A3F7C" w:rsidP="006552A1">
            <w:pPr>
              <w:pStyle w:val="ListParagraph"/>
              <w:numPr>
                <w:ilvl w:val="0"/>
                <w:numId w:val="19"/>
              </w:num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E867F6">
              <w:rPr>
                <w:color w:val="000000" w:themeColor="text1"/>
                <w:sz w:val="20"/>
                <w:szCs w:val="20"/>
              </w:rPr>
              <w:t>No information found.</w:t>
            </w:r>
          </w:p>
        </w:tc>
        <w:tc>
          <w:tcPr>
            <w:tcW w:w="4820" w:type="dxa"/>
          </w:tcPr>
          <w:p w14:paraId="09EC6080" w14:textId="01C21945" w:rsidR="009A3F7C" w:rsidRPr="00E867F6" w:rsidRDefault="009A3F7C" w:rsidP="00097BF2">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E867F6">
              <w:rPr>
                <w:rFonts w:cs="Arial"/>
                <w:sz w:val="20"/>
                <w:szCs w:val="20"/>
              </w:rPr>
              <w:t>Reference made to NSQHS</w:t>
            </w:r>
            <w:r w:rsidR="00492500">
              <w:rPr>
                <w:rFonts w:cs="Arial"/>
                <w:sz w:val="20"/>
                <w:szCs w:val="20"/>
              </w:rPr>
              <w:t xml:space="preserve"> Standards</w:t>
            </w:r>
          </w:p>
        </w:tc>
      </w:tr>
      <w:tr w:rsidR="009A3F7C" w:rsidRPr="00E867F6" w14:paraId="20A6E51F"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0EBEB3E" w14:textId="5EEDE999" w:rsidR="009A3F7C" w:rsidRPr="00E867F6" w:rsidRDefault="00492500" w:rsidP="00B10CAC">
            <w:pPr>
              <w:pStyle w:val="Tabletext"/>
            </w:pPr>
            <w:proofErr w:type="spellStart"/>
            <w:r w:rsidRPr="00E867F6">
              <w:t>Healthe</w:t>
            </w:r>
            <w:proofErr w:type="spellEnd"/>
            <w:r w:rsidRPr="00E867F6">
              <w:t xml:space="preserve"> Care</w:t>
            </w:r>
          </w:p>
        </w:tc>
        <w:tc>
          <w:tcPr>
            <w:tcW w:w="6662" w:type="dxa"/>
          </w:tcPr>
          <w:p w14:paraId="15AC63F8" w14:textId="4C5633FF"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States it has a strong commitment to safety and quality, which underpins everything that </w:t>
            </w:r>
            <w:r w:rsidR="00492500">
              <w:t xml:space="preserve">it </w:t>
            </w:r>
            <w:r w:rsidRPr="00E867F6">
              <w:t>do</w:t>
            </w:r>
            <w:r w:rsidR="00492500">
              <w:t>es</w:t>
            </w:r>
            <w:r w:rsidRPr="00E867F6">
              <w:t xml:space="preserve">, creating safe environments and systems of work to support healthcare professionals to provide the safest possible care. </w:t>
            </w:r>
          </w:p>
          <w:p w14:paraId="1183EEA6" w14:textId="224DDA65" w:rsidR="009A3F7C" w:rsidRPr="00E867F6" w:rsidRDefault="00492500" w:rsidP="00B10CAC">
            <w:pPr>
              <w:pStyle w:val="Tablebullet1"/>
              <w:cnfStyle w:val="000000100000" w:firstRow="0" w:lastRow="0" w:firstColumn="0" w:lastColumn="0" w:oddVBand="0" w:evenVBand="0" w:oddHBand="1" w:evenHBand="0" w:firstRowFirstColumn="0" w:firstRowLastColumn="0" w:lastRowFirstColumn="0" w:lastRowLastColumn="0"/>
            </w:pPr>
            <w:r>
              <w:t>States this is a</w:t>
            </w:r>
            <w:r w:rsidRPr="00E867F6">
              <w:t>chieve</w:t>
            </w:r>
            <w:r>
              <w:t>d</w:t>
            </w:r>
            <w:r w:rsidRPr="00E867F6">
              <w:t xml:space="preserve"> </w:t>
            </w:r>
            <w:r w:rsidR="009A3F7C" w:rsidRPr="00E867F6">
              <w:t>through a strong clinical governance framework.</w:t>
            </w:r>
          </w:p>
          <w:p w14:paraId="0D6709B5"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Participates in the Australian Council for Healthcare Standards (ACHS) Clinical Indicators Program. </w:t>
            </w:r>
          </w:p>
          <w:p w14:paraId="44EC2F75" w14:textId="27D7AAD5"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Describes the program and provides measures of the outcomes of patient care</w:t>
            </w:r>
            <w:r w:rsidR="00492500">
              <w:t>:</w:t>
            </w:r>
            <w:r w:rsidRPr="00E867F6">
              <w:t xml:space="preserve"> </w:t>
            </w:r>
            <w:r w:rsidR="00492500">
              <w:t>t</w:t>
            </w:r>
            <w:r w:rsidRPr="00E867F6">
              <w:t>wice yearly (1H (first half) and 2H (second half)), the ACHS provides each hospital with a report on their own indicator set, comparing the rate achieved for each individual indicator with the rate expected for that indicator.</w:t>
            </w:r>
          </w:p>
          <w:p w14:paraId="33E57904"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States that are benchmarked against all public and private hospitals within its general peer groups. </w:t>
            </w:r>
          </w:p>
          <w:p w14:paraId="05605C4F"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Also participates in the Australian Private Hospitals Association’s (APHA) safety and quality indicator collection. The industry benchmark rates in the following graphs are sourced from the ACHS Clinical Indicator reports for audit periods 2H2012, 1H2013, 2H2013 and 1H2014, 2H2014 (latest data available).</w:t>
            </w:r>
          </w:p>
          <w:p w14:paraId="5CC1EB9C"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Information is for clinicians and patients.</w:t>
            </w:r>
          </w:p>
          <w:p w14:paraId="1678A042" w14:textId="76929F55" w:rsidR="009A3F7C" w:rsidRPr="00E867F6" w:rsidRDefault="009A3F7C" w:rsidP="00492500">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Information is not prominent </w:t>
            </w:r>
            <w:r w:rsidR="00492500">
              <w:t>best found by</w:t>
            </w:r>
            <w:r w:rsidRPr="00E867F6">
              <w:t xml:space="preserve"> search</w:t>
            </w:r>
            <w:r w:rsidR="00492500">
              <w:t>ing the webpage</w:t>
            </w:r>
            <w:r w:rsidRPr="00E867F6">
              <w:t xml:space="preserve">. </w:t>
            </w:r>
          </w:p>
        </w:tc>
        <w:tc>
          <w:tcPr>
            <w:tcW w:w="4820" w:type="dxa"/>
          </w:tcPr>
          <w:p w14:paraId="2CA8BCA0"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Accreditation</w:t>
            </w:r>
          </w:p>
          <w:p w14:paraId="605905E3"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Infection rates </w:t>
            </w:r>
          </w:p>
          <w:p w14:paraId="5243C568" w14:textId="77777777" w:rsidR="009A3F7C" w:rsidRPr="00E867F6" w:rsidRDefault="009A3F7C" w:rsidP="00EC5C34">
            <w:pPr>
              <w:pStyle w:val="Tablebullet2"/>
              <w:numPr>
                <w:ilvl w:val="0"/>
                <w:numId w:val="33"/>
              </w:numPr>
              <w:cnfStyle w:val="000000100000" w:firstRow="0" w:lastRow="0" w:firstColumn="0" w:lastColumn="0" w:oddVBand="0" w:evenVBand="0" w:oddHBand="1" w:evenHBand="0" w:firstRowFirstColumn="0" w:firstRowLastColumn="0" w:lastRowFirstColumn="0" w:lastRowLastColumn="0"/>
              <w:rPr>
                <w:lang w:val="en-AU"/>
              </w:rPr>
            </w:pPr>
            <w:r w:rsidRPr="00E867F6">
              <w:rPr>
                <w:lang w:val="en-AU"/>
              </w:rPr>
              <w:t>SAB</w:t>
            </w:r>
          </w:p>
          <w:p w14:paraId="0CF90EDC"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Hand hygiene</w:t>
            </w:r>
          </w:p>
          <w:p w14:paraId="49BBCCDD"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Patient falls</w:t>
            </w:r>
          </w:p>
          <w:p w14:paraId="44AF03F1"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Pressure injuries</w:t>
            </w:r>
          </w:p>
          <w:p w14:paraId="0936FD3C"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Unplanned readmissions</w:t>
            </w:r>
          </w:p>
          <w:p w14:paraId="1D9DA19E"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Unplanned theatre return</w:t>
            </w:r>
          </w:p>
          <w:p w14:paraId="434DF46D"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Medication safety</w:t>
            </w:r>
          </w:p>
        </w:tc>
      </w:tr>
      <w:tr w:rsidR="009A3F7C" w:rsidRPr="00E867F6" w14:paraId="7839D2A2"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3DB0A2D7" w14:textId="4F962D71" w:rsidR="009A3F7C" w:rsidRPr="00E867F6" w:rsidRDefault="00492500" w:rsidP="00B10CAC">
            <w:pPr>
              <w:pStyle w:val="Tabletext"/>
            </w:pPr>
            <w:r w:rsidRPr="00E867F6">
              <w:t xml:space="preserve">Fresenius Medical Care </w:t>
            </w:r>
            <w:r w:rsidRPr="00E867F6">
              <w:lastRenderedPageBreak/>
              <w:t>Australia Pty Ltd</w:t>
            </w:r>
          </w:p>
        </w:tc>
        <w:tc>
          <w:tcPr>
            <w:tcW w:w="6662" w:type="dxa"/>
          </w:tcPr>
          <w:p w14:paraId="3C63DE02" w14:textId="7BE62B49"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lastRenderedPageBreak/>
              <w:t>States that clinics are committed to providing high quality, evidence-</w:t>
            </w:r>
            <w:r w:rsidRPr="00E867F6">
              <w:lastRenderedPageBreak/>
              <w:t xml:space="preserve">based care to patients. To ensure that </w:t>
            </w:r>
            <w:r w:rsidR="00492500">
              <w:t>it is</w:t>
            </w:r>
            <w:r w:rsidR="00492500" w:rsidRPr="00E867F6">
              <w:t xml:space="preserve"> </w:t>
            </w:r>
            <w:r w:rsidRPr="00E867F6">
              <w:t xml:space="preserve">constantly evaluating and improving practise, </w:t>
            </w:r>
            <w:r w:rsidR="00492500">
              <w:t>it</w:t>
            </w:r>
            <w:r w:rsidR="00492500" w:rsidRPr="00E867F6">
              <w:t xml:space="preserve"> </w:t>
            </w:r>
            <w:r w:rsidRPr="00E867F6">
              <w:t>monitor</w:t>
            </w:r>
            <w:r w:rsidR="00492500">
              <w:t>s</w:t>
            </w:r>
            <w:r w:rsidRPr="00E867F6">
              <w:t xml:space="preserve"> standards of care regularly.</w:t>
            </w:r>
          </w:p>
          <w:p w14:paraId="5E48CCA4" w14:textId="6CA2A533"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 xml:space="preserve">One of its key commitments is to maintain an optimum level of </w:t>
            </w:r>
            <w:r w:rsidR="00492500">
              <w:t>h</w:t>
            </w:r>
            <w:r w:rsidRPr="00E867F6">
              <w:t xml:space="preserve">and </w:t>
            </w:r>
            <w:r w:rsidR="00492500">
              <w:t>h</w:t>
            </w:r>
            <w:r w:rsidR="00492500" w:rsidRPr="00E867F6">
              <w:t>ygiene</w:t>
            </w:r>
            <w:r w:rsidRPr="00E867F6">
              <w:t>, which is essential in preventing healthcare associated infections</w:t>
            </w:r>
            <w:r w:rsidR="00492500">
              <w:t xml:space="preserve"> (HAI)</w:t>
            </w:r>
            <w:r w:rsidRPr="00E867F6">
              <w:t xml:space="preserve"> and improving patient safety.</w:t>
            </w:r>
          </w:p>
          <w:p w14:paraId="29DF8838"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Information is for patients and not prominent to find.</w:t>
            </w:r>
          </w:p>
        </w:tc>
        <w:tc>
          <w:tcPr>
            <w:tcW w:w="4820" w:type="dxa"/>
          </w:tcPr>
          <w:p w14:paraId="7F79A19C"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lastRenderedPageBreak/>
              <w:t>Hand hygiene</w:t>
            </w:r>
          </w:p>
        </w:tc>
      </w:tr>
      <w:tr w:rsidR="009A3F7C" w:rsidRPr="00E867F6" w14:paraId="7B0E5BFC"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D527F85" w14:textId="5311B420" w:rsidR="009A3F7C" w:rsidRPr="00E867F6" w:rsidRDefault="00492500" w:rsidP="00B10CAC">
            <w:pPr>
              <w:pStyle w:val="Tabletext"/>
            </w:pPr>
            <w:r w:rsidRPr="00E867F6">
              <w:lastRenderedPageBreak/>
              <w:t>Calvary Health Care</w:t>
            </w:r>
          </w:p>
        </w:tc>
        <w:tc>
          <w:tcPr>
            <w:tcW w:w="6662" w:type="dxa"/>
          </w:tcPr>
          <w:p w14:paraId="40F2F618" w14:textId="36A89162" w:rsidR="009A3F7C" w:rsidRPr="00E867F6" w:rsidRDefault="003B7714" w:rsidP="00B10CAC">
            <w:pPr>
              <w:pStyle w:val="Tablebullet1"/>
              <w:cnfStyle w:val="000000100000" w:firstRow="0" w:lastRow="0" w:firstColumn="0" w:lastColumn="0" w:oddVBand="0" w:evenVBand="0" w:oddHBand="1" w:evenHBand="0" w:firstRowFirstColumn="0" w:firstRowLastColumn="0" w:lastRowFirstColumn="0" w:lastRowLastColumn="0"/>
            </w:pPr>
            <w:r>
              <w:t>States purpose is t</w:t>
            </w:r>
            <w:r w:rsidRPr="00E867F6">
              <w:t xml:space="preserve">o </w:t>
            </w:r>
            <w:r w:rsidR="009A3F7C" w:rsidRPr="00E867F6">
              <w:t>ensure that the communities Calvary serves have access to information about the quality of services provided.</w:t>
            </w:r>
          </w:p>
          <w:p w14:paraId="43D7DC52"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Information is for patients and clinicians.</w:t>
            </w:r>
          </w:p>
          <w:p w14:paraId="4B2C1B51"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Information is semi-prominent to find. </w:t>
            </w:r>
          </w:p>
        </w:tc>
        <w:tc>
          <w:tcPr>
            <w:tcW w:w="4820" w:type="dxa"/>
          </w:tcPr>
          <w:p w14:paraId="7620D0FB"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Accreditation</w:t>
            </w:r>
          </w:p>
          <w:p w14:paraId="63FE363A"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Infection rates </w:t>
            </w:r>
          </w:p>
          <w:p w14:paraId="2A733174" w14:textId="77777777" w:rsidR="009A3F7C" w:rsidRPr="00E867F6" w:rsidRDefault="009A3F7C" w:rsidP="00EC5C34">
            <w:pPr>
              <w:pStyle w:val="Tablebullet2"/>
              <w:numPr>
                <w:ilvl w:val="0"/>
                <w:numId w:val="34"/>
              </w:numPr>
              <w:ind w:left="743"/>
              <w:cnfStyle w:val="000000100000" w:firstRow="0" w:lastRow="0" w:firstColumn="0" w:lastColumn="0" w:oddVBand="0" w:evenVBand="0" w:oddHBand="1" w:evenHBand="0" w:firstRowFirstColumn="0" w:firstRowLastColumn="0" w:lastRowFirstColumn="0" w:lastRowLastColumn="0"/>
              <w:rPr>
                <w:lang w:val="en-AU"/>
              </w:rPr>
            </w:pPr>
            <w:r w:rsidRPr="00E867F6">
              <w:rPr>
                <w:lang w:val="en-AU"/>
              </w:rPr>
              <w:t>SAB</w:t>
            </w:r>
          </w:p>
          <w:p w14:paraId="203CF593"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Hand hygiene</w:t>
            </w:r>
          </w:p>
          <w:p w14:paraId="5DA5D859"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Patient falls</w:t>
            </w:r>
          </w:p>
          <w:p w14:paraId="3E69C744"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Medication safety</w:t>
            </w:r>
          </w:p>
        </w:tc>
      </w:tr>
      <w:tr w:rsidR="009A3F7C" w:rsidRPr="00E867F6" w14:paraId="24E80591"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70EBBC0B" w14:textId="2D1A4D0C" w:rsidR="009A3F7C" w:rsidRPr="00E867F6" w:rsidRDefault="00492500" w:rsidP="00B10CAC">
            <w:pPr>
              <w:pStyle w:val="Tabletext"/>
            </w:pPr>
            <w:r w:rsidRPr="00E867F6">
              <w:t>Marie Stopes International</w:t>
            </w:r>
          </w:p>
        </w:tc>
        <w:tc>
          <w:tcPr>
            <w:tcW w:w="6662" w:type="dxa"/>
          </w:tcPr>
          <w:p w14:paraId="1E99E89C" w14:textId="7BDE402E"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S</w:t>
            </w:r>
            <w:r w:rsidR="003B7714">
              <w:t>tates it s</w:t>
            </w:r>
            <w:r w:rsidRPr="00E867F6">
              <w:t xml:space="preserve">trives to provide the best care for patients. As part of its Quality and Safety program, </w:t>
            </w:r>
            <w:r w:rsidR="003B7714">
              <w:t>it</w:t>
            </w:r>
            <w:r w:rsidR="003B7714" w:rsidRPr="00E867F6">
              <w:t xml:space="preserve"> </w:t>
            </w:r>
            <w:r w:rsidRPr="00E867F6">
              <w:t>continually monitor</w:t>
            </w:r>
            <w:r w:rsidR="003B7714">
              <w:t>s</w:t>
            </w:r>
            <w:r w:rsidRPr="00E867F6">
              <w:t xml:space="preserve"> known complications arising from procedures.</w:t>
            </w:r>
          </w:p>
          <w:p w14:paraId="117D70D5"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rPr>
                <w:color w:val="000000" w:themeColor="text1"/>
              </w:rPr>
            </w:pPr>
            <w:r w:rsidRPr="00E867F6">
              <w:t>Information is not prominent and intended for patients and clinicians.</w:t>
            </w:r>
          </w:p>
        </w:tc>
        <w:tc>
          <w:tcPr>
            <w:tcW w:w="4820" w:type="dxa"/>
          </w:tcPr>
          <w:p w14:paraId="145E4BC9"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Accreditation</w:t>
            </w:r>
          </w:p>
          <w:p w14:paraId="008E1E89"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Patient satisfaction</w:t>
            </w:r>
          </w:p>
          <w:p w14:paraId="6736304E"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Complication rates (compared to international)</w:t>
            </w:r>
          </w:p>
        </w:tc>
      </w:tr>
      <w:tr w:rsidR="009A3F7C" w:rsidRPr="00E867F6" w14:paraId="772E7AF2"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42A59D3" w14:textId="5F7C87E2" w:rsidR="009A3F7C" w:rsidRPr="00E867F6" w:rsidRDefault="00492500" w:rsidP="00B10CAC">
            <w:pPr>
              <w:pStyle w:val="Tabletext"/>
            </w:pPr>
            <w:r w:rsidRPr="00E867F6">
              <w:t>Epworth Foundation</w:t>
            </w:r>
          </w:p>
        </w:tc>
        <w:tc>
          <w:tcPr>
            <w:tcW w:w="6662" w:type="dxa"/>
          </w:tcPr>
          <w:p w14:paraId="17C4DECD" w14:textId="33F04E2B" w:rsidR="009A3F7C" w:rsidRPr="00E867F6" w:rsidRDefault="003B7714" w:rsidP="00B10CAC">
            <w:pPr>
              <w:pStyle w:val="Tablebullet1"/>
              <w:cnfStyle w:val="000000100000" w:firstRow="0" w:lastRow="0" w:firstColumn="0" w:lastColumn="0" w:oddVBand="0" w:evenVBand="0" w:oddHBand="1" w:evenHBand="0" w:firstRowFirstColumn="0" w:firstRowLastColumn="0" w:lastRowFirstColumn="0" w:lastRowLastColumn="0"/>
            </w:pPr>
            <w:r>
              <w:t>States it m</w:t>
            </w:r>
            <w:r w:rsidRPr="00E867F6">
              <w:t xml:space="preserve">easures </w:t>
            </w:r>
            <w:r w:rsidR="009A3F7C" w:rsidRPr="00E867F6">
              <w:t xml:space="preserve">performance against national standards and, where no national standards exist, </w:t>
            </w:r>
            <w:r>
              <w:t>it</w:t>
            </w:r>
            <w:r w:rsidRPr="00E867F6">
              <w:t xml:space="preserve"> </w:t>
            </w:r>
            <w:r w:rsidR="009A3F7C" w:rsidRPr="00E867F6">
              <w:t>set</w:t>
            </w:r>
            <w:r>
              <w:t>s</w:t>
            </w:r>
            <w:r w:rsidR="009A3F7C" w:rsidRPr="00E867F6">
              <w:t xml:space="preserve"> </w:t>
            </w:r>
            <w:r>
              <w:t>its</w:t>
            </w:r>
            <w:r w:rsidRPr="00E867F6">
              <w:t xml:space="preserve"> </w:t>
            </w:r>
            <w:r w:rsidR="009A3F7C" w:rsidRPr="00E867F6">
              <w:t>own (often set higher standards –</w:t>
            </w:r>
            <w:r>
              <w:t xml:space="preserve"> </w:t>
            </w:r>
            <w:r w:rsidR="009A3F7C" w:rsidRPr="00E867F6">
              <w:t>don’t just want to provide good care, want to provide the best care).</w:t>
            </w:r>
          </w:p>
          <w:p w14:paraId="76A42EB8"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Information is for patients and clinicians and semi-prominent to find. </w:t>
            </w:r>
          </w:p>
        </w:tc>
        <w:tc>
          <w:tcPr>
            <w:tcW w:w="4820" w:type="dxa"/>
          </w:tcPr>
          <w:p w14:paraId="13A1374B"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Accreditation</w:t>
            </w:r>
          </w:p>
          <w:p w14:paraId="2AD2E1D5"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Patient satisfaction</w:t>
            </w:r>
          </w:p>
        </w:tc>
      </w:tr>
      <w:tr w:rsidR="009A3F7C" w:rsidRPr="00E867F6" w14:paraId="3205F584"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4D2F9C8F" w14:textId="102E1667" w:rsidR="009A3F7C" w:rsidRPr="00E867F6" w:rsidRDefault="00492500" w:rsidP="00B10CAC">
            <w:pPr>
              <w:pStyle w:val="Tabletext"/>
            </w:pPr>
            <w:r w:rsidRPr="00E867F6">
              <w:t>Pulse Health</w:t>
            </w:r>
          </w:p>
        </w:tc>
        <w:tc>
          <w:tcPr>
            <w:tcW w:w="6662" w:type="dxa"/>
          </w:tcPr>
          <w:p w14:paraId="36960386" w14:textId="77777777" w:rsidR="009A3F7C" w:rsidRPr="003B7714"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3B7714">
              <w:t>No information found.</w:t>
            </w:r>
          </w:p>
        </w:tc>
        <w:tc>
          <w:tcPr>
            <w:tcW w:w="4820" w:type="dxa"/>
          </w:tcPr>
          <w:p w14:paraId="341202E6" w14:textId="77777777" w:rsidR="009A3F7C" w:rsidRPr="00651D64" w:rsidRDefault="009A3F7C" w:rsidP="00B10CAC">
            <w:pPr>
              <w:pStyle w:val="Tabletext"/>
              <w:cnfStyle w:val="000000000000" w:firstRow="0" w:lastRow="0" w:firstColumn="0" w:lastColumn="0" w:oddVBand="0" w:evenVBand="0" w:oddHBand="0" w:evenHBand="0" w:firstRowFirstColumn="0" w:firstRowLastColumn="0" w:lastRowFirstColumn="0" w:lastRowLastColumn="0"/>
              <w:rPr>
                <w:b w:val="0"/>
              </w:rPr>
            </w:pPr>
            <w:r w:rsidRPr="00651D64">
              <w:rPr>
                <w:b w:val="0"/>
              </w:rPr>
              <w:t>n/a</w:t>
            </w:r>
          </w:p>
        </w:tc>
      </w:tr>
      <w:tr w:rsidR="009A3F7C" w:rsidRPr="00E867F6" w14:paraId="24B694B1"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9A89921" w14:textId="449071FF" w:rsidR="009A3F7C" w:rsidRPr="00E867F6" w:rsidRDefault="00492500" w:rsidP="00B10CAC">
            <w:pPr>
              <w:pStyle w:val="Tabletext"/>
            </w:pPr>
            <w:r w:rsidRPr="00E867F6">
              <w:t>St Vincent's Health Australia</w:t>
            </w:r>
          </w:p>
        </w:tc>
        <w:tc>
          <w:tcPr>
            <w:tcW w:w="6662" w:type="dxa"/>
          </w:tcPr>
          <w:p w14:paraId="4407481A" w14:textId="2600BD5D" w:rsidR="009A3F7C" w:rsidRPr="00E867F6" w:rsidRDefault="003B7714" w:rsidP="00B10CAC">
            <w:pPr>
              <w:pStyle w:val="Tablebullet1"/>
              <w:cnfStyle w:val="000000100000" w:firstRow="0" w:lastRow="0" w:firstColumn="0" w:lastColumn="0" w:oddVBand="0" w:evenVBand="0" w:oddHBand="1" w:evenHBand="0" w:firstRowFirstColumn="0" w:firstRowLastColumn="0" w:lastRowFirstColumn="0" w:lastRowLastColumn="0"/>
            </w:pPr>
            <w:r>
              <w:t>States it wa</w:t>
            </w:r>
            <w:r w:rsidR="009A3F7C" w:rsidRPr="00E867F6">
              <w:t xml:space="preserve">nts every person to feel welcome, valued and safe when in its care. Like all Australian health services, </w:t>
            </w:r>
            <w:r>
              <w:t>it</w:t>
            </w:r>
            <w:r w:rsidRPr="00E867F6">
              <w:t xml:space="preserve"> </w:t>
            </w:r>
            <w:r w:rsidR="009A3F7C" w:rsidRPr="00E867F6">
              <w:t>closely monitor</w:t>
            </w:r>
            <w:r>
              <w:t>s</w:t>
            </w:r>
            <w:r w:rsidR="009A3F7C" w:rsidRPr="00E867F6">
              <w:t xml:space="preserve"> performance on a wide range of safety indicators.</w:t>
            </w:r>
          </w:p>
          <w:p w14:paraId="6665E15D"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Information is prominent and for patients and clinicians.</w:t>
            </w:r>
          </w:p>
        </w:tc>
        <w:tc>
          <w:tcPr>
            <w:tcW w:w="4820" w:type="dxa"/>
          </w:tcPr>
          <w:p w14:paraId="6D839768"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Overall rating of care</w:t>
            </w:r>
          </w:p>
          <w:p w14:paraId="6C545CD3"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Patient recommendation</w:t>
            </w:r>
          </w:p>
          <w:p w14:paraId="7B7A0827"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Hand hygiene</w:t>
            </w:r>
          </w:p>
          <w:p w14:paraId="1397C9F7"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Infections</w:t>
            </w:r>
          </w:p>
          <w:p w14:paraId="412BBDB4"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Pressure injuries</w:t>
            </w:r>
          </w:p>
          <w:p w14:paraId="46198C57"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Falls (injury and death)</w:t>
            </w:r>
          </w:p>
          <w:p w14:paraId="5D29B94D"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Medication error</w:t>
            </w:r>
          </w:p>
        </w:tc>
      </w:tr>
      <w:tr w:rsidR="009A3F7C" w:rsidRPr="00E867F6" w14:paraId="26547B38"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0B731C5A" w14:textId="56552059" w:rsidR="009A3F7C" w:rsidRPr="003A671E" w:rsidRDefault="00492500" w:rsidP="00204A25">
            <w:pPr>
              <w:rPr>
                <w:rFonts w:ascii="Arial" w:eastAsiaTheme="minorHAnsi" w:hAnsi="Arial" w:cs="Arial"/>
                <w:b w:val="0"/>
                <w:bCs w:val="0"/>
                <w:sz w:val="20"/>
                <w:szCs w:val="20"/>
                <w:lang w:eastAsia="en-US"/>
              </w:rPr>
            </w:pPr>
            <w:r w:rsidRPr="003A671E">
              <w:rPr>
                <w:rFonts w:ascii="Arial" w:eastAsiaTheme="minorHAnsi" w:hAnsi="Arial" w:cs="Arial"/>
                <w:b w:val="0"/>
                <w:bCs w:val="0"/>
                <w:sz w:val="20"/>
                <w:szCs w:val="20"/>
                <w:lang w:eastAsia="en-US"/>
              </w:rPr>
              <w:t>Icon Cancer Care</w:t>
            </w:r>
          </w:p>
        </w:tc>
        <w:tc>
          <w:tcPr>
            <w:tcW w:w="6662" w:type="dxa"/>
          </w:tcPr>
          <w:p w14:paraId="5A135833"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No information found.</w:t>
            </w:r>
          </w:p>
        </w:tc>
        <w:tc>
          <w:tcPr>
            <w:tcW w:w="4820" w:type="dxa"/>
          </w:tcPr>
          <w:p w14:paraId="332B7C83" w14:textId="5080C3C7" w:rsidR="009A3F7C" w:rsidRPr="00651D64" w:rsidRDefault="009A3F7C" w:rsidP="00B10CAC">
            <w:pPr>
              <w:pStyle w:val="Tabletext"/>
              <w:cnfStyle w:val="000000000000" w:firstRow="0" w:lastRow="0" w:firstColumn="0" w:lastColumn="0" w:oddVBand="0" w:evenVBand="0" w:oddHBand="0" w:evenHBand="0" w:firstRowFirstColumn="0" w:firstRowLastColumn="0" w:lastRowFirstColumn="0" w:lastRowLastColumn="0"/>
              <w:rPr>
                <w:b w:val="0"/>
              </w:rPr>
            </w:pPr>
            <w:r w:rsidRPr="00651D64">
              <w:rPr>
                <w:b w:val="0"/>
              </w:rPr>
              <w:t>Reference made to NSQHS</w:t>
            </w:r>
            <w:r w:rsidR="003B7714">
              <w:rPr>
                <w:b w:val="0"/>
              </w:rPr>
              <w:t xml:space="preserve"> Standards</w:t>
            </w:r>
          </w:p>
        </w:tc>
      </w:tr>
      <w:tr w:rsidR="009A3F7C" w:rsidRPr="00E867F6" w14:paraId="677A94F3"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207CDB7" w14:textId="5A54E0D3" w:rsidR="009A3F7C" w:rsidRPr="003A671E" w:rsidRDefault="00492500" w:rsidP="00204A25">
            <w:pPr>
              <w:rPr>
                <w:rFonts w:ascii="Arial" w:eastAsiaTheme="minorHAnsi" w:hAnsi="Arial" w:cs="Arial"/>
                <w:b w:val="0"/>
                <w:bCs w:val="0"/>
                <w:sz w:val="20"/>
                <w:szCs w:val="20"/>
                <w:lang w:eastAsia="en-US"/>
              </w:rPr>
            </w:pPr>
            <w:r w:rsidRPr="003A671E">
              <w:rPr>
                <w:rFonts w:ascii="Arial" w:eastAsiaTheme="minorHAnsi" w:hAnsi="Arial" w:cs="Arial"/>
                <w:b w:val="0"/>
                <w:bCs w:val="0"/>
                <w:sz w:val="20"/>
                <w:szCs w:val="20"/>
                <w:lang w:eastAsia="en-US"/>
              </w:rPr>
              <w:t xml:space="preserve">Uniting Church In Australia </w:t>
            </w:r>
            <w:r w:rsidRPr="003A671E">
              <w:rPr>
                <w:rFonts w:ascii="Arial" w:eastAsiaTheme="minorHAnsi" w:hAnsi="Arial" w:cs="Arial"/>
                <w:b w:val="0"/>
                <w:bCs w:val="0"/>
                <w:sz w:val="20"/>
                <w:szCs w:val="20"/>
                <w:lang w:eastAsia="en-US"/>
              </w:rPr>
              <w:lastRenderedPageBreak/>
              <w:t>Property Trust (Q)</w:t>
            </w:r>
          </w:p>
        </w:tc>
        <w:tc>
          <w:tcPr>
            <w:tcW w:w="6662" w:type="dxa"/>
          </w:tcPr>
          <w:p w14:paraId="506BAC10" w14:textId="242AD7A8"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lastRenderedPageBreak/>
              <w:t xml:space="preserve">States that </w:t>
            </w:r>
            <w:r w:rsidR="003B7714">
              <w:t>it</w:t>
            </w:r>
            <w:r w:rsidR="003B7714" w:rsidRPr="00E867F6">
              <w:t xml:space="preserve"> </w:t>
            </w:r>
            <w:r w:rsidRPr="00E867F6">
              <w:t>provide</w:t>
            </w:r>
            <w:r w:rsidR="003B7714">
              <w:t>s</w:t>
            </w:r>
            <w:r w:rsidRPr="00E867F6">
              <w:t xml:space="preserve"> information to help </w:t>
            </w:r>
            <w:r w:rsidR="003B7714">
              <w:t>people</w:t>
            </w:r>
            <w:r w:rsidR="003B7714" w:rsidRPr="00E867F6">
              <w:t xml:space="preserve"> </w:t>
            </w:r>
            <w:r w:rsidRPr="00E867F6">
              <w:t xml:space="preserve">make informed </w:t>
            </w:r>
            <w:r w:rsidRPr="00E867F6">
              <w:lastRenderedPageBreak/>
              <w:t xml:space="preserve">decisions about </w:t>
            </w:r>
            <w:r w:rsidR="003B7714">
              <w:t>their</w:t>
            </w:r>
            <w:r w:rsidR="003B7714" w:rsidRPr="00E867F6">
              <w:t xml:space="preserve"> </w:t>
            </w:r>
            <w:r w:rsidRPr="00E867F6">
              <w:t>care by publishing hospitals’ patient safety performance statistics on its websites.</w:t>
            </w:r>
          </w:p>
          <w:p w14:paraId="4DB4BFB2" w14:textId="1AA014FC" w:rsidR="009A3F7C" w:rsidRPr="00E867F6" w:rsidRDefault="003B7714" w:rsidP="00B10CAC">
            <w:pPr>
              <w:pStyle w:val="Tablebullet1"/>
              <w:cnfStyle w:val="000000100000" w:firstRow="0" w:lastRow="0" w:firstColumn="0" w:lastColumn="0" w:oddVBand="0" w:evenVBand="0" w:oddHBand="1" w:evenHBand="0" w:firstRowFirstColumn="0" w:firstRowLastColumn="0" w:lastRowFirstColumn="0" w:lastRowLastColumn="0"/>
            </w:pPr>
            <w:r>
              <w:t>States it i</w:t>
            </w:r>
            <w:r w:rsidR="009A3F7C" w:rsidRPr="00E867F6">
              <w:t>s committed to regularly gathering and monitoring clinical and quality outcome and patient experience data.</w:t>
            </w:r>
          </w:p>
          <w:p w14:paraId="2A2B005C" w14:textId="71023FFB"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Information is not prominent to find and </w:t>
            </w:r>
            <w:r w:rsidR="001D5613">
              <w:t xml:space="preserve">is </w:t>
            </w:r>
            <w:r w:rsidRPr="00E867F6">
              <w:t>designed for patients and clinicians.</w:t>
            </w:r>
          </w:p>
        </w:tc>
        <w:tc>
          <w:tcPr>
            <w:tcW w:w="4820" w:type="dxa"/>
          </w:tcPr>
          <w:p w14:paraId="4EB98417" w14:textId="77777777" w:rsidR="009A3F7C" w:rsidRPr="003B7714"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3B7714">
              <w:lastRenderedPageBreak/>
              <w:t>Hand hygiene</w:t>
            </w:r>
          </w:p>
          <w:p w14:paraId="3E0D48D0" w14:textId="77777777" w:rsidR="009A3F7C" w:rsidRPr="001D5613"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1D5613">
              <w:lastRenderedPageBreak/>
              <w:t>Infections (HAI)</w:t>
            </w:r>
          </w:p>
          <w:p w14:paraId="1EAF20F7" w14:textId="77777777" w:rsidR="009A3F7C" w:rsidRPr="003B7714"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3B7714">
              <w:t>Pressure injuries</w:t>
            </w:r>
          </w:p>
          <w:p w14:paraId="3F906F8F" w14:textId="77777777" w:rsidR="009A3F7C" w:rsidRPr="003B7714"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3B7714">
              <w:t>Falls (injury and death)</w:t>
            </w:r>
          </w:p>
          <w:p w14:paraId="231493E6" w14:textId="0A51CFEE" w:rsidR="009A3F7C" w:rsidRPr="001D5613" w:rsidRDefault="001D5613" w:rsidP="00B10CAC">
            <w:pPr>
              <w:pStyle w:val="Tablebullet1"/>
              <w:cnfStyle w:val="000000100000" w:firstRow="0" w:lastRow="0" w:firstColumn="0" w:lastColumn="0" w:oddVBand="0" w:evenVBand="0" w:oddHBand="1" w:evenHBand="0" w:firstRowFirstColumn="0" w:firstRowLastColumn="0" w:lastRowFirstColumn="0" w:lastRowLastColumn="0"/>
            </w:pPr>
            <w:r>
              <w:t>Emergency department</w:t>
            </w:r>
            <w:r w:rsidRPr="001D5613">
              <w:t xml:space="preserve"> </w:t>
            </w:r>
            <w:r w:rsidR="009A3F7C" w:rsidRPr="001D5613">
              <w:t>waiting time</w:t>
            </w:r>
          </w:p>
        </w:tc>
      </w:tr>
      <w:tr w:rsidR="009A3F7C" w:rsidRPr="00E867F6" w14:paraId="73A78EB1"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64B12988" w14:textId="4C31D364" w:rsidR="009A3F7C" w:rsidRPr="00E867F6" w:rsidRDefault="00492500" w:rsidP="00B10CAC">
            <w:pPr>
              <w:pStyle w:val="Tabletext"/>
            </w:pPr>
            <w:r w:rsidRPr="00E867F6">
              <w:lastRenderedPageBreak/>
              <w:t>Vision Eye Institute</w:t>
            </w:r>
          </w:p>
        </w:tc>
        <w:tc>
          <w:tcPr>
            <w:tcW w:w="6662" w:type="dxa"/>
          </w:tcPr>
          <w:p w14:paraId="7B933EE3"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No information found.</w:t>
            </w:r>
          </w:p>
        </w:tc>
        <w:tc>
          <w:tcPr>
            <w:tcW w:w="4820" w:type="dxa"/>
          </w:tcPr>
          <w:p w14:paraId="5AE08DAA" w14:textId="76E38FCB" w:rsidR="009A3F7C" w:rsidRPr="00651D64" w:rsidRDefault="009A3F7C" w:rsidP="00B10CAC">
            <w:pPr>
              <w:pStyle w:val="Tabletext"/>
              <w:cnfStyle w:val="000000000000" w:firstRow="0" w:lastRow="0" w:firstColumn="0" w:lastColumn="0" w:oddVBand="0" w:evenVBand="0" w:oddHBand="0" w:evenHBand="0" w:firstRowFirstColumn="0" w:firstRowLastColumn="0" w:lastRowFirstColumn="0" w:lastRowLastColumn="0"/>
              <w:rPr>
                <w:b w:val="0"/>
              </w:rPr>
            </w:pPr>
            <w:r w:rsidRPr="00651D64">
              <w:rPr>
                <w:b w:val="0"/>
              </w:rPr>
              <w:t>Reference made to NSQHS</w:t>
            </w:r>
            <w:r w:rsidR="003B7714">
              <w:rPr>
                <w:b w:val="0"/>
              </w:rPr>
              <w:t xml:space="preserve"> Standards</w:t>
            </w:r>
          </w:p>
        </w:tc>
      </w:tr>
      <w:tr w:rsidR="009A3F7C" w:rsidRPr="00E867F6" w14:paraId="2DFA4AB2"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E1A17A1" w14:textId="1EE52BC7" w:rsidR="009A3F7C" w:rsidRPr="00E867F6" w:rsidRDefault="00492500" w:rsidP="00B10CAC">
            <w:pPr>
              <w:pStyle w:val="Tabletext"/>
            </w:pPr>
            <w:r w:rsidRPr="00E867F6">
              <w:t>Independent Private Hospitals Of Australia</w:t>
            </w:r>
          </w:p>
        </w:tc>
        <w:tc>
          <w:tcPr>
            <w:tcW w:w="6662" w:type="dxa"/>
          </w:tcPr>
          <w:p w14:paraId="4A097B17" w14:textId="1D4B3A15" w:rsidR="009A3F7C" w:rsidRPr="00E867F6" w:rsidRDefault="001D5613" w:rsidP="00B10CAC">
            <w:pPr>
              <w:pStyle w:val="Tablebullet1"/>
              <w:cnfStyle w:val="000000100000" w:firstRow="0" w:lastRow="0" w:firstColumn="0" w:lastColumn="0" w:oddVBand="0" w:evenVBand="0" w:oddHBand="1" w:evenHBand="0" w:firstRowFirstColumn="0" w:firstRowLastColumn="0" w:lastRowFirstColumn="0" w:lastRowLastColumn="0"/>
            </w:pPr>
            <w:r>
              <w:t>States that i</w:t>
            </w:r>
            <w:r w:rsidR="009A3F7C" w:rsidRPr="00E867F6">
              <w:t>ts Quality Management Program in</w:t>
            </w:r>
            <w:r w:rsidR="009A3F7C" w:rsidRPr="00E867F6">
              <w:br/>
              <w:t xml:space="preserve">Essendon Private Hospital ensures continual improvement in the quality of </w:t>
            </w:r>
            <w:r>
              <w:t>its</w:t>
            </w:r>
            <w:r w:rsidRPr="00E867F6">
              <w:t xml:space="preserve"> </w:t>
            </w:r>
            <w:r w:rsidR="009A3F7C" w:rsidRPr="00E867F6">
              <w:t xml:space="preserve">processes, products and services by having a fully implemented ISO9001:2008 Quality Management System. This system is audited annually by an accredited third party certification body. </w:t>
            </w:r>
          </w:p>
          <w:p w14:paraId="68C40814" w14:textId="69FFFB49" w:rsidR="009A3F7C" w:rsidRPr="00E867F6" w:rsidRDefault="001D5613" w:rsidP="00B10CAC">
            <w:pPr>
              <w:pStyle w:val="Tablebullet1"/>
              <w:cnfStyle w:val="000000100000" w:firstRow="0" w:lastRow="0" w:firstColumn="0" w:lastColumn="0" w:oddVBand="0" w:evenVBand="0" w:oddHBand="1" w:evenHBand="0" w:firstRowFirstColumn="0" w:firstRowLastColumn="0" w:lastRowFirstColumn="0" w:lastRowLastColumn="0"/>
            </w:pPr>
            <w:r>
              <w:t>States its</w:t>
            </w:r>
            <w:r w:rsidR="009A3F7C" w:rsidRPr="00E867F6">
              <w:t xml:space="preserve"> philosophy of the Quality Management System is to emphasise the reaction to process variance, stakeholder process ownership, the importance of measurement, the role of the customer and the involvement of employees at all levels in the organisation in pursuit of such improvements.</w:t>
            </w:r>
          </w:p>
          <w:p w14:paraId="4376E898" w14:textId="7BE56C74" w:rsidR="009A3F7C" w:rsidRPr="00E867F6" w:rsidRDefault="001D5613" w:rsidP="00B10CAC">
            <w:pPr>
              <w:pStyle w:val="Tablebullet1"/>
              <w:cnfStyle w:val="000000100000" w:firstRow="0" w:lastRow="0" w:firstColumn="0" w:lastColumn="0" w:oddVBand="0" w:evenVBand="0" w:oddHBand="1" w:evenHBand="0" w:firstRowFirstColumn="0" w:firstRowLastColumn="0" w:lastRowFirstColumn="0" w:lastRowLastColumn="0"/>
            </w:pPr>
            <w:r>
              <w:t>States i</w:t>
            </w:r>
            <w:r w:rsidR="009A3F7C" w:rsidRPr="00E867F6">
              <w:t>ts certification also ensures ongoing compliance with The National Safety and Quality in Healthcare (NSQHS)</w:t>
            </w:r>
            <w:r>
              <w:t xml:space="preserve"> </w:t>
            </w:r>
            <w:r w:rsidRPr="00E867F6">
              <w:t>Standards</w:t>
            </w:r>
            <w:r w:rsidR="009A3F7C" w:rsidRPr="00E867F6">
              <w:t>.</w:t>
            </w:r>
          </w:p>
          <w:p w14:paraId="43C5D653" w14:textId="2036E64D"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Information is for patients and not prominent –</w:t>
            </w:r>
            <w:r w:rsidR="003A49AA">
              <w:t xml:space="preserve"> i</w:t>
            </w:r>
            <w:r w:rsidRPr="00E867F6">
              <w:t>ndividual hospital websites need to be searched and only one hospital had information available.</w:t>
            </w:r>
          </w:p>
        </w:tc>
        <w:tc>
          <w:tcPr>
            <w:tcW w:w="4820" w:type="dxa"/>
          </w:tcPr>
          <w:p w14:paraId="17BC1675"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Falls</w:t>
            </w:r>
          </w:p>
          <w:p w14:paraId="25B633FD"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Pressure injuries</w:t>
            </w:r>
          </w:p>
          <w:p w14:paraId="59F52E33"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Hand hygiene</w:t>
            </w:r>
          </w:p>
        </w:tc>
      </w:tr>
      <w:tr w:rsidR="009A3F7C" w:rsidRPr="00E867F6" w14:paraId="16A87559"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76106547" w14:textId="543E8640" w:rsidR="009A3F7C" w:rsidRPr="00E867F6" w:rsidRDefault="00492500" w:rsidP="00B10CAC">
            <w:pPr>
              <w:pStyle w:val="Tabletext"/>
            </w:pPr>
            <w:r w:rsidRPr="00E867F6">
              <w:t>Mercy Health And Aged Care Central Queensland Limited</w:t>
            </w:r>
          </w:p>
        </w:tc>
        <w:tc>
          <w:tcPr>
            <w:tcW w:w="6662" w:type="dxa"/>
          </w:tcPr>
          <w:p w14:paraId="6E0A5418"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No information found.</w:t>
            </w:r>
          </w:p>
        </w:tc>
        <w:tc>
          <w:tcPr>
            <w:tcW w:w="4820" w:type="dxa"/>
          </w:tcPr>
          <w:p w14:paraId="1D490DF0" w14:textId="77777777" w:rsidR="009A3F7C" w:rsidRPr="00FA3AE2" w:rsidRDefault="009A3F7C" w:rsidP="00B10CAC">
            <w:pPr>
              <w:pStyle w:val="Tabletext"/>
              <w:cnfStyle w:val="000000000000" w:firstRow="0" w:lastRow="0" w:firstColumn="0" w:lastColumn="0" w:oddVBand="0" w:evenVBand="0" w:oddHBand="0" w:evenHBand="0" w:firstRowFirstColumn="0" w:firstRowLastColumn="0" w:lastRowFirstColumn="0" w:lastRowLastColumn="0"/>
              <w:rPr>
                <w:b w:val="0"/>
              </w:rPr>
            </w:pPr>
            <w:r w:rsidRPr="00FA3AE2">
              <w:rPr>
                <w:b w:val="0"/>
              </w:rPr>
              <w:t>No</w:t>
            </w:r>
          </w:p>
        </w:tc>
      </w:tr>
      <w:tr w:rsidR="009A3F7C" w:rsidRPr="00E867F6" w14:paraId="5C3BA418"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7AAA3E8" w14:textId="10897571" w:rsidR="009A3F7C" w:rsidRPr="00E867F6" w:rsidRDefault="00492500" w:rsidP="00B10CAC">
            <w:pPr>
              <w:pStyle w:val="Tabletext"/>
            </w:pPr>
            <w:r w:rsidRPr="00E867F6">
              <w:t>Montserrat Day Hospitals</w:t>
            </w:r>
          </w:p>
        </w:tc>
        <w:tc>
          <w:tcPr>
            <w:tcW w:w="6662" w:type="dxa"/>
          </w:tcPr>
          <w:p w14:paraId="485EED8C"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States to ensure compliance with evidence-based standards, an audit program for both clinical and non-clinical practices and processes is in place.</w:t>
            </w:r>
          </w:p>
          <w:p w14:paraId="7CCBEDC5"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Information is for patients and is not prominent to find.</w:t>
            </w:r>
          </w:p>
        </w:tc>
        <w:tc>
          <w:tcPr>
            <w:tcW w:w="4820" w:type="dxa"/>
          </w:tcPr>
          <w:p w14:paraId="366D9D92"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Hand hygiene</w:t>
            </w:r>
          </w:p>
          <w:p w14:paraId="2642BF62"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Infection rates</w:t>
            </w:r>
          </w:p>
          <w:p w14:paraId="69B4E82B"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Patient falls</w:t>
            </w:r>
          </w:p>
        </w:tc>
      </w:tr>
      <w:tr w:rsidR="009A3F7C" w:rsidRPr="00E867F6" w14:paraId="5F0856DC"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77130AD3" w14:textId="1F6C6AA1" w:rsidR="009A3F7C" w:rsidRPr="00E867F6" w:rsidRDefault="00492500" w:rsidP="00B10CAC">
            <w:pPr>
              <w:pStyle w:val="Tabletext"/>
            </w:pPr>
            <w:proofErr w:type="spellStart"/>
            <w:r w:rsidRPr="00E867F6">
              <w:t>Virtus</w:t>
            </w:r>
            <w:proofErr w:type="spellEnd"/>
            <w:r w:rsidRPr="00E867F6">
              <w:t xml:space="preserve"> Health</w:t>
            </w:r>
          </w:p>
        </w:tc>
        <w:tc>
          <w:tcPr>
            <w:tcW w:w="6662" w:type="dxa"/>
          </w:tcPr>
          <w:p w14:paraId="30934640"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rPr>
                <w:szCs w:val="20"/>
              </w:rPr>
            </w:pPr>
            <w:r w:rsidRPr="00E867F6">
              <w:rPr>
                <w:szCs w:val="20"/>
              </w:rPr>
              <w:t>Information is provided t</w:t>
            </w:r>
            <w:r w:rsidRPr="00E867F6">
              <w:rPr>
                <w:color w:val="000000" w:themeColor="text1"/>
                <w:szCs w:val="20"/>
              </w:rPr>
              <w:t>o help patients make an informed decision about their care</w:t>
            </w:r>
            <w:r w:rsidRPr="00E867F6">
              <w:rPr>
                <w:szCs w:val="20"/>
              </w:rPr>
              <w:t>.</w:t>
            </w:r>
          </w:p>
          <w:p w14:paraId="1CFAD9FF" w14:textId="1689AF8D" w:rsidR="009A3F7C" w:rsidRPr="00E867F6" w:rsidRDefault="00BD2A06" w:rsidP="00B10CAC">
            <w:pPr>
              <w:pStyle w:val="Tablebullet1"/>
              <w:cnfStyle w:val="000000000000" w:firstRow="0" w:lastRow="0" w:firstColumn="0" w:lastColumn="0" w:oddVBand="0" w:evenVBand="0" w:oddHBand="0" w:evenHBand="0" w:firstRowFirstColumn="0" w:firstRowLastColumn="0" w:lastRowFirstColumn="0" w:lastRowLastColumn="0"/>
              <w:rPr>
                <w:szCs w:val="20"/>
              </w:rPr>
            </w:pPr>
            <w:r>
              <w:rPr>
                <w:szCs w:val="20"/>
              </w:rPr>
              <w:t>States it is</w:t>
            </w:r>
            <w:r w:rsidR="009A3F7C" w:rsidRPr="00E867F6">
              <w:rPr>
                <w:color w:val="000000" w:themeColor="text1"/>
                <w:szCs w:val="20"/>
              </w:rPr>
              <w:t xml:space="preserve"> committed to sharing information about </w:t>
            </w:r>
            <w:r>
              <w:rPr>
                <w:color w:val="000000" w:themeColor="text1"/>
                <w:szCs w:val="20"/>
              </w:rPr>
              <w:t>its</w:t>
            </w:r>
            <w:r w:rsidRPr="00E867F6">
              <w:rPr>
                <w:color w:val="000000" w:themeColor="text1"/>
                <w:szCs w:val="20"/>
              </w:rPr>
              <w:t xml:space="preserve"> </w:t>
            </w:r>
            <w:r w:rsidR="009A3F7C" w:rsidRPr="00E867F6">
              <w:rPr>
                <w:color w:val="000000" w:themeColor="text1"/>
                <w:szCs w:val="20"/>
              </w:rPr>
              <w:t xml:space="preserve">quality and safety outcomes. These measures were selected because they form </w:t>
            </w:r>
            <w:r w:rsidR="009A3F7C" w:rsidRPr="00E867F6">
              <w:rPr>
                <w:color w:val="000000" w:themeColor="text1"/>
                <w:szCs w:val="20"/>
              </w:rPr>
              <w:lastRenderedPageBreak/>
              <w:t xml:space="preserve">part of a set of key clinical indicators outlined in the </w:t>
            </w:r>
            <w:r>
              <w:rPr>
                <w:color w:val="000000" w:themeColor="text1"/>
                <w:szCs w:val="20"/>
              </w:rPr>
              <w:t xml:space="preserve">NSQHS </w:t>
            </w:r>
            <w:r w:rsidR="009A3F7C" w:rsidRPr="00E867F6">
              <w:rPr>
                <w:color w:val="000000" w:themeColor="text1"/>
                <w:szCs w:val="20"/>
              </w:rPr>
              <w:t>Standards</w:t>
            </w:r>
            <w:proofErr w:type="gramStart"/>
            <w:r>
              <w:rPr>
                <w:color w:val="000000" w:themeColor="text1"/>
                <w:szCs w:val="20"/>
              </w:rPr>
              <w:t>.</w:t>
            </w:r>
            <w:r w:rsidR="009A3F7C" w:rsidRPr="00E867F6">
              <w:rPr>
                <w:color w:val="000000" w:themeColor="text1"/>
                <w:szCs w:val="20"/>
              </w:rPr>
              <w:t>.</w:t>
            </w:r>
            <w:proofErr w:type="gramEnd"/>
          </w:p>
          <w:p w14:paraId="5E89CFD2"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rPr>
                <w:color w:val="000000" w:themeColor="text1"/>
                <w:szCs w:val="20"/>
              </w:rPr>
            </w:pPr>
            <w:r w:rsidRPr="00E867F6">
              <w:rPr>
                <w:szCs w:val="20"/>
              </w:rPr>
              <w:t>Information is for patients and not prominent – required campus level search.</w:t>
            </w:r>
          </w:p>
        </w:tc>
        <w:tc>
          <w:tcPr>
            <w:tcW w:w="4820" w:type="dxa"/>
          </w:tcPr>
          <w:p w14:paraId="67F6905D"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rPr>
                <w:szCs w:val="20"/>
              </w:rPr>
            </w:pPr>
            <w:r w:rsidRPr="00E867F6">
              <w:rPr>
                <w:szCs w:val="20"/>
              </w:rPr>
              <w:lastRenderedPageBreak/>
              <w:t>Hand hygiene</w:t>
            </w:r>
          </w:p>
          <w:p w14:paraId="790D4142"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rPr>
                <w:szCs w:val="20"/>
              </w:rPr>
            </w:pPr>
            <w:r w:rsidRPr="00E867F6">
              <w:rPr>
                <w:szCs w:val="20"/>
              </w:rPr>
              <w:t>Infection rates</w:t>
            </w:r>
          </w:p>
          <w:p w14:paraId="0C8D7C63"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rPr>
                <w:szCs w:val="20"/>
              </w:rPr>
            </w:pPr>
            <w:r w:rsidRPr="00E867F6">
              <w:rPr>
                <w:szCs w:val="20"/>
              </w:rPr>
              <w:t>Patient falls</w:t>
            </w:r>
          </w:p>
          <w:p w14:paraId="2AE99BBC"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rPr>
                <w:szCs w:val="20"/>
              </w:rPr>
            </w:pPr>
            <w:r w:rsidRPr="00E867F6">
              <w:rPr>
                <w:szCs w:val="20"/>
              </w:rPr>
              <w:t>Pressure injuries</w:t>
            </w:r>
          </w:p>
        </w:tc>
      </w:tr>
      <w:tr w:rsidR="009A3F7C" w:rsidRPr="00651D64" w14:paraId="26B63EC3"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DF90E69" w14:textId="3C202C93" w:rsidR="009A3F7C" w:rsidRPr="00651D64" w:rsidRDefault="00492500" w:rsidP="00B10CAC">
            <w:pPr>
              <w:pStyle w:val="Tabletext"/>
            </w:pPr>
            <w:r w:rsidRPr="00651D64">
              <w:lastRenderedPageBreak/>
              <w:t>Affinity Group Ltd</w:t>
            </w:r>
          </w:p>
        </w:tc>
        <w:tc>
          <w:tcPr>
            <w:tcW w:w="6662" w:type="dxa"/>
          </w:tcPr>
          <w:p w14:paraId="36AABFD7" w14:textId="77777777" w:rsidR="009A3F7C" w:rsidRPr="00651D64" w:rsidRDefault="009A3F7C" w:rsidP="00B10CAC">
            <w:pPr>
              <w:pStyle w:val="Tabletext"/>
              <w:cnfStyle w:val="000000100000" w:firstRow="0" w:lastRow="0" w:firstColumn="0" w:lastColumn="0" w:oddVBand="0" w:evenVBand="0" w:oddHBand="1" w:evenHBand="0" w:firstRowFirstColumn="0" w:firstRowLastColumn="0" w:lastRowFirstColumn="0" w:lastRowLastColumn="0"/>
              <w:rPr>
                <w:b w:val="0"/>
              </w:rPr>
            </w:pPr>
            <w:r w:rsidRPr="00651D64">
              <w:rPr>
                <w:b w:val="0"/>
              </w:rPr>
              <w:t>n/a</w:t>
            </w:r>
          </w:p>
        </w:tc>
        <w:tc>
          <w:tcPr>
            <w:tcW w:w="4820" w:type="dxa"/>
          </w:tcPr>
          <w:p w14:paraId="4F8E71F2" w14:textId="77777777" w:rsidR="009A3F7C" w:rsidRPr="00651D64" w:rsidRDefault="009A3F7C" w:rsidP="00B10CAC">
            <w:pPr>
              <w:pStyle w:val="Tabletext"/>
              <w:cnfStyle w:val="000000100000" w:firstRow="0" w:lastRow="0" w:firstColumn="0" w:lastColumn="0" w:oddVBand="0" w:evenVBand="0" w:oddHBand="1" w:evenHBand="0" w:firstRowFirstColumn="0" w:firstRowLastColumn="0" w:lastRowFirstColumn="0" w:lastRowLastColumn="0"/>
              <w:rPr>
                <w:b w:val="0"/>
              </w:rPr>
            </w:pPr>
            <w:r w:rsidRPr="00651D64">
              <w:rPr>
                <w:b w:val="0"/>
              </w:rPr>
              <w:t>n/a</w:t>
            </w:r>
          </w:p>
        </w:tc>
      </w:tr>
      <w:tr w:rsidR="009A3F7C" w:rsidRPr="00E867F6" w14:paraId="579223CB"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38927D42" w14:textId="0B11CBA4" w:rsidR="009A3F7C" w:rsidRPr="00E867F6" w:rsidRDefault="00492500" w:rsidP="00B10CAC">
            <w:pPr>
              <w:pStyle w:val="Tabletext"/>
            </w:pPr>
            <w:r w:rsidRPr="00E867F6">
              <w:t>Cabrini Health Limited</w:t>
            </w:r>
          </w:p>
        </w:tc>
        <w:tc>
          <w:tcPr>
            <w:tcW w:w="6662" w:type="dxa"/>
          </w:tcPr>
          <w:p w14:paraId="66DC0C37" w14:textId="54B93083" w:rsidR="009A3F7C" w:rsidRPr="00E867F6" w:rsidRDefault="00BD2A06" w:rsidP="00B10CAC">
            <w:pPr>
              <w:pStyle w:val="Tablebullet1"/>
              <w:cnfStyle w:val="000000000000" w:firstRow="0" w:lastRow="0" w:firstColumn="0" w:lastColumn="0" w:oddVBand="0" w:evenVBand="0" w:oddHBand="0" w:evenHBand="0" w:firstRowFirstColumn="0" w:firstRowLastColumn="0" w:lastRowFirstColumn="0" w:lastRowLastColumn="0"/>
            </w:pPr>
            <w:r>
              <w:t xml:space="preserve">States that </w:t>
            </w:r>
            <w:r w:rsidR="00651D64">
              <w:t>q</w:t>
            </w:r>
            <w:r w:rsidR="00651D64" w:rsidRPr="00E867F6">
              <w:t>uality</w:t>
            </w:r>
            <w:r w:rsidRPr="00E867F6">
              <w:t xml:space="preserve"> </w:t>
            </w:r>
            <w:r w:rsidR="009A3F7C" w:rsidRPr="00E867F6">
              <w:t xml:space="preserve">and safety is paramount at Cabrini. A culture of quality improvement requires strong governance. </w:t>
            </w:r>
          </w:p>
          <w:p w14:paraId="22CD7F83" w14:textId="66F1BBC8"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 xml:space="preserve">Cabrini’s clinical governance structure includes </w:t>
            </w:r>
            <w:r w:rsidR="00BD2A06">
              <w:t xml:space="preserve">its </w:t>
            </w:r>
            <w:r w:rsidRPr="00E867F6">
              <w:t xml:space="preserve">Patient Experience and Clinical Governance Board Committee and a range of risk committees. Its planned approach is continuous quality improvement, involving reviewing and improving each stage of the patient journey and includes audit, feedback, service redesign activities and innovation. </w:t>
            </w:r>
          </w:p>
          <w:p w14:paraId="40A17CC9" w14:textId="62BDD294" w:rsidR="009A3F7C" w:rsidRPr="00E867F6" w:rsidRDefault="00BD2A06" w:rsidP="00B10CAC">
            <w:pPr>
              <w:pStyle w:val="Tablebullet1"/>
              <w:cnfStyle w:val="000000000000" w:firstRow="0" w:lastRow="0" w:firstColumn="0" w:lastColumn="0" w:oddVBand="0" w:evenVBand="0" w:oddHBand="0" w:evenHBand="0" w:firstRowFirstColumn="0" w:firstRowLastColumn="0" w:lastRowFirstColumn="0" w:lastRowLastColumn="0"/>
            </w:pPr>
            <w:r>
              <w:t>States that q</w:t>
            </w:r>
            <w:r w:rsidR="009A3F7C" w:rsidRPr="00E867F6">
              <w:t xml:space="preserve">uality improvement approach ensures ongoing development of strategies and measures to enhance safety for patients and </w:t>
            </w:r>
            <w:proofErr w:type="gramStart"/>
            <w:r w:rsidR="009A3F7C" w:rsidRPr="00E867F6">
              <w:t>residents,</w:t>
            </w:r>
            <w:proofErr w:type="gramEnd"/>
            <w:r w:rsidR="009A3F7C" w:rsidRPr="00E867F6">
              <w:t xml:space="preserve"> minimise risk and optimise service quality.</w:t>
            </w:r>
          </w:p>
          <w:p w14:paraId="0E3D0DB4"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Information is for patients and clinicians and prominent to find.</w:t>
            </w:r>
          </w:p>
        </w:tc>
        <w:tc>
          <w:tcPr>
            <w:tcW w:w="4820" w:type="dxa"/>
          </w:tcPr>
          <w:p w14:paraId="57436E55"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Pressure injuries</w:t>
            </w:r>
          </w:p>
          <w:p w14:paraId="50EC98B5"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Falls</w:t>
            </w:r>
          </w:p>
          <w:p w14:paraId="1FAB2BD3"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Blood transfusion</w:t>
            </w:r>
          </w:p>
          <w:p w14:paraId="04BD0FDA"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Infection control</w:t>
            </w:r>
          </w:p>
          <w:p w14:paraId="6415DBA2"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SAB</w:t>
            </w:r>
          </w:p>
          <w:p w14:paraId="3597D3F5"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Unplanned admission ICU</w:t>
            </w:r>
          </w:p>
          <w:p w14:paraId="1CAB2C62"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Medication safety</w:t>
            </w:r>
          </w:p>
          <w:p w14:paraId="6DD25EED"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 patients with multi-disciplinary discharge plan following rehabilitation</w:t>
            </w:r>
          </w:p>
          <w:p w14:paraId="3A909432"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Rehabilitation PROMs</w:t>
            </w:r>
          </w:p>
        </w:tc>
      </w:tr>
      <w:tr w:rsidR="009A3F7C" w:rsidRPr="00E867F6" w14:paraId="31D910E4"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C741696" w14:textId="496E1396" w:rsidR="009A3F7C" w:rsidRPr="00E867F6" w:rsidRDefault="00492500" w:rsidP="00B10CAC">
            <w:pPr>
              <w:pStyle w:val="Tabletext"/>
            </w:pPr>
            <w:proofErr w:type="spellStart"/>
            <w:r w:rsidRPr="00E867F6">
              <w:t>Diaverum</w:t>
            </w:r>
            <w:proofErr w:type="spellEnd"/>
            <w:r w:rsidRPr="00E867F6">
              <w:t xml:space="preserve"> Pty Ltd</w:t>
            </w:r>
          </w:p>
        </w:tc>
        <w:tc>
          <w:tcPr>
            <w:tcW w:w="6662" w:type="dxa"/>
          </w:tcPr>
          <w:p w14:paraId="2C934B4A"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No information found.</w:t>
            </w:r>
          </w:p>
        </w:tc>
        <w:tc>
          <w:tcPr>
            <w:tcW w:w="4820" w:type="dxa"/>
          </w:tcPr>
          <w:p w14:paraId="29BC24B6" w14:textId="77777777" w:rsidR="009A3F7C" w:rsidRPr="00E867F6" w:rsidRDefault="009A3F7C" w:rsidP="00B10CAC">
            <w:pPr>
              <w:pStyle w:val="Tabletext"/>
              <w:cnfStyle w:val="000000100000" w:firstRow="0" w:lastRow="0" w:firstColumn="0" w:lastColumn="0" w:oddVBand="0" w:evenVBand="0" w:oddHBand="1" w:evenHBand="0" w:firstRowFirstColumn="0" w:firstRowLastColumn="0" w:lastRowFirstColumn="0" w:lastRowLastColumn="0"/>
            </w:pPr>
            <w:r w:rsidRPr="00E867F6">
              <w:t>n/a</w:t>
            </w:r>
          </w:p>
        </w:tc>
      </w:tr>
      <w:tr w:rsidR="009A3F7C" w:rsidRPr="00E867F6" w14:paraId="7E3938B0"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6F69CC33" w14:textId="4C14D1FC" w:rsidR="009A3F7C" w:rsidRPr="00E867F6" w:rsidRDefault="00492500" w:rsidP="00B10CAC">
            <w:pPr>
              <w:pStyle w:val="Tabletext"/>
            </w:pPr>
            <w:r w:rsidRPr="00E867F6">
              <w:t>Evolution Healthcare</w:t>
            </w:r>
          </w:p>
        </w:tc>
        <w:tc>
          <w:tcPr>
            <w:tcW w:w="6662" w:type="dxa"/>
          </w:tcPr>
          <w:p w14:paraId="48CBA468" w14:textId="27445953" w:rsidR="009A3F7C" w:rsidRPr="00E867F6" w:rsidRDefault="00BD2A06" w:rsidP="00B10CAC">
            <w:pPr>
              <w:pStyle w:val="Tablebullet1"/>
              <w:cnfStyle w:val="000000000000" w:firstRow="0" w:lastRow="0" w:firstColumn="0" w:lastColumn="0" w:oddVBand="0" w:evenVBand="0" w:oddHBand="0" w:evenHBand="0" w:firstRowFirstColumn="0" w:firstRowLastColumn="0" w:lastRowFirstColumn="0" w:lastRowLastColumn="0"/>
            </w:pPr>
            <w:r>
              <w:t xml:space="preserve">States that </w:t>
            </w:r>
            <w:r w:rsidR="009A3F7C" w:rsidRPr="00E867F6">
              <w:t xml:space="preserve">Waratah Private Hospital is committed to continuous quality improvement to ensure the safe and effective delivery of care and services to </w:t>
            </w:r>
            <w:r>
              <w:t>its</w:t>
            </w:r>
            <w:r w:rsidRPr="00E867F6">
              <w:t xml:space="preserve"> </w:t>
            </w:r>
            <w:r w:rsidR="009A3F7C" w:rsidRPr="00E867F6">
              <w:t>patients.</w:t>
            </w:r>
          </w:p>
          <w:p w14:paraId="476F0891"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States it assesses its level of performance for a range of patient quality and safety indicators in relation to established national and industry standards</w:t>
            </w:r>
            <w:r w:rsidRPr="00E867F6">
              <w:rPr>
                <w:sz w:val="18"/>
              </w:rPr>
              <w:t>.</w:t>
            </w:r>
          </w:p>
          <w:p w14:paraId="09A873E7"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Information is for patients and not prominent to find – campus level search required.</w:t>
            </w:r>
          </w:p>
        </w:tc>
        <w:tc>
          <w:tcPr>
            <w:tcW w:w="4820" w:type="dxa"/>
          </w:tcPr>
          <w:p w14:paraId="1E731480"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Pressure injuries</w:t>
            </w:r>
          </w:p>
          <w:p w14:paraId="3FE63317"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Falls</w:t>
            </w:r>
          </w:p>
          <w:p w14:paraId="7D42C2DB"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Blood transfusion</w:t>
            </w:r>
          </w:p>
          <w:p w14:paraId="053A5308"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Infection control</w:t>
            </w:r>
          </w:p>
          <w:p w14:paraId="29901CF8"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SAB</w:t>
            </w:r>
          </w:p>
          <w:p w14:paraId="18B41F60"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Unplanned theatre return</w:t>
            </w:r>
          </w:p>
          <w:p w14:paraId="51247214"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Patient satisfaction</w:t>
            </w:r>
          </w:p>
        </w:tc>
      </w:tr>
      <w:tr w:rsidR="009A3F7C" w:rsidRPr="00E867F6" w14:paraId="453BC8EF"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440A674" w14:textId="09384C3A" w:rsidR="009A3F7C" w:rsidRPr="00E867F6" w:rsidRDefault="00492500" w:rsidP="00B10CAC">
            <w:pPr>
              <w:pStyle w:val="Tabletext"/>
            </w:pPr>
            <w:r w:rsidRPr="00E867F6">
              <w:t xml:space="preserve">Mater </w:t>
            </w:r>
            <w:proofErr w:type="spellStart"/>
            <w:r w:rsidRPr="00E867F6">
              <w:t>Misericordiae</w:t>
            </w:r>
            <w:proofErr w:type="spellEnd"/>
            <w:r w:rsidRPr="00E867F6">
              <w:t xml:space="preserve"> Ltd</w:t>
            </w:r>
          </w:p>
        </w:tc>
        <w:tc>
          <w:tcPr>
            <w:tcW w:w="6662" w:type="dxa"/>
          </w:tcPr>
          <w:p w14:paraId="6F3EAD58"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rPr>
                <w:color w:val="000000" w:themeColor="text1"/>
              </w:rPr>
            </w:pPr>
            <w:r w:rsidRPr="00E867F6">
              <w:t xml:space="preserve">Has a </w:t>
            </w:r>
            <w:proofErr w:type="spellStart"/>
            <w:r w:rsidRPr="00E867F6">
              <w:rPr>
                <w:color w:val="000000" w:themeColor="text1"/>
              </w:rPr>
              <w:t>SafeQuest</w:t>
            </w:r>
            <w:proofErr w:type="spellEnd"/>
            <w:r w:rsidRPr="00E867F6">
              <w:t xml:space="preserve"> portal for data.</w:t>
            </w:r>
          </w:p>
          <w:p w14:paraId="528CF6E3"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rPr>
                <w:color w:val="000000" w:themeColor="text1"/>
              </w:rPr>
            </w:pPr>
            <w:r w:rsidRPr="00E867F6">
              <w:rPr>
                <w:color w:val="000000" w:themeColor="text1"/>
              </w:rPr>
              <w:t>States it is fortunate to have an excellent safety record for staff, patients and visitors.</w:t>
            </w:r>
          </w:p>
          <w:p w14:paraId="04E84E4A" w14:textId="72AD404A" w:rsidR="009A3F7C" w:rsidRPr="00E867F6" w:rsidRDefault="00BD2A06" w:rsidP="00B10CAC">
            <w:pPr>
              <w:pStyle w:val="Tablebullet1"/>
              <w:cnfStyle w:val="000000100000" w:firstRow="0" w:lastRow="0" w:firstColumn="0" w:lastColumn="0" w:oddVBand="0" w:evenVBand="0" w:oddHBand="1" w:evenHBand="0" w:firstRowFirstColumn="0" w:firstRowLastColumn="0" w:lastRowFirstColumn="0" w:lastRowLastColumn="0"/>
              <w:rPr>
                <w:rFonts w:ascii="Verdana" w:hAnsi="Verdana" w:cs="Helvetica"/>
              </w:rPr>
            </w:pPr>
            <w:r>
              <w:t xml:space="preserve">States it is </w:t>
            </w:r>
            <w:r w:rsidR="00651D64">
              <w:t>c</w:t>
            </w:r>
            <w:r w:rsidR="009A3F7C" w:rsidRPr="00E867F6">
              <w:t>ommitted to exceptional care, and has</w:t>
            </w:r>
            <w:r w:rsidR="009A3F7C" w:rsidRPr="00E867F6">
              <w:rPr>
                <w:color w:val="000000" w:themeColor="text1"/>
              </w:rPr>
              <w:t xml:space="preserve"> commenced an organisational-wi</w:t>
            </w:r>
            <w:r w:rsidR="009A3F7C" w:rsidRPr="00E867F6">
              <w:t xml:space="preserve">de program to change the way they </w:t>
            </w:r>
            <w:r w:rsidR="009A3F7C" w:rsidRPr="00E867F6">
              <w:rPr>
                <w:color w:val="000000" w:themeColor="text1"/>
              </w:rPr>
              <w:t xml:space="preserve">approach safety in health care. </w:t>
            </w:r>
          </w:p>
          <w:p w14:paraId="5F102EF8"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rPr>
                <w:rFonts w:ascii="Verdana" w:hAnsi="Verdana" w:cs="Helvetica"/>
                <w:color w:val="000000" w:themeColor="text1"/>
              </w:rPr>
            </w:pPr>
            <w:r w:rsidRPr="00E867F6">
              <w:t>Information is located on a portal – prominent to find and designed for patients, clinicians and researcher.</w:t>
            </w:r>
          </w:p>
        </w:tc>
        <w:tc>
          <w:tcPr>
            <w:tcW w:w="4820" w:type="dxa"/>
          </w:tcPr>
          <w:p w14:paraId="0AE6C1E1"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Accreditation</w:t>
            </w:r>
          </w:p>
          <w:p w14:paraId="51A889C9" w14:textId="570840DD"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Emergency </w:t>
            </w:r>
            <w:r w:rsidR="00BD2A06">
              <w:t>c</w:t>
            </w:r>
            <w:r w:rsidR="00BD2A06" w:rsidRPr="00E867F6">
              <w:t>are</w:t>
            </w:r>
          </w:p>
          <w:p w14:paraId="49BAD4F0"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Falls prevention</w:t>
            </w:r>
          </w:p>
          <w:p w14:paraId="1F87CAC3"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Infection control </w:t>
            </w:r>
          </w:p>
          <w:p w14:paraId="377A70EF"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Medication safety</w:t>
            </w:r>
          </w:p>
          <w:p w14:paraId="6F4B4F59"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Pressure injury safety</w:t>
            </w:r>
          </w:p>
          <w:p w14:paraId="372FF0F5"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Rehabilitation</w:t>
            </w:r>
          </w:p>
        </w:tc>
      </w:tr>
      <w:tr w:rsidR="009A3F7C" w:rsidRPr="00E867F6" w14:paraId="438E82E5"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2198622D" w14:textId="20D8037B" w:rsidR="009A3F7C" w:rsidRPr="00E867F6" w:rsidRDefault="00492500" w:rsidP="00B10CAC">
            <w:pPr>
              <w:pStyle w:val="Tabletext"/>
            </w:pPr>
            <w:r w:rsidRPr="00E867F6">
              <w:lastRenderedPageBreak/>
              <w:t>Melbourne Endoscopy Group</w:t>
            </w:r>
          </w:p>
        </w:tc>
        <w:tc>
          <w:tcPr>
            <w:tcW w:w="6662" w:type="dxa"/>
          </w:tcPr>
          <w:p w14:paraId="6DFB1AA8"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No information found.</w:t>
            </w:r>
          </w:p>
        </w:tc>
        <w:tc>
          <w:tcPr>
            <w:tcW w:w="4820" w:type="dxa"/>
          </w:tcPr>
          <w:p w14:paraId="553A95B7" w14:textId="11495A47" w:rsidR="009A3F7C" w:rsidRPr="00651D64" w:rsidRDefault="009A3F7C" w:rsidP="00651D64">
            <w:pPr>
              <w:pStyle w:val="Tabletext"/>
              <w:cnfStyle w:val="000000000000" w:firstRow="0" w:lastRow="0" w:firstColumn="0" w:lastColumn="0" w:oddVBand="0" w:evenVBand="0" w:oddHBand="0" w:evenHBand="0" w:firstRowFirstColumn="0" w:firstRowLastColumn="0" w:lastRowFirstColumn="0" w:lastRowLastColumn="0"/>
              <w:rPr>
                <w:b w:val="0"/>
              </w:rPr>
            </w:pPr>
            <w:r w:rsidRPr="00651D64">
              <w:rPr>
                <w:b w:val="0"/>
              </w:rPr>
              <w:t>Reference made to NSQHS</w:t>
            </w:r>
            <w:r w:rsidR="00651D64">
              <w:rPr>
                <w:b w:val="0"/>
              </w:rPr>
              <w:t xml:space="preserve"> Standards</w:t>
            </w:r>
          </w:p>
        </w:tc>
      </w:tr>
      <w:tr w:rsidR="009A3F7C" w:rsidRPr="00E867F6" w14:paraId="5D9E3E6F"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D4056DE" w14:textId="17F18C88" w:rsidR="009A3F7C" w:rsidRPr="00E867F6" w:rsidRDefault="00492500" w:rsidP="00B10CAC">
            <w:pPr>
              <w:pStyle w:val="Tabletext"/>
            </w:pPr>
            <w:r w:rsidRPr="00E867F6">
              <w:t>Bupa</w:t>
            </w:r>
          </w:p>
        </w:tc>
        <w:tc>
          <w:tcPr>
            <w:tcW w:w="6662" w:type="dxa"/>
          </w:tcPr>
          <w:p w14:paraId="38516E05"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No information found.</w:t>
            </w:r>
          </w:p>
        </w:tc>
        <w:tc>
          <w:tcPr>
            <w:tcW w:w="4820" w:type="dxa"/>
          </w:tcPr>
          <w:p w14:paraId="26F69AD2" w14:textId="77777777" w:rsidR="009A3F7C" w:rsidRPr="00651D64" w:rsidRDefault="009A3F7C" w:rsidP="00B10CAC">
            <w:pPr>
              <w:pStyle w:val="Tabletext"/>
              <w:cnfStyle w:val="000000100000" w:firstRow="0" w:lastRow="0" w:firstColumn="0" w:lastColumn="0" w:oddVBand="0" w:evenVBand="0" w:oddHBand="1" w:evenHBand="0" w:firstRowFirstColumn="0" w:firstRowLastColumn="0" w:lastRowFirstColumn="0" w:lastRowLastColumn="0"/>
              <w:rPr>
                <w:b w:val="0"/>
              </w:rPr>
            </w:pPr>
            <w:r w:rsidRPr="00651D64">
              <w:rPr>
                <w:b w:val="0"/>
              </w:rPr>
              <w:t>No</w:t>
            </w:r>
          </w:p>
        </w:tc>
      </w:tr>
      <w:tr w:rsidR="009A3F7C" w:rsidRPr="00E867F6" w14:paraId="70D34498"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1ACE017E" w14:textId="4618FDCE" w:rsidR="009A3F7C" w:rsidRPr="00996F27" w:rsidRDefault="00492500" w:rsidP="00B10CAC">
            <w:pPr>
              <w:pStyle w:val="Tabletext"/>
            </w:pPr>
            <w:r w:rsidRPr="00112A1C">
              <w:t>HBF Health Fund</w:t>
            </w:r>
          </w:p>
        </w:tc>
        <w:tc>
          <w:tcPr>
            <w:tcW w:w="6662" w:type="dxa"/>
          </w:tcPr>
          <w:p w14:paraId="6C1BF817"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No information found.</w:t>
            </w:r>
          </w:p>
        </w:tc>
        <w:tc>
          <w:tcPr>
            <w:tcW w:w="4820" w:type="dxa"/>
          </w:tcPr>
          <w:p w14:paraId="080988D7" w14:textId="77777777" w:rsidR="009A3F7C" w:rsidRPr="00651D64" w:rsidRDefault="009A3F7C" w:rsidP="00B10CAC">
            <w:pPr>
              <w:pStyle w:val="Tabletext"/>
              <w:cnfStyle w:val="000000000000" w:firstRow="0" w:lastRow="0" w:firstColumn="0" w:lastColumn="0" w:oddVBand="0" w:evenVBand="0" w:oddHBand="0" w:evenHBand="0" w:firstRowFirstColumn="0" w:firstRowLastColumn="0" w:lastRowFirstColumn="0" w:lastRowLastColumn="0"/>
              <w:rPr>
                <w:b w:val="0"/>
              </w:rPr>
            </w:pPr>
            <w:r w:rsidRPr="00651D64">
              <w:rPr>
                <w:b w:val="0"/>
              </w:rPr>
              <w:t>No</w:t>
            </w:r>
          </w:p>
        </w:tc>
      </w:tr>
      <w:tr w:rsidR="009A3F7C" w:rsidRPr="00E867F6" w14:paraId="07D9E944"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3FB66AA" w14:textId="47CDA186" w:rsidR="009A3F7C" w:rsidRPr="00651D64" w:rsidRDefault="00492500" w:rsidP="00204A25">
            <w:pPr>
              <w:rPr>
                <w:b w:val="0"/>
                <w:sz w:val="20"/>
                <w:szCs w:val="20"/>
              </w:rPr>
            </w:pPr>
            <w:r w:rsidRPr="00651D64">
              <w:rPr>
                <w:b w:val="0"/>
                <w:sz w:val="20"/>
                <w:szCs w:val="20"/>
              </w:rPr>
              <w:t>HCF Health Insurance</w:t>
            </w:r>
          </w:p>
        </w:tc>
        <w:tc>
          <w:tcPr>
            <w:tcW w:w="6662" w:type="dxa"/>
          </w:tcPr>
          <w:p w14:paraId="0E9E73E2" w14:textId="2B2B62ED" w:rsidR="009A3F7C" w:rsidRPr="00E867F6" w:rsidRDefault="00112A1C" w:rsidP="00B10CAC">
            <w:pPr>
              <w:pStyle w:val="Tablebullet1"/>
              <w:cnfStyle w:val="000000100000" w:firstRow="0" w:lastRow="0" w:firstColumn="0" w:lastColumn="0" w:oddVBand="0" w:evenVBand="0" w:oddHBand="1" w:evenHBand="0" w:firstRowFirstColumn="0" w:firstRowLastColumn="0" w:lastRowFirstColumn="0" w:lastRowLastColumn="0"/>
            </w:pPr>
            <w:r>
              <w:t>States it c</w:t>
            </w:r>
            <w:r w:rsidRPr="00E867F6">
              <w:t xml:space="preserve">ollects </w:t>
            </w:r>
            <w:r w:rsidR="009A3F7C" w:rsidRPr="00E867F6">
              <w:t>information from</w:t>
            </w:r>
            <w:r>
              <w:t xml:space="preserve"> t</w:t>
            </w:r>
            <w:r w:rsidR="009A3F7C" w:rsidRPr="00E867F6">
              <w:t>he </w:t>
            </w:r>
            <w:hyperlink r:id="rId26" w:history="1">
              <w:r w:rsidR="009A3F7C" w:rsidRPr="00E867F6">
                <w:t>myhospitals.gov.au</w:t>
              </w:r>
            </w:hyperlink>
            <w:r w:rsidR="009A3F7C" w:rsidRPr="00E867F6">
              <w:t> website on two key performance indicators: hand hygiene and health care-associated </w:t>
            </w:r>
            <w:r w:rsidR="009A3F7C" w:rsidRPr="003A671E">
              <w:rPr>
                <w:i/>
              </w:rPr>
              <w:t>Staphylococcus aureus</w:t>
            </w:r>
            <w:r w:rsidR="009A3F7C" w:rsidRPr="00E867F6">
              <w:t> bloodstream infections (commonly known as Golden Staph).</w:t>
            </w:r>
          </w:p>
          <w:p w14:paraId="6FD05CC5" w14:textId="32203933"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Provides information on hand hygiene</w:t>
            </w:r>
            <w:r w:rsidR="00112A1C">
              <w:t>; states that h</w:t>
            </w:r>
            <w:r w:rsidRPr="00E867F6">
              <w:t>ealth providers washing and sterilising their hands is a critical step in reducing the risk of hospital-acquired infection. The national benchmark is for healthcare workers to clean their hands correctly in at least 80% of cases.</w:t>
            </w:r>
          </w:p>
          <w:p w14:paraId="2783F032"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 xml:space="preserve">Provides information on </w:t>
            </w:r>
            <w:r w:rsidRPr="003A671E">
              <w:rPr>
                <w:i/>
              </w:rPr>
              <w:t>Staphylococcus aureus </w:t>
            </w:r>
            <w:r w:rsidRPr="00E867F6">
              <w:t>bloodstream infections</w:t>
            </w:r>
          </w:p>
          <w:p w14:paraId="0BA2871C"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Information is for consumers and not prominent to find.</w:t>
            </w:r>
          </w:p>
        </w:tc>
        <w:tc>
          <w:tcPr>
            <w:tcW w:w="4820" w:type="dxa"/>
          </w:tcPr>
          <w:p w14:paraId="7525E196"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Infection control</w:t>
            </w:r>
          </w:p>
          <w:p w14:paraId="494C1BF9"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Hand hygiene</w:t>
            </w:r>
          </w:p>
        </w:tc>
      </w:tr>
      <w:tr w:rsidR="009A3F7C" w:rsidRPr="00112A1C" w14:paraId="21A260C8" w14:textId="77777777" w:rsidTr="00FA3AE2">
        <w:tc>
          <w:tcPr>
            <w:cnfStyle w:val="001000000000" w:firstRow="0" w:lastRow="0" w:firstColumn="1" w:lastColumn="0" w:oddVBand="0" w:evenVBand="0" w:oddHBand="0" w:evenHBand="0" w:firstRowFirstColumn="0" w:firstRowLastColumn="0" w:lastRowFirstColumn="0" w:lastRowLastColumn="0"/>
            <w:tcW w:w="2660" w:type="dxa"/>
          </w:tcPr>
          <w:p w14:paraId="4DD685F5" w14:textId="77777777" w:rsidR="009A3F7C" w:rsidRPr="00E867F6" w:rsidRDefault="009A3F7C" w:rsidP="00B10CAC">
            <w:pPr>
              <w:pStyle w:val="Tabletext"/>
            </w:pPr>
            <w:r w:rsidRPr="00E867F6">
              <w:t>Medibank</w:t>
            </w:r>
          </w:p>
        </w:tc>
        <w:tc>
          <w:tcPr>
            <w:tcW w:w="6662" w:type="dxa"/>
          </w:tcPr>
          <w:p w14:paraId="39DDE0F2" w14:textId="77777777" w:rsidR="009A3F7C" w:rsidRPr="00E867F6" w:rsidRDefault="009A3F7C" w:rsidP="00B10CAC">
            <w:pPr>
              <w:pStyle w:val="Tablebullet1"/>
              <w:cnfStyle w:val="000000000000" w:firstRow="0" w:lastRow="0" w:firstColumn="0" w:lastColumn="0" w:oddVBand="0" w:evenVBand="0" w:oddHBand="0" w:evenHBand="0" w:firstRowFirstColumn="0" w:firstRowLastColumn="0" w:lastRowFirstColumn="0" w:lastRowLastColumn="0"/>
            </w:pPr>
            <w:r w:rsidRPr="00E867F6">
              <w:t>No information found.</w:t>
            </w:r>
          </w:p>
        </w:tc>
        <w:tc>
          <w:tcPr>
            <w:tcW w:w="4820" w:type="dxa"/>
          </w:tcPr>
          <w:p w14:paraId="100B6EB2" w14:textId="77777777" w:rsidR="009A3F7C" w:rsidRPr="00651D64" w:rsidRDefault="009A3F7C" w:rsidP="00B10CAC">
            <w:pPr>
              <w:pStyle w:val="Tabletext"/>
              <w:cnfStyle w:val="000000000000" w:firstRow="0" w:lastRow="0" w:firstColumn="0" w:lastColumn="0" w:oddVBand="0" w:evenVBand="0" w:oddHBand="0" w:evenHBand="0" w:firstRowFirstColumn="0" w:firstRowLastColumn="0" w:lastRowFirstColumn="0" w:lastRowLastColumn="0"/>
              <w:rPr>
                <w:b w:val="0"/>
              </w:rPr>
            </w:pPr>
            <w:r w:rsidRPr="00651D64">
              <w:rPr>
                <w:b w:val="0"/>
              </w:rPr>
              <w:t>No</w:t>
            </w:r>
          </w:p>
        </w:tc>
      </w:tr>
      <w:tr w:rsidR="009A3F7C" w:rsidRPr="00112A1C" w14:paraId="4A3F745B" w14:textId="77777777" w:rsidTr="00FA3A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D67A262" w14:textId="77777777" w:rsidR="009A3F7C" w:rsidRPr="00E867F6" w:rsidRDefault="009A3F7C" w:rsidP="00B10CAC">
            <w:pPr>
              <w:pStyle w:val="Tabletext"/>
            </w:pPr>
            <w:r w:rsidRPr="00E867F6">
              <w:t>NIB</w:t>
            </w:r>
          </w:p>
        </w:tc>
        <w:tc>
          <w:tcPr>
            <w:tcW w:w="6662" w:type="dxa"/>
          </w:tcPr>
          <w:p w14:paraId="3BCD7F9D" w14:textId="77777777" w:rsidR="009A3F7C" w:rsidRPr="00E867F6" w:rsidRDefault="009A3F7C" w:rsidP="00B10CAC">
            <w:pPr>
              <w:pStyle w:val="Tablebullet1"/>
              <w:cnfStyle w:val="000000100000" w:firstRow="0" w:lastRow="0" w:firstColumn="0" w:lastColumn="0" w:oddVBand="0" w:evenVBand="0" w:oddHBand="1" w:evenHBand="0" w:firstRowFirstColumn="0" w:firstRowLastColumn="0" w:lastRowFirstColumn="0" w:lastRowLastColumn="0"/>
            </w:pPr>
            <w:r w:rsidRPr="00E867F6">
              <w:t>No information found.</w:t>
            </w:r>
          </w:p>
        </w:tc>
        <w:tc>
          <w:tcPr>
            <w:tcW w:w="4820" w:type="dxa"/>
          </w:tcPr>
          <w:p w14:paraId="55A5872C" w14:textId="77777777" w:rsidR="009A3F7C" w:rsidRPr="00651D64" w:rsidRDefault="009A3F7C" w:rsidP="00B10CAC">
            <w:pPr>
              <w:pStyle w:val="Tabletext"/>
              <w:cnfStyle w:val="000000100000" w:firstRow="0" w:lastRow="0" w:firstColumn="0" w:lastColumn="0" w:oddVBand="0" w:evenVBand="0" w:oddHBand="1" w:evenHBand="0" w:firstRowFirstColumn="0" w:firstRowLastColumn="0" w:lastRowFirstColumn="0" w:lastRowLastColumn="0"/>
              <w:rPr>
                <w:b w:val="0"/>
              </w:rPr>
            </w:pPr>
            <w:r w:rsidRPr="00651D64">
              <w:rPr>
                <w:b w:val="0"/>
              </w:rPr>
              <w:t>No</w:t>
            </w:r>
          </w:p>
        </w:tc>
      </w:tr>
    </w:tbl>
    <w:p w14:paraId="7F5FAAEF" w14:textId="77777777" w:rsidR="009A3F7C" w:rsidRPr="00E867F6" w:rsidRDefault="009A3F7C" w:rsidP="00DE3FB6">
      <w:pPr>
        <w:rPr>
          <w:sz w:val="20"/>
          <w:szCs w:val="20"/>
        </w:rPr>
      </w:pPr>
    </w:p>
    <w:p w14:paraId="142D97E6" w14:textId="77777777" w:rsidR="009A3F7C" w:rsidRPr="00E867F6" w:rsidRDefault="009A3F7C" w:rsidP="00DE3FB6">
      <w:pPr>
        <w:rPr>
          <w:sz w:val="20"/>
          <w:szCs w:val="20"/>
        </w:rPr>
      </w:pPr>
    </w:p>
    <w:p w14:paraId="34291CCF" w14:textId="77777777" w:rsidR="009A3F7C" w:rsidRPr="00E867F6" w:rsidRDefault="009A3F7C" w:rsidP="00DE3FB6">
      <w:pPr>
        <w:rPr>
          <w:sz w:val="20"/>
          <w:szCs w:val="20"/>
        </w:rPr>
        <w:sectPr w:rsidR="009A3F7C" w:rsidRPr="00E867F6" w:rsidSect="00D2773F">
          <w:pgSz w:w="16838" w:h="11906" w:orient="landscape"/>
          <w:pgMar w:top="1440" w:right="1440" w:bottom="1440" w:left="1440" w:header="708" w:footer="708" w:gutter="0"/>
          <w:cols w:space="708"/>
          <w:docGrid w:linePitch="360"/>
        </w:sectPr>
      </w:pPr>
    </w:p>
    <w:p w14:paraId="28430B44" w14:textId="77777777" w:rsidR="009A3F7C" w:rsidRDefault="009A3F7C" w:rsidP="00082EF0">
      <w:pPr>
        <w:pStyle w:val="Heading2"/>
      </w:pPr>
      <w:bookmarkStart w:id="48" w:name="_Toc3195099"/>
      <w:bookmarkStart w:id="49" w:name="_Toc514158755"/>
      <w:r w:rsidRPr="00E867F6">
        <w:lastRenderedPageBreak/>
        <w:t>Non-government public reporting mechanisms in Australia</w:t>
      </w:r>
      <w:bookmarkEnd w:id="48"/>
    </w:p>
    <w:p w14:paraId="2F13EFEB" w14:textId="77777777" w:rsidR="009A3F7C" w:rsidRDefault="009A3F7C" w:rsidP="00642D82">
      <w:pPr>
        <w:pStyle w:val="Heading3"/>
      </w:pPr>
      <w:r>
        <w:t>Health Roundtable</w:t>
      </w:r>
    </w:p>
    <w:p w14:paraId="2AE7D766" w14:textId="77777777" w:rsidR="009A3F7C" w:rsidRDefault="009A3F7C" w:rsidP="00642D82">
      <w:pPr>
        <w:pStyle w:val="Heading3"/>
        <w:numPr>
          <w:ilvl w:val="0"/>
          <w:numId w:val="0"/>
        </w:numPr>
        <w:rPr>
          <w:rFonts w:cs="Times New Roman"/>
          <w:b w:val="0"/>
          <w:bCs w:val="0"/>
          <w:iCs w:val="0"/>
          <w:color w:val="auto"/>
          <w:kern w:val="0"/>
          <w:sz w:val="22"/>
          <w:szCs w:val="22"/>
        </w:rPr>
      </w:pPr>
      <w:r w:rsidRPr="00642D82">
        <w:rPr>
          <w:rFonts w:cs="Times New Roman"/>
          <w:b w:val="0"/>
          <w:bCs w:val="0"/>
          <w:iCs w:val="0"/>
          <w:color w:val="auto"/>
          <w:kern w:val="0"/>
          <w:sz w:val="22"/>
          <w:szCs w:val="22"/>
        </w:rPr>
        <w:t>The Health Roundtable</w:t>
      </w:r>
      <w:r>
        <w:rPr>
          <w:rFonts w:cs="Times New Roman"/>
          <w:b w:val="0"/>
          <w:bCs w:val="0"/>
          <w:iCs w:val="0"/>
          <w:color w:val="auto"/>
          <w:kern w:val="0"/>
          <w:sz w:val="22"/>
          <w:szCs w:val="22"/>
        </w:rPr>
        <w:t xml:space="preserve"> was established in 1995 as</w:t>
      </w:r>
      <w:r w:rsidRPr="00642D82">
        <w:rPr>
          <w:rFonts w:cs="Times New Roman"/>
          <w:b w:val="0"/>
          <w:bCs w:val="0"/>
          <w:iCs w:val="0"/>
          <w:color w:val="auto"/>
          <w:kern w:val="0"/>
          <w:sz w:val="22"/>
          <w:szCs w:val="22"/>
        </w:rPr>
        <w:t xml:space="preserve"> a </w:t>
      </w:r>
      <w:r>
        <w:rPr>
          <w:rFonts w:cs="Times New Roman"/>
          <w:b w:val="0"/>
          <w:bCs w:val="0"/>
          <w:iCs w:val="0"/>
          <w:color w:val="auto"/>
          <w:kern w:val="0"/>
          <w:sz w:val="22"/>
          <w:szCs w:val="22"/>
        </w:rPr>
        <w:t>non-for-profit membership organisation. Currently, the membership is made up of 90 health services, 177 hospitals and over 4,000 users across Australia and New Zealand. Its purpose is to:</w:t>
      </w:r>
      <w:r>
        <w:rPr>
          <w:rStyle w:val="EndnoteReference"/>
          <w:rFonts w:cs="Times New Roman"/>
          <w:b w:val="0"/>
          <w:bCs w:val="0"/>
          <w:iCs w:val="0"/>
          <w:color w:val="auto"/>
          <w:kern w:val="0"/>
          <w:sz w:val="22"/>
          <w:szCs w:val="22"/>
        </w:rPr>
        <w:endnoteReference w:id="67"/>
      </w:r>
      <w:r>
        <w:rPr>
          <w:rFonts w:cs="Times New Roman"/>
          <w:b w:val="0"/>
          <w:bCs w:val="0"/>
          <w:iCs w:val="0"/>
          <w:color w:val="auto"/>
          <w:kern w:val="0"/>
          <w:sz w:val="22"/>
          <w:szCs w:val="22"/>
        </w:rPr>
        <w:t xml:space="preserve"> </w:t>
      </w:r>
    </w:p>
    <w:p w14:paraId="1B3F3368" w14:textId="77777777" w:rsidR="009A3F7C" w:rsidRDefault="009A3F7C" w:rsidP="00776E32">
      <w:pPr>
        <w:pStyle w:val="ListParagraph"/>
        <w:numPr>
          <w:ilvl w:val="0"/>
          <w:numId w:val="22"/>
        </w:numPr>
        <w:ind w:left="714" w:hanging="357"/>
        <w:contextualSpacing w:val="0"/>
      </w:pPr>
      <w:r>
        <w:t>Provide opportunities for health executives to learn how to achieve Best Practice in their organisations</w:t>
      </w:r>
    </w:p>
    <w:p w14:paraId="62A3DDF8" w14:textId="4C3C154E" w:rsidR="009A3F7C" w:rsidRDefault="009A3F7C" w:rsidP="00776E32">
      <w:pPr>
        <w:pStyle w:val="ListParagraph"/>
        <w:numPr>
          <w:ilvl w:val="0"/>
          <w:numId w:val="22"/>
        </w:numPr>
        <w:ind w:left="714" w:hanging="357"/>
        <w:contextualSpacing w:val="0"/>
      </w:pPr>
      <w:r>
        <w:t>Collects, analyse</w:t>
      </w:r>
      <w:r w:rsidR="00955CC9">
        <w:t>s</w:t>
      </w:r>
      <w:r>
        <w:t xml:space="preserve"> and </w:t>
      </w:r>
      <w:r w:rsidR="00955CC9">
        <w:t>makes</w:t>
      </w:r>
      <w:r>
        <w:t xml:space="preserve"> information </w:t>
      </w:r>
      <w:r w:rsidR="00955CC9">
        <w:t xml:space="preserve">available to members </w:t>
      </w:r>
      <w:r>
        <w:t>comparing organisations and identifying ways to improve operational practices; and</w:t>
      </w:r>
    </w:p>
    <w:p w14:paraId="43874DFB" w14:textId="77777777" w:rsidR="009A3F7C" w:rsidRDefault="009A3F7C" w:rsidP="00776E32">
      <w:pPr>
        <w:pStyle w:val="ListParagraph"/>
        <w:numPr>
          <w:ilvl w:val="0"/>
          <w:numId w:val="22"/>
        </w:numPr>
        <w:ind w:left="714" w:hanging="357"/>
        <w:contextualSpacing w:val="0"/>
      </w:pPr>
      <w:r>
        <w:t xml:space="preserve">Promote interstate and international collaboration and networking amongst health organisation executives. </w:t>
      </w:r>
    </w:p>
    <w:p w14:paraId="38C77CB0" w14:textId="0ED53372" w:rsidR="009A3F7C" w:rsidRDefault="009A3F7C" w:rsidP="00642D82">
      <w:r>
        <w:t>The Health Roundtable provides members with a range of opportunities and information to support best practice and improvements in health</w:t>
      </w:r>
      <w:r w:rsidR="00112A1C">
        <w:t xml:space="preserve"> </w:t>
      </w:r>
      <w:r>
        <w:t>care. The Health Roundtable also has a number of sub-committees that focus on specific aspects of healthcare improvements. Of these, there is a patient safety improvement group that meets annually to share ideas and innovations that focus on improving the safety and quality of care within their health services. During the meeting</w:t>
      </w:r>
      <w:r w:rsidR="00112A1C">
        <w:t>s</w:t>
      </w:r>
      <w:r>
        <w:t xml:space="preserve">, members also review results from the patient safety report, which has a range of indicators that health services provide data for every six months. Members can log into the portal and access various health performance data. However, while there is some contextual information about the work of the organisation, no safety and quality information is reported publically through its website. </w:t>
      </w:r>
    </w:p>
    <w:p w14:paraId="580731FF" w14:textId="77777777" w:rsidR="009A3F7C" w:rsidRDefault="009A3F7C" w:rsidP="00642D82">
      <w:r>
        <w:rPr>
          <w:noProof/>
        </w:rPr>
        <w:drawing>
          <wp:inline distT="0" distB="0" distL="0" distR="0" wp14:anchorId="4D707B5B" wp14:editId="6F393171">
            <wp:extent cx="5731510" cy="334518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345180"/>
                    </a:xfrm>
                    <a:prstGeom prst="rect">
                      <a:avLst/>
                    </a:prstGeom>
                  </pic:spPr>
                </pic:pic>
              </a:graphicData>
            </a:graphic>
          </wp:inline>
        </w:drawing>
      </w:r>
    </w:p>
    <w:p w14:paraId="2715D71C" w14:textId="380A325E" w:rsidR="009A3F7C" w:rsidRPr="00397AFF" w:rsidRDefault="00397AFF" w:rsidP="00642D82">
      <w:pPr>
        <w:rPr>
          <w:i/>
          <w:sz w:val="18"/>
          <w:szCs w:val="18"/>
        </w:rPr>
      </w:pPr>
      <w:r w:rsidRPr="00397AFF">
        <w:rPr>
          <w:i/>
          <w:sz w:val="18"/>
          <w:szCs w:val="18"/>
        </w:rPr>
        <w:t>I</w:t>
      </w:r>
      <w:r w:rsidR="00112A1C" w:rsidRPr="00397AFF">
        <w:rPr>
          <w:i/>
          <w:sz w:val="18"/>
          <w:szCs w:val="18"/>
        </w:rPr>
        <w:t>mage</w:t>
      </w:r>
      <w:r w:rsidRPr="00397AFF">
        <w:rPr>
          <w:i/>
          <w:sz w:val="18"/>
          <w:szCs w:val="18"/>
        </w:rPr>
        <w:t>:</w:t>
      </w:r>
      <w:r w:rsidR="00112A1C" w:rsidRPr="00397AFF">
        <w:rPr>
          <w:i/>
          <w:sz w:val="18"/>
          <w:szCs w:val="18"/>
        </w:rPr>
        <w:t xml:space="preserve"> an example of reporting accessible </w:t>
      </w:r>
      <w:r w:rsidR="00955CC9">
        <w:rPr>
          <w:i/>
          <w:sz w:val="18"/>
          <w:szCs w:val="18"/>
        </w:rPr>
        <w:t xml:space="preserve">to members </w:t>
      </w:r>
      <w:r w:rsidR="00112A1C" w:rsidRPr="00397AFF">
        <w:rPr>
          <w:i/>
          <w:sz w:val="18"/>
          <w:szCs w:val="18"/>
        </w:rPr>
        <w:t xml:space="preserve">on the Health Roundtable website. </w:t>
      </w:r>
      <w:r w:rsidR="009A3F7C" w:rsidRPr="00397AFF">
        <w:rPr>
          <w:i/>
          <w:sz w:val="18"/>
          <w:szCs w:val="18"/>
        </w:rPr>
        <w:t xml:space="preserve">Source: </w:t>
      </w:r>
      <w:hyperlink r:id="rId28" w:history="1">
        <w:r w:rsidR="009A3F7C" w:rsidRPr="00397AFF">
          <w:rPr>
            <w:rStyle w:val="Hyperlink"/>
            <w:rFonts w:asciiTheme="minorHAnsi" w:hAnsiTheme="minorHAnsi"/>
            <w:i/>
            <w:sz w:val="18"/>
            <w:szCs w:val="18"/>
          </w:rPr>
          <w:t>https://www.healthroundtable.org/JoinUs/ImprovementGroups/PatientSafety.aspx</w:t>
        </w:r>
      </w:hyperlink>
      <w:r w:rsidR="009A3F7C" w:rsidRPr="00397AFF">
        <w:rPr>
          <w:i/>
          <w:sz w:val="18"/>
          <w:szCs w:val="18"/>
        </w:rPr>
        <w:t xml:space="preserve">. </w:t>
      </w:r>
    </w:p>
    <w:p w14:paraId="0BEA0DFD" w14:textId="77777777" w:rsidR="009A3F7C" w:rsidRPr="00E867F6" w:rsidRDefault="009A3F7C" w:rsidP="00321010">
      <w:pPr>
        <w:pStyle w:val="Heading3"/>
      </w:pPr>
      <w:r w:rsidRPr="00E867F6">
        <w:lastRenderedPageBreak/>
        <w:t>Patient Opinion</w:t>
      </w:r>
    </w:p>
    <w:p w14:paraId="2D275AF5" w14:textId="77C46961" w:rsidR="009A3F7C" w:rsidRPr="00E867F6" w:rsidRDefault="009A3F7C" w:rsidP="00B10CAC">
      <w:pPr>
        <w:pStyle w:val="BodyText"/>
      </w:pPr>
      <w:r w:rsidRPr="00E867F6">
        <w:t>Patient Opinion, originally founded in the U</w:t>
      </w:r>
      <w:r w:rsidR="00112A1C">
        <w:t xml:space="preserve">nited </w:t>
      </w:r>
      <w:r w:rsidRPr="00E867F6">
        <w:t>K</w:t>
      </w:r>
      <w:r w:rsidR="00112A1C">
        <w:t>ingdom</w:t>
      </w:r>
      <w:r w:rsidRPr="00E867F6">
        <w:t xml:space="preserve">, was established as an independent, non-for-profit organisation in Australia in 2012. It is a consumer friendly feedback platform between patients and health services that enables patients to post about their recent experiences and stories about a health service in the public domain. The concept behind this is that each story is an opportunity to learn and improve. </w:t>
      </w:r>
    </w:p>
    <w:p w14:paraId="24228F4C" w14:textId="6E576006" w:rsidR="009B23CC" w:rsidRDefault="009A3F7C" w:rsidP="00FA3AE2">
      <w:pPr>
        <w:pStyle w:val="BodyText"/>
        <w:rPr>
          <w:rStyle w:val="BodyTextChar"/>
        </w:rPr>
      </w:pPr>
      <w:r w:rsidRPr="00E867F6">
        <w:t xml:space="preserve">So far, a total of </w:t>
      </w:r>
      <w:r w:rsidR="007A3885">
        <w:t>4</w:t>
      </w:r>
      <w:r w:rsidRPr="00E867F6">
        <w:t>,</w:t>
      </w:r>
      <w:r w:rsidR="007A3885">
        <w:t>816</w:t>
      </w:r>
      <w:r w:rsidR="007A3885" w:rsidRPr="00E867F6">
        <w:t xml:space="preserve"> </w:t>
      </w:r>
      <w:r w:rsidRPr="00E867F6">
        <w:t xml:space="preserve">stories have been shared. The website indicates that there </w:t>
      </w:r>
      <w:r w:rsidR="007A3885">
        <w:t>wa</w:t>
      </w:r>
      <w:r w:rsidRPr="00E867F6">
        <w:t>s an 82</w:t>
      </w:r>
      <w:r w:rsidR="007A3885">
        <w:t>%</w:t>
      </w:r>
      <w:r w:rsidR="00776E32">
        <w:t> </w:t>
      </w:r>
      <w:r w:rsidRPr="00E867F6">
        <w:t>response rate to all stories</w:t>
      </w:r>
      <w:r w:rsidR="007A3885">
        <w:t xml:space="preserve"> reported</w:t>
      </w:r>
      <w:r w:rsidRPr="00E867F6">
        <w:t xml:space="preserve"> </w:t>
      </w:r>
      <w:r w:rsidR="007A3885">
        <w:t xml:space="preserve">in the previous 90 days. The website also </w:t>
      </w:r>
      <w:r w:rsidR="007A3885">
        <w:rPr>
          <w:sz w:val="21"/>
          <w:szCs w:val="21"/>
          <w:lang w:val="en"/>
        </w:rPr>
        <w:t xml:space="preserve">shows the percentage of responses where the response indicates that a change is planned or has been made, noting that a change might not need to be made for every story, for example where stories are entirely positive. </w:t>
      </w:r>
      <w:r w:rsidR="007A3885">
        <w:t xml:space="preserve"> </w:t>
      </w:r>
      <w:r w:rsidRPr="00E867F6">
        <w:t xml:space="preserve">Healthcare services can become subscribers to get access to feedback about their hospitals. To date, there are </w:t>
      </w:r>
      <w:r w:rsidR="007A3885">
        <w:t>2</w:t>
      </w:r>
      <w:r w:rsidRPr="00E867F6">
        <w:t>,</w:t>
      </w:r>
      <w:r w:rsidR="007A3885">
        <w:t>161</w:t>
      </w:r>
      <w:r w:rsidR="007A3885" w:rsidRPr="00E867F6">
        <w:t xml:space="preserve"> </w:t>
      </w:r>
      <w:r w:rsidRPr="00E867F6">
        <w:t>healthcare professionals registered to the website.</w:t>
      </w:r>
      <w:r w:rsidRPr="00E867F6">
        <w:rPr>
          <w:rStyle w:val="EndnoteReference"/>
        </w:rPr>
        <w:endnoteReference w:id="68"/>
      </w:r>
      <w:r w:rsidR="00FA3AE2">
        <w:t xml:space="preserve"> </w:t>
      </w:r>
    </w:p>
    <w:p w14:paraId="6889C0C0" w14:textId="77777777" w:rsidR="00FA3AE2" w:rsidRDefault="009B23CC" w:rsidP="00B10CAC">
      <w:pPr>
        <w:spacing w:before="120" w:after="100" w:afterAutospacing="1"/>
        <w:rPr>
          <w:rStyle w:val="BodyTextChar"/>
        </w:rPr>
      </w:pPr>
      <w:r>
        <w:rPr>
          <w:noProof/>
        </w:rPr>
        <w:drawing>
          <wp:inline distT="0" distB="0" distL="0" distR="0" wp14:anchorId="5568FEE8" wp14:editId="6DC8064B">
            <wp:extent cx="4152900" cy="36657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51060" cy="3664109"/>
                    </a:xfrm>
                    <a:prstGeom prst="rect">
                      <a:avLst/>
                    </a:prstGeom>
                  </pic:spPr>
                </pic:pic>
              </a:graphicData>
            </a:graphic>
          </wp:inline>
        </w:drawing>
      </w:r>
      <w:r w:rsidR="009A3F7C" w:rsidRPr="00E867F6">
        <w:rPr>
          <w:rStyle w:val="BodyTextChar"/>
        </w:rPr>
        <w:t xml:space="preserve">  </w:t>
      </w:r>
    </w:p>
    <w:p w14:paraId="7F5F30A9" w14:textId="327CA133" w:rsidR="009A3F7C" w:rsidRPr="00397AFF" w:rsidRDefault="00397AFF" w:rsidP="00B10CAC">
      <w:pPr>
        <w:spacing w:before="120" w:after="100" w:afterAutospacing="1"/>
        <w:rPr>
          <w:i/>
          <w:sz w:val="18"/>
          <w:szCs w:val="18"/>
        </w:rPr>
      </w:pPr>
      <w:r>
        <w:rPr>
          <w:i/>
          <w:sz w:val="18"/>
          <w:szCs w:val="18"/>
        </w:rPr>
        <w:t>I</w:t>
      </w:r>
      <w:r w:rsidR="009B23CC" w:rsidRPr="00397AFF">
        <w:rPr>
          <w:i/>
          <w:sz w:val="18"/>
          <w:szCs w:val="18"/>
        </w:rPr>
        <w:t>mage</w:t>
      </w:r>
      <w:r>
        <w:rPr>
          <w:i/>
          <w:sz w:val="18"/>
          <w:szCs w:val="18"/>
        </w:rPr>
        <w:t>:</w:t>
      </w:r>
      <w:r w:rsidR="009B23CC" w:rsidRPr="00397AFF">
        <w:rPr>
          <w:i/>
          <w:sz w:val="18"/>
          <w:szCs w:val="18"/>
        </w:rPr>
        <w:t xml:space="preserve"> Patient Opinion Australia homepage, with featured stories and a summary of number of stories told and healthcare staff registered for the website. </w:t>
      </w:r>
      <w:r w:rsidR="009A3F7C" w:rsidRPr="00397AFF">
        <w:rPr>
          <w:i/>
          <w:sz w:val="18"/>
          <w:szCs w:val="18"/>
        </w:rPr>
        <w:t xml:space="preserve">Source: </w:t>
      </w:r>
      <w:hyperlink r:id="rId30" w:history="1">
        <w:r w:rsidR="009A3F7C" w:rsidRPr="00397AFF">
          <w:rPr>
            <w:rStyle w:val="Hyperlink"/>
            <w:i/>
            <w:sz w:val="18"/>
            <w:szCs w:val="18"/>
          </w:rPr>
          <w:t>https://www.patientopinion.org.au/</w:t>
        </w:r>
      </w:hyperlink>
      <w:r w:rsidR="009A3F7C" w:rsidRPr="00397AFF">
        <w:rPr>
          <w:i/>
          <w:sz w:val="18"/>
          <w:szCs w:val="18"/>
        </w:rPr>
        <w:t xml:space="preserve">. </w:t>
      </w:r>
      <w:proofErr w:type="gramStart"/>
      <w:r w:rsidR="009A3F7C" w:rsidRPr="00397AFF">
        <w:rPr>
          <w:i/>
          <w:sz w:val="18"/>
          <w:szCs w:val="18"/>
        </w:rPr>
        <w:t xml:space="preserve">Accessed online: </w:t>
      </w:r>
      <w:r w:rsidR="009B23CC" w:rsidRPr="00397AFF">
        <w:rPr>
          <w:i/>
          <w:sz w:val="18"/>
          <w:szCs w:val="18"/>
        </w:rPr>
        <w:t>24</w:t>
      </w:r>
      <w:r w:rsidR="009A3F7C" w:rsidRPr="00397AFF">
        <w:rPr>
          <w:i/>
          <w:sz w:val="18"/>
          <w:szCs w:val="18"/>
        </w:rPr>
        <w:t>/0</w:t>
      </w:r>
      <w:r w:rsidR="009B23CC" w:rsidRPr="00397AFF">
        <w:rPr>
          <w:i/>
          <w:sz w:val="18"/>
          <w:szCs w:val="18"/>
        </w:rPr>
        <w:t>1</w:t>
      </w:r>
      <w:r w:rsidR="009A3F7C" w:rsidRPr="00397AFF">
        <w:rPr>
          <w:i/>
          <w:sz w:val="18"/>
          <w:szCs w:val="18"/>
        </w:rPr>
        <w:t>/201</w:t>
      </w:r>
      <w:r w:rsidR="009B23CC" w:rsidRPr="00397AFF">
        <w:rPr>
          <w:i/>
          <w:sz w:val="18"/>
          <w:szCs w:val="18"/>
        </w:rPr>
        <w:t>9</w:t>
      </w:r>
      <w:r w:rsidR="009A3F7C" w:rsidRPr="00397AFF">
        <w:rPr>
          <w:i/>
          <w:sz w:val="18"/>
          <w:szCs w:val="18"/>
        </w:rPr>
        <w:t>.</w:t>
      </w:r>
      <w:proofErr w:type="gramEnd"/>
    </w:p>
    <w:p w14:paraId="01DAC001" w14:textId="77777777" w:rsidR="009A3F7C" w:rsidRPr="00E867F6" w:rsidRDefault="009A3F7C" w:rsidP="00321010">
      <w:pPr>
        <w:pStyle w:val="Heading3"/>
      </w:pPr>
      <w:proofErr w:type="spellStart"/>
      <w:r w:rsidRPr="00E867F6">
        <w:t>Whitecoat</w:t>
      </w:r>
      <w:proofErr w:type="spellEnd"/>
    </w:p>
    <w:p w14:paraId="40049C89" w14:textId="290BBED1" w:rsidR="009A3F7C" w:rsidRPr="00E867F6" w:rsidRDefault="009A3F7C" w:rsidP="00B10CAC">
      <w:pPr>
        <w:pStyle w:val="BodyText"/>
      </w:pPr>
      <w:proofErr w:type="spellStart"/>
      <w:r w:rsidRPr="00E867F6">
        <w:t>Whitecoat</w:t>
      </w:r>
      <w:proofErr w:type="spellEnd"/>
      <w:r w:rsidRPr="00E867F6">
        <w:t xml:space="preserve"> is a website that was established in 2013 to provide the public with a comprehensive online healthcare provider directory and customer reviews. There are over 210,000 healthcare providers listed on </w:t>
      </w:r>
      <w:proofErr w:type="spellStart"/>
      <w:r w:rsidRPr="00E867F6">
        <w:t>Whitecoat</w:t>
      </w:r>
      <w:proofErr w:type="spellEnd"/>
      <w:r w:rsidRPr="00E867F6">
        <w:t xml:space="preserve"> and over four million people have visited the website since it was launched. The website has received over 250,000 reviews to date. </w:t>
      </w:r>
    </w:p>
    <w:p w14:paraId="0BF61A21" w14:textId="0E88619C" w:rsidR="009A3F7C" w:rsidRPr="00E867F6" w:rsidRDefault="009A3F7C" w:rsidP="00B10CAC">
      <w:pPr>
        <w:pStyle w:val="BodyText"/>
      </w:pPr>
      <w:r w:rsidRPr="00E867F6">
        <w:t xml:space="preserve">The purpose of the website is to allow all Australians to search and compare healthcare providers and allow them to make better and more informed choices when selecting healthcare providers. The website states that it is particularly useful for people who have moved to a new area or need treatment for a specialist service for the first time, as well as </w:t>
      </w:r>
      <w:r w:rsidRPr="00E867F6">
        <w:lastRenderedPageBreak/>
        <w:t xml:space="preserve">those wanting a recommendation from patients who have already visited a healthcare provider. </w:t>
      </w:r>
    </w:p>
    <w:p w14:paraId="3A82BE30" w14:textId="6E22DD17" w:rsidR="00230721" w:rsidRDefault="00B94A26" w:rsidP="00FA3AE2">
      <w:pPr>
        <w:pStyle w:val="BodyText"/>
      </w:pPr>
      <w:r w:rsidRPr="00E867F6">
        <w:rPr>
          <w:noProof/>
        </w:rPr>
        <mc:AlternateContent>
          <mc:Choice Requires="wps">
            <w:drawing>
              <wp:anchor distT="45720" distB="45720" distL="114300" distR="114300" simplePos="0" relativeHeight="251727872" behindDoc="0" locked="0" layoutInCell="1" allowOverlap="1" wp14:anchorId="1C24E366" wp14:editId="3E04BE10">
                <wp:simplePos x="0" y="0"/>
                <wp:positionH relativeFrom="column">
                  <wp:posOffset>-104775</wp:posOffset>
                </wp:positionH>
                <wp:positionV relativeFrom="paragraph">
                  <wp:posOffset>835660</wp:posOffset>
                </wp:positionV>
                <wp:extent cx="5695950" cy="398145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981450"/>
                        </a:xfrm>
                        <a:prstGeom prst="rect">
                          <a:avLst/>
                        </a:prstGeom>
                        <a:solidFill>
                          <a:schemeClr val="tx2">
                            <a:lumMod val="20000"/>
                            <a:lumOff val="80000"/>
                          </a:schemeClr>
                        </a:solidFill>
                        <a:ln w="9525">
                          <a:noFill/>
                          <a:miter lim="800000"/>
                          <a:headEnd/>
                          <a:tailEnd/>
                        </a:ln>
                      </wps:spPr>
                      <wps:txbx>
                        <w:txbxContent>
                          <w:p w14:paraId="54F55C3C" w14:textId="25843C42" w:rsidR="00F70157" w:rsidRPr="00FA3AE2" w:rsidRDefault="00F70157" w:rsidP="00FA3AE2">
                            <w:pPr>
                              <w:pStyle w:val="Bodytextkeepwithnext"/>
                              <w:rPr>
                                <w:color w:val="125370" w:themeColor="accent3"/>
                              </w:rPr>
                            </w:pPr>
                            <w:r>
                              <w:rPr>
                                <w:b/>
                                <w:color w:val="125370" w:themeColor="accent3"/>
                              </w:rPr>
                              <w:t>Finding summary</w:t>
                            </w:r>
                          </w:p>
                          <w:p w14:paraId="2E759CA1" w14:textId="77777777" w:rsidR="00F70157" w:rsidRDefault="00F70157" w:rsidP="00FA3AE2">
                            <w:r>
                              <w:t>Within Australia, there is a broad patchwork of public reporting systems at state/territory and national levels. The national portal for public reporting information (</w:t>
                            </w:r>
                            <w:proofErr w:type="spellStart"/>
                            <w:r>
                              <w:t>MyHospitals</w:t>
                            </w:r>
                            <w:proofErr w:type="spellEnd"/>
                            <w:r>
                              <w:t xml:space="preserve">) arguably contains the least amount of information (with seven out of the proposed 16 performance indicators currently reported), amongst all of the public reporting portals currently available in Australia. </w:t>
                            </w:r>
                          </w:p>
                          <w:p w14:paraId="57A8A46B" w14:textId="2D5AE6DC" w:rsidR="00F70157" w:rsidRDefault="00F70157" w:rsidP="00FA3AE2">
                            <w:r>
                              <w:t>Across the Australian states/territories, NSW and (more recently), Victoria, have the most extensive public reporting mechanisms. Other jurisdictions, such as Queensland, are actively seeking to move toward more public reporting of safety and quality data.  Websites in Australia varied in terms of patient accessibility. T</w:t>
                            </w:r>
                            <w:r w:rsidRPr="0063435A">
                              <w:t>he portal provided by the NSW BHI was the most similar</w:t>
                            </w:r>
                            <w:r>
                              <w:t xml:space="preserve"> for </w:t>
                            </w:r>
                            <w:r w:rsidRPr="0063435A">
                              <w:t>usability</w:t>
                            </w:r>
                            <w:r>
                              <w:t xml:space="preserve"> to international portals</w:t>
                            </w:r>
                            <w:r w:rsidRPr="0063435A">
                              <w:t>.</w:t>
                            </w:r>
                          </w:p>
                          <w:p w14:paraId="144A59B5" w14:textId="56FC480C" w:rsidR="00F70157" w:rsidRDefault="00F70157" w:rsidP="00FA3AE2">
                            <w:r>
                              <w:t>For the private hospital sector, participation in the national public reporting mechanism (</w:t>
                            </w:r>
                            <w:proofErr w:type="spellStart"/>
                            <w:r>
                              <w:t>MyHospitals</w:t>
                            </w:r>
                            <w:proofErr w:type="spellEnd"/>
                            <w:r>
                              <w:t xml:space="preserve">), while voluntary, is relatively high. In addition the majority of the private hospital providers identified through the environment scan provided information on performance against safety and quality indicators on their own websites. However this information is not always easy to locate on these websites. In Australia, there are also a number of non-government public reporting mechanisms in place through which health consumers can write reviews of their experiences with healthcare organisations and providers. This type of patient review information is not available through any of the national and jurisdictional public reporting mechanisms.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8.25pt;margin-top:65.8pt;width:448.5pt;height:313.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" fillcolor="#c2e9f8 [671]" stroked="f">
                <v:textbox>
                  <w:txbxContent>
                    <w:p w14:paraId="54F55C3C" w14:textId="25843C42" w:rsidR="00F70157" w:rsidRPr="00FA3AE2" w:rsidRDefault="00F70157" w:rsidP="00FA3AE2">
                      <w:pPr>
                        <w:pStyle w:val="Bodytextkeepwithnext"/>
                        <w:rPr>
                          <w:color w:val="125370" w:themeColor="accent3"/>
                        </w:rPr>
                      </w:pPr>
                      <w:r>
                        <w:rPr>
                          <w:b/>
                          <w:color w:val="125370" w:themeColor="accent3"/>
                        </w:rPr>
                        <w:t>Finding summary</w:t>
                      </w:r>
                    </w:p>
                    <w:p w14:paraId="2E759CA1" w14:textId="77777777" w:rsidR="00F70157" w:rsidRDefault="00F70157" w:rsidP="00FA3AE2">
                      <w:r>
                        <w:t xml:space="preserve">Within Australia, there is a broad patchwork of public reporting systems at state/territory and national levels. The national portal for public reporting information (MyHospitals) arguably contains the least amount of information (with seven out of the proposed 16 performance indicators currently reported), amongst all of the public reporting portals currently available in Australia. </w:t>
                      </w:r>
                    </w:p>
                    <w:p w14:paraId="57A8A46B" w14:textId="2D5AE6DC" w:rsidR="00F70157" w:rsidRDefault="00F70157" w:rsidP="00FA3AE2">
                      <w:r>
                        <w:t>Across the Australian states/territories, NSW and (more recently), Victoria, have the most extensive public reporting mechanisms. Other jurisdictions, such as Queensland, are actively seeking to move toward more public reporting of safety and quality data.  Websites in Australia varied in terms of patient accessibility. T</w:t>
                      </w:r>
                      <w:r w:rsidRPr="0063435A">
                        <w:t>he portal provided by the NSW BHI was the most similar</w:t>
                      </w:r>
                      <w:r>
                        <w:t xml:space="preserve"> for </w:t>
                      </w:r>
                      <w:r w:rsidRPr="0063435A">
                        <w:t>usability</w:t>
                      </w:r>
                      <w:r>
                        <w:t xml:space="preserve"> to international portals</w:t>
                      </w:r>
                      <w:r w:rsidRPr="0063435A">
                        <w:t>.</w:t>
                      </w:r>
                    </w:p>
                    <w:p w14:paraId="144A59B5" w14:textId="56FC480C" w:rsidR="00F70157" w:rsidRDefault="00F70157" w:rsidP="00FA3AE2">
                      <w:r>
                        <w:t xml:space="preserve">For the private hospital sector, participation in the national public reporting mechanism (MyHospitals), while voluntary, is relatively high. In addition the majority of the private hospital providers identified through the environment scan provided information on performance against safety and quality indicators on their own websites. However this information is not always easy to locate on these websites. In Australia, there are also a number of non-government public reporting mechanisms in place through which health consumers can write reviews of their experiences with healthcare organisations and providers. This type of patient review information is not available through any of the national and jurisdictional public reporting mechanisms. </w:t>
                      </w:r>
                    </w:p>
                  </w:txbxContent>
                </v:textbox>
                <w10:wrap type="square"/>
              </v:shape>
            </w:pict>
          </mc:Fallback>
        </mc:AlternateContent>
      </w:r>
      <w:r w:rsidR="009A3F7C" w:rsidRPr="00E867F6">
        <w:t>Consumers can use the website to search by healthcare provider type and major city. Consumers are able to locate a healthcare provider in their local area, read or make a review or even make an appointment to see the provider. However, the website does not provide any information about safety and quality outcomes for the providers listed.</w:t>
      </w:r>
    </w:p>
    <w:p w14:paraId="08D6F466" w14:textId="77777777" w:rsidR="009A3F7C" w:rsidRPr="00E867F6" w:rsidRDefault="009A3F7C" w:rsidP="00937A50">
      <w:pPr>
        <w:pStyle w:val="Heading2"/>
      </w:pPr>
      <w:bookmarkStart w:id="50" w:name="_Toc3195100"/>
      <w:r w:rsidRPr="00E867F6">
        <w:t>International examples of public reporting</w:t>
      </w:r>
      <w:bookmarkEnd w:id="49"/>
      <w:bookmarkEnd w:id="50"/>
    </w:p>
    <w:p w14:paraId="396AAE05" w14:textId="4BDCEFA7" w:rsidR="009A3F7C" w:rsidRPr="00E867F6" w:rsidRDefault="009A3F7C" w:rsidP="00B10CAC">
      <w:pPr>
        <w:pStyle w:val="BodyText"/>
      </w:pPr>
      <w:r w:rsidRPr="00E867F6">
        <w:t xml:space="preserve">The environment scan </w:t>
      </w:r>
      <w:r w:rsidR="009B23CC">
        <w:t>searched for</w:t>
      </w:r>
      <w:r w:rsidRPr="00E867F6">
        <w:t xml:space="preserve"> public reporting of safety and quality across three specific OECD countries: Canada, </w:t>
      </w:r>
      <w:r w:rsidR="009B23CC">
        <w:t xml:space="preserve">the </w:t>
      </w:r>
      <w:r w:rsidRPr="00E867F6">
        <w:t xml:space="preserve">Netherlands and the </w:t>
      </w:r>
      <w:r w:rsidR="003661DE">
        <w:t>US</w:t>
      </w:r>
      <w:r w:rsidR="004F4936">
        <w:t>A</w:t>
      </w:r>
      <w:r w:rsidRPr="00E867F6">
        <w:t>. These countries were selected because they have a federated model that is comparable to the Australian healthcare system.</w:t>
      </w:r>
      <w:r>
        <w:t xml:space="preserve"> They were also considered to be significantly advanced in the undertaking of public reporting of hospital outcomes. In particular, both the US</w:t>
      </w:r>
      <w:r w:rsidR="004F4936">
        <w:t>A</w:t>
      </w:r>
      <w:r>
        <w:t xml:space="preserve"> and the Netherlands have made significant strides in developing public reporting systems that ae more specifically geared to health consumers</w:t>
      </w:r>
      <w:r w:rsidR="009B23CC">
        <w:t>.</w:t>
      </w:r>
    </w:p>
    <w:p w14:paraId="4CA2BBCD" w14:textId="77777777" w:rsidR="009A3F7C" w:rsidRPr="00E867F6" w:rsidRDefault="009A3F7C" w:rsidP="00DE3FB6">
      <w:pPr>
        <w:pStyle w:val="Heading3"/>
      </w:pPr>
      <w:r w:rsidRPr="00E867F6">
        <w:t>Canada</w:t>
      </w:r>
    </w:p>
    <w:p w14:paraId="1A0B73FA" w14:textId="77777777" w:rsidR="009A3F7C" w:rsidRPr="00E867F6" w:rsidRDefault="009A3F7C" w:rsidP="00B10CAC">
      <w:pPr>
        <w:pStyle w:val="BodyText"/>
        <w:rPr>
          <w:rFonts w:ascii="Arial" w:hAnsi="Arial" w:cs="Arial"/>
        </w:rPr>
      </w:pPr>
      <w:r w:rsidRPr="00E867F6">
        <w:t>Health Canada is the federal government portfolio that is responsible for setting the national health agenda, ensuring the delivery of safe and high-quality health services and providing financial support to provinces and territories for the delivery of health care. Canada’s ten provinces and three territories are responsible for establishing, maintaining and administering hospitals and delivering high-quality safe health care.</w:t>
      </w:r>
      <w:r w:rsidRPr="00E867F6">
        <w:rPr>
          <w:rStyle w:val="EndnoteReference"/>
        </w:rPr>
        <w:endnoteReference w:id="69"/>
      </w:r>
      <w:r w:rsidRPr="00E867F6">
        <w:t xml:space="preserve"> As such, e</w:t>
      </w:r>
      <w:r w:rsidRPr="00E867F6">
        <w:rPr>
          <w:rFonts w:ascii="Arial" w:hAnsi="Arial" w:cs="Arial"/>
        </w:rPr>
        <w:t xml:space="preserve">ach province and territory has its own provincial / territory government and health department that oversees this role. </w:t>
      </w:r>
    </w:p>
    <w:p w14:paraId="446D02C1" w14:textId="77777777" w:rsidR="009A3F7C" w:rsidRPr="00E867F6" w:rsidRDefault="009A3F7C" w:rsidP="00B10CAC">
      <w:pPr>
        <w:pStyle w:val="BodyText"/>
        <w:rPr>
          <w:rFonts w:ascii="Arial" w:hAnsi="Arial" w:cs="Arial"/>
          <w:color w:val="000000"/>
        </w:rPr>
      </w:pPr>
      <w:r w:rsidRPr="00E867F6">
        <w:lastRenderedPageBreak/>
        <w:t xml:space="preserve">The Canadian Institute for Health Information (CIHI) was established in 1994 by Health Canada as an independent, non-for-profit organisation to provide centralised, consistent, un-biased and comparable health system information across Canada. CIHI produces a </w:t>
      </w:r>
      <w:r w:rsidRPr="00E867F6">
        <w:rPr>
          <w:rFonts w:ascii="Arial" w:hAnsi="Arial" w:cs="Arial"/>
          <w:color w:val="000000"/>
        </w:rPr>
        <w:t>broad range of health system information, measurements and standards, and evidence-based reports and analyses to accelerate improvements in health care and health system performance.</w:t>
      </w:r>
      <w:r w:rsidRPr="00E867F6">
        <w:rPr>
          <w:rStyle w:val="EndnoteReference"/>
          <w:rFonts w:cs="Arial"/>
          <w:color w:val="000000"/>
        </w:rPr>
        <w:endnoteReference w:id="70"/>
      </w:r>
    </w:p>
    <w:p w14:paraId="250F8426" w14:textId="71A637E9" w:rsidR="009A3F7C" w:rsidRPr="00E867F6" w:rsidRDefault="009A3F7C" w:rsidP="00B10CAC">
      <w:pPr>
        <w:pStyle w:val="BodyText"/>
      </w:pPr>
      <w:r w:rsidRPr="00E867F6">
        <w:t xml:space="preserve">The CIHI website provides a large amount of health care performance information and interactive reporting tools categorised by themes, such as health system performance, patient outcomes, patient experience, quality and safety and international comparisons, amongst other important topics. Patients, consumers and healthcare professionals are able to view health care performance information via </w:t>
      </w:r>
      <w:r w:rsidRPr="00E867F6">
        <w:rPr>
          <w:i/>
        </w:rPr>
        <w:t xml:space="preserve">Your Health System: Insight. </w:t>
      </w:r>
      <w:r w:rsidRPr="00E867F6">
        <w:t>This</w:t>
      </w:r>
      <w:r w:rsidRPr="00E867F6">
        <w:rPr>
          <w:i/>
        </w:rPr>
        <w:t xml:space="preserve"> </w:t>
      </w:r>
      <w:r w:rsidRPr="00E867F6">
        <w:t xml:space="preserve">is an interactive online tool that enables users to explore and understand health care activity and performance at an organisational, health region or province/territory level. Performance is compared to the Canadian average score. Data </w:t>
      </w:r>
      <w:r w:rsidR="00996F27">
        <w:t>are</w:t>
      </w:r>
      <w:r w:rsidR="00996F27" w:rsidRPr="00E867F6">
        <w:t xml:space="preserve"> </w:t>
      </w:r>
      <w:r w:rsidRPr="00E867F6">
        <w:t>provided for an annual period (aligned to an Australian financial year). However, data for some indicators appear to be lagged by a year or in some cases, two years. Safety and quality indicators reported include:</w:t>
      </w:r>
      <w:r w:rsidRPr="00E867F6">
        <w:rPr>
          <w:rStyle w:val="EndnoteReference"/>
        </w:rPr>
        <w:endnoteReference w:id="71"/>
      </w:r>
      <w:r w:rsidRPr="00E867F6">
        <w:t xml:space="preserve"> </w:t>
      </w:r>
    </w:p>
    <w:p w14:paraId="5F4D7E12" w14:textId="5BB42B96" w:rsidR="009A3F7C" w:rsidRPr="00E867F6" w:rsidRDefault="00996F27" w:rsidP="00776E32">
      <w:pPr>
        <w:pStyle w:val="ListBullet"/>
        <w:contextualSpacing w:val="0"/>
      </w:pPr>
      <w:r w:rsidRPr="00E867F6">
        <w:t>In hospital sepsis (rate per 1,000)</w:t>
      </w:r>
    </w:p>
    <w:p w14:paraId="3AEA5154" w14:textId="4F792B98" w:rsidR="009A3F7C" w:rsidRPr="00E867F6" w:rsidRDefault="00996F27" w:rsidP="00776E32">
      <w:pPr>
        <w:pStyle w:val="ListBullet"/>
        <w:contextualSpacing w:val="0"/>
      </w:pPr>
      <w:r w:rsidRPr="00E867F6">
        <w:t>Obstetric trauma (with instru</w:t>
      </w:r>
      <w:r w:rsidR="009A3F7C" w:rsidRPr="00E867F6">
        <w:t>ment)</w:t>
      </w:r>
    </w:p>
    <w:p w14:paraId="4A3EE6B8" w14:textId="1170BE66" w:rsidR="009A3F7C" w:rsidRPr="00E867F6" w:rsidRDefault="00996F27" w:rsidP="00776E32">
      <w:pPr>
        <w:pStyle w:val="ListBullet"/>
        <w:contextualSpacing w:val="0"/>
        <w:rPr>
          <w:i/>
          <w:sz w:val="16"/>
          <w:szCs w:val="16"/>
        </w:rPr>
      </w:pPr>
      <w:r w:rsidRPr="00E867F6">
        <w:t xml:space="preserve">Potentially inappropriate medication prescribed to seniors </w:t>
      </w:r>
    </w:p>
    <w:p w14:paraId="6A260D90" w14:textId="2D45029B" w:rsidR="009A3F7C" w:rsidRPr="00E867F6" w:rsidRDefault="00996F27" w:rsidP="00776E32">
      <w:pPr>
        <w:pStyle w:val="ListBullet"/>
        <w:contextualSpacing w:val="0"/>
      </w:pPr>
      <w:r w:rsidRPr="00E867F6">
        <w:t xml:space="preserve">Falls in the last 30 days in </w:t>
      </w:r>
      <w:r w:rsidR="003576CD" w:rsidRPr="00E867F6">
        <w:t>long</w:t>
      </w:r>
      <w:r w:rsidR="003576CD">
        <w:t>-</w:t>
      </w:r>
      <w:r w:rsidRPr="00E867F6">
        <w:t>term care</w:t>
      </w:r>
    </w:p>
    <w:p w14:paraId="50E33CA8" w14:textId="4B81CCF3" w:rsidR="009A3F7C" w:rsidRPr="00E867F6" w:rsidRDefault="00996F27" w:rsidP="00776E32">
      <w:pPr>
        <w:pStyle w:val="ListBullet"/>
        <w:contextualSpacing w:val="0"/>
      </w:pPr>
      <w:r w:rsidRPr="00E867F6">
        <w:t>Worsened pressure ulcer in long</w:t>
      </w:r>
      <w:r w:rsidR="003576CD">
        <w:t>-</w:t>
      </w:r>
      <w:r w:rsidRPr="00E867F6">
        <w:t>term care</w:t>
      </w:r>
    </w:p>
    <w:p w14:paraId="389ACFB9" w14:textId="3264C9E1" w:rsidR="009A3F7C" w:rsidRPr="00E867F6" w:rsidRDefault="00996F27" w:rsidP="00776E32">
      <w:pPr>
        <w:pStyle w:val="ListBullet"/>
        <w:contextualSpacing w:val="0"/>
      </w:pPr>
      <w:r w:rsidRPr="00E867F6">
        <w:t>Readmissions within 30 days of discharge</w:t>
      </w:r>
    </w:p>
    <w:p w14:paraId="261FCC1E" w14:textId="55A1975C" w:rsidR="009A3F7C" w:rsidRPr="00E867F6" w:rsidRDefault="00996F27" w:rsidP="00776E32">
      <w:pPr>
        <w:pStyle w:val="ListBullet"/>
        <w:contextualSpacing w:val="0"/>
      </w:pPr>
      <w:r w:rsidRPr="00E867F6">
        <w:t>Hospital standardised mortal</w:t>
      </w:r>
      <w:r w:rsidR="009A3F7C" w:rsidRPr="00E867F6">
        <w:t>ity ratio</w:t>
      </w:r>
    </w:p>
    <w:p w14:paraId="2CE6618F" w14:textId="18F78606" w:rsidR="009A3F7C" w:rsidRPr="00E867F6" w:rsidRDefault="00996F27" w:rsidP="00776E32">
      <w:pPr>
        <w:pStyle w:val="ListBullet"/>
        <w:contextualSpacing w:val="0"/>
      </w:pPr>
      <w:r w:rsidRPr="00E867F6">
        <w:t>Repeat hospital stays for mental illness (at least 3 stays per year)</w:t>
      </w:r>
    </w:p>
    <w:p w14:paraId="1D396971" w14:textId="7BB062AB" w:rsidR="009A3F7C" w:rsidRPr="00E867F6" w:rsidRDefault="00996F27" w:rsidP="00776E32">
      <w:pPr>
        <w:pStyle w:val="ListBullet"/>
        <w:spacing w:after="240"/>
        <w:contextualSpacing w:val="0"/>
      </w:pPr>
      <w:r w:rsidRPr="00E867F6">
        <w:t>Potentially inappropriat</w:t>
      </w:r>
      <w:r w:rsidR="00370739">
        <w:t>e use of antipsychotics in long-</w:t>
      </w:r>
      <w:r w:rsidRPr="00E867F6">
        <w:t>term care</w:t>
      </w:r>
    </w:p>
    <w:p w14:paraId="3E8EDA42" w14:textId="680D2C73" w:rsidR="009A3F7C" w:rsidRPr="00E867F6" w:rsidRDefault="009A3F7C" w:rsidP="00B10CAC">
      <w:pPr>
        <w:pStyle w:val="BodyText"/>
      </w:pPr>
      <w:r w:rsidRPr="00E867F6">
        <w:t>The Canadian Patient Safety Institute (CPSI) was established by Health Canada in 2003 as an independent national body. CPSI works with governments, health organisations, leaders and healthcare providers to improve patient safety across the healthcare system. The four priority areas of focus are informed by the work of CIHI and include: medication safety; surgical safety; infection control; and home care safety.</w:t>
      </w:r>
      <w:r w:rsidRPr="00E867F6">
        <w:rPr>
          <w:rStyle w:val="EndnoteReference"/>
          <w:rFonts w:cs="Arial"/>
          <w:color w:val="000000"/>
        </w:rPr>
        <w:endnoteReference w:id="72"/>
      </w:r>
      <w:r w:rsidRPr="00E867F6">
        <w:t xml:space="preserve"> While CIPI does not publish safety and quality information per se, it does provide progress reports on actions taken to improve patient safety across the nation. </w:t>
      </w:r>
    </w:p>
    <w:p w14:paraId="0957F763" w14:textId="78ED6551" w:rsidR="009A3F7C" w:rsidRPr="00E867F6" w:rsidRDefault="009A3F7C" w:rsidP="008B7E6C">
      <w:pPr>
        <w:spacing w:after="80"/>
      </w:pPr>
      <w:r w:rsidRPr="00E867F6">
        <w:rPr>
          <w:rFonts w:cs="Arial"/>
        </w:rPr>
        <w:t>There was great variation observed in safety and quality information reported by p</w:t>
      </w:r>
      <w:r w:rsidRPr="00E867F6">
        <w:t>rovince and territory Health Ministries. The Province of British Columbia Ministry of Health and The Health and Social Services System in Quebec do not appear to publically report any safety and quality measures. However, the Ontario Ministry of Health and Long-term Care implemented public reporting of patient safety indicator results in 2012 as part of their initiative to strengthen patient safety its province.</w:t>
      </w:r>
      <w:r w:rsidRPr="00E867F6">
        <w:rPr>
          <w:rStyle w:val="EndnoteReference"/>
        </w:rPr>
        <w:endnoteReference w:id="73"/>
      </w:r>
      <w:r w:rsidRPr="00E867F6">
        <w:t xml:space="preserve"> The indicators and frequency for reporting </w:t>
      </w:r>
      <w:r w:rsidR="003576CD">
        <w:t>are</w:t>
      </w:r>
      <w:r w:rsidR="003576CD" w:rsidRPr="00E867F6">
        <w:t xml:space="preserve"> </w:t>
      </w:r>
      <w:r w:rsidRPr="00E867F6">
        <w:t xml:space="preserve">outlined in </w:t>
      </w:r>
      <w:r w:rsidR="008B7E6C">
        <w:t>table 4.</w:t>
      </w:r>
    </w:p>
    <w:p w14:paraId="3B517527" w14:textId="77777777" w:rsidR="003661DE" w:rsidRDefault="003661DE">
      <w:pPr>
        <w:spacing w:after="80"/>
        <w:rPr>
          <w:rFonts w:ascii="Arial" w:eastAsia="Calibri" w:hAnsi="Arial"/>
          <w:i/>
          <w:iCs/>
          <w:sz w:val="20"/>
          <w:szCs w:val="18"/>
          <w:lang w:eastAsia="en-US"/>
        </w:rPr>
      </w:pPr>
      <w:bookmarkStart w:id="51" w:name="_Ref514413582"/>
      <w:r>
        <w:br w:type="page"/>
      </w:r>
    </w:p>
    <w:p w14:paraId="0EBA498A" w14:textId="7AA6CCAE" w:rsidR="009A3F7C" w:rsidRPr="001427F9" w:rsidRDefault="009A3F7C" w:rsidP="00F95C6C">
      <w:pPr>
        <w:pStyle w:val="Caption"/>
        <w:rPr>
          <w:b/>
          <w:i w:val="0"/>
          <w:sz w:val="22"/>
          <w:szCs w:val="22"/>
        </w:rPr>
      </w:pPr>
      <w:r w:rsidRPr="001427F9">
        <w:rPr>
          <w:b/>
          <w:i w:val="0"/>
          <w:sz w:val="22"/>
          <w:szCs w:val="22"/>
        </w:rPr>
        <w:lastRenderedPageBreak/>
        <w:t xml:space="preserve">Table </w:t>
      </w:r>
      <w:r w:rsidR="00793D86" w:rsidRPr="001427F9">
        <w:rPr>
          <w:b/>
          <w:i w:val="0"/>
          <w:sz w:val="22"/>
          <w:szCs w:val="22"/>
        </w:rPr>
        <w:fldChar w:fldCharType="begin"/>
      </w:r>
      <w:r w:rsidR="00793D86" w:rsidRPr="001427F9">
        <w:rPr>
          <w:b/>
          <w:i w:val="0"/>
          <w:sz w:val="22"/>
          <w:szCs w:val="22"/>
        </w:rPr>
        <w:instrText xml:space="preserve"> SEQ Table \* ARABIC </w:instrText>
      </w:r>
      <w:r w:rsidR="00793D86" w:rsidRPr="001427F9">
        <w:rPr>
          <w:b/>
          <w:i w:val="0"/>
          <w:sz w:val="22"/>
          <w:szCs w:val="22"/>
        </w:rPr>
        <w:fldChar w:fldCharType="separate"/>
      </w:r>
      <w:r w:rsidR="00F70157">
        <w:rPr>
          <w:b/>
          <w:i w:val="0"/>
          <w:noProof/>
          <w:sz w:val="22"/>
          <w:szCs w:val="22"/>
        </w:rPr>
        <w:t>4</w:t>
      </w:r>
      <w:r w:rsidR="00793D86" w:rsidRPr="001427F9">
        <w:rPr>
          <w:b/>
          <w:i w:val="0"/>
          <w:sz w:val="22"/>
          <w:szCs w:val="22"/>
        </w:rPr>
        <w:fldChar w:fldCharType="end"/>
      </w:r>
      <w:bookmarkEnd w:id="51"/>
      <w:r w:rsidR="00397AFF" w:rsidRPr="001427F9">
        <w:rPr>
          <w:b/>
          <w:i w:val="0"/>
          <w:sz w:val="22"/>
          <w:szCs w:val="22"/>
        </w:rPr>
        <w:t>:</w:t>
      </w:r>
      <w:r w:rsidRPr="001427F9">
        <w:rPr>
          <w:b/>
          <w:i w:val="0"/>
          <w:sz w:val="22"/>
          <w:szCs w:val="22"/>
        </w:rPr>
        <w:t xml:space="preserve"> Ontario Ministry of Health </w:t>
      </w:r>
      <w:r w:rsidR="008400F3" w:rsidRPr="001427F9">
        <w:rPr>
          <w:b/>
          <w:i w:val="0"/>
          <w:sz w:val="22"/>
          <w:szCs w:val="22"/>
        </w:rPr>
        <w:t>and long-term care patient safety indicator reporting</w:t>
      </w:r>
    </w:p>
    <w:tbl>
      <w:tblPr>
        <w:tblStyle w:val="LightList-Accent2"/>
        <w:tblW w:w="5000" w:type="pct"/>
        <w:tblLook w:val="04A0" w:firstRow="1" w:lastRow="0" w:firstColumn="1" w:lastColumn="0" w:noHBand="0" w:noVBand="1"/>
      </w:tblPr>
      <w:tblGrid>
        <w:gridCol w:w="3942"/>
        <w:gridCol w:w="2039"/>
        <w:gridCol w:w="3261"/>
      </w:tblGrid>
      <w:tr w:rsidR="009A3F7C" w:rsidRPr="00064C19" w14:paraId="3948DB0B" w14:textId="77777777" w:rsidTr="003661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BA3EBEE" w14:textId="77777777" w:rsidR="009A3F7C" w:rsidRPr="003661DE" w:rsidRDefault="009A3F7C" w:rsidP="003661DE">
            <w:pPr>
              <w:spacing w:after="0"/>
              <w:rPr>
                <w:rFonts w:asciiTheme="majorHAnsi" w:hAnsiTheme="majorHAnsi" w:cstheme="majorHAnsi"/>
                <w:bCs w:val="0"/>
                <w:sz w:val="20"/>
                <w:szCs w:val="20"/>
              </w:rPr>
            </w:pPr>
            <w:r w:rsidRPr="003661DE">
              <w:rPr>
                <w:rFonts w:asciiTheme="majorHAnsi" w:hAnsiTheme="majorHAnsi" w:cstheme="majorHAnsi"/>
                <w:sz w:val="20"/>
                <w:szCs w:val="20"/>
              </w:rPr>
              <w:t>Patient Safety Indicator</w:t>
            </w:r>
          </w:p>
        </w:tc>
        <w:tc>
          <w:tcPr>
            <w:tcW w:w="0" w:type="auto"/>
            <w:hideMark/>
          </w:tcPr>
          <w:p w14:paraId="7A9ED729" w14:textId="77777777" w:rsidR="009A3F7C" w:rsidRPr="003661DE" w:rsidRDefault="009A3F7C" w:rsidP="003661DE">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3661DE">
              <w:rPr>
                <w:rFonts w:asciiTheme="majorHAnsi" w:hAnsiTheme="majorHAnsi" w:cstheme="majorHAnsi"/>
                <w:sz w:val="20"/>
                <w:szCs w:val="20"/>
              </w:rPr>
              <w:t>Date of initial Public Reporting</w:t>
            </w:r>
          </w:p>
        </w:tc>
        <w:tc>
          <w:tcPr>
            <w:tcW w:w="0" w:type="auto"/>
            <w:hideMark/>
          </w:tcPr>
          <w:p w14:paraId="3AB12799" w14:textId="77777777" w:rsidR="009A3F7C" w:rsidRPr="003661DE" w:rsidRDefault="009A3F7C" w:rsidP="003661DE">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sz w:val="20"/>
                <w:szCs w:val="20"/>
              </w:rPr>
            </w:pPr>
            <w:r w:rsidRPr="003661DE">
              <w:rPr>
                <w:rFonts w:asciiTheme="majorHAnsi" w:hAnsiTheme="majorHAnsi" w:cstheme="majorHAnsi"/>
                <w:sz w:val="20"/>
                <w:szCs w:val="20"/>
              </w:rPr>
              <w:t>Reporting Frequency</w:t>
            </w:r>
          </w:p>
        </w:tc>
      </w:tr>
      <w:tr w:rsidR="009A3F7C" w:rsidRPr="00064C19" w14:paraId="4DE531BE" w14:textId="77777777" w:rsidTr="00366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3B081342" w14:textId="77777777" w:rsidR="009A3F7C" w:rsidRPr="003661DE" w:rsidRDefault="009A3F7C" w:rsidP="00204A25">
            <w:pPr>
              <w:spacing w:after="0"/>
              <w:rPr>
                <w:rFonts w:asciiTheme="majorHAnsi" w:hAnsiTheme="majorHAnsi" w:cstheme="majorHAnsi"/>
                <w:b w:val="0"/>
                <w:sz w:val="20"/>
                <w:szCs w:val="20"/>
              </w:rPr>
            </w:pPr>
            <w:r w:rsidRPr="003661DE">
              <w:rPr>
                <w:rFonts w:asciiTheme="majorHAnsi" w:hAnsiTheme="majorHAnsi" w:cstheme="majorHAnsi"/>
                <w:b w:val="0"/>
                <w:i/>
                <w:iCs/>
                <w:sz w:val="20"/>
                <w:szCs w:val="20"/>
              </w:rPr>
              <w:t>Clostridium difficile</w:t>
            </w:r>
            <w:r w:rsidRPr="003661DE">
              <w:rPr>
                <w:rFonts w:asciiTheme="majorHAnsi" w:hAnsiTheme="majorHAnsi" w:cstheme="majorHAnsi"/>
                <w:b w:val="0"/>
                <w:sz w:val="20"/>
                <w:szCs w:val="20"/>
              </w:rPr>
              <w:t xml:space="preserve"> Infection (CDI) rate</w:t>
            </w:r>
          </w:p>
        </w:tc>
        <w:tc>
          <w:tcPr>
            <w:tcW w:w="2250" w:type="dxa"/>
            <w:hideMark/>
          </w:tcPr>
          <w:p w14:paraId="3FD791C9" w14:textId="4F4BC5A0" w:rsidR="009A3F7C" w:rsidRPr="003661DE" w:rsidRDefault="00064C19" w:rsidP="00064C19">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26 </w:t>
            </w:r>
            <w:r w:rsidR="009A3F7C" w:rsidRPr="003661DE">
              <w:rPr>
                <w:rFonts w:asciiTheme="majorHAnsi" w:hAnsiTheme="majorHAnsi" w:cstheme="majorHAnsi"/>
                <w:sz w:val="20"/>
                <w:szCs w:val="20"/>
              </w:rPr>
              <w:t>Sept</w:t>
            </w:r>
            <w:r>
              <w:rPr>
                <w:rFonts w:asciiTheme="majorHAnsi" w:hAnsiTheme="majorHAnsi" w:cstheme="majorHAnsi"/>
                <w:sz w:val="20"/>
                <w:szCs w:val="20"/>
              </w:rPr>
              <w:t>.</w:t>
            </w:r>
            <w:r w:rsidR="009A3F7C" w:rsidRPr="003661DE">
              <w:rPr>
                <w:rFonts w:asciiTheme="majorHAnsi" w:hAnsiTheme="majorHAnsi" w:cstheme="majorHAnsi"/>
                <w:sz w:val="20"/>
                <w:szCs w:val="20"/>
              </w:rPr>
              <w:t xml:space="preserve"> 2008</w:t>
            </w:r>
          </w:p>
        </w:tc>
        <w:tc>
          <w:tcPr>
            <w:tcW w:w="3750" w:type="dxa"/>
            <w:hideMark/>
          </w:tcPr>
          <w:p w14:paraId="4C009872" w14:textId="77777777" w:rsidR="009A3F7C" w:rsidRPr="003661DE" w:rsidRDefault="009A3F7C" w:rsidP="00204A25">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661DE">
              <w:rPr>
                <w:rFonts w:asciiTheme="majorHAnsi" w:hAnsiTheme="majorHAnsi" w:cstheme="majorHAnsi"/>
                <w:sz w:val="20"/>
                <w:szCs w:val="20"/>
              </w:rPr>
              <w:t>Monthly</w:t>
            </w:r>
          </w:p>
        </w:tc>
      </w:tr>
      <w:tr w:rsidR="009A3F7C" w:rsidRPr="00064C19" w14:paraId="2BCD294C" w14:textId="77777777" w:rsidTr="003661DE">
        <w:tc>
          <w:tcPr>
            <w:cnfStyle w:val="001000000000" w:firstRow="0" w:lastRow="0" w:firstColumn="1" w:lastColumn="0" w:oddVBand="0" w:evenVBand="0" w:oddHBand="0" w:evenHBand="0" w:firstRowFirstColumn="0" w:firstRowLastColumn="0" w:lastRowFirstColumn="0" w:lastRowLastColumn="0"/>
            <w:tcW w:w="4500" w:type="dxa"/>
            <w:hideMark/>
          </w:tcPr>
          <w:p w14:paraId="6CB2282D" w14:textId="77777777" w:rsidR="009A3F7C" w:rsidRPr="003661DE" w:rsidRDefault="009A3F7C" w:rsidP="00204A25">
            <w:pPr>
              <w:spacing w:after="0"/>
              <w:rPr>
                <w:rFonts w:asciiTheme="majorHAnsi" w:hAnsiTheme="majorHAnsi" w:cstheme="majorHAnsi"/>
                <w:b w:val="0"/>
                <w:sz w:val="20"/>
                <w:szCs w:val="20"/>
              </w:rPr>
            </w:pPr>
            <w:r w:rsidRPr="003661DE">
              <w:rPr>
                <w:rFonts w:asciiTheme="majorHAnsi" w:hAnsiTheme="majorHAnsi" w:cstheme="majorHAnsi"/>
                <w:b w:val="0"/>
                <w:sz w:val="20"/>
                <w:szCs w:val="20"/>
              </w:rPr>
              <w:t xml:space="preserve">Methicillin-resistant </w:t>
            </w:r>
            <w:r w:rsidRPr="003661DE">
              <w:rPr>
                <w:rFonts w:asciiTheme="majorHAnsi" w:hAnsiTheme="majorHAnsi" w:cstheme="majorHAnsi"/>
                <w:b w:val="0"/>
                <w:i/>
                <w:iCs/>
                <w:sz w:val="20"/>
                <w:szCs w:val="20"/>
              </w:rPr>
              <w:t>Staphylococcus aureus</w:t>
            </w:r>
            <w:r w:rsidRPr="003661DE">
              <w:rPr>
                <w:rFonts w:asciiTheme="majorHAnsi" w:hAnsiTheme="majorHAnsi" w:cstheme="majorHAnsi"/>
                <w:b w:val="0"/>
                <w:sz w:val="20"/>
                <w:szCs w:val="20"/>
              </w:rPr>
              <w:t xml:space="preserve"> (MRSA) rate</w:t>
            </w:r>
          </w:p>
        </w:tc>
        <w:tc>
          <w:tcPr>
            <w:tcW w:w="2250" w:type="dxa"/>
            <w:hideMark/>
          </w:tcPr>
          <w:p w14:paraId="09BC449B" w14:textId="28E95A53" w:rsidR="009A3F7C" w:rsidRPr="003661DE" w:rsidRDefault="00064C19" w:rsidP="00064C19">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30 </w:t>
            </w:r>
            <w:r w:rsidR="009A3F7C" w:rsidRPr="003661DE">
              <w:rPr>
                <w:rFonts w:asciiTheme="majorHAnsi" w:hAnsiTheme="majorHAnsi" w:cstheme="majorHAnsi"/>
                <w:sz w:val="20"/>
                <w:szCs w:val="20"/>
              </w:rPr>
              <w:t>Dec</w:t>
            </w:r>
            <w:r>
              <w:rPr>
                <w:rFonts w:asciiTheme="majorHAnsi" w:hAnsiTheme="majorHAnsi" w:cstheme="majorHAnsi"/>
                <w:sz w:val="20"/>
                <w:szCs w:val="20"/>
              </w:rPr>
              <w:t>.</w:t>
            </w:r>
            <w:r w:rsidR="009A3F7C" w:rsidRPr="003661DE">
              <w:rPr>
                <w:rFonts w:asciiTheme="majorHAnsi" w:hAnsiTheme="majorHAnsi" w:cstheme="majorHAnsi"/>
                <w:sz w:val="20"/>
                <w:szCs w:val="20"/>
              </w:rPr>
              <w:t xml:space="preserve"> 2008</w:t>
            </w:r>
          </w:p>
        </w:tc>
        <w:tc>
          <w:tcPr>
            <w:tcW w:w="3750" w:type="dxa"/>
            <w:hideMark/>
          </w:tcPr>
          <w:p w14:paraId="16A0A456" w14:textId="77777777" w:rsidR="009A3F7C" w:rsidRPr="003661DE" w:rsidRDefault="009A3F7C" w:rsidP="00204A2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661DE">
              <w:rPr>
                <w:rFonts w:asciiTheme="majorHAnsi" w:hAnsiTheme="majorHAnsi" w:cstheme="majorHAnsi"/>
                <w:sz w:val="20"/>
                <w:szCs w:val="20"/>
              </w:rPr>
              <w:t>Quarterly in January, April, July and October</w:t>
            </w:r>
          </w:p>
        </w:tc>
      </w:tr>
      <w:tr w:rsidR="009A3F7C" w:rsidRPr="00064C19" w14:paraId="6419FAB8" w14:textId="77777777" w:rsidTr="00366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78B608F8" w14:textId="77777777" w:rsidR="009A3F7C" w:rsidRPr="003661DE" w:rsidRDefault="009A3F7C" w:rsidP="00204A25">
            <w:pPr>
              <w:spacing w:after="0"/>
              <w:rPr>
                <w:rFonts w:asciiTheme="majorHAnsi" w:hAnsiTheme="majorHAnsi" w:cstheme="majorHAnsi"/>
                <w:b w:val="0"/>
                <w:sz w:val="20"/>
                <w:szCs w:val="20"/>
              </w:rPr>
            </w:pPr>
            <w:r w:rsidRPr="003661DE">
              <w:rPr>
                <w:rFonts w:asciiTheme="majorHAnsi" w:hAnsiTheme="majorHAnsi" w:cstheme="majorHAnsi"/>
                <w:b w:val="0"/>
                <w:sz w:val="20"/>
                <w:szCs w:val="20"/>
              </w:rPr>
              <w:t xml:space="preserve">Vancomycin-resistant </w:t>
            </w:r>
            <w:r w:rsidRPr="003661DE">
              <w:rPr>
                <w:rFonts w:asciiTheme="majorHAnsi" w:hAnsiTheme="majorHAnsi" w:cstheme="majorHAnsi"/>
                <w:b w:val="0"/>
                <w:i/>
                <w:iCs/>
                <w:sz w:val="20"/>
                <w:szCs w:val="20"/>
              </w:rPr>
              <w:t xml:space="preserve">Enterococci </w:t>
            </w:r>
            <w:r w:rsidRPr="003661DE">
              <w:rPr>
                <w:rFonts w:asciiTheme="majorHAnsi" w:hAnsiTheme="majorHAnsi" w:cstheme="majorHAnsi"/>
                <w:b w:val="0"/>
                <w:sz w:val="20"/>
                <w:szCs w:val="20"/>
              </w:rPr>
              <w:t>(VRE) rate</w:t>
            </w:r>
          </w:p>
        </w:tc>
        <w:tc>
          <w:tcPr>
            <w:tcW w:w="2250" w:type="dxa"/>
            <w:hideMark/>
          </w:tcPr>
          <w:p w14:paraId="7A83136B" w14:textId="1B3AFBC5" w:rsidR="009A3F7C" w:rsidRPr="003661DE" w:rsidRDefault="00064C19" w:rsidP="00064C19">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30 </w:t>
            </w:r>
            <w:r w:rsidR="009A3F7C" w:rsidRPr="003661DE">
              <w:rPr>
                <w:rFonts w:asciiTheme="majorHAnsi" w:hAnsiTheme="majorHAnsi" w:cstheme="majorHAnsi"/>
                <w:sz w:val="20"/>
                <w:szCs w:val="20"/>
              </w:rPr>
              <w:t>Dec.</w:t>
            </w:r>
            <w:r>
              <w:rPr>
                <w:rFonts w:asciiTheme="majorHAnsi" w:hAnsiTheme="majorHAnsi" w:cstheme="majorHAnsi"/>
                <w:sz w:val="20"/>
                <w:szCs w:val="20"/>
              </w:rPr>
              <w:t xml:space="preserve"> </w:t>
            </w:r>
            <w:r w:rsidR="009A3F7C" w:rsidRPr="003661DE">
              <w:rPr>
                <w:rFonts w:asciiTheme="majorHAnsi" w:hAnsiTheme="majorHAnsi" w:cstheme="majorHAnsi"/>
                <w:sz w:val="20"/>
                <w:szCs w:val="20"/>
              </w:rPr>
              <w:t>2008</w:t>
            </w:r>
          </w:p>
        </w:tc>
        <w:tc>
          <w:tcPr>
            <w:tcW w:w="3750" w:type="dxa"/>
            <w:hideMark/>
          </w:tcPr>
          <w:p w14:paraId="118CDD7F" w14:textId="77777777" w:rsidR="009A3F7C" w:rsidRPr="003661DE" w:rsidRDefault="009A3F7C" w:rsidP="00204A25">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661DE">
              <w:rPr>
                <w:rFonts w:asciiTheme="majorHAnsi" w:hAnsiTheme="majorHAnsi" w:cstheme="majorHAnsi"/>
                <w:sz w:val="20"/>
                <w:szCs w:val="20"/>
              </w:rPr>
              <w:t>Quarterly in January, April, July and October</w:t>
            </w:r>
          </w:p>
        </w:tc>
      </w:tr>
      <w:tr w:rsidR="009A3F7C" w:rsidRPr="00064C19" w14:paraId="009E312C" w14:textId="77777777" w:rsidTr="003661DE">
        <w:tc>
          <w:tcPr>
            <w:cnfStyle w:val="001000000000" w:firstRow="0" w:lastRow="0" w:firstColumn="1" w:lastColumn="0" w:oddVBand="0" w:evenVBand="0" w:oddHBand="0" w:evenHBand="0" w:firstRowFirstColumn="0" w:firstRowLastColumn="0" w:lastRowFirstColumn="0" w:lastRowLastColumn="0"/>
            <w:tcW w:w="4500" w:type="dxa"/>
            <w:hideMark/>
          </w:tcPr>
          <w:p w14:paraId="53B45DC7" w14:textId="77777777" w:rsidR="009A3F7C" w:rsidRPr="003661DE" w:rsidRDefault="009A3F7C" w:rsidP="00204A25">
            <w:pPr>
              <w:spacing w:after="0"/>
              <w:rPr>
                <w:rFonts w:asciiTheme="majorHAnsi" w:hAnsiTheme="majorHAnsi" w:cstheme="majorHAnsi"/>
                <w:b w:val="0"/>
                <w:sz w:val="20"/>
                <w:szCs w:val="20"/>
              </w:rPr>
            </w:pPr>
            <w:r w:rsidRPr="003661DE">
              <w:rPr>
                <w:rFonts w:asciiTheme="majorHAnsi" w:hAnsiTheme="majorHAnsi" w:cstheme="majorHAnsi"/>
                <w:b w:val="0"/>
                <w:sz w:val="20"/>
                <w:szCs w:val="20"/>
              </w:rPr>
              <w:t>Hospital-Standardized Mortality Ratio (HSMR)</w:t>
            </w:r>
          </w:p>
        </w:tc>
        <w:tc>
          <w:tcPr>
            <w:tcW w:w="2250" w:type="dxa"/>
            <w:hideMark/>
          </w:tcPr>
          <w:p w14:paraId="497E7B93" w14:textId="40D97155" w:rsidR="009A3F7C" w:rsidRPr="003661DE" w:rsidRDefault="00064C19" w:rsidP="00064C19">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30 </w:t>
            </w:r>
            <w:r w:rsidR="009A3F7C" w:rsidRPr="003661DE">
              <w:rPr>
                <w:rFonts w:asciiTheme="majorHAnsi" w:hAnsiTheme="majorHAnsi" w:cstheme="majorHAnsi"/>
                <w:sz w:val="20"/>
                <w:szCs w:val="20"/>
              </w:rPr>
              <w:t>Dec. 2008</w:t>
            </w:r>
          </w:p>
        </w:tc>
        <w:tc>
          <w:tcPr>
            <w:tcW w:w="3750" w:type="dxa"/>
            <w:hideMark/>
          </w:tcPr>
          <w:p w14:paraId="14579FE8" w14:textId="77777777" w:rsidR="009A3F7C" w:rsidRPr="003661DE" w:rsidRDefault="009A3F7C" w:rsidP="00204A2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661DE">
              <w:rPr>
                <w:rFonts w:asciiTheme="majorHAnsi" w:hAnsiTheme="majorHAnsi" w:cstheme="majorHAnsi"/>
                <w:sz w:val="20"/>
                <w:szCs w:val="20"/>
              </w:rPr>
              <w:t>Annually in December</w:t>
            </w:r>
          </w:p>
        </w:tc>
      </w:tr>
      <w:tr w:rsidR="009A3F7C" w:rsidRPr="00064C19" w14:paraId="65B2720F" w14:textId="77777777" w:rsidTr="00366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4FD106B4" w14:textId="77777777" w:rsidR="009A3F7C" w:rsidRPr="003661DE" w:rsidRDefault="009A3F7C" w:rsidP="00204A25">
            <w:pPr>
              <w:spacing w:after="0"/>
              <w:rPr>
                <w:rFonts w:asciiTheme="majorHAnsi" w:hAnsiTheme="majorHAnsi" w:cstheme="majorHAnsi"/>
                <w:b w:val="0"/>
                <w:sz w:val="20"/>
                <w:szCs w:val="20"/>
              </w:rPr>
            </w:pPr>
            <w:r w:rsidRPr="003661DE">
              <w:rPr>
                <w:rFonts w:asciiTheme="majorHAnsi" w:hAnsiTheme="majorHAnsi" w:cstheme="majorHAnsi"/>
                <w:b w:val="0"/>
                <w:sz w:val="20"/>
                <w:szCs w:val="20"/>
              </w:rPr>
              <w:t>Ventilator-Associated Pneumonia (VAP) rate</w:t>
            </w:r>
          </w:p>
        </w:tc>
        <w:tc>
          <w:tcPr>
            <w:tcW w:w="2250" w:type="dxa"/>
            <w:hideMark/>
          </w:tcPr>
          <w:p w14:paraId="20FAF731" w14:textId="70DDAFA1" w:rsidR="009A3F7C" w:rsidRPr="003661DE" w:rsidRDefault="00064C19" w:rsidP="00064C19">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30 </w:t>
            </w:r>
            <w:r w:rsidR="009A3F7C" w:rsidRPr="003661DE">
              <w:rPr>
                <w:rFonts w:asciiTheme="majorHAnsi" w:hAnsiTheme="majorHAnsi" w:cstheme="majorHAnsi"/>
                <w:sz w:val="20"/>
                <w:szCs w:val="20"/>
              </w:rPr>
              <w:t>April 2009</w:t>
            </w:r>
          </w:p>
        </w:tc>
        <w:tc>
          <w:tcPr>
            <w:tcW w:w="3750" w:type="dxa"/>
            <w:hideMark/>
          </w:tcPr>
          <w:p w14:paraId="56E9E2E6" w14:textId="77777777" w:rsidR="009A3F7C" w:rsidRPr="003661DE" w:rsidRDefault="009A3F7C" w:rsidP="00204A25">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661DE">
              <w:rPr>
                <w:rFonts w:asciiTheme="majorHAnsi" w:hAnsiTheme="majorHAnsi" w:cstheme="majorHAnsi"/>
                <w:sz w:val="20"/>
                <w:szCs w:val="20"/>
              </w:rPr>
              <w:t>Quarterly in January, April, July and October</w:t>
            </w:r>
          </w:p>
        </w:tc>
      </w:tr>
      <w:tr w:rsidR="009A3F7C" w:rsidRPr="00064C19" w14:paraId="553E7EFF" w14:textId="77777777" w:rsidTr="003661DE">
        <w:tc>
          <w:tcPr>
            <w:cnfStyle w:val="001000000000" w:firstRow="0" w:lastRow="0" w:firstColumn="1" w:lastColumn="0" w:oddVBand="0" w:evenVBand="0" w:oddHBand="0" w:evenHBand="0" w:firstRowFirstColumn="0" w:firstRowLastColumn="0" w:lastRowFirstColumn="0" w:lastRowLastColumn="0"/>
            <w:tcW w:w="4500" w:type="dxa"/>
            <w:hideMark/>
          </w:tcPr>
          <w:p w14:paraId="09CEA7DB" w14:textId="77777777" w:rsidR="009A3F7C" w:rsidRPr="003661DE" w:rsidRDefault="009A3F7C" w:rsidP="00204A25">
            <w:pPr>
              <w:spacing w:after="0"/>
              <w:rPr>
                <w:rFonts w:asciiTheme="majorHAnsi" w:hAnsiTheme="majorHAnsi" w:cstheme="majorHAnsi"/>
                <w:b w:val="0"/>
                <w:sz w:val="20"/>
                <w:szCs w:val="20"/>
              </w:rPr>
            </w:pPr>
            <w:r w:rsidRPr="003661DE">
              <w:rPr>
                <w:rFonts w:asciiTheme="majorHAnsi" w:hAnsiTheme="majorHAnsi" w:cstheme="majorHAnsi"/>
                <w:b w:val="0"/>
                <w:sz w:val="20"/>
                <w:szCs w:val="20"/>
              </w:rPr>
              <w:t>Central Line-Associated Primary Blood Stream Infection (CLI) rate</w:t>
            </w:r>
          </w:p>
        </w:tc>
        <w:tc>
          <w:tcPr>
            <w:tcW w:w="2250" w:type="dxa"/>
            <w:hideMark/>
          </w:tcPr>
          <w:p w14:paraId="580A4071" w14:textId="03A7A6F5" w:rsidR="009A3F7C" w:rsidRPr="003661DE" w:rsidRDefault="00064C19" w:rsidP="00064C19">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30 </w:t>
            </w:r>
            <w:r w:rsidR="009A3F7C" w:rsidRPr="003661DE">
              <w:rPr>
                <w:rFonts w:asciiTheme="majorHAnsi" w:hAnsiTheme="majorHAnsi" w:cstheme="majorHAnsi"/>
                <w:sz w:val="20"/>
                <w:szCs w:val="20"/>
              </w:rPr>
              <w:t>April 2009</w:t>
            </w:r>
          </w:p>
        </w:tc>
        <w:tc>
          <w:tcPr>
            <w:tcW w:w="3750" w:type="dxa"/>
            <w:hideMark/>
          </w:tcPr>
          <w:p w14:paraId="1C571E9F" w14:textId="77777777" w:rsidR="009A3F7C" w:rsidRPr="003661DE" w:rsidRDefault="009A3F7C" w:rsidP="00204A2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661DE">
              <w:rPr>
                <w:rFonts w:asciiTheme="majorHAnsi" w:hAnsiTheme="majorHAnsi" w:cstheme="majorHAnsi"/>
                <w:sz w:val="20"/>
                <w:szCs w:val="20"/>
              </w:rPr>
              <w:t>Quarterly in January, April, July and October</w:t>
            </w:r>
          </w:p>
        </w:tc>
      </w:tr>
      <w:tr w:rsidR="009A3F7C" w:rsidRPr="00064C19" w14:paraId="77466AF3" w14:textId="77777777" w:rsidTr="00366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599AD02E" w14:textId="77777777" w:rsidR="009A3F7C" w:rsidRPr="003661DE" w:rsidRDefault="009A3F7C" w:rsidP="00204A25">
            <w:pPr>
              <w:spacing w:after="0"/>
              <w:rPr>
                <w:rFonts w:asciiTheme="majorHAnsi" w:hAnsiTheme="majorHAnsi" w:cstheme="majorHAnsi"/>
                <w:b w:val="0"/>
                <w:sz w:val="20"/>
                <w:szCs w:val="20"/>
              </w:rPr>
            </w:pPr>
            <w:r w:rsidRPr="003661DE">
              <w:rPr>
                <w:rFonts w:asciiTheme="majorHAnsi" w:hAnsiTheme="majorHAnsi" w:cstheme="majorHAnsi"/>
                <w:b w:val="0"/>
                <w:sz w:val="20"/>
                <w:szCs w:val="20"/>
              </w:rPr>
              <w:t>Surgical Site Infection (SSI) prevention rate in hip and knee joint replacement surgeries</w:t>
            </w:r>
          </w:p>
        </w:tc>
        <w:tc>
          <w:tcPr>
            <w:tcW w:w="2250" w:type="dxa"/>
            <w:hideMark/>
          </w:tcPr>
          <w:p w14:paraId="233162DC" w14:textId="51BCB508" w:rsidR="009A3F7C" w:rsidRPr="003661DE" w:rsidRDefault="00064C19" w:rsidP="00064C19">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30 </w:t>
            </w:r>
            <w:r w:rsidR="009A3F7C" w:rsidRPr="003661DE">
              <w:rPr>
                <w:rFonts w:asciiTheme="majorHAnsi" w:hAnsiTheme="majorHAnsi" w:cstheme="majorHAnsi"/>
                <w:sz w:val="20"/>
                <w:szCs w:val="20"/>
              </w:rPr>
              <w:t>April 2009</w:t>
            </w:r>
          </w:p>
        </w:tc>
        <w:tc>
          <w:tcPr>
            <w:tcW w:w="3750" w:type="dxa"/>
            <w:hideMark/>
          </w:tcPr>
          <w:p w14:paraId="38AA45D9" w14:textId="77777777" w:rsidR="009A3F7C" w:rsidRPr="003661DE" w:rsidRDefault="009A3F7C" w:rsidP="00204A25">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661DE">
              <w:rPr>
                <w:rFonts w:asciiTheme="majorHAnsi" w:hAnsiTheme="majorHAnsi" w:cstheme="majorHAnsi"/>
                <w:sz w:val="20"/>
                <w:szCs w:val="20"/>
              </w:rPr>
              <w:t>Quarterly in January, April, July and October</w:t>
            </w:r>
          </w:p>
        </w:tc>
      </w:tr>
      <w:tr w:rsidR="009A3F7C" w:rsidRPr="00064C19" w14:paraId="0FF517C4" w14:textId="77777777" w:rsidTr="003661DE">
        <w:tc>
          <w:tcPr>
            <w:cnfStyle w:val="001000000000" w:firstRow="0" w:lastRow="0" w:firstColumn="1" w:lastColumn="0" w:oddVBand="0" w:evenVBand="0" w:oddHBand="0" w:evenHBand="0" w:firstRowFirstColumn="0" w:firstRowLastColumn="0" w:lastRowFirstColumn="0" w:lastRowLastColumn="0"/>
            <w:tcW w:w="4500" w:type="dxa"/>
            <w:hideMark/>
          </w:tcPr>
          <w:p w14:paraId="6381D34D" w14:textId="77777777" w:rsidR="009A3F7C" w:rsidRPr="003661DE" w:rsidRDefault="009A3F7C" w:rsidP="00204A25">
            <w:pPr>
              <w:spacing w:after="0"/>
              <w:rPr>
                <w:rFonts w:asciiTheme="majorHAnsi" w:hAnsiTheme="majorHAnsi" w:cstheme="majorHAnsi"/>
                <w:b w:val="0"/>
                <w:sz w:val="20"/>
                <w:szCs w:val="20"/>
              </w:rPr>
            </w:pPr>
            <w:r w:rsidRPr="003661DE">
              <w:rPr>
                <w:rFonts w:asciiTheme="majorHAnsi" w:hAnsiTheme="majorHAnsi" w:cstheme="majorHAnsi"/>
                <w:b w:val="0"/>
                <w:sz w:val="20"/>
                <w:szCs w:val="20"/>
              </w:rPr>
              <w:t xml:space="preserve">Hand Hygiene Compliance </w:t>
            </w:r>
          </w:p>
        </w:tc>
        <w:tc>
          <w:tcPr>
            <w:tcW w:w="2250" w:type="dxa"/>
            <w:hideMark/>
          </w:tcPr>
          <w:p w14:paraId="069427E3" w14:textId="4F79DE4E" w:rsidR="009A3F7C" w:rsidRPr="003661DE" w:rsidRDefault="00064C19" w:rsidP="00064C19">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30 </w:t>
            </w:r>
            <w:r w:rsidR="009A3F7C" w:rsidRPr="003661DE">
              <w:rPr>
                <w:rFonts w:asciiTheme="majorHAnsi" w:hAnsiTheme="majorHAnsi" w:cstheme="majorHAnsi"/>
                <w:sz w:val="20"/>
                <w:szCs w:val="20"/>
              </w:rPr>
              <w:t>April 2009</w:t>
            </w:r>
          </w:p>
        </w:tc>
        <w:tc>
          <w:tcPr>
            <w:tcW w:w="3750" w:type="dxa"/>
            <w:hideMark/>
          </w:tcPr>
          <w:p w14:paraId="7CCAED0D" w14:textId="77777777" w:rsidR="009A3F7C" w:rsidRPr="003661DE" w:rsidRDefault="009A3F7C" w:rsidP="00204A25">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3661DE">
              <w:rPr>
                <w:rFonts w:asciiTheme="majorHAnsi" w:hAnsiTheme="majorHAnsi" w:cstheme="majorHAnsi"/>
                <w:sz w:val="20"/>
                <w:szCs w:val="20"/>
              </w:rPr>
              <w:t>Annually in April</w:t>
            </w:r>
          </w:p>
        </w:tc>
      </w:tr>
      <w:tr w:rsidR="009A3F7C" w:rsidRPr="00064C19" w14:paraId="05E0A2B2" w14:textId="77777777" w:rsidTr="003661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0" w:type="dxa"/>
            <w:hideMark/>
          </w:tcPr>
          <w:p w14:paraId="489D8069" w14:textId="77777777" w:rsidR="009A3F7C" w:rsidRPr="003661DE" w:rsidRDefault="009A3F7C" w:rsidP="00204A25">
            <w:pPr>
              <w:spacing w:after="0"/>
              <w:rPr>
                <w:rFonts w:asciiTheme="majorHAnsi" w:hAnsiTheme="majorHAnsi" w:cstheme="majorHAnsi"/>
                <w:b w:val="0"/>
                <w:sz w:val="20"/>
                <w:szCs w:val="20"/>
              </w:rPr>
            </w:pPr>
            <w:r w:rsidRPr="003661DE">
              <w:rPr>
                <w:rFonts w:asciiTheme="majorHAnsi" w:hAnsiTheme="majorHAnsi" w:cstheme="majorHAnsi"/>
                <w:b w:val="0"/>
                <w:sz w:val="20"/>
                <w:szCs w:val="20"/>
              </w:rPr>
              <w:t xml:space="preserve">Surgical Safety Checklist (SSC) compliance </w:t>
            </w:r>
          </w:p>
        </w:tc>
        <w:tc>
          <w:tcPr>
            <w:tcW w:w="2250" w:type="dxa"/>
            <w:hideMark/>
          </w:tcPr>
          <w:p w14:paraId="5D541D8D" w14:textId="11522D7B" w:rsidR="009A3F7C" w:rsidRPr="003661DE" w:rsidRDefault="00064C19" w:rsidP="00064C19">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Pr>
                <w:rFonts w:asciiTheme="majorHAnsi" w:hAnsiTheme="majorHAnsi" w:cstheme="majorHAnsi"/>
                <w:sz w:val="20"/>
                <w:szCs w:val="20"/>
              </w:rPr>
              <w:t xml:space="preserve">30 </w:t>
            </w:r>
            <w:r w:rsidR="009A3F7C" w:rsidRPr="003661DE">
              <w:rPr>
                <w:rFonts w:asciiTheme="majorHAnsi" w:hAnsiTheme="majorHAnsi" w:cstheme="majorHAnsi"/>
                <w:sz w:val="20"/>
                <w:szCs w:val="20"/>
              </w:rPr>
              <w:t>July  2010</w:t>
            </w:r>
          </w:p>
        </w:tc>
        <w:tc>
          <w:tcPr>
            <w:tcW w:w="3750" w:type="dxa"/>
            <w:hideMark/>
          </w:tcPr>
          <w:p w14:paraId="7EFE8927" w14:textId="77777777" w:rsidR="009A3F7C" w:rsidRPr="003661DE" w:rsidRDefault="009A3F7C" w:rsidP="00204A25">
            <w:pPr>
              <w:spacing w:after="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rPr>
            </w:pPr>
            <w:r w:rsidRPr="003661DE">
              <w:rPr>
                <w:rFonts w:asciiTheme="majorHAnsi" w:hAnsiTheme="majorHAnsi" w:cstheme="majorHAnsi"/>
                <w:sz w:val="20"/>
                <w:szCs w:val="20"/>
              </w:rPr>
              <w:t>Bi-annually in January and July</w:t>
            </w:r>
          </w:p>
        </w:tc>
      </w:tr>
    </w:tbl>
    <w:p w14:paraId="15CE2E27" w14:textId="77777777" w:rsidR="009A3F7C" w:rsidRPr="00E867F6" w:rsidRDefault="009A3F7C" w:rsidP="00DE3FB6">
      <w:pPr>
        <w:autoSpaceDE w:val="0"/>
        <w:autoSpaceDN w:val="0"/>
        <w:adjustRightInd w:val="0"/>
        <w:spacing w:after="0"/>
        <w:rPr>
          <w:rFonts w:ascii="Arial" w:hAnsi="Arial" w:cs="Arial"/>
          <w:i/>
          <w:sz w:val="18"/>
          <w:szCs w:val="18"/>
        </w:rPr>
      </w:pPr>
      <w:r w:rsidRPr="00E867F6">
        <w:rPr>
          <w:rFonts w:ascii="Arial" w:hAnsi="Arial" w:cs="Arial"/>
          <w:i/>
          <w:sz w:val="18"/>
          <w:szCs w:val="18"/>
        </w:rPr>
        <w:t xml:space="preserve">Source: </w:t>
      </w:r>
      <w:hyperlink r:id="rId31" w:history="1">
        <w:r w:rsidRPr="00E867F6">
          <w:rPr>
            <w:rStyle w:val="Hyperlink"/>
            <w:rFonts w:cs="Arial"/>
            <w:i/>
            <w:sz w:val="18"/>
            <w:szCs w:val="18"/>
          </w:rPr>
          <w:t>http://www.health.gov.on.ca/en/public/programs/patient_safety/</w:t>
        </w:r>
      </w:hyperlink>
      <w:r w:rsidRPr="00E867F6">
        <w:rPr>
          <w:rFonts w:ascii="Arial" w:hAnsi="Arial" w:cs="Arial"/>
          <w:i/>
          <w:sz w:val="18"/>
          <w:szCs w:val="18"/>
        </w:rPr>
        <w:t xml:space="preserve"> (26/04/2018)</w:t>
      </w:r>
    </w:p>
    <w:p w14:paraId="5E8698A2" w14:textId="70A46981" w:rsidR="009A3F7C" w:rsidRPr="00E867F6" w:rsidRDefault="00091D3D" w:rsidP="00DE3FB6">
      <w:pPr>
        <w:pStyle w:val="Heading3"/>
      </w:pPr>
      <w:r>
        <w:t xml:space="preserve">The </w:t>
      </w:r>
      <w:r w:rsidR="009A3F7C" w:rsidRPr="00E867F6">
        <w:t>Netherlands</w:t>
      </w:r>
    </w:p>
    <w:p w14:paraId="6C9A5DDC" w14:textId="77777777" w:rsidR="009A3F7C" w:rsidRPr="00E867F6" w:rsidRDefault="009A3F7C" w:rsidP="00DE3FB6">
      <w:pPr>
        <w:pStyle w:val="BodyText"/>
      </w:pPr>
      <w:r w:rsidRPr="00E867F6">
        <w:t>In the Netherlands, oversight for quality in health care sits with the Healthcare Inspectorate (IGZ) and the Dutch Healthcare Authority (NZA). IGZ monitors the quality, safety and accessibility of health care. The Inspectorate is an impartial, expert organisation that also safeguards the rights of patients. NZA monitors the conduct of care providers and insurance companies. Once a year, all Dutch hospitals are required to submit a mandatory set of quality indicators, including process and outcomes measures to the NZA.</w:t>
      </w:r>
      <w:r w:rsidRPr="00E867F6">
        <w:rPr>
          <w:rStyle w:val="EndnoteReference"/>
        </w:rPr>
        <w:endnoteReference w:id="74"/>
      </w:r>
      <w:r w:rsidRPr="00E867F6">
        <w:t xml:space="preserve"> </w:t>
      </w:r>
    </w:p>
    <w:p w14:paraId="790FA70C" w14:textId="77777777" w:rsidR="009A3F7C" w:rsidRPr="00E867F6" w:rsidRDefault="009A3F7C" w:rsidP="00DE3FB6">
      <w:pPr>
        <w:pStyle w:val="BodyText"/>
      </w:pPr>
      <w:r w:rsidRPr="00E867F6">
        <w:t xml:space="preserve">There are two national programs that provide patients with information about provider performance. Both involve the development of indicators at a national level. Participation is mandatory for providers. </w:t>
      </w:r>
    </w:p>
    <w:p w14:paraId="68886760" w14:textId="77777777" w:rsidR="009A3F7C" w:rsidRPr="00E867F6" w:rsidRDefault="009A3F7C" w:rsidP="00DE3FB6">
      <w:pPr>
        <w:pStyle w:val="BodyText"/>
      </w:pPr>
      <w:r w:rsidRPr="00E867F6">
        <w:t xml:space="preserve">The first, </w:t>
      </w:r>
      <w:proofErr w:type="spellStart"/>
      <w:r w:rsidRPr="00E867F6">
        <w:t>Zichtbare</w:t>
      </w:r>
      <w:proofErr w:type="spellEnd"/>
      <w:r w:rsidRPr="00E867F6">
        <w:t xml:space="preserve"> </w:t>
      </w:r>
      <w:proofErr w:type="spellStart"/>
      <w:r w:rsidRPr="00E867F6">
        <w:t>Zorg</w:t>
      </w:r>
      <w:proofErr w:type="spellEnd"/>
      <w:r w:rsidRPr="00E867F6">
        <w:t xml:space="preserve"> (</w:t>
      </w:r>
      <w:proofErr w:type="gramStart"/>
      <w:r w:rsidRPr="00E867F6">
        <w:t>‘Transparent</w:t>
      </w:r>
      <w:proofErr w:type="gramEnd"/>
      <w:r w:rsidRPr="00E867F6">
        <w:t xml:space="preserve"> care’), was established in 2007 and is operated through the IGZ. It publishes data online that covers hospitals, general practice, maternity care, oral health, physiotherapy, chronic care, as well as pharmaceutical care, mental health, disabled care and nursing care and home care. The program has 80 indicators linked to hospital care covering process, structural and outcome measures. Although the database is owned by </w:t>
      </w:r>
      <w:proofErr w:type="spellStart"/>
      <w:r w:rsidRPr="00E867F6">
        <w:t>Zichtbare</w:t>
      </w:r>
      <w:proofErr w:type="spellEnd"/>
      <w:r w:rsidRPr="00E867F6">
        <w:t xml:space="preserve"> </w:t>
      </w:r>
      <w:proofErr w:type="spellStart"/>
      <w:r w:rsidRPr="00E867F6">
        <w:t>Zorg</w:t>
      </w:r>
      <w:proofErr w:type="spellEnd"/>
      <w:r w:rsidRPr="00E867F6">
        <w:t xml:space="preserve">, primary data remain the property of providers who are responsible for ensuring overall data quality. </w:t>
      </w:r>
    </w:p>
    <w:p w14:paraId="53F2BCFE" w14:textId="3F083209" w:rsidR="009A3F7C" w:rsidRDefault="009A3F7C" w:rsidP="00DE3FB6">
      <w:pPr>
        <w:pStyle w:val="BodyText"/>
      </w:pPr>
      <w:r w:rsidRPr="00E867F6">
        <w:t xml:space="preserve">The second, </w:t>
      </w:r>
      <w:proofErr w:type="spellStart"/>
      <w:r w:rsidRPr="00E867F6">
        <w:t>KiesBeter</w:t>
      </w:r>
      <w:proofErr w:type="spellEnd"/>
      <w:r w:rsidRPr="00E867F6">
        <w:t xml:space="preserve"> (</w:t>
      </w:r>
      <w:proofErr w:type="gramStart"/>
      <w:r w:rsidRPr="00E867F6">
        <w:t>‘Choose</w:t>
      </w:r>
      <w:proofErr w:type="gramEnd"/>
      <w:r w:rsidRPr="00E867F6">
        <w:t xml:space="preserve"> better’), is a publicly available health portal published by the National Institute of Public Health and the Environment (RIVM). It uses a finite set of indicators (which includes the use of star ratings) to assess the quality, accessibility and affordability of the Dutch healthcare system. The website offers general information on hospital facilities, availability of services and specialities, waiting times, and a range of quality indicators. Results are compared internationally.</w:t>
      </w:r>
      <w:r w:rsidRPr="00E867F6">
        <w:rPr>
          <w:rStyle w:val="EndnoteReference"/>
        </w:rPr>
        <w:endnoteReference w:id="75"/>
      </w:r>
      <w:r w:rsidRPr="00E867F6">
        <w:t xml:space="preserve"> </w:t>
      </w:r>
    </w:p>
    <w:p w14:paraId="2249446D" w14:textId="5FD7B2DD" w:rsidR="009A3F7C" w:rsidRPr="00E867F6" w:rsidRDefault="009A3F7C" w:rsidP="00DE3FB6">
      <w:pPr>
        <w:pStyle w:val="BodyText"/>
      </w:pPr>
      <w:r>
        <w:t xml:space="preserve">Recognising the need to make accessible and understandable data available for public </w:t>
      </w:r>
      <w:r w:rsidR="003576CD">
        <w:t>use</w:t>
      </w:r>
      <w:r>
        <w:t xml:space="preserve"> and thereby support consumer decision-making, in 2014 the Dutch Hospital Association launched the Quality Window program. A set of 10 indicators were co-developed with health consumers and are reported annually by hospitals through a public portal. These indicators cover areas such as medicine reconciliation in hospital, standardised mortality ratios, staff satisfaction, complaints, infection control and patient experience. The indicators are </w:t>
      </w:r>
      <w:r>
        <w:lastRenderedPageBreak/>
        <w:t>published via an online platform. Indicators are accompanied by an explanation on what they mean and hospitals that report also often include information on actions they are taking to improve their performance against the indicators</w:t>
      </w:r>
      <w:r w:rsidR="003576CD">
        <w:t>.</w:t>
      </w:r>
      <w:r>
        <w:rPr>
          <w:rStyle w:val="EndnoteReference"/>
        </w:rPr>
        <w:endnoteReference w:id="76"/>
      </w:r>
      <w:r>
        <w:t xml:space="preserve"> </w:t>
      </w:r>
    </w:p>
    <w:p w14:paraId="6FD2CF81" w14:textId="77777777" w:rsidR="009A3F7C" w:rsidRPr="00E867F6" w:rsidRDefault="009A3F7C" w:rsidP="00DE3FB6">
      <w:pPr>
        <w:pStyle w:val="BodyText"/>
        <w:rPr>
          <w:rFonts w:asciiTheme="majorHAnsi" w:hAnsiTheme="majorHAnsi" w:cstheme="majorHAnsi"/>
        </w:rPr>
      </w:pPr>
      <w:r w:rsidRPr="00E867F6">
        <w:t xml:space="preserve">On its website, the Ministry of Health, Welfare and Sport publishes infographics on patients’ experiences and health expenditure in the Netherlands. Annual reports on Dutch Health Care Performance are also published for years 2006 to 2014. The 2010 annual report stated that </w:t>
      </w:r>
      <w:r w:rsidRPr="00E867F6">
        <w:rPr>
          <w:rFonts w:cstheme="minorHAnsi"/>
        </w:rPr>
        <w:t>suitable information about quality of care and about patient outcomes in particular, was lacking</w:t>
      </w:r>
      <w:r w:rsidRPr="00E867F6">
        <w:rPr>
          <w:rFonts w:ascii="RijksoverheidSansText-Regular" w:hAnsi="RijksoverheidSansText-Regular" w:cs="RijksoverheidSansText-Regular"/>
          <w:sz w:val="18"/>
          <w:szCs w:val="18"/>
        </w:rPr>
        <w:t>.</w:t>
      </w:r>
      <w:r w:rsidRPr="00E867F6">
        <w:rPr>
          <w:rStyle w:val="EndnoteReference"/>
          <w:rFonts w:cs="RijksoverheidSansText-Regular"/>
          <w:sz w:val="18"/>
          <w:szCs w:val="18"/>
        </w:rPr>
        <w:endnoteReference w:id="77"/>
      </w:r>
      <w:r w:rsidRPr="00E867F6">
        <w:rPr>
          <w:rFonts w:ascii="RijksoverheidSansText-Regular" w:hAnsi="RijksoverheidSansText-Regular" w:cs="RijksoverheidSansText-Regular"/>
          <w:sz w:val="18"/>
          <w:szCs w:val="18"/>
        </w:rPr>
        <w:t xml:space="preserve"> </w:t>
      </w:r>
      <w:r w:rsidRPr="00E867F6">
        <w:rPr>
          <w:rFonts w:asciiTheme="majorHAnsi" w:hAnsiTheme="majorHAnsi" w:cstheme="majorHAnsi"/>
        </w:rPr>
        <w:t xml:space="preserve">There are no further reports on their website to indicate what public reporting has been implemented since this publication. </w:t>
      </w:r>
    </w:p>
    <w:p w14:paraId="449482C8" w14:textId="77777777" w:rsidR="003576CD" w:rsidRDefault="003576CD" w:rsidP="003576CD">
      <w:pPr>
        <w:pStyle w:val="Caption"/>
      </w:pPr>
    </w:p>
    <w:p w14:paraId="1FB8C8E6" w14:textId="0B26E19A" w:rsidR="009A3F7C" w:rsidRPr="00E867F6" w:rsidRDefault="003576CD" w:rsidP="003661DE">
      <w:pPr>
        <w:pStyle w:val="Caption"/>
        <w:rPr>
          <w:sz w:val="16"/>
          <w:szCs w:val="16"/>
        </w:rPr>
      </w:pPr>
      <w:r w:rsidRPr="003661DE">
        <w:rPr>
          <w:noProof/>
          <w:sz w:val="18"/>
          <w:lang w:eastAsia="en-AU"/>
        </w:rPr>
        <w:drawing>
          <wp:anchor distT="0" distB="0" distL="114300" distR="114300" simplePos="0" relativeHeight="251714560" behindDoc="0" locked="0" layoutInCell="1" allowOverlap="1" wp14:anchorId="1737F61A" wp14:editId="52E55FAE">
            <wp:simplePos x="0" y="0"/>
            <wp:positionH relativeFrom="margin">
              <wp:align>left</wp:align>
            </wp:positionH>
            <wp:positionV relativeFrom="paragraph">
              <wp:posOffset>0</wp:posOffset>
            </wp:positionV>
            <wp:extent cx="5731510" cy="1835150"/>
            <wp:effectExtent l="0" t="0" r="254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utchinfo.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1835150"/>
                    </a:xfrm>
                    <a:prstGeom prst="rect">
                      <a:avLst/>
                    </a:prstGeom>
                  </pic:spPr>
                </pic:pic>
              </a:graphicData>
            </a:graphic>
            <wp14:sizeRelH relativeFrom="page">
              <wp14:pctWidth>0</wp14:pctWidth>
            </wp14:sizeRelH>
            <wp14:sizeRelV relativeFrom="page">
              <wp14:pctHeight>0</wp14:pctHeight>
            </wp14:sizeRelV>
          </wp:anchor>
        </w:drawing>
      </w:r>
      <w:r w:rsidR="00397AFF">
        <w:rPr>
          <w:sz w:val="18"/>
        </w:rPr>
        <w:t>I</w:t>
      </w:r>
      <w:r w:rsidRPr="003661DE">
        <w:rPr>
          <w:sz w:val="18"/>
        </w:rPr>
        <w:t>mage</w:t>
      </w:r>
      <w:r w:rsidR="00397AFF">
        <w:rPr>
          <w:sz w:val="18"/>
        </w:rPr>
        <w:t xml:space="preserve">: </w:t>
      </w:r>
      <w:r w:rsidRPr="003661DE">
        <w:rPr>
          <w:sz w:val="18"/>
        </w:rPr>
        <w:t>an infographic of patients’ experiences (2007-2010)</w:t>
      </w:r>
      <w:r w:rsidR="00064C19" w:rsidRPr="003661DE">
        <w:rPr>
          <w:sz w:val="18"/>
        </w:rPr>
        <w:t xml:space="preserve"> </w:t>
      </w:r>
      <w:r w:rsidRPr="003661DE">
        <w:rPr>
          <w:sz w:val="18"/>
        </w:rPr>
        <w:t xml:space="preserve">from the Netherlands’ Ministry of Health, Welfare and Sport. </w:t>
      </w:r>
      <w:r w:rsidR="009A3F7C" w:rsidRPr="003661DE">
        <w:rPr>
          <w:sz w:val="18"/>
        </w:rPr>
        <w:t>Source: Health and Youth Care Inspectorate, Ministry of Health, Welf</w:t>
      </w:r>
      <w:r w:rsidR="003661DE">
        <w:rPr>
          <w:sz w:val="18"/>
        </w:rPr>
        <w:t xml:space="preserve">are and Sport. Source: </w:t>
      </w:r>
      <w:hyperlink r:id="rId33" w:history="1">
        <w:r w:rsidR="009A3F7C" w:rsidRPr="003661DE">
          <w:rPr>
            <w:rStyle w:val="Hyperlink"/>
            <w:sz w:val="18"/>
          </w:rPr>
          <w:t>https://www.gezondheidszorgbalans.nl/dsresource?type=pdf&amp;disposition=inline&amp;objectid=rivmp:258320&amp;versionid=&amp;subobjectname</w:t>
        </w:r>
      </w:hyperlink>
      <w:r w:rsidR="009A3F7C" w:rsidRPr="00E867F6">
        <w:rPr>
          <w:sz w:val="16"/>
          <w:szCs w:val="16"/>
        </w:rPr>
        <w:t xml:space="preserve">= </w:t>
      </w:r>
      <w:r w:rsidR="003661DE">
        <w:rPr>
          <w:sz w:val="16"/>
          <w:szCs w:val="16"/>
        </w:rPr>
        <w:t xml:space="preserve">Accessed </w:t>
      </w:r>
      <w:r w:rsidR="003661DE" w:rsidRPr="003661DE">
        <w:rPr>
          <w:sz w:val="18"/>
        </w:rPr>
        <w:t>online 1/05/2018.</w:t>
      </w:r>
    </w:p>
    <w:p w14:paraId="0EFFD6DB" w14:textId="77777777" w:rsidR="009A3F7C" w:rsidRPr="00E867F6" w:rsidRDefault="009A3F7C" w:rsidP="00DE3FB6">
      <w:pPr>
        <w:pStyle w:val="Heading3"/>
      </w:pPr>
      <w:r w:rsidRPr="00E867F6">
        <w:t xml:space="preserve">United States of America </w:t>
      </w:r>
    </w:p>
    <w:p w14:paraId="07E244FC" w14:textId="4BC8BF1E" w:rsidR="009A3F7C" w:rsidRPr="00E867F6" w:rsidRDefault="008400F3" w:rsidP="00DE3FB6">
      <w:pPr>
        <w:pStyle w:val="BodyText"/>
      </w:pPr>
      <w:r>
        <w:t>The health</w:t>
      </w:r>
      <w:r w:rsidR="009A3F7C" w:rsidRPr="00E867F6">
        <w:t>care system i</w:t>
      </w:r>
      <w:r>
        <w:t>n the USA</w:t>
      </w:r>
      <w:r w:rsidR="009A3F7C" w:rsidRPr="00E867F6">
        <w:t xml:space="preserve"> is highly complex and has extensive regulation at both federal and state level. Within this system, the federal government has devolved primary responsibility for the oversight of licensing of healthcare providers. As part of the US</w:t>
      </w:r>
      <w:r w:rsidR="004F4936">
        <w:t>A</w:t>
      </w:r>
      <w:r w:rsidR="009A3F7C" w:rsidRPr="00E867F6">
        <w:t xml:space="preserve"> Department of Health and Human Services performance monitoring initiatives, health care measures aligned to national quality and prevention strategies are meant to be publicly available on </w:t>
      </w:r>
      <w:r w:rsidR="009A3F7C">
        <w:t xml:space="preserve">a </w:t>
      </w:r>
      <w:r w:rsidR="009A3F7C" w:rsidRPr="00E867F6">
        <w:t xml:space="preserve">dashboard called </w:t>
      </w:r>
      <w:r w:rsidR="003661DE">
        <w:t>‘</w:t>
      </w:r>
      <w:r w:rsidR="009A3F7C" w:rsidRPr="00E867F6">
        <w:t>the Health System Measurement Project</w:t>
      </w:r>
      <w:r w:rsidR="00064C19">
        <w:t>’</w:t>
      </w:r>
      <w:r w:rsidR="009A3F7C" w:rsidRPr="00E867F6">
        <w:t>. However, this dashboard was not accessible during the search.</w:t>
      </w:r>
      <w:r w:rsidR="009A3F7C" w:rsidRPr="00E867F6">
        <w:rPr>
          <w:rStyle w:val="EndnoteReference"/>
        </w:rPr>
        <w:endnoteReference w:id="78"/>
      </w:r>
      <w:r w:rsidR="009A3F7C" w:rsidRPr="00E867F6">
        <w:t xml:space="preserve">  </w:t>
      </w:r>
    </w:p>
    <w:p w14:paraId="0E7D3E95" w14:textId="3C23DC71" w:rsidR="009A3F7C" w:rsidRPr="00E867F6" w:rsidRDefault="009A3F7C" w:rsidP="00DE3FB6">
      <w:pPr>
        <w:pStyle w:val="BodyText"/>
      </w:pPr>
      <w:r w:rsidRPr="00E867F6">
        <w:t>Insights from the search suggest that much of the oversight of the US</w:t>
      </w:r>
      <w:r w:rsidR="004F4936">
        <w:t>A</w:t>
      </w:r>
      <w:r w:rsidRPr="00E867F6">
        <w:t xml:space="preserve"> healthcare system occurs through a self-policing approach by providers. Many healthcare organisations participate voluntarily in the inspection, accreditation and certification process by the Joint Commission on Accreditation of Hospital Organisations as well as other independent hospital performance monitoring </w:t>
      </w:r>
      <w:r w:rsidR="00064C19" w:rsidRPr="00E867F6">
        <w:t>overseers</w:t>
      </w:r>
      <w:r w:rsidRPr="00E867F6">
        <w:t xml:space="preserve">. </w:t>
      </w:r>
      <w:r>
        <w:t>There</w:t>
      </w:r>
      <w:r w:rsidRPr="00E867F6">
        <w:t xml:space="preserve"> are multiple healthcare performance reporting organisations that capture, analyse</w:t>
      </w:r>
      <w:r>
        <w:t>,</w:t>
      </w:r>
      <w:r w:rsidRPr="00E867F6">
        <w:t xml:space="preserve"> publically report on and compare hospitals for a range of healthcare indicators, such as sentinel events, infection control, </w:t>
      </w:r>
      <w:r w:rsidR="008400F3">
        <w:t xml:space="preserve">and </w:t>
      </w:r>
      <w:r w:rsidRPr="00E867F6">
        <w:t xml:space="preserve">medical errors. </w:t>
      </w:r>
    </w:p>
    <w:p w14:paraId="75D69518" w14:textId="76C53834" w:rsidR="009A3F7C" w:rsidRPr="00E867F6" w:rsidRDefault="009A3F7C" w:rsidP="00DE3FB6">
      <w:pPr>
        <w:pStyle w:val="BodyText"/>
      </w:pPr>
      <w:r w:rsidRPr="00E867F6">
        <w:t xml:space="preserve">In 2010, the Patient Protection and Affordable Care Act (also known as </w:t>
      </w:r>
      <w:r w:rsidR="003661DE">
        <w:t>‘</w:t>
      </w:r>
      <w:r w:rsidRPr="00E867F6">
        <w:t>Obamacare</w:t>
      </w:r>
      <w:r w:rsidR="003661DE">
        <w:t>’</w:t>
      </w:r>
      <w:r w:rsidR="00064C19" w:rsidRPr="00E867F6">
        <w:t xml:space="preserve">) </w:t>
      </w:r>
      <w:r w:rsidRPr="00E867F6">
        <w:t xml:space="preserve">was introduced that had a number of safety and quality initiatives targeted at reducing healthcare costs and improving quality. Quality and safety initiatives have been implemented to discourage </w:t>
      </w:r>
      <w:r w:rsidR="00064C19" w:rsidRPr="00E867F6">
        <w:t>hospital</w:t>
      </w:r>
      <w:r w:rsidR="00064C19">
        <w:t>-</w:t>
      </w:r>
      <w:r w:rsidRPr="00E867F6">
        <w:t xml:space="preserve">acquired conditions and reduce </w:t>
      </w:r>
      <w:r w:rsidR="00064C19" w:rsidRPr="00E867F6">
        <w:t>hospital</w:t>
      </w:r>
      <w:r w:rsidR="00064C19">
        <w:t>-</w:t>
      </w:r>
      <w:r w:rsidRPr="00E867F6">
        <w:t xml:space="preserve">acquired infections. Initiatives and incentives were tied to hospital performance and changes were made to the Medicare payment scheme, whereby hospitals are penalised for higher than expected readmission rates. </w:t>
      </w:r>
    </w:p>
    <w:p w14:paraId="4422B80C" w14:textId="77777777" w:rsidR="009A3F7C" w:rsidRPr="00E867F6" w:rsidRDefault="009A3F7C" w:rsidP="00DE3FB6">
      <w:pPr>
        <w:pStyle w:val="Heading5"/>
        <w:spacing w:after="120"/>
      </w:pPr>
      <w:r w:rsidRPr="00E867F6">
        <w:lastRenderedPageBreak/>
        <w:t>Medicare.gov</w:t>
      </w:r>
    </w:p>
    <w:p w14:paraId="02FB87CB" w14:textId="10B07A94" w:rsidR="009A3F7C" w:rsidRPr="00E867F6" w:rsidRDefault="00064C19" w:rsidP="00DE3FB6">
      <w:pPr>
        <w:pStyle w:val="BodyText"/>
      </w:pPr>
      <w:r>
        <w:t>T</w:t>
      </w:r>
      <w:r w:rsidRPr="00E867F6">
        <w:t xml:space="preserve">he </w:t>
      </w:r>
      <w:r w:rsidR="009A3F7C" w:rsidRPr="00E867F6">
        <w:t>official US</w:t>
      </w:r>
      <w:r w:rsidR="004F4936">
        <w:t>A</w:t>
      </w:r>
      <w:r w:rsidR="009A3F7C" w:rsidRPr="00E867F6">
        <w:t xml:space="preserve"> Government website for all information related to hospitals that receive Medicare funding</w:t>
      </w:r>
      <w:r>
        <w:t xml:space="preserve"> is </w:t>
      </w:r>
      <w:r w:rsidRPr="00E867F6">
        <w:t>Medicare.gov: Hospital Compare</w:t>
      </w:r>
      <w:r w:rsidR="009A3F7C" w:rsidRPr="00E867F6">
        <w:t xml:space="preserve">. Hospital Compare has information about the quality of care at over 4,000 Medicare-certified hospitals, including over 130 Veterans Administration medical centres, across the country. Its website provides a number of interactive datasets and downloadable databases. Users are able to compare hospitals based on their overall ‘star’ rating and </w:t>
      </w:r>
      <w:proofErr w:type="gramStart"/>
      <w:r w:rsidR="003A49AA">
        <w:t>may</w:t>
      </w:r>
      <w:proofErr w:type="gramEnd"/>
      <w:r w:rsidR="003A49AA">
        <w:t xml:space="preserve"> also compare</w:t>
      </w:r>
      <w:r w:rsidR="009A3F7C" w:rsidRPr="00E867F6">
        <w:t xml:space="preserve"> doctors. </w:t>
      </w:r>
      <w:r>
        <w:t xml:space="preserve">There are </w:t>
      </w:r>
      <w:r w:rsidR="009A3F7C" w:rsidRPr="00E867F6">
        <w:t xml:space="preserve">Medicare data </w:t>
      </w:r>
      <w:r>
        <w:t>for</w:t>
      </w:r>
      <w:r w:rsidRPr="00E867F6">
        <w:t xml:space="preserve"> </w:t>
      </w:r>
      <w:r w:rsidR="009A3F7C" w:rsidRPr="00E867F6">
        <w:t xml:space="preserve">57 healthcare measures across seven categories, such as mortality, safety of care, readmission and patient experience. Within the safety of care category, data </w:t>
      </w:r>
      <w:r>
        <w:t>are</w:t>
      </w:r>
      <w:r w:rsidRPr="00E867F6">
        <w:t xml:space="preserve"> </w:t>
      </w:r>
      <w:r w:rsidR="009A3F7C" w:rsidRPr="00E867F6">
        <w:t>provided for the following measures:</w:t>
      </w:r>
      <w:r w:rsidR="009A3F7C" w:rsidRPr="00E867F6">
        <w:rPr>
          <w:rStyle w:val="EndnoteReference"/>
        </w:rPr>
        <w:endnoteReference w:id="79"/>
      </w:r>
    </w:p>
    <w:p w14:paraId="06952BA6" w14:textId="77777777" w:rsidR="009A3F7C" w:rsidRPr="00E867F6" w:rsidRDefault="009A3F7C" w:rsidP="00776E32">
      <w:pPr>
        <w:pStyle w:val="ListBullet"/>
        <w:contextualSpacing w:val="0"/>
      </w:pPr>
      <w:r w:rsidRPr="00E867F6">
        <w:t>Central line-associated bloodstream infections (CLABSI)</w:t>
      </w:r>
    </w:p>
    <w:p w14:paraId="23B83BED" w14:textId="77777777" w:rsidR="009A3F7C" w:rsidRPr="00E867F6" w:rsidRDefault="009A3F7C" w:rsidP="00776E32">
      <w:pPr>
        <w:pStyle w:val="ListBullet"/>
        <w:contextualSpacing w:val="0"/>
      </w:pPr>
      <w:r w:rsidRPr="00E867F6">
        <w:t>Catheter-associated urinary tract infections (CAUTI)</w:t>
      </w:r>
    </w:p>
    <w:p w14:paraId="6DDFBB8B" w14:textId="77777777" w:rsidR="009A3F7C" w:rsidRPr="00E867F6" w:rsidRDefault="009A3F7C" w:rsidP="00776E32">
      <w:pPr>
        <w:pStyle w:val="ListBullet"/>
        <w:contextualSpacing w:val="0"/>
      </w:pPr>
      <w:r w:rsidRPr="00E867F6">
        <w:t>Surgical site infections from colon surgery (SSI: Colon)</w:t>
      </w:r>
    </w:p>
    <w:p w14:paraId="3B2AA6E4" w14:textId="77777777" w:rsidR="009A3F7C" w:rsidRPr="00E867F6" w:rsidRDefault="009A3F7C" w:rsidP="00776E32">
      <w:pPr>
        <w:pStyle w:val="ListBullet"/>
        <w:contextualSpacing w:val="0"/>
      </w:pPr>
      <w:r w:rsidRPr="00E867F6">
        <w:t>Surgical site infections from abdominal hysterectomy (SSI: Hysterectomy)</w:t>
      </w:r>
    </w:p>
    <w:p w14:paraId="6E513D89" w14:textId="77777777" w:rsidR="009A3F7C" w:rsidRPr="00E867F6" w:rsidRDefault="009A3F7C" w:rsidP="00776E32">
      <w:pPr>
        <w:pStyle w:val="ListBullet"/>
        <w:contextualSpacing w:val="0"/>
      </w:pPr>
      <w:r w:rsidRPr="00E867F6">
        <w:t>Methicillin-resistant Staphylococcus Aureus (MRSA) Blood Laboratory-identified Events (Bloodstream infections)</w:t>
      </w:r>
    </w:p>
    <w:p w14:paraId="3DB2A043" w14:textId="77777777" w:rsidR="009A3F7C" w:rsidRPr="00E867F6" w:rsidRDefault="009A3F7C" w:rsidP="00776E32">
      <w:pPr>
        <w:pStyle w:val="ListBullet"/>
        <w:contextualSpacing w:val="0"/>
      </w:pPr>
      <w:r w:rsidRPr="00E867F6">
        <w:rPr>
          <w:i/>
          <w:iCs/>
        </w:rPr>
        <w:t>Clostridium difficile</w:t>
      </w:r>
      <w:r w:rsidRPr="00E867F6">
        <w:t xml:space="preserve"> (CDI) Laboratory-identified Events (Intestinal infections)</w:t>
      </w:r>
    </w:p>
    <w:p w14:paraId="08BB0EF9" w14:textId="77777777" w:rsidR="009A3F7C" w:rsidRPr="00E867F6" w:rsidRDefault="009A3F7C" w:rsidP="00776E32">
      <w:pPr>
        <w:pStyle w:val="ListBullet"/>
        <w:contextualSpacing w:val="0"/>
      </w:pPr>
      <w:r w:rsidRPr="00E867F6">
        <w:t>Rate of unplanned readmission after discharge from hospital (hospital-wide)</w:t>
      </w:r>
    </w:p>
    <w:p w14:paraId="0B3A17C3" w14:textId="77777777" w:rsidR="009A3F7C" w:rsidRPr="00E867F6" w:rsidRDefault="009A3F7C" w:rsidP="00DE3FB6">
      <w:pPr>
        <w:pStyle w:val="Heading5"/>
        <w:spacing w:after="120"/>
      </w:pPr>
      <w:r w:rsidRPr="00E867F6">
        <w:t>Agency for Healthcare Research and Quality</w:t>
      </w:r>
    </w:p>
    <w:p w14:paraId="4EAE5B3F" w14:textId="3621E20E" w:rsidR="009A3F7C" w:rsidRPr="00E867F6" w:rsidRDefault="009A3F7C" w:rsidP="00DE3FB6">
      <w:pPr>
        <w:pStyle w:val="BodyText"/>
      </w:pPr>
      <w:r w:rsidRPr="00E867F6">
        <w:t xml:space="preserve">The Agency for Healthcare Research and Quality (AHRQ) is the lead </w:t>
      </w:r>
      <w:r w:rsidR="008400F3">
        <w:t>f</w:t>
      </w:r>
      <w:r w:rsidRPr="00E867F6">
        <w:t xml:space="preserve">ederal agency responsible for improving the safety and quality of America's healthcare system. It also develops knowledge, tools and data needed to improve the healthcare system and help Americans, healthcare professionals, and policymakers make informed health decisions. AHRQ stated collected healthcare data in 1988 and holds the largest repository of hospital care data in America. It is estimated that data </w:t>
      </w:r>
      <w:r w:rsidR="00C3354A">
        <w:t>are</w:t>
      </w:r>
      <w:r w:rsidR="00C3354A" w:rsidRPr="00E867F6">
        <w:t xml:space="preserve"> </w:t>
      </w:r>
      <w:r w:rsidRPr="00E867F6">
        <w:t>collected for 97% of patients discharged from hospitals that participate in the federal-state-industry partnership across 40 different states.</w:t>
      </w:r>
      <w:r w:rsidRPr="00E867F6">
        <w:rPr>
          <w:rStyle w:val="EndnoteReference"/>
        </w:rPr>
        <w:endnoteReference w:id="80"/>
      </w:r>
      <w:r w:rsidRPr="00E867F6">
        <w:t xml:space="preserve"> </w:t>
      </w:r>
    </w:p>
    <w:p w14:paraId="11EF5DB3" w14:textId="73234E13" w:rsidR="009A3F7C" w:rsidRPr="00E867F6" w:rsidRDefault="009A3F7C" w:rsidP="00DE3FB6">
      <w:pPr>
        <w:pStyle w:val="BodyText"/>
        <w:rPr>
          <w:rFonts w:ascii="Arial" w:hAnsi="Arial" w:cs="Arial"/>
          <w:color w:val="000000"/>
        </w:rPr>
      </w:pPr>
      <w:r w:rsidRPr="00E867F6">
        <w:t>On the website, there are four categories of quality indicators: prevention quality indicators; inpatient quality indicators; patient safety indicators; and paediatric quality indicators. Healthcare providers can download a free software package to implement monitoring and reporting against these standardised quality indicators from the AHRQ website. This encourages a standardised and evidence-based performance monitoring framework across America.</w:t>
      </w:r>
      <w:r w:rsidRPr="00E867F6">
        <w:rPr>
          <w:rStyle w:val="EndnoteReference"/>
        </w:rPr>
        <w:endnoteReference w:id="81"/>
      </w:r>
      <w:r w:rsidRPr="00E867F6">
        <w:t xml:space="preserve"> </w:t>
      </w:r>
    </w:p>
    <w:p w14:paraId="26EA5F64" w14:textId="77777777" w:rsidR="009A3F7C" w:rsidRPr="00E867F6" w:rsidRDefault="009A3F7C" w:rsidP="00DE3FB6">
      <w:pPr>
        <w:pStyle w:val="Bodytextkeepwithnext"/>
      </w:pPr>
      <w:r w:rsidRPr="00E867F6">
        <w:t>The AHRQ reports on a range of patient safety and quality indicators, including sentinel events. The most recent report uses data from 2013, which is presented as an observed rate per 1,000 patients. Patient safety indicators reported include:</w:t>
      </w:r>
      <w:r w:rsidRPr="00E867F6">
        <w:rPr>
          <w:rStyle w:val="EndnoteReference"/>
          <w:rFonts w:cs="Arial"/>
          <w:color w:val="000000"/>
        </w:rPr>
        <w:endnoteReference w:id="82"/>
      </w:r>
    </w:p>
    <w:p w14:paraId="085A3E1F" w14:textId="7F949011" w:rsidR="009A3F7C" w:rsidRPr="00E867F6" w:rsidRDefault="00C3354A" w:rsidP="00776E32">
      <w:pPr>
        <w:pStyle w:val="ListBullet"/>
        <w:contextualSpacing w:val="0"/>
      </w:pPr>
      <w:r w:rsidRPr="00E867F6">
        <w:t>Pressure ulcer rate</w:t>
      </w:r>
    </w:p>
    <w:p w14:paraId="090DE6FC" w14:textId="08C903A0" w:rsidR="009A3F7C" w:rsidRPr="00E867F6" w:rsidRDefault="00C3354A" w:rsidP="00776E32">
      <w:pPr>
        <w:pStyle w:val="ListBullet"/>
        <w:contextualSpacing w:val="0"/>
      </w:pPr>
      <w:r>
        <w:t>C</w:t>
      </w:r>
      <w:r w:rsidR="009A3F7C" w:rsidRPr="00E867F6">
        <w:t>entral</w:t>
      </w:r>
      <w:r w:rsidR="009A3F7C">
        <w:t xml:space="preserve"> venous catheter-related blood stream infection rate</w:t>
      </w:r>
      <w:r w:rsidR="009A3F7C" w:rsidRPr="00E867F6">
        <w:t xml:space="preserve"> </w:t>
      </w:r>
    </w:p>
    <w:p w14:paraId="7562FC1A" w14:textId="7559EC28" w:rsidR="009A3F7C" w:rsidRPr="00E867F6" w:rsidRDefault="00C3354A" w:rsidP="00776E32">
      <w:pPr>
        <w:pStyle w:val="ListBullet"/>
        <w:contextualSpacing w:val="0"/>
      </w:pPr>
      <w:r>
        <w:t>Postoperative sepsis rate</w:t>
      </w:r>
    </w:p>
    <w:p w14:paraId="716E783D" w14:textId="4CE9F133" w:rsidR="009A3F7C" w:rsidRPr="00E867F6" w:rsidRDefault="00C3354A" w:rsidP="00776E32">
      <w:pPr>
        <w:pStyle w:val="ListBullet"/>
        <w:contextualSpacing w:val="0"/>
      </w:pPr>
      <w:r>
        <w:t>Transfusion reaction count</w:t>
      </w:r>
      <w:r w:rsidR="008400F3">
        <w:t>.</w:t>
      </w:r>
    </w:p>
    <w:p w14:paraId="3607B3AC" w14:textId="77777777" w:rsidR="009A3F7C" w:rsidRPr="00E867F6" w:rsidRDefault="009A3F7C" w:rsidP="00DE3FB6">
      <w:pPr>
        <w:pStyle w:val="Heading5"/>
        <w:spacing w:after="120"/>
      </w:pPr>
      <w:r w:rsidRPr="00E867F6">
        <w:t>The Leapfrog Group</w:t>
      </w:r>
    </w:p>
    <w:p w14:paraId="60849C88" w14:textId="2C772AC3" w:rsidR="009A3F7C" w:rsidRPr="00E867F6" w:rsidRDefault="009A3F7C" w:rsidP="00DE3FB6">
      <w:pPr>
        <w:pStyle w:val="BodyText"/>
      </w:pPr>
      <w:r w:rsidRPr="00E867F6">
        <w:t xml:space="preserve">The Leapfrog Group was established in 2002 as a national non-for-profit organisation and watchdog for quality and safety across the American healthcare system. Its purpose is to provide hospital transparency to ensure consumers have the necessary information they </w:t>
      </w:r>
      <w:r w:rsidRPr="00E867F6">
        <w:lastRenderedPageBreak/>
        <w:t>need to make informed decisions about their health care. Currently, the Leapfrog Group has a regional partnership with 38 states and reports data for over 1,800 hospitals</w:t>
      </w:r>
      <w:r w:rsidRPr="00E867F6">
        <w:rPr>
          <w:rStyle w:val="EndnoteReference"/>
        </w:rPr>
        <w:endnoteReference w:id="83"/>
      </w:r>
      <w:r w:rsidRPr="00E867F6">
        <w:t xml:space="preserve">. </w:t>
      </w:r>
    </w:p>
    <w:p w14:paraId="5A75FF72" w14:textId="77777777" w:rsidR="009A3F7C" w:rsidRPr="00E867F6" w:rsidRDefault="009A3F7C" w:rsidP="00DE3FB6">
      <w:pPr>
        <w:pStyle w:val="BodyText"/>
      </w:pPr>
      <w:r w:rsidRPr="00E867F6">
        <w:t xml:space="preserve">The Leapfrog Group provides consumers with easily accessible information about patient safety, breaking down the meaning of hospital errors, accidents, injuries and infections and the importance of making the choice on safety, in a manner that is easy to comprehend. </w:t>
      </w:r>
    </w:p>
    <w:p w14:paraId="7BD5A3C8" w14:textId="3D92A02F" w:rsidR="009A3F7C" w:rsidRPr="00E867F6" w:rsidRDefault="009A3F7C" w:rsidP="00DE3FB6">
      <w:pPr>
        <w:pStyle w:val="BodyText"/>
      </w:pPr>
      <w:r w:rsidRPr="00E867F6">
        <w:t xml:space="preserve">The Leapfrog Hospital Safety Grade (formerly known as the Hospital Safety Scores) also scores general acute-care hospitals on their patient safety performance against the </w:t>
      </w:r>
      <w:r w:rsidR="003661DE">
        <w:t>‘</w:t>
      </w:r>
      <w:r w:rsidRPr="00E867F6">
        <w:t>gold standard</w:t>
      </w:r>
      <w:r w:rsidR="003661DE">
        <w:t>’,</w:t>
      </w:r>
      <w:r w:rsidR="00C3354A" w:rsidRPr="00E867F6">
        <w:t xml:space="preserve"> </w:t>
      </w:r>
      <w:r w:rsidRPr="00E867F6">
        <w:t>similarly to a student’s school report card. It enables consumers to compare hospitals by performance at a state level. The safety grade is based on 27 national performance measures including process/structural measures and outcome measures. The safety and quality measures reported include:</w:t>
      </w:r>
      <w:r w:rsidRPr="00E867F6">
        <w:rPr>
          <w:rStyle w:val="EndnoteReference"/>
        </w:rPr>
        <w:endnoteReference w:id="84"/>
      </w:r>
    </w:p>
    <w:p w14:paraId="4DF93B06" w14:textId="77777777" w:rsidR="009A3F7C" w:rsidRPr="00E867F6" w:rsidRDefault="009A3F7C" w:rsidP="00776E32">
      <w:pPr>
        <w:pStyle w:val="ListBullet"/>
        <w:contextualSpacing w:val="0"/>
      </w:pPr>
      <w:r w:rsidRPr="00E867F6">
        <w:t>Hand hygiene</w:t>
      </w:r>
    </w:p>
    <w:p w14:paraId="6D5A2952" w14:textId="77777777" w:rsidR="009A3F7C" w:rsidRPr="00E867F6" w:rsidRDefault="009A3F7C" w:rsidP="00776E32">
      <w:pPr>
        <w:pStyle w:val="ListBullet"/>
        <w:contextualSpacing w:val="0"/>
      </w:pPr>
      <w:r w:rsidRPr="00E867F6">
        <w:t xml:space="preserve">Foreign </w:t>
      </w:r>
      <w:r>
        <w:t>o</w:t>
      </w:r>
      <w:r w:rsidRPr="00E867F6">
        <w:t xml:space="preserve">bject </w:t>
      </w:r>
      <w:r>
        <w:t>r</w:t>
      </w:r>
      <w:r w:rsidRPr="00E867F6">
        <w:t xml:space="preserve">etained </w:t>
      </w:r>
    </w:p>
    <w:p w14:paraId="36F02E51" w14:textId="77777777" w:rsidR="009A3F7C" w:rsidRPr="00E867F6" w:rsidRDefault="009A3F7C" w:rsidP="00776E32">
      <w:pPr>
        <w:pStyle w:val="ListBullet"/>
        <w:contextualSpacing w:val="0"/>
      </w:pPr>
      <w:r w:rsidRPr="00E867F6">
        <w:t xml:space="preserve">Pressure </w:t>
      </w:r>
      <w:r>
        <w:t>u</w:t>
      </w:r>
      <w:r w:rsidRPr="00E867F6">
        <w:t xml:space="preserve">lcer </w:t>
      </w:r>
      <w:r>
        <w:t>r</w:t>
      </w:r>
      <w:r w:rsidRPr="00E867F6">
        <w:t>ate</w:t>
      </w:r>
    </w:p>
    <w:p w14:paraId="372DB943" w14:textId="77777777" w:rsidR="009A3F7C" w:rsidRPr="00E867F6" w:rsidRDefault="009A3F7C" w:rsidP="00776E32">
      <w:pPr>
        <w:pStyle w:val="ListBullet"/>
        <w:contextualSpacing w:val="0"/>
      </w:pPr>
      <w:r w:rsidRPr="00E867F6">
        <w:t xml:space="preserve">Falls and </w:t>
      </w:r>
      <w:r>
        <w:t>t</w:t>
      </w:r>
      <w:r w:rsidRPr="00E867F6">
        <w:t xml:space="preserve">rauma </w:t>
      </w:r>
    </w:p>
    <w:p w14:paraId="7028FF07" w14:textId="77777777" w:rsidR="009A3F7C" w:rsidRPr="00E867F6" w:rsidRDefault="009A3F7C" w:rsidP="00776E32">
      <w:pPr>
        <w:pStyle w:val="ListBullet"/>
        <w:contextualSpacing w:val="0"/>
      </w:pPr>
      <w:r w:rsidRPr="00E867F6">
        <w:t>CLABSI</w:t>
      </w:r>
    </w:p>
    <w:p w14:paraId="6FCC9884" w14:textId="45D7219F" w:rsidR="009A3F7C" w:rsidRPr="00E867F6" w:rsidRDefault="009A3F7C" w:rsidP="00776E32">
      <w:pPr>
        <w:pStyle w:val="ListBullet"/>
        <w:contextualSpacing w:val="0"/>
      </w:pPr>
      <w:r w:rsidRPr="00E867F6">
        <w:t>SSI (Colon)</w:t>
      </w:r>
      <w:r w:rsidR="008400F3">
        <w:t>.</w:t>
      </w:r>
    </w:p>
    <w:p w14:paraId="1703EC3A" w14:textId="77777777" w:rsidR="009A3F7C" w:rsidRPr="00E867F6" w:rsidRDefault="009A3F7C" w:rsidP="00DE3FB6">
      <w:pPr>
        <w:pStyle w:val="ListBullet"/>
        <w:numPr>
          <w:ilvl w:val="0"/>
          <w:numId w:val="0"/>
        </w:numPr>
        <w:ind w:left="340"/>
        <w:rPr>
          <w:i/>
          <w:sz w:val="18"/>
          <w:szCs w:val="18"/>
        </w:rPr>
      </w:pPr>
      <w:r w:rsidRPr="00E867F6">
        <w:rPr>
          <w:i/>
          <w:noProof/>
          <w:sz w:val="18"/>
          <w:szCs w:val="18"/>
        </w:rPr>
        <w:drawing>
          <wp:anchor distT="0" distB="0" distL="114300" distR="114300" simplePos="0" relativeHeight="251718656" behindDoc="0" locked="0" layoutInCell="1" allowOverlap="1" wp14:anchorId="7D91BF2D" wp14:editId="5B602824">
            <wp:simplePos x="0" y="0"/>
            <wp:positionH relativeFrom="column">
              <wp:posOffset>94762</wp:posOffset>
            </wp:positionH>
            <wp:positionV relativeFrom="paragraph">
              <wp:posOffset>1944029</wp:posOffset>
            </wp:positionV>
            <wp:extent cx="5142374" cy="1689100"/>
            <wp:effectExtent l="0" t="0" r="1270" b="6350"/>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G.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142374" cy="1689100"/>
                    </a:xfrm>
                    <a:prstGeom prst="rect">
                      <a:avLst/>
                    </a:prstGeom>
                  </pic:spPr>
                </pic:pic>
              </a:graphicData>
            </a:graphic>
            <wp14:sizeRelH relativeFrom="page">
              <wp14:pctWidth>0</wp14:pctWidth>
            </wp14:sizeRelH>
            <wp14:sizeRelV relativeFrom="page">
              <wp14:pctHeight>0</wp14:pctHeight>
            </wp14:sizeRelV>
          </wp:anchor>
        </w:drawing>
      </w:r>
      <w:r w:rsidRPr="00E867F6">
        <w:rPr>
          <w:noProof/>
        </w:rPr>
        <w:drawing>
          <wp:anchor distT="0" distB="0" distL="114300" distR="114300" simplePos="0" relativeHeight="251717632" behindDoc="0" locked="0" layoutInCell="1" allowOverlap="1" wp14:anchorId="12F0E498" wp14:editId="3E7E43D5">
            <wp:simplePos x="0" y="0"/>
            <wp:positionH relativeFrom="margin">
              <wp:posOffset>92710</wp:posOffset>
            </wp:positionH>
            <wp:positionV relativeFrom="paragraph">
              <wp:posOffset>164465</wp:posOffset>
            </wp:positionV>
            <wp:extent cx="5146675" cy="3567430"/>
            <wp:effectExtent l="0" t="0" r="0" b="0"/>
            <wp:wrapTopAndBottom/>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eapfrog.PNG"/>
                    <pic:cNvPicPr/>
                  </pic:nvPicPr>
                  <pic:blipFill>
                    <a:blip r:embed="rId35">
                      <a:extLst>
                        <a:ext uri="{28A0092B-C50C-407E-A947-70E740481C1C}">
                          <a14:useLocalDpi xmlns:a14="http://schemas.microsoft.com/office/drawing/2010/main" val="0"/>
                        </a:ext>
                      </a:extLst>
                    </a:blip>
                    <a:stretch>
                      <a:fillRect/>
                    </a:stretch>
                  </pic:blipFill>
                  <pic:spPr>
                    <a:xfrm>
                      <a:off x="0" y="0"/>
                      <a:ext cx="5146675" cy="3567430"/>
                    </a:xfrm>
                    <a:prstGeom prst="rect">
                      <a:avLst/>
                    </a:prstGeom>
                  </pic:spPr>
                </pic:pic>
              </a:graphicData>
            </a:graphic>
            <wp14:sizeRelH relativeFrom="margin">
              <wp14:pctWidth>0</wp14:pctWidth>
            </wp14:sizeRelH>
            <wp14:sizeRelV relativeFrom="margin">
              <wp14:pctHeight>0</wp14:pctHeight>
            </wp14:sizeRelV>
          </wp:anchor>
        </w:drawing>
      </w:r>
      <w:r w:rsidRPr="00E867F6">
        <w:rPr>
          <w:i/>
          <w:sz w:val="18"/>
          <w:szCs w:val="18"/>
        </w:rPr>
        <w:t xml:space="preserve"> </w:t>
      </w:r>
    </w:p>
    <w:p w14:paraId="0C8A32AF" w14:textId="4D740174" w:rsidR="009A3F7C" w:rsidRPr="00397AFF" w:rsidRDefault="00397AFF" w:rsidP="003661DE">
      <w:pPr>
        <w:pStyle w:val="ListBullet"/>
        <w:numPr>
          <w:ilvl w:val="0"/>
          <w:numId w:val="0"/>
        </w:numPr>
        <w:spacing w:after="240"/>
        <w:rPr>
          <w:rFonts w:cstheme="minorHAnsi"/>
          <w:i/>
          <w:sz w:val="18"/>
          <w:szCs w:val="18"/>
        </w:rPr>
      </w:pPr>
      <w:r w:rsidRPr="00397AFF">
        <w:rPr>
          <w:rFonts w:cstheme="minorHAnsi"/>
          <w:i/>
          <w:sz w:val="18"/>
          <w:szCs w:val="18"/>
        </w:rPr>
        <w:t xml:space="preserve">Image: </w:t>
      </w:r>
      <w:r w:rsidR="00C3354A" w:rsidRPr="00397AFF">
        <w:rPr>
          <w:rFonts w:cstheme="minorHAnsi"/>
          <w:i/>
          <w:sz w:val="18"/>
          <w:szCs w:val="18"/>
        </w:rPr>
        <w:t>example of the Leapfrog Hospital Safety Grade</w:t>
      </w:r>
      <w:r w:rsidR="003661DE" w:rsidRPr="00397AFF">
        <w:rPr>
          <w:rFonts w:cstheme="minorHAnsi"/>
          <w:i/>
          <w:sz w:val="18"/>
          <w:szCs w:val="18"/>
        </w:rPr>
        <w:t>. Source:</w:t>
      </w:r>
      <w:r w:rsidR="00C3354A" w:rsidRPr="00397AFF">
        <w:rPr>
          <w:rFonts w:cstheme="minorHAnsi"/>
          <w:i/>
          <w:sz w:val="18"/>
          <w:szCs w:val="18"/>
        </w:rPr>
        <w:t xml:space="preserve"> </w:t>
      </w:r>
      <w:hyperlink r:id="rId36" w:history="1">
        <w:r w:rsidR="00C3354A" w:rsidRPr="00397AFF">
          <w:rPr>
            <w:rStyle w:val="Hyperlink"/>
            <w:rFonts w:asciiTheme="minorHAnsi" w:hAnsiTheme="minorHAnsi" w:cstheme="minorHAnsi"/>
            <w:i/>
            <w:sz w:val="18"/>
            <w:szCs w:val="18"/>
            <w:lang w:val="en-US"/>
          </w:rPr>
          <w:t>http://www.hospitalsafetygrade.org/your-hospitals-safety-grade/about-the-grade</w:t>
        </w:r>
      </w:hyperlink>
      <w:r w:rsidR="00C3354A" w:rsidRPr="00397AFF">
        <w:rPr>
          <w:rFonts w:cstheme="minorHAnsi"/>
          <w:i/>
          <w:sz w:val="18"/>
          <w:szCs w:val="18"/>
          <w:lang w:val="en-US"/>
        </w:rPr>
        <w:t>. Accessed 30/04/2018.</w:t>
      </w:r>
    </w:p>
    <w:p w14:paraId="2CC70D3C" w14:textId="1924EF70" w:rsidR="009A3F7C" w:rsidRPr="00E867F6" w:rsidRDefault="009A3F7C" w:rsidP="00DE3FB6">
      <w:pPr>
        <w:pStyle w:val="BodyText"/>
      </w:pPr>
      <w:r w:rsidRPr="00E867F6">
        <w:t>The Leapfrog Group produces hospital performance reports and competitive benchmarking reports. The reports are produced twice a year and designed to help hospitals present their survey results in an easy-to-understand format to engage multiple stakeholder groups, including medical staff, administrators, consumers, front-line caregivers, and boards of directors. An example of consumer-friendly presentation of public reporting information by Leapfrog is provided below</w:t>
      </w:r>
      <w:r w:rsidR="00C3354A">
        <w:t>.</w:t>
      </w:r>
    </w:p>
    <w:p w14:paraId="6B539055" w14:textId="77777777" w:rsidR="009A3F7C" w:rsidRPr="00E867F6" w:rsidRDefault="009A3F7C" w:rsidP="00DE3FB6">
      <w:pPr>
        <w:pStyle w:val="BodyText"/>
      </w:pPr>
      <w:r w:rsidRPr="00E867F6">
        <w:rPr>
          <w:noProof/>
        </w:rPr>
        <w:lastRenderedPageBreak/>
        <w:drawing>
          <wp:inline distT="0" distB="0" distL="0" distR="0" wp14:anchorId="0CFD0717" wp14:editId="6205C67C">
            <wp:extent cx="5241925" cy="3289935"/>
            <wp:effectExtent l="0" t="0" r="0" b="571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50394" cy="3295250"/>
                    </a:xfrm>
                    <a:prstGeom prst="rect">
                      <a:avLst/>
                    </a:prstGeom>
                  </pic:spPr>
                </pic:pic>
              </a:graphicData>
            </a:graphic>
          </wp:inline>
        </w:drawing>
      </w:r>
    </w:p>
    <w:p w14:paraId="2BBCCC71" w14:textId="321AB598" w:rsidR="009A3F7C" w:rsidRPr="00397AFF" w:rsidRDefault="00397AFF" w:rsidP="001E2845">
      <w:pPr>
        <w:pStyle w:val="BodyText"/>
        <w:spacing w:after="240"/>
      </w:pPr>
      <w:r w:rsidRPr="00397AFF">
        <w:rPr>
          <w:i/>
          <w:sz w:val="18"/>
          <w:szCs w:val="18"/>
        </w:rPr>
        <w:t>I</w:t>
      </w:r>
      <w:r w:rsidR="003661DE" w:rsidRPr="00397AFF">
        <w:rPr>
          <w:i/>
          <w:sz w:val="18"/>
          <w:szCs w:val="18"/>
        </w:rPr>
        <w:t>mage</w:t>
      </w:r>
      <w:r w:rsidRPr="00397AFF">
        <w:rPr>
          <w:i/>
          <w:sz w:val="18"/>
          <w:szCs w:val="18"/>
        </w:rPr>
        <w:t>:</w:t>
      </w:r>
      <w:r w:rsidR="003661DE" w:rsidRPr="00397AFF">
        <w:rPr>
          <w:i/>
          <w:sz w:val="18"/>
          <w:szCs w:val="18"/>
        </w:rPr>
        <w:t xml:space="preserve"> </w:t>
      </w:r>
      <w:r w:rsidR="00C3354A" w:rsidRPr="00397AFF">
        <w:rPr>
          <w:i/>
          <w:sz w:val="18"/>
          <w:szCs w:val="18"/>
        </w:rPr>
        <w:t xml:space="preserve">example of consumer-friendly presentation of public reporting by Leapfrog from its website. </w:t>
      </w:r>
      <w:r w:rsidR="009A3F7C" w:rsidRPr="00397AFF">
        <w:rPr>
          <w:i/>
          <w:sz w:val="18"/>
          <w:szCs w:val="18"/>
        </w:rPr>
        <w:t xml:space="preserve">Source: </w:t>
      </w:r>
      <w:hyperlink r:id="rId38" w:history="1">
        <w:r w:rsidR="009A3F7C" w:rsidRPr="00397AFF">
          <w:rPr>
            <w:rStyle w:val="Hyperlink"/>
            <w:i/>
            <w:sz w:val="18"/>
            <w:szCs w:val="18"/>
          </w:rPr>
          <w:t>http://www.leapfroggroup.org/compare-hospitals</w:t>
        </w:r>
      </w:hyperlink>
      <w:r w:rsidR="009A3F7C" w:rsidRPr="00397AFF">
        <w:rPr>
          <w:i/>
          <w:sz w:val="18"/>
          <w:szCs w:val="18"/>
        </w:rPr>
        <w:t>. Accessed 15/05/2018</w:t>
      </w:r>
      <w:r w:rsidR="009A3F7C" w:rsidRPr="00397AFF">
        <w:rPr>
          <w:sz w:val="18"/>
          <w:szCs w:val="18"/>
        </w:rPr>
        <w:t>.</w:t>
      </w:r>
    </w:p>
    <w:p w14:paraId="04FBE5CB" w14:textId="77777777" w:rsidR="009A3F7C" w:rsidRPr="00E867F6" w:rsidRDefault="009A3F7C" w:rsidP="00DE3FB6">
      <w:pPr>
        <w:pStyle w:val="BodyText"/>
      </w:pPr>
      <w:r w:rsidRPr="00E867F6">
        <w:t>In addition to summarising performance on over 20 national measures of safety, quality, and efficiency, the reports can also be used to highlight areas of excellence and identify areas for improvement. All reports are supplemented by explanatory notes.</w:t>
      </w:r>
      <w:r w:rsidRPr="00E867F6">
        <w:rPr>
          <w:vertAlign w:val="superscript"/>
        </w:rPr>
        <w:endnoteReference w:id="85"/>
      </w:r>
      <w:r w:rsidRPr="00E867F6">
        <w:t xml:space="preserve"> </w:t>
      </w:r>
    </w:p>
    <w:p w14:paraId="4EAB4EF3" w14:textId="77777777" w:rsidR="009A3F7C" w:rsidRPr="00E867F6" w:rsidRDefault="009A3F7C" w:rsidP="00DE3FB6">
      <w:pPr>
        <w:pStyle w:val="Heading5"/>
        <w:spacing w:after="120"/>
      </w:pPr>
      <w:r w:rsidRPr="00E867F6">
        <w:t>The Joint Commission</w:t>
      </w:r>
    </w:p>
    <w:p w14:paraId="1D008E94" w14:textId="7EA7FFEA" w:rsidR="009A3F7C" w:rsidRPr="00E867F6" w:rsidRDefault="009A3F7C" w:rsidP="00DE3FB6">
      <w:pPr>
        <w:pStyle w:val="BodyText"/>
      </w:pPr>
      <w:r w:rsidRPr="00E867F6">
        <w:t>The Joint Commission was established in 1951 as a national non-for-profit organisation to set safety and quality standards and act as an independent accrediting body. Currently, there are 21,000 healthcare organisations in America that are accredited/certified by the Joint Commission</w:t>
      </w:r>
      <w:r>
        <w:t xml:space="preserve">. Accreditation/certification </w:t>
      </w:r>
      <w:r w:rsidRPr="00E867F6">
        <w:t>is voluntary</w:t>
      </w:r>
      <w:r>
        <w:t xml:space="preserve"> and</w:t>
      </w:r>
      <w:r w:rsidRPr="00E867F6">
        <w:t xml:space="preserve"> occurs every 39 months. Safety standards within the scheme relate to sentinel events, infection control and blood transfusions. </w:t>
      </w:r>
    </w:p>
    <w:p w14:paraId="396A967D" w14:textId="4BD3C4CE" w:rsidR="009A3F7C" w:rsidRPr="00E867F6" w:rsidRDefault="009A3F7C" w:rsidP="00DE3FB6">
      <w:pPr>
        <w:pStyle w:val="BodyText"/>
      </w:pPr>
      <w:r w:rsidRPr="00E867F6">
        <w:t>The Joint Commission has a ‘Quality Check’ website that allows stakeholders to view the accreditation and certification status</w:t>
      </w:r>
      <w:r w:rsidR="003A49AA">
        <w:t xml:space="preserve"> of</w:t>
      </w:r>
      <w:r w:rsidRPr="00E867F6">
        <w:t xml:space="preserve"> its member healthcare organisations. Healthcare organisations flagged with performance improvement opportunities are identified on this website, with a high level description of the issues. This information is updated when the organisation provides evidence or corrective actions. Only those organisations with a status of Contingent Accreditation, Preliminary Denial of Accreditation, or Denial of Accreditation have items that are out</w:t>
      </w:r>
      <w:r w:rsidR="003A49AA">
        <w:t>-</w:t>
      </w:r>
      <w:r w:rsidRPr="00E867F6">
        <w:t>of</w:t>
      </w:r>
      <w:r w:rsidR="003A49AA">
        <w:t>-</w:t>
      </w:r>
      <w:r w:rsidRPr="00E867F6">
        <w:t>compliance listed.</w:t>
      </w:r>
      <w:r w:rsidRPr="00E867F6">
        <w:rPr>
          <w:rStyle w:val="EndnoteReference"/>
        </w:rPr>
        <w:endnoteReference w:id="86"/>
      </w:r>
    </w:p>
    <w:p w14:paraId="491C0144" w14:textId="6C311DA1" w:rsidR="009A3F7C" w:rsidRPr="00E867F6" w:rsidRDefault="009A3F7C" w:rsidP="00DE3FB6">
      <w:pPr>
        <w:pStyle w:val="Bodytextkeepwithnext"/>
      </w:pPr>
      <w:r w:rsidRPr="00E867F6">
        <w:t>The Joint Commission also prepares public reports on the safety and quality of care for all of their accredited and certified healthcare organisations. Quality reports include:</w:t>
      </w:r>
    </w:p>
    <w:p w14:paraId="52696EF6" w14:textId="77777777" w:rsidR="009A3F7C" w:rsidRPr="00E867F6" w:rsidRDefault="009A3F7C" w:rsidP="00776E32">
      <w:pPr>
        <w:pStyle w:val="ListBullet"/>
        <w:contextualSpacing w:val="0"/>
      </w:pPr>
      <w:r w:rsidRPr="00E867F6">
        <w:t>Accreditation decision and date</w:t>
      </w:r>
    </w:p>
    <w:p w14:paraId="31D2A45E" w14:textId="6B81B1E2" w:rsidR="009A3F7C" w:rsidRPr="00E867F6" w:rsidRDefault="009A3F7C" w:rsidP="00776E32">
      <w:pPr>
        <w:pStyle w:val="ListBullet"/>
        <w:contextualSpacing w:val="0"/>
      </w:pPr>
      <w:r w:rsidRPr="00E867F6">
        <w:t xml:space="preserve">Programs and services accredited by </w:t>
      </w:r>
      <w:r w:rsidR="00413FC8">
        <w:t>t</w:t>
      </w:r>
      <w:r w:rsidR="00D17DBF">
        <w:t>h</w:t>
      </w:r>
      <w:r w:rsidRPr="00E867F6">
        <w:t>e Joint Commission and other bodies</w:t>
      </w:r>
    </w:p>
    <w:p w14:paraId="78F86B2F" w14:textId="77777777" w:rsidR="009A3F7C" w:rsidRPr="00E867F6" w:rsidRDefault="009A3F7C" w:rsidP="00776E32">
      <w:pPr>
        <w:pStyle w:val="ListBullet"/>
        <w:contextualSpacing w:val="0"/>
      </w:pPr>
      <w:r w:rsidRPr="00E867F6">
        <w:t>National Patient Safety Goal performance</w:t>
      </w:r>
    </w:p>
    <w:p w14:paraId="6D34DD63" w14:textId="77777777" w:rsidR="009A3F7C" w:rsidRPr="00E867F6" w:rsidRDefault="009A3F7C" w:rsidP="00776E32">
      <w:pPr>
        <w:pStyle w:val="ListBullet"/>
        <w:contextualSpacing w:val="0"/>
      </w:pPr>
      <w:r w:rsidRPr="00E867F6">
        <w:t>Hospital National Quality Improvement Goal performance</w:t>
      </w:r>
    </w:p>
    <w:p w14:paraId="201E0DC9" w14:textId="6931A069" w:rsidR="009A3F7C" w:rsidRPr="00E867F6" w:rsidRDefault="009A3F7C" w:rsidP="00776E32">
      <w:pPr>
        <w:pStyle w:val="ListBullet"/>
        <w:contextualSpacing w:val="0"/>
      </w:pPr>
      <w:r w:rsidRPr="00E867F6">
        <w:t>Special quality awards</w:t>
      </w:r>
      <w:r w:rsidR="008400F3">
        <w:t>.</w:t>
      </w:r>
    </w:p>
    <w:p w14:paraId="35CDA7F3" w14:textId="77777777" w:rsidR="003661DE" w:rsidRDefault="003661DE">
      <w:pPr>
        <w:spacing w:after="80"/>
        <w:rPr>
          <w:b/>
          <w:bCs/>
          <w:iCs/>
          <w:color w:val="404040" w:themeColor="text1" w:themeTint="BF"/>
          <w:sz w:val="24"/>
        </w:rPr>
      </w:pPr>
      <w:r>
        <w:br w:type="page"/>
      </w:r>
    </w:p>
    <w:p w14:paraId="3C03A45F" w14:textId="37C0151B" w:rsidR="009A3F7C" w:rsidRPr="00E867F6" w:rsidRDefault="009A3F7C" w:rsidP="00DE3FB6">
      <w:pPr>
        <w:pStyle w:val="Heading5"/>
        <w:spacing w:after="120"/>
      </w:pPr>
      <w:r w:rsidRPr="00E867F6">
        <w:lastRenderedPageBreak/>
        <w:t>Kaiser Permanente</w:t>
      </w:r>
    </w:p>
    <w:p w14:paraId="61550F23" w14:textId="2DB0F291" w:rsidR="00D17DBF" w:rsidRDefault="009A3F7C" w:rsidP="003661DE">
      <w:pPr>
        <w:pStyle w:val="BodyText"/>
        <w:rPr>
          <w:rFonts w:asciiTheme="majorHAnsi" w:hAnsiTheme="majorHAnsi" w:cstheme="majorHAnsi"/>
        </w:rPr>
      </w:pPr>
      <w:r w:rsidRPr="00E867F6">
        <w:t xml:space="preserve">Kaiser Permanente) was established in 1945 as a not-for-profit organisation that is recognised as a leading healthcare provider. </w:t>
      </w:r>
      <w:r w:rsidR="00D17DBF" w:rsidRPr="00D17DBF">
        <w:t>Kaiser Permanente</w:t>
      </w:r>
      <w:r w:rsidR="00D17DBF">
        <w:t xml:space="preserve"> </w:t>
      </w:r>
      <w:r w:rsidRPr="00E867F6">
        <w:t>has a long history of conducting research addressing healt</w:t>
      </w:r>
      <w:r w:rsidR="00D17DBF">
        <w:t>h</w:t>
      </w:r>
      <w:r w:rsidRPr="00E867F6">
        <w:t>care policy and quality and has contributed to a number of independent reports on quality of care and services. It has also publishe</w:t>
      </w:r>
      <w:r>
        <w:t>s</w:t>
      </w:r>
      <w:r w:rsidRPr="00E867F6">
        <w:t xml:space="preserve"> </w:t>
      </w:r>
      <w:r>
        <w:t>safety and quality information</w:t>
      </w:r>
      <w:r w:rsidRPr="00E867F6">
        <w:t xml:space="preserve"> on </w:t>
      </w:r>
      <w:r w:rsidR="00D17DBF">
        <w:t>its</w:t>
      </w:r>
      <w:r w:rsidR="00D17DBF" w:rsidRPr="00E867F6">
        <w:t xml:space="preserve"> </w:t>
      </w:r>
      <w:r w:rsidRPr="00E867F6">
        <w:t xml:space="preserve">website </w:t>
      </w:r>
      <w:r w:rsidR="00D17DBF" w:rsidRPr="00E867F6">
        <w:t>t</w:t>
      </w:r>
      <w:r w:rsidR="00D17DBF">
        <w:t>o</w:t>
      </w:r>
      <w:r w:rsidR="00D17DBF" w:rsidRPr="00E867F6">
        <w:t xml:space="preserve"> </w:t>
      </w:r>
      <w:r w:rsidRPr="00E867F6">
        <w:rPr>
          <w:rFonts w:asciiTheme="majorHAnsi" w:hAnsiTheme="majorHAnsi" w:cstheme="majorHAnsi"/>
        </w:rPr>
        <w:t xml:space="preserve">inform clinical decision-making and </w:t>
      </w:r>
      <w:r w:rsidR="00D17DBF">
        <w:rPr>
          <w:rFonts w:asciiTheme="majorHAnsi" w:hAnsiTheme="majorHAnsi" w:cstheme="majorHAnsi"/>
        </w:rPr>
        <w:t xml:space="preserve">initiatives for </w:t>
      </w:r>
      <w:r w:rsidRPr="00E867F6">
        <w:rPr>
          <w:rFonts w:asciiTheme="majorHAnsi" w:hAnsiTheme="majorHAnsi" w:cstheme="majorHAnsi"/>
        </w:rPr>
        <w:t>innovation, quality, safety, and value in health care.</w:t>
      </w:r>
      <w:r w:rsidRPr="00E867F6">
        <w:rPr>
          <w:rStyle w:val="EndnoteReference"/>
          <w:rFonts w:cstheme="majorHAnsi"/>
        </w:rPr>
        <w:endnoteReference w:id="87"/>
      </w:r>
    </w:p>
    <w:p w14:paraId="24AC2A4A" w14:textId="7C03AA61" w:rsidR="009A3F7C" w:rsidRPr="00D17DBF" w:rsidRDefault="00D17DBF">
      <w:pPr>
        <w:pStyle w:val="BodyText"/>
      </w:pPr>
      <w:r w:rsidRPr="00D17DBF">
        <w:t>Kaiser Permanente</w:t>
      </w:r>
      <w:r w:rsidR="00F51676">
        <w:t xml:space="preserve"> </w:t>
      </w:r>
      <w:r w:rsidR="009A3F7C" w:rsidRPr="00D17DBF">
        <w:t>considers the strongest quality incentive is the performance data it shares with physician</w:t>
      </w:r>
      <w:r w:rsidRPr="00F51676">
        <w:t>s</w:t>
      </w:r>
      <w:r w:rsidR="009A3F7C" w:rsidRPr="00D17DBF">
        <w:t>. Performance data allow clinicians to directly examine the results of their actions and to identify ways in whi</w:t>
      </w:r>
      <w:r w:rsidR="009A3F7C" w:rsidRPr="00230721">
        <w:t xml:space="preserve">ch they can further improve patient care. As such, </w:t>
      </w:r>
      <w:r w:rsidRPr="00230721">
        <w:t>Kaiser Permanente</w:t>
      </w:r>
      <w:r w:rsidRPr="003661DE">
        <w:t xml:space="preserve"> </w:t>
      </w:r>
      <w:r w:rsidR="009A3F7C" w:rsidRPr="00D17DBF">
        <w:t>has implemented a process by which physicians agree on the targets to achieve and the metrics that will be monitored. This process is periodically repeated to ensure that the treatment approaches remain up to date.</w:t>
      </w:r>
    </w:p>
    <w:p w14:paraId="323B3E06" w14:textId="77777777" w:rsidR="00F51676" w:rsidRDefault="009A3F7C" w:rsidP="003661DE">
      <w:pPr>
        <w:pStyle w:val="Bodytextkeepwithnext"/>
      </w:pPr>
      <w:r w:rsidRPr="00D17DBF">
        <w:t xml:space="preserve">Performance data </w:t>
      </w:r>
      <w:r w:rsidR="00D17DBF">
        <w:t>are</w:t>
      </w:r>
      <w:r w:rsidR="00D17DBF" w:rsidRPr="00D17DBF">
        <w:t xml:space="preserve"> </w:t>
      </w:r>
      <w:r w:rsidRPr="00D17DBF">
        <w:t xml:space="preserve">supported by a strong IT system. </w:t>
      </w:r>
      <w:proofErr w:type="gramStart"/>
      <w:r w:rsidRPr="00D17DBF">
        <w:t xml:space="preserve">When a patient registers at a </w:t>
      </w:r>
      <w:r w:rsidR="00D17DBF" w:rsidRPr="00D17DBF">
        <w:t xml:space="preserve">Kaiser Permanente </w:t>
      </w:r>
      <w:r w:rsidRPr="00D17DBF">
        <w:t xml:space="preserve">hospital or physician office, ‘care recommendations’ for the patient, such as a notification that the patient has not picked up prescriptions, are </w:t>
      </w:r>
      <w:r w:rsidRPr="00230721">
        <w:t>displayed on the screen.</w:t>
      </w:r>
      <w:proofErr w:type="gramEnd"/>
      <w:r w:rsidRPr="00230721">
        <w:t xml:space="preserve"> The system also automatically gives physicians and staff specific quality indicators such as what percentage of </w:t>
      </w:r>
      <w:r w:rsidRPr="00D17DBF">
        <w:t xml:space="preserve">patients </w:t>
      </w:r>
      <w:r w:rsidR="00230721">
        <w:t xml:space="preserve">with diabetes or cardiovascular disease </w:t>
      </w:r>
      <w:r w:rsidRPr="00D17DBF">
        <w:t>are not at the target level for lipid control.</w:t>
      </w:r>
      <w:r w:rsidR="00F51676">
        <w:t xml:space="preserve"> </w:t>
      </w:r>
    </w:p>
    <w:p w14:paraId="3C5378C2" w14:textId="2087CB56" w:rsidR="009A3F7C" w:rsidRPr="00E867F6" w:rsidRDefault="00F51676" w:rsidP="003661DE">
      <w:pPr>
        <w:pStyle w:val="Bodytextkeepwithnext"/>
      </w:pPr>
      <w:r w:rsidRPr="00E867F6">
        <w:rPr>
          <w:noProof/>
        </w:rPr>
        <mc:AlternateContent>
          <mc:Choice Requires="wps">
            <w:drawing>
              <wp:anchor distT="45720" distB="45720" distL="114300" distR="114300" simplePos="0" relativeHeight="251725824" behindDoc="0" locked="0" layoutInCell="1" allowOverlap="1" wp14:anchorId="1620D918" wp14:editId="159070AE">
                <wp:simplePos x="0" y="0"/>
                <wp:positionH relativeFrom="column">
                  <wp:posOffset>-28575</wp:posOffset>
                </wp:positionH>
                <wp:positionV relativeFrom="paragraph">
                  <wp:posOffset>954405</wp:posOffset>
                </wp:positionV>
                <wp:extent cx="5695950" cy="3019425"/>
                <wp:effectExtent l="0" t="0" r="1905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019425"/>
                        </a:xfrm>
                        <a:prstGeom prst="rect">
                          <a:avLst/>
                        </a:prstGeom>
                        <a:solidFill>
                          <a:schemeClr val="tx2">
                            <a:lumMod val="20000"/>
                            <a:lumOff val="80000"/>
                          </a:schemeClr>
                        </a:solidFill>
                        <a:ln w="9525">
                          <a:solidFill>
                            <a:schemeClr val="accent1"/>
                          </a:solidFill>
                          <a:miter lim="800000"/>
                          <a:headEnd/>
                          <a:tailEnd/>
                        </a:ln>
                      </wps:spPr>
                      <wps:txbx>
                        <w:txbxContent>
                          <w:p w14:paraId="298AFD66" w14:textId="1E79BA40" w:rsidR="00F70157" w:rsidRPr="00F51676" w:rsidRDefault="00F70157" w:rsidP="00F51676">
                            <w:pPr>
                              <w:pStyle w:val="Bodytextkeepwithnext"/>
                              <w:rPr>
                                <w:color w:val="125370" w:themeColor="accent3"/>
                              </w:rPr>
                            </w:pPr>
                            <w:r w:rsidRPr="00F51676">
                              <w:rPr>
                                <w:b/>
                                <w:color w:val="125370" w:themeColor="accent3"/>
                              </w:rPr>
                              <w:t>Findings summary</w:t>
                            </w:r>
                          </w:p>
                          <w:p w14:paraId="33AC4094" w14:textId="3126E32F" w:rsidR="00F70157" w:rsidRDefault="00F70157" w:rsidP="00F51676">
                            <w:r>
                              <w:t xml:space="preserve">Data provided at the national level by the three OECD countries included in the review (Canada, Netherlands and the US) were more comprehensive, but also more variable, than the level of data reported at the national level in Australia (via </w:t>
                            </w:r>
                            <w:proofErr w:type="spellStart"/>
                            <w:r>
                              <w:t>MyHospitals</w:t>
                            </w:r>
                            <w:proofErr w:type="spellEnd"/>
                            <w:r>
                              <w:t xml:space="preserve">). </w:t>
                            </w:r>
                          </w:p>
                          <w:p w14:paraId="3BE65FE3" w14:textId="77777777" w:rsidR="00F70157" w:rsidRDefault="00F70157" w:rsidP="00F51676">
                            <w:r>
                              <w:t xml:space="preserve">Canada, which is most similar in health system structure to Australia of all of the countries included in the review, has a particularly extensive national public reporting mechanism currently in place. </w:t>
                            </w:r>
                          </w:p>
                          <w:p w14:paraId="3FDC29FB" w14:textId="54C4CE47" w:rsidR="00F70157" w:rsidRPr="00B10CAC" w:rsidRDefault="00F70157" w:rsidP="00F51676">
                            <w:r>
                              <w:t xml:space="preserve">The Netherlands and the US have good examples of public reporting that is specifically targeted at consumers with supportive context information and outlines of actions being undertaken by hospitals to drive improvements in their performance; for example, through the Quality Window program and the Leapfrog Hospital Safety Grade program. </w:t>
                            </w:r>
                          </w:p>
                          <w:p w14:paraId="09ACE850" w14:textId="613F764F" w:rsidR="00F70157" w:rsidRDefault="00F70157" w:rsidP="00F51676">
                            <w:r>
                              <w:t>The information presented in Canada and in the US (through the Leapfrog Group) were good examples of more consumer-friendly presentation of public reporting data. These portals used interactive tools and clear explanations to present the data.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5pt;margin-top:75.15pt;width:448.5pt;height:237.7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" fillcolor="#c2e9f8 [671]" strokecolor="#1178a2 [3204]">
                <v:textbox>
                  <w:txbxContent>
                    <w:p w14:paraId="298AFD66" w14:textId="1E79BA40" w:rsidR="00F70157" w:rsidRPr="00F51676" w:rsidRDefault="00F70157" w:rsidP="00F51676">
                      <w:pPr>
                        <w:pStyle w:val="Bodytextkeepwithnext"/>
                        <w:rPr>
                          <w:color w:val="125370" w:themeColor="accent3"/>
                        </w:rPr>
                      </w:pPr>
                      <w:r w:rsidRPr="00F51676">
                        <w:rPr>
                          <w:b/>
                          <w:color w:val="125370" w:themeColor="accent3"/>
                        </w:rPr>
                        <w:t>Findings summary</w:t>
                      </w:r>
                    </w:p>
                    <w:p w14:paraId="33AC4094" w14:textId="3126E32F" w:rsidR="00F70157" w:rsidRDefault="00F70157" w:rsidP="00F51676">
                      <w:r>
                        <w:t xml:space="preserve">Data provided at the national level by the three OECD countries included in the review (Canada, Netherlands and the US) were more comprehensive, but also more variable, than the level of data reported at the national level in Australia (via MyHospitals). </w:t>
                      </w:r>
                    </w:p>
                    <w:p w14:paraId="3BE65FE3" w14:textId="77777777" w:rsidR="00F70157" w:rsidRDefault="00F70157" w:rsidP="00F51676">
                      <w:r>
                        <w:t xml:space="preserve">Canada, which is most similar in health system structure to Australia of all of the countries included in the review, has a particularly extensive national public reporting mechanism currently in place. </w:t>
                      </w:r>
                    </w:p>
                    <w:p w14:paraId="3FDC29FB" w14:textId="54C4CE47" w:rsidR="00F70157" w:rsidRPr="00B10CAC" w:rsidRDefault="00F70157" w:rsidP="00F51676">
                      <w:r>
                        <w:t xml:space="preserve">The Netherlands and the US have good examples of public reporting that is specifically targeted at consumers with supportive context information and outlines of actions being undertaken by hospitals to drive improvements in their performance; for example, through the Quality Window program and the Leapfrog Hospital Safety Grade program. </w:t>
                      </w:r>
                    </w:p>
                    <w:p w14:paraId="09ACE850" w14:textId="613F764F" w:rsidR="00F70157" w:rsidRDefault="00F70157" w:rsidP="00F51676">
                      <w:r>
                        <w:t>The information presented in Canada and in the US (through the Leapfrog Group) were good examples of more consumer-friendly presentation of public reporting data. These portals used interactive tools and clear explanations to present the data.</w:t>
                      </w:r>
                    </w:p>
                  </w:txbxContent>
                </v:textbox>
                <w10:wrap type="square"/>
              </v:shape>
            </w:pict>
          </mc:Fallback>
        </mc:AlternateContent>
      </w:r>
      <w:r w:rsidR="009A3F7C" w:rsidRPr="00E867F6">
        <w:t xml:space="preserve">Other tools such as </w:t>
      </w:r>
      <w:r>
        <w:t>‘</w:t>
      </w:r>
      <w:proofErr w:type="spellStart"/>
      <w:r w:rsidR="009A3F7C" w:rsidRPr="00E867F6">
        <w:t>backsweep</w:t>
      </w:r>
      <w:proofErr w:type="spellEnd"/>
      <w:r>
        <w:t>’</w:t>
      </w:r>
      <w:r w:rsidR="00230721" w:rsidRPr="00E867F6">
        <w:t xml:space="preserve"> </w:t>
      </w:r>
      <w:r w:rsidR="009A3F7C" w:rsidRPr="00E867F6">
        <w:t xml:space="preserve">reports identify when recommended care (the agreed care pathway) is not provided, </w:t>
      </w:r>
      <w:r w:rsidR="00230721">
        <w:t xml:space="preserve">then </w:t>
      </w:r>
      <w:r w:rsidR="009A3F7C" w:rsidRPr="00E867F6">
        <w:t xml:space="preserve">tags it back to the specific physician and assistant, and asks that follow-up with the patient be done. </w:t>
      </w:r>
      <w:proofErr w:type="gramStart"/>
      <w:r w:rsidR="009A3F7C" w:rsidRPr="00E867F6">
        <w:t xml:space="preserve">A </w:t>
      </w:r>
      <w:r>
        <w:t>‘</w:t>
      </w:r>
      <w:r w:rsidR="009A3F7C" w:rsidRPr="00E867F6">
        <w:t>re</w:t>
      </w:r>
      <w:proofErr w:type="gramEnd"/>
      <w:r w:rsidR="009A3F7C" w:rsidRPr="00E867F6">
        <w:t>-sweep</w:t>
      </w:r>
      <w:r>
        <w:t>’</w:t>
      </w:r>
      <w:r w:rsidR="00230721" w:rsidRPr="00E867F6">
        <w:t xml:space="preserve"> </w:t>
      </w:r>
      <w:r w:rsidR="009A3F7C" w:rsidRPr="00E867F6">
        <w:t>report 30 days later is also performed to make sure the care was provided whil</w:t>
      </w:r>
      <w:r w:rsidR="009A3F7C">
        <w:t>e</w:t>
      </w:r>
      <w:r w:rsidR="009A3F7C" w:rsidRPr="00E867F6">
        <w:t xml:space="preserve"> a </w:t>
      </w:r>
      <w:r>
        <w:t>‘</w:t>
      </w:r>
      <w:r w:rsidR="009A3F7C" w:rsidRPr="00E867F6">
        <w:t>forward sweep</w:t>
      </w:r>
      <w:r>
        <w:t>’</w:t>
      </w:r>
      <w:r w:rsidR="00230721" w:rsidRPr="00E867F6">
        <w:t xml:space="preserve"> </w:t>
      </w:r>
      <w:r w:rsidR="009A3F7C" w:rsidRPr="00E867F6">
        <w:t>report makes it easier to consider preventive care in an upcoming appointment.</w:t>
      </w:r>
      <w:bookmarkStart w:id="52" w:name="_Toc514158756"/>
    </w:p>
    <w:bookmarkEnd w:id="52"/>
    <w:p w14:paraId="694C8C68" w14:textId="3B53FFC4" w:rsidR="009A3F7C" w:rsidRDefault="009A3F7C" w:rsidP="009E565A">
      <w:pPr>
        <w:pStyle w:val="BodyText"/>
      </w:pPr>
    </w:p>
    <w:p w14:paraId="496B0426" w14:textId="70ADBD91" w:rsidR="005A7A12" w:rsidRDefault="005A7A12">
      <w:pPr>
        <w:spacing w:after="80"/>
      </w:pPr>
      <w:r>
        <w:br w:type="page"/>
      </w:r>
    </w:p>
    <w:p w14:paraId="53BBE9AA" w14:textId="77777777" w:rsidR="009A3F7C" w:rsidRPr="00E867F6" w:rsidRDefault="009A3F7C" w:rsidP="00B10CAC">
      <w:pPr>
        <w:pStyle w:val="Appendixheading"/>
      </w:pPr>
      <w:bookmarkStart w:id="53" w:name="_Ref514415259"/>
      <w:bookmarkStart w:id="54" w:name="_Toc3195101"/>
      <w:r w:rsidRPr="00E867F6">
        <w:lastRenderedPageBreak/>
        <w:t>: Detailed outline of public reporting across jurisdictions</w:t>
      </w:r>
      <w:bookmarkEnd w:id="53"/>
      <w:bookmarkEnd w:id="54"/>
    </w:p>
    <w:p w14:paraId="6AFFEF14" w14:textId="77777777" w:rsidR="009A3F7C" w:rsidRPr="00E867F6" w:rsidRDefault="009A3F7C" w:rsidP="00D2773F">
      <w:pPr>
        <w:pStyle w:val="AppendixHeading2"/>
      </w:pPr>
      <w:r w:rsidRPr="00E867F6">
        <w:t>Australian Capital Territory</w:t>
      </w:r>
    </w:p>
    <w:p w14:paraId="7783C7AD" w14:textId="45D14508" w:rsidR="009A3F7C" w:rsidRPr="00E867F6" w:rsidRDefault="009A3F7C" w:rsidP="002505CC">
      <w:r w:rsidRPr="00E867F6">
        <w:t xml:space="preserve">Australian Capital Territory Health (ACT Health) </w:t>
      </w:r>
      <w:r>
        <w:t>reported on its</w:t>
      </w:r>
      <w:r w:rsidR="008400F3">
        <w:t xml:space="preserve"> comprehensive system-</w:t>
      </w:r>
      <w:r w:rsidRPr="00E867F6">
        <w:t>wide review of health data</w:t>
      </w:r>
      <w:r>
        <w:t xml:space="preserve"> in August 2018. The review presented findings and recommendations for</w:t>
      </w:r>
      <w:r w:rsidRPr="00E867F6">
        <w:t xml:space="preserve"> </w:t>
      </w:r>
      <w:r>
        <w:t>domains including data management</w:t>
      </w:r>
      <w:r w:rsidRPr="00E867F6">
        <w:t xml:space="preserve">, </w:t>
      </w:r>
      <w:r>
        <w:t>governance</w:t>
      </w:r>
      <w:r w:rsidRPr="00E867F6">
        <w:t xml:space="preserve"> and </w:t>
      </w:r>
      <w:r>
        <w:t>security and privacy</w:t>
      </w:r>
      <w:r w:rsidR="00F51676">
        <w:t>.</w:t>
      </w:r>
      <w:r w:rsidRPr="00E867F6">
        <w:t xml:space="preserve"> </w:t>
      </w:r>
      <w:r>
        <w:t xml:space="preserve"> ACT Health notes that the review has been instrumental to reset and enable effective data management practices and bring a definitive Performance, Reporting and Data Management Strategy that will transition ACT Health to a best practice data and reporting agency. </w:t>
      </w:r>
      <w:r w:rsidRPr="00F51676">
        <w:rPr>
          <w:vertAlign w:val="superscript"/>
        </w:rPr>
        <w:t>88</w:t>
      </w:r>
    </w:p>
    <w:p w14:paraId="159029F7" w14:textId="4C3F330A" w:rsidR="009A3F7C" w:rsidRPr="00E867F6" w:rsidRDefault="009A3F7C" w:rsidP="002505CC">
      <w:pPr>
        <w:pStyle w:val="BodyText"/>
      </w:pPr>
      <w:r w:rsidRPr="00E867F6">
        <w:t xml:space="preserve">ACT Health </w:t>
      </w:r>
      <w:r w:rsidR="008D3454">
        <w:t xml:space="preserve">currently </w:t>
      </w:r>
      <w:r w:rsidRPr="00E867F6">
        <w:t xml:space="preserve">reports limited safety and quality information publically. The ACT Public Health Services Quarterly Performance Report </w:t>
      </w:r>
      <w:r>
        <w:t xml:space="preserve">compares </w:t>
      </w:r>
      <w:r w:rsidRPr="00E867F6">
        <w:t>hospital performance against existing targets. The Quality and Safety section of the report encompasses indicators such as the hospital</w:t>
      </w:r>
      <w:r w:rsidR="00064C19">
        <w:t>-</w:t>
      </w:r>
      <w:r w:rsidRPr="00E867F6">
        <w:t xml:space="preserve">acquired </w:t>
      </w:r>
      <w:r w:rsidRPr="00E867F6">
        <w:rPr>
          <w:i/>
        </w:rPr>
        <w:t>staphylococcus aureus bacteraemia</w:t>
      </w:r>
      <w:r w:rsidRPr="00E867F6">
        <w:t xml:space="preserve"> </w:t>
      </w:r>
      <w:r w:rsidR="009165D8">
        <w:t>(</w:t>
      </w:r>
      <w:r w:rsidR="009165D8" w:rsidRPr="00E867F6">
        <w:t>SAB</w:t>
      </w:r>
      <w:r w:rsidR="009165D8">
        <w:t xml:space="preserve">) </w:t>
      </w:r>
      <w:r w:rsidR="00F51676">
        <w:t>infection rate</w:t>
      </w:r>
      <w:r w:rsidRPr="00E867F6">
        <w:t xml:space="preserve"> and hand hygiene audit results, consistent with the information that is reported nationally on the </w:t>
      </w:r>
      <w:proofErr w:type="spellStart"/>
      <w:r w:rsidRPr="00E867F6">
        <w:t>MyHospitals</w:t>
      </w:r>
      <w:proofErr w:type="spellEnd"/>
      <w:r w:rsidRPr="00E867F6">
        <w:t xml:space="preserve"> website. ACT Health does not report adverse clinical incidents and sentinel events publically.</w:t>
      </w:r>
      <w:r w:rsidRPr="00E867F6">
        <w:rPr>
          <w:vertAlign w:val="superscript"/>
        </w:rPr>
        <w:t>66</w:t>
      </w:r>
    </w:p>
    <w:p w14:paraId="56A6B4C8" w14:textId="77777777" w:rsidR="009A3F7C" w:rsidRPr="00E867F6" w:rsidRDefault="009A3F7C" w:rsidP="002505CC">
      <w:pPr>
        <w:pStyle w:val="BodyText"/>
      </w:pPr>
      <w:r w:rsidRPr="00E867F6">
        <w:t xml:space="preserve">ACT Health discontinued </w:t>
      </w:r>
      <w:r>
        <w:t>its</w:t>
      </w:r>
      <w:r w:rsidRPr="00E867F6">
        <w:t xml:space="preserve"> report on targets implemented through the </w:t>
      </w:r>
      <w:r w:rsidRPr="00E867F6">
        <w:rPr>
          <w:i/>
        </w:rPr>
        <w:t>National Health Reform Agreement (NHRA); Improving Public Hospitals</w:t>
      </w:r>
      <w:r w:rsidRPr="00E867F6">
        <w:t xml:space="preserve"> in the 2014</w:t>
      </w:r>
      <w:r w:rsidRPr="00E867F6">
        <w:noBreakHyphen/>
        <w:t>15 Quarterly Report following the Federal Government’s decision, announced in the 2014</w:t>
      </w:r>
      <w:r w:rsidRPr="00E867F6">
        <w:noBreakHyphen/>
        <w:t>15 Federal Budget, to remove associated incentives.</w:t>
      </w:r>
      <w:r w:rsidRPr="00E867F6">
        <w:rPr>
          <w:rStyle w:val="EndnoteReference"/>
        </w:rPr>
        <w:endnoteReference w:id="88"/>
      </w:r>
      <w:r w:rsidRPr="00E867F6">
        <w:t xml:space="preserve"> </w:t>
      </w:r>
    </w:p>
    <w:p w14:paraId="54724482" w14:textId="77777777" w:rsidR="009A3F7C" w:rsidRPr="00E867F6" w:rsidRDefault="009A3F7C" w:rsidP="00D2773F">
      <w:pPr>
        <w:pStyle w:val="AppendixHeading2"/>
      </w:pPr>
      <w:r w:rsidRPr="00E867F6">
        <w:t>New South Wales</w:t>
      </w:r>
    </w:p>
    <w:p w14:paraId="74D94995" w14:textId="4AD133E2" w:rsidR="001427F9" w:rsidRPr="001427F9" w:rsidRDefault="001427F9" w:rsidP="001427F9">
      <w:pPr>
        <w:pStyle w:val="AppendixHeading3"/>
        <w:numPr>
          <w:ilvl w:val="0"/>
          <w:numId w:val="0"/>
        </w:numPr>
      </w:pPr>
      <w:r w:rsidRPr="001427F9">
        <w:t>A</w:t>
      </w:r>
      <w:r>
        <w:t>.</w:t>
      </w:r>
      <w:r w:rsidRPr="001427F9">
        <w:t>2.1 New South Wales Ministry of Health</w:t>
      </w:r>
      <w:r>
        <w:t xml:space="preserve"> </w:t>
      </w:r>
    </w:p>
    <w:p w14:paraId="3EBAFFA0" w14:textId="7CE32991" w:rsidR="009A3F7C" w:rsidRPr="00E867F6" w:rsidRDefault="009A3F7C" w:rsidP="002505CC">
      <w:pPr>
        <w:pStyle w:val="BodyText"/>
      </w:pPr>
      <w:r w:rsidRPr="00E867F6">
        <w:t>In 2004 the New South Wales (NSW) Department of Health (now Ministry of Health) established the Patient Safety and Clinical Qual</w:t>
      </w:r>
      <w:r w:rsidR="001427F9">
        <w:t xml:space="preserve">ity Program (PSCQP), </w:t>
      </w:r>
      <w:r w:rsidRPr="00E867F6">
        <w:t xml:space="preserve">in the wake of the Walker Inquiry into a number of clinical incidents in south-western Sydney. </w:t>
      </w:r>
    </w:p>
    <w:p w14:paraId="6081B431" w14:textId="351B292B" w:rsidR="001427F9" w:rsidRDefault="009A3F7C" w:rsidP="002505CC">
      <w:pPr>
        <w:pStyle w:val="BodyText"/>
      </w:pPr>
      <w:r w:rsidRPr="00E867F6">
        <w:t xml:space="preserve">The </w:t>
      </w:r>
      <w:r w:rsidR="00864BF6">
        <w:t xml:space="preserve">NSW </w:t>
      </w:r>
      <w:r w:rsidRPr="00E867F6">
        <w:t xml:space="preserve">Ministry of Health retains statutory and policy responsibility for patient safety and clinical quality within the NSW public health system under the PSCQP, while the </w:t>
      </w:r>
      <w:r w:rsidR="008400F3" w:rsidRPr="00E867F6">
        <w:t xml:space="preserve">local hospital districts </w:t>
      </w:r>
      <w:r w:rsidRPr="00E867F6">
        <w:t xml:space="preserve">(LHDs) and </w:t>
      </w:r>
      <w:r w:rsidR="008400F3" w:rsidRPr="00E867F6">
        <w:t xml:space="preserve">specialty health networks </w:t>
      </w:r>
      <w:r w:rsidRPr="00E867F6">
        <w:t xml:space="preserve">(SHNs) are responsible for the quality and safety of the services provided by their facilities, staff and contractors. </w:t>
      </w:r>
    </w:p>
    <w:p w14:paraId="495DEDFE" w14:textId="2F760F30" w:rsidR="001427F9" w:rsidRDefault="001427F9" w:rsidP="001427F9">
      <w:pPr>
        <w:pStyle w:val="AppendixHeading3"/>
        <w:numPr>
          <w:ilvl w:val="0"/>
          <w:numId w:val="0"/>
        </w:numPr>
      </w:pPr>
      <w:r w:rsidRPr="001427F9">
        <w:t>A</w:t>
      </w:r>
      <w:r>
        <w:t>.</w:t>
      </w:r>
      <w:r w:rsidRPr="001427F9">
        <w:t>2.</w:t>
      </w:r>
      <w:r>
        <w:t>2</w:t>
      </w:r>
      <w:r w:rsidRPr="001427F9">
        <w:t xml:space="preserve"> Clinical Excellence Commission</w:t>
      </w:r>
    </w:p>
    <w:p w14:paraId="26ED7325" w14:textId="6AEAB63B" w:rsidR="009A3F7C" w:rsidRPr="00E867F6" w:rsidRDefault="009A3F7C" w:rsidP="002505CC">
      <w:pPr>
        <w:pStyle w:val="BodyText"/>
      </w:pPr>
      <w:r w:rsidRPr="00E867F6">
        <w:t>The PSCQP reform led to the establishment of the Clinical Excellence Commission (CEC) as a statutory health corporation (an evolution of the Institute for Clinical Excellence). As a lead agency for safety and quality improvement in the NSW public health system, the CEC has a key role to play in analysing and reporting on the information reported by frontline staff in the NSW clinical incident management system. The CEC also publishes the outcomes from projects and programs developed in response to clinical incident reporting.</w:t>
      </w:r>
    </w:p>
    <w:p w14:paraId="712BF6EB" w14:textId="3EAC9B6B" w:rsidR="001427F9" w:rsidRPr="00E867F6" w:rsidRDefault="009A3F7C" w:rsidP="002505CC">
      <w:pPr>
        <w:pStyle w:val="BodyText"/>
      </w:pPr>
      <w:r w:rsidRPr="00E867F6">
        <w:t xml:space="preserve">The CEC has been regularly publishing clinical incident information in the public domain since its inception and NSW was the first jurisdiction to publicly report clinical incident data (in 2005). Information was originally reported in </w:t>
      </w:r>
      <w:r w:rsidR="008D3454">
        <w:t>PDF</w:t>
      </w:r>
      <w:r w:rsidR="008D3454" w:rsidRPr="00E867F6">
        <w:t xml:space="preserve"> </w:t>
      </w:r>
      <w:r w:rsidRPr="00E867F6">
        <w:t xml:space="preserve">format; in 2013 the CEC published its first web-based clinical incident management report, which contained bi-annual data summaries (Jan-Jun, Jul-Dec) at a state-wide level. This includes details on incidents (at a state-wide level) relating to falls, patient identification pressure injuries and sentinel events, as well as the number and types of Root Cause Analyses (RCAs) undertaken and </w:t>
      </w:r>
      <w:r w:rsidRPr="00E867F6">
        <w:lastRenderedPageBreak/>
        <w:t>complaints received. Examples of reporting on these indicators from the NSW CEC website are provided below</w:t>
      </w:r>
      <w:r w:rsidR="008D3454">
        <w:t>.</w:t>
      </w:r>
    </w:p>
    <w:p w14:paraId="545D3762" w14:textId="77777777" w:rsidR="009A3F7C" w:rsidRDefault="009A3F7C" w:rsidP="002505CC">
      <w:r w:rsidRPr="00E867F6">
        <w:rPr>
          <w:noProof/>
        </w:rPr>
        <w:drawing>
          <wp:inline distT="0" distB="0" distL="0" distR="0" wp14:anchorId="2725A25D" wp14:editId="69D2813B">
            <wp:extent cx="5731510" cy="1019810"/>
            <wp:effectExtent l="0" t="0" r="2540" b="889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1019810"/>
                    </a:xfrm>
                    <a:prstGeom prst="rect">
                      <a:avLst/>
                    </a:prstGeom>
                  </pic:spPr>
                </pic:pic>
              </a:graphicData>
            </a:graphic>
          </wp:inline>
        </w:drawing>
      </w:r>
    </w:p>
    <w:p w14:paraId="31BE8BCC" w14:textId="77777777" w:rsidR="001427F9" w:rsidRPr="00E867F6" w:rsidRDefault="001427F9" w:rsidP="002505CC"/>
    <w:p w14:paraId="17228C3C" w14:textId="77777777" w:rsidR="009A3F7C" w:rsidRDefault="009A3F7C" w:rsidP="002505CC">
      <w:r w:rsidRPr="00E867F6">
        <w:rPr>
          <w:noProof/>
        </w:rPr>
        <w:drawing>
          <wp:inline distT="0" distB="0" distL="0" distR="0" wp14:anchorId="4BB49E28" wp14:editId="6B2449AF">
            <wp:extent cx="5731510" cy="1049655"/>
            <wp:effectExtent l="0" t="0" r="254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1049655"/>
                    </a:xfrm>
                    <a:prstGeom prst="rect">
                      <a:avLst/>
                    </a:prstGeom>
                  </pic:spPr>
                </pic:pic>
              </a:graphicData>
            </a:graphic>
          </wp:inline>
        </w:drawing>
      </w:r>
    </w:p>
    <w:p w14:paraId="7605EF24" w14:textId="77777777" w:rsidR="001427F9" w:rsidRPr="00E867F6" w:rsidRDefault="001427F9" w:rsidP="002505CC"/>
    <w:p w14:paraId="236AA746" w14:textId="77777777" w:rsidR="009A3F7C" w:rsidRDefault="009A3F7C" w:rsidP="002505CC">
      <w:r w:rsidRPr="00E867F6">
        <w:rPr>
          <w:noProof/>
        </w:rPr>
        <w:drawing>
          <wp:inline distT="0" distB="0" distL="0" distR="0" wp14:anchorId="6A2BA0A7" wp14:editId="26BF1E08">
            <wp:extent cx="5731510" cy="1029335"/>
            <wp:effectExtent l="0" t="0" r="254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029335"/>
                    </a:xfrm>
                    <a:prstGeom prst="rect">
                      <a:avLst/>
                    </a:prstGeom>
                  </pic:spPr>
                </pic:pic>
              </a:graphicData>
            </a:graphic>
          </wp:inline>
        </w:drawing>
      </w:r>
    </w:p>
    <w:p w14:paraId="5CB436B5" w14:textId="77777777" w:rsidR="001427F9" w:rsidRPr="00E867F6" w:rsidRDefault="001427F9" w:rsidP="002505CC"/>
    <w:p w14:paraId="0D75AEE6" w14:textId="77777777" w:rsidR="009A3F7C" w:rsidRDefault="009A3F7C" w:rsidP="002505CC">
      <w:r w:rsidRPr="00E867F6">
        <w:rPr>
          <w:noProof/>
        </w:rPr>
        <w:drawing>
          <wp:inline distT="0" distB="0" distL="0" distR="0" wp14:anchorId="0CEFD9F3" wp14:editId="6888E5DD">
            <wp:extent cx="5731510" cy="2395855"/>
            <wp:effectExtent l="0" t="0" r="2540" b="444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2395855"/>
                    </a:xfrm>
                    <a:prstGeom prst="rect">
                      <a:avLst/>
                    </a:prstGeom>
                  </pic:spPr>
                </pic:pic>
              </a:graphicData>
            </a:graphic>
          </wp:inline>
        </w:drawing>
      </w:r>
    </w:p>
    <w:p w14:paraId="15A58219" w14:textId="7998733A" w:rsidR="00130E91" w:rsidRDefault="00397AFF" w:rsidP="00F51676">
      <w:pPr>
        <w:spacing w:after="240"/>
        <w:rPr>
          <w:rFonts w:cs="Arial"/>
          <w:i/>
          <w:sz w:val="18"/>
          <w:szCs w:val="18"/>
        </w:rPr>
      </w:pPr>
      <w:r>
        <w:rPr>
          <w:i/>
          <w:sz w:val="18"/>
          <w:szCs w:val="18"/>
        </w:rPr>
        <w:t>I</w:t>
      </w:r>
      <w:r w:rsidR="008D3454" w:rsidRPr="00F51676">
        <w:rPr>
          <w:i/>
          <w:sz w:val="18"/>
          <w:szCs w:val="18"/>
        </w:rPr>
        <w:t>mages</w:t>
      </w:r>
      <w:r>
        <w:rPr>
          <w:i/>
          <w:sz w:val="18"/>
          <w:szCs w:val="18"/>
        </w:rPr>
        <w:t>:</w:t>
      </w:r>
      <w:r w:rsidR="008D3454" w:rsidRPr="00F51676">
        <w:rPr>
          <w:i/>
          <w:sz w:val="18"/>
          <w:szCs w:val="18"/>
        </w:rPr>
        <w:t xml:space="preserve"> examples of indicator reporting on the NSW CEC website. Source: </w:t>
      </w:r>
      <w:hyperlink r:id="rId43" w:history="1">
        <w:r w:rsidR="008D3454" w:rsidRPr="00F51676">
          <w:rPr>
            <w:rStyle w:val="Hyperlink"/>
            <w:rFonts w:asciiTheme="minorHAnsi" w:hAnsiTheme="minorHAnsi" w:cs="Arial"/>
            <w:i/>
            <w:sz w:val="18"/>
            <w:szCs w:val="18"/>
          </w:rPr>
          <w:t>http://www.cec.health.nsw.gov.au/</w:t>
        </w:r>
      </w:hyperlink>
      <w:r w:rsidR="008D3454" w:rsidRPr="00F51676">
        <w:rPr>
          <w:rFonts w:cs="Arial"/>
          <w:i/>
          <w:sz w:val="18"/>
          <w:szCs w:val="18"/>
        </w:rPr>
        <w:t xml:space="preserve">. </w:t>
      </w:r>
      <w:proofErr w:type="gramStart"/>
      <w:r w:rsidR="008D3454" w:rsidRPr="00F51676">
        <w:rPr>
          <w:rFonts w:cs="Arial"/>
          <w:i/>
          <w:sz w:val="18"/>
          <w:szCs w:val="18"/>
        </w:rPr>
        <w:t>Accessed 20 April 2018.</w:t>
      </w:r>
      <w:proofErr w:type="gramEnd"/>
    </w:p>
    <w:p w14:paraId="44F3617D" w14:textId="77777777" w:rsidR="00130E91" w:rsidRDefault="00130E91">
      <w:pPr>
        <w:spacing w:after="80"/>
        <w:rPr>
          <w:rFonts w:cs="Arial"/>
          <w:i/>
          <w:sz w:val="18"/>
          <w:szCs w:val="18"/>
        </w:rPr>
      </w:pPr>
      <w:r>
        <w:rPr>
          <w:rFonts w:cs="Arial"/>
          <w:i/>
          <w:sz w:val="18"/>
          <w:szCs w:val="18"/>
        </w:rPr>
        <w:br w:type="page"/>
      </w:r>
    </w:p>
    <w:p w14:paraId="76C36453" w14:textId="5F31701D" w:rsidR="009A3F7C" w:rsidRPr="00E867F6" w:rsidRDefault="001427F9" w:rsidP="001427F9">
      <w:pPr>
        <w:pStyle w:val="AppendixHeading3"/>
        <w:numPr>
          <w:ilvl w:val="0"/>
          <w:numId w:val="0"/>
        </w:numPr>
        <w:ind w:left="720" w:hanging="720"/>
      </w:pPr>
      <w:r>
        <w:lastRenderedPageBreak/>
        <w:t xml:space="preserve">A.2.3. </w:t>
      </w:r>
      <w:r w:rsidR="009A3F7C" w:rsidRPr="00E867F6">
        <w:t>Bureau of Health Information</w:t>
      </w:r>
    </w:p>
    <w:p w14:paraId="40ECBBE3" w14:textId="43F4677E" w:rsidR="009A3F7C" w:rsidRPr="00E867F6" w:rsidRDefault="00130E91" w:rsidP="002505CC">
      <w:pPr>
        <w:pStyle w:val="BodyText"/>
      </w:pPr>
      <w:r>
        <w:rPr>
          <w:noProof/>
        </w:rPr>
        <w:drawing>
          <wp:anchor distT="0" distB="0" distL="114300" distR="114300" simplePos="0" relativeHeight="251728896" behindDoc="0" locked="0" layoutInCell="1" allowOverlap="1" wp14:anchorId="1486DAFA" wp14:editId="47078BA9">
            <wp:simplePos x="0" y="0"/>
            <wp:positionH relativeFrom="margin">
              <wp:posOffset>-57150</wp:posOffset>
            </wp:positionH>
            <wp:positionV relativeFrom="margin">
              <wp:posOffset>676275</wp:posOffset>
            </wp:positionV>
            <wp:extent cx="1698625" cy="24193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98625" cy="2419350"/>
                    </a:xfrm>
                    <a:prstGeom prst="rect">
                      <a:avLst/>
                    </a:prstGeom>
                  </pic:spPr>
                </pic:pic>
              </a:graphicData>
            </a:graphic>
            <wp14:sizeRelH relativeFrom="margin">
              <wp14:pctWidth>0</wp14:pctWidth>
            </wp14:sizeRelH>
            <wp14:sizeRelV relativeFrom="margin">
              <wp14:pctHeight>0</wp14:pctHeight>
            </wp14:sizeRelV>
          </wp:anchor>
        </w:drawing>
      </w:r>
      <w:r w:rsidR="009A3F7C" w:rsidRPr="00E867F6">
        <w:t xml:space="preserve">The Bureau of Health Information (BHI) was established </w:t>
      </w:r>
      <w:r w:rsidR="009A3F7C">
        <w:t xml:space="preserve">by the NSW </w:t>
      </w:r>
      <w:r w:rsidR="008D3454">
        <w:t xml:space="preserve">Government </w:t>
      </w:r>
      <w:r w:rsidR="009A3F7C" w:rsidRPr="00E867F6">
        <w:t xml:space="preserve">in 2009 as an independent, board-governed statutory authority following the </w:t>
      </w:r>
      <w:proofErr w:type="spellStart"/>
      <w:r w:rsidR="009A3F7C" w:rsidRPr="00E867F6">
        <w:t>Garling</w:t>
      </w:r>
      <w:proofErr w:type="spellEnd"/>
      <w:r w:rsidR="009A3F7C" w:rsidRPr="00E867F6">
        <w:t xml:space="preserve"> Special Commission of Inquiry into Acute Care Services in NSW Public Hospitals. BHI is responsible for reporting on the performance of the health system in </w:t>
      </w:r>
      <w:r w:rsidR="008D3454">
        <w:t>NSW</w:t>
      </w:r>
      <w:r w:rsidR="009A3F7C" w:rsidRPr="00E867F6">
        <w:t>. This includes details on emergency department waiting times and transfer of care times as well as elective surgery waiting times (at a state-wide, LHD/SHN and facility level). BHI also publishes patient-reported data gathered through various patient surveys</w:t>
      </w:r>
      <w:r w:rsidR="008D3454">
        <w:t>, for example</w:t>
      </w:r>
      <w:r w:rsidR="00F51676">
        <w:t xml:space="preserve">, </w:t>
      </w:r>
      <w:r w:rsidR="009A3F7C" w:rsidRPr="00E867F6">
        <w:t xml:space="preserve">outpatient surveys and admitted children and young </w:t>
      </w:r>
      <w:proofErr w:type="gramStart"/>
      <w:r w:rsidR="009A3F7C" w:rsidRPr="00E867F6">
        <w:t>patients</w:t>
      </w:r>
      <w:proofErr w:type="gramEnd"/>
      <w:r w:rsidR="009A3F7C" w:rsidRPr="00E867F6">
        <w:t xml:space="preserve"> surveys. </w:t>
      </w:r>
    </w:p>
    <w:p w14:paraId="54F0D77E" w14:textId="12332CE9" w:rsidR="009A3F7C" w:rsidRPr="00E867F6" w:rsidRDefault="00E07076" w:rsidP="002505CC">
      <w:r>
        <w:rPr>
          <w:noProof/>
        </w:rPr>
        <mc:AlternateContent>
          <mc:Choice Requires="wps">
            <w:drawing>
              <wp:anchor distT="0" distB="0" distL="114300" distR="114300" simplePos="0" relativeHeight="251735040" behindDoc="0" locked="0" layoutInCell="1" allowOverlap="1" wp14:anchorId="1879C0CD" wp14:editId="3EF0D5A4">
                <wp:simplePos x="0" y="0"/>
                <wp:positionH relativeFrom="column">
                  <wp:posOffset>-1812925</wp:posOffset>
                </wp:positionH>
                <wp:positionV relativeFrom="paragraph">
                  <wp:posOffset>821690</wp:posOffset>
                </wp:positionV>
                <wp:extent cx="1695450" cy="3810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81000"/>
                        </a:xfrm>
                        <a:prstGeom prst="rect">
                          <a:avLst/>
                        </a:prstGeom>
                        <a:solidFill>
                          <a:srgbClr val="FFFFFF"/>
                        </a:solidFill>
                        <a:ln w="9525">
                          <a:noFill/>
                          <a:miter lim="800000"/>
                          <a:headEnd/>
                          <a:tailEnd/>
                        </a:ln>
                      </wps:spPr>
                      <wps:txbx>
                        <w:txbxContent>
                          <w:p w14:paraId="2495C5B0" w14:textId="57F1C7AA" w:rsidR="00F70157" w:rsidRPr="00E07076" w:rsidRDefault="00F70157">
                            <w:pPr>
                              <w:rPr>
                                <w:i/>
                                <w:sz w:val="18"/>
                                <w:szCs w:val="18"/>
                              </w:rPr>
                            </w:pPr>
                            <w:r w:rsidRPr="00E07076">
                              <w:rPr>
                                <w:i/>
                                <w:sz w:val="18"/>
                                <w:szCs w:val="18"/>
                              </w:rPr>
                              <w:t>Image: BHI ‘How does NSW compare?’ report,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42.75pt;margin-top:64.7pt;width:133.5pt;height:30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" stroked="f">
                <v:textbox>
                  <w:txbxContent>
                    <w:p w14:paraId="2495C5B0" w14:textId="57F1C7AA" w:rsidR="00F70157" w:rsidRPr="00E07076" w:rsidRDefault="00F70157">
                      <w:pPr>
                        <w:rPr>
                          <w:i/>
                          <w:sz w:val="18"/>
                          <w:szCs w:val="18"/>
                        </w:rPr>
                      </w:pPr>
                      <w:r w:rsidRPr="00E07076">
                        <w:rPr>
                          <w:i/>
                          <w:sz w:val="18"/>
                          <w:szCs w:val="18"/>
                        </w:rPr>
                        <w:t>Image: BHI ‘How does NSW compare?’ report, 2017.</w:t>
                      </w:r>
                    </w:p>
                  </w:txbxContent>
                </v:textbox>
                <w10:wrap type="square"/>
              </v:shape>
            </w:pict>
          </mc:Fallback>
        </mc:AlternateContent>
      </w:r>
      <w:r w:rsidR="009A3F7C" w:rsidRPr="00E867F6">
        <w:t xml:space="preserve">BHI releases a consolidated yearly report series, </w:t>
      </w:r>
      <w:r w:rsidR="009A3F7C" w:rsidRPr="00F51676">
        <w:rPr>
          <w:i/>
        </w:rPr>
        <w:t>Healthcare in Focus – How does NSW compare</w:t>
      </w:r>
      <w:proofErr w:type="gramStart"/>
      <w:r w:rsidR="009A3F7C" w:rsidRPr="00F51676">
        <w:rPr>
          <w:i/>
        </w:rPr>
        <w:t>?</w:t>
      </w:r>
      <w:r w:rsidR="00F51676">
        <w:t>,</w:t>
      </w:r>
      <w:proofErr w:type="gramEnd"/>
      <w:r w:rsidR="00F51676">
        <w:t xml:space="preserve"> using 140 indicators </w:t>
      </w:r>
      <w:r w:rsidR="009A3F7C" w:rsidRPr="00E867F6">
        <w:t>across six dimensions  of performance</w:t>
      </w:r>
      <w:r w:rsidR="008D3454">
        <w:t>:</w:t>
      </w:r>
      <w:r w:rsidR="009A3F7C" w:rsidRPr="00E867F6">
        <w:t xml:space="preserve"> accessibility; appropriateness; effectiveness; e</w:t>
      </w:r>
      <w:r w:rsidR="009A3F7C" w:rsidRPr="00E867F6">
        <w:rPr>
          <w:rStyle w:val="BodyTextChar"/>
        </w:rPr>
        <w:t>f</w:t>
      </w:r>
      <w:r w:rsidR="009A3F7C" w:rsidRPr="00E867F6">
        <w:t>ficiency; equity; and sustainability. The report places NSW results, where possible, in an international or national context. The reports are used to inform efforts to improve patient care and wellbeing as well as strengthen healthcare policy in NSW.</w:t>
      </w:r>
      <w:r w:rsidR="009A3F7C" w:rsidRPr="00E867F6">
        <w:rPr>
          <w:rStyle w:val="EndnoteReference"/>
        </w:rPr>
        <w:endnoteReference w:id="89"/>
      </w:r>
      <w:r w:rsidR="009A3F7C" w:rsidRPr="00E867F6">
        <w:t xml:space="preserve"> </w:t>
      </w:r>
    </w:p>
    <w:p w14:paraId="3687E96C" w14:textId="16A19FE2" w:rsidR="009A3F7C" w:rsidRPr="00E867F6" w:rsidRDefault="003A49AA" w:rsidP="002505CC">
      <w:pPr>
        <w:pStyle w:val="BodyText"/>
      </w:pPr>
      <w:r>
        <w:t>The reports include</w:t>
      </w:r>
      <w:r w:rsidR="009A3F7C" w:rsidRPr="00E867F6">
        <w:t xml:space="preserve"> data from indicators such as treatment waiting times, medication management, </w:t>
      </w:r>
      <w:r w:rsidR="008D3454">
        <w:t>emergency department</w:t>
      </w:r>
      <w:r w:rsidR="008D3454" w:rsidRPr="00E867F6">
        <w:t xml:space="preserve"> </w:t>
      </w:r>
      <w:r w:rsidR="009A3F7C" w:rsidRPr="00E867F6">
        <w:t>re-presentations, ambulance care outcomes, hospital infections (</w:t>
      </w:r>
      <w:r w:rsidR="009A3F7C" w:rsidRPr="00F51676">
        <w:rPr>
          <w:i/>
        </w:rPr>
        <w:t>Staphylococcus aureus</w:t>
      </w:r>
      <w:r w:rsidR="009A3F7C" w:rsidRPr="00E867F6">
        <w:t xml:space="preserve"> bacteraemia), post-surgical complication rates, falls, mental health readmissions and patient safety data (related to the data also published by the NSW CEC and detailed above). </w:t>
      </w:r>
    </w:p>
    <w:p w14:paraId="3F1AC9B3" w14:textId="7A4E3973" w:rsidR="009A3F7C" w:rsidRPr="00F51676" w:rsidRDefault="009A3F7C" w:rsidP="00F51676">
      <w:pPr>
        <w:pStyle w:val="AppendixHeading2"/>
        <w:numPr>
          <w:ilvl w:val="0"/>
          <w:numId w:val="0"/>
        </w:numPr>
        <w:tabs>
          <w:tab w:val="clear" w:pos="964"/>
        </w:tabs>
        <w:ind w:hanging="11"/>
        <w:jc w:val="left"/>
        <w:rPr>
          <w:rFonts w:asciiTheme="minorHAnsi" w:hAnsiTheme="minorHAnsi"/>
          <w:b w:val="0"/>
          <w:color w:val="auto"/>
          <w:sz w:val="22"/>
          <w:szCs w:val="22"/>
          <w:lang w:eastAsia="en-AU"/>
        </w:rPr>
      </w:pPr>
      <w:r w:rsidRPr="00F51676">
        <w:rPr>
          <w:rFonts w:asciiTheme="minorHAnsi" w:hAnsiTheme="minorHAnsi"/>
          <w:b w:val="0"/>
          <w:color w:val="auto"/>
          <w:sz w:val="22"/>
          <w:szCs w:val="22"/>
          <w:lang w:eastAsia="en-AU"/>
        </w:rPr>
        <w:t>BHI is the only established Australian partner in The Commonwealth Fund International Health Policy Survey that seeks information about health care access, cost and quality from patients around the world. Results are used to provide a comparison of the NSW healthcare system with Australia and 10 other countries</w:t>
      </w:r>
      <w:r w:rsidRPr="00F51676">
        <w:rPr>
          <w:rFonts w:asciiTheme="minorHAnsi" w:hAnsiTheme="minorHAnsi"/>
          <w:b w:val="0"/>
          <w:color w:val="auto"/>
          <w:sz w:val="22"/>
          <w:szCs w:val="22"/>
          <w:lang w:eastAsia="en-AU"/>
        </w:rPr>
        <w:endnoteReference w:id="90"/>
      </w:r>
      <w:r w:rsidRPr="00F51676">
        <w:rPr>
          <w:rFonts w:asciiTheme="minorHAnsi" w:hAnsiTheme="minorHAnsi"/>
          <w:b w:val="0"/>
          <w:color w:val="auto"/>
          <w:sz w:val="22"/>
          <w:szCs w:val="22"/>
          <w:lang w:eastAsia="en-AU"/>
        </w:rPr>
        <w:t>. Northern Territory</w:t>
      </w:r>
    </w:p>
    <w:p w14:paraId="01B8B791" w14:textId="25FEF6D3" w:rsidR="009A3F7C" w:rsidRPr="00E867F6" w:rsidRDefault="009A3F7C" w:rsidP="002505CC">
      <w:pPr>
        <w:autoSpaceDE w:val="0"/>
        <w:autoSpaceDN w:val="0"/>
        <w:adjustRightInd w:val="0"/>
        <w:spacing w:after="0"/>
      </w:pPr>
      <w:r w:rsidRPr="00E867F6">
        <w:t xml:space="preserve">The Northern Territory Department of Health does not provide any information on hospital performance, safety and quality in health care or patient experience information on </w:t>
      </w:r>
      <w:r>
        <w:t>its</w:t>
      </w:r>
      <w:r w:rsidRPr="00E867F6">
        <w:t xml:space="preserve"> website. The department’s website does provide consumers wit</w:t>
      </w:r>
      <w:r w:rsidRPr="00E867F6">
        <w:rPr>
          <w:rStyle w:val="BodyTextChar"/>
        </w:rPr>
        <w:t>h</w:t>
      </w:r>
      <w:r w:rsidRPr="00E867F6">
        <w:t xml:space="preserve"> an option to make a complaint or suggestion or ask a question on behalf of the Top End Health Service and the Central Australian Health Service as a mechanism to improve the NT health services. It is </w:t>
      </w:r>
      <w:r w:rsidR="008D3454">
        <w:t>not stated</w:t>
      </w:r>
      <w:r w:rsidR="008D3454" w:rsidRPr="00E867F6">
        <w:t xml:space="preserve"> </w:t>
      </w:r>
      <w:r w:rsidRPr="00E867F6">
        <w:t>how this information is used.</w:t>
      </w:r>
      <w:r w:rsidRPr="00E867F6">
        <w:rPr>
          <w:rStyle w:val="EndnoteReference"/>
        </w:rPr>
        <w:endnoteReference w:id="91"/>
      </w:r>
    </w:p>
    <w:p w14:paraId="2666D97E" w14:textId="77777777" w:rsidR="009A3F7C" w:rsidRPr="00E867F6" w:rsidRDefault="009A3F7C" w:rsidP="00D2773F">
      <w:pPr>
        <w:pStyle w:val="AppendixHeading2"/>
      </w:pPr>
      <w:r w:rsidRPr="00E867F6">
        <w:t>Queensland</w:t>
      </w:r>
    </w:p>
    <w:p w14:paraId="52B289DF" w14:textId="5DE000FA" w:rsidR="009A3F7C" w:rsidRPr="00E867F6" w:rsidRDefault="009A3F7C" w:rsidP="002505CC">
      <w:r w:rsidRPr="00E867F6">
        <w:t xml:space="preserve">According to the Queensland Department of Health </w:t>
      </w:r>
      <w:r w:rsidRPr="00E867F6">
        <w:rPr>
          <w:i/>
        </w:rPr>
        <w:t>Strategic Plan 2016-2020</w:t>
      </w:r>
      <w:r w:rsidRPr="00E867F6">
        <w:t xml:space="preserve">, </w:t>
      </w:r>
      <w:r w:rsidR="00460621">
        <w:t>Queensland</w:t>
      </w:r>
      <w:r w:rsidRPr="00E867F6">
        <w:t xml:space="preserve"> </w:t>
      </w:r>
      <w:r w:rsidR="0087744B" w:rsidRPr="0087744B">
        <w:t xml:space="preserve">Department of </w:t>
      </w:r>
      <w:r w:rsidRPr="00E867F6">
        <w:t>Health has a key role in supporting and monitoring</w:t>
      </w:r>
      <w:r w:rsidRPr="00E867F6">
        <w:rPr>
          <w:rStyle w:val="BodyTextChar"/>
        </w:rPr>
        <w:t xml:space="preserve"> safety and quality across the healthcare system. M</w:t>
      </w:r>
      <w:r w:rsidRPr="00E867F6">
        <w:rPr>
          <w:rStyle w:val="BodyTextChar"/>
          <w:i/>
        </w:rPr>
        <w:t>y health, Queensland’s future: Adv</w:t>
      </w:r>
      <w:r w:rsidRPr="00E867F6">
        <w:rPr>
          <w:i/>
        </w:rPr>
        <w:t xml:space="preserve">ancing health 2026 </w:t>
      </w:r>
      <w:r w:rsidRPr="00E867F6">
        <w:t>builds on the strategic plan and describes a vision and 10 year strategy for a world class health system, aiming for continuous improvement, transparency and accountability. Future effort focuses on improving equitable access to quality and safe health</w:t>
      </w:r>
      <w:r w:rsidR="008D3454">
        <w:t xml:space="preserve"> </w:t>
      </w:r>
      <w:r w:rsidRPr="00E867F6">
        <w:t>care and increasing availability of electronic health data to consumers.</w:t>
      </w:r>
      <w:r w:rsidRPr="00E867F6">
        <w:rPr>
          <w:rStyle w:val="EndnoteReference"/>
        </w:rPr>
        <w:endnoteReference w:id="92"/>
      </w:r>
    </w:p>
    <w:p w14:paraId="26600B5A" w14:textId="1C0D8CC0" w:rsidR="009A3F7C" w:rsidRPr="00E867F6" w:rsidRDefault="009A3F7C" w:rsidP="002505CC">
      <w:pPr>
        <w:pStyle w:val="BodyText"/>
      </w:pPr>
      <w:r w:rsidRPr="00E867F6">
        <w:t xml:space="preserve">Currently, </w:t>
      </w:r>
      <w:r w:rsidR="00460621">
        <w:t>Queensland</w:t>
      </w:r>
      <w:r w:rsidR="0087744B" w:rsidRPr="0087744B">
        <w:t xml:space="preserve"> Department of</w:t>
      </w:r>
      <w:r w:rsidRPr="00E867F6">
        <w:t xml:space="preserve"> Health provides hospital performance information to the public through its Hospital Performance website. Activity and performance information relates to immunisation rates, emergency department attendances, elective surgery operations, hospital admission activity, </w:t>
      </w:r>
      <w:r w:rsidR="003A49AA">
        <w:t>per</w:t>
      </w:r>
      <w:r>
        <w:t>cent</w:t>
      </w:r>
      <w:r w:rsidRPr="00E867F6">
        <w:t xml:space="preserve">age of patients waiting within the clinically recommended waiting times for specialist outpatient and patient experience for emergency department and maternity patient categories. Data can be viewed at a state-wide, regional or hospital level. In addition, the department’s Statistical Services Branch has developed a </w:t>
      </w:r>
      <w:r w:rsidRPr="00E867F6">
        <w:lastRenderedPageBreak/>
        <w:t xml:space="preserve">series of interactive data dashboards. No information is provided for specific safety and quality indicators on these sites although the Health Performance website provides links to the </w:t>
      </w:r>
      <w:proofErr w:type="spellStart"/>
      <w:r w:rsidRPr="00E867F6">
        <w:t>MyHospitals</w:t>
      </w:r>
      <w:proofErr w:type="spellEnd"/>
      <w:r w:rsidRPr="00E867F6">
        <w:t xml:space="preserve"> sites from which hospital level information on hand hygiene and SAB infection rates for Queensland public hospitals can be accessed, </w:t>
      </w:r>
      <w:r w:rsidRPr="00E867F6">
        <w:rPr>
          <w:rStyle w:val="EndnoteReference"/>
        </w:rPr>
        <w:endnoteReference w:id="93"/>
      </w:r>
      <w:r w:rsidRPr="00E867F6">
        <w:t xml:space="preserve"> </w:t>
      </w:r>
    </w:p>
    <w:p w14:paraId="4DA03F48" w14:textId="78BA8E42" w:rsidR="009A3F7C" w:rsidRPr="00E867F6" w:rsidRDefault="009A3F7C" w:rsidP="002505CC">
      <w:pPr>
        <w:pStyle w:val="BodyText"/>
      </w:pPr>
      <w:r w:rsidRPr="00E867F6">
        <w:t xml:space="preserve">The annual report published by the Clinical Excellence Division provides a high level overview of safety and quality initiatives implemented in the 2016-2017 financial year. </w:t>
      </w:r>
      <w:r>
        <w:t>A</w:t>
      </w:r>
      <w:r w:rsidRPr="00E867F6">
        <w:t xml:space="preserve"> new suite of patient safety and quality indicators and reporting for hospital</w:t>
      </w:r>
      <w:r w:rsidR="00064C19">
        <w:t>-</w:t>
      </w:r>
      <w:r w:rsidRPr="00E867F6">
        <w:t xml:space="preserve">acquired complications, maternity and paediatrics were introduced in 2017 to support monitoring of patient safety and quality. The report also presented data as an infographic for pressure injuries, showing the reduction in activity as a </w:t>
      </w:r>
      <w:r w:rsidR="003A49AA">
        <w:t>per</w:t>
      </w:r>
      <w:r>
        <w:t>cent</w:t>
      </w:r>
      <w:r w:rsidRPr="00E867F6">
        <w:t>age between 2003 and 2016.</w:t>
      </w:r>
      <w:r w:rsidRPr="00E867F6">
        <w:rPr>
          <w:rStyle w:val="EndnoteReference"/>
        </w:rPr>
        <w:endnoteReference w:id="94"/>
      </w:r>
      <w:r w:rsidRPr="00E867F6">
        <w:t xml:space="preserve"> </w:t>
      </w:r>
    </w:p>
    <w:p w14:paraId="262224FA" w14:textId="4E61415F" w:rsidR="00EC6609" w:rsidRDefault="009A3F7C" w:rsidP="00130E91">
      <w:pPr>
        <w:pStyle w:val="NormalWeb"/>
        <w:shd w:val="clear" w:color="auto" w:fill="FFFFFF"/>
        <w:spacing w:before="120" w:beforeAutospacing="0" w:after="120" w:afterAutospacing="0"/>
        <w:rPr>
          <w:rFonts w:ascii="Arial" w:hAnsi="Arial" w:cs="Arial"/>
          <w:sz w:val="21"/>
          <w:szCs w:val="21"/>
        </w:rPr>
      </w:pPr>
      <w:r w:rsidRPr="00130E91">
        <w:rPr>
          <w:rFonts w:ascii="Arial" w:hAnsi="Arial" w:cs="Arial"/>
          <w:sz w:val="21"/>
          <w:szCs w:val="21"/>
        </w:rPr>
        <w:t xml:space="preserve">In 2017, </w:t>
      </w:r>
      <w:r w:rsidR="00460621">
        <w:rPr>
          <w:rFonts w:ascii="Arial" w:hAnsi="Arial" w:cs="Arial"/>
          <w:sz w:val="21"/>
          <w:szCs w:val="21"/>
        </w:rPr>
        <w:t>Queensland</w:t>
      </w:r>
      <w:r w:rsidRPr="00130E91">
        <w:rPr>
          <w:rFonts w:ascii="Arial" w:hAnsi="Arial" w:cs="Arial"/>
          <w:sz w:val="21"/>
          <w:szCs w:val="21"/>
        </w:rPr>
        <w:t xml:space="preserve"> </w:t>
      </w:r>
      <w:r w:rsidR="0087744B" w:rsidRPr="0087744B">
        <w:rPr>
          <w:rFonts w:ascii="Arial" w:hAnsi="Arial" w:cs="Arial"/>
          <w:sz w:val="21"/>
          <w:szCs w:val="21"/>
        </w:rPr>
        <w:t xml:space="preserve">Department of </w:t>
      </w:r>
      <w:r w:rsidRPr="00130E91">
        <w:rPr>
          <w:rFonts w:ascii="Arial" w:hAnsi="Arial" w:cs="Arial"/>
          <w:sz w:val="21"/>
          <w:szCs w:val="21"/>
        </w:rPr>
        <w:t xml:space="preserve">Health released the </w:t>
      </w:r>
      <w:r w:rsidRPr="00E85B75">
        <w:rPr>
          <w:rFonts w:ascii="Arial" w:hAnsi="Arial" w:cs="Arial"/>
          <w:i/>
          <w:sz w:val="21"/>
          <w:szCs w:val="21"/>
        </w:rPr>
        <w:t>Expanding healthcare quality and patient safety reporting across Queensland’s health system</w:t>
      </w:r>
      <w:r w:rsidRPr="00130E91">
        <w:rPr>
          <w:rFonts w:ascii="Arial" w:hAnsi="Arial" w:cs="Arial"/>
          <w:sz w:val="21"/>
          <w:szCs w:val="21"/>
        </w:rPr>
        <w:t xml:space="preserve"> discussion paper as the first step towards better understanding views on the collection, use and public reporting of safety and quality information. Responses were received from a wide range of stakeholders. Of the 135 responses, 99</w:t>
      </w:r>
      <w:r w:rsidR="001F2ED9" w:rsidRPr="00130E91">
        <w:rPr>
          <w:rFonts w:ascii="Arial" w:hAnsi="Arial" w:cs="Arial"/>
          <w:sz w:val="21"/>
          <w:szCs w:val="21"/>
        </w:rPr>
        <w:t>%</w:t>
      </w:r>
      <w:r w:rsidR="00E85B75">
        <w:rPr>
          <w:rFonts w:ascii="Arial" w:hAnsi="Arial" w:cs="Arial"/>
          <w:sz w:val="21"/>
          <w:szCs w:val="21"/>
        </w:rPr>
        <w:t xml:space="preserve"> </w:t>
      </w:r>
      <w:r w:rsidRPr="00130E91">
        <w:rPr>
          <w:rFonts w:ascii="Arial" w:hAnsi="Arial" w:cs="Arial"/>
          <w:sz w:val="21"/>
          <w:szCs w:val="21"/>
        </w:rPr>
        <w:t>of respondents supported a consistent approach to reporting across public and private healthcare organisations.</w:t>
      </w:r>
      <w:r w:rsidRPr="00E85B75">
        <w:rPr>
          <w:rFonts w:ascii="Arial" w:hAnsi="Arial" w:cs="Arial"/>
          <w:sz w:val="21"/>
          <w:szCs w:val="21"/>
          <w:vertAlign w:val="superscript"/>
        </w:rPr>
        <w:endnoteReference w:id="95"/>
      </w:r>
      <w:r w:rsidRPr="00E85B75">
        <w:rPr>
          <w:rFonts w:ascii="Arial" w:hAnsi="Arial" w:cs="Arial"/>
          <w:sz w:val="21"/>
          <w:szCs w:val="21"/>
          <w:vertAlign w:val="superscript"/>
        </w:rPr>
        <w:t xml:space="preserve"> </w:t>
      </w:r>
      <w:r w:rsidRPr="00130E91">
        <w:rPr>
          <w:rFonts w:ascii="Arial" w:hAnsi="Arial" w:cs="Arial"/>
          <w:sz w:val="21"/>
          <w:szCs w:val="21"/>
        </w:rPr>
        <w:t xml:space="preserve">The Queensland Government is currently considering options </w:t>
      </w:r>
      <w:r w:rsidR="00EC6609">
        <w:rPr>
          <w:rFonts w:ascii="Arial" w:hAnsi="Arial" w:cs="Arial"/>
          <w:sz w:val="21"/>
          <w:szCs w:val="21"/>
        </w:rPr>
        <w:t>for</w:t>
      </w:r>
      <w:r w:rsidRPr="00130E91">
        <w:rPr>
          <w:rFonts w:ascii="Arial" w:hAnsi="Arial" w:cs="Arial"/>
          <w:sz w:val="21"/>
          <w:szCs w:val="21"/>
        </w:rPr>
        <w:t xml:space="preserve"> progress</w:t>
      </w:r>
      <w:r w:rsidR="00EC6609">
        <w:rPr>
          <w:rFonts w:ascii="Arial" w:hAnsi="Arial" w:cs="Arial"/>
          <w:sz w:val="21"/>
          <w:szCs w:val="21"/>
        </w:rPr>
        <w:t>ing</w:t>
      </w:r>
      <w:r w:rsidRPr="00130E91">
        <w:rPr>
          <w:rFonts w:ascii="Arial" w:hAnsi="Arial" w:cs="Arial"/>
          <w:sz w:val="21"/>
          <w:szCs w:val="21"/>
        </w:rPr>
        <w:t xml:space="preserve"> public reporting across the state.</w:t>
      </w:r>
      <w:r w:rsidR="00EC6609" w:rsidRPr="00E85B75">
        <w:rPr>
          <w:rFonts w:ascii="Arial" w:hAnsi="Arial" w:cs="Arial"/>
          <w:sz w:val="21"/>
          <w:szCs w:val="21"/>
        </w:rPr>
        <w:t xml:space="preserve"> </w:t>
      </w:r>
    </w:p>
    <w:p w14:paraId="17A880DB" w14:textId="14094F53" w:rsidR="009A3F7C" w:rsidRPr="00E85B75" w:rsidRDefault="00EC6609" w:rsidP="00E85B75">
      <w:pPr>
        <w:pStyle w:val="NormalWeb"/>
        <w:shd w:val="clear" w:color="auto" w:fill="FFFFFF"/>
        <w:spacing w:before="120" w:beforeAutospacing="0" w:after="120" w:afterAutospacing="0"/>
        <w:rPr>
          <w:rFonts w:ascii="Arial" w:hAnsi="Arial" w:cs="Arial"/>
          <w:sz w:val="21"/>
          <w:szCs w:val="21"/>
        </w:rPr>
      </w:pPr>
      <w:r w:rsidRPr="00E85B75">
        <w:rPr>
          <w:rFonts w:ascii="Arial" w:hAnsi="Arial" w:cs="Arial"/>
          <w:sz w:val="21"/>
          <w:szCs w:val="21"/>
        </w:rPr>
        <w:t xml:space="preserve">In August 2018, </w:t>
      </w:r>
      <w:r>
        <w:rPr>
          <w:rFonts w:ascii="Arial" w:hAnsi="Arial" w:cs="Arial"/>
          <w:sz w:val="21"/>
          <w:szCs w:val="21"/>
        </w:rPr>
        <w:t>it was</w:t>
      </w:r>
      <w:r w:rsidRPr="00E85B75">
        <w:rPr>
          <w:rFonts w:ascii="Arial" w:hAnsi="Arial" w:cs="Arial"/>
          <w:sz w:val="21"/>
          <w:szCs w:val="21"/>
        </w:rPr>
        <w:t xml:space="preserve"> announced </w:t>
      </w:r>
      <w:r>
        <w:rPr>
          <w:rFonts w:ascii="Arial" w:hAnsi="Arial" w:cs="Arial"/>
          <w:sz w:val="21"/>
          <w:szCs w:val="21"/>
        </w:rPr>
        <w:t>that</w:t>
      </w:r>
      <w:r w:rsidRPr="00E85B75">
        <w:rPr>
          <w:rFonts w:ascii="Arial" w:hAnsi="Arial" w:cs="Arial"/>
          <w:sz w:val="21"/>
          <w:szCs w:val="21"/>
        </w:rPr>
        <w:t xml:space="preserve"> an interactive website </w:t>
      </w:r>
      <w:r>
        <w:rPr>
          <w:rFonts w:ascii="Arial" w:hAnsi="Arial" w:cs="Arial"/>
          <w:sz w:val="21"/>
          <w:szCs w:val="21"/>
        </w:rPr>
        <w:t xml:space="preserve">would be launched to </w:t>
      </w:r>
      <w:r w:rsidRPr="00E85B75">
        <w:rPr>
          <w:rFonts w:ascii="Arial" w:hAnsi="Arial" w:cs="Arial"/>
          <w:sz w:val="21"/>
          <w:szCs w:val="21"/>
        </w:rPr>
        <w:t>enable the public to compare public and private hospitals on a range of information</w:t>
      </w:r>
      <w:r w:rsidR="00E85B75">
        <w:rPr>
          <w:rFonts w:ascii="Arial" w:hAnsi="Arial" w:cs="Arial"/>
          <w:sz w:val="21"/>
          <w:szCs w:val="21"/>
        </w:rPr>
        <w:t xml:space="preserve"> for Queensland</w:t>
      </w:r>
      <w:r w:rsidRPr="00E85B75">
        <w:rPr>
          <w:rFonts w:ascii="Arial" w:hAnsi="Arial" w:cs="Arial"/>
          <w:sz w:val="21"/>
          <w:szCs w:val="21"/>
        </w:rPr>
        <w:t xml:space="preserve">. </w:t>
      </w:r>
      <w:r>
        <w:rPr>
          <w:rFonts w:ascii="Arial" w:hAnsi="Arial" w:cs="Arial"/>
          <w:sz w:val="21"/>
          <w:szCs w:val="21"/>
        </w:rPr>
        <w:t>During</w:t>
      </w:r>
      <w:r w:rsidRPr="00E85B75">
        <w:rPr>
          <w:rFonts w:ascii="Arial" w:hAnsi="Arial" w:cs="Arial"/>
          <w:sz w:val="21"/>
          <w:szCs w:val="21"/>
        </w:rPr>
        <w:t xml:space="preserve"> October 2018 to January 2019, </w:t>
      </w:r>
      <w:r>
        <w:rPr>
          <w:rFonts w:ascii="Arial" w:hAnsi="Arial" w:cs="Arial"/>
          <w:sz w:val="21"/>
          <w:szCs w:val="21"/>
        </w:rPr>
        <w:t>Queensland</w:t>
      </w:r>
      <w:r w:rsidRPr="00E85B75">
        <w:rPr>
          <w:rFonts w:ascii="Arial" w:hAnsi="Arial" w:cs="Arial"/>
          <w:sz w:val="21"/>
          <w:szCs w:val="21"/>
        </w:rPr>
        <w:t xml:space="preserve"> </w:t>
      </w:r>
      <w:r w:rsidR="0087744B" w:rsidRPr="0087744B">
        <w:rPr>
          <w:rFonts w:ascii="Arial" w:hAnsi="Arial" w:cs="Arial"/>
          <w:sz w:val="21"/>
          <w:szCs w:val="21"/>
        </w:rPr>
        <w:t xml:space="preserve">Department of </w:t>
      </w:r>
      <w:r w:rsidRPr="00E85B75">
        <w:rPr>
          <w:rFonts w:ascii="Arial" w:hAnsi="Arial" w:cs="Arial"/>
          <w:sz w:val="21"/>
          <w:szCs w:val="21"/>
        </w:rPr>
        <w:t xml:space="preserve">Health </w:t>
      </w:r>
      <w:r>
        <w:rPr>
          <w:rFonts w:ascii="Arial" w:hAnsi="Arial" w:cs="Arial"/>
          <w:sz w:val="21"/>
          <w:szCs w:val="21"/>
        </w:rPr>
        <w:t>has undertaken</w:t>
      </w:r>
      <w:r w:rsidRPr="00E85B75">
        <w:rPr>
          <w:rFonts w:ascii="Arial" w:hAnsi="Arial" w:cs="Arial"/>
          <w:sz w:val="21"/>
          <w:szCs w:val="21"/>
        </w:rPr>
        <w:t xml:space="preserve"> </w:t>
      </w:r>
      <w:r>
        <w:rPr>
          <w:rFonts w:ascii="Arial" w:hAnsi="Arial" w:cs="Arial"/>
          <w:sz w:val="21"/>
          <w:szCs w:val="21"/>
        </w:rPr>
        <w:t xml:space="preserve">further </w:t>
      </w:r>
      <w:r w:rsidRPr="00E85B75">
        <w:rPr>
          <w:rFonts w:ascii="Arial" w:hAnsi="Arial" w:cs="Arial"/>
          <w:sz w:val="21"/>
          <w:szCs w:val="21"/>
        </w:rPr>
        <w:t xml:space="preserve">consultation with </w:t>
      </w:r>
      <w:r>
        <w:rPr>
          <w:rFonts w:ascii="Arial" w:hAnsi="Arial" w:cs="Arial"/>
          <w:sz w:val="21"/>
          <w:szCs w:val="21"/>
        </w:rPr>
        <w:t>a range of</w:t>
      </w:r>
      <w:r w:rsidRPr="00E85B75">
        <w:rPr>
          <w:rFonts w:ascii="Arial" w:hAnsi="Arial" w:cs="Arial"/>
          <w:sz w:val="21"/>
          <w:szCs w:val="21"/>
        </w:rPr>
        <w:t xml:space="preserve"> stakeholders. </w:t>
      </w:r>
      <w:r>
        <w:rPr>
          <w:rFonts w:ascii="Arial" w:hAnsi="Arial" w:cs="Arial"/>
          <w:sz w:val="21"/>
          <w:szCs w:val="21"/>
        </w:rPr>
        <w:t>This</w:t>
      </w:r>
      <w:r w:rsidRPr="00E85B75">
        <w:rPr>
          <w:rFonts w:ascii="Arial" w:hAnsi="Arial" w:cs="Arial"/>
          <w:sz w:val="21"/>
          <w:szCs w:val="21"/>
        </w:rPr>
        <w:t xml:space="preserve"> consultation </w:t>
      </w:r>
      <w:r>
        <w:rPr>
          <w:rFonts w:ascii="Arial" w:hAnsi="Arial" w:cs="Arial"/>
          <w:sz w:val="21"/>
          <w:szCs w:val="21"/>
        </w:rPr>
        <w:t>aimed to</w:t>
      </w:r>
      <w:r w:rsidRPr="00E85B75">
        <w:rPr>
          <w:rFonts w:ascii="Arial" w:hAnsi="Arial" w:cs="Arial"/>
          <w:sz w:val="21"/>
          <w:szCs w:val="21"/>
        </w:rPr>
        <w:t xml:space="preserve"> seek input into the type of content that would be presented on the proposed website.</w:t>
      </w:r>
      <w:r>
        <w:rPr>
          <w:rStyle w:val="EndnoteReference"/>
          <w:rFonts w:ascii="Arial" w:hAnsi="Arial" w:cs="Arial"/>
          <w:sz w:val="21"/>
          <w:szCs w:val="21"/>
        </w:rPr>
        <w:endnoteReference w:id="96"/>
      </w:r>
    </w:p>
    <w:p w14:paraId="366400EA" w14:textId="77777777" w:rsidR="009A3F7C" w:rsidRPr="00E867F6" w:rsidRDefault="009A3F7C" w:rsidP="00D2773F">
      <w:pPr>
        <w:pStyle w:val="AppendixHeading2"/>
      </w:pPr>
      <w:r w:rsidRPr="00E867F6">
        <w:t>South Australia</w:t>
      </w:r>
    </w:p>
    <w:p w14:paraId="3583E30E" w14:textId="515A40AD" w:rsidR="009A3F7C" w:rsidRPr="00E867F6" w:rsidRDefault="009A3F7C" w:rsidP="002505CC">
      <w:pPr>
        <w:pStyle w:val="BodyText"/>
      </w:pPr>
      <w:r w:rsidRPr="00E867F6">
        <w:t xml:space="preserve">The South Australian </w:t>
      </w:r>
      <w:r w:rsidR="0087744B">
        <w:t xml:space="preserve">(SA) </w:t>
      </w:r>
      <w:r w:rsidRPr="00E867F6">
        <w:t xml:space="preserve">Department of Health and Ageing aligns its safety and quality programs, frameworks and reporting with the </w:t>
      </w:r>
      <w:r w:rsidRPr="00E867F6">
        <w:rPr>
          <w:rFonts w:ascii="Arial" w:hAnsi="Arial" w:cs="Arial"/>
          <w:sz w:val="21"/>
          <w:szCs w:val="21"/>
        </w:rPr>
        <w:t xml:space="preserve">NSQHS Standards. </w:t>
      </w:r>
    </w:p>
    <w:p w14:paraId="1FAA65F5" w14:textId="2F69156A" w:rsidR="009A3F7C" w:rsidRPr="00E867F6" w:rsidRDefault="009A3F7C" w:rsidP="002505CC">
      <w:pPr>
        <w:pStyle w:val="BodyText"/>
      </w:pPr>
      <w:r w:rsidRPr="00E867F6">
        <w:t xml:space="preserve">SA </w:t>
      </w:r>
      <w:r w:rsidR="0087744B" w:rsidRPr="0087744B">
        <w:t xml:space="preserve">Department of Health and Ageing </w:t>
      </w:r>
      <w:r w:rsidRPr="00E867F6">
        <w:t>produces two key reports related to quality and safety: Patient Safety Annual Report and Measuring Consumer Experience Annual Report. While the Patient Safety Report has been published since 2004, only the latest two editions are available online. Five editions of the Measuring Consumer Experience Report are available online.</w:t>
      </w:r>
      <w:r w:rsidRPr="00E867F6">
        <w:rPr>
          <w:rStyle w:val="EndnoteReference"/>
        </w:rPr>
        <w:endnoteReference w:id="97"/>
      </w:r>
      <w:r w:rsidRPr="00E867F6">
        <w:t xml:space="preserve"> These reports are supported by a suite of materials including short community reports, factsheets and infographics. The SA </w:t>
      </w:r>
      <w:r w:rsidR="0087744B" w:rsidRPr="0087744B">
        <w:t xml:space="preserve">Department of Health and Ageing </w:t>
      </w:r>
      <w:r w:rsidRPr="00E867F6">
        <w:t xml:space="preserve">Annual Report also </w:t>
      </w:r>
      <w:proofErr w:type="gramStart"/>
      <w:r w:rsidRPr="00E867F6">
        <w:t>has</w:t>
      </w:r>
      <w:proofErr w:type="gramEnd"/>
      <w:r w:rsidRPr="00E867F6">
        <w:t xml:space="preserve"> a</w:t>
      </w:r>
      <w:r w:rsidR="00E85B75">
        <w:t xml:space="preserve"> chapter on safety and quality and its</w:t>
      </w:r>
      <w:r w:rsidRPr="00E867F6">
        <w:t xml:space="preserve"> focus is primarily on how the state is responding to this agenda. </w:t>
      </w:r>
    </w:p>
    <w:p w14:paraId="6716219F" w14:textId="0C9AB0DB" w:rsidR="009A3F7C" w:rsidRPr="00E867F6" w:rsidRDefault="009A3F7C" w:rsidP="002505CC">
      <w:pPr>
        <w:pStyle w:val="BodyText"/>
        <w:rPr>
          <w:rFonts w:ascii="Arial" w:hAnsi="Arial" w:cs="Arial"/>
          <w:sz w:val="21"/>
          <w:szCs w:val="21"/>
        </w:rPr>
      </w:pPr>
      <w:r w:rsidRPr="00E867F6">
        <w:t>The Patient Safety Report reports contain detail on the number of clinical incidents and sentinel events, compliance with accreditation, as well as consumer feedback (complaints), healthcare</w:t>
      </w:r>
      <w:r w:rsidR="00C952CB">
        <w:t>-</w:t>
      </w:r>
      <w:r w:rsidRPr="00E867F6">
        <w:t>associated infections, medication incidents, patient identification incidents, incidents relating to transfusion of blood and blood products, pressure injuries, falls</w:t>
      </w:r>
      <w:r w:rsidR="00C952CB">
        <w:t>,</w:t>
      </w:r>
      <w:r w:rsidRPr="00E867F6">
        <w:t xml:space="preserve"> and hand hygiene. Findings from the Measuring Consumer Experience Annual Report are also incorporated into the Patient Safety Report. Data is reported at a state-wide aggregate, and compared to other jurisdictions. Data </w:t>
      </w:r>
      <w:r w:rsidR="00C952CB">
        <w:t>are</w:t>
      </w:r>
      <w:r w:rsidR="00C952CB" w:rsidRPr="00E867F6">
        <w:t xml:space="preserve"> </w:t>
      </w:r>
      <w:r w:rsidRPr="00E867F6">
        <w:t xml:space="preserve">benchmarked against national standards and targets. SA </w:t>
      </w:r>
      <w:r w:rsidR="0087744B" w:rsidRPr="0087744B">
        <w:t xml:space="preserve">Department of Health and Ageing </w:t>
      </w:r>
      <w:r w:rsidRPr="00E867F6">
        <w:t>also compares hand hygiene compliance to the state target. Quantitative analysis is supported</w:t>
      </w:r>
      <w:r w:rsidRPr="00E867F6">
        <w:rPr>
          <w:rFonts w:ascii="Arial" w:hAnsi="Arial" w:cs="Arial"/>
        </w:rPr>
        <w:t xml:space="preserve"> by detailed information on the programs, initiatives, and actions being undertaken to learn from, and prevent future occurrences of patient harm</w:t>
      </w:r>
      <w:r w:rsidRPr="00E867F6">
        <w:rPr>
          <w:rFonts w:ascii="Arial" w:hAnsi="Arial" w:cs="Arial"/>
          <w:sz w:val="21"/>
          <w:szCs w:val="21"/>
        </w:rPr>
        <w:t>.</w:t>
      </w:r>
      <w:r w:rsidRPr="00E867F6">
        <w:rPr>
          <w:rStyle w:val="EndnoteReference"/>
          <w:rFonts w:cs="Arial"/>
          <w:sz w:val="21"/>
          <w:szCs w:val="21"/>
        </w:rPr>
        <w:endnoteReference w:id="98"/>
      </w:r>
      <w:r w:rsidRPr="00E867F6">
        <w:rPr>
          <w:rFonts w:ascii="Arial" w:hAnsi="Arial" w:cs="Arial"/>
          <w:sz w:val="21"/>
          <w:szCs w:val="21"/>
        </w:rPr>
        <w:t xml:space="preserve"> </w:t>
      </w:r>
    </w:p>
    <w:p w14:paraId="5714C4C0" w14:textId="16C1ADFA" w:rsidR="009A3F7C" w:rsidRPr="00E867F6" w:rsidRDefault="009A3F7C" w:rsidP="002505CC">
      <w:pPr>
        <w:pStyle w:val="BodyText"/>
      </w:pPr>
      <w:r w:rsidRPr="00E867F6">
        <w:t xml:space="preserve">In addition to these public reports, SA </w:t>
      </w:r>
      <w:r w:rsidR="0087744B" w:rsidRPr="0087744B">
        <w:t xml:space="preserve">Department of Health and Ageing </w:t>
      </w:r>
      <w:r w:rsidRPr="00E867F6">
        <w:t xml:space="preserve">has a public </w:t>
      </w:r>
      <w:proofErr w:type="gramStart"/>
      <w:r w:rsidRPr="00E867F6">
        <w:rPr>
          <w:i/>
        </w:rPr>
        <w:t>Our</w:t>
      </w:r>
      <w:proofErr w:type="gramEnd"/>
      <w:r w:rsidRPr="00E867F6">
        <w:rPr>
          <w:i/>
        </w:rPr>
        <w:t xml:space="preserve"> hospital dashboard, </w:t>
      </w:r>
      <w:r w:rsidRPr="00E867F6">
        <w:t xml:space="preserve">which provides performance information on four dashboards including: Ambulance Service, Emergency Department, In Patient and Elective Surgery across the state’s major hospitals. Information on the dashboards is updated every 30 minutes by the hospitals. Data </w:t>
      </w:r>
      <w:r w:rsidR="00C952CB">
        <w:t>are</w:t>
      </w:r>
      <w:r w:rsidR="00C952CB" w:rsidRPr="00E867F6">
        <w:t xml:space="preserve"> </w:t>
      </w:r>
      <w:r w:rsidRPr="00E867F6">
        <w:t>presented for all major metropolitan and country hospitals and three years of data</w:t>
      </w:r>
      <w:r w:rsidR="00C952CB">
        <w:t xml:space="preserve"> are compared</w:t>
      </w:r>
      <w:r w:rsidRPr="00E867F6">
        <w:t>.</w:t>
      </w:r>
      <w:r w:rsidRPr="00E867F6">
        <w:rPr>
          <w:rStyle w:val="EndnoteReference"/>
          <w:rFonts w:cs="Arial"/>
          <w:sz w:val="21"/>
          <w:szCs w:val="21"/>
        </w:rPr>
        <w:endnoteReference w:id="99"/>
      </w:r>
      <w:r w:rsidRPr="00E867F6">
        <w:t xml:space="preserve"> While these dashboards assist hospitals to monitor and </w:t>
      </w:r>
      <w:r w:rsidRPr="00E867F6">
        <w:lastRenderedPageBreak/>
        <w:t xml:space="preserve">manage their patient activity and provide the public with information about waiting times, no information related to safety and quality is reported on them. </w:t>
      </w:r>
    </w:p>
    <w:p w14:paraId="52CCDA7B" w14:textId="77777777" w:rsidR="009A3F7C" w:rsidRPr="00E867F6" w:rsidRDefault="009A3F7C" w:rsidP="00D2773F">
      <w:pPr>
        <w:pStyle w:val="AppendixHeading2"/>
      </w:pPr>
      <w:r w:rsidRPr="00E867F6">
        <w:t>Tasmania</w:t>
      </w:r>
    </w:p>
    <w:p w14:paraId="17E68DA2" w14:textId="09028C69" w:rsidR="009A3F7C" w:rsidRPr="00E867F6" w:rsidRDefault="009A3F7C" w:rsidP="002505CC">
      <w:pPr>
        <w:pStyle w:val="BodyText"/>
      </w:pPr>
      <w:r w:rsidRPr="00E867F6">
        <w:t>The Tasmanian Department of Health and Human Services reports limited data on healthcare</w:t>
      </w:r>
      <w:r w:rsidR="00C952CB">
        <w:t>-</w:t>
      </w:r>
      <w:r w:rsidRPr="00E867F6">
        <w:t xml:space="preserve">associated infection surveillance. Data has been reported publically since 2009. Reports are published quarterly, with an annual report at the end of each financial year. Information is presented in a report format and data </w:t>
      </w:r>
      <w:r w:rsidR="00C952CB">
        <w:t>are</w:t>
      </w:r>
      <w:r w:rsidR="00C952CB" w:rsidRPr="00E867F6">
        <w:t xml:space="preserve"> </w:t>
      </w:r>
      <w:r w:rsidRPr="00E867F6">
        <w:t>compared at de-identified hospital level. Safety and quality information presented in the reports is very limited. Results are benchmarked against national targets and include:</w:t>
      </w:r>
      <w:r w:rsidRPr="00E867F6">
        <w:rPr>
          <w:rStyle w:val="EndnoteReference"/>
        </w:rPr>
        <w:endnoteReference w:id="100"/>
      </w:r>
    </w:p>
    <w:p w14:paraId="02D43761" w14:textId="77777777" w:rsidR="009A3F7C" w:rsidRPr="00E867F6" w:rsidRDefault="009A3F7C" w:rsidP="00776E32">
      <w:pPr>
        <w:pStyle w:val="ListBullet"/>
        <w:contextualSpacing w:val="0"/>
      </w:pPr>
      <w:r w:rsidRPr="00E867F6">
        <w:t>CLABSI (ICU)</w:t>
      </w:r>
    </w:p>
    <w:p w14:paraId="225D2835" w14:textId="77777777" w:rsidR="009A3F7C" w:rsidRPr="00E867F6" w:rsidRDefault="009A3F7C" w:rsidP="00776E32">
      <w:pPr>
        <w:pStyle w:val="ListBullet"/>
        <w:contextualSpacing w:val="0"/>
      </w:pPr>
      <w:r w:rsidRPr="00E867F6">
        <w:t>SAB</w:t>
      </w:r>
    </w:p>
    <w:p w14:paraId="6ADC33EC" w14:textId="77777777" w:rsidR="009A3F7C" w:rsidRPr="00E867F6" w:rsidRDefault="009A3F7C" w:rsidP="00776E32">
      <w:pPr>
        <w:pStyle w:val="ListBullet"/>
        <w:contextualSpacing w:val="0"/>
      </w:pPr>
      <w:r w:rsidRPr="00E867F6">
        <w:t>CDI</w:t>
      </w:r>
    </w:p>
    <w:p w14:paraId="1CC0DE32" w14:textId="77777777" w:rsidR="009A3F7C" w:rsidRPr="00E867F6" w:rsidRDefault="009A3F7C" w:rsidP="00776E32">
      <w:pPr>
        <w:pStyle w:val="ListBullet"/>
        <w:contextualSpacing w:val="0"/>
      </w:pPr>
      <w:r w:rsidRPr="00E867F6">
        <w:t>Vancomycin Resistant Enterococcus (VRE)</w:t>
      </w:r>
    </w:p>
    <w:p w14:paraId="2E18E893" w14:textId="61DA7456" w:rsidR="009A3F7C" w:rsidRPr="00E867F6" w:rsidRDefault="009A3F7C" w:rsidP="00776E32">
      <w:pPr>
        <w:pStyle w:val="ListBullet"/>
        <w:contextualSpacing w:val="0"/>
      </w:pPr>
      <w:r w:rsidRPr="00E867F6">
        <w:t>Hand hygiene compliance</w:t>
      </w:r>
      <w:r w:rsidR="007B72B2">
        <w:t>.</w:t>
      </w:r>
    </w:p>
    <w:p w14:paraId="0C9F2307" w14:textId="062F20C3" w:rsidR="009A3F7C" w:rsidRPr="00E867F6" w:rsidRDefault="009A3F7C" w:rsidP="002505CC">
      <w:pPr>
        <w:pStyle w:val="BodyText"/>
      </w:pPr>
      <w:r w:rsidRPr="00E867F6">
        <w:t xml:space="preserve">In addition, </w:t>
      </w:r>
      <w:r w:rsidR="00C952CB">
        <w:t xml:space="preserve">the </w:t>
      </w:r>
      <w:r w:rsidR="00C952CB" w:rsidRPr="00E867F6">
        <w:t xml:space="preserve">Tasmanian Department of Health and Human Services </w:t>
      </w:r>
      <w:r w:rsidRPr="00E867F6">
        <w:t xml:space="preserve">has published quarterly </w:t>
      </w:r>
      <w:proofErr w:type="gramStart"/>
      <w:r w:rsidRPr="00E867F6">
        <w:rPr>
          <w:i/>
        </w:rPr>
        <w:t>Your</w:t>
      </w:r>
      <w:proofErr w:type="gramEnd"/>
      <w:r w:rsidRPr="00E867F6">
        <w:rPr>
          <w:i/>
        </w:rPr>
        <w:t xml:space="preserve"> health progress chart </w:t>
      </w:r>
      <w:r w:rsidRPr="00E867F6">
        <w:t xml:space="preserve">performance reports on their website since 2006. In 2015, the </w:t>
      </w:r>
      <w:proofErr w:type="spellStart"/>
      <w:r w:rsidRPr="00E867F6">
        <w:t>HealthStats</w:t>
      </w:r>
      <w:proofErr w:type="spellEnd"/>
      <w:r w:rsidRPr="00E867F6">
        <w:t xml:space="preserve"> dashboard was launched, which summarises Tasmania’s statistics on </w:t>
      </w:r>
      <w:r w:rsidR="00C952CB">
        <w:t>its</w:t>
      </w:r>
      <w:r w:rsidR="00C952CB" w:rsidRPr="00E867F6">
        <w:t xml:space="preserve"> </w:t>
      </w:r>
      <w:r w:rsidRPr="00E867F6">
        <w:t xml:space="preserve">public health system and elective surgery. The dashboard is an interactive tool that provides an overview of important aspects of </w:t>
      </w:r>
      <w:r w:rsidR="00C952CB">
        <w:t>its</w:t>
      </w:r>
      <w:r w:rsidR="00C952CB" w:rsidRPr="00E867F6">
        <w:t xml:space="preserve"> </w:t>
      </w:r>
      <w:r w:rsidRPr="00E867F6">
        <w:t xml:space="preserve">public health system aggregated at state and major hospital level. Data </w:t>
      </w:r>
      <w:r w:rsidR="00C952CB">
        <w:t>are</w:t>
      </w:r>
      <w:r w:rsidR="00C952CB" w:rsidRPr="00E867F6">
        <w:t xml:space="preserve"> </w:t>
      </w:r>
      <w:r w:rsidRPr="00E867F6">
        <w:t>provided for the most recent March quarter and statistics are available for the last 12 months.</w:t>
      </w:r>
      <w:r w:rsidRPr="00E867F6">
        <w:rPr>
          <w:rStyle w:val="EndnoteReference"/>
        </w:rPr>
        <w:endnoteReference w:id="101"/>
      </w:r>
      <w:r w:rsidRPr="00E867F6">
        <w:t xml:space="preserve"> The hospital performance information provided on the dashboard includes emergency department, elective surgery, outpatients, ambulance, mental health, breast screening</w:t>
      </w:r>
      <w:r w:rsidR="00C952CB">
        <w:t>,</w:t>
      </w:r>
      <w:r w:rsidRPr="00E867F6">
        <w:t xml:space="preserve"> and oral health data. However, there </w:t>
      </w:r>
      <w:r w:rsidR="003A49AA">
        <w:t>are</w:t>
      </w:r>
      <w:r w:rsidRPr="00E867F6">
        <w:t xml:space="preserve"> no safety and quality performance metrics reported on the dashboard.</w:t>
      </w:r>
    </w:p>
    <w:p w14:paraId="500F6BEE" w14:textId="77777777" w:rsidR="009A3F7C" w:rsidRPr="00E867F6" w:rsidRDefault="009A3F7C" w:rsidP="00D2773F">
      <w:pPr>
        <w:pStyle w:val="AppendixHeading2"/>
      </w:pPr>
      <w:r w:rsidRPr="00E867F6">
        <w:t>Victoria</w:t>
      </w:r>
    </w:p>
    <w:p w14:paraId="7AAC5FA0" w14:textId="73BAA276" w:rsidR="009A3F7C" w:rsidRPr="00E867F6" w:rsidRDefault="00E87F60" w:rsidP="00012EE6">
      <w:pPr>
        <w:pStyle w:val="AppendixHeading3"/>
        <w:numPr>
          <w:ilvl w:val="0"/>
          <w:numId w:val="0"/>
        </w:numPr>
      </w:pPr>
      <w:r>
        <w:t>A</w:t>
      </w:r>
      <w:r w:rsidR="001427F9">
        <w:t>6</w:t>
      </w:r>
      <w:r>
        <w:t xml:space="preserve">.1 </w:t>
      </w:r>
      <w:r w:rsidR="009A3F7C" w:rsidRPr="00E867F6">
        <w:t>Victorian Department of Health and Human Services</w:t>
      </w:r>
    </w:p>
    <w:p w14:paraId="41DD78FB" w14:textId="6535DC1F" w:rsidR="009A3F7C" w:rsidRPr="00E867F6" w:rsidRDefault="009A3F7C" w:rsidP="002505CC">
      <w:pPr>
        <w:pStyle w:val="BodyText"/>
      </w:pPr>
      <w:r w:rsidRPr="00E867F6">
        <w:t xml:space="preserve">In Victoria, the Department of Health and Human Services is responsible for ensuring that high quality and safe health care services are delivered to the community. </w:t>
      </w:r>
    </w:p>
    <w:p w14:paraId="687718C3" w14:textId="1C8FF2B7" w:rsidR="009A3F7C" w:rsidRPr="00E867F6" w:rsidRDefault="009A3F7C" w:rsidP="002505CC">
      <w:pPr>
        <w:pStyle w:val="BodyText"/>
      </w:pPr>
      <w:r w:rsidRPr="00E867F6">
        <w:t xml:space="preserve">The </w:t>
      </w:r>
      <w:r w:rsidRPr="00E867F6">
        <w:rPr>
          <w:i/>
        </w:rPr>
        <w:t>Victorian health service performance monitoring framework</w:t>
      </w:r>
      <w:r w:rsidRPr="00E867F6">
        <w:t xml:space="preserve"> is the overarching framework that outlines the </w:t>
      </w:r>
      <w:r w:rsidR="00C952CB">
        <w:t xml:space="preserve">Victorian </w:t>
      </w:r>
      <w:r w:rsidRPr="00E867F6">
        <w:t xml:space="preserve">Government’s approach to overseeing the health care sector’s performance. The </w:t>
      </w:r>
      <w:r w:rsidR="00C952CB">
        <w:t>framework</w:t>
      </w:r>
      <w:r w:rsidR="00C952CB" w:rsidRPr="00E867F6">
        <w:t xml:space="preserve"> </w:t>
      </w:r>
      <w:r w:rsidRPr="00E867F6">
        <w:t xml:space="preserve">is underpinned by the </w:t>
      </w:r>
      <w:r w:rsidRPr="00E867F6">
        <w:rPr>
          <w:i/>
        </w:rPr>
        <w:t xml:space="preserve">Health Services Act 1988 </w:t>
      </w:r>
      <w:r w:rsidRPr="00E867F6">
        <w:t xml:space="preserve">and aims to promote transparency and shared accountability for performance improvement across the health system. There are four key performance domains: </w:t>
      </w:r>
    </w:p>
    <w:p w14:paraId="3BFDDA0A" w14:textId="60DCAD87" w:rsidR="009A3F7C" w:rsidRPr="00E867F6" w:rsidRDefault="00C952CB" w:rsidP="00776E32">
      <w:pPr>
        <w:pStyle w:val="ListParagraph"/>
        <w:numPr>
          <w:ilvl w:val="0"/>
          <w:numId w:val="13"/>
        </w:numPr>
        <w:tabs>
          <w:tab w:val="clear" w:pos="680"/>
          <w:tab w:val="left" w:pos="714"/>
        </w:tabs>
        <w:ind w:left="714" w:hanging="357"/>
        <w:contextualSpacing w:val="0"/>
      </w:pPr>
      <w:r w:rsidRPr="00E867F6">
        <w:t>High quality and safe care</w:t>
      </w:r>
    </w:p>
    <w:p w14:paraId="14A28C60" w14:textId="0CF9EE7C" w:rsidR="009A3F7C" w:rsidRPr="00E867F6" w:rsidRDefault="00C952CB" w:rsidP="00776E32">
      <w:pPr>
        <w:pStyle w:val="ListParagraph"/>
        <w:numPr>
          <w:ilvl w:val="0"/>
          <w:numId w:val="13"/>
        </w:numPr>
        <w:tabs>
          <w:tab w:val="clear" w:pos="680"/>
          <w:tab w:val="left" w:pos="714"/>
        </w:tabs>
        <w:ind w:left="714" w:hanging="357"/>
        <w:contextualSpacing w:val="0"/>
      </w:pPr>
      <w:r w:rsidRPr="00E867F6">
        <w:t>Strong governance, leadership and culture</w:t>
      </w:r>
    </w:p>
    <w:p w14:paraId="3AEFF114" w14:textId="62817C71" w:rsidR="009A3F7C" w:rsidRPr="00E867F6" w:rsidRDefault="00C952CB" w:rsidP="00776E32">
      <w:pPr>
        <w:pStyle w:val="ListParagraph"/>
        <w:numPr>
          <w:ilvl w:val="0"/>
          <w:numId w:val="13"/>
        </w:numPr>
        <w:tabs>
          <w:tab w:val="clear" w:pos="680"/>
          <w:tab w:val="left" w:pos="714"/>
        </w:tabs>
        <w:ind w:left="714" w:hanging="357"/>
        <w:contextualSpacing w:val="0"/>
      </w:pPr>
      <w:r>
        <w:t>T</w:t>
      </w:r>
      <w:r w:rsidR="009A3F7C" w:rsidRPr="00E867F6">
        <w:t>imely access to care</w:t>
      </w:r>
    </w:p>
    <w:p w14:paraId="22005A91" w14:textId="48C9DF4D" w:rsidR="009A3F7C" w:rsidRPr="00E867F6" w:rsidRDefault="00C952CB" w:rsidP="00776E32">
      <w:pPr>
        <w:pStyle w:val="ListParagraph"/>
        <w:numPr>
          <w:ilvl w:val="0"/>
          <w:numId w:val="13"/>
        </w:numPr>
        <w:tabs>
          <w:tab w:val="clear" w:pos="680"/>
          <w:tab w:val="left" w:pos="714"/>
        </w:tabs>
        <w:ind w:left="714" w:hanging="357"/>
        <w:contextualSpacing w:val="0"/>
      </w:pPr>
      <w:r>
        <w:t>E</w:t>
      </w:r>
      <w:r w:rsidR="009A3F7C" w:rsidRPr="00E867F6">
        <w:t>ffective financial management.</w:t>
      </w:r>
    </w:p>
    <w:p w14:paraId="029F3F67" w14:textId="14CF80D9" w:rsidR="009A3F7C" w:rsidRPr="00E867F6" w:rsidRDefault="009A3F7C" w:rsidP="002505CC">
      <w:pPr>
        <w:pStyle w:val="BodyText"/>
      </w:pPr>
      <w:r w:rsidRPr="00E867F6">
        <w:t xml:space="preserve">The </w:t>
      </w:r>
      <w:r w:rsidR="00C952CB">
        <w:t>framework</w:t>
      </w:r>
      <w:r w:rsidR="00C952CB" w:rsidRPr="00E867F6">
        <w:t xml:space="preserve"> </w:t>
      </w:r>
      <w:r w:rsidRPr="00E867F6">
        <w:t>is supplemented by service standards, accompanied by a business rules dictionary, as set out in the Statement of Priorities. All Victorian public health services agree to an annual Statement of Priorities.</w:t>
      </w:r>
      <w:r w:rsidR="00012EE6">
        <w:t xml:space="preserve"> </w:t>
      </w:r>
      <w:r w:rsidR="00C952CB">
        <w:t>T</w:t>
      </w:r>
      <w:r w:rsidRPr="00E867F6">
        <w:t>hese are accountability agreements between each Victorian health service and Minister for Health, outlining key performance indicators, targets and risk ratings. Health services’ performance against these measures is directly linked to their funding agreements.</w:t>
      </w:r>
      <w:r w:rsidRPr="00E867F6">
        <w:rPr>
          <w:rStyle w:val="EndnoteReference"/>
        </w:rPr>
        <w:endnoteReference w:id="102"/>
      </w:r>
      <w:r w:rsidRPr="00E867F6">
        <w:t xml:space="preserve"> </w:t>
      </w:r>
    </w:p>
    <w:p w14:paraId="324FF3E9" w14:textId="215E5241" w:rsidR="009A3F7C" w:rsidRPr="00E867F6" w:rsidRDefault="009A3F7C" w:rsidP="002505CC">
      <w:pPr>
        <w:pStyle w:val="BodyText"/>
      </w:pPr>
      <w:r w:rsidRPr="00E867F6">
        <w:lastRenderedPageBreak/>
        <w:t>Since 2015, performance measures have been incrementally introduced to strengthen the focus on safety and quality, particularly maternity and newborn. Performance measures have been aligned to the NSQHS</w:t>
      </w:r>
      <w:r w:rsidR="00C952CB">
        <w:t xml:space="preserve"> Standards</w:t>
      </w:r>
      <w:r w:rsidRPr="00E867F6">
        <w:t xml:space="preserve">. Health services provide quarterly performance reports and annual reports. </w:t>
      </w:r>
    </w:p>
    <w:p w14:paraId="404D12E7" w14:textId="030CFEB7" w:rsidR="009A3F7C" w:rsidRPr="00E867F6" w:rsidRDefault="009A3F7C" w:rsidP="002505CC">
      <w:pPr>
        <w:pStyle w:val="BodyText"/>
      </w:pPr>
      <w:r w:rsidRPr="00E867F6">
        <w:t xml:space="preserve">Public reporting was first introduced on the Victorian Health Service Performance website in the 2016-2017 financial </w:t>
      </w:r>
      <w:proofErr w:type="gramStart"/>
      <w:r w:rsidRPr="00E867F6">
        <w:t>year</w:t>
      </w:r>
      <w:proofErr w:type="gramEnd"/>
      <w:r w:rsidRPr="00E867F6">
        <w:t xml:space="preserve">. Since the introduction of public reporting, there has been an increase in the number of safety and quality performance indicators </w:t>
      </w:r>
      <w:r w:rsidR="003A49AA">
        <w:t>for which</w:t>
      </w:r>
      <w:r w:rsidRPr="00E867F6">
        <w:t xml:space="preserve"> health services data </w:t>
      </w:r>
      <w:r w:rsidR="00C952CB">
        <w:t>are</w:t>
      </w:r>
      <w:r w:rsidR="00C952CB" w:rsidRPr="00E867F6">
        <w:t xml:space="preserve"> </w:t>
      </w:r>
      <w:r w:rsidRPr="00E867F6">
        <w:t xml:space="preserve">available. Safety and quality indicators reported </w:t>
      </w:r>
      <w:r w:rsidR="00C952CB">
        <w:t>are</w:t>
      </w:r>
      <w:r w:rsidR="00C952CB" w:rsidRPr="00E867F6">
        <w:t xml:space="preserve"> </w:t>
      </w:r>
      <w:r w:rsidRPr="00E867F6">
        <w:t>as follows:</w:t>
      </w:r>
      <w:r w:rsidRPr="00E867F6">
        <w:rPr>
          <w:rStyle w:val="EndnoteReference"/>
        </w:rPr>
        <w:endnoteReference w:id="103"/>
      </w:r>
    </w:p>
    <w:p w14:paraId="67DB0FEB" w14:textId="77777777" w:rsidR="009A3F7C" w:rsidRPr="00E867F6" w:rsidRDefault="009A3F7C" w:rsidP="002505CC">
      <w:pPr>
        <w:pStyle w:val="ListBullet"/>
      </w:pPr>
      <w:r w:rsidRPr="00E867F6">
        <w:t xml:space="preserve">Accreditation </w:t>
      </w:r>
    </w:p>
    <w:p w14:paraId="59FE88B4" w14:textId="77777777" w:rsidR="009A3F7C" w:rsidRPr="00E867F6" w:rsidRDefault="009A3F7C" w:rsidP="002505CC">
      <w:pPr>
        <w:pStyle w:val="ListBullet"/>
      </w:pPr>
      <w:r w:rsidRPr="00E867F6">
        <w:t>Infection control</w:t>
      </w:r>
    </w:p>
    <w:p w14:paraId="14CF5588" w14:textId="77777777" w:rsidR="009A3F7C" w:rsidRPr="00E867F6" w:rsidRDefault="009A3F7C" w:rsidP="00EC5C34">
      <w:pPr>
        <w:pStyle w:val="ListBullet2"/>
        <w:numPr>
          <w:ilvl w:val="0"/>
          <w:numId w:val="35"/>
        </w:numPr>
      </w:pPr>
      <w:r w:rsidRPr="00E867F6">
        <w:t xml:space="preserve">Health worker immunisation rates </w:t>
      </w:r>
    </w:p>
    <w:p w14:paraId="71110AB6" w14:textId="77777777" w:rsidR="009A3F7C" w:rsidRPr="00E867F6" w:rsidRDefault="009A3F7C" w:rsidP="00EC5C34">
      <w:pPr>
        <w:pStyle w:val="ListBullet2"/>
        <w:numPr>
          <w:ilvl w:val="0"/>
          <w:numId w:val="35"/>
        </w:numPr>
      </w:pPr>
      <w:r w:rsidRPr="00E867F6">
        <w:t>Hand hygiene</w:t>
      </w:r>
    </w:p>
    <w:p w14:paraId="35D4CCD2" w14:textId="77777777" w:rsidR="009A3F7C" w:rsidRPr="00E867F6" w:rsidRDefault="009A3F7C" w:rsidP="002505CC">
      <w:pPr>
        <w:pStyle w:val="ListBullet"/>
      </w:pPr>
      <w:r w:rsidRPr="00E867F6">
        <w:t xml:space="preserve">Patient experience </w:t>
      </w:r>
    </w:p>
    <w:p w14:paraId="3FC272ED" w14:textId="77777777" w:rsidR="009A3F7C" w:rsidRPr="00E867F6" w:rsidRDefault="009A3F7C" w:rsidP="002505CC">
      <w:pPr>
        <w:pStyle w:val="ListBullet"/>
      </w:pPr>
      <w:r w:rsidRPr="00E867F6">
        <w:t xml:space="preserve">HAIs </w:t>
      </w:r>
    </w:p>
    <w:p w14:paraId="21BFB163" w14:textId="77777777" w:rsidR="009A3F7C" w:rsidRPr="00E867F6" w:rsidRDefault="009A3F7C" w:rsidP="00EC5C34">
      <w:pPr>
        <w:pStyle w:val="ListBullet2"/>
        <w:numPr>
          <w:ilvl w:val="0"/>
          <w:numId w:val="36"/>
        </w:numPr>
      </w:pPr>
      <w:r w:rsidRPr="00E867F6">
        <w:t>CLABSI (ICU)</w:t>
      </w:r>
    </w:p>
    <w:p w14:paraId="5204DAC9" w14:textId="77777777" w:rsidR="009A3F7C" w:rsidRPr="00E867F6" w:rsidRDefault="009A3F7C" w:rsidP="00EC5C34">
      <w:pPr>
        <w:pStyle w:val="ListBullet2"/>
        <w:numPr>
          <w:ilvl w:val="0"/>
          <w:numId w:val="36"/>
        </w:numPr>
      </w:pPr>
      <w:r w:rsidRPr="00E867F6">
        <w:t>SAB</w:t>
      </w:r>
    </w:p>
    <w:p w14:paraId="1F4A3739" w14:textId="77777777" w:rsidR="009A3F7C" w:rsidRPr="00E867F6" w:rsidRDefault="009A3F7C" w:rsidP="00EC5C34">
      <w:pPr>
        <w:pStyle w:val="ListBullet2"/>
        <w:numPr>
          <w:ilvl w:val="0"/>
          <w:numId w:val="36"/>
        </w:numPr>
      </w:pPr>
      <w:r w:rsidRPr="00E867F6">
        <w:t>SSI</w:t>
      </w:r>
    </w:p>
    <w:p w14:paraId="7D355640" w14:textId="77777777" w:rsidR="009A3F7C" w:rsidRPr="00E867F6" w:rsidRDefault="009A3F7C" w:rsidP="002505CC">
      <w:pPr>
        <w:pStyle w:val="ListBullet"/>
      </w:pPr>
      <w:r w:rsidRPr="00E867F6">
        <w:t xml:space="preserve">Maternity and newborn </w:t>
      </w:r>
    </w:p>
    <w:p w14:paraId="023ADF92" w14:textId="4134C8B6" w:rsidR="009A3F7C" w:rsidRPr="00E867F6" w:rsidRDefault="00D27170" w:rsidP="00EC5C34">
      <w:pPr>
        <w:pStyle w:val="ListBullet2"/>
        <w:numPr>
          <w:ilvl w:val="0"/>
          <w:numId w:val="37"/>
        </w:numPr>
      </w:pPr>
      <w:r>
        <w:t>Apgar</w:t>
      </w:r>
      <w:r w:rsidR="009A3F7C" w:rsidRPr="00E867F6">
        <w:t xml:space="preserve"> score &lt;7 </w:t>
      </w:r>
    </w:p>
    <w:p w14:paraId="279FA381" w14:textId="6DFCB029" w:rsidR="009A3F7C" w:rsidRPr="00E867F6" w:rsidRDefault="009A3F7C" w:rsidP="00EC5C34">
      <w:pPr>
        <w:pStyle w:val="ListBullet2"/>
        <w:numPr>
          <w:ilvl w:val="0"/>
          <w:numId w:val="37"/>
        </w:numPr>
      </w:pPr>
      <w:r w:rsidRPr="00E867F6">
        <w:t xml:space="preserve">Rate of </w:t>
      </w:r>
      <w:r w:rsidR="007B72B2">
        <w:t xml:space="preserve">severe </w:t>
      </w:r>
      <w:proofErr w:type="spellStart"/>
      <w:r w:rsidR="007B72B2">
        <w:t>fetal</w:t>
      </w:r>
      <w:proofErr w:type="spellEnd"/>
      <w:r w:rsidR="007B72B2">
        <w:t xml:space="preserve"> growth restriction.</w:t>
      </w:r>
    </w:p>
    <w:p w14:paraId="32505FF0" w14:textId="3FD14B5A" w:rsidR="009A3F7C" w:rsidRPr="00E867F6" w:rsidRDefault="009A3F7C" w:rsidP="002505CC">
      <w:pPr>
        <w:pStyle w:val="BodyText"/>
      </w:pPr>
      <w:r w:rsidRPr="00E867F6">
        <w:t xml:space="preserve">The Victorian health sector has undergone significant reform following the recent inquiry into a cluster of potentially preventable newborn and stillborn deaths at </w:t>
      </w:r>
      <w:proofErr w:type="spellStart"/>
      <w:r w:rsidRPr="00E867F6">
        <w:t>Djerriwarrh</w:t>
      </w:r>
      <w:proofErr w:type="spellEnd"/>
      <w:r w:rsidRPr="00E867F6">
        <w:t xml:space="preserve"> Health Service in 2013 and 2014 and the following reviews.</w:t>
      </w:r>
      <w:r w:rsidRPr="00E867F6">
        <w:rPr>
          <w:i/>
          <w:iCs/>
        </w:rPr>
        <w:t xml:space="preserve"> </w:t>
      </w:r>
      <w:r w:rsidRPr="00E867F6">
        <w:rPr>
          <w:iCs/>
        </w:rPr>
        <w:t xml:space="preserve">As such, the </w:t>
      </w:r>
      <w:r w:rsidR="00C952CB">
        <w:rPr>
          <w:iCs/>
        </w:rPr>
        <w:t xml:space="preserve">Victorian </w:t>
      </w:r>
      <w:r w:rsidRPr="00E867F6">
        <w:rPr>
          <w:iCs/>
        </w:rPr>
        <w:t xml:space="preserve">Government has placed greater focus </w:t>
      </w:r>
      <w:r w:rsidRPr="00E867F6">
        <w:t xml:space="preserve">on the quality and safety of patient care through improving patients’ experience, reducing avoidable harm, and maximising equitable access and reduced waiting times, which is evident by the incremental introduction of performance measures in the </w:t>
      </w:r>
      <w:r w:rsidR="00C952CB">
        <w:t>framework</w:t>
      </w:r>
      <w:r w:rsidR="00C952CB" w:rsidRPr="00E867F6">
        <w:t xml:space="preserve"> </w:t>
      </w:r>
      <w:r w:rsidRPr="00E867F6">
        <w:t xml:space="preserve">and public reporting through the </w:t>
      </w:r>
      <w:r w:rsidR="00C952CB" w:rsidRPr="00C952CB">
        <w:t>Victorian Health Service Performance</w:t>
      </w:r>
      <w:r w:rsidR="00C952CB" w:rsidRPr="00C952CB" w:rsidDel="00C952CB">
        <w:t xml:space="preserve"> </w:t>
      </w:r>
      <w:r w:rsidRPr="00E867F6">
        <w:t>website.</w:t>
      </w:r>
      <w:r w:rsidRPr="00E867F6">
        <w:rPr>
          <w:rStyle w:val="EndnoteReference"/>
          <w:rFonts w:cstheme="minorHAnsi"/>
        </w:rPr>
        <w:endnoteReference w:id="104"/>
      </w:r>
    </w:p>
    <w:p w14:paraId="507D3D06" w14:textId="0EC33094" w:rsidR="009A3F7C" w:rsidRPr="00E867F6" w:rsidRDefault="009A3F7C" w:rsidP="002505CC">
      <w:pPr>
        <w:pStyle w:val="BodyText"/>
      </w:pPr>
      <w:r w:rsidRPr="00E867F6">
        <w:t xml:space="preserve">In October 2016, the Victorian Government released the </w:t>
      </w:r>
      <w:r w:rsidRPr="00E867F6">
        <w:rPr>
          <w:i/>
        </w:rPr>
        <w:t xml:space="preserve">Targeting Zero: supporting the Victorian hospital system to eliminate avoidable harm and strengthen quality of care </w:t>
      </w:r>
      <w:r w:rsidRPr="00E867F6">
        <w:t>(Targeting Zero) report</w:t>
      </w:r>
      <w:r w:rsidRPr="00E867F6">
        <w:rPr>
          <w:i/>
        </w:rPr>
        <w:t xml:space="preserve">. </w:t>
      </w:r>
      <w:r w:rsidRPr="00E867F6">
        <w:t xml:space="preserve">The review found that found that while Victoria has one of the most efficient health systems in the world, supported by some of the best healthcare professionals, </w:t>
      </w:r>
      <w:r w:rsidR="00C952CB">
        <w:t>the Victorian</w:t>
      </w:r>
      <w:r w:rsidR="00C952CB" w:rsidRPr="00C952CB">
        <w:t xml:space="preserve"> Department of Health and Human Services </w:t>
      </w:r>
      <w:r w:rsidRPr="00E867F6">
        <w:t xml:space="preserve">did not provide adequate governance or oversight of safety and quality across the public healthcare system. </w:t>
      </w:r>
    </w:p>
    <w:p w14:paraId="6F9AE9EA" w14:textId="35B1C407" w:rsidR="009A3F7C" w:rsidRPr="00E867F6" w:rsidRDefault="009A3F7C" w:rsidP="002505CC">
      <w:pPr>
        <w:pStyle w:val="BodyText"/>
        <w:rPr>
          <w:i/>
        </w:rPr>
      </w:pPr>
      <w:r w:rsidRPr="00E867F6">
        <w:t xml:space="preserve">The review also highlighted that although safety and quality data was collected routinely, often clinicians and hospitals did not have access to this information in a timely or convenient format that allowed clinicians to identify opportunities for improvement. Further, the review highlighted that the public had limited access to information on hospital safety and that no member of the public was likely to be able to answer the question: </w:t>
      </w:r>
      <w:r w:rsidR="00012EE6">
        <w:t>‘</w:t>
      </w:r>
      <w:r w:rsidRPr="00012EE6">
        <w:t>Which is the best hospital for a patient like me?</w:t>
      </w:r>
      <w:r w:rsidR="00C952CB" w:rsidRPr="00012EE6">
        <w:t>’</w:t>
      </w:r>
      <w:r w:rsidRPr="00012EE6">
        <w:rPr>
          <w:rStyle w:val="EndnoteReference"/>
          <w:rFonts w:cstheme="minorHAnsi"/>
        </w:rPr>
        <w:endnoteReference w:id="105"/>
      </w:r>
    </w:p>
    <w:p w14:paraId="250CB4F0" w14:textId="77777777" w:rsidR="009A3F7C" w:rsidRPr="00E867F6" w:rsidRDefault="009A3F7C" w:rsidP="002505CC">
      <w:pPr>
        <w:pStyle w:val="Bodytextkeepwithnext"/>
      </w:pPr>
      <w:r w:rsidRPr="00E867F6">
        <w:rPr>
          <w:i/>
        </w:rPr>
        <w:t>Targeting Zero</w:t>
      </w:r>
      <w:r w:rsidRPr="00E867F6">
        <w:t xml:space="preserve"> made 179 recommendations for health care system improvements and reform. Recommendations relating to safety and quality data include:</w:t>
      </w:r>
    </w:p>
    <w:p w14:paraId="738629A2" w14:textId="7FBA07CC" w:rsidR="009A3F7C" w:rsidRPr="00E867F6" w:rsidRDefault="009A3F7C" w:rsidP="00776E32">
      <w:pPr>
        <w:pStyle w:val="ListBullet"/>
        <w:contextualSpacing w:val="0"/>
      </w:pPr>
      <w:r w:rsidRPr="00E867F6">
        <w:t>The public should be provided with hospital safety and quality performance data on a quarterly basis that covers all safety and quality indicators against which hospitals are monitored; the names of all hospitals should be identified</w:t>
      </w:r>
    </w:p>
    <w:p w14:paraId="7CF832DE" w14:textId="1ECA1359" w:rsidR="009A3F7C" w:rsidRPr="00E867F6" w:rsidRDefault="009A3F7C" w:rsidP="00776E32">
      <w:pPr>
        <w:pStyle w:val="ListBullet"/>
        <w:contextualSpacing w:val="0"/>
      </w:pPr>
      <w:r w:rsidRPr="00E867F6">
        <w:t>Hospitals and department leadership should be provided with a monthly report detailing hospital performance against all safety and quality indicators</w:t>
      </w:r>
    </w:p>
    <w:p w14:paraId="58C47B23" w14:textId="77777777" w:rsidR="009A3F7C" w:rsidRPr="00E867F6" w:rsidRDefault="009A3F7C" w:rsidP="00776E32">
      <w:pPr>
        <w:pStyle w:val="ListBullet"/>
        <w:contextualSpacing w:val="0"/>
      </w:pPr>
      <w:r w:rsidRPr="00E867F6">
        <w:lastRenderedPageBreak/>
        <w:t>Clinical networks and hospitals should be provided with an interactive data portal that enables users to explore patient outcomes and patient journeys in their hospital, and compare their outcomes with other hospital outcomes.</w:t>
      </w:r>
    </w:p>
    <w:p w14:paraId="04B4DDBD" w14:textId="5E449D3A" w:rsidR="009A3F7C" w:rsidRPr="00E867F6" w:rsidRDefault="009A3F7C" w:rsidP="002505CC">
      <w:pPr>
        <w:pStyle w:val="BodyText"/>
      </w:pPr>
      <w:r w:rsidRPr="00E867F6">
        <w:t xml:space="preserve">As part of the reforms to strengthen safety and quality, </w:t>
      </w:r>
      <w:r w:rsidR="00C952CB" w:rsidRPr="00C952CB">
        <w:t xml:space="preserve">the Victorian Department of Health and Human Services </w:t>
      </w:r>
      <w:r w:rsidRPr="00E867F6">
        <w:t xml:space="preserve">has established two agencies </w:t>
      </w:r>
      <w:r>
        <w:t xml:space="preserve">(Safer Care Victoria and the Victorian Agency for Health Information) </w:t>
      </w:r>
      <w:r w:rsidRPr="00E867F6">
        <w:t xml:space="preserve">that have an integral role in the monitoring and reporting on safety and quality and leading sector-wide performance improvements. In the future, </w:t>
      </w:r>
      <w:r w:rsidR="00C952CB">
        <w:t>the department</w:t>
      </w:r>
      <w:r w:rsidR="00C952CB" w:rsidRPr="00E867F6">
        <w:t xml:space="preserve"> </w:t>
      </w:r>
      <w:r w:rsidRPr="00E867F6">
        <w:t>intends to formalise arrangements to support cross agency information sharing with the Victorian Managed Insurance Authority (VMIA), the Office of the Health Complaints Commissioner (HCC) and the Mental Health Complaints Commissioner as part of the new risk assessment approach and advice on concerns relating to patient safety, governance and cultural risks.</w:t>
      </w:r>
      <w:r w:rsidRPr="00E867F6">
        <w:rPr>
          <w:vertAlign w:val="superscript"/>
        </w:rPr>
        <w:t>84</w:t>
      </w:r>
      <w:r w:rsidRPr="00E867F6">
        <w:t xml:space="preserve"> </w:t>
      </w:r>
    </w:p>
    <w:p w14:paraId="29AB3DFB" w14:textId="0801CCE9" w:rsidR="009A3F7C" w:rsidRPr="00E867F6" w:rsidRDefault="00E87F60" w:rsidP="00012EE6">
      <w:pPr>
        <w:pStyle w:val="AppendixHeading3"/>
        <w:numPr>
          <w:ilvl w:val="0"/>
          <w:numId w:val="0"/>
        </w:numPr>
      </w:pPr>
      <w:r w:rsidRPr="00E87F60">
        <w:t>A</w:t>
      </w:r>
      <w:r w:rsidR="001427F9">
        <w:t>6</w:t>
      </w:r>
      <w:r w:rsidRPr="00E87F60">
        <w:t>.</w:t>
      </w:r>
      <w:r>
        <w:t>2</w:t>
      </w:r>
      <w:r w:rsidRPr="00E87F60">
        <w:t xml:space="preserve"> </w:t>
      </w:r>
      <w:r w:rsidR="009A3F7C" w:rsidRPr="00E867F6">
        <w:t>Safer Care Victoria</w:t>
      </w:r>
    </w:p>
    <w:p w14:paraId="29758101" w14:textId="759188EE" w:rsidR="009A3F7C" w:rsidRPr="00E867F6" w:rsidRDefault="009A3F7C" w:rsidP="002505CC">
      <w:pPr>
        <w:pStyle w:val="BodyText"/>
      </w:pPr>
      <w:r w:rsidRPr="00E867F6">
        <w:t xml:space="preserve">Safer Care Victoria (SCV) was established in 2017 as an </w:t>
      </w:r>
      <w:r w:rsidR="00E87F60">
        <w:t>a</w:t>
      </w:r>
      <w:r w:rsidR="00E87F60" w:rsidRPr="00E867F6">
        <w:t xml:space="preserve">dministrative </w:t>
      </w:r>
      <w:r w:rsidR="00E87F60">
        <w:t>o</w:t>
      </w:r>
      <w:r w:rsidR="00E87F60" w:rsidRPr="00E867F6">
        <w:t>ffice</w:t>
      </w:r>
      <w:r w:rsidRPr="00E867F6">
        <w:t>, in response to the Targeting Zero review. It is a peak state authority for leading quality and safety improvements in health care. Its main purpose is to oversee and support Victorian health services to provide safe, high quality care by monitoring the standards of care provided.</w:t>
      </w:r>
      <w:r w:rsidRPr="00E867F6">
        <w:rPr>
          <w:vertAlign w:val="superscript"/>
        </w:rPr>
        <w:t>85</w:t>
      </w:r>
      <w:r w:rsidRPr="00E867F6">
        <w:t xml:space="preserve"> </w:t>
      </w:r>
    </w:p>
    <w:p w14:paraId="1BE2CD65" w14:textId="77777777" w:rsidR="009A3F7C" w:rsidRPr="00E867F6" w:rsidRDefault="009A3F7C" w:rsidP="002505CC">
      <w:pPr>
        <w:pStyle w:val="BodyText"/>
      </w:pPr>
      <w:r w:rsidRPr="00E867F6">
        <w:t>In doing so, SCV is partnering with consumers, their families, clinicians and health services to ensure a co-design and patient-centred approach to safety and quality that supports continuous improvement in health care.</w:t>
      </w:r>
      <w:r w:rsidRPr="00E867F6">
        <w:rPr>
          <w:rStyle w:val="EndnoteReference"/>
          <w:rFonts w:cstheme="majorHAnsi"/>
          <w:color w:val="000000"/>
        </w:rPr>
        <w:endnoteReference w:id="106"/>
      </w:r>
      <w:r w:rsidRPr="00E867F6">
        <w:t xml:space="preserve"> Furthermore, the VPMF indicates that SCV will play a fundamental role in setting expectations and leading safety and quality improvement efforts across the sector.</w:t>
      </w:r>
      <w:r w:rsidRPr="00E867F6">
        <w:rPr>
          <w:vertAlign w:val="superscript"/>
        </w:rPr>
        <w:t xml:space="preserve"> 84</w:t>
      </w:r>
    </w:p>
    <w:p w14:paraId="66EE60D9" w14:textId="6E291096" w:rsidR="009A3F7C" w:rsidRPr="00E867F6" w:rsidRDefault="009A3F7C" w:rsidP="002505CC">
      <w:pPr>
        <w:pStyle w:val="BodyText"/>
      </w:pPr>
      <w:r w:rsidRPr="00E867F6">
        <w:t>According to the recent Performance Monitoring Framework, SCV will work with health services to identify key performance indicators for quality and safety across the sector</w:t>
      </w:r>
      <w:proofErr w:type="gramStart"/>
      <w:r w:rsidR="00E87F60">
        <w:t>,</w:t>
      </w:r>
      <w:r w:rsidRPr="00E867F6">
        <w:t>,</w:t>
      </w:r>
      <w:proofErr w:type="gramEnd"/>
      <w:r w:rsidRPr="00E867F6">
        <w:t xml:space="preserve"> which will form a core part of performance accountability.</w:t>
      </w:r>
      <w:r w:rsidRPr="00E867F6">
        <w:rPr>
          <w:rStyle w:val="EndnoteReference"/>
          <w:rFonts w:cstheme="majorHAnsi"/>
          <w:color w:val="000000"/>
        </w:rPr>
        <w:endnoteReference w:id="107"/>
      </w:r>
      <w:r w:rsidRPr="00E867F6">
        <w:t xml:space="preserve"> The performance reporting aspect of these will be led by the Victorian Agency for Health Information (VAHI) in partnership the </w:t>
      </w:r>
      <w:r w:rsidR="00E87F60" w:rsidRPr="00E87F60">
        <w:t>Victorian Department of Health and Human Services</w:t>
      </w:r>
      <w:r w:rsidRPr="00E867F6">
        <w:t xml:space="preserve">. </w:t>
      </w:r>
    </w:p>
    <w:p w14:paraId="620657C5" w14:textId="7AB89A75" w:rsidR="009A3F7C" w:rsidRPr="00E867F6" w:rsidRDefault="009A3F7C" w:rsidP="002505CC">
      <w:pPr>
        <w:pStyle w:val="BodyText"/>
      </w:pPr>
      <w:r w:rsidRPr="00E867F6">
        <w:t>Since its establishment, SCV ha</w:t>
      </w:r>
      <w:r w:rsidR="00E87F60">
        <w:t>s</w:t>
      </w:r>
      <w:r w:rsidRPr="00E867F6">
        <w:t xml:space="preserve"> undertaken a number of initiatives to improve safety and quality across the healthcare system including the publication of the </w:t>
      </w:r>
      <w:r w:rsidRPr="00E867F6">
        <w:rPr>
          <w:i/>
        </w:rPr>
        <w:t xml:space="preserve">Sentinel event program triennial report 2013-2016 </w:t>
      </w:r>
      <w:r w:rsidRPr="00E867F6">
        <w:t xml:space="preserve">and </w:t>
      </w:r>
      <w:r w:rsidRPr="00E867F6">
        <w:rPr>
          <w:i/>
        </w:rPr>
        <w:t>Victorian perinatal services performance indicators 2015</w:t>
      </w:r>
      <w:r w:rsidRPr="00E867F6">
        <w:rPr>
          <w:i/>
        </w:rPr>
        <w:noBreakHyphen/>
        <w:t>16</w:t>
      </w:r>
      <w:r w:rsidRPr="00E867F6">
        <w:t>.</w:t>
      </w:r>
      <w:r w:rsidRPr="00E867F6">
        <w:rPr>
          <w:rStyle w:val="EndnoteReference"/>
          <w:rFonts w:cstheme="majorHAnsi"/>
          <w:color w:val="000000"/>
        </w:rPr>
        <w:endnoteReference w:id="108"/>
      </w:r>
      <w:r w:rsidRPr="00E867F6">
        <w:t xml:space="preserve"> </w:t>
      </w:r>
    </w:p>
    <w:p w14:paraId="286212D5" w14:textId="170A837A" w:rsidR="009A3F7C" w:rsidRPr="00E867F6" w:rsidRDefault="009A3F7C" w:rsidP="002505CC">
      <w:pPr>
        <w:pStyle w:val="BodyText"/>
      </w:pPr>
      <w:r w:rsidRPr="00E867F6">
        <w:t xml:space="preserve">In addition to this, the management of Quality Account reporting and associated quality and safety improvement activities has been transferred to SCV. The Victorian Quality Accounts are an annual mandatory report where all public health services are required to develop a report that describes the systems and processes in place to monitor and improve various safety and quality requirements, such as infection control. Reports are published on the </w:t>
      </w:r>
      <w:r w:rsidR="00E87F60" w:rsidRPr="00E87F60">
        <w:t>Victorian Department of Health and Human Services</w:t>
      </w:r>
      <w:r w:rsidR="00E87F60" w:rsidRPr="00E87F60" w:rsidDel="00E87F60">
        <w:t xml:space="preserve"> </w:t>
      </w:r>
      <w:r w:rsidRPr="00E867F6">
        <w:t>website. Health services are also encouraged to publish their Quality Accounts report on their hospital website. However, only a proportion of health services do so.</w:t>
      </w:r>
      <w:r w:rsidRPr="00E867F6">
        <w:rPr>
          <w:rStyle w:val="EndnoteReference"/>
          <w:rFonts w:cstheme="majorHAnsi"/>
          <w:color w:val="000000"/>
        </w:rPr>
        <w:endnoteReference w:id="109"/>
      </w:r>
      <w:r w:rsidRPr="00E867F6">
        <w:t xml:space="preserve"> </w:t>
      </w:r>
    </w:p>
    <w:p w14:paraId="55794F4B" w14:textId="5EDC9D2A" w:rsidR="009A3F7C" w:rsidRPr="00E867F6" w:rsidRDefault="00E87F60" w:rsidP="00012EE6">
      <w:pPr>
        <w:pStyle w:val="AppendixHeading3"/>
        <w:numPr>
          <w:ilvl w:val="0"/>
          <w:numId w:val="0"/>
        </w:numPr>
        <w:ind w:left="720" w:hanging="720"/>
      </w:pPr>
      <w:r>
        <w:t>A</w:t>
      </w:r>
      <w:r w:rsidR="001427F9">
        <w:t>6</w:t>
      </w:r>
      <w:r>
        <w:t xml:space="preserve">.3 </w:t>
      </w:r>
      <w:r w:rsidR="009A3F7C" w:rsidRPr="00E867F6">
        <w:t>Victorian Agency for Health Information</w:t>
      </w:r>
    </w:p>
    <w:p w14:paraId="29E3C8E3" w14:textId="0962944C" w:rsidR="009A3F7C" w:rsidRPr="00E867F6" w:rsidRDefault="009A3F7C" w:rsidP="002505CC">
      <w:pPr>
        <w:pStyle w:val="BodyText"/>
      </w:pPr>
      <w:r w:rsidRPr="00E867F6">
        <w:t xml:space="preserve">The Victorian Agency for Health Information (VAHI) is an Administrative Office, independent of the </w:t>
      </w:r>
      <w:r w:rsidR="00E87F60" w:rsidRPr="00E87F60">
        <w:t>Victorian Department of Health and Human Services</w:t>
      </w:r>
      <w:r w:rsidR="00E87F60" w:rsidRPr="00E87F60" w:rsidDel="00E87F60">
        <w:t xml:space="preserve"> </w:t>
      </w:r>
      <w:r w:rsidRPr="00E867F6">
        <w:t xml:space="preserve">that was also established in </w:t>
      </w:r>
      <w:r w:rsidRPr="007B72B2">
        <w:t xml:space="preserve">response to the </w:t>
      </w:r>
      <w:r w:rsidRPr="007B72B2">
        <w:rPr>
          <w:i/>
        </w:rPr>
        <w:t>Targeting Zero</w:t>
      </w:r>
      <w:r w:rsidRPr="007B72B2">
        <w:t xml:space="preserve"> review. Its primary purpose is to monitor and report on public and private health services that support health and well-being, which in turn aim to stimulate quality and safety improvements, increase transparency and accountability, and inform health services, consumers and the broader Victorian community of an accurate picture of the health systems performance.</w:t>
      </w:r>
      <w:r w:rsidRPr="007B72B2">
        <w:rPr>
          <w:rStyle w:val="EndnoteReference"/>
          <w:rFonts w:asciiTheme="majorHAnsi" w:hAnsiTheme="majorHAnsi" w:cstheme="majorHAnsi"/>
        </w:rPr>
        <w:endnoteReference w:id="110"/>
      </w:r>
      <w:r w:rsidRPr="007B72B2">
        <w:t xml:space="preserve"> </w:t>
      </w:r>
    </w:p>
    <w:p w14:paraId="229E81BC" w14:textId="25DFEB32" w:rsidR="009A3F7C" w:rsidRPr="00E867F6" w:rsidRDefault="009A3F7C" w:rsidP="002505CC">
      <w:pPr>
        <w:pStyle w:val="BodyText"/>
        <w:rPr>
          <w:color w:val="000000"/>
        </w:rPr>
      </w:pPr>
      <w:r w:rsidRPr="00E867F6">
        <w:t xml:space="preserve">More specifically, VAHI has been established as a central repository for health information and hence has an integral role in collecting, managing, analysing and sharing information </w:t>
      </w:r>
      <w:r w:rsidRPr="00E867F6">
        <w:lastRenderedPageBreak/>
        <w:t>about Victoria’s healthcare system through the development of timely, relevant, accurate and meaningful reports that measure patient care and outcomes, such as rates of potentially preventable infections and readmissions, for the purpose of public reporting, oversight and clinical improvement</w:t>
      </w:r>
      <w:r w:rsidRPr="00E867F6">
        <w:rPr>
          <w:color w:val="000000"/>
        </w:rPr>
        <w:t xml:space="preserve">. </w:t>
      </w:r>
    </w:p>
    <w:p w14:paraId="35E3D7E6" w14:textId="2350A3FD" w:rsidR="009A3F7C" w:rsidRPr="00E867F6" w:rsidRDefault="009A3F7C" w:rsidP="002505CC">
      <w:pPr>
        <w:pStyle w:val="BodyText"/>
      </w:pPr>
      <w:r w:rsidRPr="00E867F6">
        <w:rPr>
          <w:noProof/>
        </w:rPr>
        <w:drawing>
          <wp:anchor distT="0" distB="0" distL="114300" distR="114300" simplePos="0" relativeHeight="251719680" behindDoc="1" locked="0" layoutInCell="1" allowOverlap="1" wp14:anchorId="484DDE7E" wp14:editId="2E39615F">
            <wp:simplePos x="0" y="0"/>
            <wp:positionH relativeFrom="margin">
              <wp:align>right</wp:align>
            </wp:positionH>
            <wp:positionV relativeFrom="paragraph">
              <wp:posOffset>1935711</wp:posOffset>
            </wp:positionV>
            <wp:extent cx="3326765" cy="2341245"/>
            <wp:effectExtent l="0" t="0" r="6985" b="1905"/>
            <wp:wrapSquare wrapText="bothSides"/>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hireporting.PNG"/>
                    <pic:cNvPicPr/>
                  </pic:nvPicPr>
                  <pic:blipFill>
                    <a:blip r:embed="rId45">
                      <a:extLst>
                        <a:ext uri="{28A0092B-C50C-407E-A947-70E740481C1C}">
                          <a14:useLocalDpi xmlns:a14="http://schemas.microsoft.com/office/drawing/2010/main" val="0"/>
                        </a:ext>
                      </a:extLst>
                    </a:blip>
                    <a:stretch>
                      <a:fillRect/>
                    </a:stretch>
                  </pic:blipFill>
                  <pic:spPr>
                    <a:xfrm>
                      <a:off x="0" y="0"/>
                      <a:ext cx="3326765" cy="2341245"/>
                    </a:xfrm>
                    <a:prstGeom prst="rect">
                      <a:avLst/>
                    </a:prstGeom>
                  </pic:spPr>
                </pic:pic>
              </a:graphicData>
            </a:graphic>
            <wp14:sizeRelH relativeFrom="margin">
              <wp14:pctWidth>0</wp14:pctWidth>
            </wp14:sizeRelH>
            <wp14:sizeRelV relativeFrom="margin">
              <wp14:pctHeight>0</wp14:pctHeight>
            </wp14:sizeRelV>
          </wp:anchor>
        </w:drawing>
      </w:r>
      <w:r w:rsidRPr="00E867F6">
        <w:t xml:space="preserve">VAHI produces a suite reports, designed to meet the needs of a range of audiences, including the general public. Reports focus on safety and quality and health service performance. However, it is noted that the primary audience for five out of six reports includes health services and their Executives, Clinical Leads, Boards and the </w:t>
      </w:r>
      <w:r w:rsidR="00925018" w:rsidRPr="00925018">
        <w:t>Victorian Department of Health and Human Services</w:t>
      </w:r>
      <w:r w:rsidRPr="00E867F6">
        <w:t>.</w:t>
      </w:r>
      <w:r w:rsidRPr="00E867F6">
        <w:rPr>
          <w:rStyle w:val="EndnoteReference"/>
          <w:rFonts w:asciiTheme="majorHAnsi" w:hAnsiTheme="majorHAnsi" w:cstheme="majorHAnsi"/>
          <w:color w:val="000000"/>
        </w:rPr>
        <w:endnoteReference w:id="111"/>
      </w:r>
      <w:r w:rsidRPr="00E867F6">
        <w:t xml:space="preserve"> As such, the only publically available report on the VAHI website at this stage is a state-wide report on </w:t>
      </w:r>
      <w:r w:rsidRPr="00E867F6">
        <w:rPr>
          <w:i/>
        </w:rPr>
        <w:t xml:space="preserve">Adult experiences of care in public hospitals – 2016, </w:t>
      </w:r>
      <w:r w:rsidRPr="00E867F6">
        <w:t xml:space="preserve">which presents insights and opportunities for health services to improve the quality and safety of care that </w:t>
      </w:r>
      <w:r w:rsidRPr="00E867F6">
        <w:rPr>
          <w:noProof/>
        </w:rPr>
        <w:drawing>
          <wp:anchor distT="0" distB="0" distL="114300" distR="114300" simplePos="0" relativeHeight="251720704" behindDoc="1" locked="0" layoutInCell="1" allowOverlap="1" wp14:anchorId="11E379C7" wp14:editId="6A593BAC">
            <wp:simplePos x="0" y="0"/>
            <wp:positionH relativeFrom="column">
              <wp:posOffset>2390775</wp:posOffset>
            </wp:positionH>
            <wp:positionV relativeFrom="paragraph">
              <wp:posOffset>538480</wp:posOffset>
            </wp:positionV>
            <wp:extent cx="3434080" cy="1441450"/>
            <wp:effectExtent l="0" t="0" r="0" b="6350"/>
            <wp:wrapSquare wrapText="bothSides"/>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hi repot.PNG"/>
                    <pic:cNvPicPr/>
                  </pic:nvPicPr>
                  <pic:blipFill>
                    <a:blip r:embed="rId46">
                      <a:extLst>
                        <a:ext uri="{28A0092B-C50C-407E-A947-70E740481C1C}">
                          <a14:useLocalDpi xmlns:a14="http://schemas.microsoft.com/office/drawing/2010/main" val="0"/>
                        </a:ext>
                      </a:extLst>
                    </a:blip>
                    <a:stretch>
                      <a:fillRect/>
                    </a:stretch>
                  </pic:blipFill>
                  <pic:spPr>
                    <a:xfrm>
                      <a:off x="0" y="0"/>
                      <a:ext cx="3434080" cy="1441450"/>
                    </a:xfrm>
                    <a:prstGeom prst="rect">
                      <a:avLst/>
                    </a:prstGeom>
                  </pic:spPr>
                </pic:pic>
              </a:graphicData>
            </a:graphic>
            <wp14:sizeRelH relativeFrom="margin">
              <wp14:pctWidth>0</wp14:pctWidth>
            </wp14:sizeRelH>
            <wp14:sizeRelV relativeFrom="margin">
              <wp14:pctHeight>0</wp14:pctHeight>
            </wp14:sizeRelV>
          </wp:anchor>
        </w:drawing>
      </w:r>
      <w:r w:rsidRPr="00E867F6">
        <w:t>they provide.</w:t>
      </w:r>
      <w:r w:rsidRPr="00E867F6">
        <w:rPr>
          <w:rStyle w:val="EndnoteReference"/>
          <w:rFonts w:asciiTheme="majorHAnsi" w:hAnsiTheme="majorHAnsi" w:cstheme="majorHAnsi"/>
          <w:color w:val="000000"/>
        </w:rPr>
        <w:endnoteReference w:id="112"/>
      </w:r>
      <w:r w:rsidRPr="00E867F6">
        <w:t xml:space="preserve"> The report provides a comparison of health service level data for a range of performance measures relating to the overall patient experience, key aspects of care and transition of care. However, information related to infection control, such as cleanliness, was not provided. </w:t>
      </w:r>
    </w:p>
    <w:p w14:paraId="00DE5ACA" w14:textId="0B4638FC" w:rsidR="009A3F7C" w:rsidRPr="00E867F6" w:rsidRDefault="00397AFF" w:rsidP="002505CC">
      <w:pPr>
        <w:pStyle w:val="BodyText"/>
      </w:pPr>
      <w:r>
        <w:rPr>
          <w:noProof/>
        </w:rPr>
        <mc:AlternateContent>
          <mc:Choice Requires="wps">
            <w:drawing>
              <wp:anchor distT="0" distB="0" distL="114300" distR="114300" simplePos="0" relativeHeight="251737088" behindDoc="0" locked="0" layoutInCell="1" allowOverlap="1" wp14:anchorId="4769E269" wp14:editId="6AF5B5EC">
                <wp:simplePos x="0" y="0"/>
                <wp:positionH relativeFrom="column">
                  <wp:posOffset>2324100</wp:posOffset>
                </wp:positionH>
                <wp:positionV relativeFrom="paragraph">
                  <wp:posOffset>625475</wp:posOffset>
                </wp:positionV>
                <wp:extent cx="3333750" cy="1403985"/>
                <wp:effectExtent l="0" t="0" r="0" b="698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3985"/>
                        </a:xfrm>
                        <a:prstGeom prst="rect">
                          <a:avLst/>
                        </a:prstGeom>
                        <a:solidFill>
                          <a:srgbClr val="FFFFFF"/>
                        </a:solidFill>
                        <a:ln w="9525">
                          <a:noFill/>
                          <a:miter lim="800000"/>
                          <a:headEnd/>
                          <a:tailEnd/>
                        </a:ln>
                      </wps:spPr>
                      <wps:txbx>
                        <w:txbxContent>
                          <w:p w14:paraId="6C11FF84" w14:textId="2471A064" w:rsidR="00F70157" w:rsidRPr="00397AFF" w:rsidRDefault="00F70157">
                            <w:pPr>
                              <w:rPr>
                                <w:i/>
                                <w:sz w:val="18"/>
                                <w:szCs w:val="18"/>
                              </w:rPr>
                            </w:pPr>
                            <w:r w:rsidRPr="00397AFF">
                              <w:rPr>
                                <w:i/>
                                <w:sz w:val="18"/>
                                <w:szCs w:val="18"/>
                              </w:rPr>
                              <w:t>Images: VAHI reports on safety and quality and health service performance.</w:t>
                            </w:r>
                            <w:r w:rsidRPr="00397AFF">
                              <w:rPr>
                                <w:sz w:val="18"/>
                                <w:szCs w:val="18"/>
                              </w:rPr>
                              <w:t xml:space="preserve"> Source: </w:t>
                            </w:r>
                            <w:r w:rsidRPr="00397AFF">
                              <w:rPr>
                                <w:i/>
                                <w:sz w:val="18"/>
                                <w:szCs w:val="18"/>
                              </w:rPr>
                              <w:t xml:space="preserve">Victorian Agency for Health Information. Accessed 19/04/2018.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margin-left:183pt;margin-top:49.25pt;width:262.5pt;height:110.55pt;z-index:2517370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" stroked="f">
                <v:textbox style="mso-fit-shape-to-text:t">
                  <w:txbxContent>
                    <w:p w14:paraId="6C11FF84" w14:textId="2471A064" w:rsidR="00F70157" w:rsidRPr="00397AFF" w:rsidRDefault="00F70157">
                      <w:pPr>
                        <w:rPr>
                          <w:i/>
                          <w:sz w:val="18"/>
                          <w:szCs w:val="18"/>
                        </w:rPr>
                      </w:pPr>
                      <w:r w:rsidRPr="00397AFF">
                        <w:rPr>
                          <w:i/>
                          <w:sz w:val="18"/>
                          <w:szCs w:val="18"/>
                        </w:rPr>
                        <w:t>Images: VAHI reports on safety and quality and health service performance.</w:t>
                      </w:r>
                      <w:r w:rsidRPr="00397AFF">
                        <w:rPr>
                          <w:sz w:val="18"/>
                          <w:szCs w:val="18"/>
                        </w:rPr>
                        <w:t xml:space="preserve"> Source: </w:t>
                      </w:r>
                      <w:r w:rsidRPr="00397AFF">
                        <w:rPr>
                          <w:i/>
                          <w:sz w:val="18"/>
                          <w:szCs w:val="18"/>
                        </w:rPr>
                        <w:t xml:space="preserve">Victorian Agency for Health Information. Accessed 19/04/2018. </w:t>
                      </w:r>
                    </w:p>
                  </w:txbxContent>
                </v:textbox>
                <w10:wrap type="square"/>
              </v:shape>
            </w:pict>
          </mc:Fallback>
        </mc:AlternateContent>
      </w:r>
      <w:r w:rsidR="009A3F7C" w:rsidRPr="00E867F6">
        <w:t>VAHI intends to release public reports on Victorian Health Service Performance (VHSP)</w:t>
      </w:r>
      <w:r w:rsidR="007F4503">
        <w:t>. Currently</w:t>
      </w:r>
      <w:r w:rsidR="009A3F7C" w:rsidRPr="00E867F6">
        <w:t xml:space="preserve"> VHSP is reported through the </w:t>
      </w:r>
      <w:r w:rsidR="00E87F60">
        <w:t>department</w:t>
      </w:r>
      <w:r w:rsidR="00E87F60" w:rsidRPr="00E867F6">
        <w:t xml:space="preserve"> </w:t>
      </w:r>
      <w:r w:rsidR="009A3F7C" w:rsidRPr="00E867F6">
        <w:t>portal. Information reported through this system include a range of measures relating to healthcare-associated infections, accreditation against the NSQHS</w:t>
      </w:r>
      <w:r w:rsidR="00E87F60">
        <w:t xml:space="preserve"> Standards</w:t>
      </w:r>
      <w:r w:rsidR="009A3F7C" w:rsidRPr="00E867F6">
        <w:t xml:space="preserve">, infection control, patient experience and maternity and newborn measures. Performance is reported at a state-wide and health service level and data </w:t>
      </w:r>
      <w:r w:rsidR="00E87F60">
        <w:t>are</w:t>
      </w:r>
      <w:r w:rsidR="00E87F60" w:rsidRPr="00E867F6">
        <w:t xml:space="preserve"> </w:t>
      </w:r>
      <w:r w:rsidR="009A3F7C" w:rsidRPr="00E867F6">
        <w:t>provided quarterly from t</w:t>
      </w:r>
      <w:r w:rsidR="007B72B2">
        <w:t>he July-September 2016 to July-</w:t>
      </w:r>
      <w:r w:rsidR="009A3F7C" w:rsidRPr="00E867F6">
        <w:t xml:space="preserve">September 2017 reporting periods (noting that patient experience information is lagged by three months). </w:t>
      </w:r>
    </w:p>
    <w:p w14:paraId="6D4DAEC1" w14:textId="6EE4DD1D" w:rsidR="009A3F7C" w:rsidRPr="00E867F6" w:rsidRDefault="009A3F7C" w:rsidP="002505CC">
      <w:pPr>
        <w:pStyle w:val="BodyText"/>
      </w:pPr>
      <w:r w:rsidRPr="00E867F6">
        <w:t xml:space="preserve">At this stage, VAHI has not developed any reports on safety and quality of private health services. However, according to VAHI’s Statement of Functions, </w:t>
      </w:r>
      <w:r>
        <w:t xml:space="preserve"> VAHI intends</w:t>
      </w:r>
      <w:r w:rsidR="00E87F60">
        <w:t xml:space="preserve"> on</w:t>
      </w:r>
      <w:r w:rsidRPr="00E867F6">
        <w:rPr>
          <w:rFonts w:asciiTheme="majorHAnsi" w:hAnsiTheme="majorHAnsi" w:cstheme="majorHAnsi"/>
          <w:color w:val="000000"/>
        </w:rPr>
        <w:t xml:space="preserve"> ‘</w:t>
      </w:r>
      <w:r w:rsidRPr="00E867F6">
        <w:rPr>
          <w:rFonts w:asciiTheme="majorHAnsi" w:hAnsiTheme="majorHAnsi" w:cstheme="majorHAnsi"/>
        </w:rPr>
        <w:t xml:space="preserve">publishing regular reports on public and </w:t>
      </w:r>
      <w:r w:rsidRPr="00E867F6">
        <w:rPr>
          <w:rFonts w:asciiTheme="majorHAnsi" w:hAnsiTheme="majorHAnsi" w:cstheme="majorHAnsi"/>
          <w:bCs/>
        </w:rPr>
        <w:t>private services</w:t>
      </w:r>
      <w:r w:rsidRPr="00E867F6">
        <w:rPr>
          <w:rFonts w:asciiTheme="majorHAnsi" w:hAnsiTheme="majorHAnsi" w:cstheme="majorHAnsi"/>
        </w:rPr>
        <w:t xml:space="preserve"> that impact health, wellbeing, quality and safety in order to support transparency, oversight, risk assessment and improvement’.</w:t>
      </w:r>
      <w:r w:rsidRPr="00E867F6">
        <w:rPr>
          <w:rStyle w:val="EndnoteReference"/>
          <w:rFonts w:asciiTheme="majorHAnsi" w:hAnsiTheme="majorHAnsi" w:cstheme="majorHAnsi"/>
        </w:rPr>
        <w:endnoteReference w:id="113"/>
      </w:r>
    </w:p>
    <w:p w14:paraId="583604DE" w14:textId="47DC98A8" w:rsidR="009A3F7C" w:rsidRPr="00E867F6" w:rsidRDefault="00E87F60" w:rsidP="00012EE6">
      <w:pPr>
        <w:pStyle w:val="AppendixHeading3"/>
        <w:numPr>
          <w:ilvl w:val="0"/>
          <w:numId w:val="0"/>
        </w:numPr>
        <w:jc w:val="left"/>
      </w:pPr>
      <w:r>
        <w:lastRenderedPageBreak/>
        <w:t>A</w:t>
      </w:r>
      <w:r w:rsidR="001427F9">
        <w:t>6</w:t>
      </w:r>
      <w:r>
        <w:t xml:space="preserve">.4 </w:t>
      </w:r>
      <w:r w:rsidR="009A3F7C" w:rsidRPr="00E867F6">
        <w:t>VICNISS Healthcare Associated Infection Surveillance Coordinating Centre</w:t>
      </w:r>
    </w:p>
    <w:p w14:paraId="2B65AD77" w14:textId="4649FA92" w:rsidR="009A3F7C" w:rsidRPr="00E867F6" w:rsidRDefault="009A3F7C" w:rsidP="00D2773F">
      <w:pPr>
        <w:pStyle w:val="BodyText"/>
        <w:keepNext/>
        <w:keepLines/>
      </w:pPr>
      <w:r w:rsidRPr="00E867F6">
        <w:t xml:space="preserve">VICNISS Coordinating Centre was established in 2002 as an independent organisation aimed at reducing the occurrence of </w:t>
      </w:r>
      <w:r w:rsidR="007F4503" w:rsidRPr="007F4503">
        <w:t>healthcare-associated infections</w:t>
      </w:r>
      <w:r w:rsidRPr="00E867F6">
        <w:t xml:space="preserve">, including those acquired during an outpatient treatment, such as haemodialysis. It is funded by </w:t>
      </w:r>
      <w:r w:rsidR="00925018">
        <w:t xml:space="preserve">the </w:t>
      </w:r>
      <w:r w:rsidR="00925018" w:rsidRPr="00925018">
        <w:t>Victorian Department of Health and Human Services</w:t>
      </w:r>
      <w:r w:rsidRPr="00E867F6">
        <w:t xml:space="preserve"> and </w:t>
      </w:r>
      <w:proofErr w:type="spellStart"/>
      <w:r w:rsidRPr="00E867F6">
        <w:t>auspiced</w:t>
      </w:r>
      <w:proofErr w:type="spellEnd"/>
      <w:r w:rsidRPr="00E867F6">
        <w:t xml:space="preserve"> by Melbourne Health and has been vital for monitoring and reporting healthcare-associated infections in Victoria for over 16 years.</w:t>
      </w:r>
      <w:r w:rsidRPr="00E867F6">
        <w:rPr>
          <w:rStyle w:val="EndnoteReference"/>
          <w:rFonts w:cstheme="minorHAnsi"/>
          <w:bCs/>
          <w:color w:val="000000"/>
        </w:rPr>
        <w:endnoteReference w:id="114"/>
      </w:r>
    </w:p>
    <w:p w14:paraId="76BC6886" w14:textId="77777777" w:rsidR="009A3F7C" w:rsidRPr="00E867F6" w:rsidRDefault="009A3F7C" w:rsidP="002505CC">
      <w:pPr>
        <w:pStyle w:val="BodyText"/>
      </w:pPr>
      <w:r w:rsidRPr="00E867F6">
        <w:t>All public hospitals, through their accountability agreements with the Minister for Health are required to report data through VICNISS on a range of mandatory national and state infection control indicators</w:t>
      </w:r>
      <w:r w:rsidRPr="00E867F6">
        <w:rPr>
          <w:rStyle w:val="EndnoteReference"/>
          <w:rFonts w:cstheme="minorHAnsi"/>
          <w:bCs/>
          <w:color w:val="000000"/>
        </w:rPr>
        <w:endnoteReference w:id="115"/>
      </w:r>
      <w:r w:rsidRPr="00E867F6">
        <w:t>, including:</w:t>
      </w:r>
    </w:p>
    <w:p w14:paraId="3502C2A8" w14:textId="77777777" w:rsidR="009A3F7C" w:rsidRPr="00776E32" w:rsidRDefault="009A3F7C" w:rsidP="00776E32">
      <w:pPr>
        <w:pStyle w:val="Bodytextkeepwithnext"/>
      </w:pPr>
      <w:r w:rsidRPr="00776E32">
        <w:t>Mandatory reporting for all public health services:</w:t>
      </w:r>
    </w:p>
    <w:p w14:paraId="45F2891D" w14:textId="77777777" w:rsidR="009A3F7C" w:rsidRPr="00776E32" w:rsidRDefault="009A3F7C" w:rsidP="00776E32">
      <w:pPr>
        <w:pStyle w:val="ListBullet"/>
        <w:contextualSpacing w:val="0"/>
        <w:rPr>
          <w:rStyle w:val="Strong"/>
          <w:rFonts w:cstheme="minorHAnsi"/>
          <w:b w:val="0"/>
        </w:rPr>
      </w:pPr>
      <w:r w:rsidRPr="00776E32">
        <w:rPr>
          <w:rStyle w:val="Strong"/>
          <w:rFonts w:ascii="Helvetica" w:hAnsi="Helvetica" w:cs="Helvetica"/>
          <w:b w:val="0"/>
          <w:bCs w:val="0"/>
          <w:i/>
          <w:iCs/>
        </w:rPr>
        <w:t>Staphylococcus aureus</w:t>
      </w:r>
      <w:r w:rsidRPr="00776E32">
        <w:rPr>
          <w:rStyle w:val="Strong"/>
          <w:rFonts w:ascii="Helvetica" w:hAnsi="Helvetica" w:cs="Helvetica"/>
          <w:b w:val="0"/>
          <w:bCs w:val="0"/>
        </w:rPr>
        <w:t xml:space="preserve"> Bacteraemia (SAB) (national indicator)</w:t>
      </w:r>
    </w:p>
    <w:p w14:paraId="0482EE76" w14:textId="77777777" w:rsidR="009A3F7C" w:rsidRPr="00776E32" w:rsidRDefault="009A3F7C" w:rsidP="00776E32">
      <w:pPr>
        <w:pStyle w:val="ListBullet"/>
        <w:contextualSpacing w:val="0"/>
        <w:rPr>
          <w:rStyle w:val="Strong"/>
          <w:rFonts w:cstheme="minorHAnsi"/>
          <w:b w:val="0"/>
        </w:rPr>
      </w:pPr>
      <w:r w:rsidRPr="00776E32">
        <w:rPr>
          <w:rStyle w:val="Strong"/>
          <w:rFonts w:ascii="Helvetica" w:hAnsi="Helvetica" w:cs="Helvetica"/>
          <w:b w:val="0"/>
          <w:bCs w:val="0"/>
          <w:i/>
          <w:iCs/>
        </w:rPr>
        <w:t>Clostridium difficile</w:t>
      </w:r>
      <w:r w:rsidRPr="00776E32">
        <w:rPr>
          <w:rStyle w:val="Strong"/>
          <w:rFonts w:ascii="Helvetica" w:hAnsi="Helvetica" w:cs="Helvetica"/>
          <w:b w:val="0"/>
          <w:bCs w:val="0"/>
        </w:rPr>
        <w:t xml:space="preserve"> Infection (CDI) (national indicator)</w:t>
      </w:r>
    </w:p>
    <w:p w14:paraId="2E02DEF0" w14:textId="77777777" w:rsidR="009A3F7C" w:rsidRPr="00776E32" w:rsidRDefault="009A3F7C" w:rsidP="00776E32">
      <w:pPr>
        <w:pStyle w:val="ListBullet"/>
        <w:contextualSpacing w:val="0"/>
        <w:rPr>
          <w:rStyle w:val="Strong"/>
          <w:rFonts w:cstheme="minorHAnsi"/>
          <w:b w:val="0"/>
        </w:rPr>
      </w:pPr>
      <w:r w:rsidRPr="00776E32">
        <w:rPr>
          <w:rStyle w:val="Strong"/>
          <w:rFonts w:ascii="Helvetica" w:hAnsi="Helvetica" w:cs="Helvetica"/>
          <w:b w:val="0"/>
          <w:bCs w:val="0"/>
        </w:rPr>
        <w:t>Health care worker seasonal influenza vaccination (state indicator)</w:t>
      </w:r>
    </w:p>
    <w:p w14:paraId="3F2F6E43" w14:textId="77777777" w:rsidR="009A3F7C" w:rsidRPr="00776E32" w:rsidRDefault="009A3F7C" w:rsidP="00776E32">
      <w:pPr>
        <w:pStyle w:val="Bodytextkeepwithnext"/>
        <w:rPr>
          <w:rStyle w:val="Strong"/>
          <w:rFonts w:ascii="Arial" w:hAnsi="Arial" w:cstheme="minorHAnsi"/>
          <w:b w:val="0"/>
        </w:rPr>
      </w:pPr>
      <w:r w:rsidRPr="00776E32">
        <w:rPr>
          <w:rStyle w:val="Strong"/>
          <w:rFonts w:ascii="Arial" w:hAnsi="Arial" w:cstheme="minorHAnsi"/>
          <w:b w:val="0"/>
        </w:rPr>
        <w:t>Mandatory reporting for public health services with an ICU or NICU:</w:t>
      </w:r>
    </w:p>
    <w:p w14:paraId="19A5C859" w14:textId="77777777" w:rsidR="009A3F7C" w:rsidRPr="00776E32" w:rsidRDefault="009A3F7C" w:rsidP="00776E32">
      <w:pPr>
        <w:pStyle w:val="ListBullet"/>
        <w:contextualSpacing w:val="0"/>
        <w:rPr>
          <w:rStyle w:val="Strong"/>
          <w:rFonts w:cstheme="minorHAnsi"/>
          <w:b w:val="0"/>
        </w:rPr>
      </w:pPr>
      <w:r w:rsidRPr="00776E32">
        <w:rPr>
          <w:rStyle w:val="Strong"/>
          <w:rFonts w:ascii="Helvetica" w:hAnsi="Helvetica" w:cs="Helvetica"/>
          <w:b w:val="0"/>
          <w:bCs w:val="0"/>
        </w:rPr>
        <w:t>Central line-associated bloodstream infections in intensive care</w:t>
      </w:r>
    </w:p>
    <w:p w14:paraId="0803C72B" w14:textId="77777777" w:rsidR="009A3F7C" w:rsidRPr="00776E32" w:rsidRDefault="009A3F7C" w:rsidP="00776E32">
      <w:pPr>
        <w:pStyle w:val="ListBullet"/>
        <w:contextualSpacing w:val="0"/>
        <w:rPr>
          <w:rStyle w:val="Strong"/>
          <w:rFonts w:cstheme="minorHAnsi"/>
          <w:b w:val="0"/>
        </w:rPr>
      </w:pPr>
      <w:r w:rsidRPr="00776E32">
        <w:rPr>
          <w:rStyle w:val="Strong"/>
          <w:rFonts w:ascii="Helvetica" w:hAnsi="Helvetica" w:cs="Helvetica"/>
          <w:b w:val="0"/>
          <w:bCs w:val="0"/>
        </w:rPr>
        <w:t>Central line and peripheral line associated bloodstream infections in neonatal intensive care</w:t>
      </w:r>
    </w:p>
    <w:p w14:paraId="13FC5F04" w14:textId="77777777" w:rsidR="009A3F7C" w:rsidRPr="00776E32" w:rsidRDefault="009A3F7C" w:rsidP="00776E32">
      <w:pPr>
        <w:pStyle w:val="Bodytextkeepwithnext"/>
        <w:rPr>
          <w:rStyle w:val="Strong"/>
          <w:rFonts w:ascii="Arial" w:hAnsi="Arial" w:cstheme="minorHAnsi"/>
          <w:b w:val="0"/>
        </w:rPr>
      </w:pPr>
      <w:r w:rsidRPr="00776E32">
        <w:rPr>
          <w:rStyle w:val="Strong"/>
          <w:rFonts w:ascii="Arial" w:hAnsi="Arial" w:cstheme="minorHAnsi"/>
          <w:b w:val="0"/>
        </w:rPr>
        <w:t>Mandatory for all public health services performing a significant amount of surgery:</w:t>
      </w:r>
    </w:p>
    <w:p w14:paraId="53D5DE3D" w14:textId="77777777" w:rsidR="009A3F7C" w:rsidRPr="00776E32" w:rsidRDefault="009A3F7C" w:rsidP="002505CC">
      <w:pPr>
        <w:pStyle w:val="ListBullet"/>
        <w:rPr>
          <w:rFonts w:cstheme="minorHAnsi"/>
          <w:bCs/>
        </w:rPr>
      </w:pPr>
      <w:r w:rsidRPr="00776E32">
        <w:rPr>
          <w:rStyle w:val="Strong"/>
          <w:rFonts w:ascii="Helvetica" w:hAnsi="Helvetica" w:cs="Helvetica"/>
          <w:b w:val="0"/>
          <w:bCs w:val="0"/>
        </w:rPr>
        <w:t>Surgical site surveillance (SSI)</w:t>
      </w:r>
    </w:p>
    <w:p w14:paraId="4EBBB66E" w14:textId="77777777" w:rsidR="009A3F7C" w:rsidRPr="00E867F6" w:rsidRDefault="009A3F7C" w:rsidP="002505CC">
      <w:pPr>
        <w:pStyle w:val="BodyText"/>
      </w:pPr>
      <w:r w:rsidRPr="00E867F6">
        <w:t>Private hospitals are not required to provide data to VICNISS. However, in its recent report, the Coordinating Centre indicated that there has been a steady increase in interest and participation rates from private hospitals, particularly with their contribution to data related to central line associated bloodstream infection surveillance and/or surgical site infection surveillance.</w:t>
      </w:r>
      <w:r w:rsidRPr="00E867F6">
        <w:rPr>
          <w:vertAlign w:val="superscript"/>
        </w:rPr>
        <w:endnoteReference w:id="116"/>
      </w:r>
    </w:p>
    <w:p w14:paraId="125285DC" w14:textId="548EF880" w:rsidR="009A3F7C" w:rsidRPr="00E867F6" w:rsidRDefault="009A3F7C" w:rsidP="002505CC">
      <w:pPr>
        <w:pStyle w:val="BodyText"/>
      </w:pPr>
      <w:r w:rsidRPr="00E867F6">
        <w:t xml:space="preserve">Data collected and analysed is reported back to </w:t>
      </w:r>
      <w:r w:rsidR="00925018">
        <w:t xml:space="preserve">the </w:t>
      </w:r>
      <w:r w:rsidR="00925018" w:rsidRPr="00925018">
        <w:t>Victorian Department of Health and Human Services</w:t>
      </w:r>
      <w:r w:rsidRPr="00E867F6">
        <w:t xml:space="preserve">, which is then published on the VHSP. Data is also provided to participating health services, and national agencies such as the Australian Institute of Health and Welfare. </w:t>
      </w:r>
    </w:p>
    <w:p w14:paraId="02E611FB" w14:textId="2D589D78" w:rsidR="009A3F7C" w:rsidRPr="00E867F6" w:rsidRDefault="009A3F7C" w:rsidP="002505CC">
      <w:pPr>
        <w:pStyle w:val="BodyText"/>
      </w:pPr>
      <w:r w:rsidRPr="00E867F6">
        <w:t>A range of general information about preventable health</w:t>
      </w:r>
      <w:r w:rsidR="0087744B" w:rsidRPr="00E867F6">
        <w:t>care</w:t>
      </w:r>
      <w:r w:rsidR="00776E32">
        <w:t>-associated</w:t>
      </w:r>
      <w:r w:rsidRPr="00E867F6">
        <w:t xml:space="preserve"> infections is made available for patients on the VICNISS website. The website also provides consumers with a comprehensive list of links to other important safety and quality resources, such as the Australian Guidelines for the Prevention and Control of Infection in Healthcare, Better Health Channel or </w:t>
      </w:r>
      <w:proofErr w:type="spellStart"/>
      <w:r w:rsidRPr="00E867F6">
        <w:t>MyHospitals</w:t>
      </w:r>
      <w:proofErr w:type="spellEnd"/>
      <w:r w:rsidRPr="00E867F6">
        <w:t>.</w:t>
      </w:r>
    </w:p>
    <w:p w14:paraId="4F4C817B" w14:textId="651C8C51" w:rsidR="009A3F7C" w:rsidRPr="00E867F6" w:rsidRDefault="009A3F7C" w:rsidP="002505CC">
      <w:pPr>
        <w:pStyle w:val="BodyText"/>
      </w:pPr>
      <w:r w:rsidRPr="00E867F6">
        <w:t xml:space="preserve">In addition to these, VICNISS also produces a routine </w:t>
      </w:r>
      <w:r w:rsidRPr="00E867F6">
        <w:rPr>
          <w:i/>
        </w:rPr>
        <w:t>Healthcare-associated infection in Victoria Surveillance</w:t>
      </w:r>
      <w:r w:rsidRPr="00E867F6">
        <w:t xml:space="preserve"> report that is made available to the public on their website. This report provides an aggregate of state-wide health care related infection data collected, which is compared to the aggregate data for a select peer group defined as </w:t>
      </w:r>
      <w:r w:rsidR="00012EE6">
        <w:t>‘</w:t>
      </w:r>
      <w:r w:rsidRPr="00E867F6">
        <w:t>major teaching hospital</w:t>
      </w:r>
      <w:r w:rsidR="0087744B">
        <w:t>’</w:t>
      </w:r>
      <w:r w:rsidR="0087744B" w:rsidRPr="00E867F6">
        <w:t xml:space="preserve">. </w:t>
      </w:r>
      <w:r w:rsidRPr="00E867F6">
        <w:t xml:space="preserve">In the most recent report, 2014-15 data is compared to 2015-16 data. The report is very comprehensive and provides clear specifications and narrative of the findings. </w:t>
      </w:r>
    </w:p>
    <w:p w14:paraId="45102779" w14:textId="77777777" w:rsidR="009A3F7C" w:rsidRPr="00E867F6" w:rsidRDefault="009A3F7C" w:rsidP="00D2773F">
      <w:pPr>
        <w:pStyle w:val="AppendixHeading2"/>
      </w:pPr>
      <w:r w:rsidRPr="00E867F6">
        <w:lastRenderedPageBreak/>
        <w:t>Western Australia</w:t>
      </w:r>
    </w:p>
    <w:p w14:paraId="17C72AFF" w14:textId="2E1E6E3E" w:rsidR="009A3F7C" w:rsidRPr="00E07076" w:rsidRDefault="009A3F7C" w:rsidP="00D2773F">
      <w:pPr>
        <w:pStyle w:val="BodyText"/>
        <w:keepLines/>
      </w:pPr>
      <w:r w:rsidRPr="00E07076">
        <w:t xml:space="preserve">The Western Australian </w:t>
      </w:r>
      <w:r w:rsidR="0087744B" w:rsidRPr="00E07076">
        <w:t xml:space="preserve">(WA) </w:t>
      </w:r>
      <w:r w:rsidRPr="00E07076">
        <w:t>Department of Health produces a number of performance reports at varying frequencies.</w:t>
      </w:r>
      <w:r w:rsidRPr="00E07076">
        <w:rPr>
          <w:rStyle w:val="EndnoteReference"/>
        </w:rPr>
        <w:endnoteReference w:id="117"/>
      </w:r>
      <w:r w:rsidRPr="00E07076">
        <w:t xml:space="preserve"> Reports provide a state-wide picture of the health care system’s performance. Information is also provided at health service and hospital level (where possible) and performance is compared against state and national targets. Information about system performance is prominent and readily available to the public.</w:t>
      </w:r>
    </w:p>
    <w:p w14:paraId="4EC92A8A" w14:textId="6078186A" w:rsidR="009A3F7C" w:rsidRPr="00E07076" w:rsidRDefault="009A3F7C" w:rsidP="002505CC">
      <w:pPr>
        <w:pStyle w:val="BodyText"/>
      </w:pPr>
      <w:r w:rsidRPr="00E07076">
        <w:t>WA</w:t>
      </w:r>
      <w:r w:rsidR="0087744B" w:rsidRPr="00E07076">
        <w:t xml:space="preserve"> Department of </w:t>
      </w:r>
      <w:r w:rsidRPr="00E07076">
        <w:t xml:space="preserve">Health reports on six key areas across system performance including: elective surgery, emergency department, specialist outpatient, safety and quality, public health and Aboriginal health. Within safety and quality, there are four core safety and quality areas of reporting: </w:t>
      </w:r>
    </w:p>
    <w:p w14:paraId="1671C8ED" w14:textId="77777777" w:rsidR="009A3F7C" w:rsidRPr="00E07076" w:rsidRDefault="009A3F7C" w:rsidP="00776E32">
      <w:pPr>
        <w:pStyle w:val="ListBullet"/>
        <w:contextualSpacing w:val="0"/>
      </w:pPr>
      <w:r w:rsidRPr="00E07076">
        <w:t>Monitoring and reporting of hand hygiene</w:t>
      </w:r>
    </w:p>
    <w:p w14:paraId="2635E8F1" w14:textId="77777777" w:rsidR="009A3F7C" w:rsidRPr="00E07076" w:rsidRDefault="009A3F7C" w:rsidP="00776E32">
      <w:pPr>
        <w:pStyle w:val="ListBullet"/>
        <w:contextualSpacing w:val="0"/>
      </w:pPr>
      <w:r w:rsidRPr="00E07076">
        <w:t>Patient safety surveillance</w:t>
      </w:r>
    </w:p>
    <w:p w14:paraId="7D362BE8" w14:textId="72F27B31" w:rsidR="009A3F7C" w:rsidRPr="00E07076" w:rsidRDefault="007F4503" w:rsidP="00776E32">
      <w:pPr>
        <w:pStyle w:val="ListBullet"/>
        <w:contextualSpacing w:val="0"/>
      </w:pPr>
      <w:r>
        <w:t>Health</w:t>
      </w:r>
      <w:r w:rsidR="009A3F7C" w:rsidRPr="00E07076">
        <w:t>care infection surveillance</w:t>
      </w:r>
    </w:p>
    <w:p w14:paraId="223F52A0" w14:textId="0091E66D" w:rsidR="009A3F7C" w:rsidRPr="00E07076" w:rsidRDefault="007F4503" w:rsidP="00776E32">
      <w:pPr>
        <w:pStyle w:val="ListBullet"/>
        <w:contextualSpacing w:val="0"/>
      </w:pPr>
      <w:r>
        <w:t>Healthcare-</w:t>
      </w:r>
      <w:r w:rsidR="009A3F7C" w:rsidRPr="00E07076">
        <w:t>associated SAB</w:t>
      </w:r>
    </w:p>
    <w:p w14:paraId="72519AF7" w14:textId="7694B65B" w:rsidR="009A3F7C" w:rsidRPr="00E07076" w:rsidRDefault="009A3F7C" w:rsidP="00776E32">
      <w:pPr>
        <w:pStyle w:val="BodyText"/>
      </w:pPr>
      <w:r w:rsidRPr="00E07076">
        <w:t xml:space="preserve">WA </w:t>
      </w:r>
      <w:r w:rsidR="0087744B" w:rsidRPr="00E07076">
        <w:t xml:space="preserve">Department of </w:t>
      </w:r>
      <w:r w:rsidRPr="00E07076">
        <w:t>Health publishes regular reports on hand hygiene compliance rates. Information is published at state-wide and hospital level. Hospitals are compared by peer group and the state benchmark of 80%.</w:t>
      </w:r>
      <w:r w:rsidRPr="00E07076">
        <w:rPr>
          <w:rStyle w:val="EndnoteReference"/>
        </w:rPr>
        <w:endnoteReference w:id="118"/>
      </w:r>
    </w:p>
    <w:p w14:paraId="3FB2E393" w14:textId="78553A7C" w:rsidR="009A3F7C" w:rsidRPr="00E07076" w:rsidRDefault="009A3F7C" w:rsidP="00776E32">
      <w:pPr>
        <w:pStyle w:val="BodyText"/>
      </w:pPr>
      <w:r w:rsidRPr="00E07076">
        <w:t xml:space="preserve">Since 2012, WA </w:t>
      </w:r>
      <w:r w:rsidR="0087744B" w:rsidRPr="00E07076">
        <w:t xml:space="preserve">Department of </w:t>
      </w:r>
      <w:r w:rsidRPr="00E07076">
        <w:t xml:space="preserve">Health has published the, </w:t>
      </w:r>
      <w:proofErr w:type="gramStart"/>
      <w:r w:rsidRPr="00E07076">
        <w:rPr>
          <w:i/>
        </w:rPr>
        <w:t>Your</w:t>
      </w:r>
      <w:proofErr w:type="gramEnd"/>
      <w:r w:rsidRPr="00E07076">
        <w:rPr>
          <w:i/>
        </w:rPr>
        <w:t xml:space="preserve"> safety in our hands in hospital: An Integrated Approach to Patient Safety Surveillance by WA Health Service Providers, Hospitals and the Community </w:t>
      </w:r>
      <w:r w:rsidRPr="00E07076">
        <w:t>report on its website. This is a comprehensive annual report on patient safety that draws information from various sources. The report provides aggregated state-wide rates of clinical incidents. The report has evolved over</w:t>
      </w:r>
      <w:r w:rsidR="0087744B" w:rsidRPr="00E07076">
        <w:t xml:space="preserve"> </w:t>
      </w:r>
      <w:r w:rsidRPr="00E07076">
        <w:t xml:space="preserve">time to include information on </w:t>
      </w:r>
      <w:r w:rsidR="004A02FA" w:rsidRPr="00E07076">
        <w:t xml:space="preserve">nine </w:t>
      </w:r>
      <w:r w:rsidRPr="00E07076">
        <w:t>NSQHS</w:t>
      </w:r>
      <w:r w:rsidR="0087744B" w:rsidRPr="00E07076">
        <w:t xml:space="preserve"> Standards</w:t>
      </w:r>
      <w:r w:rsidR="004A02FA" w:rsidRPr="00E07076">
        <w:t xml:space="preserve"> (version 1)</w:t>
      </w:r>
      <w:r w:rsidRPr="00E07076">
        <w:t>: pa</w:t>
      </w:r>
      <w:r w:rsidR="007F4503">
        <w:t>rtnering with consumers, healthcare-</w:t>
      </w:r>
      <w:r w:rsidRPr="00E07076">
        <w:t>associated infections, medication clinical incidents, patient identification clinical incidents, clinical handover incidents, blood and blood product clinical incidents, pressure injuries, clinical deterioration incidents and falls. Complaints data relating to safety and quality in health care is also incorporated in the report.</w:t>
      </w:r>
      <w:r w:rsidRPr="00E07076">
        <w:rPr>
          <w:rStyle w:val="EndnoteReference"/>
        </w:rPr>
        <w:endnoteReference w:id="119"/>
      </w:r>
      <w:r w:rsidRPr="00E07076">
        <w:t xml:space="preserve"> </w:t>
      </w:r>
    </w:p>
    <w:p w14:paraId="4CD16355" w14:textId="1F947805" w:rsidR="009A3F7C" w:rsidRPr="00E07076" w:rsidRDefault="009A3F7C" w:rsidP="00776E32">
      <w:pPr>
        <w:pStyle w:val="BodyText"/>
        <w:rPr>
          <w:rFonts w:ascii="Arial" w:hAnsi="Arial" w:cs="Arial"/>
          <w:sz w:val="23"/>
          <w:szCs w:val="23"/>
        </w:rPr>
      </w:pPr>
      <w:r w:rsidRPr="00E07076">
        <w:t>Healthcare Infection Surveillance Western Australia (HISWA) reports are produced quarterly and annually by the department’s Healthcare Associated Infection Control Unit. Similarly to other jurisdictions, reports provide rates of various infections such as infections following various procedures, h</w:t>
      </w:r>
      <w:r w:rsidR="007F4503">
        <w:rPr>
          <w:rFonts w:ascii="Arial" w:hAnsi="Arial" w:cs="Arial"/>
          <w:sz w:val="23"/>
          <w:szCs w:val="23"/>
        </w:rPr>
        <w:t>ealthcare-</w:t>
      </w:r>
      <w:r w:rsidRPr="00E07076">
        <w:rPr>
          <w:rFonts w:ascii="Arial" w:hAnsi="Arial" w:cs="Arial"/>
          <w:sz w:val="23"/>
          <w:szCs w:val="23"/>
        </w:rPr>
        <w:t xml:space="preserve">associated </w:t>
      </w:r>
      <w:r w:rsidRPr="00E07076">
        <w:rPr>
          <w:rFonts w:ascii="Arial" w:hAnsi="Arial" w:cs="Arial"/>
          <w:i/>
          <w:iCs/>
          <w:sz w:val="23"/>
          <w:szCs w:val="23"/>
        </w:rPr>
        <w:t xml:space="preserve">Staphylococcus aureus </w:t>
      </w:r>
      <w:r w:rsidRPr="00E07076">
        <w:rPr>
          <w:rFonts w:ascii="Arial" w:hAnsi="Arial" w:cs="Arial"/>
          <w:sz w:val="23"/>
          <w:szCs w:val="23"/>
        </w:rPr>
        <w:t xml:space="preserve">bloodstream infection, </w:t>
      </w:r>
      <w:proofErr w:type="spellStart"/>
      <w:r w:rsidRPr="00E07076">
        <w:rPr>
          <w:rFonts w:ascii="Arial" w:hAnsi="Arial" w:cs="Arial"/>
          <w:sz w:val="23"/>
          <w:szCs w:val="23"/>
        </w:rPr>
        <w:t>hemodialysis</w:t>
      </w:r>
      <w:proofErr w:type="spellEnd"/>
      <w:r w:rsidRPr="00E07076">
        <w:rPr>
          <w:rFonts w:ascii="Arial" w:hAnsi="Arial" w:cs="Arial"/>
          <w:sz w:val="23"/>
          <w:szCs w:val="23"/>
        </w:rPr>
        <w:t xml:space="preserve"> access-associated bloodstream infections, central line-associated bloodstream infection, methicillin-resistant </w:t>
      </w:r>
      <w:r w:rsidRPr="00E07076">
        <w:rPr>
          <w:rFonts w:ascii="Arial" w:hAnsi="Arial" w:cs="Arial"/>
          <w:i/>
          <w:iCs/>
          <w:sz w:val="23"/>
          <w:szCs w:val="23"/>
        </w:rPr>
        <w:t xml:space="preserve">Staphylococcus aureus </w:t>
      </w:r>
      <w:r w:rsidR="007F4503">
        <w:rPr>
          <w:rFonts w:ascii="Arial" w:hAnsi="Arial" w:cs="Arial"/>
          <w:sz w:val="23"/>
          <w:szCs w:val="23"/>
        </w:rPr>
        <w:t>healthcare-</w:t>
      </w:r>
      <w:r w:rsidRPr="00E07076">
        <w:rPr>
          <w:rFonts w:ascii="Arial" w:hAnsi="Arial" w:cs="Arial"/>
          <w:sz w:val="23"/>
          <w:szCs w:val="23"/>
        </w:rPr>
        <w:t xml:space="preserve">associated infection, hospital-identified </w:t>
      </w:r>
      <w:r w:rsidRPr="00E07076">
        <w:rPr>
          <w:rFonts w:ascii="Arial" w:hAnsi="Arial" w:cs="Arial"/>
          <w:i/>
          <w:iCs/>
          <w:sz w:val="23"/>
          <w:szCs w:val="23"/>
        </w:rPr>
        <w:t xml:space="preserve">Clostridium difficile </w:t>
      </w:r>
      <w:r w:rsidRPr="00E07076">
        <w:rPr>
          <w:rFonts w:ascii="Arial" w:hAnsi="Arial" w:cs="Arial"/>
          <w:sz w:val="23"/>
          <w:szCs w:val="23"/>
        </w:rPr>
        <w:t>infection and Vancomycin-resistant enterococci sterile-site infections. Data is reported for individual hospitals and for tertiary hospital benchmarking.</w:t>
      </w:r>
      <w:r w:rsidRPr="00E07076">
        <w:rPr>
          <w:rStyle w:val="EndnoteReference"/>
          <w:rFonts w:cs="Arial"/>
          <w:sz w:val="23"/>
          <w:szCs w:val="23"/>
        </w:rPr>
        <w:endnoteReference w:id="120"/>
      </w:r>
    </w:p>
    <w:p w14:paraId="17DC810F" w14:textId="05F808E8" w:rsidR="002505CC" w:rsidRPr="00E07076" w:rsidRDefault="009A3F7C" w:rsidP="00776E32">
      <w:pPr>
        <w:pStyle w:val="BodyText"/>
        <w:rPr>
          <w:rFonts w:ascii="Arial" w:hAnsi="Arial" w:cs="Arial"/>
          <w:sz w:val="23"/>
          <w:szCs w:val="23"/>
        </w:rPr>
      </w:pPr>
      <w:r w:rsidRPr="00E07076">
        <w:rPr>
          <w:rFonts w:ascii="Arial" w:hAnsi="Arial" w:cs="Arial"/>
          <w:sz w:val="23"/>
          <w:szCs w:val="23"/>
        </w:rPr>
        <w:t>HISWA also produces quarterly data on the state</w:t>
      </w:r>
      <w:r w:rsidR="003A49AA">
        <w:rPr>
          <w:rFonts w:ascii="Arial" w:hAnsi="Arial" w:cs="Arial"/>
          <w:sz w:val="23"/>
          <w:szCs w:val="23"/>
        </w:rPr>
        <w:t>’</w:t>
      </w:r>
      <w:r w:rsidRPr="00E07076">
        <w:rPr>
          <w:rFonts w:ascii="Arial" w:hAnsi="Arial" w:cs="Arial"/>
          <w:sz w:val="23"/>
          <w:szCs w:val="23"/>
        </w:rPr>
        <w:t xml:space="preserve">s rate of </w:t>
      </w:r>
      <w:r w:rsidRPr="00E07076">
        <w:t>h</w:t>
      </w:r>
      <w:r w:rsidR="007F4503">
        <w:rPr>
          <w:rFonts w:ascii="Arial" w:hAnsi="Arial" w:cs="Arial"/>
          <w:sz w:val="23"/>
          <w:szCs w:val="23"/>
        </w:rPr>
        <w:t>ealthcare-</w:t>
      </w:r>
      <w:r w:rsidRPr="00E07076">
        <w:rPr>
          <w:rFonts w:ascii="Arial" w:hAnsi="Arial" w:cs="Arial"/>
          <w:sz w:val="23"/>
          <w:szCs w:val="23"/>
        </w:rPr>
        <w:t xml:space="preserve">associated </w:t>
      </w:r>
      <w:r w:rsidRPr="00E07076">
        <w:rPr>
          <w:rFonts w:ascii="Arial" w:hAnsi="Arial" w:cs="Arial"/>
          <w:i/>
          <w:iCs/>
          <w:sz w:val="23"/>
          <w:szCs w:val="23"/>
        </w:rPr>
        <w:t xml:space="preserve">Staphylococcus aureus </w:t>
      </w:r>
      <w:r w:rsidRPr="00E07076">
        <w:rPr>
          <w:rFonts w:ascii="Arial" w:hAnsi="Arial" w:cs="Arial"/>
          <w:sz w:val="23"/>
          <w:szCs w:val="23"/>
        </w:rPr>
        <w:t>bloodstream infection. Rates are compared against the national benchmark. Information is presented at a state-wide level with the option to drill down to individual hospital level.</w:t>
      </w:r>
      <w:r w:rsidRPr="00E07076">
        <w:rPr>
          <w:rStyle w:val="EndnoteReference"/>
          <w:rFonts w:cs="Arial"/>
          <w:sz w:val="23"/>
          <w:szCs w:val="23"/>
        </w:rPr>
        <w:endnoteReference w:id="121"/>
      </w:r>
      <w:r w:rsidRPr="00E07076">
        <w:rPr>
          <w:rFonts w:ascii="Arial" w:hAnsi="Arial" w:cs="Arial"/>
          <w:sz w:val="23"/>
          <w:szCs w:val="23"/>
        </w:rPr>
        <w:t xml:space="preserve"> </w:t>
      </w:r>
    </w:p>
    <w:p w14:paraId="014FD360" w14:textId="4E054238" w:rsidR="002505CC" w:rsidRPr="00E07076" w:rsidRDefault="002505CC" w:rsidP="00776E32">
      <w:pPr>
        <w:pStyle w:val="BodyText"/>
        <w:rPr>
          <w:rFonts w:ascii="Arial" w:hAnsi="Arial" w:cs="Arial"/>
          <w:sz w:val="23"/>
          <w:szCs w:val="23"/>
        </w:rPr>
      </w:pPr>
      <w:r w:rsidRPr="00E07076">
        <w:rPr>
          <w:rFonts w:ascii="Arial" w:hAnsi="Arial" w:cs="Arial"/>
          <w:sz w:val="23"/>
          <w:szCs w:val="23"/>
        </w:rPr>
        <w:t xml:space="preserve">WA </w:t>
      </w:r>
      <w:r w:rsidR="0087744B" w:rsidRPr="00E07076">
        <w:rPr>
          <w:rFonts w:ascii="Arial" w:hAnsi="Arial" w:cs="Arial"/>
          <w:sz w:val="23"/>
          <w:szCs w:val="23"/>
        </w:rPr>
        <w:t xml:space="preserve">Department of </w:t>
      </w:r>
      <w:r w:rsidRPr="00E07076">
        <w:rPr>
          <w:rFonts w:ascii="Arial" w:hAnsi="Arial" w:cs="Arial"/>
          <w:sz w:val="23"/>
          <w:szCs w:val="23"/>
        </w:rPr>
        <w:t xml:space="preserve">Health is an advocate for Patient Opinion and the </w:t>
      </w:r>
      <w:proofErr w:type="spellStart"/>
      <w:r w:rsidRPr="00E07076">
        <w:rPr>
          <w:rFonts w:ascii="Arial" w:hAnsi="Arial" w:cs="Arial"/>
          <w:sz w:val="23"/>
          <w:szCs w:val="23"/>
        </w:rPr>
        <w:t>MyHospital</w:t>
      </w:r>
      <w:proofErr w:type="spellEnd"/>
      <w:r w:rsidRPr="00E07076">
        <w:rPr>
          <w:rFonts w:ascii="Arial" w:hAnsi="Arial" w:cs="Arial"/>
          <w:sz w:val="23"/>
          <w:szCs w:val="23"/>
        </w:rPr>
        <w:t xml:space="preserve"> website. It encourages consumer participation in these resources by providing links from </w:t>
      </w:r>
      <w:r w:rsidR="004A02FA" w:rsidRPr="00E07076">
        <w:rPr>
          <w:rFonts w:ascii="Arial" w:hAnsi="Arial" w:cs="Arial"/>
          <w:sz w:val="23"/>
          <w:szCs w:val="23"/>
        </w:rPr>
        <w:t xml:space="preserve">its </w:t>
      </w:r>
      <w:r w:rsidRPr="00E07076">
        <w:rPr>
          <w:rFonts w:ascii="Arial" w:hAnsi="Arial" w:cs="Arial"/>
          <w:sz w:val="23"/>
          <w:szCs w:val="23"/>
        </w:rPr>
        <w:t>safety and quality information.</w:t>
      </w:r>
    </w:p>
    <w:p w14:paraId="6E6CC2D1" w14:textId="77777777" w:rsidR="002B5462" w:rsidRPr="00E867F6" w:rsidRDefault="002B5462" w:rsidP="002505CC">
      <w:pPr>
        <w:pStyle w:val="BodyText"/>
        <w:rPr>
          <w:rFonts w:ascii="Arial" w:hAnsi="Arial" w:cs="Arial"/>
          <w:color w:val="000000"/>
          <w:sz w:val="23"/>
          <w:szCs w:val="23"/>
        </w:rPr>
        <w:sectPr w:rsidR="002B5462" w:rsidRPr="00E867F6" w:rsidSect="00D2773F">
          <w:footerReference w:type="default" r:id="rId47"/>
          <w:endnotePr>
            <w:numFmt w:val="decimal"/>
          </w:endnotePr>
          <w:pgSz w:w="11906" w:h="16838"/>
          <w:pgMar w:top="1440" w:right="1440" w:bottom="1440" w:left="1440" w:header="708" w:footer="708" w:gutter="0"/>
          <w:cols w:space="708"/>
          <w:docGrid w:linePitch="360"/>
        </w:sectPr>
      </w:pPr>
    </w:p>
    <w:p w14:paraId="5D7ACDED" w14:textId="77777777" w:rsidR="002B5462" w:rsidRPr="00E867F6" w:rsidRDefault="002B5462" w:rsidP="00D2773F">
      <w:pPr>
        <w:pStyle w:val="Appendixheading"/>
      </w:pPr>
      <w:bookmarkStart w:id="55" w:name="_Toc3195102"/>
      <w:r w:rsidRPr="00E867F6">
        <w:lastRenderedPageBreak/>
        <w:t>: List of organisations searched</w:t>
      </w:r>
      <w:bookmarkEnd w:id="55"/>
    </w:p>
    <w:tbl>
      <w:tblPr>
        <w:tblStyle w:val="LightList-Accent2"/>
        <w:tblW w:w="14000" w:type="dxa"/>
        <w:tblLayout w:type="fixed"/>
        <w:tblLook w:val="04A0" w:firstRow="1" w:lastRow="0" w:firstColumn="1" w:lastColumn="0" w:noHBand="0" w:noVBand="1"/>
      </w:tblPr>
      <w:tblGrid>
        <w:gridCol w:w="5449"/>
        <w:gridCol w:w="3544"/>
        <w:gridCol w:w="5007"/>
      </w:tblGrid>
      <w:tr w:rsidR="002B5462" w:rsidRPr="00322FB3" w14:paraId="2DE9A91E" w14:textId="77777777" w:rsidTr="006C72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3"/>
          </w:tcPr>
          <w:p w14:paraId="4B3AE82B" w14:textId="77777777" w:rsidR="002B5462" w:rsidRPr="00012EE6" w:rsidRDefault="002B5462" w:rsidP="00012EE6">
            <w:pPr>
              <w:spacing w:after="120"/>
              <w:rPr>
                <w:rFonts w:cstheme="minorHAnsi"/>
              </w:rPr>
            </w:pPr>
            <w:r w:rsidRPr="00012EE6">
              <w:rPr>
                <w:rFonts w:cstheme="minorHAnsi"/>
              </w:rPr>
              <w:t>Private Organisations in Australia</w:t>
            </w:r>
          </w:p>
        </w:tc>
      </w:tr>
      <w:tr w:rsidR="00BA4A6A" w:rsidRPr="00322FB3" w14:paraId="4BB30D6A"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shd w:val="clear" w:color="auto" w:fill="C2E9F8" w:themeFill="text2" w:themeFillTint="33"/>
          </w:tcPr>
          <w:p w14:paraId="7809A229" w14:textId="468FD10E" w:rsidR="002B5462" w:rsidRPr="0044530F" w:rsidRDefault="002B5462" w:rsidP="00012EE6">
            <w:pPr>
              <w:spacing w:after="120"/>
              <w:rPr>
                <w:rFonts w:cstheme="minorHAnsi"/>
              </w:rPr>
            </w:pPr>
            <w:r w:rsidRPr="0044530F">
              <w:rPr>
                <w:rFonts w:cstheme="minorHAnsi"/>
              </w:rPr>
              <w:t xml:space="preserve">Organisation </w:t>
            </w:r>
            <w:r w:rsidR="004A02FA" w:rsidRPr="0044530F">
              <w:rPr>
                <w:rFonts w:cstheme="minorHAnsi"/>
              </w:rPr>
              <w:t>Name</w:t>
            </w:r>
          </w:p>
        </w:tc>
        <w:tc>
          <w:tcPr>
            <w:tcW w:w="3544" w:type="dxa"/>
            <w:shd w:val="clear" w:color="auto" w:fill="C2E9F8" w:themeFill="text2" w:themeFillTint="33"/>
          </w:tcPr>
          <w:p w14:paraId="249EFCED"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b/>
              </w:rPr>
            </w:pPr>
            <w:r w:rsidRPr="00012EE6">
              <w:rPr>
                <w:rFonts w:cstheme="minorHAnsi"/>
                <w:b/>
              </w:rPr>
              <w:t>Organisation type</w:t>
            </w:r>
          </w:p>
        </w:tc>
        <w:tc>
          <w:tcPr>
            <w:tcW w:w="5007" w:type="dxa"/>
            <w:shd w:val="clear" w:color="auto" w:fill="C2E9F8" w:themeFill="text2" w:themeFillTint="33"/>
          </w:tcPr>
          <w:p w14:paraId="0259D7A9" w14:textId="3ACA3FE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b/>
              </w:rPr>
            </w:pPr>
            <w:r w:rsidRPr="00012EE6">
              <w:rPr>
                <w:rFonts w:cstheme="minorHAnsi"/>
                <w:b/>
              </w:rPr>
              <w:t>Home</w:t>
            </w:r>
            <w:r w:rsidR="00322FB3" w:rsidRPr="00012EE6">
              <w:rPr>
                <w:rFonts w:cstheme="minorHAnsi"/>
                <w:b/>
              </w:rPr>
              <w:t>page</w:t>
            </w:r>
            <w:r w:rsidRPr="00012EE6">
              <w:rPr>
                <w:rFonts w:cstheme="minorHAnsi"/>
                <w:b/>
              </w:rPr>
              <w:t xml:space="preserve"> URL</w:t>
            </w:r>
          </w:p>
        </w:tc>
      </w:tr>
      <w:tr w:rsidR="002B5462" w:rsidRPr="00322FB3" w14:paraId="407EFF74"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2F167CFE" w14:textId="2D491BAC" w:rsidR="002B5462" w:rsidRPr="00012EE6" w:rsidRDefault="004A02FA" w:rsidP="00012EE6">
            <w:pPr>
              <w:spacing w:after="120"/>
              <w:rPr>
                <w:rFonts w:cstheme="minorHAnsi"/>
                <w:b w:val="0"/>
                <w:sz w:val="20"/>
                <w:szCs w:val="20"/>
              </w:rPr>
            </w:pPr>
            <w:r w:rsidRPr="00012EE6">
              <w:rPr>
                <w:rFonts w:cstheme="minorHAnsi"/>
                <w:b w:val="0"/>
                <w:sz w:val="20"/>
                <w:szCs w:val="20"/>
              </w:rPr>
              <w:t>Ramsay Health Care</w:t>
            </w:r>
          </w:p>
        </w:tc>
        <w:tc>
          <w:tcPr>
            <w:tcW w:w="3544" w:type="dxa"/>
          </w:tcPr>
          <w:p w14:paraId="0CC5F2D2"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21010DE6"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48" w:history="1">
              <w:r w:rsidR="002B5462" w:rsidRPr="00012EE6">
                <w:rPr>
                  <w:rStyle w:val="Hyperlink"/>
                  <w:rFonts w:asciiTheme="minorHAnsi" w:hAnsiTheme="minorHAnsi" w:cstheme="minorHAnsi"/>
                  <w:sz w:val="20"/>
                  <w:szCs w:val="20"/>
                </w:rPr>
                <w:t>http://www.ramsayhealth.com.au/</w:t>
              </w:r>
            </w:hyperlink>
            <w:r w:rsidR="002B5462" w:rsidRPr="00012EE6">
              <w:rPr>
                <w:rFonts w:cstheme="minorHAnsi"/>
                <w:sz w:val="20"/>
                <w:szCs w:val="20"/>
              </w:rPr>
              <w:t xml:space="preserve"> </w:t>
            </w:r>
          </w:p>
        </w:tc>
      </w:tr>
      <w:tr w:rsidR="002B5462" w:rsidRPr="00322FB3" w14:paraId="149F9A49"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631AE93E" w14:textId="5F2B40DA" w:rsidR="002B5462" w:rsidRPr="00012EE6" w:rsidRDefault="004A02FA" w:rsidP="00012EE6">
            <w:pPr>
              <w:spacing w:after="120"/>
              <w:rPr>
                <w:rFonts w:cstheme="minorHAnsi"/>
                <w:b w:val="0"/>
                <w:sz w:val="20"/>
                <w:szCs w:val="20"/>
              </w:rPr>
            </w:pPr>
            <w:proofErr w:type="spellStart"/>
            <w:r w:rsidRPr="00012EE6">
              <w:rPr>
                <w:rFonts w:cstheme="minorHAnsi"/>
                <w:b w:val="0"/>
                <w:sz w:val="20"/>
                <w:szCs w:val="20"/>
              </w:rPr>
              <w:t>Healthscope</w:t>
            </w:r>
            <w:proofErr w:type="spellEnd"/>
            <w:r w:rsidRPr="00012EE6">
              <w:rPr>
                <w:rFonts w:cstheme="minorHAnsi"/>
                <w:b w:val="0"/>
                <w:sz w:val="20"/>
                <w:szCs w:val="20"/>
              </w:rPr>
              <w:t xml:space="preserve"> Limited</w:t>
            </w:r>
          </w:p>
        </w:tc>
        <w:tc>
          <w:tcPr>
            <w:tcW w:w="3544" w:type="dxa"/>
          </w:tcPr>
          <w:p w14:paraId="1A72E324"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448099F8"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49" w:history="1">
              <w:r w:rsidR="002B5462" w:rsidRPr="00012EE6">
                <w:rPr>
                  <w:rStyle w:val="Hyperlink"/>
                  <w:rFonts w:asciiTheme="minorHAnsi" w:hAnsiTheme="minorHAnsi" w:cstheme="minorHAnsi"/>
                  <w:sz w:val="20"/>
                  <w:szCs w:val="20"/>
                </w:rPr>
                <w:t>http://www.healthscope.com.au/</w:t>
              </w:r>
            </w:hyperlink>
          </w:p>
        </w:tc>
      </w:tr>
      <w:tr w:rsidR="002B5462" w:rsidRPr="00322FB3" w14:paraId="21D77777"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49EE982B" w14:textId="236B1D5E" w:rsidR="002B5462" w:rsidRPr="00012EE6" w:rsidRDefault="004A02FA" w:rsidP="00012EE6">
            <w:pPr>
              <w:spacing w:after="120"/>
              <w:rPr>
                <w:rFonts w:cstheme="minorHAnsi"/>
                <w:b w:val="0"/>
                <w:sz w:val="20"/>
                <w:szCs w:val="20"/>
              </w:rPr>
            </w:pPr>
            <w:r w:rsidRPr="00012EE6">
              <w:rPr>
                <w:rFonts w:cstheme="minorHAnsi"/>
                <w:b w:val="0"/>
                <w:sz w:val="20"/>
                <w:szCs w:val="20"/>
              </w:rPr>
              <w:t>St John Of God Health Care</w:t>
            </w:r>
          </w:p>
        </w:tc>
        <w:tc>
          <w:tcPr>
            <w:tcW w:w="3544" w:type="dxa"/>
          </w:tcPr>
          <w:p w14:paraId="6150858E"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692093EA"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50" w:history="1">
              <w:r w:rsidR="002B5462" w:rsidRPr="00012EE6">
                <w:rPr>
                  <w:rStyle w:val="Hyperlink"/>
                  <w:rFonts w:asciiTheme="minorHAnsi" w:hAnsiTheme="minorHAnsi" w:cstheme="minorHAnsi"/>
                  <w:sz w:val="20"/>
                  <w:szCs w:val="20"/>
                </w:rPr>
                <w:t>https://www.sjog.org.au/</w:t>
              </w:r>
            </w:hyperlink>
          </w:p>
        </w:tc>
      </w:tr>
      <w:tr w:rsidR="002B5462" w:rsidRPr="00322FB3" w14:paraId="6212C33E"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620EC295" w14:textId="7532AA8B" w:rsidR="002B5462" w:rsidRPr="00012EE6" w:rsidRDefault="004A02FA" w:rsidP="00012EE6">
            <w:pPr>
              <w:spacing w:after="120"/>
              <w:rPr>
                <w:rFonts w:cstheme="minorHAnsi"/>
                <w:b w:val="0"/>
                <w:sz w:val="20"/>
                <w:szCs w:val="20"/>
              </w:rPr>
            </w:pPr>
            <w:proofErr w:type="spellStart"/>
            <w:r w:rsidRPr="00012EE6">
              <w:rPr>
                <w:rFonts w:cstheme="minorHAnsi"/>
                <w:b w:val="0"/>
                <w:sz w:val="20"/>
                <w:szCs w:val="20"/>
              </w:rPr>
              <w:t>Cura</w:t>
            </w:r>
            <w:proofErr w:type="spellEnd"/>
            <w:r w:rsidRPr="00012EE6">
              <w:rPr>
                <w:rFonts w:cstheme="minorHAnsi"/>
                <w:b w:val="0"/>
                <w:sz w:val="20"/>
                <w:szCs w:val="20"/>
              </w:rPr>
              <w:t xml:space="preserve"> Day Hospitals Group</w:t>
            </w:r>
          </w:p>
        </w:tc>
        <w:tc>
          <w:tcPr>
            <w:tcW w:w="3544" w:type="dxa"/>
          </w:tcPr>
          <w:p w14:paraId="6B4BAA5D"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50D3A2A0"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51" w:history="1">
              <w:r w:rsidR="002B5462" w:rsidRPr="00012EE6">
                <w:rPr>
                  <w:rStyle w:val="Hyperlink"/>
                  <w:rFonts w:asciiTheme="minorHAnsi" w:hAnsiTheme="minorHAnsi" w:cstheme="minorHAnsi"/>
                  <w:sz w:val="20"/>
                  <w:szCs w:val="20"/>
                </w:rPr>
                <w:t>http://www.curagroup.com.au/</w:t>
              </w:r>
            </w:hyperlink>
          </w:p>
        </w:tc>
      </w:tr>
      <w:tr w:rsidR="002B5462" w:rsidRPr="00322FB3" w14:paraId="7261A324"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04D909AD" w14:textId="3C251A5E" w:rsidR="002B5462" w:rsidRPr="00012EE6" w:rsidRDefault="004A02FA" w:rsidP="00012EE6">
            <w:pPr>
              <w:spacing w:after="120"/>
              <w:rPr>
                <w:rFonts w:cstheme="minorHAnsi"/>
                <w:b w:val="0"/>
                <w:sz w:val="20"/>
                <w:szCs w:val="20"/>
              </w:rPr>
            </w:pPr>
            <w:proofErr w:type="spellStart"/>
            <w:r w:rsidRPr="00012EE6">
              <w:rPr>
                <w:rFonts w:cstheme="minorHAnsi"/>
                <w:b w:val="0"/>
                <w:sz w:val="20"/>
                <w:szCs w:val="20"/>
              </w:rPr>
              <w:t>Healthe</w:t>
            </w:r>
            <w:proofErr w:type="spellEnd"/>
            <w:r w:rsidRPr="00012EE6">
              <w:rPr>
                <w:rFonts w:cstheme="minorHAnsi"/>
                <w:b w:val="0"/>
                <w:sz w:val="20"/>
                <w:szCs w:val="20"/>
              </w:rPr>
              <w:t xml:space="preserve"> Care</w:t>
            </w:r>
          </w:p>
        </w:tc>
        <w:tc>
          <w:tcPr>
            <w:tcW w:w="3544" w:type="dxa"/>
          </w:tcPr>
          <w:p w14:paraId="1554F7C2"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77B19302"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52" w:history="1">
              <w:r w:rsidR="002B5462" w:rsidRPr="00012EE6">
                <w:rPr>
                  <w:rStyle w:val="Hyperlink"/>
                  <w:rFonts w:asciiTheme="minorHAnsi" w:hAnsiTheme="minorHAnsi" w:cstheme="minorHAnsi"/>
                  <w:sz w:val="20"/>
                  <w:szCs w:val="20"/>
                </w:rPr>
                <w:t>http://www.healthecare.com.au/</w:t>
              </w:r>
            </w:hyperlink>
          </w:p>
        </w:tc>
      </w:tr>
      <w:tr w:rsidR="002B5462" w:rsidRPr="00322FB3" w14:paraId="3B133D71"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26BCA02E" w14:textId="74C0AFFD" w:rsidR="002B5462" w:rsidRPr="00012EE6" w:rsidRDefault="004A02FA" w:rsidP="00012EE6">
            <w:pPr>
              <w:spacing w:after="120"/>
              <w:rPr>
                <w:rFonts w:cstheme="minorHAnsi"/>
                <w:b w:val="0"/>
                <w:sz w:val="20"/>
                <w:szCs w:val="20"/>
              </w:rPr>
            </w:pPr>
            <w:r w:rsidRPr="00012EE6">
              <w:rPr>
                <w:rFonts w:cstheme="minorHAnsi"/>
                <w:b w:val="0"/>
                <w:sz w:val="20"/>
                <w:szCs w:val="20"/>
              </w:rPr>
              <w:t>Fresenius Medical Care Australia Pty Ltd</w:t>
            </w:r>
          </w:p>
        </w:tc>
        <w:tc>
          <w:tcPr>
            <w:tcW w:w="3544" w:type="dxa"/>
          </w:tcPr>
          <w:p w14:paraId="2D59C12E"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6754CB97"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53" w:history="1">
              <w:r w:rsidR="002B5462" w:rsidRPr="00012EE6">
                <w:rPr>
                  <w:rStyle w:val="Hyperlink"/>
                  <w:rFonts w:asciiTheme="minorHAnsi" w:hAnsiTheme="minorHAnsi" w:cstheme="minorHAnsi"/>
                  <w:sz w:val="20"/>
                  <w:szCs w:val="20"/>
                </w:rPr>
                <w:t>https://www.fmc-au.com/</w:t>
              </w:r>
            </w:hyperlink>
          </w:p>
        </w:tc>
      </w:tr>
      <w:tr w:rsidR="002B5462" w:rsidRPr="00322FB3" w14:paraId="21E9F76A"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6C28ECDE" w14:textId="0586F8CA" w:rsidR="002B5462" w:rsidRPr="00012EE6" w:rsidRDefault="004A02FA" w:rsidP="00012EE6">
            <w:pPr>
              <w:spacing w:after="120"/>
              <w:rPr>
                <w:rFonts w:cstheme="minorHAnsi"/>
                <w:b w:val="0"/>
                <w:sz w:val="20"/>
                <w:szCs w:val="20"/>
              </w:rPr>
            </w:pPr>
            <w:r w:rsidRPr="00012EE6">
              <w:rPr>
                <w:rFonts w:cstheme="minorHAnsi"/>
                <w:b w:val="0"/>
                <w:sz w:val="20"/>
                <w:szCs w:val="20"/>
              </w:rPr>
              <w:t>Calvary Health Care</w:t>
            </w:r>
          </w:p>
        </w:tc>
        <w:tc>
          <w:tcPr>
            <w:tcW w:w="3544" w:type="dxa"/>
          </w:tcPr>
          <w:p w14:paraId="7913F229"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0D3E164B"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54" w:history="1">
              <w:r w:rsidR="002B5462" w:rsidRPr="00012EE6">
                <w:rPr>
                  <w:rStyle w:val="Hyperlink"/>
                  <w:rFonts w:asciiTheme="minorHAnsi" w:hAnsiTheme="minorHAnsi" w:cstheme="minorHAnsi"/>
                  <w:sz w:val="20"/>
                  <w:szCs w:val="20"/>
                </w:rPr>
                <w:t>https://www.calvarycare.org.au/</w:t>
              </w:r>
            </w:hyperlink>
          </w:p>
        </w:tc>
      </w:tr>
      <w:tr w:rsidR="002B5462" w:rsidRPr="00322FB3" w14:paraId="7BDE3988"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27C571E1" w14:textId="6084E441" w:rsidR="002B5462" w:rsidRPr="00012EE6" w:rsidRDefault="004A02FA" w:rsidP="00012EE6">
            <w:pPr>
              <w:spacing w:after="120"/>
              <w:rPr>
                <w:rFonts w:cstheme="minorHAnsi"/>
                <w:b w:val="0"/>
                <w:sz w:val="20"/>
                <w:szCs w:val="20"/>
              </w:rPr>
            </w:pPr>
            <w:r w:rsidRPr="00012EE6">
              <w:rPr>
                <w:rFonts w:cstheme="minorHAnsi"/>
                <w:b w:val="0"/>
                <w:sz w:val="20"/>
                <w:szCs w:val="20"/>
              </w:rPr>
              <w:t>Marie Stopes International</w:t>
            </w:r>
          </w:p>
        </w:tc>
        <w:tc>
          <w:tcPr>
            <w:tcW w:w="3544" w:type="dxa"/>
          </w:tcPr>
          <w:p w14:paraId="5CAE8C71"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2F4EC4BC"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55" w:history="1">
              <w:r w:rsidR="002B5462" w:rsidRPr="00012EE6">
                <w:rPr>
                  <w:rStyle w:val="Hyperlink"/>
                  <w:rFonts w:asciiTheme="minorHAnsi" w:hAnsiTheme="minorHAnsi" w:cstheme="minorHAnsi"/>
                  <w:sz w:val="20"/>
                  <w:szCs w:val="20"/>
                </w:rPr>
                <w:t>https://www.mariestopes.org.au/</w:t>
              </w:r>
            </w:hyperlink>
          </w:p>
        </w:tc>
      </w:tr>
      <w:tr w:rsidR="002B5462" w:rsidRPr="00322FB3" w14:paraId="6F8BF319"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1752236D" w14:textId="4EEC215A" w:rsidR="002B5462" w:rsidRPr="00012EE6" w:rsidRDefault="004A02FA" w:rsidP="00012EE6">
            <w:pPr>
              <w:spacing w:after="120"/>
              <w:rPr>
                <w:rFonts w:cstheme="minorHAnsi"/>
                <w:b w:val="0"/>
                <w:sz w:val="20"/>
                <w:szCs w:val="20"/>
              </w:rPr>
            </w:pPr>
            <w:r w:rsidRPr="00012EE6">
              <w:rPr>
                <w:rFonts w:cstheme="minorHAnsi"/>
                <w:b w:val="0"/>
                <w:sz w:val="20"/>
                <w:szCs w:val="20"/>
              </w:rPr>
              <w:t>Epworth Foundation</w:t>
            </w:r>
          </w:p>
        </w:tc>
        <w:tc>
          <w:tcPr>
            <w:tcW w:w="3544" w:type="dxa"/>
          </w:tcPr>
          <w:p w14:paraId="4525BA61"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536BF467"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56" w:history="1">
              <w:r w:rsidR="002B5462" w:rsidRPr="00012EE6">
                <w:rPr>
                  <w:rStyle w:val="Hyperlink"/>
                  <w:rFonts w:asciiTheme="minorHAnsi" w:hAnsiTheme="minorHAnsi" w:cstheme="minorHAnsi"/>
                  <w:sz w:val="20"/>
                  <w:szCs w:val="20"/>
                </w:rPr>
                <w:t>http://www.epworth.org.au/Pages/Home.aspx</w:t>
              </w:r>
            </w:hyperlink>
          </w:p>
        </w:tc>
      </w:tr>
      <w:tr w:rsidR="002B5462" w:rsidRPr="00322FB3" w14:paraId="7C482E5C"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66FA048F" w14:textId="4A05403D" w:rsidR="002B5462" w:rsidRPr="00012EE6" w:rsidRDefault="004A02FA" w:rsidP="00012EE6">
            <w:pPr>
              <w:spacing w:after="120"/>
              <w:rPr>
                <w:rFonts w:cstheme="minorHAnsi"/>
                <w:b w:val="0"/>
                <w:sz w:val="20"/>
                <w:szCs w:val="20"/>
              </w:rPr>
            </w:pPr>
            <w:r w:rsidRPr="00012EE6">
              <w:rPr>
                <w:rFonts w:cstheme="minorHAnsi"/>
                <w:b w:val="0"/>
                <w:sz w:val="20"/>
                <w:szCs w:val="20"/>
              </w:rPr>
              <w:t>Pulse Health</w:t>
            </w:r>
          </w:p>
        </w:tc>
        <w:tc>
          <w:tcPr>
            <w:tcW w:w="3544" w:type="dxa"/>
          </w:tcPr>
          <w:p w14:paraId="208DD32B"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7BEADDB4" w14:textId="7C02476C"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57" w:history="1">
              <w:r w:rsidR="002B5462" w:rsidRPr="00012EE6">
                <w:rPr>
                  <w:rStyle w:val="Hyperlink"/>
                  <w:rFonts w:asciiTheme="minorHAnsi" w:hAnsiTheme="minorHAnsi" w:cstheme="minorHAnsi"/>
                  <w:sz w:val="20"/>
                  <w:szCs w:val="20"/>
                </w:rPr>
                <w:t>http://www.pulsehealth.net.au/</w:t>
              </w:r>
            </w:hyperlink>
            <w:r w:rsidR="002B5462" w:rsidRPr="00012EE6">
              <w:rPr>
                <w:rStyle w:val="Hyperlink"/>
                <w:rFonts w:asciiTheme="minorHAnsi" w:hAnsiTheme="minorHAnsi" w:cstheme="minorHAnsi"/>
                <w:sz w:val="20"/>
                <w:szCs w:val="20"/>
              </w:rPr>
              <w:t xml:space="preserve"> </w:t>
            </w:r>
            <w:r w:rsidR="004A02FA" w:rsidRPr="00012EE6">
              <w:rPr>
                <w:rStyle w:val="Hyperlink"/>
                <w:rFonts w:asciiTheme="minorHAnsi" w:hAnsiTheme="minorHAnsi" w:cstheme="minorHAnsi"/>
                <w:sz w:val="20"/>
                <w:szCs w:val="20"/>
              </w:rPr>
              <w:t>(</w:t>
            </w:r>
            <w:r w:rsidR="002B5462" w:rsidRPr="00012EE6">
              <w:rPr>
                <w:rFonts w:cstheme="minorHAnsi"/>
                <w:sz w:val="20"/>
                <w:szCs w:val="20"/>
              </w:rPr>
              <w:t xml:space="preserve">Now owned by </w:t>
            </w:r>
            <w:proofErr w:type="spellStart"/>
            <w:r w:rsidR="002B5462" w:rsidRPr="00012EE6">
              <w:rPr>
                <w:rFonts w:cstheme="minorHAnsi"/>
                <w:sz w:val="20"/>
                <w:szCs w:val="20"/>
              </w:rPr>
              <w:t>Healthe</w:t>
            </w:r>
            <w:proofErr w:type="spellEnd"/>
            <w:r w:rsidR="002B5462" w:rsidRPr="00012EE6">
              <w:rPr>
                <w:rFonts w:cstheme="minorHAnsi"/>
                <w:sz w:val="20"/>
                <w:szCs w:val="20"/>
              </w:rPr>
              <w:t xml:space="preserve"> Care</w:t>
            </w:r>
            <w:r w:rsidR="004A02FA" w:rsidRPr="00012EE6">
              <w:rPr>
                <w:rFonts w:cstheme="minorHAnsi"/>
                <w:sz w:val="20"/>
                <w:szCs w:val="20"/>
              </w:rPr>
              <w:t>)</w:t>
            </w:r>
          </w:p>
        </w:tc>
      </w:tr>
      <w:tr w:rsidR="002B5462" w:rsidRPr="00322FB3" w14:paraId="7D104920"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782775E1" w14:textId="757EE7C3" w:rsidR="002B5462" w:rsidRPr="00012EE6" w:rsidRDefault="004A02FA" w:rsidP="00012EE6">
            <w:pPr>
              <w:spacing w:after="120"/>
              <w:rPr>
                <w:rFonts w:cstheme="minorHAnsi"/>
                <w:b w:val="0"/>
                <w:sz w:val="20"/>
                <w:szCs w:val="20"/>
              </w:rPr>
            </w:pPr>
            <w:r w:rsidRPr="00012EE6">
              <w:rPr>
                <w:rFonts w:cstheme="minorHAnsi"/>
                <w:b w:val="0"/>
                <w:sz w:val="20"/>
                <w:szCs w:val="20"/>
              </w:rPr>
              <w:t>St Vincent's Health Australia</w:t>
            </w:r>
          </w:p>
        </w:tc>
        <w:tc>
          <w:tcPr>
            <w:tcW w:w="3544" w:type="dxa"/>
          </w:tcPr>
          <w:p w14:paraId="1CE23FB0"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2EB1FBA9"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58" w:history="1">
              <w:r w:rsidR="002B5462" w:rsidRPr="00012EE6">
                <w:rPr>
                  <w:rStyle w:val="Hyperlink"/>
                  <w:rFonts w:asciiTheme="minorHAnsi" w:hAnsiTheme="minorHAnsi" w:cstheme="minorHAnsi"/>
                  <w:sz w:val="20"/>
                  <w:szCs w:val="20"/>
                </w:rPr>
                <w:t>https://svha.org.au/home</w:t>
              </w:r>
            </w:hyperlink>
          </w:p>
        </w:tc>
      </w:tr>
      <w:tr w:rsidR="002B5462" w:rsidRPr="00322FB3" w14:paraId="695E8259"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74D23C72" w14:textId="06BEFA8B" w:rsidR="002B5462" w:rsidRPr="00012EE6" w:rsidRDefault="004A02FA" w:rsidP="00012EE6">
            <w:pPr>
              <w:spacing w:after="120"/>
              <w:rPr>
                <w:rFonts w:cstheme="minorHAnsi"/>
                <w:b w:val="0"/>
                <w:sz w:val="20"/>
                <w:szCs w:val="20"/>
              </w:rPr>
            </w:pPr>
            <w:r w:rsidRPr="00012EE6">
              <w:rPr>
                <w:rFonts w:cstheme="minorHAnsi"/>
                <w:b w:val="0"/>
                <w:sz w:val="20"/>
                <w:szCs w:val="20"/>
              </w:rPr>
              <w:t>Icon Cancer Care</w:t>
            </w:r>
          </w:p>
        </w:tc>
        <w:tc>
          <w:tcPr>
            <w:tcW w:w="3544" w:type="dxa"/>
          </w:tcPr>
          <w:p w14:paraId="4065C9F0"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1C00E504"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59" w:history="1">
              <w:r w:rsidR="002B5462" w:rsidRPr="00012EE6">
                <w:rPr>
                  <w:rStyle w:val="Hyperlink"/>
                  <w:rFonts w:asciiTheme="minorHAnsi" w:hAnsiTheme="minorHAnsi" w:cstheme="minorHAnsi"/>
                  <w:sz w:val="20"/>
                  <w:szCs w:val="20"/>
                </w:rPr>
                <w:t>http://www.iconcancercare.com.au/</w:t>
              </w:r>
            </w:hyperlink>
            <w:r w:rsidR="002B5462" w:rsidRPr="00012EE6">
              <w:rPr>
                <w:rFonts w:cstheme="minorHAnsi"/>
                <w:sz w:val="20"/>
                <w:szCs w:val="20"/>
              </w:rPr>
              <w:t xml:space="preserve">     </w:t>
            </w:r>
          </w:p>
        </w:tc>
      </w:tr>
      <w:tr w:rsidR="002B5462" w:rsidRPr="00322FB3" w14:paraId="36F582C6"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69BB7D80" w14:textId="1A108588" w:rsidR="002B5462" w:rsidRPr="00012EE6" w:rsidRDefault="004A02FA" w:rsidP="00012EE6">
            <w:pPr>
              <w:spacing w:after="120"/>
              <w:rPr>
                <w:rFonts w:cstheme="minorHAnsi"/>
                <w:b w:val="0"/>
                <w:sz w:val="20"/>
                <w:szCs w:val="20"/>
              </w:rPr>
            </w:pPr>
            <w:r w:rsidRPr="00012EE6">
              <w:rPr>
                <w:rFonts w:cstheme="minorHAnsi"/>
                <w:b w:val="0"/>
                <w:sz w:val="20"/>
                <w:szCs w:val="20"/>
              </w:rPr>
              <w:t>Uniting Church In Australia Property Trust (Q)</w:t>
            </w:r>
          </w:p>
        </w:tc>
        <w:tc>
          <w:tcPr>
            <w:tcW w:w="3544" w:type="dxa"/>
          </w:tcPr>
          <w:p w14:paraId="58CA8A4A"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6D281D36"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60" w:history="1">
              <w:r w:rsidR="002B5462" w:rsidRPr="00012EE6">
                <w:rPr>
                  <w:rStyle w:val="Hyperlink"/>
                  <w:rFonts w:asciiTheme="minorHAnsi" w:hAnsiTheme="minorHAnsi" w:cstheme="minorHAnsi"/>
                  <w:sz w:val="20"/>
                  <w:szCs w:val="20"/>
                </w:rPr>
                <w:t>http://unitingcarehealth.com.au/</w:t>
              </w:r>
            </w:hyperlink>
            <w:r w:rsidR="002B5462" w:rsidRPr="00012EE6">
              <w:rPr>
                <w:rFonts w:cstheme="minorHAnsi"/>
                <w:sz w:val="20"/>
                <w:szCs w:val="20"/>
              </w:rPr>
              <w:t xml:space="preserve"> </w:t>
            </w:r>
          </w:p>
        </w:tc>
      </w:tr>
      <w:tr w:rsidR="002B5462" w:rsidRPr="00322FB3" w14:paraId="2A785D95"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03A6BDF9" w14:textId="0F31AFF8" w:rsidR="002B5462" w:rsidRPr="00012EE6" w:rsidRDefault="004A02FA" w:rsidP="00012EE6">
            <w:pPr>
              <w:spacing w:after="120"/>
              <w:rPr>
                <w:rFonts w:cstheme="minorHAnsi"/>
                <w:b w:val="0"/>
                <w:sz w:val="20"/>
                <w:szCs w:val="20"/>
              </w:rPr>
            </w:pPr>
            <w:r w:rsidRPr="00012EE6">
              <w:rPr>
                <w:rFonts w:cstheme="minorHAnsi"/>
                <w:b w:val="0"/>
                <w:sz w:val="20"/>
                <w:szCs w:val="20"/>
              </w:rPr>
              <w:t>Vision Eye Institute</w:t>
            </w:r>
          </w:p>
        </w:tc>
        <w:tc>
          <w:tcPr>
            <w:tcW w:w="3544" w:type="dxa"/>
          </w:tcPr>
          <w:p w14:paraId="2ED2BD58"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65B6A22C"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u w:val="single"/>
              </w:rPr>
              <w:t>https://visioneyeinstitute.com.au/</w:t>
            </w:r>
          </w:p>
        </w:tc>
      </w:tr>
      <w:tr w:rsidR="002B5462" w:rsidRPr="00322FB3" w14:paraId="01D37D6A"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66AAF0AC" w14:textId="0EDC12E1" w:rsidR="002B5462" w:rsidRPr="00012EE6" w:rsidRDefault="004A02FA" w:rsidP="00012EE6">
            <w:pPr>
              <w:spacing w:after="120"/>
              <w:rPr>
                <w:rFonts w:cstheme="minorHAnsi"/>
                <w:b w:val="0"/>
                <w:sz w:val="20"/>
                <w:szCs w:val="20"/>
              </w:rPr>
            </w:pPr>
            <w:r w:rsidRPr="00012EE6">
              <w:rPr>
                <w:rFonts w:cstheme="minorHAnsi"/>
                <w:b w:val="0"/>
                <w:sz w:val="20"/>
                <w:szCs w:val="20"/>
              </w:rPr>
              <w:t>Independent Private Hospitals Of Australia</w:t>
            </w:r>
          </w:p>
        </w:tc>
        <w:tc>
          <w:tcPr>
            <w:tcW w:w="3544" w:type="dxa"/>
          </w:tcPr>
          <w:p w14:paraId="46DFE4A1"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1652CEC8"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61" w:history="1">
              <w:r w:rsidR="002B5462" w:rsidRPr="00012EE6">
                <w:rPr>
                  <w:rStyle w:val="Hyperlink"/>
                  <w:rFonts w:asciiTheme="minorHAnsi" w:hAnsiTheme="minorHAnsi" w:cstheme="minorHAnsi"/>
                  <w:sz w:val="20"/>
                  <w:szCs w:val="20"/>
                </w:rPr>
                <w:t>http://www.iphoa.com.au/</w:t>
              </w:r>
            </w:hyperlink>
          </w:p>
        </w:tc>
      </w:tr>
      <w:tr w:rsidR="002B5462" w:rsidRPr="00322FB3" w14:paraId="1E7AB282"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297F0C2C" w14:textId="734C6378" w:rsidR="002B5462" w:rsidRPr="00012EE6" w:rsidRDefault="004A02FA" w:rsidP="00012EE6">
            <w:pPr>
              <w:spacing w:after="120"/>
              <w:rPr>
                <w:rFonts w:cstheme="minorHAnsi"/>
                <w:b w:val="0"/>
                <w:sz w:val="20"/>
                <w:szCs w:val="20"/>
              </w:rPr>
            </w:pPr>
            <w:r w:rsidRPr="00012EE6">
              <w:rPr>
                <w:rFonts w:cstheme="minorHAnsi"/>
                <w:b w:val="0"/>
                <w:sz w:val="20"/>
                <w:szCs w:val="20"/>
              </w:rPr>
              <w:t>Mercy Health And Aged Care Central Queensland Limited</w:t>
            </w:r>
          </w:p>
        </w:tc>
        <w:tc>
          <w:tcPr>
            <w:tcW w:w="3544" w:type="dxa"/>
          </w:tcPr>
          <w:p w14:paraId="0A02C477"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2737B07F"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62" w:history="1">
              <w:r w:rsidR="002B5462" w:rsidRPr="00012EE6">
                <w:rPr>
                  <w:rStyle w:val="Hyperlink"/>
                  <w:rFonts w:asciiTheme="minorHAnsi" w:hAnsiTheme="minorHAnsi" w:cstheme="minorHAnsi"/>
                  <w:sz w:val="20"/>
                  <w:szCs w:val="20"/>
                </w:rPr>
                <w:t>https://www.mercycq.com/mh/home</w:t>
              </w:r>
            </w:hyperlink>
            <w:r w:rsidR="002B5462" w:rsidRPr="00012EE6">
              <w:rPr>
                <w:rFonts w:cstheme="minorHAnsi"/>
                <w:sz w:val="20"/>
                <w:szCs w:val="20"/>
                <w:u w:val="single"/>
              </w:rPr>
              <w:t xml:space="preserve"> </w:t>
            </w:r>
          </w:p>
        </w:tc>
      </w:tr>
      <w:tr w:rsidR="002B5462" w:rsidRPr="00322FB3" w14:paraId="3973FAD2"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641EEBCF" w14:textId="58D34171" w:rsidR="002B5462" w:rsidRPr="00012EE6" w:rsidRDefault="004A02FA" w:rsidP="00012EE6">
            <w:pPr>
              <w:spacing w:after="120"/>
              <w:rPr>
                <w:rFonts w:cstheme="minorHAnsi"/>
                <w:b w:val="0"/>
                <w:sz w:val="20"/>
                <w:szCs w:val="20"/>
              </w:rPr>
            </w:pPr>
            <w:r w:rsidRPr="00012EE6">
              <w:rPr>
                <w:rFonts w:cstheme="minorHAnsi"/>
                <w:b w:val="0"/>
                <w:sz w:val="20"/>
                <w:szCs w:val="20"/>
              </w:rPr>
              <w:t>Montserrat Day Hospitals</w:t>
            </w:r>
          </w:p>
        </w:tc>
        <w:tc>
          <w:tcPr>
            <w:tcW w:w="3544" w:type="dxa"/>
          </w:tcPr>
          <w:p w14:paraId="11494216"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42791052"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u w:val="single"/>
              </w:rPr>
              <w:t>https://www.montserrat.com.au/</w:t>
            </w:r>
          </w:p>
        </w:tc>
      </w:tr>
      <w:tr w:rsidR="002B5462" w:rsidRPr="00322FB3" w14:paraId="07F4BF91"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316A2CBF" w14:textId="13B9D6F2" w:rsidR="002B5462" w:rsidRPr="00012EE6" w:rsidRDefault="004A02FA" w:rsidP="00012EE6">
            <w:pPr>
              <w:spacing w:after="120"/>
              <w:rPr>
                <w:rFonts w:cstheme="minorHAnsi"/>
                <w:b w:val="0"/>
                <w:sz w:val="20"/>
                <w:szCs w:val="20"/>
              </w:rPr>
            </w:pPr>
            <w:proofErr w:type="spellStart"/>
            <w:r w:rsidRPr="00012EE6">
              <w:rPr>
                <w:rFonts w:cstheme="minorHAnsi"/>
                <w:b w:val="0"/>
                <w:sz w:val="20"/>
                <w:szCs w:val="20"/>
              </w:rPr>
              <w:t>Virtus</w:t>
            </w:r>
            <w:proofErr w:type="spellEnd"/>
            <w:r w:rsidRPr="00012EE6">
              <w:rPr>
                <w:rFonts w:cstheme="minorHAnsi"/>
                <w:b w:val="0"/>
                <w:sz w:val="20"/>
                <w:szCs w:val="20"/>
              </w:rPr>
              <w:t xml:space="preserve"> Health</w:t>
            </w:r>
          </w:p>
        </w:tc>
        <w:tc>
          <w:tcPr>
            <w:tcW w:w="3544" w:type="dxa"/>
          </w:tcPr>
          <w:p w14:paraId="514368C9"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2217D936"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u w:val="single"/>
              </w:rPr>
              <w:t>https://www.virtushealth.com.au/</w:t>
            </w:r>
          </w:p>
        </w:tc>
      </w:tr>
      <w:tr w:rsidR="002B5462" w:rsidRPr="00322FB3" w14:paraId="3A560145"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5365D413" w14:textId="37B6A4EA" w:rsidR="002B5462" w:rsidRPr="00012EE6" w:rsidRDefault="004A02FA" w:rsidP="00012EE6">
            <w:pPr>
              <w:spacing w:after="120"/>
              <w:rPr>
                <w:rFonts w:cstheme="minorHAnsi"/>
                <w:b w:val="0"/>
                <w:sz w:val="20"/>
                <w:szCs w:val="20"/>
              </w:rPr>
            </w:pPr>
            <w:r w:rsidRPr="00012EE6">
              <w:rPr>
                <w:rFonts w:cstheme="minorHAnsi"/>
                <w:b w:val="0"/>
                <w:sz w:val="20"/>
                <w:szCs w:val="20"/>
              </w:rPr>
              <w:t>Affinity Group Ltd</w:t>
            </w:r>
          </w:p>
        </w:tc>
        <w:tc>
          <w:tcPr>
            <w:tcW w:w="3544" w:type="dxa"/>
          </w:tcPr>
          <w:p w14:paraId="0485B1CD"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1802B13C" w14:textId="7E7AF783"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 xml:space="preserve">Could not be found </w:t>
            </w:r>
          </w:p>
        </w:tc>
      </w:tr>
      <w:tr w:rsidR="002B5462" w:rsidRPr="00322FB3" w14:paraId="5EB8B69B"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107B8FEF" w14:textId="079B95BA" w:rsidR="002B5462" w:rsidRPr="00012EE6" w:rsidRDefault="004A02FA" w:rsidP="00012EE6">
            <w:pPr>
              <w:spacing w:after="120"/>
              <w:rPr>
                <w:rFonts w:cstheme="minorHAnsi"/>
                <w:b w:val="0"/>
                <w:sz w:val="20"/>
                <w:szCs w:val="20"/>
              </w:rPr>
            </w:pPr>
            <w:r w:rsidRPr="00012EE6">
              <w:rPr>
                <w:rFonts w:cstheme="minorHAnsi"/>
                <w:b w:val="0"/>
                <w:sz w:val="20"/>
                <w:szCs w:val="20"/>
              </w:rPr>
              <w:lastRenderedPageBreak/>
              <w:t>Cabrini Health Limited</w:t>
            </w:r>
          </w:p>
        </w:tc>
        <w:tc>
          <w:tcPr>
            <w:tcW w:w="3544" w:type="dxa"/>
          </w:tcPr>
          <w:p w14:paraId="6F4D6B75"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08206B15"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u w:val="single"/>
              </w:rPr>
              <w:t>https://www.cabrini.com.au/</w:t>
            </w:r>
          </w:p>
        </w:tc>
      </w:tr>
      <w:tr w:rsidR="002B5462" w:rsidRPr="00322FB3" w14:paraId="5B87863B"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6F423810" w14:textId="7F6B062B" w:rsidR="002B5462" w:rsidRPr="00012EE6" w:rsidRDefault="004A02FA" w:rsidP="00012EE6">
            <w:pPr>
              <w:spacing w:after="120"/>
              <w:rPr>
                <w:rFonts w:cstheme="minorHAnsi"/>
                <w:b w:val="0"/>
                <w:sz w:val="20"/>
                <w:szCs w:val="20"/>
              </w:rPr>
            </w:pPr>
            <w:proofErr w:type="spellStart"/>
            <w:r w:rsidRPr="00012EE6">
              <w:rPr>
                <w:rFonts w:cstheme="minorHAnsi"/>
                <w:b w:val="0"/>
                <w:sz w:val="20"/>
                <w:szCs w:val="20"/>
              </w:rPr>
              <w:t>Diaverum</w:t>
            </w:r>
            <w:proofErr w:type="spellEnd"/>
            <w:r w:rsidRPr="00012EE6">
              <w:rPr>
                <w:rFonts w:cstheme="minorHAnsi"/>
                <w:b w:val="0"/>
                <w:sz w:val="20"/>
                <w:szCs w:val="20"/>
              </w:rPr>
              <w:t xml:space="preserve"> Pty Ltd</w:t>
            </w:r>
          </w:p>
        </w:tc>
        <w:tc>
          <w:tcPr>
            <w:tcW w:w="3544" w:type="dxa"/>
          </w:tcPr>
          <w:p w14:paraId="5A6DC342"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3FE8A826"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u w:val="single"/>
              </w:rPr>
              <w:t>https://www.diaverum.com/en-AU/Home/</w:t>
            </w:r>
          </w:p>
        </w:tc>
      </w:tr>
      <w:tr w:rsidR="002B5462" w:rsidRPr="00322FB3" w14:paraId="031A641A"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793569C2" w14:textId="592B196B" w:rsidR="002B5462" w:rsidRPr="00012EE6" w:rsidRDefault="004A02FA" w:rsidP="00012EE6">
            <w:pPr>
              <w:spacing w:after="120"/>
              <w:rPr>
                <w:rFonts w:cstheme="minorHAnsi"/>
                <w:b w:val="0"/>
                <w:sz w:val="20"/>
                <w:szCs w:val="20"/>
              </w:rPr>
            </w:pPr>
            <w:r w:rsidRPr="00012EE6">
              <w:rPr>
                <w:rFonts w:cstheme="minorHAnsi"/>
                <w:b w:val="0"/>
                <w:sz w:val="20"/>
                <w:szCs w:val="20"/>
              </w:rPr>
              <w:t>Evolution Healthcare</w:t>
            </w:r>
          </w:p>
        </w:tc>
        <w:tc>
          <w:tcPr>
            <w:tcW w:w="3544" w:type="dxa"/>
          </w:tcPr>
          <w:p w14:paraId="11274000"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29CEF1AE" w14:textId="3131E1B0"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63" w:history="1">
              <w:r w:rsidR="002B5462" w:rsidRPr="00012EE6">
                <w:rPr>
                  <w:rStyle w:val="Hyperlink"/>
                  <w:rFonts w:asciiTheme="minorHAnsi" w:hAnsiTheme="minorHAnsi" w:cstheme="minorHAnsi"/>
                  <w:sz w:val="20"/>
                  <w:szCs w:val="20"/>
                </w:rPr>
                <w:t>http://www.evolutionhealthcare.com.au/</w:t>
              </w:r>
            </w:hyperlink>
            <w:r w:rsidR="002B5462" w:rsidRPr="00012EE6">
              <w:rPr>
                <w:rFonts w:cstheme="minorHAnsi"/>
                <w:sz w:val="20"/>
                <w:szCs w:val="20"/>
              </w:rPr>
              <w:t xml:space="preserve">  </w:t>
            </w:r>
            <w:r w:rsidR="004A02FA" w:rsidRPr="00012EE6">
              <w:rPr>
                <w:rFonts w:cstheme="minorHAnsi"/>
                <w:sz w:val="20"/>
                <w:szCs w:val="20"/>
              </w:rPr>
              <w:t>(</w:t>
            </w:r>
            <w:r w:rsidR="002B5462" w:rsidRPr="00012EE6">
              <w:rPr>
                <w:rFonts w:cstheme="minorHAnsi"/>
                <w:sz w:val="20"/>
                <w:szCs w:val="20"/>
              </w:rPr>
              <w:t xml:space="preserve">Now owned by </w:t>
            </w:r>
            <w:proofErr w:type="spellStart"/>
            <w:r w:rsidR="002B5462" w:rsidRPr="00012EE6">
              <w:rPr>
                <w:rFonts w:cstheme="minorHAnsi"/>
                <w:sz w:val="20"/>
                <w:szCs w:val="20"/>
              </w:rPr>
              <w:t>Healthe</w:t>
            </w:r>
            <w:proofErr w:type="spellEnd"/>
            <w:r w:rsidR="002B5462" w:rsidRPr="00012EE6">
              <w:rPr>
                <w:rFonts w:cstheme="minorHAnsi"/>
                <w:sz w:val="20"/>
                <w:szCs w:val="20"/>
              </w:rPr>
              <w:t xml:space="preserve"> Care</w:t>
            </w:r>
            <w:r w:rsidR="004A02FA" w:rsidRPr="00012EE6">
              <w:rPr>
                <w:rFonts w:cstheme="minorHAnsi"/>
                <w:sz w:val="20"/>
                <w:szCs w:val="20"/>
              </w:rPr>
              <w:t>)</w:t>
            </w:r>
          </w:p>
        </w:tc>
      </w:tr>
      <w:tr w:rsidR="002B5462" w:rsidRPr="00322FB3" w14:paraId="3D8927A5"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267EDC4A" w14:textId="3DD08100" w:rsidR="002B5462" w:rsidRPr="00012EE6" w:rsidRDefault="004A02FA" w:rsidP="00012EE6">
            <w:pPr>
              <w:spacing w:after="120"/>
              <w:rPr>
                <w:rFonts w:cstheme="minorHAnsi"/>
                <w:b w:val="0"/>
                <w:sz w:val="20"/>
                <w:szCs w:val="20"/>
              </w:rPr>
            </w:pPr>
            <w:r w:rsidRPr="00012EE6">
              <w:rPr>
                <w:rFonts w:cstheme="minorHAnsi"/>
                <w:b w:val="0"/>
                <w:sz w:val="20"/>
                <w:szCs w:val="20"/>
              </w:rPr>
              <w:t xml:space="preserve">Mater </w:t>
            </w:r>
            <w:proofErr w:type="spellStart"/>
            <w:r w:rsidRPr="00012EE6">
              <w:rPr>
                <w:rFonts w:cstheme="minorHAnsi"/>
                <w:b w:val="0"/>
                <w:sz w:val="20"/>
                <w:szCs w:val="20"/>
              </w:rPr>
              <w:t>Misericordiae</w:t>
            </w:r>
            <w:proofErr w:type="spellEnd"/>
            <w:r w:rsidRPr="00012EE6">
              <w:rPr>
                <w:rFonts w:cstheme="minorHAnsi"/>
                <w:b w:val="0"/>
                <w:sz w:val="20"/>
                <w:szCs w:val="20"/>
              </w:rPr>
              <w:t xml:space="preserve"> Ltd</w:t>
            </w:r>
          </w:p>
        </w:tc>
        <w:tc>
          <w:tcPr>
            <w:tcW w:w="3544" w:type="dxa"/>
          </w:tcPr>
          <w:p w14:paraId="6BD5C81E"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036B1173"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u w:val="single"/>
              </w:rPr>
              <w:t>http://www.mater.org.au/</w:t>
            </w:r>
          </w:p>
        </w:tc>
      </w:tr>
      <w:tr w:rsidR="002B5462" w:rsidRPr="00322FB3" w14:paraId="37C266DA"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51C2A7A0" w14:textId="0BE0E039" w:rsidR="002B5462" w:rsidRPr="00012EE6" w:rsidRDefault="004A02FA" w:rsidP="00012EE6">
            <w:pPr>
              <w:spacing w:after="120"/>
              <w:rPr>
                <w:rFonts w:cstheme="minorHAnsi"/>
                <w:b w:val="0"/>
                <w:sz w:val="20"/>
                <w:szCs w:val="20"/>
              </w:rPr>
            </w:pPr>
            <w:r w:rsidRPr="00012EE6">
              <w:rPr>
                <w:rFonts w:cstheme="minorHAnsi"/>
                <w:b w:val="0"/>
                <w:sz w:val="20"/>
                <w:szCs w:val="20"/>
              </w:rPr>
              <w:t>Melbourne Endoscopy Group</w:t>
            </w:r>
          </w:p>
        </w:tc>
        <w:tc>
          <w:tcPr>
            <w:tcW w:w="3544" w:type="dxa"/>
          </w:tcPr>
          <w:p w14:paraId="33A5984A"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service</w:t>
            </w:r>
          </w:p>
        </w:tc>
        <w:tc>
          <w:tcPr>
            <w:tcW w:w="5007" w:type="dxa"/>
          </w:tcPr>
          <w:p w14:paraId="72D02FB0"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64" w:history="1">
              <w:r w:rsidR="002B5462" w:rsidRPr="00012EE6">
                <w:rPr>
                  <w:rStyle w:val="Hyperlink"/>
                  <w:rFonts w:asciiTheme="minorHAnsi" w:hAnsiTheme="minorHAnsi" w:cstheme="minorHAnsi"/>
                  <w:sz w:val="20"/>
                  <w:szCs w:val="20"/>
                </w:rPr>
                <w:t>http://melbendoscopy.com.au/</w:t>
              </w:r>
            </w:hyperlink>
          </w:p>
        </w:tc>
      </w:tr>
      <w:tr w:rsidR="002B5462" w:rsidRPr="00322FB3" w14:paraId="7D2A22C6"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37F09309" w14:textId="4E765167" w:rsidR="002B5462" w:rsidRPr="00012EE6" w:rsidRDefault="004A02FA" w:rsidP="00012EE6">
            <w:pPr>
              <w:spacing w:after="120"/>
              <w:rPr>
                <w:rFonts w:cstheme="minorHAnsi"/>
                <w:b w:val="0"/>
                <w:sz w:val="20"/>
                <w:szCs w:val="20"/>
              </w:rPr>
            </w:pPr>
            <w:proofErr w:type="spellStart"/>
            <w:r w:rsidRPr="00012EE6">
              <w:rPr>
                <w:rFonts w:cstheme="minorHAnsi"/>
                <w:b w:val="0"/>
                <w:sz w:val="20"/>
                <w:szCs w:val="20"/>
              </w:rPr>
              <w:t>bupa</w:t>
            </w:r>
            <w:proofErr w:type="spellEnd"/>
          </w:p>
        </w:tc>
        <w:tc>
          <w:tcPr>
            <w:tcW w:w="3544" w:type="dxa"/>
          </w:tcPr>
          <w:p w14:paraId="234591F2"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insurer</w:t>
            </w:r>
          </w:p>
        </w:tc>
        <w:tc>
          <w:tcPr>
            <w:tcW w:w="5007" w:type="dxa"/>
          </w:tcPr>
          <w:p w14:paraId="3EFCA3F1"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hyperlink r:id="rId65" w:history="1">
              <w:r w:rsidR="002B5462" w:rsidRPr="00012EE6">
                <w:rPr>
                  <w:rStyle w:val="Hyperlink"/>
                  <w:rFonts w:asciiTheme="minorHAnsi" w:hAnsiTheme="minorHAnsi" w:cstheme="minorHAnsi"/>
                  <w:sz w:val="20"/>
                  <w:szCs w:val="20"/>
                </w:rPr>
                <w:t>https://www.bupa.com.au/</w:t>
              </w:r>
            </w:hyperlink>
          </w:p>
        </w:tc>
      </w:tr>
      <w:tr w:rsidR="002B5462" w:rsidRPr="00322FB3" w14:paraId="11D26E0A"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5484F80B" w14:textId="77777777" w:rsidR="002B5462" w:rsidRPr="00012EE6" w:rsidRDefault="002B5462" w:rsidP="00012EE6">
            <w:pPr>
              <w:spacing w:after="120"/>
              <w:jc w:val="both"/>
              <w:rPr>
                <w:rFonts w:cstheme="minorHAnsi"/>
                <w:b w:val="0"/>
                <w:sz w:val="20"/>
                <w:szCs w:val="20"/>
              </w:rPr>
            </w:pPr>
            <w:r w:rsidRPr="00012EE6">
              <w:rPr>
                <w:rFonts w:cstheme="minorHAnsi"/>
                <w:b w:val="0"/>
                <w:sz w:val="20"/>
                <w:szCs w:val="20"/>
              </w:rPr>
              <w:t>HBF Health Fund</w:t>
            </w:r>
          </w:p>
        </w:tc>
        <w:tc>
          <w:tcPr>
            <w:tcW w:w="3544" w:type="dxa"/>
          </w:tcPr>
          <w:p w14:paraId="0C2CB06A" w14:textId="77777777" w:rsidR="002B5462" w:rsidRPr="00012EE6" w:rsidRDefault="002B5462" w:rsidP="00012EE6">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insurer</w:t>
            </w:r>
          </w:p>
        </w:tc>
        <w:tc>
          <w:tcPr>
            <w:tcW w:w="5007" w:type="dxa"/>
          </w:tcPr>
          <w:p w14:paraId="297893FF" w14:textId="77777777" w:rsidR="002B5462" w:rsidRPr="00012EE6" w:rsidRDefault="00B329FD" w:rsidP="00012EE6">
            <w:pPr>
              <w:spacing w:after="120"/>
              <w:jc w:val="both"/>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hyperlink r:id="rId66" w:history="1">
              <w:r w:rsidR="002B5462" w:rsidRPr="00012EE6">
                <w:rPr>
                  <w:rStyle w:val="Hyperlink"/>
                  <w:rFonts w:asciiTheme="minorHAnsi" w:hAnsiTheme="minorHAnsi" w:cstheme="minorHAnsi"/>
                  <w:sz w:val="20"/>
                  <w:szCs w:val="20"/>
                </w:rPr>
                <w:t>https://www.hbf.com.au/</w:t>
              </w:r>
            </w:hyperlink>
            <w:r w:rsidR="002B5462" w:rsidRPr="00012EE6">
              <w:rPr>
                <w:rFonts w:cstheme="minorHAnsi"/>
                <w:sz w:val="20"/>
                <w:szCs w:val="20"/>
                <w:u w:val="single"/>
              </w:rPr>
              <w:t xml:space="preserve"> </w:t>
            </w:r>
          </w:p>
        </w:tc>
      </w:tr>
      <w:tr w:rsidR="002B5462" w:rsidRPr="00322FB3" w14:paraId="344FEEF5"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50D42549" w14:textId="77777777" w:rsidR="002B5462" w:rsidRPr="00012EE6" w:rsidRDefault="002B5462" w:rsidP="00012EE6">
            <w:pPr>
              <w:spacing w:after="120"/>
              <w:rPr>
                <w:rFonts w:cstheme="minorHAnsi"/>
                <w:b w:val="0"/>
                <w:sz w:val="20"/>
                <w:szCs w:val="20"/>
              </w:rPr>
            </w:pPr>
            <w:r w:rsidRPr="00012EE6">
              <w:rPr>
                <w:rFonts w:cstheme="minorHAnsi"/>
                <w:b w:val="0"/>
                <w:sz w:val="20"/>
                <w:szCs w:val="20"/>
              </w:rPr>
              <w:t>HCF Health Insurance</w:t>
            </w:r>
          </w:p>
        </w:tc>
        <w:tc>
          <w:tcPr>
            <w:tcW w:w="3544" w:type="dxa"/>
          </w:tcPr>
          <w:p w14:paraId="75A74F70"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insurer</w:t>
            </w:r>
          </w:p>
        </w:tc>
        <w:tc>
          <w:tcPr>
            <w:tcW w:w="5007" w:type="dxa"/>
          </w:tcPr>
          <w:p w14:paraId="2E9F6770"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hyperlink r:id="rId67" w:history="1">
              <w:r w:rsidR="002B5462" w:rsidRPr="00012EE6">
                <w:rPr>
                  <w:rStyle w:val="Hyperlink"/>
                  <w:rFonts w:asciiTheme="minorHAnsi" w:hAnsiTheme="minorHAnsi" w:cstheme="minorHAnsi"/>
                  <w:sz w:val="20"/>
                  <w:szCs w:val="20"/>
                </w:rPr>
                <w:t>https://www.hcf.com.au/</w:t>
              </w:r>
            </w:hyperlink>
          </w:p>
        </w:tc>
      </w:tr>
      <w:tr w:rsidR="002B5462" w:rsidRPr="00322FB3" w14:paraId="172C4C50"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798EFA7A" w14:textId="77777777" w:rsidR="002B5462" w:rsidRPr="00012EE6" w:rsidRDefault="002B5462" w:rsidP="00012EE6">
            <w:pPr>
              <w:spacing w:after="120"/>
              <w:rPr>
                <w:rFonts w:cstheme="minorHAnsi"/>
                <w:b w:val="0"/>
                <w:sz w:val="20"/>
                <w:szCs w:val="20"/>
              </w:rPr>
            </w:pPr>
            <w:r w:rsidRPr="00012EE6">
              <w:rPr>
                <w:rFonts w:cstheme="minorHAnsi"/>
                <w:b w:val="0"/>
                <w:sz w:val="20"/>
                <w:szCs w:val="20"/>
              </w:rPr>
              <w:t>Medibank</w:t>
            </w:r>
          </w:p>
        </w:tc>
        <w:tc>
          <w:tcPr>
            <w:tcW w:w="3544" w:type="dxa"/>
          </w:tcPr>
          <w:p w14:paraId="7D2C137A"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Private health insurer</w:t>
            </w:r>
          </w:p>
        </w:tc>
        <w:tc>
          <w:tcPr>
            <w:tcW w:w="5007" w:type="dxa"/>
          </w:tcPr>
          <w:p w14:paraId="1EF42496"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hyperlink r:id="rId68" w:history="1">
              <w:r w:rsidR="002B5462" w:rsidRPr="00012EE6">
                <w:rPr>
                  <w:rStyle w:val="Hyperlink"/>
                  <w:rFonts w:asciiTheme="minorHAnsi" w:hAnsiTheme="minorHAnsi" w:cstheme="minorHAnsi"/>
                  <w:sz w:val="20"/>
                  <w:szCs w:val="20"/>
                </w:rPr>
                <w:t>https://www.medibank.com.au/</w:t>
              </w:r>
            </w:hyperlink>
          </w:p>
        </w:tc>
      </w:tr>
      <w:tr w:rsidR="002B5462" w:rsidRPr="00322FB3" w14:paraId="67B50B16"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197846EC" w14:textId="77777777" w:rsidR="002B5462" w:rsidRPr="00012EE6" w:rsidRDefault="002B5462" w:rsidP="00012EE6">
            <w:pPr>
              <w:spacing w:after="120"/>
              <w:rPr>
                <w:rFonts w:cstheme="minorHAnsi"/>
                <w:b w:val="0"/>
                <w:sz w:val="20"/>
                <w:szCs w:val="20"/>
              </w:rPr>
            </w:pPr>
            <w:r w:rsidRPr="00012EE6">
              <w:rPr>
                <w:rFonts w:cstheme="minorHAnsi"/>
                <w:b w:val="0"/>
                <w:sz w:val="20"/>
                <w:szCs w:val="20"/>
              </w:rPr>
              <w:t>NIB</w:t>
            </w:r>
          </w:p>
        </w:tc>
        <w:tc>
          <w:tcPr>
            <w:tcW w:w="3544" w:type="dxa"/>
          </w:tcPr>
          <w:p w14:paraId="36458581"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Private health insurer</w:t>
            </w:r>
          </w:p>
        </w:tc>
        <w:tc>
          <w:tcPr>
            <w:tcW w:w="5007" w:type="dxa"/>
          </w:tcPr>
          <w:p w14:paraId="241F816D"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color w:val="0000FF" w:themeColor="hyperlink"/>
                <w:sz w:val="20"/>
                <w:szCs w:val="20"/>
                <w:u w:val="single"/>
              </w:rPr>
            </w:pPr>
            <w:hyperlink r:id="rId69" w:history="1">
              <w:r w:rsidR="002B5462" w:rsidRPr="00012EE6">
                <w:rPr>
                  <w:rStyle w:val="Hyperlink"/>
                  <w:rFonts w:asciiTheme="minorHAnsi" w:hAnsiTheme="minorHAnsi" w:cstheme="minorHAnsi"/>
                  <w:sz w:val="20"/>
                  <w:szCs w:val="20"/>
                </w:rPr>
                <w:t>https://www.nib.com.au/</w:t>
              </w:r>
            </w:hyperlink>
          </w:p>
        </w:tc>
      </w:tr>
      <w:tr w:rsidR="002B5462" w:rsidRPr="00322FB3" w14:paraId="23C68EC8"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0" w:type="dxa"/>
            <w:gridSpan w:val="3"/>
            <w:shd w:val="clear" w:color="auto" w:fill="00A9DD" w:themeFill="accent2"/>
          </w:tcPr>
          <w:p w14:paraId="277738B0" w14:textId="2C1DBD27" w:rsidR="002B5462" w:rsidRPr="00012EE6" w:rsidRDefault="002B5462" w:rsidP="00012EE6">
            <w:pPr>
              <w:spacing w:after="120"/>
              <w:rPr>
                <w:rFonts w:cstheme="minorHAnsi"/>
                <w:color w:val="FFFFFF" w:themeColor="background1"/>
                <w:u w:val="single"/>
              </w:rPr>
            </w:pPr>
            <w:r w:rsidRPr="0044530F">
              <w:rPr>
                <w:rFonts w:cstheme="minorHAnsi"/>
                <w:color w:val="FFFFFF" w:themeColor="background1"/>
              </w:rPr>
              <w:t>Public Organisations in Australi</w:t>
            </w:r>
            <w:r w:rsidR="00322FB3">
              <w:rPr>
                <w:rFonts w:cstheme="minorHAnsi"/>
                <w:color w:val="FFFFFF" w:themeColor="background1"/>
              </w:rPr>
              <w:t>a</w:t>
            </w:r>
          </w:p>
        </w:tc>
      </w:tr>
      <w:tr w:rsidR="00BA4A6A" w:rsidRPr="00322FB3" w14:paraId="7556BC66" w14:textId="77777777" w:rsidTr="006C7213">
        <w:tc>
          <w:tcPr>
            <w:cnfStyle w:val="001000000000" w:firstRow="0" w:lastRow="0" w:firstColumn="1" w:lastColumn="0" w:oddVBand="0" w:evenVBand="0" w:oddHBand="0" w:evenHBand="0" w:firstRowFirstColumn="0" w:firstRowLastColumn="0" w:lastRowFirstColumn="0" w:lastRowLastColumn="0"/>
            <w:tcW w:w="5449" w:type="dxa"/>
            <w:shd w:val="clear" w:color="auto" w:fill="C2E9F8" w:themeFill="text2" w:themeFillTint="33"/>
          </w:tcPr>
          <w:p w14:paraId="13605624" w14:textId="77777777" w:rsidR="002B5462" w:rsidRPr="00012EE6" w:rsidRDefault="002B5462" w:rsidP="00012EE6">
            <w:pPr>
              <w:spacing w:after="120"/>
              <w:rPr>
                <w:rFonts w:cstheme="minorHAnsi"/>
              </w:rPr>
            </w:pPr>
            <w:r w:rsidRPr="0044530F">
              <w:rPr>
                <w:rFonts w:cstheme="minorHAnsi"/>
              </w:rPr>
              <w:t>Organisation name</w:t>
            </w:r>
          </w:p>
        </w:tc>
        <w:tc>
          <w:tcPr>
            <w:tcW w:w="3544" w:type="dxa"/>
            <w:shd w:val="clear" w:color="auto" w:fill="C2E9F8" w:themeFill="text2" w:themeFillTint="33"/>
          </w:tcPr>
          <w:p w14:paraId="71D5617E" w14:textId="77777777" w:rsidR="002B5462" w:rsidRPr="00322FB3"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b/>
              </w:rPr>
            </w:pPr>
            <w:r w:rsidRPr="00322FB3">
              <w:rPr>
                <w:rFonts w:cstheme="minorHAnsi"/>
                <w:b/>
              </w:rPr>
              <w:t>Organisation type</w:t>
            </w:r>
          </w:p>
        </w:tc>
        <w:tc>
          <w:tcPr>
            <w:tcW w:w="5007" w:type="dxa"/>
            <w:shd w:val="clear" w:color="auto" w:fill="C2E9F8" w:themeFill="text2" w:themeFillTint="33"/>
          </w:tcPr>
          <w:p w14:paraId="220A0461" w14:textId="0BEE47C1" w:rsidR="002B5462" w:rsidRPr="00322FB3"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b/>
              </w:rPr>
            </w:pPr>
            <w:r w:rsidRPr="00322FB3">
              <w:rPr>
                <w:rFonts w:cstheme="minorHAnsi"/>
                <w:b/>
              </w:rPr>
              <w:t>Home</w:t>
            </w:r>
            <w:r w:rsidR="00322FB3">
              <w:rPr>
                <w:rFonts w:cstheme="minorHAnsi"/>
                <w:b/>
              </w:rPr>
              <w:t>page</w:t>
            </w:r>
            <w:r w:rsidRPr="00322FB3">
              <w:rPr>
                <w:rFonts w:cstheme="minorHAnsi"/>
                <w:b/>
              </w:rPr>
              <w:t xml:space="preserve"> URL</w:t>
            </w:r>
          </w:p>
        </w:tc>
      </w:tr>
      <w:tr w:rsidR="002B5462" w:rsidRPr="00322FB3" w14:paraId="4E244672"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1B8699FB" w14:textId="481DF290" w:rsidR="002B5462" w:rsidRPr="00012EE6" w:rsidRDefault="004A02FA" w:rsidP="00012EE6">
            <w:pPr>
              <w:spacing w:after="120"/>
              <w:rPr>
                <w:rFonts w:cstheme="minorHAnsi"/>
                <w:b w:val="0"/>
                <w:sz w:val="20"/>
                <w:szCs w:val="20"/>
              </w:rPr>
            </w:pPr>
            <w:r w:rsidRPr="00012EE6">
              <w:rPr>
                <w:rFonts w:cstheme="minorHAnsi"/>
                <w:b w:val="0"/>
                <w:sz w:val="20"/>
                <w:szCs w:val="20"/>
              </w:rPr>
              <w:t xml:space="preserve">Australian Government </w:t>
            </w:r>
            <w:r w:rsidR="002B5462" w:rsidRPr="00012EE6">
              <w:rPr>
                <w:rFonts w:cstheme="minorHAnsi"/>
                <w:b w:val="0"/>
                <w:sz w:val="20"/>
                <w:szCs w:val="20"/>
              </w:rPr>
              <w:t>Department of Health</w:t>
            </w:r>
          </w:p>
        </w:tc>
        <w:tc>
          <w:tcPr>
            <w:tcW w:w="3544" w:type="dxa"/>
          </w:tcPr>
          <w:p w14:paraId="15CDEEA7"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Commonwealth Agency</w:t>
            </w:r>
          </w:p>
        </w:tc>
        <w:tc>
          <w:tcPr>
            <w:tcW w:w="5007" w:type="dxa"/>
          </w:tcPr>
          <w:p w14:paraId="1849468D"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color w:val="0000FF" w:themeColor="hyperlink"/>
                <w:sz w:val="20"/>
                <w:szCs w:val="20"/>
                <w:u w:val="single"/>
              </w:rPr>
            </w:pPr>
            <w:hyperlink r:id="rId70" w:history="1">
              <w:r w:rsidR="002B5462" w:rsidRPr="00012EE6">
                <w:rPr>
                  <w:rStyle w:val="Hyperlink"/>
                  <w:rFonts w:asciiTheme="minorHAnsi" w:hAnsiTheme="minorHAnsi" w:cstheme="minorHAnsi"/>
                  <w:sz w:val="20"/>
                  <w:szCs w:val="20"/>
                </w:rPr>
                <w:t>http://www.health.gov.au/</w:t>
              </w:r>
            </w:hyperlink>
          </w:p>
        </w:tc>
      </w:tr>
      <w:tr w:rsidR="002B5462" w:rsidRPr="00322FB3" w14:paraId="460ED849"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60AF583B" w14:textId="4F436EA2" w:rsidR="002B5462" w:rsidRPr="00012EE6" w:rsidRDefault="004A02FA" w:rsidP="00012EE6">
            <w:pPr>
              <w:spacing w:after="120"/>
              <w:rPr>
                <w:rFonts w:cstheme="minorHAnsi"/>
                <w:b w:val="0"/>
                <w:sz w:val="20"/>
                <w:szCs w:val="20"/>
              </w:rPr>
            </w:pPr>
            <w:r w:rsidRPr="00012EE6">
              <w:rPr>
                <w:rFonts w:cstheme="minorHAnsi"/>
                <w:b w:val="0"/>
                <w:sz w:val="20"/>
                <w:szCs w:val="20"/>
              </w:rPr>
              <w:t>Australian Institute of Health and Welfare</w:t>
            </w:r>
          </w:p>
        </w:tc>
        <w:tc>
          <w:tcPr>
            <w:tcW w:w="3544" w:type="dxa"/>
          </w:tcPr>
          <w:p w14:paraId="41D8C0F3"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Commonwealth Agency</w:t>
            </w:r>
          </w:p>
        </w:tc>
        <w:tc>
          <w:tcPr>
            <w:tcW w:w="5007" w:type="dxa"/>
          </w:tcPr>
          <w:p w14:paraId="336F0B3C"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https://www.aihw.gov.au/</w:t>
            </w:r>
          </w:p>
        </w:tc>
      </w:tr>
      <w:tr w:rsidR="002B5462" w:rsidRPr="00322FB3" w14:paraId="4A7FA0E4"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428C3A0B" w14:textId="68F82D8B" w:rsidR="002B5462" w:rsidRPr="00012EE6" w:rsidRDefault="002B5462" w:rsidP="00012EE6">
            <w:pPr>
              <w:spacing w:after="120"/>
              <w:rPr>
                <w:rFonts w:cstheme="minorHAnsi"/>
                <w:b w:val="0"/>
                <w:sz w:val="20"/>
                <w:szCs w:val="20"/>
              </w:rPr>
            </w:pPr>
            <w:r w:rsidRPr="00012EE6">
              <w:rPr>
                <w:rFonts w:cstheme="minorHAnsi"/>
                <w:b w:val="0"/>
                <w:sz w:val="20"/>
                <w:szCs w:val="20"/>
              </w:rPr>
              <w:t>N</w:t>
            </w:r>
            <w:r w:rsidR="004A02FA" w:rsidRPr="00012EE6">
              <w:rPr>
                <w:rFonts w:cstheme="minorHAnsi"/>
                <w:b w:val="0"/>
                <w:color w:val="222222"/>
                <w:sz w:val="20"/>
                <w:szCs w:val="20"/>
                <w:shd w:val="clear" w:color="auto" w:fill="FFFFFF"/>
              </w:rPr>
              <w:t>ational Health and Medical Research Council</w:t>
            </w:r>
          </w:p>
        </w:tc>
        <w:tc>
          <w:tcPr>
            <w:tcW w:w="3544" w:type="dxa"/>
          </w:tcPr>
          <w:p w14:paraId="189B8374"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Commonwealth Agency</w:t>
            </w:r>
          </w:p>
        </w:tc>
        <w:tc>
          <w:tcPr>
            <w:tcW w:w="5007" w:type="dxa"/>
          </w:tcPr>
          <w:p w14:paraId="210EA93F"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hyperlink r:id="rId71" w:history="1">
              <w:r w:rsidR="002B5462" w:rsidRPr="00012EE6">
                <w:rPr>
                  <w:rStyle w:val="Hyperlink"/>
                  <w:rFonts w:asciiTheme="minorHAnsi" w:hAnsiTheme="minorHAnsi" w:cstheme="minorHAnsi"/>
                  <w:sz w:val="20"/>
                  <w:szCs w:val="20"/>
                </w:rPr>
                <w:t>https://www.nhmrc.gov.au/</w:t>
              </w:r>
            </w:hyperlink>
          </w:p>
        </w:tc>
      </w:tr>
      <w:tr w:rsidR="002B5462" w:rsidRPr="00322FB3" w14:paraId="7620087C"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1D4C1DDA" w14:textId="13F80E88" w:rsidR="002B5462" w:rsidRPr="00012EE6" w:rsidRDefault="002B5462" w:rsidP="00012EE6">
            <w:pPr>
              <w:spacing w:after="120"/>
              <w:rPr>
                <w:rFonts w:cstheme="minorHAnsi"/>
                <w:b w:val="0"/>
                <w:sz w:val="20"/>
                <w:szCs w:val="20"/>
              </w:rPr>
            </w:pPr>
            <w:r w:rsidRPr="00012EE6">
              <w:rPr>
                <w:rFonts w:cstheme="minorHAnsi"/>
                <w:b w:val="0"/>
                <w:sz w:val="20"/>
                <w:szCs w:val="20"/>
              </w:rPr>
              <w:t>A</w:t>
            </w:r>
            <w:r w:rsidR="004A02FA" w:rsidRPr="00012EE6">
              <w:rPr>
                <w:rFonts w:cstheme="minorHAnsi"/>
                <w:b w:val="0"/>
                <w:color w:val="222222"/>
                <w:sz w:val="20"/>
                <w:szCs w:val="20"/>
                <w:shd w:val="clear" w:color="auto" w:fill="FFFFFF"/>
              </w:rPr>
              <w:t>ustralian Bureau of Statistics</w:t>
            </w:r>
          </w:p>
        </w:tc>
        <w:tc>
          <w:tcPr>
            <w:tcW w:w="3544" w:type="dxa"/>
          </w:tcPr>
          <w:p w14:paraId="0C21F191"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Commonwealth Agency</w:t>
            </w:r>
          </w:p>
        </w:tc>
        <w:tc>
          <w:tcPr>
            <w:tcW w:w="5007" w:type="dxa"/>
          </w:tcPr>
          <w:p w14:paraId="0D3CF217"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hyperlink r:id="rId72" w:history="1">
              <w:r w:rsidR="002B5462" w:rsidRPr="00012EE6">
                <w:rPr>
                  <w:rStyle w:val="Hyperlink"/>
                  <w:rFonts w:asciiTheme="minorHAnsi" w:hAnsiTheme="minorHAnsi" w:cstheme="minorHAnsi"/>
                  <w:sz w:val="20"/>
                  <w:szCs w:val="20"/>
                </w:rPr>
                <w:t>http://www.abs.gov.au/</w:t>
              </w:r>
            </w:hyperlink>
          </w:p>
        </w:tc>
      </w:tr>
      <w:tr w:rsidR="002B5462" w:rsidRPr="00322FB3" w14:paraId="4A6D7C6F"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45F27CBA" w14:textId="2E523380" w:rsidR="002B5462" w:rsidRPr="00012EE6" w:rsidRDefault="004A02FA" w:rsidP="00012EE6">
            <w:pPr>
              <w:spacing w:after="120"/>
              <w:rPr>
                <w:rFonts w:cstheme="minorHAnsi"/>
                <w:b w:val="0"/>
                <w:sz w:val="20"/>
                <w:szCs w:val="20"/>
              </w:rPr>
            </w:pPr>
            <w:r w:rsidRPr="00012EE6">
              <w:rPr>
                <w:rFonts w:cstheme="minorHAnsi"/>
                <w:b w:val="0"/>
                <w:sz w:val="20"/>
                <w:szCs w:val="20"/>
              </w:rPr>
              <w:t>National Health Priority Areas</w:t>
            </w:r>
          </w:p>
        </w:tc>
        <w:tc>
          <w:tcPr>
            <w:tcW w:w="3544" w:type="dxa"/>
          </w:tcPr>
          <w:p w14:paraId="02A7B2D5"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Commonwealth Agency</w:t>
            </w:r>
          </w:p>
        </w:tc>
        <w:tc>
          <w:tcPr>
            <w:tcW w:w="5007" w:type="dxa"/>
          </w:tcPr>
          <w:p w14:paraId="76843EE3"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73" w:history="1">
              <w:r w:rsidR="002B5462" w:rsidRPr="00012EE6">
                <w:rPr>
                  <w:rStyle w:val="Hyperlink"/>
                  <w:rFonts w:asciiTheme="minorHAnsi" w:hAnsiTheme="minorHAnsi" w:cstheme="minorHAnsi"/>
                  <w:sz w:val="20"/>
                  <w:szCs w:val="20"/>
                </w:rPr>
                <w:t>http://www.health.gov.au/internet/nhpa/publishing.nsf/Content/Our-reports</w:t>
              </w:r>
            </w:hyperlink>
            <w:r w:rsidR="002B5462" w:rsidRPr="00012EE6">
              <w:rPr>
                <w:rFonts w:cstheme="minorHAnsi"/>
                <w:sz w:val="20"/>
                <w:szCs w:val="20"/>
              </w:rPr>
              <w:t xml:space="preserve"> </w:t>
            </w:r>
          </w:p>
        </w:tc>
      </w:tr>
      <w:tr w:rsidR="002B5462" w:rsidRPr="00322FB3" w14:paraId="3291A772"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654B835E" w14:textId="77777777" w:rsidR="002B5462" w:rsidRPr="00012EE6" w:rsidRDefault="002B5462" w:rsidP="00012EE6">
            <w:pPr>
              <w:spacing w:after="120"/>
              <w:rPr>
                <w:rFonts w:cstheme="minorHAnsi"/>
                <w:b w:val="0"/>
                <w:sz w:val="20"/>
                <w:szCs w:val="20"/>
              </w:rPr>
            </w:pPr>
            <w:proofErr w:type="spellStart"/>
            <w:r w:rsidRPr="00012EE6">
              <w:rPr>
                <w:rFonts w:cstheme="minorHAnsi"/>
                <w:b w:val="0"/>
                <w:sz w:val="20"/>
                <w:szCs w:val="20"/>
              </w:rPr>
              <w:t>MyHospitals</w:t>
            </w:r>
            <w:proofErr w:type="spellEnd"/>
          </w:p>
        </w:tc>
        <w:tc>
          <w:tcPr>
            <w:tcW w:w="3544" w:type="dxa"/>
          </w:tcPr>
          <w:p w14:paraId="1CFB8D35"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Commonwealth</w:t>
            </w:r>
          </w:p>
        </w:tc>
        <w:tc>
          <w:tcPr>
            <w:tcW w:w="5007" w:type="dxa"/>
          </w:tcPr>
          <w:p w14:paraId="7964FED8"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74" w:history="1">
              <w:r w:rsidR="002B5462" w:rsidRPr="00012EE6">
                <w:rPr>
                  <w:rStyle w:val="Hyperlink"/>
                  <w:rFonts w:asciiTheme="minorHAnsi" w:hAnsiTheme="minorHAnsi" w:cstheme="minorHAnsi"/>
                  <w:sz w:val="20"/>
                  <w:szCs w:val="20"/>
                </w:rPr>
                <w:t>https://www.myhospitals.gov.au/</w:t>
              </w:r>
            </w:hyperlink>
            <w:r w:rsidR="002B5462" w:rsidRPr="00012EE6">
              <w:rPr>
                <w:rFonts w:cstheme="minorHAnsi"/>
                <w:sz w:val="20"/>
                <w:szCs w:val="20"/>
              </w:rPr>
              <w:t xml:space="preserve"> </w:t>
            </w:r>
          </w:p>
        </w:tc>
      </w:tr>
      <w:tr w:rsidR="002B5462" w:rsidRPr="00322FB3" w14:paraId="033C13C7"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18D18760" w14:textId="77777777" w:rsidR="002B5462" w:rsidRPr="00012EE6" w:rsidRDefault="002B5462" w:rsidP="00012EE6">
            <w:pPr>
              <w:spacing w:after="120"/>
              <w:rPr>
                <w:rFonts w:cstheme="minorHAnsi"/>
                <w:b w:val="0"/>
                <w:sz w:val="20"/>
                <w:szCs w:val="20"/>
              </w:rPr>
            </w:pPr>
            <w:r w:rsidRPr="00012EE6">
              <w:rPr>
                <w:rFonts w:cstheme="minorHAnsi"/>
                <w:b w:val="0"/>
                <w:sz w:val="20"/>
                <w:szCs w:val="20"/>
              </w:rPr>
              <w:t>Patient Opinion</w:t>
            </w:r>
          </w:p>
        </w:tc>
        <w:tc>
          <w:tcPr>
            <w:tcW w:w="3544" w:type="dxa"/>
          </w:tcPr>
          <w:p w14:paraId="394321E0"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Other</w:t>
            </w:r>
          </w:p>
        </w:tc>
        <w:tc>
          <w:tcPr>
            <w:tcW w:w="5007" w:type="dxa"/>
          </w:tcPr>
          <w:p w14:paraId="5F776A76"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hyperlink r:id="rId75" w:history="1">
              <w:r w:rsidR="002B5462" w:rsidRPr="00012EE6">
                <w:rPr>
                  <w:rStyle w:val="Hyperlink"/>
                  <w:rFonts w:asciiTheme="minorHAnsi" w:hAnsiTheme="minorHAnsi" w:cstheme="minorHAnsi"/>
                  <w:sz w:val="20"/>
                  <w:szCs w:val="20"/>
                </w:rPr>
                <w:t>https://www.patientopinion.org.au/</w:t>
              </w:r>
            </w:hyperlink>
          </w:p>
        </w:tc>
      </w:tr>
      <w:tr w:rsidR="002B5462" w:rsidRPr="00322FB3" w14:paraId="3B40236A"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32CF63C7" w14:textId="77777777" w:rsidR="002B5462" w:rsidRPr="00012EE6" w:rsidRDefault="002B5462" w:rsidP="00012EE6">
            <w:pPr>
              <w:spacing w:after="120"/>
              <w:rPr>
                <w:rFonts w:cstheme="minorHAnsi"/>
                <w:b w:val="0"/>
                <w:sz w:val="20"/>
                <w:szCs w:val="20"/>
              </w:rPr>
            </w:pPr>
            <w:proofErr w:type="spellStart"/>
            <w:r w:rsidRPr="00012EE6">
              <w:rPr>
                <w:rFonts w:cstheme="minorHAnsi"/>
                <w:b w:val="0"/>
                <w:sz w:val="20"/>
                <w:szCs w:val="20"/>
              </w:rPr>
              <w:t>WhiteCoat</w:t>
            </w:r>
            <w:proofErr w:type="spellEnd"/>
          </w:p>
        </w:tc>
        <w:tc>
          <w:tcPr>
            <w:tcW w:w="3544" w:type="dxa"/>
          </w:tcPr>
          <w:p w14:paraId="5933A2C2"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Other</w:t>
            </w:r>
          </w:p>
        </w:tc>
        <w:tc>
          <w:tcPr>
            <w:tcW w:w="5007" w:type="dxa"/>
          </w:tcPr>
          <w:p w14:paraId="2CF7D8AD"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https://www.whitecoat.com.au/</w:t>
            </w:r>
          </w:p>
        </w:tc>
      </w:tr>
      <w:tr w:rsidR="002B5462" w:rsidRPr="00322FB3" w14:paraId="1A4E1213"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269B66B0" w14:textId="77777777" w:rsidR="002B5462" w:rsidRPr="00012EE6" w:rsidRDefault="002B5462" w:rsidP="00012EE6">
            <w:pPr>
              <w:spacing w:after="120"/>
              <w:rPr>
                <w:rFonts w:cstheme="minorHAnsi"/>
                <w:b w:val="0"/>
                <w:sz w:val="20"/>
                <w:szCs w:val="20"/>
              </w:rPr>
            </w:pPr>
            <w:r w:rsidRPr="00012EE6">
              <w:rPr>
                <w:rFonts w:cstheme="minorHAnsi"/>
                <w:b w:val="0"/>
                <w:sz w:val="20"/>
                <w:szCs w:val="20"/>
              </w:rPr>
              <w:t>ACT Department of Health</w:t>
            </w:r>
          </w:p>
        </w:tc>
        <w:tc>
          <w:tcPr>
            <w:tcW w:w="3544" w:type="dxa"/>
          </w:tcPr>
          <w:p w14:paraId="32BF24DC"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State Government</w:t>
            </w:r>
          </w:p>
        </w:tc>
        <w:tc>
          <w:tcPr>
            <w:tcW w:w="5007" w:type="dxa"/>
          </w:tcPr>
          <w:p w14:paraId="69F5EB3A"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hyperlink r:id="rId76" w:history="1">
              <w:r w:rsidR="002B5462" w:rsidRPr="00012EE6">
                <w:rPr>
                  <w:rStyle w:val="Hyperlink"/>
                  <w:rFonts w:asciiTheme="minorHAnsi" w:hAnsiTheme="minorHAnsi" w:cstheme="minorHAnsi"/>
                  <w:sz w:val="20"/>
                  <w:szCs w:val="20"/>
                </w:rPr>
                <w:t>http://www.health.act.gov.au/</w:t>
              </w:r>
            </w:hyperlink>
          </w:p>
        </w:tc>
      </w:tr>
      <w:tr w:rsidR="002B5462" w:rsidRPr="00322FB3" w14:paraId="5D6FF2B3"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40181BFF" w14:textId="77777777" w:rsidR="002B5462" w:rsidRPr="00012EE6" w:rsidRDefault="002B5462" w:rsidP="00012EE6">
            <w:pPr>
              <w:spacing w:after="120"/>
              <w:rPr>
                <w:rFonts w:cstheme="minorHAnsi"/>
                <w:b w:val="0"/>
                <w:sz w:val="20"/>
                <w:szCs w:val="20"/>
              </w:rPr>
            </w:pPr>
            <w:r w:rsidRPr="00012EE6">
              <w:rPr>
                <w:rFonts w:cstheme="minorHAnsi"/>
                <w:b w:val="0"/>
                <w:sz w:val="20"/>
                <w:szCs w:val="20"/>
              </w:rPr>
              <w:t>NT Department of Health</w:t>
            </w:r>
          </w:p>
        </w:tc>
        <w:tc>
          <w:tcPr>
            <w:tcW w:w="3544" w:type="dxa"/>
          </w:tcPr>
          <w:p w14:paraId="77F6EF35"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State Government</w:t>
            </w:r>
          </w:p>
        </w:tc>
        <w:tc>
          <w:tcPr>
            <w:tcW w:w="5007" w:type="dxa"/>
          </w:tcPr>
          <w:p w14:paraId="5743C1D5"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hyperlink r:id="rId77" w:history="1">
              <w:r w:rsidR="002B5462" w:rsidRPr="00012EE6">
                <w:rPr>
                  <w:rStyle w:val="Hyperlink"/>
                  <w:rFonts w:asciiTheme="minorHAnsi" w:hAnsiTheme="minorHAnsi" w:cstheme="minorHAnsi"/>
                  <w:sz w:val="20"/>
                  <w:szCs w:val="20"/>
                </w:rPr>
                <w:t>https://health.nt.gov.au/</w:t>
              </w:r>
            </w:hyperlink>
            <w:r w:rsidR="002B5462" w:rsidRPr="00012EE6">
              <w:rPr>
                <w:rStyle w:val="Hyperlink"/>
                <w:rFonts w:asciiTheme="minorHAnsi" w:hAnsiTheme="minorHAnsi" w:cstheme="minorHAnsi"/>
                <w:sz w:val="20"/>
                <w:szCs w:val="20"/>
              </w:rPr>
              <w:t xml:space="preserve"> </w:t>
            </w:r>
          </w:p>
        </w:tc>
      </w:tr>
      <w:tr w:rsidR="002B5462" w:rsidRPr="00322FB3" w14:paraId="41E99B99"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2ABEB391" w14:textId="77777777" w:rsidR="002B5462" w:rsidRPr="00012EE6" w:rsidRDefault="002B5462" w:rsidP="00012EE6">
            <w:pPr>
              <w:spacing w:after="120"/>
              <w:rPr>
                <w:rFonts w:cstheme="minorHAnsi"/>
                <w:b w:val="0"/>
                <w:sz w:val="20"/>
                <w:szCs w:val="20"/>
              </w:rPr>
            </w:pPr>
            <w:r w:rsidRPr="00012EE6">
              <w:rPr>
                <w:rFonts w:cstheme="minorHAnsi"/>
                <w:b w:val="0"/>
                <w:sz w:val="20"/>
                <w:szCs w:val="20"/>
              </w:rPr>
              <w:lastRenderedPageBreak/>
              <w:t>NSW Health</w:t>
            </w:r>
          </w:p>
        </w:tc>
        <w:tc>
          <w:tcPr>
            <w:tcW w:w="3544" w:type="dxa"/>
          </w:tcPr>
          <w:p w14:paraId="70FB82C9"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State Government</w:t>
            </w:r>
          </w:p>
        </w:tc>
        <w:tc>
          <w:tcPr>
            <w:tcW w:w="5007" w:type="dxa"/>
          </w:tcPr>
          <w:p w14:paraId="7BD5534D"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hyperlink r:id="rId78" w:history="1">
              <w:r w:rsidR="002B5462" w:rsidRPr="00012EE6">
                <w:rPr>
                  <w:rStyle w:val="Hyperlink"/>
                  <w:rFonts w:asciiTheme="minorHAnsi" w:hAnsiTheme="minorHAnsi" w:cstheme="minorHAnsi"/>
                  <w:sz w:val="20"/>
                  <w:szCs w:val="20"/>
                </w:rPr>
                <w:t>http://www.health.nsw.gov.au/Pages/default.aspx</w:t>
              </w:r>
            </w:hyperlink>
          </w:p>
        </w:tc>
      </w:tr>
      <w:tr w:rsidR="002B5462" w:rsidRPr="00322FB3" w14:paraId="78E1155D"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3A030257" w14:textId="77777777" w:rsidR="002B5462" w:rsidRPr="00012EE6" w:rsidRDefault="002B5462" w:rsidP="00012EE6">
            <w:pPr>
              <w:spacing w:after="120"/>
              <w:rPr>
                <w:rFonts w:cstheme="minorHAnsi"/>
                <w:b w:val="0"/>
                <w:sz w:val="20"/>
                <w:szCs w:val="20"/>
              </w:rPr>
            </w:pPr>
            <w:r w:rsidRPr="00012EE6">
              <w:rPr>
                <w:rFonts w:cstheme="minorHAnsi"/>
                <w:b w:val="0"/>
                <w:sz w:val="20"/>
                <w:szCs w:val="20"/>
              </w:rPr>
              <w:t>Bureau of Health Information</w:t>
            </w:r>
          </w:p>
        </w:tc>
        <w:tc>
          <w:tcPr>
            <w:tcW w:w="3544" w:type="dxa"/>
          </w:tcPr>
          <w:p w14:paraId="207DA191"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NSW Statutory Body</w:t>
            </w:r>
          </w:p>
        </w:tc>
        <w:tc>
          <w:tcPr>
            <w:tcW w:w="5007" w:type="dxa"/>
          </w:tcPr>
          <w:p w14:paraId="0EAC08FA"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hyperlink r:id="rId79" w:history="1">
              <w:r w:rsidR="002B5462" w:rsidRPr="00012EE6">
                <w:rPr>
                  <w:rStyle w:val="Hyperlink"/>
                  <w:rFonts w:asciiTheme="minorHAnsi" w:hAnsiTheme="minorHAnsi" w:cstheme="minorHAnsi"/>
                  <w:sz w:val="20"/>
                  <w:szCs w:val="20"/>
                </w:rPr>
                <w:t>http://www.bhi.nsw.gov.au/home/_nocache</w:t>
              </w:r>
            </w:hyperlink>
          </w:p>
        </w:tc>
      </w:tr>
      <w:tr w:rsidR="002B5462" w:rsidRPr="00322FB3" w14:paraId="6BFC9AA2"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6DFD99FA" w14:textId="77777777" w:rsidR="002B5462" w:rsidRPr="00012EE6" w:rsidRDefault="002B5462" w:rsidP="00012EE6">
            <w:pPr>
              <w:spacing w:after="120"/>
              <w:rPr>
                <w:rFonts w:cstheme="minorHAnsi"/>
                <w:b w:val="0"/>
                <w:sz w:val="20"/>
                <w:szCs w:val="20"/>
              </w:rPr>
            </w:pPr>
            <w:r w:rsidRPr="00012EE6">
              <w:rPr>
                <w:rFonts w:cstheme="minorHAnsi"/>
                <w:b w:val="0"/>
                <w:sz w:val="20"/>
                <w:szCs w:val="20"/>
              </w:rPr>
              <w:t>Clinical Excellence Commission</w:t>
            </w:r>
          </w:p>
        </w:tc>
        <w:tc>
          <w:tcPr>
            <w:tcW w:w="3544" w:type="dxa"/>
          </w:tcPr>
          <w:p w14:paraId="3508FC24"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NSW Statutory Body</w:t>
            </w:r>
          </w:p>
        </w:tc>
        <w:tc>
          <w:tcPr>
            <w:tcW w:w="5007" w:type="dxa"/>
          </w:tcPr>
          <w:p w14:paraId="34BDAF58"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012EE6">
              <w:rPr>
                <w:rFonts w:cstheme="minorHAnsi"/>
                <w:sz w:val="20"/>
                <w:szCs w:val="20"/>
                <w:u w:val="single"/>
              </w:rPr>
              <w:t>http://www.cec.health.nsw.gov.au/</w:t>
            </w:r>
          </w:p>
        </w:tc>
      </w:tr>
      <w:tr w:rsidR="002B5462" w:rsidRPr="00322FB3" w14:paraId="0415A0E3"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54C5269F" w14:textId="77777777" w:rsidR="002B5462" w:rsidRPr="00012EE6" w:rsidRDefault="002B5462" w:rsidP="00012EE6">
            <w:pPr>
              <w:spacing w:after="120"/>
              <w:rPr>
                <w:rFonts w:cstheme="minorHAnsi"/>
                <w:b w:val="0"/>
                <w:sz w:val="20"/>
                <w:szCs w:val="20"/>
              </w:rPr>
            </w:pPr>
            <w:r w:rsidRPr="00012EE6">
              <w:rPr>
                <w:rFonts w:cstheme="minorHAnsi"/>
                <w:b w:val="0"/>
                <w:sz w:val="20"/>
                <w:szCs w:val="20"/>
              </w:rPr>
              <w:t>Westmead Hospital</w:t>
            </w:r>
          </w:p>
        </w:tc>
        <w:tc>
          <w:tcPr>
            <w:tcW w:w="3544" w:type="dxa"/>
          </w:tcPr>
          <w:p w14:paraId="2A677FA6"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NSW Public hospital</w:t>
            </w:r>
          </w:p>
        </w:tc>
        <w:tc>
          <w:tcPr>
            <w:tcW w:w="5007" w:type="dxa"/>
          </w:tcPr>
          <w:p w14:paraId="5F98CDA2"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https://www.wslhd.health.nsw.gov.au/Westmead-Hospital</w:t>
            </w:r>
          </w:p>
        </w:tc>
      </w:tr>
      <w:tr w:rsidR="002B5462" w:rsidRPr="00322FB3" w14:paraId="49BDC2A0"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4CC9E08F" w14:textId="77777777" w:rsidR="002B5462" w:rsidRPr="00012EE6" w:rsidRDefault="002B5462" w:rsidP="00012EE6">
            <w:pPr>
              <w:spacing w:after="120"/>
              <w:rPr>
                <w:rFonts w:cstheme="minorHAnsi"/>
                <w:b w:val="0"/>
                <w:sz w:val="20"/>
                <w:szCs w:val="20"/>
              </w:rPr>
            </w:pPr>
            <w:r w:rsidRPr="00012EE6">
              <w:rPr>
                <w:rFonts w:cstheme="minorHAnsi"/>
                <w:b w:val="0"/>
                <w:sz w:val="20"/>
                <w:szCs w:val="20"/>
              </w:rPr>
              <w:t xml:space="preserve">Prince of Wales Hospital </w:t>
            </w:r>
          </w:p>
        </w:tc>
        <w:tc>
          <w:tcPr>
            <w:tcW w:w="3544" w:type="dxa"/>
          </w:tcPr>
          <w:p w14:paraId="77B89B59"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NSW Public hospital</w:t>
            </w:r>
          </w:p>
        </w:tc>
        <w:tc>
          <w:tcPr>
            <w:tcW w:w="5007" w:type="dxa"/>
          </w:tcPr>
          <w:p w14:paraId="002C9787"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hyperlink r:id="rId80" w:history="1">
              <w:r w:rsidR="002B5462" w:rsidRPr="00012EE6">
                <w:rPr>
                  <w:rStyle w:val="Hyperlink"/>
                  <w:rFonts w:asciiTheme="minorHAnsi" w:hAnsiTheme="minorHAnsi" w:cstheme="minorHAnsi"/>
                  <w:sz w:val="20"/>
                  <w:szCs w:val="20"/>
                </w:rPr>
                <w:t>http://www.princeofwalesprivatehospital.com.au/</w:t>
              </w:r>
            </w:hyperlink>
            <w:r w:rsidR="002B5462" w:rsidRPr="00012EE6">
              <w:rPr>
                <w:rFonts w:cstheme="minorHAnsi"/>
                <w:sz w:val="20"/>
                <w:szCs w:val="20"/>
                <w:u w:val="single"/>
              </w:rPr>
              <w:t xml:space="preserve"> </w:t>
            </w:r>
          </w:p>
        </w:tc>
      </w:tr>
      <w:tr w:rsidR="002B5462" w:rsidRPr="00322FB3" w14:paraId="6E7C5C56"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0FE050E4" w14:textId="77777777" w:rsidR="002B5462" w:rsidRPr="00012EE6" w:rsidRDefault="002B5462" w:rsidP="00012EE6">
            <w:pPr>
              <w:spacing w:after="120"/>
              <w:rPr>
                <w:rFonts w:cstheme="minorHAnsi"/>
                <w:b w:val="0"/>
                <w:sz w:val="20"/>
                <w:szCs w:val="20"/>
              </w:rPr>
            </w:pPr>
            <w:r w:rsidRPr="00012EE6">
              <w:rPr>
                <w:rFonts w:cstheme="minorHAnsi"/>
                <w:b w:val="0"/>
                <w:sz w:val="20"/>
                <w:szCs w:val="20"/>
              </w:rPr>
              <w:t>Random NSW Public hospital</w:t>
            </w:r>
          </w:p>
        </w:tc>
        <w:tc>
          <w:tcPr>
            <w:tcW w:w="3544" w:type="dxa"/>
          </w:tcPr>
          <w:p w14:paraId="2B8BF7BF"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 xml:space="preserve">St Vincent’s Hospital </w:t>
            </w:r>
          </w:p>
        </w:tc>
        <w:tc>
          <w:tcPr>
            <w:tcW w:w="5007" w:type="dxa"/>
          </w:tcPr>
          <w:p w14:paraId="33AC27B7"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https://www.svhm.org.au/</w:t>
            </w:r>
          </w:p>
        </w:tc>
      </w:tr>
      <w:tr w:rsidR="002B5462" w:rsidRPr="00322FB3" w14:paraId="05661542"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33EF4CAC" w14:textId="77777777" w:rsidR="002B5462" w:rsidRPr="00012EE6" w:rsidRDefault="002B5462" w:rsidP="00012EE6">
            <w:pPr>
              <w:spacing w:after="120"/>
              <w:rPr>
                <w:rFonts w:cstheme="minorHAnsi"/>
                <w:b w:val="0"/>
                <w:sz w:val="20"/>
                <w:szCs w:val="20"/>
              </w:rPr>
            </w:pPr>
            <w:r w:rsidRPr="00012EE6">
              <w:rPr>
                <w:rFonts w:cstheme="minorHAnsi"/>
                <w:b w:val="0"/>
                <w:sz w:val="20"/>
                <w:szCs w:val="20"/>
              </w:rPr>
              <w:t>Victorian Department for Health &amp; Human Services</w:t>
            </w:r>
          </w:p>
        </w:tc>
        <w:tc>
          <w:tcPr>
            <w:tcW w:w="3544" w:type="dxa"/>
          </w:tcPr>
          <w:p w14:paraId="7E5D3F04"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 xml:space="preserve">State Government </w:t>
            </w:r>
          </w:p>
        </w:tc>
        <w:tc>
          <w:tcPr>
            <w:tcW w:w="5007" w:type="dxa"/>
          </w:tcPr>
          <w:p w14:paraId="5A47892B"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hyperlink r:id="rId81" w:history="1">
              <w:r w:rsidR="002B5462" w:rsidRPr="00012EE6">
                <w:rPr>
                  <w:rStyle w:val="Hyperlink"/>
                  <w:rFonts w:asciiTheme="minorHAnsi" w:hAnsiTheme="minorHAnsi" w:cstheme="minorHAnsi"/>
                  <w:sz w:val="20"/>
                  <w:szCs w:val="20"/>
                </w:rPr>
                <w:t>https://dhhs.vic.gov.au/sites/default/files/documents/201610/Hospital%20Safety%20and%20Quality%20Assurance%20in</w:t>
              </w:r>
            </w:hyperlink>
            <w:r w:rsidR="002B5462" w:rsidRPr="00012EE6">
              <w:rPr>
                <w:rFonts w:cstheme="minorHAnsi"/>
                <w:sz w:val="20"/>
                <w:szCs w:val="20"/>
                <w:u w:val="single"/>
              </w:rPr>
              <w:t xml:space="preserve"> %20Victoria.pdf</w:t>
            </w:r>
          </w:p>
        </w:tc>
      </w:tr>
      <w:tr w:rsidR="002B5462" w:rsidRPr="00322FB3" w14:paraId="1B3D10A7"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384A4843" w14:textId="77777777" w:rsidR="002B5462" w:rsidRPr="00012EE6" w:rsidRDefault="002B5462" w:rsidP="00012EE6">
            <w:pPr>
              <w:spacing w:after="120"/>
              <w:rPr>
                <w:rFonts w:cstheme="minorHAnsi"/>
                <w:b w:val="0"/>
                <w:sz w:val="20"/>
                <w:szCs w:val="20"/>
              </w:rPr>
            </w:pPr>
            <w:r w:rsidRPr="00012EE6">
              <w:rPr>
                <w:rFonts w:cstheme="minorHAnsi"/>
                <w:b w:val="0"/>
                <w:sz w:val="20"/>
                <w:szCs w:val="20"/>
              </w:rPr>
              <w:t>Victorian Agency for Health Information</w:t>
            </w:r>
          </w:p>
        </w:tc>
        <w:tc>
          <w:tcPr>
            <w:tcW w:w="3544" w:type="dxa"/>
          </w:tcPr>
          <w:p w14:paraId="14C31087"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 xml:space="preserve">State Government </w:t>
            </w:r>
          </w:p>
        </w:tc>
        <w:tc>
          <w:tcPr>
            <w:tcW w:w="5007" w:type="dxa"/>
          </w:tcPr>
          <w:p w14:paraId="1A5DCAE2"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https://www2.health.vic.gov.au/hospitals-and-health-services/vahi</w:t>
            </w:r>
          </w:p>
        </w:tc>
      </w:tr>
      <w:tr w:rsidR="002B5462" w:rsidRPr="00322FB3" w14:paraId="0B5E21B3"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10B49443" w14:textId="77777777" w:rsidR="002B5462" w:rsidRPr="00012EE6" w:rsidRDefault="002B5462" w:rsidP="00012EE6">
            <w:pPr>
              <w:spacing w:after="120"/>
              <w:rPr>
                <w:rFonts w:cstheme="minorHAnsi"/>
                <w:b w:val="0"/>
                <w:sz w:val="20"/>
                <w:szCs w:val="20"/>
              </w:rPr>
            </w:pPr>
            <w:r w:rsidRPr="00012EE6">
              <w:rPr>
                <w:rFonts w:cstheme="minorHAnsi"/>
                <w:b w:val="0"/>
                <w:sz w:val="20"/>
                <w:szCs w:val="20"/>
              </w:rPr>
              <w:t>Safer Care Victoria</w:t>
            </w:r>
          </w:p>
        </w:tc>
        <w:tc>
          <w:tcPr>
            <w:tcW w:w="3544" w:type="dxa"/>
          </w:tcPr>
          <w:p w14:paraId="7AA88DA7"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 xml:space="preserve">State Government </w:t>
            </w:r>
          </w:p>
        </w:tc>
        <w:tc>
          <w:tcPr>
            <w:tcW w:w="5007" w:type="dxa"/>
          </w:tcPr>
          <w:p w14:paraId="2F4F2C2A"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hyperlink r:id="rId82" w:history="1">
              <w:r w:rsidR="002B5462" w:rsidRPr="00012EE6">
                <w:rPr>
                  <w:rStyle w:val="Hyperlink"/>
                  <w:rFonts w:asciiTheme="minorHAnsi" w:hAnsiTheme="minorHAnsi" w:cstheme="minorHAnsi"/>
                  <w:sz w:val="20"/>
                  <w:szCs w:val="20"/>
                </w:rPr>
                <w:t>https://www2.health.vic.gov.au/hospitals-and-health-services/safer-care-victoria</w:t>
              </w:r>
            </w:hyperlink>
            <w:r w:rsidR="002B5462" w:rsidRPr="00012EE6">
              <w:rPr>
                <w:rFonts w:cstheme="minorHAnsi"/>
                <w:sz w:val="20"/>
                <w:szCs w:val="20"/>
                <w:u w:val="single"/>
              </w:rPr>
              <w:t xml:space="preserve"> </w:t>
            </w:r>
          </w:p>
        </w:tc>
      </w:tr>
      <w:tr w:rsidR="002B5462" w:rsidRPr="00322FB3" w14:paraId="04251E10"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353F8CB8" w14:textId="77777777" w:rsidR="002B5462" w:rsidRPr="00012EE6" w:rsidRDefault="002B5462" w:rsidP="00012EE6">
            <w:pPr>
              <w:spacing w:after="120"/>
              <w:rPr>
                <w:rFonts w:cstheme="minorHAnsi"/>
                <w:b w:val="0"/>
                <w:sz w:val="20"/>
                <w:szCs w:val="20"/>
              </w:rPr>
            </w:pPr>
            <w:r w:rsidRPr="00012EE6">
              <w:rPr>
                <w:rFonts w:cstheme="minorHAnsi"/>
                <w:b w:val="0"/>
                <w:sz w:val="20"/>
                <w:szCs w:val="20"/>
              </w:rPr>
              <w:t>Royal Women’s Hospital</w:t>
            </w:r>
          </w:p>
        </w:tc>
        <w:tc>
          <w:tcPr>
            <w:tcW w:w="3544" w:type="dxa"/>
          </w:tcPr>
          <w:p w14:paraId="62064DA0"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Public health provider</w:t>
            </w:r>
          </w:p>
        </w:tc>
        <w:tc>
          <w:tcPr>
            <w:tcW w:w="5007" w:type="dxa"/>
          </w:tcPr>
          <w:p w14:paraId="26DCEAB6"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https://www.thewomens.org.au/</w:t>
            </w:r>
          </w:p>
        </w:tc>
      </w:tr>
      <w:tr w:rsidR="002B5462" w:rsidRPr="00322FB3" w14:paraId="4BC2DB87"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1EFF0C67" w14:textId="77777777" w:rsidR="002B5462" w:rsidRPr="00012EE6" w:rsidRDefault="002B5462" w:rsidP="00012EE6">
            <w:pPr>
              <w:spacing w:after="120"/>
              <w:rPr>
                <w:rFonts w:cstheme="minorHAnsi"/>
                <w:b w:val="0"/>
                <w:sz w:val="20"/>
                <w:szCs w:val="20"/>
              </w:rPr>
            </w:pPr>
            <w:r w:rsidRPr="00012EE6">
              <w:rPr>
                <w:rFonts w:cstheme="minorHAnsi"/>
                <w:b w:val="0"/>
                <w:sz w:val="20"/>
                <w:szCs w:val="20"/>
              </w:rPr>
              <w:t>Monash Health</w:t>
            </w:r>
          </w:p>
        </w:tc>
        <w:tc>
          <w:tcPr>
            <w:tcW w:w="3544" w:type="dxa"/>
          </w:tcPr>
          <w:p w14:paraId="398B94EC"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Public health provider</w:t>
            </w:r>
          </w:p>
        </w:tc>
        <w:tc>
          <w:tcPr>
            <w:tcW w:w="5007" w:type="dxa"/>
          </w:tcPr>
          <w:p w14:paraId="3ADD02D8"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012EE6">
              <w:rPr>
                <w:rFonts w:cstheme="minorHAnsi"/>
                <w:sz w:val="20"/>
                <w:szCs w:val="20"/>
                <w:u w:val="single"/>
              </w:rPr>
              <w:t>http://www.monashhealth.org/index.php</w:t>
            </w:r>
          </w:p>
        </w:tc>
      </w:tr>
      <w:tr w:rsidR="002B5462" w:rsidRPr="00322FB3" w14:paraId="645A2A04"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0D6CB9B1" w14:textId="77777777" w:rsidR="002B5462" w:rsidRPr="00012EE6" w:rsidRDefault="002B5462" w:rsidP="00012EE6">
            <w:pPr>
              <w:spacing w:after="120"/>
              <w:rPr>
                <w:rFonts w:cstheme="minorHAnsi"/>
                <w:b w:val="0"/>
                <w:sz w:val="20"/>
                <w:szCs w:val="20"/>
              </w:rPr>
            </w:pPr>
            <w:r w:rsidRPr="00012EE6">
              <w:rPr>
                <w:rFonts w:cstheme="minorHAnsi"/>
                <w:b w:val="0"/>
                <w:sz w:val="20"/>
                <w:szCs w:val="20"/>
              </w:rPr>
              <w:t>Royal Children’s</w:t>
            </w:r>
          </w:p>
        </w:tc>
        <w:tc>
          <w:tcPr>
            <w:tcW w:w="3544" w:type="dxa"/>
          </w:tcPr>
          <w:p w14:paraId="1F1C6124"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Public health provider</w:t>
            </w:r>
          </w:p>
        </w:tc>
        <w:tc>
          <w:tcPr>
            <w:tcW w:w="5007" w:type="dxa"/>
          </w:tcPr>
          <w:p w14:paraId="1EC77181"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https://www.rch.org.au/home/</w:t>
            </w:r>
          </w:p>
        </w:tc>
      </w:tr>
      <w:tr w:rsidR="002B5462" w:rsidRPr="00322FB3" w14:paraId="7040CD70"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720AD895" w14:textId="77777777" w:rsidR="002B5462" w:rsidRPr="00012EE6" w:rsidRDefault="002B5462" w:rsidP="00012EE6">
            <w:pPr>
              <w:spacing w:after="120"/>
              <w:rPr>
                <w:rFonts w:cstheme="minorHAnsi"/>
                <w:b w:val="0"/>
                <w:sz w:val="20"/>
                <w:szCs w:val="20"/>
              </w:rPr>
            </w:pPr>
            <w:r w:rsidRPr="00012EE6">
              <w:rPr>
                <w:rFonts w:cstheme="minorHAnsi"/>
                <w:b w:val="0"/>
                <w:sz w:val="20"/>
                <w:szCs w:val="20"/>
              </w:rPr>
              <w:t>Alfred Health</w:t>
            </w:r>
          </w:p>
        </w:tc>
        <w:tc>
          <w:tcPr>
            <w:tcW w:w="3544" w:type="dxa"/>
          </w:tcPr>
          <w:p w14:paraId="2523B302"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Public health provider</w:t>
            </w:r>
          </w:p>
        </w:tc>
        <w:tc>
          <w:tcPr>
            <w:tcW w:w="5007" w:type="dxa"/>
          </w:tcPr>
          <w:p w14:paraId="65971656"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https://www.alfredhealth.org.au/</w:t>
            </w:r>
          </w:p>
        </w:tc>
      </w:tr>
      <w:tr w:rsidR="002B5462" w:rsidRPr="00322FB3" w14:paraId="7BC71099"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0116269F" w14:textId="77777777" w:rsidR="002B5462" w:rsidRPr="00012EE6" w:rsidRDefault="002B5462" w:rsidP="00012EE6">
            <w:pPr>
              <w:spacing w:after="120"/>
              <w:rPr>
                <w:rFonts w:cstheme="minorHAnsi"/>
                <w:b w:val="0"/>
                <w:sz w:val="20"/>
                <w:szCs w:val="20"/>
              </w:rPr>
            </w:pPr>
            <w:r w:rsidRPr="00012EE6">
              <w:rPr>
                <w:rFonts w:cstheme="minorHAnsi"/>
                <w:b w:val="0"/>
                <w:sz w:val="20"/>
                <w:szCs w:val="20"/>
              </w:rPr>
              <w:t>Northern Health</w:t>
            </w:r>
          </w:p>
        </w:tc>
        <w:tc>
          <w:tcPr>
            <w:tcW w:w="3544" w:type="dxa"/>
          </w:tcPr>
          <w:p w14:paraId="49D448A6"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Public health provider</w:t>
            </w:r>
          </w:p>
        </w:tc>
        <w:tc>
          <w:tcPr>
            <w:tcW w:w="5007" w:type="dxa"/>
          </w:tcPr>
          <w:p w14:paraId="6FF3EC8F"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hyperlink r:id="rId83" w:history="1">
              <w:r w:rsidR="002B5462" w:rsidRPr="00012EE6">
                <w:rPr>
                  <w:rStyle w:val="Hyperlink"/>
                  <w:rFonts w:asciiTheme="minorHAnsi" w:hAnsiTheme="minorHAnsi" w:cstheme="minorHAnsi"/>
                  <w:sz w:val="20"/>
                  <w:szCs w:val="20"/>
                </w:rPr>
                <w:t>https://www.nh.org.au/</w:t>
              </w:r>
            </w:hyperlink>
            <w:r w:rsidR="002B5462" w:rsidRPr="00012EE6">
              <w:rPr>
                <w:rFonts w:cstheme="minorHAnsi"/>
                <w:sz w:val="20"/>
                <w:szCs w:val="20"/>
                <w:u w:val="single"/>
              </w:rPr>
              <w:t xml:space="preserve"> </w:t>
            </w:r>
          </w:p>
        </w:tc>
      </w:tr>
      <w:tr w:rsidR="002B5462" w:rsidRPr="00322FB3" w14:paraId="70E39301"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1ED4B818" w14:textId="77777777" w:rsidR="002B5462" w:rsidRPr="00012EE6" w:rsidRDefault="002B5462" w:rsidP="00012EE6">
            <w:pPr>
              <w:spacing w:after="120"/>
              <w:rPr>
                <w:rFonts w:cstheme="minorHAnsi"/>
                <w:b w:val="0"/>
                <w:sz w:val="20"/>
                <w:szCs w:val="20"/>
              </w:rPr>
            </w:pPr>
            <w:r w:rsidRPr="00012EE6">
              <w:rPr>
                <w:rFonts w:cstheme="minorHAnsi"/>
                <w:b w:val="0"/>
                <w:sz w:val="20"/>
                <w:szCs w:val="20"/>
              </w:rPr>
              <w:t>SA Health</w:t>
            </w:r>
          </w:p>
        </w:tc>
        <w:tc>
          <w:tcPr>
            <w:tcW w:w="3544" w:type="dxa"/>
          </w:tcPr>
          <w:p w14:paraId="61A72398"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State Government</w:t>
            </w:r>
          </w:p>
        </w:tc>
        <w:tc>
          <w:tcPr>
            <w:tcW w:w="5007" w:type="dxa"/>
          </w:tcPr>
          <w:p w14:paraId="640D64DE"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https://www.sahealth.sa.gov.au/wps/wcm/connect/public+content/sa+health+internet</w:t>
            </w:r>
          </w:p>
        </w:tc>
      </w:tr>
      <w:tr w:rsidR="002B5462" w:rsidRPr="00322FB3" w14:paraId="4FE22FE4"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658B7EF4" w14:textId="77777777" w:rsidR="002B5462" w:rsidRPr="00012EE6" w:rsidRDefault="002B5462" w:rsidP="00012EE6">
            <w:pPr>
              <w:spacing w:after="120"/>
              <w:rPr>
                <w:rFonts w:cstheme="minorHAnsi"/>
                <w:b w:val="0"/>
                <w:sz w:val="20"/>
                <w:szCs w:val="20"/>
              </w:rPr>
            </w:pPr>
            <w:r w:rsidRPr="00012EE6">
              <w:rPr>
                <w:rFonts w:cstheme="minorHAnsi"/>
                <w:b w:val="0"/>
                <w:sz w:val="20"/>
                <w:szCs w:val="20"/>
              </w:rPr>
              <w:t>Royal Adelaide Hospital</w:t>
            </w:r>
          </w:p>
        </w:tc>
        <w:tc>
          <w:tcPr>
            <w:tcW w:w="3544" w:type="dxa"/>
          </w:tcPr>
          <w:p w14:paraId="33923E91"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Public health provider</w:t>
            </w:r>
          </w:p>
        </w:tc>
        <w:tc>
          <w:tcPr>
            <w:tcW w:w="5007" w:type="dxa"/>
          </w:tcPr>
          <w:p w14:paraId="0C77180C"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hyperlink r:id="rId84" w:history="1">
              <w:r w:rsidR="002B5462" w:rsidRPr="00012EE6">
                <w:rPr>
                  <w:rStyle w:val="Hyperlink"/>
                  <w:rFonts w:asciiTheme="minorHAnsi" w:hAnsiTheme="minorHAnsi" w:cstheme="minorHAnsi"/>
                  <w:sz w:val="20"/>
                  <w:szCs w:val="20"/>
                </w:rPr>
                <w:t>https://www.rah.sa.gov.au/</w:t>
              </w:r>
            </w:hyperlink>
            <w:r w:rsidR="002B5462" w:rsidRPr="00012EE6">
              <w:rPr>
                <w:rFonts w:cstheme="minorHAnsi"/>
                <w:sz w:val="20"/>
                <w:szCs w:val="20"/>
                <w:u w:val="single"/>
              </w:rPr>
              <w:t xml:space="preserve"> </w:t>
            </w:r>
          </w:p>
        </w:tc>
      </w:tr>
      <w:tr w:rsidR="002B5462" w:rsidRPr="00322FB3" w14:paraId="13A1D14C"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33542C20" w14:textId="77777777" w:rsidR="002B5462" w:rsidRPr="00012EE6" w:rsidRDefault="002B5462" w:rsidP="00012EE6">
            <w:pPr>
              <w:spacing w:after="120"/>
              <w:rPr>
                <w:rFonts w:cstheme="minorHAnsi"/>
                <w:b w:val="0"/>
                <w:sz w:val="20"/>
                <w:szCs w:val="20"/>
              </w:rPr>
            </w:pPr>
            <w:r w:rsidRPr="00012EE6">
              <w:rPr>
                <w:rFonts w:cstheme="minorHAnsi"/>
                <w:b w:val="0"/>
                <w:sz w:val="20"/>
                <w:szCs w:val="20"/>
              </w:rPr>
              <w:t>Queen Elizabeth Hospital</w:t>
            </w:r>
          </w:p>
        </w:tc>
        <w:tc>
          <w:tcPr>
            <w:tcW w:w="3544" w:type="dxa"/>
          </w:tcPr>
          <w:p w14:paraId="3F2D897D"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Public health provider</w:t>
            </w:r>
          </w:p>
        </w:tc>
        <w:tc>
          <w:tcPr>
            <w:tcW w:w="5007" w:type="dxa"/>
          </w:tcPr>
          <w:p w14:paraId="51004D49"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hyperlink r:id="rId85" w:history="1">
              <w:r w:rsidR="002B5462" w:rsidRPr="00012EE6">
                <w:rPr>
                  <w:rStyle w:val="Hyperlink"/>
                  <w:rFonts w:asciiTheme="minorHAnsi" w:hAnsiTheme="minorHAnsi" w:cstheme="minorHAnsi"/>
                  <w:sz w:val="20"/>
                  <w:szCs w:val="20"/>
                </w:rPr>
                <w:t>http://www.sahealth.sa.gov.au/wps/wcm/connect/public+content/sa+health+internet/health+services/hospitals+and+health+services+metropolitan+adelaide/the+queen+elizabeth+hospital/about+the+queen+elizabeth+hospital</w:t>
              </w:r>
            </w:hyperlink>
            <w:r w:rsidR="002B5462" w:rsidRPr="00012EE6">
              <w:rPr>
                <w:rFonts w:cstheme="minorHAnsi"/>
                <w:sz w:val="20"/>
                <w:szCs w:val="20"/>
                <w:u w:val="single"/>
              </w:rPr>
              <w:t xml:space="preserve"> </w:t>
            </w:r>
          </w:p>
        </w:tc>
      </w:tr>
      <w:tr w:rsidR="002B5462" w:rsidRPr="00322FB3" w14:paraId="475B4B71"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41E71A0A" w14:textId="77777777" w:rsidR="002B5462" w:rsidRPr="00012EE6" w:rsidRDefault="002B5462" w:rsidP="00012EE6">
            <w:pPr>
              <w:spacing w:after="120"/>
              <w:rPr>
                <w:rFonts w:cstheme="minorHAnsi"/>
                <w:b w:val="0"/>
                <w:sz w:val="20"/>
                <w:szCs w:val="20"/>
              </w:rPr>
            </w:pPr>
            <w:r w:rsidRPr="00012EE6">
              <w:rPr>
                <w:rFonts w:cstheme="minorHAnsi"/>
                <w:b w:val="0"/>
                <w:sz w:val="20"/>
                <w:szCs w:val="20"/>
              </w:rPr>
              <w:t>Flinders Medical Centre</w:t>
            </w:r>
          </w:p>
        </w:tc>
        <w:tc>
          <w:tcPr>
            <w:tcW w:w="3544" w:type="dxa"/>
          </w:tcPr>
          <w:p w14:paraId="59DECBC5"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Public health provider</w:t>
            </w:r>
          </w:p>
        </w:tc>
        <w:tc>
          <w:tcPr>
            <w:tcW w:w="5007" w:type="dxa"/>
          </w:tcPr>
          <w:p w14:paraId="533C321C"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https://www.flindersmedical.com.au/</w:t>
            </w:r>
          </w:p>
        </w:tc>
      </w:tr>
      <w:tr w:rsidR="002B5462" w:rsidRPr="00322FB3" w14:paraId="061737AF"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1469FDC7" w14:textId="228E82E7" w:rsidR="002B5462" w:rsidRPr="00012EE6" w:rsidRDefault="00322FB3" w:rsidP="00012EE6">
            <w:pPr>
              <w:spacing w:after="120"/>
              <w:rPr>
                <w:rFonts w:cstheme="minorHAnsi"/>
                <w:b w:val="0"/>
                <w:sz w:val="20"/>
                <w:szCs w:val="20"/>
              </w:rPr>
            </w:pPr>
            <w:r w:rsidRPr="00012EE6">
              <w:rPr>
                <w:rFonts w:cstheme="minorHAnsi"/>
                <w:b w:val="0"/>
                <w:sz w:val="20"/>
                <w:szCs w:val="20"/>
              </w:rPr>
              <w:lastRenderedPageBreak/>
              <w:t>Queensland</w:t>
            </w:r>
            <w:r w:rsidR="002B5462" w:rsidRPr="00012EE6">
              <w:rPr>
                <w:rFonts w:cstheme="minorHAnsi"/>
                <w:b w:val="0"/>
                <w:sz w:val="20"/>
                <w:szCs w:val="20"/>
              </w:rPr>
              <w:t xml:space="preserve"> Health </w:t>
            </w:r>
          </w:p>
        </w:tc>
        <w:tc>
          <w:tcPr>
            <w:tcW w:w="3544" w:type="dxa"/>
          </w:tcPr>
          <w:p w14:paraId="413978F6"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 xml:space="preserve">State Government </w:t>
            </w:r>
          </w:p>
        </w:tc>
        <w:tc>
          <w:tcPr>
            <w:tcW w:w="5007" w:type="dxa"/>
          </w:tcPr>
          <w:p w14:paraId="54E23BA6"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https://www.health.qld.gov.au/</w:t>
            </w:r>
          </w:p>
        </w:tc>
      </w:tr>
      <w:tr w:rsidR="002B5462" w:rsidRPr="00322FB3" w14:paraId="1FCDFE7E"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43BFE906" w14:textId="77777777" w:rsidR="002B5462" w:rsidRPr="00012EE6" w:rsidRDefault="002B5462" w:rsidP="00012EE6">
            <w:pPr>
              <w:spacing w:after="120"/>
              <w:rPr>
                <w:rFonts w:cstheme="minorHAnsi"/>
                <w:b w:val="0"/>
                <w:sz w:val="20"/>
                <w:szCs w:val="20"/>
              </w:rPr>
            </w:pPr>
            <w:r w:rsidRPr="00012EE6">
              <w:rPr>
                <w:rFonts w:cstheme="minorHAnsi"/>
                <w:b w:val="0"/>
                <w:sz w:val="20"/>
                <w:szCs w:val="20"/>
              </w:rPr>
              <w:t>Royal Brisbane and Women’s Hospital</w:t>
            </w:r>
          </w:p>
        </w:tc>
        <w:tc>
          <w:tcPr>
            <w:tcW w:w="3544" w:type="dxa"/>
          </w:tcPr>
          <w:p w14:paraId="345B6AB7"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Public health provider</w:t>
            </w:r>
          </w:p>
        </w:tc>
        <w:tc>
          <w:tcPr>
            <w:tcW w:w="5007" w:type="dxa"/>
          </w:tcPr>
          <w:p w14:paraId="3219B8A9"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https://metronorth.health.qld.gov.au/rbwh/</w:t>
            </w:r>
          </w:p>
        </w:tc>
      </w:tr>
      <w:tr w:rsidR="002B5462" w:rsidRPr="00322FB3" w14:paraId="0C96017A"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3CA8EC1C" w14:textId="77777777" w:rsidR="002B5462" w:rsidRPr="00012EE6" w:rsidRDefault="002B5462" w:rsidP="00012EE6">
            <w:pPr>
              <w:spacing w:after="120"/>
              <w:rPr>
                <w:rFonts w:cstheme="minorHAnsi"/>
                <w:b w:val="0"/>
                <w:sz w:val="20"/>
                <w:szCs w:val="20"/>
              </w:rPr>
            </w:pPr>
            <w:r w:rsidRPr="00012EE6">
              <w:rPr>
                <w:rFonts w:cstheme="minorHAnsi"/>
                <w:b w:val="0"/>
                <w:sz w:val="20"/>
                <w:szCs w:val="20"/>
              </w:rPr>
              <w:t xml:space="preserve">Redcliffe Hospital </w:t>
            </w:r>
          </w:p>
        </w:tc>
        <w:tc>
          <w:tcPr>
            <w:tcW w:w="3544" w:type="dxa"/>
          </w:tcPr>
          <w:p w14:paraId="3776BAD3"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Public health provider</w:t>
            </w:r>
          </w:p>
        </w:tc>
        <w:tc>
          <w:tcPr>
            <w:tcW w:w="5007" w:type="dxa"/>
          </w:tcPr>
          <w:p w14:paraId="60EA0385"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012EE6">
              <w:rPr>
                <w:rFonts w:cstheme="minorHAnsi"/>
                <w:sz w:val="20"/>
                <w:szCs w:val="20"/>
                <w:u w:val="single"/>
              </w:rPr>
              <w:t>https://metronorth.health.qld.gov.au/redcliffe/</w:t>
            </w:r>
          </w:p>
        </w:tc>
      </w:tr>
      <w:tr w:rsidR="002B5462" w:rsidRPr="00322FB3" w14:paraId="483CC54D"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71C357F8" w14:textId="77777777" w:rsidR="002B5462" w:rsidRPr="00012EE6" w:rsidRDefault="002B5462" w:rsidP="00012EE6">
            <w:pPr>
              <w:spacing w:after="120"/>
              <w:rPr>
                <w:rFonts w:cstheme="minorHAnsi"/>
                <w:b w:val="0"/>
                <w:sz w:val="20"/>
                <w:szCs w:val="20"/>
              </w:rPr>
            </w:pPr>
            <w:r w:rsidRPr="00012EE6">
              <w:rPr>
                <w:rFonts w:cstheme="minorHAnsi"/>
                <w:b w:val="0"/>
                <w:sz w:val="20"/>
                <w:szCs w:val="20"/>
              </w:rPr>
              <w:t>Tasmanian Department of Health</w:t>
            </w:r>
          </w:p>
        </w:tc>
        <w:tc>
          <w:tcPr>
            <w:tcW w:w="3544" w:type="dxa"/>
          </w:tcPr>
          <w:p w14:paraId="6E12BD34"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 xml:space="preserve">State government </w:t>
            </w:r>
          </w:p>
        </w:tc>
        <w:tc>
          <w:tcPr>
            <w:tcW w:w="5007" w:type="dxa"/>
          </w:tcPr>
          <w:p w14:paraId="5FF15452"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http://www.dhhs.tas.gov.au/</w:t>
            </w:r>
          </w:p>
        </w:tc>
      </w:tr>
      <w:tr w:rsidR="002B5462" w:rsidRPr="00322FB3" w14:paraId="1EB81644"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5E69E9F2" w14:textId="77777777" w:rsidR="002B5462" w:rsidRPr="00012EE6" w:rsidRDefault="002B5462" w:rsidP="00012EE6">
            <w:pPr>
              <w:spacing w:after="120"/>
              <w:rPr>
                <w:rFonts w:cstheme="minorHAnsi"/>
                <w:b w:val="0"/>
                <w:sz w:val="20"/>
                <w:szCs w:val="20"/>
              </w:rPr>
            </w:pPr>
            <w:r w:rsidRPr="00012EE6">
              <w:rPr>
                <w:rFonts w:cstheme="minorHAnsi"/>
                <w:b w:val="0"/>
                <w:sz w:val="20"/>
                <w:szCs w:val="20"/>
              </w:rPr>
              <w:t>Hobart Hospital</w:t>
            </w:r>
          </w:p>
        </w:tc>
        <w:tc>
          <w:tcPr>
            <w:tcW w:w="3544" w:type="dxa"/>
          </w:tcPr>
          <w:p w14:paraId="2040D3FD"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Public health provider</w:t>
            </w:r>
          </w:p>
        </w:tc>
        <w:tc>
          <w:tcPr>
            <w:tcW w:w="5007" w:type="dxa"/>
          </w:tcPr>
          <w:p w14:paraId="72115A0A"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012EE6">
              <w:rPr>
                <w:rFonts w:cstheme="minorHAnsi"/>
                <w:sz w:val="20"/>
                <w:szCs w:val="20"/>
                <w:u w:val="single"/>
              </w:rPr>
              <w:t>http://www.dhhs.tas.gov.au/hospital/royal-hobart-hospital</w:t>
            </w:r>
          </w:p>
        </w:tc>
      </w:tr>
      <w:tr w:rsidR="002B5462" w:rsidRPr="00322FB3" w14:paraId="0298D0D3" w14:textId="77777777" w:rsidTr="006C7213">
        <w:trPr>
          <w:trHeight w:val="60"/>
        </w:trPr>
        <w:tc>
          <w:tcPr>
            <w:cnfStyle w:val="001000000000" w:firstRow="0" w:lastRow="0" w:firstColumn="1" w:lastColumn="0" w:oddVBand="0" w:evenVBand="0" w:oddHBand="0" w:evenHBand="0" w:firstRowFirstColumn="0" w:firstRowLastColumn="0" w:lastRowFirstColumn="0" w:lastRowLastColumn="0"/>
            <w:tcW w:w="5449" w:type="dxa"/>
          </w:tcPr>
          <w:p w14:paraId="173AE015" w14:textId="77777777" w:rsidR="002B5462" w:rsidRPr="00012EE6" w:rsidRDefault="002B5462" w:rsidP="00012EE6">
            <w:pPr>
              <w:spacing w:after="120"/>
              <w:rPr>
                <w:rFonts w:cstheme="minorHAnsi"/>
                <w:b w:val="0"/>
                <w:sz w:val="20"/>
                <w:szCs w:val="20"/>
              </w:rPr>
            </w:pPr>
            <w:r w:rsidRPr="00012EE6">
              <w:rPr>
                <w:rFonts w:cstheme="minorHAnsi"/>
                <w:b w:val="0"/>
                <w:sz w:val="20"/>
                <w:szCs w:val="20"/>
              </w:rPr>
              <w:t>WA Department of Health</w:t>
            </w:r>
          </w:p>
        </w:tc>
        <w:tc>
          <w:tcPr>
            <w:tcW w:w="3544" w:type="dxa"/>
          </w:tcPr>
          <w:p w14:paraId="48B35401"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 xml:space="preserve">State Government </w:t>
            </w:r>
          </w:p>
        </w:tc>
        <w:tc>
          <w:tcPr>
            <w:tcW w:w="5007" w:type="dxa"/>
          </w:tcPr>
          <w:p w14:paraId="22AA840E"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http://ww2.health.wa.gov.au/</w:t>
            </w:r>
          </w:p>
        </w:tc>
      </w:tr>
      <w:tr w:rsidR="002B5462" w:rsidRPr="00322FB3" w14:paraId="304C7BA1"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3B8FE9EC" w14:textId="77777777" w:rsidR="002B5462" w:rsidRPr="00012EE6" w:rsidRDefault="002B5462" w:rsidP="00012EE6">
            <w:pPr>
              <w:spacing w:after="120"/>
              <w:rPr>
                <w:rFonts w:cstheme="minorHAnsi"/>
                <w:b w:val="0"/>
                <w:sz w:val="20"/>
                <w:szCs w:val="20"/>
              </w:rPr>
            </w:pPr>
            <w:r w:rsidRPr="00012EE6">
              <w:rPr>
                <w:rFonts w:cstheme="minorHAnsi"/>
                <w:b w:val="0"/>
                <w:sz w:val="20"/>
                <w:szCs w:val="20"/>
              </w:rPr>
              <w:t>Royal Perth Hospital</w:t>
            </w:r>
          </w:p>
        </w:tc>
        <w:tc>
          <w:tcPr>
            <w:tcW w:w="3544" w:type="dxa"/>
          </w:tcPr>
          <w:p w14:paraId="1B0DD037"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Public health provider</w:t>
            </w:r>
          </w:p>
        </w:tc>
        <w:tc>
          <w:tcPr>
            <w:tcW w:w="5007" w:type="dxa"/>
          </w:tcPr>
          <w:p w14:paraId="7BF9916A"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hyperlink r:id="rId86" w:history="1">
              <w:r w:rsidR="002B5462" w:rsidRPr="00012EE6">
                <w:rPr>
                  <w:rStyle w:val="Hyperlink"/>
                  <w:rFonts w:asciiTheme="minorHAnsi" w:hAnsiTheme="minorHAnsi" w:cstheme="minorHAnsi"/>
                  <w:sz w:val="20"/>
                  <w:szCs w:val="20"/>
                </w:rPr>
                <w:t>http://www.rph.wa.gov.au/</w:t>
              </w:r>
            </w:hyperlink>
            <w:r w:rsidR="002B5462" w:rsidRPr="00012EE6">
              <w:rPr>
                <w:rFonts w:cstheme="minorHAnsi"/>
                <w:sz w:val="20"/>
                <w:szCs w:val="20"/>
              </w:rPr>
              <w:t xml:space="preserve"> </w:t>
            </w:r>
          </w:p>
        </w:tc>
      </w:tr>
      <w:tr w:rsidR="002B5462" w:rsidRPr="00322FB3" w14:paraId="5152C119"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012FAD87" w14:textId="77777777" w:rsidR="002B5462" w:rsidRPr="00012EE6" w:rsidRDefault="002B5462" w:rsidP="00012EE6">
            <w:pPr>
              <w:spacing w:after="120"/>
              <w:rPr>
                <w:rFonts w:cstheme="minorHAnsi"/>
                <w:b w:val="0"/>
                <w:sz w:val="20"/>
                <w:szCs w:val="20"/>
              </w:rPr>
            </w:pPr>
            <w:r w:rsidRPr="00012EE6">
              <w:rPr>
                <w:rFonts w:cstheme="minorHAnsi"/>
                <w:b w:val="0"/>
                <w:sz w:val="20"/>
                <w:szCs w:val="20"/>
              </w:rPr>
              <w:t xml:space="preserve">South Perth Hospital </w:t>
            </w:r>
          </w:p>
        </w:tc>
        <w:tc>
          <w:tcPr>
            <w:tcW w:w="3544" w:type="dxa"/>
          </w:tcPr>
          <w:p w14:paraId="1D20C5F3"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Public health provider</w:t>
            </w:r>
          </w:p>
        </w:tc>
        <w:tc>
          <w:tcPr>
            <w:tcW w:w="5007" w:type="dxa"/>
          </w:tcPr>
          <w:p w14:paraId="0D56ADB5"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color w:val="0000FF" w:themeColor="hyperlink"/>
                <w:sz w:val="20"/>
                <w:szCs w:val="20"/>
                <w:u w:val="single"/>
              </w:rPr>
            </w:pPr>
            <w:hyperlink r:id="rId87" w:history="1">
              <w:r w:rsidR="002B5462" w:rsidRPr="00012EE6">
                <w:rPr>
                  <w:rStyle w:val="Hyperlink"/>
                  <w:rFonts w:asciiTheme="minorHAnsi" w:hAnsiTheme="minorHAnsi" w:cstheme="minorHAnsi"/>
                  <w:sz w:val="20"/>
                  <w:szCs w:val="20"/>
                </w:rPr>
                <w:t>http://www.sph.org.au/</w:t>
              </w:r>
            </w:hyperlink>
            <w:r w:rsidR="002B5462" w:rsidRPr="00012EE6">
              <w:rPr>
                <w:rFonts w:cstheme="minorHAnsi"/>
                <w:sz w:val="20"/>
                <w:szCs w:val="20"/>
              </w:rPr>
              <w:t xml:space="preserve"> </w:t>
            </w:r>
          </w:p>
        </w:tc>
      </w:tr>
      <w:tr w:rsidR="00322FB3" w:rsidRPr="00322FB3" w14:paraId="770257B5"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shd w:val="clear" w:color="auto" w:fill="00A9DD" w:themeFill="accent2"/>
          </w:tcPr>
          <w:p w14:paraId="4716BF99" w14:textId="782AFEA3" w:rsidR="00322FB3" w:rsidRPr="00322FB3" w:rsidRDefault="00322FB3" w:rsidP="00012EE6">
            <w:pPr>
              <w:spacing w:after="120"/>
              <w:rPr>
                <w:rFonts w:cstheme="minorHAnsi"/>
                <w:b w:val="0"/>
                <w:sz w:val="20"/>
                <w:szCs w:val="20"/>
              </w:rPr>
            </w:pPr>
            <w:r>
              <w:rPr>
                <w:rFonts w:cstheme="minorHAnsi"/>
                <w:color w:val="FFFFFF" w:themeColor="background1"/>
              </w:rPr>
              <w:t>International</w:t>
            </w:r>
            <w:r w:rsidRPr="00831F44">
              <w:rPr>
                <w:rFonts w:cstheme="minorHAnsi"/>
                <w:color w:val="FFFFFF" w:themeColor="background1"/>
              </w:rPr>
              <w:t xml:space="preserve"> Organisations</w:t>
            </w:r>
          </w:p>
        </w:tc>
        <w:tc>
          <w:tcPr>
            <w:tcW w:w="3544" w:type="dxa"/>
            <w:shd w:val="clear" w:color="auto" w:fill="00A9DD" w:themeFill="accent2"/>
          </w:tcPr>
          <w:p w14:paraId="4EC11E0F" w14:textId="1E6D2A28" w:rsidR="00322FB3" w:rsidRPr="00322FB3" w:rsidRDefault="00322FB3"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007" w:type="dxa"/>
            <w:shd w:val="clear" w:color="auto" w:fill="00A9DD" w:themeFill="accent2"/>
          </w:tcPr>
          <w:p w14:paraId="61AAF83E" w14:textId="0A7A1134" w:rsidR="00322FB3" w:rsidRPr="00322FB3" w:rsidRDefault="00322FB3"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322FB3" w:rsidRPr="00322FB3" w14:paraId="6D70B74F" w14:textId="77777777" w:rsidTr="006C7213">
        <w:tc>
          <w:tcPr>
            <w:cnfStyle w:val="001000000000" w:firstRow="0" w:lastRow="0" w:firstColumn="1" w:lastColumn="0" w:oddVBand="0" w:evenVBand="0" w:oddHBand="0" w:evenHBand="0" w:firstRowFirstColumn="0" w:firstRowLastColumn="0" w:lastRowFirstColumn="0" w:lastRowLastColumn="0"/>
            <w:tcW w:w="5449" w:type="dxa"/>
            <w:shd w:val="clear" w:color="auto" w:fill="C2E9F8" w:themeFill="text2" w:themeFillTint="33"/>
          </w:tcPr>
          <w:p w14:paraId="032A7D34" w14:textId="0BA0D8FC" w:rsidR="00322FB3" w:rsidRPr="00322FB3" w:rsidRDefault="00322FB3" w:rsidP="00012EE6">
            <w:pPr>
              <w:spacing w:after="120"/>
              <w:rPr>
                <w:rFonts w:cstheme="minorHAnsi"/>
                <w:b w:val="0"/>
                <w:sz w:val="20"/>
                <w:szCs w:val="20"/>
              </w:rPr>
            </w:pPr>
            <w:r w:rsidRPr="00831F44">
              <w:rPr>
                <w:rFonts w:cstheme="minorHAnsi"/>
              </w:rPr>
              <w:t>Organisation name</w:t>
            </w:r>
          </w:p>
        </w:tc>
        <w:tc>
          <w:tcPr>
            <w:tcW w:w="3544" w:type="dxa"/>
            <w:shd w:val="clear" w:color="auto" w:fill="C2E9F8" w:themeFill="text2" w:themeFillTint="33"/>
          </w:tcPr>
          <w:p w14:paraId="1011EF2A" w14:textId="07F29FE8" w:rsidR="00322FB3" w:rsidRPr="00012EE6" w:rsidRDefault="00322FB3" w:rsidP="00012EE6">
            <w:pPr>
              <w:spacing w:after="1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12EE6">
              <w:rPr>
                <w:b/>
              </w:rPr>
              <w:t>Organisation type</w:t>
            </w:r>
          </w:p>
        </w:tc>
        <w:tc>
          <w:tcPr>
            <w:tcW w:w="5007" w:type="dxa"/>
            <w:shd w:val="clear" w:color="auto" w:fill="C2E9F8" w:themeFill="text2" w:themeFillTint="33"/>
          </w:tcPr>
          <w:p w14:paraId="1B10C560" w14:textId="01ED3A9C" w:rsidR="00322FB3" w:rsidRPr="00012EE6" w:rsidRDefault="00322FB3" w:rsidP="00012EE6">
            <w:pPr>
              <w:spacing w:after="120"/>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012EE6">
              <w:rPr>
                <w:b/>
              </w:rPr>
              <w:t>Homepage URL</w:t>
            </w:r>
          </w:p>
        </w:tc>
      </w:tr>
      <w:tr w:rsidR="002B5462" w:rsidRPr="00322FB3" w14:paraId="621C2913"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6EC6B116" w14:textId="77777777" w:rsidR="002B5462" w:rsidRPr="00012EE6" w:rsidRDefault="002B5462" w:rsidP="00012EE6">
            <w:pPr>
              <w:spacing w:after="120"/>
              <w:rPr>
                <w:rFonts w:cstheme="minorHAnsi"/>
                <w:b w:val="0"/>
                <w:sz w:val="20"/>
                <w:szCs w:val="20"/>
              </w:rPr>
            </w:pPr>
            <w:r w:rsidRPr="00012EE6">
              <w:rPr>
                <w:rFonts w:cstheme="minorHAnsi"/>
                <w:b w:val="0"/>
                <w:sz w:val="20"/>
                <w:szCs w:val="20"/>
              </w:rPr>
              <w:t>Canadian Institute for Health Information</w:t>
            </w:r>
          </w:p>
        </w:tc>
        <w:tc>
          <w:tcPr>
            <w:tcW w:w="3544" w:type="dxa"/>
          </w:tcPr>
          <w:p w14:paraId="578488C9"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Independent non-for-profit</w:t>
            </w:r>
          </w:p>
        </w:tc>
        <w:tc>
          <w:tcPr>
            <w:tcW w:w="5007" w:type="dxa"/>
          </w:tcPr>
          <w:p w14:paraId="12806129"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color w:val="0000FF" w:themeColor="hyperlink"/>
                <w:sz w:val="20"/>
                <w:szCs w:val="20"/>
                <w:u w:val="single"/>
              </w:rPr>
            </w:pPr>
            <w:hyperlink r:id="rId88" w:history="1">
              <w:r w:rsidR="002B5462" w:rsidRPr="00012EE6">
                <w:rPr>
                  <w:rStyle w:val="Hyperlink"/>
                  <w:rFonts w:asciiTheme="minorHAnsi" w:hAnsiTheme="minorHAnsi" w:cstheme="minorHAnsi"/>
                  <w:sz w:val="20"/>
                  <w:szCs w:val="20"/>
                </w:rPr>
                <w:t>https://www.cihi.ca/en</w:t>
              </w:r>
            </w:hyperlink>
            <w:r w:rsidR="002B5462" w:rsidRPr="00012EE6">
              <w:rPr>
                <w:rFonts w:cstheme="minorHAnsi"/>
                <w:sz w:val="20"/>
                <w:szCs w:val="20"/>
              </w:rPr>
              <w:t xml:space="preserve"> </w:t>
            </w:r>
          </w:p>
        </w:tc>
      </w:tr>
      <w:tr w:rsidR="002B5462" w:rsidRPr="00322FB3" w14:paraId="18783C4E"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6D60AD2B" w14:textId="77777777" w:rsidR="002B5462" w:rsidRPr="00012EE6" w:rsidRDefault="002B5462" w:rsidP="00012EE6">
            <w:pPr>
              <w:spacing w:after="120"/>
              <w:rPr>
                <w:rFonts w:cstheme="minorHAnsi"/>
                <w:b w:val="0"/>
                <w:sz w:val="20"/>
                <w:szCs w:val="20"/>
              </w:rPr>
            </w:pPr>
            <w:r w:rsidRPr="00012EE6">
              <w:rPr>
                <w:rFonts w:cstheme="minorHAnsi"/>
                <w:b w:val="0"/>
                <w:sz w:val="20"/>
                <w:szCs w:val="20"/>
              </w:rPr>
              <w:t>Canadian patient safety institute</w:t>
            </w:r>
          </w:p>
        </w:tc>
        <w:tc>
          <w:tcPr>
            <w:tcW w:w="3544" w:type="dxa"/>
          </w:tcPr>
          <w:p w14:paraId="30E040B6"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Independent non-for-profit</w:t>
            </w:r>
          </w:p>
        </w:tc>
        <w:tc>
          <w:tcPr>
            <w:tcW w:w="5007" w:type="dxa"/>
          </w:tcPr>
          <w:p w14:paraId="261F43C9"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http://www.patientsafetyinstitute.ca/en/Pages/default.aspx</w:t>
            </w:r>
          </w:p>
        </w:tc>
      </w:tr>
      <w:tr w:rsidR="002B5462" w:rsidRPr="00322FB3" w14:paraId="4A337200"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57AE3E59" w14:textId="77777777" w:rsidR="002B5462" w:rsidRPr="00012EE6" w:rsidRDefault="002B5462" w:rsidP="00012EE6">
            <w:pPr>
              <w:spacing w:after="120"/>
              <w:rPr>
                <w:rFonts w:cstheme="minorHAnsi"/>
                <w:b w:val="0"/>
                <w:sz w:val="20"/>
                <w:szCs w:val="20"/>
              </w:rPr>
            </w:pPr>
            <w:r w:rsidRPr="00012EE6">
              <w:rPr>
                <w:rFonts w:cstheme="minorHAnsi"/>
                <w:b w:val="0"/>
                <w:sz w:val="20"/>
                <w:szCs w:val="20"/>
              </w:rPr>
              <w:t>Province of British Columbia Ministry of Health</w:t>
            </w:r>
          </w:p>
        </w:tc>
        <w:tc>
          <w:tcPr>
            <w:tcW w:w="3544" w:type="dxa"/>
          </w:tcPr>
          <w:p w14:paraId="529AB725"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Canadian government</w:t>
            </w:r>
          </w:p>
        </w:tc>
        <w:tc>
          <w:tcPr>
            <w:tcW w:w="5007" w:type="dxa"/>
          </w:tcPr>
          <w:p w14:paraId="1470E5FA"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https://www2.gov.bc.ca/gov/content/health</w:t>
            </w:r>
          </w:p>
        </w:tc>
      </w:tr>
      <w:tr w:rsidR="002B5462" w:rsidRPr="00322FB3" w14:paraId="65DC548C"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32A93D19" w14:textId="77777777" w:rsidR="002B5462" w:rsidRPr="00012EE6" w:rsidRDefault="002B5462" w:rsidP="00012EE6">
            <w:pPr>
              <w:spacing w:after="120"/>
              <w:rPr>
                <w:rFonts w:cstheme="minorHAnsi"/>
                <w:b w:val="0"/>
                <w:sz w:val="20"/>
                <w:szCs w:val="20"/>
              </w:rPr>
            </w:pPr>
            <w:r w:rsidRPr="00012EE6">
              <w:rPr>
                <w:rFonts w:cstheme="minorHAnsi"/>
                <w:b w:val="0"/>
                <w:sz w:val="20"/>
                <w:szCs w:val="20"/>
              </w:rPr>
              <w:t>Ontario Ministry of Health</w:t>
            </w:r>
          </w:p>
        </w:tc>
        <w:tc>
          <w:tcPr>
            <w:tcW w:w="3544" w:type="dxa"/>
          </w:tcPr>
          <w:p w14:paraId="2199AC6B"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Canadian government</w:t>
            </w:r>
          </w:p>
        </w:tc>
        <w:tc>
          <w:tcPr>
            <w:tcW w:w="5007" w:type="dxa"/>
          </w:tcPr>
          <w:p w14:paraId="1F785186"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http://www.health.gov.on.ca/en/</w:t>
            </w:r>
          </w:p>
        </w:tc>
      </w:tr>
      <w:tr w:rsidR="002B5462" w:rsidRPr="00322FB3" w14:paraId="34BF4BF7"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50A47B04" w14:textId="77777777" w:rsidR="002B5462" w:rsidRPr="00012EE6" w:rsidRDefault="002B5462" w:rsidP="00012EE6">
            <w:pPr>
              <w:spacing w:after="120"/>
              <w:rPr>
                <w:rFonts w:cstheme="minorHAnsi"/>
                <w:b w:val="0"/>
                <w:sz w:val="20"/>
                <w:szCs w:val="20"/>
              </w:rPr>
            </w:pPr>
            <w:r w:rsidRPr="00012EE6">
              <w:rPr>
                <w:rFonts w:cstheme="minorHAnsi"/>
                <w:b w:val="0"/>
                <w:sz w:val="20"/>
                <w:szCs w:val="20"/>
              </w:rPr>
              <w:t>Netherlands</w:t>
            </w:r>
          </w:p>
        </w:tc>
        <w:tc>
          <w:tcPr>
            <w:tcW w:w="3544" w:type="dxa"/>
          </w:tcPr>
          <w:p w14:paraId="51102178"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 xml:space="preserve">National Government </w:t>
            </w:r>
          </w:p>
        </w:tc>
        <w:tc>
          <w:tcPr>
            <w:tcW w:w="5007" w:type="dxa"/>
          </w:tcPr>
          <w:p w14:paraId="72E0CA56"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https://www.government.nl/topics/quality-of-healthcare/safety-and-healthcare</w:t>
            </w:r>
          </w:p>
        </w:tc>
      </w:tr>
      <w:tr w:rsidR="002B5462" w:rsidRPr="00322FB3" w14:paraId="03EEB05B"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29D20CFC" w14:textId="77777777" w:rsidR="002B5462" w:rsidRPr="00012EE6" w:rsidRDefault="002B5462" w:rsidP="00012EE6">
            <w:pPr>
              <w:spacing w:after="120"/>
              <w:rPr>
                <w:rFonts w:cstheme="minorHAnsi"/>
                <w:b w:val="0"/>
                <w:sz w:val="20"/>
                <w:szCs w:val="20"/>
              </w:rPr>
            </w:pPr>
            <w:r w:rsidRPr="00012EE6">
              <w:rPr>
                <w:rFonts w:cstheme="minorHAnsi"/>
                <w:b w:val="0"/>
                <w:sz w:val="20"/>
                <w:szCs w:val="20"/>
              </w:rPr>
              <w:t>US Department of Health and Human Services</w:t>
            </w:r>
          </w:p>
        </w:tc>
        <w:tc>
          <w:tcPr>
            <w:tcW w:w="3544" w:type="dxa"/>
          </w:tcPr>
          <w:p w14:paraId="7A48F99C"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National government</w:t>
            </w:r>
          </w:p>
        </w:tc>
        <w:tc>
          <w:tcPr>
            <w:tcW w:w="5007" w:type="dxa"/>
          </w:tcPr>
          <w:p w14:paraId="5C9CBC3F"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u w:val="single"/>
              </w:rPr>
            </w:pPr>
            <w:r w:rsidRPr="00012EE6">
              <w:rPr>
                <w:rFonts w:cstheme="minorHAnsi"/>
                <w:sz w:val="20"/>
                <w:szCs w:val="20"/>
                <w:u w:val="single"/>
              </w:rPr>
              <w:t>https://www.hhs.gov/</w:t>
            </w:r>
          </w:p>
        </w:tc>
      </w:tr>
      <w:tr w:rsidR="002B5462" w:rsidRPr="00322FB3" w14:paraId="53E4CAB1"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76F04302" w14:textId="77777777" w:rsidR="002B5462" w:rsidRPr="00012EE6" w:rsidRDefault="002B5462" w:rsidP="00012EE6">
            <w:pPr>
              <w:spacing w:after="120"/>
              <w:rPr>
                <w:rFonts w:cstheme="minorHAnsi"/>
                <w:b w:val="0"/>
                <w:sz w:val="20"/>
                <w:szCs w:val="20"/>
              </w:rPr>
            </w:pPr>
            <w:r w:rsidRPr="00012EE6">
              <w:rPr>
                <w:rFonts w:cstheme="minorHAnsi"/>
                <w:b w:val="0"/>
                <w:sz w:val="20"/>
                <w:szCs w:val="20"/>
              </w:rPr>
              <w:t>Medicare.gov</w:t>
            </w:r>
          </w:p>
        </w:tc>
        <w:tc>
          <w:tcPr>
            <w:tcW w:w="3544" w:type="dxa"/>
          </w:tcPr>
          <w:p w14:paraId="7A47AD84"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National government</w:t>
            </w:r>
          </w:p>
        </w:tc>
        <w:tc>
          <w:tcPr>
            <w:tcW w:w="5007" w:type="dxa"/>
          </w:tcPr>
          <w:p w14:paraId="2AD8A2A8"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u w:val="single"/>
              </w:rPr>
            </w:pPr>
            <w:hyperlink r:id="rId89" w:history="1">
              <w:r w:rsidR="002B5462" w:rsidRPr="00012EE6">
                <w:rPr>
                  <w:rStyle w:val="Hyperlink"/>
                  <w:rFonts w:asciiTheme="minorHAnsi" w:hAnsiTheme="minorHAnsi" w:cstheme="minorHAnsi"/>
                  <w:sz w:val="20"/>
                  <w:szCs w:val="20"/>
                </w:rPr>
                <w:t>https://www.medicare.gov/</w:t>
              </w:r>
            </w:hyperlink>
          </w:p>
        </w:tc>
      </w:tr>
      <w:tr w:rsidR="002B5462" w:rsidRPr="00322FB3" w14:paraId="7E109888"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0B40C2F8" w14:textId="77777777" w:rsidR="002B5462" w:rsidRPr="00012EE6" w:rsidRDefault="002B5462" w:rsidP="00012EE6">
            <w:pPr>
              <w:spacing w:after="120"/>
              <w:rPr>
                <w:rFonts w:cstheme="minorHAnsi"/>
                <w:b w:val="0"/>
                <w:sz w:val="20"/>
                <w:szCs w:val="20"/>
              </w:rPr>
            </w:pPr>
            <w:r w:rsidRPr="00012EE6">
              <w:rPr>
                <w:rFonts w:cstheme="minorHAnsi"/>
                <w:b w:val="0"/>
                <w:color w:val="000000"/>
                <w:sz w:val="20"/>
                <w:szCs w:val="20"/>
              </w:rPr>
              <w:t>Agency for Healthcare Research and Quality</w:t>
            </w:r>
          </w:p>
        </w:tc>
        <w:tc>
          <w:tcPr>
            <w:tcW w:w="3544" w:type="dxa"/>
          </w:tcPr>
          <w:p w14:paraId="4E844F54"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National government</w:t>
            </w:r>
          </w:p>
        </w:tc>
        <w:tc>
          <w:tcPr>
            <w:tcW w:w="5007" w:type="dxa"/>
          </w:tcPr>
          <w:p w14:paraId="44E41BF0"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90" w:history="1">
              <w:r w:rsidR="002B5462" w:rsidRPr="00012EE6">
                <w:rPr>
                  <w:rStyle w:val="Hyperlink"/>
                  <w:rFonts w:asciiTheme="minorHAnsi" w:hAnsiTheme="minorHAnsi" w:cstheme="minorHAnsi"/>
                  <w:sz w:val="20"/>
                  <w:szCs w:val="20"/>
                </w:rPr>
                <w:t>https://www.ahrq.gov/</w:t>
              </w:r>
            </w:hyperlink>
          </w:p>
        </w:tc>
      </w:tr>
      <w:tr w:rsidR="002B5462" w:rsidRPr="00322FB3" w14:paraId="2E62784C"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5DB88B25" w14:textId="77777777" w:rsidR="002B5462" w:rsidRPr="00012EE6" w:rsidRDefault="002B5462" w:rsidP="00012EE6">
            <w:pPr>
              <w:spacing w:after="120"/>
              <w:rPr>
                <w:rFonts w:cstheme="minorHAnsi"/>
                <w:b w:val="0"/>
                <w:color w:val="000000"/>
                <w:sz w:val="20"/>
                <w:szCs w:val="20"/>
              </w:rPr>
            </w:pPr>
            <w:r w:rsidRPr="00012EE6">
              <w:rPr>
                <w:rFonts w:cstheme="minorHAnsi"/>
                <w:b w:val="0"/>
                <w:color w:val="000000"/>
                <w:sz w:val="20"/>
                <w:szCs w:val="20"/>
              </w:rPr>
              <w:t>Leapfrog Group</w:t>
            </w:r>
          </w:p>
        </w:tc>
        <w:tc>
          <w:tcPr>
            <w:tcW w:w="3544" w:type="dxa"/>
          </w:tcPr>
          <w:p w14:paraId="0BBF0075"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Independent non-for-profit</w:t>
            </w:r>
          </w:p>
        </w:tc>
        <w:tc>
          <w:tcPr>
            <w:tcW w:w="5007" w:type="dxa"/>
          </w:tcPr>
          <w:p w14:paraId="39813F34"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91" w:history="1">
              <w:r w:rsidR="002B5462" w:rsidRPr="00012EE6">
                <w:rPr>
                  <w:rStyle w:val="Hyperlink"/>
                  <w:rFonts w:asciiTheme="minorHAnsi" w:hAnsiTheme="minorHAnsi" w:cstheme="minorHAnsi"/>
                  <w:sz w:val="20"/>
                  <w:szCs w:val="20"/>
                </w:rPr>
                <w:t>http://www.leapfroggroup.org/</w:t>
              </w:r>
            </w:hyperlink>
          </w:p>
        </w:tc>
      </w:tr>
      <w:tr w:rsidR="002B5462" w:rsidRPr="00322FB3" w14:paraId="2AD40D5B" w14:textId="77777777" w:rsidTr="006C7213">
        <w:tc>
          <w:tcPr>
            <w:cnfStyle w:val="001000000000" w:firstRow="0" w:lastRow="0" w:firstColumn="1" w:lastColumn="0" w:oddVBand="0" w:evenVBand="0" w:oddHBand="0" w:evenHBand="0" w:firstRowFirstColumn="0" w:firstRowLastColumn="0" w:lastRowFirstColumn="0" w:lastRowLastColumn="0"/>
            <w:tcW w:w="5449" w:type="dxa"/>
          </w:tcPr>
          <w:p w14:paraId="12ADBD40" w14:textId="77777777" w:rsidR="002B5462" w:rsidRPr="00012EE6" w:rsidRDefault="002B5462" w:rsidP="00012EE6">
            <w:pPr>
              <w:spacing w:after="120"/>
              <w:rPr>
                <w:rFonts w:cstheme="minorHAnsi"/>
                <w:b w:val="0"/>
                <w:color w:val="000000"/>
                <w:sz w:val="20"/>
                <w:szCs w:val="20"/>
              </w:rPr>
            </w:pPr>
            <w:r w:rsidRPr="00012EE6">
              <w:rPr>
                <w:rFonts w:cstheme="minorHAnsi"/>
                <w:b w:val="0"/>
                <w:color w:val="000000"/>
                <w:sz w:val="20"/>
                <w:szCs w:val="20"/>
              </w:rPr>
              <w:t>Joint Commission</w:t>
            </w:r>
          </w:p>
        </w:tc>
        <w:tc>
          <w:tcPr>
            <w:tcW w:w="3544" w:type="dxa"/>
          </w:tcPr>
          <w:p w14:paraId="2E41F839" w14:textId="77777777" w:rsidR="002B5462" w:rsidRPr="00012EE6" w:rsidRDefault="002B5462"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012EE6">
              <w:rPr>
                <w:rFonts w:cstheme="minorHAnsi"/>
                <w:sz w:val="20"/>
                <w:szCs w:val="20"/>
              </w:rPr>
              <w:t>Independent non-for-profit</w:t>
            </w:r>
          </w:p>
        </w:tc>
        <w:tc>
          <w:tcPr>
            <w:tcW w:w="5007" w:type="dxa"/>
          </w:tcPr>
          <w:p w14:paraId="33DC707C" w14:textId="77777777" w:rsidR="002B5462" w:rsidRPr="00012EE6" w:rsidRDefault="00B329FD" w:rsidP="00012EE6">
            <w:pPr>
              <w:spacing w:after="120"/>
              <w:cnfStyle w:val="000000000000" w:firstRow="0" w:lastRow="0" w:firstColumn="0" w:lastColumn="0" w:oddVBand="0" w:evenVBand="0" w:oddHBand="0" w:evenHBand="0" w:firstRowFirstColumn="0" w:firstRowLastColumn="0" w:lastRowFirstColumn="0" w:lastRowLastColumn="0"/>
              <w:rPr>
                <w:rFonts w:cstheme="minorHAnsi"/>
                <w:sz w:val="20"/>
                <w:szCs w:val="20"/>
              </w:rPr>
            </w:pPr>
            <w:hyperlink r:id="rId92" w:history="1">
              <w:r w:rsidR="002B5462" w:rsidRPr="00012EE6">
                <w:rPr>
                  <w:rStyle w:val="Hyperlink"/>
                  <w:rFonts w:asciiTheme="minorHAnsi" w:hAnsiTheme="minorHAnsi" w:cstheme="minorHAnsi"/>
                  <w:sz w:val="20"/>
                  <w:szCs w:val="20"/>
                </w:rPr>
                <w:t>https://www.jointcommission.org/</w:t>
              </w:r>
            </w:hyperlink>
            <w:r w:rsidR="002B5462" w:rsidRPr="00012EE6">
              <w:rPr>
                <w:rFonts w:cstheme="minorHAnsi"/>
                <w:sz w:val="20"/>
                <w:szCs w:val="20"/>
              </w:rPr>
              <w:t xml:space="preserve"> </w:t>
            </w:r>
          </w:p>
        </w:tc>
      </w:tr>
      <w:tr w:rsidR="002B5462" w:rsidRPr="00322FB3" w14:paraId="76C9FEAD" w14:textId="77777777" w:rsidTr="006C7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9" w:type="dxa"/>
          </w:tcPr>
          <w:p w14:paraId="24111A67" w14:textId="77777777" w:rsidR="002B5462" w:rsidRPr="00012EE6" w:rsidRDefault="002B5462" w:rsidP="00012EE6">
            <w:pPr>
              <w:spacing w:after="120"/>
              <w:rPr>
                <w:rFonts w:cstheme="minorHAnsi"/>
                <w:b w:val="0"/>
                <w:color w:val="000000"/>
                <w:sz w:val="20"/>
                <w:szCs w:val="20"/>
              </w:rPr>
            </w:pPr>
            <w:r w:rsidRPr="00012EE6">
              <w:rPr>
                <w:rFonts w:cstheme="minorHAnsi"/>
                <w:b w:val="0"/>
                <w:color w:val="000000"/>
                <w:sz w:val="20"/>
                <w:szCs w:val="20"/>
              </w:rPr>
              <w:t>Kaiser Permanente</w:t>
            </w:r>
          </w:p>
        </w:tc>
        <w:tc>
          <w:tcPr>
            <w:tcW w:w="3544" w:type="dxa"/>
          </w:tcPr>
          <w:p w14:paraId="3F2E99B1" w14:textId="77777777" w:rsidR="002B5462" w:rsidRPr="00012EE6" w:rsidRDefault="002B5462"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012EE6">
              <w:rPr>
                <w:rFonts w:cstheme="minorHAnsi"/>
                <w:sz w:val="20"/>
                <w:szCs w:val="20"/>
              </w:rPr>
              <w:t>Independent non-for-profit</w:t>
            </w:r>
          </w:p>
        </w:tc>
        <w:tc>
          <w:tcPr>
            <w:tcW w:w="5007" w:type="dxa"/>
          </w:tcPr>
          <w:p w14:paraId="79CADE95" w14:textId="77777777" w:rsidR="002B5462" w:rsidRPr="00012EE6" w:rsidRDefault="00B329FD" w:rsidP="00012EE6">
            <w:pPr>
              <w:spacing w:after="120"/>
              <w:cnfStyle w:val="000000100000" w:firstRow="0" w:lastRow="0" w:firstColumn="0" w:lastColumn="0" w:oddVBand="0" w:evenVBand="0" w:oddHBand="1" w:evenHBand="0" w:firstRowFirstColumn="0" w:firstRowLastColumn="0" w:lastRowFirstColumn="0" w:lastRowLastColumn="0"/>
              <w:rPr>
                <w:rFonts w:cstheme="minorHAnsi"/>
                <w:sz w:val="20"/>
                <w:szCs w:val="20"/>
              </w:rPr>
            </w:pPr>
            <w:hyperlink r:id="rId93" w:history="1">
              <w:r w:rsidR="002B5462" w:rsidRPr="00012EE6">
                <w:rPr>
                  <w:rStyle w:val="Hyperlink"/>
                  <w:rFonts w:asciiTheme="minorHAnsi" w:hAnsiTheme="minorHAnsi" w:cstheme="minorHAnsi"/>
                  <w:sz w:val="20"/>
                  <w:szCs w:val="20"/>
                </w:rPr>
                <w:t>https://healthy.kaiserpermanente.org/</w:t>
              </w:r>
            </w:hyperlink>
          </w:p>
        </w:tc>
      </w:tr>
    </w:tbl>
    <w:p w14:paraId="5F758134" w14:textId="77777777" w:rsidR="00776E32" w:rsidRDefault="00776E32" w:rsidP="002B5462">
      <w:pPr>
        <w:rPr>
          <w:rFonts w:ascii="Arial" w:hAnsi="Arial" w:cs="Arial"/>
        </w:rPr>
        <w:sectPr w:rsidR="00776E32" w:rsidSect="00776E32">
          <w:headerReference w:type="default" r:id="rId94"/>
          <w:footerReference w:type="default" r:id="rId95"/>
          <w:pgSz w:w="16838" w:h="11906" w:orient="landscape"/>
          <w:pgMar w:top="1440" w:right="1440" w:bottom="1440" w:left="1440" w:header="709" w:footer="709" w:gutter="0"/>
          <w:cols w:space="708"/>
          <w:docGrid w:linePitch="360"/>
        </w:sectPr>
      </w:pPr>
    </w:p>
    <w:p w14:paraId="3E55FE86" w14:textId="77777777" w:rsidR="000746E3" w:rsidRPr="00E867F6" w:rsidRDefault="000746E3" w:rsidP="000746E3">
      <w:pPr>
        <w:pStyle w:val="HeadingLevel1NoNumber"/>
        <w:pageBreakBefore w:val="0"/>
      </w:pPr>
      <w:bookmarkStart w:id="56" w:name="_Toc3195103"/>
      <w:r w:rsidRPr="00E867F6">
        <w:lastRenderedPageBreak/>
        <w:t>Glossary</w:t>
      </w:r>
      <w:bookmarkEnd w:id="56"/>
      <w:r w:rsidRPr="00E867F6">
        <w:t xml:space="preserve"> </w:t>
      </w:r>
    </w:p>
    <w:p w14:paraId="0412320D" w14:textId="77777777" w:rsidR="000746E3" w:rsidRDefault="000746E3" w:rsidP="000746E3">
      <w:pPr>
        <w:tabs>
          <w:tab w:val="left" w:pos="1701"/>
        </w:tabs>
        <w:spacing w:before="120" w:after="140"/>
      </w:pPr>
      <w:r w:rsidRPr="0044530F">
        <w:rPr>
          <w:rFonts w:cstheme="minorHAnsi"/>
        </w:rPr>
        <w:t>AHMAC</w:t>
      </w:r>
      <w:r w:rsidRPr="0044530F">
        <w:rPr>
          <w:rFonts w:cstheme="minorHAnsi"/>
        </w:rPr>
        <w:tab/>
      </w:r>
      <w:r w:rsidRPr="0044530F">
        <w:t xml:space="preserve">Australian Health Ministers’ Advisory Council </w:t>
      </w:r>
    </w:p>
    <w:p w14:paraId="4916C841" w14:textId="77777777" w:rsidR="000746E3" w:rsidRPr="0044530F" w:rsidRDefault="000746E3" w:rsidP="000746E3">
      <w:pPr>
        <w:tabs>
          <w:tab w:val="left" w:pos="1701"/>
        </w:tabs>
        <w:spacing w:before="120" w:after="140"/>
      </w:pPr>
      <w:r>
        <w:t>AHPF</w:t>
      </w:r>
      <w:r>
        <w:tab/>
        <w:t xml:space="preserve">Australian Health Performance Framework </w:t>
      </w:r>
    </w:p>
    <w:p w14:paraId="0A0D53E9" w14:textId="77777777" w:rsidR="000746E3" w:rsidRPr="0044530F" w:rsidRDefault="000746E3" w:rsidP="000746E3">
      <w:pPr>
        <w:tabs>
          <w:tab w:val="left" w:pos="1701"/>
        </w:tabs>
        <w:spacing w:before="120" w:after="140"/>
        <w:rPr>
          <w:rFonts w:cstheme="minorHAnsi"/>
        </w:rPr>
      </w:pPr>
      <w:r w:rsidRPr="0044530F">
        <w:rPr>
          <w:rFonts w:cstheme="minorHAnsi"/>
        </w:rPr>
        <w:t>AHRQ</w:t>
      </w:r>
      <w:r w:rsidRPr="0044530F">
        <w:rPr>
          <w:rFonts w:cstheme="minorHAnsi"/>
        </w:rPr>
        <w:tab/>
      </w:r>
      <w:r w:rsidRPr="0044530F">
        <w:rPr>
          <w:rFonts w:cs="Arial"/>
        </w:rPr>
        <w:t>Agency for Healthcare Research and Quality</w:t>
      </w:r>
    </w:p>
    <w:p w14:paraId="3C58D382" w14:textId="77777777" w:rsidR="000746E3" w:rsidRPr="0044530F" w:rsidRDefault="000746E3" w:rsidP="000746E3">
      <w:pPr>
        <w:tabs>
          <w:tab w:val="left" w:pos="1701"/>
        </w:tabs>
        <w:spacing w:before="120" w:after="140"/>
        <w:rPr>
          <w:rFonts w:cstheme="minorHAnsi"/>
        </w:rPr>
      </w:pPr>
      <w:r w:rsidRPr="0044530F">
        <w:t>AIHW</w:t>
      </w:r>
      <w:r w:rsidRPr="0044530F">
        <w:tab/>
        <w:t xml:space="preserve">Australian Institute of Health and Welfare </w:t>
      </w:r>
    </w:p>
    <w:p w14:paraId="36B6EF1B" w14:textId="77777777" w:rsidR="000746E3" w:rsidRDefault="000746E3" w:rsidP="000746E3">
      <w:pPr>
        <w:tabs>
          <w:tab w:val="left" w:pos="1701"/>
        </w:tabs>
        <w:spacing w:before="120" w:after="140"/>
        <w:rPr>
          <w:rFonts w:ascii="Arial" w:hAnsi="Arial" w:cs="Arial"/>
        </w:rPr>
      </w:pPr>
      <w:r w:rsidRPr="0044530F">
        <w:rPr>
          <w:rFonts w:cstheme="minorHAnsi"/>
        </w:rPr>
        <w:t>A</w:t>
      </w:r>
      <w:r>
        <w:rPr>
          <w:rFonts w:cstheme="minorHAnsi"/>
        </w:rPr>
        <w:t>pgar</w:t>
      </w:r>
      <w:r w:rsidRPr="0044530F">
        <w:rPr>
          <w:rFonts w:cstheme="minorHAnsi"/>
        </w:rPr>
        <w:tab/>
      </w:r>
      <w:r w:rsidRPr="0044530F">
        <w:rPr>
          <w:rStyle w:val="Strong"/>
          <w:rFonts w:ascii="Arial" w:hAnsi="Arial" w:cs="Arial"/>
          <w:b w:val="0"/>
        </w:rPr>
        <w:t>A</w:t>
      </w:r>
      <w:r w:rsidRPr="0044530F">
        <w:rPr>
          <w:rFonts w:ascii="Arial" w:hAnsi="Arial" w:cs="Arial"/>
        </w:rPr>
        <w:t xml:space="preserve">ppearance, </w:t>
      </w:r>
      <w:r w:rsidRPr="0044530F">
        <w:rPr>
          <w:rStyle w:val="Strong"/>
          <w:rFonts w:ascii="Arial" w:hAnsi="Arial" w:cs="Arial"/>
          <w:b w:val="0"/>
        </w:rPr>
        <w:t>P</w:t>
      </w:r>
      <w:r w:rsidRPr="0044530F">
        <w:rPr>
          <w:rFonts w:ascii="Arial" w:hAnsi="Arial" w:cs="Arial"/>
        </w:rPr>
        <w:t xml:space="preserve">ulse, </w:t>
      </w:r>
      <w:r w:rsidRPr="0044530F">
        <w:rPr>
          <w:rStyle w:val="Strong"/>
          <w:rFonts w:ascii="Arial" w:hAnsi="Arial" w:cs="Arial"/>
          <w:b w:val="0"/>
        </w:rPr>
        <w:t>G</w:t>
      </w:r>
      <w:r w:rsidRPr="0044530F">
        <w:rPr>
          <w:rFonts w:ascii="Arial" w:hAnsi="Arial" w:cs="Arial"/>
        </w:rPr>
        <w:t xml:space="preserve">rimace, </w:t>
      </w:r>
      <w:r w:rsidRPr="0044530F">
        <w:rPr>
          <w:rStyle w:val="Strong"/>
          <w:rFonts w:ascii="Arial" w:hAnsi="Arial" w:cs="Arial"/>
          <w:b w:val="0"/>
        </w:rPr>
        <w:t>A</w:t>
      </w:r>
      <w:r w:rsidRPr="0044530F">
        <w:rPr>
          <w:rFonts w:ascii="Arial" w:hAnsi="Arial" w:cs="Arial"/>
        </w:rPr>
        <w:t xml:space="preserve">ctivity, and </w:t>
      </w:r>
      <w:r w:rsidRPr="0044530F">
        <w:rPr>
          <w:rStyle w:val="Strong"/>
          <w:rFonts w:ascii="Arial" w:hAnsi="Arial" w:cs="Arial"/>
          <w:b w:val="0"/>
        </w:rPr>
        <w:t>R</w:t>
      </w:r>
      <w:r w:rsidRPr="0044530F">
        <w:rPr>
          <w:rFonts w:ascii="Arial" w:hAnsi="Arial" w:cs="Arial"/>
        </w:rPr>
        <w:t>espiration Score</w:t>
      </w:r>
    </w:p>
    <w:p w14:paraId="22FFA039" w14:textId="77777777" w:rsidR="000746E3" w:rsidRPr="0044530F" w:rsidRDefault="000746E3" w:rsidP="000746E3">
      <w:pPr>
        <w:tabs>
          <w:tab w:val="left" w:pos="1701"/>
        </w:tabs>
        <w:spacing w:before="120" w:after="140"/>
        <w:rPr>
          <w:rFonts w:cstheme="minorHAnsi"/>
        </w:rPr>
      </w:pPr>
      <w:r>
        <w:t>BHI</w:t>
      </w:r>
      <w:r>
        <w:tab/>
      </w:r>
      <w:r w:rsidRPr="005E3945">
        <w:t>Bureau for Health Information</w:t>
      </w:r>
      <w:r>
        <w:t xml:space="preserve"> (New South Wales)</w:t>
      </w:r>
    </w:p>
    <w:p w14:paraId="43B27423" w14:textId="77777777" w:rsidR="000746E3" w:rsidRPr="0044530F" w:rsidRDefault="000746E3" w:rsidP="000746E3">
      <w:pPr>
        <w:pStyle w:val="ListBullet"/>
        <w:numPr>
          <w:ilvl w:val="0"/>
          <w:numId w:val="0"/>
        </w:numPr>
        <w:tabs>
          <w:tab w:val="left" w:pos="1701"/>
        </w:tabs>
        <w:spacing w:after="140"/>
        <w:ind w:left="340" w:hanging="340"/>
        <w:contextualSpacing w:val="0"/>
      </w:pPr>
      <w:r w:rsidRPr="0044530F">
        <w:rPr>
          <w:rFonts w:cstheme="minorHAnsi"/>
        </w:rPr>
        <w:t>CAUTI</w:t>
      </w:r>
      <w:r w:rsidRPr="0044530F">
        <w:rPr>
          <w:rFonts w:cstheme="minorHAnsi"/>
        </w:rPr>
        <w:tab/>
      </w:r>
      <w:r w:rsidRPr="0044530F">
        <w:t xml:space="preserve">Catheter-associated urinary tract infections </w:t>
      </w:r>
    </w:p>
    <w:p w14:paraId="301E3CDB" w14:textId="77777777" w:rsidR="000746E3" w:rsidRDefault="000746E3" w:rsidP="000746E3">
      <w:pPr>
        <w:tabs>
          <w:tab w:val="left" w:pos="1701"/>
        </w:tabs>
        <w:spacing w:before="120" w:after="140"/>
        <w:rPr>
          <w:rFonts w:cstheme="minorHAnsi"/>
        </w:rPr>
      </w:pPr>
      <w:r w:rsidRPr="0044530F">
        <w:rPr>
          <w:rFonts w:cstheme="minorHAnsi"/>
        </w:rPr>
        <w:t>CDI</w:t>
      </w:r>
      <w:r w:rsidRPr="0044530F">
        <w:rPr>
          <w:rFonts w:cstheme="minorHAnsi"/>
        </w:rPr>
        <w:tab/>
      </w:r>
      <w:r w:rsidRPr="0044530F">
        <w:rPr>
          <w:rFonts w:cstheme="minorHAnsi"/>
          <w:i/>
          <w:iCs/>
        </w:rPr>
        <w:t xml:space="preserve">Clostridium difficile </w:t>
      </w:r>
      <w:r w:rsidRPr="0044530F">
        <w:rPr>
          <w:rFonts w:cstheme="minorHAnsi"/>
        </w:rPr>
        <w:t>infection</w:t>
      </w:r>
    </w:p>
    <w:p w14:paraId="131164BE" w14:textId="77777777" w:rsidR="000746E3" w:rsidRPr="005E3945" w:rsidRDefault="000746E3" w:rsidP="000746E3">
      <w:pPr>
        <w:tabs>
          <w:tab w:val="left" w:pos="1701"/>
        </w:tabs>
        <w:spacing w:before="120" w:after="140"/>
        <w:rPr>
          <w:rFonts w:cstheme="minorHAnsi"/>
        </w:rPr>
      </w:pPr>
      <w:r w:rsidRPr="005E3945">
        <w:rPr>
          <w:rFonts w:cstheme="minorHAnsi"/>
        </w:rPr>
        <w:t>CEC</w:t>
      </w:r>
      <w:r w:rsidRPr="005E3945">
        <w:rPr>
          <w:rFonts w:cstheme="minorHAnsi"/>
        </w:rPr>
        <w:tab/>
      </w:r>
      <w:r w:rsidRPr="005E3945">
        <w:rPr>
          <w:rFonts w:ascii="Arial" w:hAnsi="Arial" w:cs="Arial"/>
        </w:rPr>
        <w:t>Clinical Excellence Commission (New South Wales)</w:t>
      </w:r>
    </w:p>
    <w:p w14:paraId="1D5295EE" w14:textId="77777777" w:rsidR="000746E3" w:rsidRPr="0044530F" w:rsidRDefault="000746E3" w:rsidP="000746E3">
      <w:pPr>
        <w:tabs>
          <w:tab w:val="left" w:pos="1701"/>
        </w:tabs>
        <w:spacing w:before="120" w:after="140"/>
        <w:rPr>
          <w:rFonts w:cstheme="minorHAnsi"/>
        </w:rPr>
      </w:pPr>
      <w:r w:rsidRPr="0044530F">
        <w:rPr>
          <w:rFonts w:cstheme="minorHAnsi"/>
        </w:rPr>
        <w:t>CHC</w:t>
      </w:r>
      <w:r w:rsidRPr="0044530F">
        <w:rPr>
          <w:rFonts w:cstheme="minorHAnsi"/>
        </w:rPr>
        <w:tab/>
      </w:r>
      <w:r w:rsidRPr="0044530F">
        <w:t xml:space="preserve">Council of Australian Governments (COAG) Health Council </w:t>
      </w:r>
    </w:p>
    <w:p w14:paraId="044E9B30" w14:textId="77777777" w:rsidR="000746E3" w:rsidRPr="0044530F" w:rsidRDefault="000746E3" w:rsidP="000746E3">
      <w:pPr>
        <w:tabs>
          <w:tab w:val="left" w:pos="1701"/>
        </w:tabs>
        <w:spacing w:before="120" w:after="140"/>
        <w:rPr>
          <w:rFonts w:cstheme="minorHAnsi"/>
        </w:rPr>
      </w:pPr>
      <w:r w:rsidRPr="0044530F">
        <w:rPr>
          <w:rFonts w:cstheme="minorHAnsi"/>
        </w:rPr>
        <w:t>CIHI</w:t>
      </w:r>
      <w:r w:rsidRPr="0044530F">
        <w:rPr>
          <w:rFonts w:cstheme="minorHAnsi"/>
        </w:rPr>
        <w:tab/>
      </w:r>
      <w:r w:rsidRPr="0044530F">
        <w:t xml:space="preserve">Canadian Institute for Health Information </w:t>
      </w:r>
    </w:p>
    <w:p w14:paraId="56A43E1A" w14:textId="77777777" w:rsidR="000746E3" w:rsidRPr="0044530F" w:rsidRDefault="000746E3" w:rsidP="000746E3">
      <w:pPr>
        <w:tabs>
          <w:tab w:val="left" w:pos="1701"/>
        </w:tabs>
        <w:spacing w:before="120" w:after="140"/>
        <w:rPr>
          <w:rFonts w:cstheme="minorHAnsi"/>
        </w:rPr>
      </w:pPr>
      <w:r w:rsidRPr="0044530F">
        <w:rPr>
          <w:rFonts w:cstheme="minorHAnsi"/>
        </w:rPr>
        <w:t>CLABSI</w:t>
      </w:r>
      <w:r w:rsidRPr="0044530F">
        <w:rPr>
          <w:rFonts w:cstheme="minorHAnsi"/>
        </w:rPr>
        <w:tab/>
        <w:t>Central Line-Associated Bloodstream Infection</w:t>
      </w:r>
    </w:p>
    <w:p w14:paraId="75EF5817" w14:textId="77777777" w:rsidR="000746E3" w:rsidRPr="0044530F" w:rsidRDefault="000746E3" w:rsidP="000746E3">
      <w:pPr>
        <w:tabs>
          <w:tab w:val="left" w:pos="1701"/>
        </w:tabs>
        <w:spacing w:before="120" w:after="140"/>
      </w:pPr>
      <w:r w:rsidRPr="0044530F">
        <w:rPr>
          <w:rFonts w:cstheme="minorHAnsi"/>
        </w:rPr>
        <w:t>COAG</w:t>
      </w:r>
      <w:r w:rsidRPr="0044530F">
        <w:rPr>
          <w:rFonts w:cstheme="minorHAnsi"/>
        </w:rPr>
        <w:tab/>
      </w:r>
      <w:r w:rsidRPr="0044530F">
        <w:t xml:space="preserve">Council of Australian Governments </w:t>
      </w:r>
    </w:p>
    <w:p w14:paraId="7A1352BA" w14:textId="667D2154" w:rsidR="000746E3" w:rsidRPr="0044530F" w:rsidRDefault="000746E3" w:rsidP="000746E3">
      <w:pPr>
        <w:tabs>
          <w:tab w:val="left" w:pos="1701"/>
        </w:tabs>
        <w:spacing w:before="120" w:after="140"/>
        <w:rPr>
          <w:rFonts w:asciiTheme="majorHAnsi" w:hAnsiTheme="majorHAnsi" w:cstheme="majorHAnsi"/>
        </w:rPr>
      </w:pPr>
      <w:r w:rsidRPr="0044530F">
        <w:rPr>
          <w:rFonts w:asciiTheme="majorHAnsi" w:hAnsiTheme="majorHAnsi" w:cstheme="majorHAnsi"/>
        </w:rPr>
        <w:t>Commission</w:t>
      </w:r>
      <w:r w:rsidRPr="0044530F">
        <w:rPr>
          <w:rFonts w:asciiTheme="majorHAnsi" w:hAnsiTheme="majorHAnsi" w:cstheme="majorHAnsi"/>
        </w:rPr>
        <w:tab/>
      </w:r>
      <w:r w:rsidR="00B329FD">
        <w:t>Australian Commission on</w:t>
      </w:r>
      <w:bookmarkStart w:id="57" w:name="_GoBack"/>
      <w:bookmarkEnd w:id="57"/>
      <w:r w:rsidRPr="0044530F">
        <w:t xml:space="preserve"> Safety and Quality in Health Care</w:t>
      </w:r>
    </w:p>
    <w:p w14:paraId="5259AAD2" w14:textId="77777777" w:rsidR="000746E3" w:rsidRPr="0044530F" w:rsidRDefault="000746E3" w:rsidP="000746E3">
      <w:pPr>
        <w:tabs>
          <w:tab w:val="left" w:pos="1701"/>
        </w:tabs>
        <w:spacing w:before="120" w:after="140"/>
        <w:rPr>
          <w:rFonts w:asciiTheme="majorHAnsi" w:hAnsiTheme="majorHAnsi" w:cstheme="majorHAnsi"/>
        </w:rPr>
      </w:pPr>
      <w:r w:rsidRPr="0044530F">
        <w:rPr>
          <w:rFonts w:asciiTheme="majorHAnsi" w:hAnsiTheme="majorHAnsi" w:cstheme="majorHAnsi"/>
        </w:rPr>
        <w:t>HAC</w:t>
      </w:r>
      <w:r w:rsidRPr="0044530F">
        <w:rPr>
          <w:rFonts w:asciiTheme="majorHAnsi" w:hAnsiTheme="majorHAnsi" w:cstheme="majorHAnsi"/>
        </w:rPr>
        <w:tab/>
        <w:t>Hospital-Acquired Complication</w:t>
      </w:r>
    </w:p>
    <w:p w14:paraId="54FB20DD" w14:textId="77777777" w:rsidR="000746E3" w:rsidRPr="0044530F" w:rsidRDefault="000746E3" w:rsidP="000746E3">
      <w:pPr>
        <w:tabs>
          <w:tab w:val="left" w:pos="1701"/>
        </w:tabs>
        <w:spacing w:before="120" w:after="140"/>
        <w:rPr>
          <w:rFonts w:asciiTheme="majorHAnsi" w:hAnsiTheme="majorHAnsi" w:cstheme="majorHAnsi"/>
        </w:rPr>
      </w:pPr>
      <w:proofErr w:type="spellStart"/>
      <w:r w:rsidRPr="0044530F">
        <w:rPr>
          <w:rFonts w:asciiTheme="majorHAnsi" w:hAnsiTheme="majorHAnsi" w:cstheme="majorHAnsi"/>
        </w:rPr>
        <w:t>HoNOS</w:t>
      </w:r>
      <w:proofErr w:type="spellEnd"/>
      <w:r w:rsidRPr="0044530F">
        <w:rPr>
          <w:rFonts w:asciiTheme="majorHAnsi" w:hAnsiTheme="majorHAnsi" w:cstheme="majorHAnsi"/>
        </w:rPr>
        <w:tab/>
      </w:r>
      <w:r w:rsidRPr="0044530F">
        <w:t>Health of the Nation Outcomes Scale Score</w:t>
      </w:r>
    </w:p>
    <w:p w14:paraId="4128B1AD" w14:textId="77777777" w:rsidR="000746E3" w:rsidRPr="0044530F" w:rsidRDefault="000746E3" w:rsidP="000746E3">
      <w:pPr>
        <w:tabs>
          <w:tab w:val="left" w:pos="1701"/>
        </w:tabs>
        <w:spacing w:before="120" w:after="140"/>
        <w:rPr>
          <w:rFonts w:asciiTheme="majorHAnsi" w:hAnsiTheme="majorHAnsi" w:cstheme="majorHAnsi"/>
        </w:rPr>
      </w:pPr>
      <w:r w:rsidRPr="0044530F">
        <w:rPr>
          <w:rFonts w:asciiTheme="majorHAnsi" w:hAnsiTheme="majorHAnsi" w:cstheme="majorHAnsi"/>
        </w:rPr>
        <w:t>ICU</w:t>
      </w:r>
      <w:r w:rsidRPr="0044530F">
        <w:rPr>
          <w:rFonts w:asciiTheme="majorHAnsi" w:hAnsiTheme="majorHAnsi" w:cstheme="majorHAnsi"/>
        </w:rPr>
        <w:tab/>
        <w:t>Intensive Care Unit</w:t>
      </w:r>
    </w:p>
    <w:p w14:paraId="51350932" w14:textId="77777777" w:rsidR="000746E3" w:rsidRPr="0044530F" w:rsidRDefault="000746E3" w:rsidP="000746E3">
      <w:pPr>
        <w:tabs>
          <w:tab w:val="left" w:pos="1701"/>
        </w:tabs>
        <w:spacing w:before="120" w:after="140"/>
        <w:rPr>
          <w:rFonts w:asciiTheme="majorHAnsi" w:hAnsiTheme="majorHAnsi" w:cstheme="majorHAnsi"/>
        </w:rPr>
      </w:pPr>
      <w:r w:rsidRPr="0044530F">
        <w:rPr>
          <w:rFonts w:asciiTheme="majorHAnsi" w:hAnsiTheme="majorHAnsi" w:cstheme="majorHAnsi"/>
        </w:rPr>
        <w:t>IGZ</w:t>
      </w:r>
      <w:r w:rsidRPr="0044530F">
        <w:rPr>
          <w:rFonts w:asciiTheme="majorHAnsi" w:hAnsiTheme="majorHAnsi" w:cstheme="majorHAnsi"/>
        </w:rPr>
        <w:tab/>
        <w:t xml:space="preserve">Dutch </w:t>
      </w:r>
      <w:r w:rsidRPr="0044530F">
        <w:t xml:space="preserve">Healthcare Inspectorate </w:t>
      </w:r>
    </w:p>
    <w:p w14:paraId="7AAEAAB6" w14:textId="77777777" w:rsidR="000746E3" w:rsidRPr="0044530F" w:rsidRDefault="000746E3" w:rsidP="000746E3">
      <w:pPr>
        <w:tabs>
          <w:tab w:val="left" w:pos="1701"/>
        </w:tabs>
        <w:spacing w:before="120" w:after="140"/>
        <w:rPr>
          <w:rFonts w:asciiTheme="majorHAnsi" w:hAnsiTheme="majorHAnsi" w:cstheme="majorHAnsi"/>
        </w:rPr>
      </w:pPr>
      <w:r w:rsidRPr="0044530F">
        <w:rPr>
          <w:rFonts w:asciiTheme="majorHAnsi" w:hAnsiTheme="majorHAnsi" w:cstheme="majorHAnsi"/>
        </w:rPr>
        <w:t>MRSA</w:t>
      </w:r>
      <w:r w:rsidRPr="0044530F">
        <w:rPr>
          <w:rFonts w:asciiTheme="majorHAnsi" w:hAnsiTheme="majorHAnsi" w:cstheme="majorHAnsi"/>
        </w:rPr>
        <w:tab/>
      </w:r>
      <w:r w:rsidRPr="0044530F">
        <w:t xml:space="preserve">Methicillin-resistant </w:t>
      </w:r>
      <w:r w:rsidRPr="0044530F">
        <w:rPr>
          <w:i/>
        </w:rPr>
        <w:t>Staphylococcus Aureus</w:t>
      </w:r>
      <w:r w:rsidRPr="0044530F">
        <w:t xml:space="preserve"> </w:t>
      </w:r>
    </w:p>
    <w:p w14:paraId="19D8095F" w14:textId="77777777" w:rsidR="000746E3" w:rsidRPr="0044530F" w:rsidRDefault="000746E3" w:rsidP="000746E3">
      <w:pPr>
        <w:tabs>
          <w:tab w:val="left" w:pos="1701"/>
        </w:tabs>
        <w:spacing w:before="120" w:after="140"/>
        <w:rPr>
          <w:rFonts w:asciiTheme="majorHAnsi" w:hAnsiTheme="majorHAnsi" w:cstheme="majorHAnsi"/>
        </w:rPr>
      </w:pPr>
      <w:r w:rsidRPr="0044530F">
        <w:rPr>
          <w:rFonts w:asciiTheme="majorHAnsi" w:hAnsiTheme="majorHAnsi" w:cstheme="majorHAnsi"/>
        </w:rPr>
        <w:t>NICU</w:t>
      </w:r>
      <w:r w:rsidRPr="0044530F">
        <w:rPr>
          <w:rFonts w:asciiTheme="majorHAnsi" w:hAnsiTheme="majorHAnsi" w:cstheme="majorHAnsi"/>
        </w:rPr>
        <w:tab/>
        <w:t>Neonatal Intensive Care Unit</w:t>
      </w:r>
    </w:p>
    <w:p w14:paraId="0FEC41BB" w14:textId="77777777" w:rsidR="000746E3" w:rsidRPr="0044530F" w:rsidRDefault="000746E3" w:rsidP="000746E3">
      <w:pPr>
        <w:tabs>
          <w:tab w:val="left" w:pos="1701"/>
        </w:tabs>
        <w:spacing w:before="120" w:after="140"/>
        <w:rPr>
          <w:rFonts w:asciiTheme="majorHAnsi" w:hAnsiTheme="majorHAnsi" w:cstheme="majorHAnsi"/>
        </w:rPr>
      </w:pPr>
      <w:r w:rsidRPr="0044530F">
        <w:rPr>
          <w:rFonts w:asciiTheme="majorHAnsi" w:hAnsiTheme="majorHAnsi" w:cstheme="majorHAnsi"/>
        </w:rPr>
        <w:t>NSQHS</w:t>
      </w:r>
      <w:r w:rsidRPr="0044530F">
        <w:rPr>
          <w:rFonts w:asciiTheme="majorHAnsi" w:hAnsiTheme="majorHAnsi" w:cstheme="majorHAnsi"/>
        </w:rPr>
        <w:tab/>
        <w:t xml:space="preserve">National Safety and Quality Health Service </w:t>
      </w:r>
      <w:r>
        <w:rPr>
          <w:rFonts w:asciiTheme="majorHAnsi" w:hAnsiTheme="majorHAnsi" w:cstheme="majorHAnsi"/>
        </w:rPr>
        <w:t>(</w:t>
      </w:r>
      <w:r w:rsidRPr="0044530F">
        <w:rPr>
          <w:rFonts w:asciiTheme="majorHAnsi" w:hAnsiTheme="majorHAnsi" w:cstheme="majorHAnsi"/>
        </w:rPr>
        <w:t>Standards</w:t>
      </w:r>
      <w:r>
        <w:rPr>
          <w:rFonts w:asciiTheme="majorHAnsi" w:hAnsiTheme="majorHAnsi" w:cstheme="majorHAnsi"/>
        </w:rPr>
        <w:t>)</w:t>
      </w:r>
    </w:p>
    <w:p w14:paraId="75A24998" w14:textId="77777777" w:rsidR="000746E3" w:rsidRPr="0044530F" w:rsidRDefault="000746E3" w:rsidP="000746E3">
      <w:pPr>
        <w:tabs>
          <w:tab w:val="left" w:pos="1701"/>
        </w:tabs>
        <w:spacing w:before="120" w:after="140"/>
        <w:rPr>
          <w:rFonts w:asciiTheme="majorHAnsi" w:hAnsiTheme="majorHAnsi" w:cstheme="majorHAnsi"/>
        </w:rPr>
      </w:pPr>
      <w:r w:rsidRPr="0044530F">
        <w:rPr>
          <w:rFonts w:asciiTheme="majorHAnsi" w:hAnsiTheme="majorHAnsi" w:cstheme="majorHAnsi"/>
        </w:rPr>
        <w:t>NZA</w:t>
      </w:r>
      <w:r w:rsidRPr="0044530F">
        <w:rPr>
          <w:rFonts w:asciiTheme="majorHAnsi" w:hAnsiTheme="majorHAnsi" w:cstheme="majorHAnsi"/>
        </w:rPr>
        <w:tab/>
      </w:r>
      <w:r w:rsidRPr="0044530F">
        <w:t xml:space="preserve">Dutch Healthcare Authority </w:t>
      </w:r>
    </w:p>
    <w:p w14:paraId="6DEE41EE" w14:textId="77777777" w:rsidR="000746E3" w:rsidRDefault="000746E3" w:rsidP="000746E3">
      <w:pPr>
        <w:tabs>
          <w:tab w:val="left" w:pos="1701"/>
        </w:tabs>
        <w:spacing w:before="120" w:after="140"/>
        <w:rPr>
          <w:rFonts w:asciiTheme="majorHAnsi" w:hAnsiTheme="majorHAnsi" w:cstheme="majorHAnsi"/>
        </w:rPr>
      </w:pPr>
      <w:r w:rsidRPr="0044530F">
        <w:rPr>
          <w:rFonts w:asciiTheme="majorHAnsi" w:hAnsiTheme="majorHAnsi" w:cstheme="majorHAnsi"/>
        </w:rPr>
        <w:t>OECD</w:t>
      </w:r>
      <w:r w:rsidRPr="0044530F">
        <w:rPr>
          <w:rFonts w:asciiTheme="majorHAnsi" w:hAnsiTheme="majorHAnsi" w:cstheme="majorHAnsi"/>
        </w:rPr>
        <w:tab/>
        <w:t xml:space="preserve">Organisation for Economic Co-operation and Development </w:t>
      </w:r>
    </w:p>
    <w:p w14:paraId="68642F16" w14:textId="77777777" w:rsidR="000746E3" w:rsidRDefault="000746E3" w:rsidP="000746E3">
      <w:pPr>
        <w:tabs>
          <w:tab w:val="left" w:pos="1701"/>
        </w:tabs>
        <w:spacing w:before="120" w:after="140"/>
        <w:rPr>
          <w:rFonts w:asciiTheme="majorHAnsi" w:hAnsiTheme="majorHAnsi" w:cstheme="majorHAnsi"/>
        </w:rPr>
      </w:pPr>
      <w:r>
        <w:t>NHPF</w:t>
      </w:r>
      <w:r>
        <w:tab/>
      </w:r>
      <w:r w:rsidRPr="00F92112">
        <w:t xml:space="preserve">National Health Performance Framework </w:t>
      </w:r>
    </w:p>
    <w:p w14:paraId="666F40EC" w14:textId="77777777" w:rsidR="000746E3" w:rsidRPr="0044530F" w:rsidRDefault="000746E3" w:rsidP="000746E3">
      <w:pPr>
        <w:tabs>
          <w:tab w:val="left" w:pos="1701"/>
        </w:tabs>
        <w:spacing w:before="120" w:after="140"/>
      </w:pPr>
      <w:r>
        <w:t>PAF</w:t>
      </w:r>
      <w:r>
        <w:tab/>
      </w:r>
      <w:r w:rsidRPr="00E867F6">
        <w:t>National Health Reform Performance and</w:t>
      </w:r>
      <w:r>
        <w:t xml:space="preserve"> Accountability Framework </w:t>
      </w:r>
    </w:p>
    <w:p w14:paraId="551A8715" w14:textId="77777777" w:rsidR="000746E3" w:rsidRPr="0044530F" w:rsidRDefault="000746E3" w:rsidP="000746E3">
      <w:pPr>
        <w:tabs>
          <w:tab w:val="left" w:pos="1701"/>
        </w:tabs>
        <w:spacing w:before="120" w:after="140"/>
      </w:pPr>
      <w:r w:rsidRPr="0044530F">
        <w:t>SAB</w:t>
      </w:r>
      <w:r w:rsidRPr="0044530F">
        <w:tab/>
      </w:r>
      <w:r w:rsidRPr="0044530F">
        <w:rPr>
          <w:rFonts w:cstheme="minorHAnsi"/>
          <w:i/>
          <w:iCs/>
        </w:rPr>
        <w:t xml:space="preserve">Staphylococcus aureus </w:t>
      </w:r>
      <w:r w:rsidRPr="0044530F">
        <w:rPr>
          <w:rFonts w:cstheme="minorHAnsi"/>
        </w:rPr>
        <w:t>bloodstream infection</w:t>
      </w:r>
    </w:p>
    <w:p w14:paraId="75BD194D" w14:textId="77777777" w:rsidR="000746E3" w:rsidRPr="0044530F" w:rsidRDefault="000746E3" w:rsidP="000746E3">
      <w:pPr>
        <w:tabs>
          <w:tab w:val="left" w:pos="1701"/>
        </w:tabs>
        <w:spacing w:before="120" w:after="140"/>
      </w:pPr>
      <w:r w:rsidRPr="0044530F">
        <w:t>SAC</w:t>
      </w:r>
      <w:r w:rsidRPr="0044530F">
        <w:tab/>
        <w:t>Safety Assessment Code score</w:t>
      </w:r>
    </w:p>
    <w:p w14:paraId="728095A8" w14:textId="77777777" w:rsidR="000746E3" w:rsidRPr="0044530F" w:rsidRDefault="000746E3" w:rsidP="000746E3">
      <w:pPr>
        <w:tabs>
          <w:tab w:val="left" w:pos="1701"/>
        </w:tabs>
        <w:spacing w:before="120" w:after="140"/>
      </w:pPr>
      <w:r w:rsidRPr="0044530F">
        <w:t>SCV</w:t>
      </w:r>
      <w:r w:rsidRPr="0044530F">
        <w:tab/>
        <w:t>Safer Care Victoria</w:t>
      </w:r>
    </w:p>
    <w:p w14:paraId="49FA4372" w14:textId="77777777" w:rsidR="000746E3" w:rsidRPr="0044530F" w:rsidRDefault="000746E3" w:rsidP="000746E3">
      <w:pPr>
        <w:tabs>
          <w:tab w:val="left" w:pos="1701"/>
        </w:tabs>
        <w:spacing w:before="120" w:after="140"/>
      </w:pPr>
      <w:r w:rsidRPr="0044530F">
        <w:t>SSI</w:t>
      </w:r>
      <w:r w:rsidRPr="0044530F">
        <w:tab/>
        <w:t>Surgical site infection</w:t>
      </w:r>
    </w:p>
    <w:p w14:paraId="20FA382B" w14:textId="77777777" w:rsidR="000746E3" w:rsidRPr="0044530F" w:rsidRDefault="000746E3" w:rsidP="000746E3">
      <w:pPr>
        <w:tabs>
          <w:tab w:val="left" w:pos="1701"/>
        </w:tabs>
        <w:spacing w:before="120" w:after="140"/>
      </w:pPr>
      <w:r w:rsidRPr="0044530F">
        <w:t>VAHI</w:t>
      </w:r>
      <w:r w:rsidRPr="0044530F">
        <w:tab/>
        <w:t>Victorian Agency for Health Information</w:t>
      </w:r>
    </w:p>
    <w:p w14:paraId="3A499599" w14:textId="77777777" w:rsidR="000746E3" w:rsidRPr="0044530F" w:rsidRDefault="000746E3" w:rsidP="000746E3">
      <w:pPr>
        <w:tabs>
          <w:tab w:val="left" w:pos="1701"/>
        </w:tabs>
        <w:spacing w:before="120" w:after="140"/>
      </w:pPr>
      <w:r w:rsidRPr="0044530F">
        <w:t>VHSP</w:t>
      </w:r>
      <w:r w:rsidRPr="0044530F">
        <w:tab/>
        <w:t>Victorian health service performance</w:t>
      </w:r>
    </w:p>
    <w:p w14:paraId="33FCEF77" w14:textId="77777777" w:rsidR="000746E3" w:rsidRPr="00E867F6" w:rsidRDefault="000746E3" w:rsidP="000746E3">
      <w:pPr>
        <w:tabs>
          <w:tab w:val="left" w:pos="1701"/>
        </w:tabs>
        <w:spacing w:before="120" w:after="140"/>
      </w:pPr>
      <w:r w:rsidRPr="00E867F6">
        <w:t>VRE</w:t>
      </w:r>
      <w:r w:rsidRPr="00E867F6">
        <w:tab/>
        <w:t xml:space="preserve">Vancomycin Resistant Enterococcus </w:t>
      </w:r>
    </w:p>
    <w:p w14:paraId="487C4C69" w14:textId="77777777" w:rsidR="007F4503" w:rsidRDefault="007F4503">
      <w:pPr>
        <w:spacing w:after="80"/>
        <w:rPr>
          <w:rFonts w:cs="Arial"/>
          <w:b/>
          <w:bCs/>
          <w:color w:val="1178A2"/>
          <w:kern w:val="28"/>
          <w:sz w:val="40"/>
          <w:szCs w:val="32"/>
        </w:rPr>
      </w:pPr>
      <w:r>
        <w:br w:type="page"/>
      </w:r>
    </w:p>
    <w:p w14:paraId="7548D1DE" w14:textId="04303560" w:rsidR="002505CC" w:rsidRPr="00E867F6" w:rsidRDefault="002505CC" w:rsidP="00313D4A">
      <w:pPr>
        <w:pStyle w:val="HeadingLevel1NoNumber"/>
        <w:pageBreakBefore w:val="0"/>
      </w:pPr>
      <w:bookmarkStart w:id="58" w:name="_Toc3195104"/>
      <w:r w:rsidRPr="00E867F6">
        <w:lastRenderedPageBreak/>
        <w:t>References</w:t>
      </w:r>
      <w:bookmarkEnd w:id="58"/>
    </w:p>
    <w:sectPr w:rsidR="002505CC" w:rsidRPr="00E867F6" w:rsidSect="00012E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8CF7E" w14:textId="77777777" w:rsidR="00F70157" w:rsidRDefault="00F70157" w:rsidP="000B0274">
      <w:r>
        <w:separator/>
      </w:r>
    </w:p>
  </w:endnote>
  <w:endnote w:type="continuationSeparator" w:id="0">
    <w:p w14:paraId="630DEEF7" w14:textId="77777777" w:rsidR="00F70157" w:rsidRDefault="00F70157" w:rsidP="000B0274">
      <w:r>
        <w:continuationSeparator/>
      </w:r>
    </w:p>
  </w:endnote>
  <w:endnote w:id="1">
    <w:p w14:paraId="16B1501F" w14:textId="2A10019D" w:rsidR="00F70157" w:rsidRPr="00E72555" w:rsidRDefault="00F70157" w:rsidP="00E72555">
      <w:pPr>
        <w:pStyle w:val="Default"/>
        <w:spacing w:after="120"/>
        <w:ind w:left="567" w:hanging="567"/>
        <w:rPr>
          <w:rFonts w:asciiTheme="minorHAnsi" w:hAnsiTheme="minorHAnsi" w:cstheme="minorHAnsi"/>
          <w:sz w:val="22"/>
          <w:szCs w:val="22"/>
        </w:rPr>
      </w:pPr>
      <w:r w:rsidRPr="00E72555">
        <w:rPr>
          <w:rStyle w:val="EndnoteReference"/>
          <w:rFonts w:asciiTheme="minorHAnsi" w:hAnsiTheme="minorHAnsi" w:cstheme="minorHAnsi"/>
          <w:sz w:val="22"/>
          <w:szCs w:val="22"/>
          <w:vertAlign w:val="baseline"/>
        </w:rPr>
        <w:endnoteRef/>
      </w:r>
      <w:r w:rsidRPr="00E72555">
        <w:rPr>
          <w:rFonts w:asciiTheme="minorHAnsi" w:hAnsiTheme="minorHAnsi" w:cstheme="minorHAnsi"/>
          <w:sz w:val="22"/>
          <w:szCs w:val="22"/>
        </w:rPr>
        <w:t xml:space="preserve"> </w:t>
      </w:r>
      <w:r w:rsidRPr="00E72555">
        <w:rPr>
          <w:rFonts w:asciiTheme="minorHAnsi" w:hAnsiTheme="minorHAnsi" w:cstheme="minorHAnsi"/>
          <w:sz w:val="22"/>
          <w:szCs w:val="22"/>
        </w:rPr>
        <w:tab/>
      </w:r>
      <w:proofErr w:type="gramStart"/>
      <w:r w:rsidRPr="00E72555">
        <w:rPr>
          <w:rFonts w:asciiTheme="minorHAnsi" w:hAnsiTheme="minorHAnsi" w:cstheme="minorHAnsi"/>
          <w:sz w:val="22"/>
          <w:szCs w:val="22"/>
        </w:rPr>
        <w:t>Australian Government Productivity Commission.</w:t>
      </w:r>
      <w:proofErr w:type="gramEnd"/>
      <w:r w:rsidRPr="00E72555">
        <w:rPr>
          <w:rFonts w:asciiTheme="minorHAnsi" w:hAnsiTheme="minorHAnsi" w:cstheme="minorHAnsi"/>
          <w:sz w:val="22"/>
          <w:szCs w:val="22"/>
        </w:rPr>
        <w:t xml:space="preserve"> Introducing Competition and Informed User Choice into Human Services: Reforms to Human Services</w:t>
      </w:r>
      <w:r>
        <w:rPr>
          <w:rFonts w:asciiTheme="minorHAnsi" w:hAnsiTheme="minorHAnsi" w:cstheme="minorHAnsi"/>
          <w:sz w:val="22"/>
          <w:szCs w:val="22"/>
        </w:rPr>
        <w:t>.</w:t>
      </w:r>
      <w:r w:rsidRPr="00E72555">
        <w:rPr>
          <w:rFonts w:asciiTheme="minorHAnsi" w:hAnsiTheme="minorHAnsi" w:cstheme="minorHAnsi"/>
          <w:sz w:val="22"/>
          <w:szCs w:val="22"/>
        </w:rPr>
        <w:t xml:space="preserve"> Report No.85, 27 2017</w:t>
      </w:r>
      <w:r>
        <w:rPr>
          <w:rFonts w:asciiTheme="minorHAnsi" w:hAnsiTheme="minorHAnsi" w:cstheme="minorHAnsi"/>
          <w:sz w:val="22"/>
          <w:szCs w:val="22"/>
        </w:rPr>
        <w:t>.</w:t>
      </w:r>
      <w:r w:rsidRPr="00E72555">
        <w:rPr>
          <w:rFonts w:asciiTheme="minorHAnsi" w:hAnsiTheme="minorHAnsi" w:cstheme="minorHAnsi"/>
          <w:sz w:val="22"/>
          <w:szCs w:val="22"/>
        </w:rPr>
        <w:t xml:space="preserve"> Available from: </w:t>
      </w:r>
      <w:hyperlink r:id="rId1" w:history="1">
        <w:r w:rsidRPr="00F30C51">
          <w:rPr>
            <w:rStyle w:val="Hyperlink"/>
            <w:rFonts w:asciiTheme="minorHAnsi" w:hAnsiTheme="minorHAnsi" w:cstheme="minorHAnsi"/>
            <w:szCs w:val="22"/>
          </w:rPr>
          <w:t>https://www.pc.gov.au/inquiries/completed/human-services/reforms/report/human-services-reforms.pdf</w:t>
        </w:r>
      </w:hyperlink>
      <w:r>
        <w:rPr>
          <w:rStyle w:val="Hyperlink"/>
          <w:rFonts w:asciiTheme="minorHAnsi" w:hAnsiTheme="minorHAnsi" w:cstheme="minorHAnsi"/>
          <w:szCs w:val="22"/>
        </w:rPr>
        <w:t>.</w:t>
      </w:r>
      <w:r>
        <w:rPr>
          <w:rFonts w:asciiTheme="minorHAnsi" w:hAnsiTheme="minorHAnsi" w:cstheme="minorHAnsi"/>
          <w:sz w:val="22"/>
          <w:szCs w:val="22"/>
        </w:rPr>
        <w:t xml:space="preserve"> </w:t>
      </w:r>
    </w:p>
  </w:endnote>
  <w:endnote w:id="2">
    <w:p w14:paraId="3CC765F9" w14:textId="431AADC4" w:rsidR="00F70157" w:rsidRPr="006C7213" w:rsidRDefault="00F70157" w:rsidP="00E72555">
      <w:pPr>
        <w:pStyle w:val="EndnoteText"/>
        <w:tabs>
          <w:tab w:val="left" w:pos="567"/>
        </w:tabs>
        <w:spacing w:after="120"/>
        <w:ind w:left="567" w:hanging="567"/>
        <w:rPr>
          <w:rFonts w:cstheme="minorHAnsi"/>
          <w:sz w:val="22"/>
          <w:szCs w:val="22"/>
          <w:highlight w:val="yellow"/>
        </w:rPr>
      </w:pPr>
      <w:r w:rsidRPr="00E72555">
        <w:rPr>
          <w:rStyle w:val="EndnoteReference"/>
          <w:rFonts w:cstheme="minorHAnsi"/>
          <w:sz w:val="22"/>
          <w:szCs w:val="22"/>
          <w:vertAlign w:val="baseline"/>
        </w:rPr>
        <w:endnoteRef/>
      </w:r>
      <w:r w:rsidRPr="00E72555">
        <w:rPr>
          <w:rFonts w:cstheme="minorHAnsi"/>
          <w:sz w:val="22"/>
          <w:szCs w:val="22"/>
        </w:rPr>
        <w:t xml:space="preserve"> </w:t>
      </w:r>
      <w:r w:rsidRPr="00E72555">
        <w:rPr>
          <w:rFonts w:cstheme="minorHAnsi"/>
          <w:sz w:val="22"/>
          <w:szCs w:val="22"/>
        </w:rPr>
        <w:tab/>
      </w:r>
      <w:proofErr w:type="gramStart"/>
      <w:r w:rsidRPr="00E72555">
        <w:rPr>
          <w:rFonts w:cstheme="minorHAnsi"/>
          <w:sz w:val="22"/>
          <w:szCs w:val="22"/>
        </w:rPr>
        <w:t>Council of Australian Governments</w:t>
      </w:r>
      <w:r>
        <w:rPr>
          <w:rFonts w:cstheme="minorHAnsi"/>
          <w:sz w:val="22"/>
          <w:szCs w:val="22"/>
        </w:rPr>
        <w:t>.</w:t>
      </w:r>
      <w:proofErr w:type="gramEnd"/>
      <w:r w:rsidRPr="00E72555">
        <w:rPr>
          <w:rFonts w:cstheme="minorHAnsi"/>
          <w:sz w:val="22"/>
          <w:szCs w:val="22"/>
        </w:rPr>
        <w:t xml:space="preserve"> </w:t>
      </w:r>
      <w:proofErr w:type="gramStart"/>
      <w:r w:rsidRPr="00E72555">
        <w:rPr>
          <w:rFonts w:cstheme="minorHAnsi"/>
          <w:sz w:val="22"/>
          <w:szCs w:val="22"/>
        </w:rPr>
        <w:t>Heads of Agreement between the Commonwealth and the States and Territories on public hospital funding and health reform</w:t>
      </w:r>
      <w:r>
        <w:rPr>
          <w:rFonts w:cstheme="minorHAnsi"/>
          <w:sz w:val="22"/>
          <w:szCs w:val="22"/>
        </w:rPr>
        <w:t>.</w:t>
      </w:r>
      <w:proofErr w:type="gramEnd"/>
      <w:r>
        <w:rPr>
          <w:rFonts w:cstheme="minorHAnsi"/>
          <w:sz w:val="22"/>
          <w:szCs w:val="22"/>
        </w:rPr>
        <w:t xml:space="preserve"> February 2018. Available from:</w:t>
      </w:r>
      <w:r w:rsidRPr="00E72555">
        <w:rPr>
          <w:rFonts w:cstheme="minorHAnsi"/>
          <w:sz w:val="22"/>
          <w:szCs w:val="22"/>
        </w:rPr>
        <w:t xml:space="preserve"> </w:t>
      </w:r>
      <w:hyperlink r:id="rId2" w:history="1">
        <w:r w:rsidRPr="00F30C51">
          <w:rPr>
            <w:rStyle w:val="Hyperlink"/>
            <w:rFonts w:asciiTheme="minorHAnsi" w:hAnsiTheme="minorHAnsi" w:cstheme="minorHAnsi"/>
            <w:szCs w:val="22"/>
          </w:rPr>
          <w:t>https://www.coag.gov.au/about-coag/agreements/heads-agreement-between-commonwealth-and-states-and-territories-public-0</w:t>
        </w:r>
      </w:hyperlink>
      <w:r>
        <w:rPr>
          <w:rStyle w:val="Hyperlink"/>
          <w:rFonts w:asciiTheme="minorHAnsi" w:hAnsiTheme="minorHAnsi" w:cstheme="minorHAnsi"/>
          <w:szCs w:val="22"/>
        </w:rPr>
        <w:t>.</w:t>
      </w:r>
      <w:r>
        <w:rPr>
          <w:rFonts w:cstheme="minorHAnsi"/>
          <w:sz w:val="22"/>
          <w:szCs w:val="22"/>
        </w:rPr>
        <w:t xml:space="preserve">  </w:t>
      </w:r>
    </w:p>
  </w:endnote>
  <w:endnote w:id="3">
    <w:p w14:paraId="0F844C51" w14:textId="718907D9" w:rsidR="00F70157" w:rsidRPr="00973C4F" w:rsidRDefault="00F70157" w:rsidP="00973C4F">
      <w:pPr>
        <w:pStyle w:val="Default"/>
        <w:spacing w:after="120"/>
        <w:ind w:left="567" w:hanging="567"/>
        <w:rPr>
          <w:rFonts w:ascii="Calibri" w:hAnsi="Calibri" w:cs="Calibri"/>
        </w:rPr>
      </w:pPr>
      <w:r w:rsidRPr="00973C4F">
        <w:rPr>
          <w:rStyle w:val="EndnoteReference"/>
          <w:rFonts w:cstheme="minorHAnsi"/>
          <w:sz w:val="22"/>
          <w:szCs w:val="22"/>
          <w:vertAlign w:val="baseline"/>
        </w:rPr>
        <w:endnoteRef/>
      </w:r>
      <w:r w:rsidRPr="00973C4F">
        <w:rPr>
          <w:rFonts w:cstheme="minorHAnsi"/>
          <w:sz w:val="22"/>
          <w:szCs w:val="22"/>
        </w:rPr>
        <w:t xml:space="preserve"> </w:t>
      </w:r>
      <w:r w:rsidRPr="00973C4F">
        <w:rPr>
          <w:rFonts w:cstheme="minorHAnsi"/>
          <w:sz w:val="22"/>
          <w:szCs w:val="22"/>
        </w:rPr>
        <w:tab/>
      </w:r>
      <w:proofErr w:type="gramStart"/>
      <w:r w:rsidRPr="00973C4F">
        <w:rPr>
          <w:rFonts w:cstheme="minorHAnsi"/>
          <w:sz w:val="22"/>
          <w:szCs w:val="22"/>
        </w:rPr>
        <w:t>National Health Information and Performance Principal Committee.</w:t>
      </w:r>
      <w:proofErr w:type="gramEnd"/>
      <w:r w:rsidRPr="00973C4F">
        <w:rPr>
          <w:rFonts w:cstheme="minorHAnsi"/>
          <w:sz w:val="22"/>
          <w:szCs w:val="22"/>
        </w:rPr>
        <w:t xml:space="preserve"> </w:t>
      </w:r>
      <w:proofErr w:type="gramStart"/>
      <w:r w:rsidRPr="00973C4F">
        <w:rPr>
          <w:rFonts w:cstheme="minorHAnsi"/>
          <w:sz w:val="22"/>
          <w:szCs w:val="22"/>
        </w:rPr>
        <w:t>The Australian Health Performance Framework.</w:t>
      </w:r>
      <w:proofErr w:type="gramEnd"/>
      <w:r w:rsidRPr="00973C4F">
        <w:rPr>
          <w:rFonts w:cstheme="minorHAnsi"/>
          <w:sz w:val="22"/>
          <w:szCs w:val="22"/>
        </w:rPr>
        <w:t xml:space="preserve"> September 2017. Available from: </w:t>
      </w:r>
      <w:hyperlink r:id="rId3" w:history="1">
        <w:r w:rsidRPr="00F30C51">
          <w:rPr>
            <w:rStyle w:val="Hyperlink"/>
            <w:rFonts w:ascii="Open Sans" w:hAnsi="Open Sans" w:cstheme="minorHAnsi"/>
            <w:szCs w:val="22"/>
          </w:rPr>
          <w:t>https://www.coaghealthcouncil.gov.au/Portals/0/OOS318_Attachment%201.pdf</w:t>
        </w:r>
      </w:hyperlink>
      <w:r>
        <w:rPr>
          <w:rStyle w:val="Hyperlink"/>
          <w:rFonts w:ascii="Open Sans" w:hAnsi="Open Sans" w:cstheme="minorHAnsi"/>
          <w:szCs w:val="22"/>
        </w:rPr>
        <w:t>.</w:t>
      </w:r>
      <w:r>
        <w:rPr>
          <w:rFonts w:cstheme="minorHAnsi"/>
          <w:sz w:val="22"/>
          <w:szCs w:val="22"/>
        </w:rPr>
        <w:t xml:space="preserve"> </w:t>
      </w:r>
    </w:p>
  </w:endnote>
  <w:endnote w:id="4">
    <w:p w14:paraId="02DAAE90" w14:textId="30FF1342" w:rsidR="00F70157" w:rsidRPr="006C7213" w:rsidRDefault="00F70157" w:rsidP="00973C4F">
      <w:pPr>
        <w:pStyle w:val="EndnoteText"/>
        <w:tabs>
          <w:tab w:val="left" w:pos="567"/>
        </w:tabs>
        <w:spacing w:after="120"/>
        <w:ind w:left="567" w:hanging="567"/>
        <w:rPr>
          <w:rFonts w:cstheme="minorHAnsi"/>
          <w:sz w:val="22"/>
          <w:szCs w:val="22"/>
        </w:rPr>
      </w:pPr>
      <w:r w:rsidRPr="00973C4F">
        <w:rPr>
          <w:rStyle w:val="EndnoteReference"/>
          <w:rFonts w:cstheme="minorHAnsi"/>
          <w:sz w:val="22"/>
          <w:szCs w:val="22"/>
          <w:vertAlign w:val="baseline"/>
        </w:rPr>
        <w:endnoteRef/>
      </w:r>
      <w:r w:rsidRPr="00973C4F">
        <w:rPr>
          <w:rFonts w:cstheme="minorHAnsi"/>
          <w:sz w:val="22"/>
          <w:szCs w:val="22"/>
        </w:rPr>
        <w:t xml:space="preserve"> </w:t>
      </w:r>
      <w:r w:rsidRPr="00973C4F">
        <w:rPr>
          <w:rFonts w:cstheme="minorHAnsi"/>
          <w:sz w:val="22"/>
          <w:szCs w:val="22"/>
        </w:rPr>
        <w:tab/>
      </w:r>
      <w:proofErr w:type="gramStart"/>
      <w:r>
        <w:rPr>
          <w:rFonts w:cstheme="minorHAnsi"/>
          <w:sz w:val="22"/>
          <w:szCs w:val="22"/>
        </w:rPr>
        <w:t>Queensland Government.</w:t>
      </w:r>
      <w:proofErr w:type="gramEnd"/>
      <w:r>
        <w:rPr>
          <w:rFonts w:cstheme="minorHAnsi"/>
          <w:sz w:val="22"/>
          <w:szCs w:val="22"/>
        </w:rPr>
        <w:t xml:space="preserve"> </w:t>
      </w:r>
      <w:proofErr w:type="gramStart"/>
      <w:r w:rsidRPr="00973C4F">
        <w:rPr>
          <w:rFonts w:cstheme="minorHAnsi"/>
          <w:sz w:val="22"/>
          <w:szCs w:val="22"/>
        </w:rPr>
        <w:t>Expanding healthcare quality and patient safety reporting</w:t>
      </w:r>
      <w:r>
        <w:rPr>
          <w:rFonts w:cstheme="minorHAnsi"/>
          <w:sz w:val="22"/>
          <w:szCs w:val="22"/>
        </w:rPr>
        <w:t>.</w:t>
      </w:r>
      <w:proofErr w:type="gramEnd"/>
      <w:r>
        <w:rPr>
          <w:rFonts w:cstheme="minorHAnsi"/>
          <w:sz w:val="22"/>
          <w:szCs w:val="22"/>
        </w:rPr>
        <w:t xml:space="preserve"> </w:t>
      </w:r>
      <w:r w:rsidRPr="00973C4F">
        <w:rPr>
          <w:rFonts w:cstheme="minorHAnsi"/>
          <w:sz w:val="22"/>
          <w:szCs w:val="22"/>
        </w:rPr>
        <w:t>25 January 2019</w:t>
      </w:r>
      <w:r>
        <w:rPr>
          <w:rFonts w:cstheme="minorHAnsi"/>
          <w:sz w:val="22"/>
          <w:szCs w:val="22"/>
        </w:rPr>
        <w:t>. Available from:</w:t>
      </w:r>
      <w:r w:rsidRPr="00973C4F">
        <w:rPr>
          <w:rFonts w:cstheme="minorHAnsi"/>
          <w:sz w:val="22"/>
          <w:szCs w:val="22"/>
        </w:rPr>
        <w:t xml:space="preserve"> </w:t>
      </w:r>
      <w:hyperlink r:id="rId4" w:history="1">
        <w:r w:rsidRPr="00F30C51">
          <w:rPr>
            <w:rStyle w:val="Hyperlink"/>
            <w:rFonts w:asciiTheme="minorHAnsi" w:hAnsiTheme="minorHAnsi" w:cstheme="minorHAnsi"/>
            <w:szCs w:val="22"/>
          </w:rPr>
          <w:t>https://www.health.qld.gov.au/system-governance/strategic-direction/improving-service/expanding-patient-safety-reporting</w:t>
        </w:r>
      </w:hyperlink>
      <w:r>
        <w:rPr>
          <w:rStyle w:val="Hyperlink"/>
          <w:rFonts w:asciiTheme="minorHAnsi" w:hAnsiTheme="minorHAnsi" w:cstheme="minorHAnsi"/>
          <w:szCs w:val="22"/>
        </w:rPr>
        <w:t>.</w:t>
      </w:r>
      <w:r>
        <w:rPr>
          <w:rFonts w:cstheme="minorHAnsi"/>
          <w:sz w:val="22"/>
          <w:szCs w:val="22"/>
        </w:rPr>
        <w:t xml:space="preserve"> </w:t>
      </w:r>
    </w:p>
  </w:endnote>
  <w:endnote w:id="5">
    <w:p w14:paraId="6C26ABA2" w14:textId="335B5764"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sidRPr="006C7213">
        <w:rPr>
          <w:rFonts w:cstheme="minorHAnsi"/>
          <w:sz w:val="22"/>
          <w:szCs w:val="22"/>
        </w:rPr>
        <w:t>Leape</w:t>
      </w:r>
      <w:proofErr w:type="spellEnd"/>
      <w:r w:rsidRPr="006C7213">
        <w:rPr>
          <w:rFonts w:cstheme="minorHAnsi"/>
          <w:sz w:val="22"/>
          <w:szCs w:val="22"/>
        </w:rPr>
        <w:t xml:space="preserve"> L, Berwick D, Clancy C, et al. Transforming healthcare: a safety imperative. BMJ Quality &amp; Safety 2009;</w:t>
      </w:r>
      <w:r>
        <w:rPr>
          <w:rFonts w:cstheme="minorHAnsi"/>
          <w:sz w:val="22"/>
          <w:szCs w:val="22"/>
        </w:rPr>
        <w:t xml:space="preserve"> </w:t>
      </w:r>
      <w:r w:rsidRPr="006C7213">
        <w:rPr>
          <w:rFonts w:cstheme="minorHAnsi"/>
          <w:sz w:val="22"/>
          <w:szCs w:val="22"/>
        </w:rPr>
        <w:t>18:424-428.</w:t>
      </w:r>
    </w:p>
  </w:endnote>
  <w:endnote w:id="6">
    <w:p w14:paraId="229346E3" w14:textId="2EDEF5D7"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t>Brandt</w:t>
      </w:r>
      <w:r>
        <w:rPr>
          <w:rFonts w:cstheme="minorHAnsi"/>
          <w:sz w:val="22"/>
          <w:szCs w:val="22"/>
        </w:rPr>
        <w:t xml:space="preserve"> C, Patel</w:t>
      </w:r>
      <w:r w:rsidRPr="006C7213">
        <w:rPr>
          <w:rFonts w:cstheme="minorHAnsi"/>
          <w:sz w:val="22"/>
          <w:szCs w:val="22"/>
        </w:rPr>
        <w:t xml:space="preserve"> K</w:t>
      </w:r>
      <w:r>
        <w:rPr>
          <w:rFonts w:cstheme="minorHAnsi"/>
          <w:sz w:val="22"/>
          <w:szCs w:val="22"/>
        </w:rPr>
        <w:t xml:space="preserve">, </w:t>
      </w:r>
      <w:proofErr w:type="spellStart"/>
      <w:r>
        <w:rPr>
          <w:rFonts w:cstheme="minorHAnsi"/>
          <w:sz w:val="22"/>
          <w:szCs w:val="22"/>
        </w:rPr>
        <w:t>Masi</w:t>
      </w:r>
      <w:proofErr w:type="spellEnd"/>
      <w:r w:rsidRPr="006C7213">
        <w:rPr>
          <w:rFonts w:cstheme="minorHAnsi"/>
          <w:sz w:val="22"/>
          <w:szCs w:val="22"/>
        </w:rPr>
        <w:t xml:space="preserve"> D</w:t>
      </w:r>
      <w:r>
        <w:rPr>
          <w:rFonts w:cstheme="minorHAnsi"/>
          <w:sz w:val="22"/>
          <w:szCs w:val="22"/>
        </w:rPr>
        <w:t>.</w:t>
      </w:r>
      <w:r w:rsidRPr="006C7213">
        <w:rPr>
          <w:rFonts w:cstheme="minorHAnsi"/>
          <w:sz w:val="22"/>
          <w:szCs w:val="22"/>
        </w:rPr>
        <w:t xml:space="preserve"> Health Policy Issue Brief: Recommendations to Achieve a More Transparent Health Care System for Consumers. Brookings. </w:t>
      </w:r>
      <w:r>
        <w:rPr>
          <w:rFonts w:cstheme="minorHAnsi"/>
          <w:sz w:val="22"/>
          <w:szCs w:val="22"/>
        </w:rPr>
        <w:t>3 February 2018.</w:t>
      </w:r>
      <w:r w:rsidRPr="006C7213">
        <w:rPr>
          <w:rFonts w:cstheme="minorHAnsi"/>
          <w:sz w:val="22"/>
          <w:szCs w:val="22"/>
        </w:rPr>
        <w:t xml:space="preserve"> </w:t>
      </w:r>
      <w:r w:rsidRPr="00B9663B">
        <w:rPr>
          <w:rFonts w:cstheme="minorHAnsi"/>
          <w:sz w:val="22"/>
          <w:szCs w:val="22"/>
        </w:rPr>
        <w:t xml:space="preserve">Available from: </w:t>
      </w:r>
      <w:hyperlink r:id="rId5" w:history="1">
        <w:r w:rsidRPr="00F30C51">
          <w:rPr>
            <w:rStyle w:val="Hyperlink"/>
            <w:rFonts w:asciiTheme="minorHAnsi" w:hAnsiTheme="minorHAnsi" w:cstheme="minorHAnsi"/>
            <w:szCs w:val="22"/>
          </w:rPr>
          <w:t>http://www.brookings.edu/research/papers/2015/02/04-medicare-transparency-health-consumers-patel</w:t>
        </w:r>
      </w:hyperlink>
      <w:r>
        <w:rPr>
          <w:rFonts w:cstheme="minorHAnsi"/>
          <w:sz w:val="22"/>
          <w:szCs w:val="22"/>
        </w:rPr>
        <w:t xml:space="preserve">. </w:t>
      </w:r>
    </w:p>
  </w:endnote>
  <w:endnote w:id="7">
    <w:p w14:paraId="07132EA3" w14:textId="08251DA0"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proofErr w:type="gramStart"/>
      <w:r w:rsidRPr="006C7213">
        <w:rPr>
          <w:rFonts w:cstheme="minorHAnsi"/>
          <w:sz w:val="22"/>
          <w:szCs w:val="22"/>
          <w:lang w:val="en"/>
        </w:rPr>
        <w:t>Chassin</w:t>
      </w:r>
      <w:proofErr w:type="spellEnd"/>
      <w:r w:rsidRPr="006C7213">
        <w:rPr>
          <w:rFonts w:cstheme="minorHAnsi"/>
          <w:sz w:val="22"/>
          <w:szCs w:val="22"/>
          <w:lang w:val="en"/>
        </w:rPr>
        <w:t xml:space="preserve"> et al. Accountability Measures – Using Measurement to Promote Quality Improvement.</w:t>
      </w:r>
      <w:proofErr w:type="gramEnd"/>
      <w:r w:rsidRPr="006C7213">
        <w:rPr>
          <w:rFonts w:cstheme="minorHAnsi"/>
          <w:sz w:val="22"/>
          <w:szCs w:val="22"/>
          <w:lang w:val="en"/>
        </w:rPr>
        <w:t xml:space="preserve"> New England Journal of Medicine 2010</w:t>
      </w:r>
      <w:r>
        <w:rPr>
          <w:rFonts w:cstheme="minorHAnsi"/>
          <w:sz w:val="22"/>
          <w:szCs w:val="22"/>
          <w:lang w:val="en"/>
        </w:rPr>
        <w:t>;</w:t>
      </w:r>
      <w:r w:rsidRPr="006C7213">
        <w:rPr>
          <w:rFonts w:cstheme="minorHAnsi"/>
          <w:sz w:val="22"/>
          <w:szCs w:val="22"/>
          <w:lang w:val="en"/>
        </w:rPr>
        <w:t xml:space="preserve"> 363:683-688</w:t>
      </w:r>
      <w:r>
        <w:rPr>
          <w:rFonts w:cstheme="minorHAnsi"/>
          <w:sz w:val="22"/>
          <w:szCs w:val="22"/>
          <w:lang w:val="en"/>
        </w:rPr>
        <w:t>.</w:t>
      </w:r>
    </w:p>
  </w:endnote>
  <w:endnote w:id="8">
    <w:p w14:paraId="13F53A27" w14:textId="6236E98A"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r>
        <w:rPr>
          <w:rFonts w:cstheme="minorHAnsi"/>
          <w:sz w:val="22"/>
          <w:szCs w:val="22"/>
        </w:rPr>
        <w:t>Chen J</w:t>
      </w:r>
      <w:r w:rsidRPr="00973C4F">
        <w:rPr>
          <w:rFonts w:cstheme="minorHAnsi"/>
          <w:sz w:val="22"/>
          <w:szCs w:val="22"/>
        </w:rPr>
        <w:t>C. Public reporting of health system performance: Review of evidence on impact on patients, providers and healthcare organisations: An Evidence Check rapid review brokered by the Sax Institute for t</w:t>
      </w:r>
      <w:r>
        <w:rPr>
          <w:rFonts w:cstheme="minorHAnsi"/>
          <w:sz w:val="22"/>
          <w:szCs w:val="22"/>
        </w:rPr>
        <w:t>he Bureau of Health Information;</w:t>
      </w:r>
      <w:r w:rsidRPr="00973C4F">
        <w:rPr>
          <w:rFonts w:cstheme="minorHAnsi"/>
          <w:sz w:val="22"/>
          <w:szCs w:val="22"/>
        </w:rPr>
        <w:t xml:space="preserve"> 2010. </w:t>
      </w:r>
      <w:r w:rsidRPr="00B9663B">
        <w:rPr>
          <w:rFonts w:cstheme="minorHAnsi"/>
          <w:sz w:val="22"/>
          <w:szCs w:val="22"/>
        </w:rPr>
        <w:t xml:space="preserve">Available from: </w:t>
      </w:r>
      <w:hyperlink r:id="rId6" w:history="1">
        <w:r w:rsidRPr="00973C4F">
          <w:rPr>
            <w:rStyle w:val="Hyperlink"/>
            <w:rFonts w:asciiTheme="minorHAnsi" w:hAnsiTheme="minorHAnsi" w:cstheme="minorHAnsi"/>
            <w:szCs w:val="22"/>
          </w:rPr>
          <w:t>https://www.saxinstitute.org.au/wp-content/uploads/17_Public-reporting-of-health-system-performance....pdf</w:t>
        </w:r>
      </w:hyperlink>
      <w:r w:rsidRPr="00973C4F">
        <w:rPr>
          <w:rStyle w:val="Hyperlink"/>
          <w:rFonts w:asciiTheme="minorHAnsi" w:hAnsiTheme="minorHAnsi" w:cstheme="minorHAnsi"/>
          <w:szCs w:val="22"/>
        </w:rPr>
        <w:t>.</w:t>
      </w:r>
      <w:r w:rsidRPr="006C7213">
        <w:rPr>
          <w:rFonts w:cstheme="minorHAnsi"/>
          <w:sz w:val="22"/>
          <w:szCs w:val="22"/>
        </w:rPr>
        <w:t xml:space="preserve"> </w:t>
      </w:r>
    </w:p>
  </w:endnote>
  <w:endnote w:id="9">
    <w:p w14:paraId="7F6898D3" w14:textId="3A8A16D7" w:rsidR="00F70157" w:rsidRPr="006C7213" w:rsidRDefault="00F70157" w:rsidP="006C7213">
      <w:pPr>
        <w:pStyle w:val="EndnoteText"/>
        <w:tabs>
          <w:tab w:val="left" w:pos="567"/>
        </w:tabs>
        <w:spacing w:after="120"/>
        <w:ind w:left="567" w:hanging="567"/>
        <w:rPr>
          <w:rFonts w:cstheme="minorHAnsi"/>
          <w:sz w:val="22"/>
          <w:szCs w:val="22"/>
          <w:lang w:val="en"/>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Pr>
          <w:rFonts w:cstheme="minorHAnsi"/>
          <w:sz w:val="22"/>
          <w:szCs w:val="22"/>
          <w:lang w:val="en"/>
        </w:rPr>
        <w:t>Cacace</w:t>
      </w:r>
      <w:proofErr w:type="spellEnd"/>
      <w:r>
        <w:rPr>
          <w:rFonts w:cstheme="minorHAnsi"/>
          <w:sz w:val="22"/>
          <w:szCs w:val="22"/>
          <w:lang w:val="en"/>
        </w:rPr>
        <w:t xml:space="preserve"> M, </w:t>
      </w:r>
      <w:proofErr w:type="spellStart"/>
      <w:r>
        <w:rPr>
          <w:rFonts w:cstheme="minorHAnsi"/>
          <w:sz w:val="22"/>
          <w:szCs w:val="22"/>
          <w:lang w:val="en"/>
        </w:rPr>
        <w:t>Etterlt</w:t>
      </w:r>
      <w:proofErr w:type="spellEnd"/>
      <w:r>
        <w:rPr>
          <w:rFonts w:cstheme="minorHAnsi"/>
          <w:sz w:val="22"/>
          <w:szCs w:val="22"/>
          <w:lang w:val="en"/>
        </w:rPr>
        <w:t xml:space="preserve"> S, Brereton L, Pedersen J, Nolte</w:t>
      </w:r>
      <w:r w:rsidRPr="006C7213">
        <w:rPr>
          <w:rFonts w:cstheme="minorHAnsi"/>
          <w:sz w:val="22"/>
          <w:szCs w:val="22"/>
          <w:lang w:val="en"/>
        </w:rPr>
        <w:t xml:space="preserve"> E. How health systems make available information on service providers</w:t>
      </w:r>
      <w:r>
        <w:rPr>
          <w:rFonts w:cstheme="minorHAnsi"/>
          <w:sz w:val="22"/>
          <w:szCs w:val="22"/>
          <w:lang w:val="en"/>
        </w:rPr>
        <w:t>: Experience in seven countries</w:t>
      </w:r>
      <w:r w:rsidRPr="006C7213">
        <w:rPr>
          <w:rFonts w:cstheme="minorHAnsi"/>
          <w:sz w:val="22"/>
          <w:szCs w:val="22"/>
          <w:lang w:val="en"/>
        </w:rPr>
        <w:t xml:space="preserve">. </w:t>
      </w:r>
      <w:proofErr w:type="gramStart"/>
      <w:r w:rsidRPr="00341892">
        <w:rPr>
          <w:rFonts w:cstheme="minorHAnsi"/>
          <w:sz w:val="22"/>
          <w:szCs w:val="22"/>
          <w:lang w:val="en"/>
        </w:rPr>
        <w:t>RAND Corporation</w:t>
      </w:r>
      <w:r>
        <w:rPr>
          <w:rFonts w:cstheme="minorHAnsi"/>
          <w:sz w:val="22"/>
          <w:szCs w:val="22"/>
          <w:lang w:val="en"/>
        </w:rPr>
        <w:t xml:space="preserve"> 2011.</w:t>
      </w:r>
      <w:proofErr w:type="gramEnd"/>
      <w:r>
        <w:rPr>
          <w:rFonts w:cstheme="minorHAnsi"/>
          <w:sz w:val="22"/>
          <w:szCs w:val="22"/>
          <w:lang w:val="en"/>
        </w:rPr>
        <w:t xml:space="preserve"> Available from: </w:t>
      </w:r>
      <w:hyperlink r:id="rId7" w:history="1">
        <w:r w:rsidRPr="00F30C51">
          <w:rPr>
            <w:rStyle w:val="Hyperlink"/>
            <w:rFonts w:asciiTheme="minorHAnsi" w:hAnsiTheme="minorHAnsi" w:cstheme="minorHAnsi"/>
            <w:szCs w:val="22"/>
            <w:lang w:val="en"/>
          </w:rPr>
          <w:t>https://www.rand.org/pubs/technical_reports/TR887.html</w:t>
        </w:r>
      </w:hyperlink>
      <w:r>
        <w:rPr>
          <w:rFonts w:cstheme="minorHAnsi"/>
          <w:sz w:val="22"/>
          <w:szCs w:val="22"/>
          <w:lang w:val="en"/>
        </w:rPr>
        <w:t xml:space="preserve">. </w:t>
      </w:r>
    </w:p>
  </w:endnote>
  <w:endnote w:id="10">
    <w:p w14:paraId="43177945" w14:textId="27F7398E"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6C7213">
        <w:rPr>
          <w:rFonts w:cstheme="minorHAnsi"/>
          <w:sz w:val="22"/>
          <w:szCs w:val="22"/>
        </w:rPr>
        <w:t>Australian Commission on Safety and</w:t>
      </w:r>
      <w:r>
        <w:rPr>
          <w:rFonts w:cstheme="minorHAnsi"/>
          <w:sz w:val="22"/>
          <w:szCs w:val="22"/>
        </w:rPr>
        <w:t xml:space="preserve"> Quality in Health Care</w:t>
      </w:r>
      <w:r w:rsidRPr="006C7213">
        <w:rPr>
          <w:rFonts w:cstheme="minorHAnsi"/>
          <w:sz w:val="22"/>
          <w:szCs w:val="22"/>
        </w:rPr>
        <w:t>.</w:t>
      </w:r>
      <w:proofErr w:type="gramEnd"/>
      <w:r w:rsidRPr="006C7213">
        <w:rPr>
          <w:rFonts w:cstheme="minorHAnsi"/>
          <w:sz w:val="22"/>
          <w:szCs w:val="22"/>
        </w:rPr>
        <w:t xml:space="preserve"> </w:t>
      </w:r>
      <w:proofErr w:type="gramStart"/>
      <w:r w:rsidRPr="00341892">
        <w:rPr>
          <w:rFonts w:cstheme="minorHAnsi"/>
          <w:sz w:val="22"/>
          <w:szCs w:val="22"/>
        </w:rPr>
        <w:t>Australian Safety and Quality Framework for Health Care</w:t>
      </w:r>
      <w:r w:rsidRPr="006C7213">
        <w:rPr>
          <w:rFonts w:cstheme="minorHAnsi"/>
          <w:sz w:val="22"/>
          <w:szCs w:val="22"/>
        </w:rPr>
        <w:t>.</w:t>
      </w:r>
      <w:proofErr w:type="gramEnd"/>
      <w:r w:rsidRPr="006C7213">
        <w:rPr>
          <w:rFonts w:cstheme="minorHAnsi"/>
          <w:sz w:val="22"/>
          <w:szCs w:val="22"/>
        </w:rPr>
        <w:t xml:space="preserve"> </w:t>
      </w:r>
      <w:proofErr w:type="gramStart"/>
      <w:r>
        <w:rPr>
          <w:rFonts w:cstheme="minorHAnsi"/>
          <w:sz w:val="22"/>
          <w:szCs w:val="22"/>
        </w:rPr>
        <w:t>ACSQHC; 2010.</w:t>
      </w:r>
      <w:proofErr w:type="gramEnd"/>
      <w:r>
        <w:rPr>
          <w:rFonts w:cstheme="minorHAnsi"/>
          <w:sz w:val="22"/>
          <w:szCs w:val="22"/>
        </w:rPr>
        <w:t xml:space="preserve"> </w:t>
      </w:r>
      <w:r w:rsidRPr="006C7213">
        <w:rPr>
          <w:rFonts w:cstheme="minorHAnsi"/>
          <w:sz w:val="22"/>
          <w:szCs w:val="22"/>
        </w:rPr>
        <w:t>Available</w:t>
      </w:r>
      <w:r>
        <w:rPr>
          <w:rFonts w:cstheme="minorHAnsi"/>
          <w:sz w:val="22"/>
          <w:szCs w:val="22"/>
        </w:rPr>
        <w:t xml:space="preserve"> from</w:t>
      </w:r>
      <w:r w:rsidRPr="006C7213">
        <w:rPr>
          <w:rFonts w:cstheme="minorHAnsi"/>
          <w:sz w:val="22"/>
          <w:szCs w:val="22"/>
        </w:rPr>
        <w:t xml:space="preserve">: </w:t>
      </w:r>
      <w:hyperlink r:id="rId8" w:history="1">
        <w:r w:rsidRPr="006C7213">
          <w:rPr>
            <w:rStyle w:val="Hyperlink"/>
            <w:rFonts w:asciiTheme="minorHAnsi" w:hAnsiTheme="minorHAnsi" w:cstheme="minorHAnsi"/>
            <w:szCs w:val="22"/>
          </w:rPr>
          <w:t>http://www.safetyandquality.gov.au/wpcontent/uploads/2009/01/Developing-a-Safety-and-Quality-Framework-for-Australia.pdf</w:t>
        </w:r>
      </w:hyperlink>
      <w:r>
        <w:rPr>
          <w:rFonts w:cstheme="minorHAnsi"/>
          <w:sz w:val="22"/>
          <w:szCs w:val="22"/>
        </w:rPr>
        <w:t xml:space="preserve">. </w:t>
      </w:r>
      <w:r w:rsidRPr="006C7213">
        <w:rPr>
          <w:rFonts w:cstheme="minorHAnsi"/>
          <w:sz w:val="22"/>
          <w:szCs w:val="22"/>
        </w:rPr>
        <w:t xml:space="preserve"> </w:t>
      </w:r>
    </w:p>
  </w:endnote>
  <w:endnote w:id="11">
    <w:p w14:paraId="769416FE" w14:textId="7B82E82C"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341892">
        <w:rPr>
          <w:rFonts w:cstheme="minorHAnsi"/>
          <w:sz w:val="22"/>
          <w:szCs w:val="22"/>
        </w:rPr>
        <w:t>Victoria</w:t>
      </w:r>
      <w:r>
        <w:rPr>
          <w:rFonts w:cstheme="minorHAnsi"/>
          <w:sz w:val="22"/>
          <w:szCs w:val="22"/>
        </w:rPr>
        <w:t xml:space="preserve">n </w:t>
      </w:r>
      <w:r w:rsidRPr="00341892">
        <w:rPr>
          <w:rFonts w:cstheme="minorHAnsi"/>
          <w:sz w:val="22"/>
          <w:szCs w:val="22"/>
          <w:lang w:val="en-US"/>
        </w:rPr>
        <w:t>Department of Health and Human Services</w:t>
      </w:r>
      <w:r w:rsidRPr="00E07076">
        <w:rPr>
          <w:rFonts w:cstheme="minorHAnsi"/>
          <w:sz w:val="22"/>
          <w:szCs w:val="22"/>
          <w:lang w:val="en-US"/>
        </w:rPr>
        <w:t>.</w:t>
      </w:r>
      <w:proofErr w:type="gramEnd"/>
      <w:r w:rsidRPr="00E07076">
        <w:rPr>
          <w:rFonts w:cstheme="minorHAnsi"/>
          <w:sz w:val="22"/>
          <w:szCs w:val="22"/>
          <w:lang w:val="en-US"/>
        </w:rPr>
        <w:t xml:space="preserve"> Quality of care reporting: A critical literature review. Melbourne: </w:t>
      </w:r>
      <w:r w:rsidRPr="00E07076">
        <w:rPr>
          <w:rFonts w:ascii="Arial" w:hAnsi="Arial" w:cs="Arial"/>
          <w:sz w:val="22"/>
          <w:szCs w:val="22"/>
        </w:rPr>
        <w:t>State of</w:t>
      </w:r>
      <w:r>
        <w:rPr>
          <w:rFonts w:ascii="Arial" w:hAnsi="Arial" w:cs="Arial"/>
          <w:sz w:val="22"/>
          <w:szCs w:val="22"/>
        </w:rPr>
        <w:t xml:space="preserve"> Victoria, Department of Health</w:t>
      </w:r>
      <w:r w:rsidRPr="00E07076">
        <w:rPr>
          <w:rFonts w:ascii="Arial" w:hAnsi="Arial" w:cs="Arial"/>
          <w:sz w:val="22"/>
          <w:szCs w:val="22"/>
        </w:rPr>
        <w:t xml:space="preserve"> </w:t>
      </w:r>
      <w:r w:rsidRPr="00E07076">
        <w:rPr>
          <w:rFonts w:cstheme="minorHAnsi"/>
          <w:sz w:val="22"/>
          <w:szCs w:val="22"/>
          <w:lang w:val="en-US"/>
        </w:rPr>
        <w:t>2013</w:t>
      </w:r>
      <w:r>
        <w:rPr>
          <w:rFonts w:cstheme="minorHAnsi"/>
          <w:sz w:val="22"/>
          <w:szCs w:val="22"/>
          <w:lang w:val="en-US"/>
        </w:rPr>
        <w:t>.</w:t>
      </w:r>
    </w:p>
  </w:endnote>
  <w:endnote w:id="12">
    <w:p w14:paraId="2A4300B1" w14:textId="69C1A036"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sidRPr="006C7213">
        <w:rPr>
          <w:rFonts w:cstheme="minorHAnsi"/>
          <w:sz w:val="22"/>
          <w:szCs w:val="22"/>
        </w:rPr>
        <w:t>Camp</w:t>
      </w:r>
      <w:r>
        <w:rPr>
          <w:rFonts w:cstheme="minorHAnsi"/>
          <w:sz w:val="22"/>
          <w:szCs w:val="22"/>
        </w:rPr>
        <w:t>anella</w:t>
      </w:r>
      <w:proofErr w:type="spellEnd"/>
      <w:r>
        <w:rPr>
          <w:rFonts w:cstheme="minorHAnsi"/>
          <w:sz w:val="22"/>
          <w:szCs w:val="22"/>
        </w:rPr>
        <w:t xml:space="preserve"> P, </w:t>
      </w:r>
      <w:proofErr w:type="spellStart"/>
      <w:r>
        <w:rPr>
          <w:rFonts w:cstheme="minorHAnsi"/>
          <w:sz w:val="22"/>
          <w:szCs w:val="22"/>
        </w:rPr>
        <w:t>Vukovic</w:t>
      </w:r>
      <w:proofErr w:type="spellEnd"/>
      <w:r>
        <w:rPr>
          <w:rFonts w:cstheme="minorHAnsi"/>
          <w:sz w:val="22"/>
          <w:szCs w:val="22"/>
        </w:rPr>
        <w:t xml:space="preserve"> V, </w:t>
      </w:r>
      <w:proofErr w:type="spellStart"/>
      <w:r>
        <w:rPr>
          <w:rFonts w:cstheme="minorHAnsi"/>
          <w:sz w:val="22"/>
          <w:szCs w:val="22"/>
        </w:rPr>
        <w:t>Parente</w:t>
      </w:r>
      <w:proofErr w:type="spellEnd"/>
      <w:r>
        <w:rPr>
          <w:rFonts w:cstheme="minorHAnsi"/>
          <w:sz w:val="22"/>
          <w:szCs w:val="22"/>
        </w:rPr>
        <w:t xml:space="preserve"> P,</w:t>
      </w:r>
      <w:r w:rsidRPr="006C7213">
        <w:rPr>
          <w:rFonts w:cstheme="minorHAnsi"/>
          <w:sz w:val="22"/>
          <w:szCs w:val="22"/>
        </w:rPr>
        <w:t xml:space="preserve"> et al</w:t>
      </w:r>
      <w:r>
        <w:rPr>
          <w:rFonts w:cstheme="minorHAnsi"/>
          <w:sz w:val="22"/>
          <w:szCs w:val="22"/>
        </w:rPr>
        <w:t xml:space="preserve">. </w:t>
      </w:r>
      <w:r w:rsidRPr="006C7213">
        <w:rPr>
          <w:rFonts w:cstheme="minorHAnsi"/>
          <w:sz w:val="22"/>
          <w:szCs w:val="22"/>
        </w:rPr>
        <w:t xml:space="preserve">The impact of public reporting on clinical outcomes: a systematic review and meta-analysis. BMC Health </w:t>
      </w:r>
      <w:proofErr w:type="spellStart"/>
      <w:r w:rsidRPr="006C7213">
        <w:rPr>
          <w:rFonts w:cstheme="minorHAnsi"/>
          <w:sz w:val="22"/>
          <w:szCs w:val="22"/>
        </w:rPr>
        <w:t>Serv</w:t>
      </w:r>
      <w:proofErr w:type="spellEnd"/>
      <w:r w:rsidRPr="006C7213">
        <w:rPr>
          <w:rFonts w:cstheme="minorHAnsi"/>
          <w:sz w:val="22"/>
          <w:szCs w:val="22"/>
        </w:rPr>
        <w:t xml:space="preserve"> Res</w:t>
      </w:r>
      <w:r>
        <w:rPr>
          <w:rFonts w:cstheme="minorHAnsi"/>
          <w:sz w:val="22"/>
          <w:szCs w:val="22"/>
        </w:rPr>
        <w:t xml:space="preserve"> </w:t>
      </w:r>
      <w:r w:rsidRPr="006C7213">
        <w:rPr>
          <w:rFonts w:cstheme="minorHAnsi"/>
          <w:sz w:val="22"/>
          <w:szCs w:val="22"/>
        </w:rPr>
        <w:t>2016</w:t>
      </w:r>
      <w:r>
        <w:rPr>
          <w:rFonts w:cstheme="minorHAnsi"/>
          <w:sz w:val="22"/>
          <w:szCs w:val="22"/>
        </w:rPr>
        <w:t>;</w:t>
      </w:r>
      <w:r w:rsidRPr="006C7213">
        <w:rPr>
          <w:rFonts w:cstheme="minorHAnsi"/>
          <w:sz w:val="22"/>
          <w:szCs w:val="22"/>
        </w:rPr>
        <w:t>16:296</w:t>
      </w:r>
    </w:p>
  </w:endnote>
  <w:endnote w:id="13">
    <w:p w14:paraId="677E47DC" w14:textId="6481D519"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sidRPr="006C7213">
        <w:rPr>
          <w:rFonts w:cstheme="minorHAnsi"/>
          <w:sz w:val="22"/>
          <w:szCs w:val="22"/>
        </w:rPr>
        <w:t>Canaway</w:t>
      </w:r>
      <w:proofErr w:type="spellEnd"/>
      <w:r>
        <w:rPr>
          <w:rFonts w:cstheme="minorHAnsi"/>
          <w:sz w:val="22"/>
          <w:szCs w:val="22"/>
        </w:rPr>
        <w:t xml:space="preserve"> R, </w:t>
      </w:r>
      <w:proofErr w:type="spellStart"/>
      <w:r>
        <w:rPr>
          <w:rFonts w:cstheme="minorHAnsi"/>
          <w:sz w:val="22"/>
          <w:szCs w:val="22"/>
        </w:rPr>
        <w:t>Bismark</w:t>
      </w:r>
      <w:proofErr w:type="spellEnd"/>
      <w:r>
        <w:rPr>
          <w:rFonts w:cstheme="minorHAnsi"/>
          <w:sz w:val="22"/>
          <w:szCs w:val="22"/>
        </w:rPr>
        <w:t xml:space="preserve"> M, </w:t>
      </w:r>
      <w:proofErr w:type="spellStart"/>
      <w:r>
        <w:rPr>
          <w:rFonts w:cstheme="minorHAnsi"/>
          <w:sz w:val="22"/>
          <w:szCs w:val="22"/>
        </w:rPr>
        <w:t>Dunt</w:t>
      </w:r>
      <w:proofErr w:type="spellEnd"/>
      <w:r>
        <w:rPr>
          <w:rFonts w:cstheme="minorHAnsi"/>
          <w:sz w:val="22"/>
          <w:szCs w:val="22"/>
        </w:rPr>
        <w:t xml:space="preserve"> D, Prang K, </w:t>
      </w:r>
      <w:proofErr w:type="spellStart"/>
      <w:r>
        <w:rPr>
          <w:rFonts w:cstheme="minorHAnsi"/>
          <w:sz w:val="22"/>
          <w:szCs w:val="22"/>
        </w:rPr>
        <w:t>Kelaher</w:t>
      </w:r>
      <w:proofErr w:type="spellEnd"/>
      <w:r>
        <w:rPr>
          <w:rFonts w:cstheme="minorHAnsi"/>
          <w:sz w:val="22"/>
          <w:szCs w:val="22"/>
        </w:rPr>
        <w:t xml:space="preserve"> M. What is meant by public</w:t>
      </w:r>
      <w:proofErr w:type="gramStart"/>
      <w:r>
        <w:rPr>
          <w:rFonts w:cstheme="minorHAnsi"/>
          <w:sz w:val="22"/>
          <w:szCs w:val="22"/>
        </w:rPr>
        <w:t>?</w:t>
      </w:r>
      <w:r w:rsidRPr="006C7213">
        <w:rPr>
          <w:rFonts w:cstheme="minorHAnsi"/>
          <w:sz w:val="22"/>
          <w:szCs w:val="22"/>
        </w:rPr>
        <w:t>:</w:t>
      </w:r>
      <w:proofErr w:type="gramEnd"/>
      <w:r w:rsidRPr="006C7213">
        <w:rPr>
          <w:rFonts w:cstheme="minorHAnsi"/>
          <w:sz w:val="22"/>
          <w:szCs w:val="22"/>
        </w:rPr>
        <w:t xml:space="preserve"> Stakeholder views on strengthening impacts of public reporting of hospital performance data. </w:t>
      </w:r>
      <w:proofErr w:type="gramStart"/>
      <w:r w:rsidRPr="006C7213">
        <w:rPr>
          <w:rFonts w:cstheme="minorHAnsi"/>
          <w:sz w:val="22"/>
          <w:szCs w:val="22"/>
        </w:rPr>
        <w:t>Social Science &amp; Medicine</w:t>
      </w:r>
      <w:r>
        <w:rPr>
          <w:rFonts w:cstheme="minorHAnsi"/>
          <w:sz w:val="22"/>
          <w:szCs w:val="22"/>
        </w:rPr>
        <w:t xml:space="preserve"> </w:t>
      </w:r>
      <w:r w:rsidRPr="006C7213">
        <w:rPr>
          <w:rFonts w:cstheme="minorHAnsi"/>
          <w:sz w:val="22"/>
          <w:szCs w:val="22"/>
        </w:rPr>
        <w:t>2018</w:t>
      </w:r>
      <w:r>
        <w:rPr>
          <w:rFonts w:cstheme="minorHAnsi"/>
          <w:sz w:val="22"/>
          <w:szCs w:val="22"/>
        </w:rPr>
        <w:t>; 202:</w:t>
      </w:r>
      <w:r w:rsidRPr="006C7213">
        <w:rPr>
          <w:rFonts w:cstheme="minorHAnsi"/>
          <w:sz w:val="22"/>
          <w:szCs w:val="22"/>
        </w:rPr>
        <w:t>143-150</w:t>
      </w:r>
      <w:r>
        <w:rPr>
          <w:rFonts w:cstheme="minorHAnsi"/>
          <w:sz w:val="22"/>
          <w:szCs w:val="22"/>
        </w:rPr>
        <w:t>.</w:t>
      </w:r>
      <w:proofErr w:type="gramEnd"/>
    </w:p>
  </w:endnote>
  <w:endnote w:id="14">
    <w:p w14:paraId="42C69891" w14:textId="7AD55098"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Pr>
          <w:rFonts w:cstheme="minorHAnsi"/>
          <w:sz w:val="22"/>
          <w:szCs w:val="22"/>
        </w:rPr>
        <w:t xml:space="preserve"> </w:t>
      </w:r>
      <w:r>
        <w:rPr>
          <w:rFonts w:cstheme="minorHAnsi"/>
          <w:sz w:val="22"/>
          <w:szCs w:val="22"/>
        </w:rPr>
        <w:tab/>
      </w:r>
      <w:proofErr w:type="gramStart"/>
      <w:r>
        <w:rPr>
          <w:rFonts w:cstheme="minorHAnsi"/>
          <w:sz w:val="22"/>
          <w:szCs w:val="22"/>
        </w:rPr>
        <w:t xml:space="preserve">Pearse J, </w:t>
      </w:r>
      <w:proofErr w:type="spellStart"/>
      <w:r>
        <w:rPr>
          <w:rFonts w:cstheme="minorHAnsi"/>
          <w:sz w:val="22"/>
          <w:szCs w:val="22"/>
        </w:rPr>
        <w:t>Mazevska</w:t>
      </w:r>
      <w:proofErr w:type="spellEnd"/>
      <w:r>
        <w:rPr>
          <w:rFonts w:cstheme="minorHAnsi"/>
          <w:sz w:val="22"/>
          <w:szCs w:val="22"/>
        </w:rPr>
        <w:t xml:space="preserve"> D</w:t>
      </w:r>
      <w:r w:rsidRPr="006C7213">
        <w:rPr>
          <w:rFonts w:cstheme="minorHAnsi"/>
          <w:sz w:val="22"/>
          <w:szCs w:val="22"/>
        </w:rPr>
        <w:t>.</w:t>
      </w:r>
      <w:proofErr w:type="gramEnd"/>
      <w:r w:rsidRPr="006C7213">
        <w:rPr>
          <w:rFonts w:cstheme="minorHAnsi"/>
          <w:sz w:val="22"/>
          <w:szCs w:val="22"/>
        </w:rPr>
        <w:t xml:space="preserve"> The Impact of Public Disclosure of Health Performance Data: an Evidence Check Review</w:t>
      </w:r>
      <w:r>
        <w:rPr>
          <w:rFonts w:cstheme="minorHAnsi"/>
          <w:sz w:val="22"/>
          <w:szCs w:val="22"/>
        </w:rPr>
        <w:t xml:space="preserve"> Brokered by the Sax Institute.</w:t>
      </w:r>
      <w:r w:rsidRPr="00341892">
        <w:t xml:space="preserve"> </w:t>
      </w:r>
      <w:r w:rsidRPr="00341892">
        <w:rPr>
          <w:rFonts w:cstheme="minorHAnsi"/>
          <w:sz w:val="22"/>
          <w:szCs w:val="22"/>
        </w:rPr>
        <w:t>Ultimo</w:t>
      </w:r>
      <w:r>
        <w:rPr>
          <w:rFonts w:cstheme="minorHAnsi"/>
          <w:sz w:val="22"/>
          <w:szCs w:val="22"/>
        </w:rPr>
        <w:t>:</w:t>
      </w:r>
      <w:r w:rsidRPr="00341892">
        <w:rPr>
          <w:rFonts w:cstheme="minorHAnsi"/>
          <w:sz w:val="22"/>
          <w:szCs w:val="22"/>
        </w:rPr>
        <w:t xml:space="preserve"> </w:t>
      </w:r>
      <w:r w:rsidRPr="006C7213">
        <w:rPr>
          <w:rFonts w:cstheme="minorHAnsi"/>
          <w:sz w:val="22"/>
          <w:szCs w:val="22"/>
        </w:rPr>
        <w:t>Sax</w:t>
      </w:r>
      <w:r>
        <w:rPr>
          <w:rFonts w:cstheme="minorHAnsi"/>
          <w:sz w:val="22"/>
          <w:szCs w:val="22"/>
        </w:rPr>
        <w:t xml:space="preserve"> Institute; </w:t>
      </w:r>
      <w:r w:rsidRPr="006C7213">
        <w:rPr>
          <w:rFonts w:cstheme="minorHAnsi"/>
          <w:sz w:val="22"/>
          <w:szCs w:val="22"/>
        </w:rPr>
        <w:t>2010.</w:t>
      </w:r>
    </w:p>
  </w:endnote>
  <w:endnote w:id="15">
    <w:p w14:paraId="0A219468" w14:textId="634D642C"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Pr>
          <w:rFonts w:cstheme="minorHAnsi"/>
          <w:sz w:val="22"/>
          <w:szCs w:val="22"/>
        </w:rPr>
        <w:t xml:space="preserve"> </w:t>
      </w:r>
      <w:r>
        <w:rPr>
          <w:rFonts w:cstheme="minorHAnsi"/>
          <w:sz w:val="22"/>
          <w:szCs w:val="22"/>
        </w:rPr>
        <w:tab/>
        <w:t>Berwick DM, James B, Coye MJ</w:t>
      </w:r>
      <w:r w:rsidRPr="006C7213">
        <w:rPr>
          <w:rFonts w:cstheme="minorHAnsi"/>
          <w:sz w:val="22"/>
          <w:szCs w:val="22"/>
        </w:rPr>
        <w:t xml:space="preserve">. </w:t>
      </w:r>
      <w:proofErr w:type="gramStart"/>
      <w:r w:rsidRPr="006C7213">
        <w:rPr>
          <w:rFonts w:cstheme="minorHAnsi"/>
          <w:sz w:val="22"/>
          <w:szCs w:val="22"/>
        </w:rPr>
        <w:t>Connections between quality measurement and improvement.</w:t>
      </w:r>
      <w:proofErr w:type="gramEnd"/>
      <w:r w:rsidRPr="006C7213">
        <w:rPr>
          <w:rFonts w:cstheme="minorHAnsi"/>
          <w:sz w:val="22"/>
          <w:szCs w:val="22"/>
        </w:rPr>
        <w:t xml:space="preserve"> Med. Care</w:t>
      </w:r>
      <w:r>
        <w:rPr>
          <w:rFonts w:cstheme="minorHAnsi"/>
          <w:sz w:val="22"/>
          <w:szCs w:val="22"/>
        </w:rPr>
        <w:t xml:space="preserve"> </w:t>
      </w:r>
      <w:r w:rsidRPr="006C7213">
        <w:rPr>
          <w:rFonts w:cstheme="minorHAnsi"/>
          <w:sz w:val="22"/>
          <w:szCs w:val="22"/>
        </w:rPr>
        <w:t>2003</w:t>
      </w:r>
      <w:r>
        <w:rPr>
          <w:rFonts w:cstheme="minorHAnsi"/>
          <w:sz w:val="22"/>
          <w:szCs w:val="22"/>
        </w:rPr>
        <w:t>; 41:</w:t>
      </w:r>
      <w:r w:rsidRPr="006C7213">
        <w:rPr>
          <w:rFonts w:cstheme="minorHAnsi"/>
          <w:sz w:val="22"/>
          <w:szCs w:val="22"/>
        </w:rPr>
        <w:t xml:space="preserve"> I30–I38.</w:t>
      </w:r>
    </w:p>
  </w:endnote>
  <w:endnote w:id="16">
    <w:p w14:paraId="5504C9EB" w14:textId="0F8F29D5"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Pr>
          <w:rFonts w:cstheme="minorHAnsi"/>
          <w:sz w:val="22"/>
          <w:szCs w:val="22"/>
        </w:rPr>
        <w:t xml:space="preserve"> </w:t>
      </w:r>
      <w:r>
        <w:rPr>
          <w:rFonts w:cstheme="minorHAnsi"/>
          <w:sz w:val="22"/>
          <w:szCs w:val="22"/>
        </w:rPr>
        <w:tab/>
      </w:r>
      <w:proofErr w:type="spellStart"/>
      <w:r>
        <w:rPr>
          <w:rFonts w:cstheme="minorHAnsi"/>
          <w:sz w:val="22"/>
          <w:szCs w:val="22"/>
        </w:rPr>
        <w:t>Kumpunen</w:t>
      </w:r>
      <w:proofErr w:type="spellEnd"/>
      <w:r>
        <w:rPr>
          <w:rFonts w:cstheme="minorHAnsi"/>
          <w:sz w:val="22"/>
          <w:szCs w:val="22"/>
        </w:rPr>
        <w:t xml:space="preserve"> S, Trigg, L, Rodrigues</w:t>
      </w:r>
      <w:r w:rsidRPr="006C7213">
        <w:rPr>
          <w:rFonts w:cstheme="minorHAnsi"/>
          <w:sz w:val="22"/>
          <w:szCs w:val="22"/>
        </w:rPr>
        <w:t xml:space="preserve"> R. Public reporting in health and long-term care to facilitate provider choice, European Observatory on Health Systems and Poli</w:t>
      </w:r>
      <w:r>
        <w:rPr>
          <w:rFonts w:cstheme="minorHAnsi"/>
          <w:sz w:val="22"/>
          <w:szCs w:val="22"/>
        </w:rPr>
        <w:t xml:space="preserve">cies. </w:t>
      </w:r>
      <w:proofErr w:type="gramStart"/>
      <w:r>
        <w:rPr>
          <w:rFonts w:cstheme="minorHAnsi"/>
          <w:sz w:val="22"/>
          <w:szCs w:val="22"/>
        </w:rPr>
        <w:t>World Health Organisation;</w:t>
      </w:r>
      <w:r w:rsidRPr="006C7213">
        <w:rPr>
          <w:rFonts w:cstheme="minorHAnsi"/>
          <w:sz w:val="22"/>
          <w:szCs w:val="22"/>
        </w:rPr>
        <w:t xml:space="preserve"> </w:t>
      </w:r>
      <w:r>
        <w:rPr>
          <w:rFonts w:cstheme="minorHAnsi"/>
          <w:sz w:val="22"/>
          <w:szCs w:val="22"/>
        </w:rPr>
        <w:t>2014</w:t>
      </w:r>
      <w:r w:rsidRPr="00341892">
        <w:rPr>
          <w:rFonts w:cstheme="minorHAnsi"/>
          <w:sz w:val="22"/>
          <w:szCs w:val="22"/>
        </w:rPr>
        <w:t>.</w:t>
      </w:r>
      <w:proofErr w:type="gramEnd"/>
      <w:r w:rsidRPr="00341892">
        <w:rPr>
          <w:rFonts w:cstheme="minorHAnsi"/>
          <w:sz w:val="22"/>
          <w:szCs w:val="22"/>
        </w:rPr>
        <w:t xml:space="preserve"> </w:t>
      </w:r>
      <w:r w:rsidRPr="006C7213">
        <w:rPr>
          <w:rFonts w:cstheme="minorHAnsi"/>
          <w:sz w:val="22"/>
          <w:szCs w:val="22"/>
        </w:rPr>
        <w:t xml:space="preserve">Available </w:t>
      </w:r>
      <w:r>
        <w:rPr>
          <w:rFonts w:cstheme="minorHAnsi"/>
          <w:sz w:val="22"/>
          <w:szCs w:val="22"/>
        </w:rPr>
        <w:t>from</w:t>
      </w:r>
      <w:r w:rsidRPr="006C7213">
        <w:rPr>
          <w:rFonts w:cstheme="minorHAnsi"/>
          <w:sz w:val="22"/>
          <w:szCs w:val="22"/>
        </w:rPr>
        <w:t xml:space="preserve">: </w:t>
      </w:r>
      <w:hyperlink r:id="rId9" w:history="1">
        <w:r w:rsidRPr="00F30C51">
          <w:rPr>
            <w:rStyle w:val="Hyperlink"/>
            <w:rFonts w:asciiTheme="minorHAnsi" w:hAnsiTheme="minorHAnsi" w:cstheme="minorHAnsi"/>
            <w:szCs w:val="22"/>
          </w:rPr>
          <w:t>http://www.euro.who.int/__data/assets/pdf_file/0020/263540/Public-reporting-in-health-and-long-term-care-to-facilitate-provider-choice-Eng.pdf</w:t>
        </w:r>
      </w:hyperlink>
      <w:r>
        <w:rPr>
          <w:rFonts w:cstheme="minorHAnsi"/>
          <w:sz w:val="22"/>
          <w:szCs w:val="22"/>
        </w:rPr>
        <w:t xml:space="preserve">? </w:t>
      </w:r>
    </w:p>
  </w:endnote>
  <w:endnote w:id="17">
    <w:p w14:paraId="33C328A5" w14:textId="276C221B"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spellStart"/>
      <w:r w:rsidRPr="00341892">
        <w:rPr>
          <w:rFonts w:cstheme="minorHAnsi"/>
          <w:sz w:val="22"/>
          <w:szCs w:val="22"/>
        </w:rPr>
        <w:t>Cacace</w:t>
      </w:r>
      <w:proofErr w:type="spellEnd"/>
      <w:r w:rsidRPr="00341892">
        <w:rPr>
          <w:rFonts w:cstheme="minorHAnsi"/>
          <w:sz w:val="22"/>
          <w:szCs w:val="22"/>
        </w:rPr>
        <w:t xml:space="preserve"> M, </w:t>
      </w:r>
      <w:proofErr w:type="spellStart"/>
      <w:r w:rsidRPr="00341892">
        <w:rPr>
          <w:rFonts w:cstheme="minorHAnsi"/>
          <w:sz w:val="22"/>
          <w:szCs w:val="22"/>
        </w:rPr>
        <w:t>Etterlt</w:t>
      </w:r>
      <w:proofErr w:type="spellEnd"/>
      <w:r w:rsidRPr="00341892">
        <w:rPr>
          <w:rFonts w:cstheme="minorHAnsi"/>
          <w:sz w:val="22"/>
          <w:szCs w:val="22"/>
        </w:rPr>
        <w:t xml:space="preserve"> S, Brereton L, Pedersen J, Nolte E. How health systems make available information on service providers: Experience in seven countries. </w:t>
      </w:r>
      <w:proofErr w:type="gramStart"/>
      <w:r w:rsidRPr="00341892">
        <w:rPr>
          <w:rFonts w:cstheme="minorHAnsi"/>
          <w:sz w:val="22"/>
          <w:szCs w:val="22"/>
        </w:rPr>
        <w:t>RAND Corporation; 2011.</w:t>
      </w:r>
      <w:proofErr w:type="gramEnd"/>
      <w:r w:rsidRPr="00341892">
        <w:rPr>
          <w:rFonts w:cstheme="minorHAnsi"/>
          <w:sz w:val="22"/>
          <w:szCs w:val="22"/>
        </w:rPr>
        <w:t xml:space="preserve"> Available from: </w:t>
      </w:r>
      <w:hyperlink r:id="rId10" w:history="1">
        <w:r w:rsidRPr="00F30C51">
          <w:rPr>
            <w:rStyle w:val="Hyperlink"/>
            <w:rFonts w:asciiTheme="minorHAnsi" w:hAnsiTheme="minorHAnsi" w:cstheme="minorHAnsi"/>
            <w:szCs w:val="22"/>
          </w:rPr>
          <w:t>https://www.rand.org/pubs/technical_reports/TR887.html</w:t>
        </w:r>
      </w:hyperlink>
      <w:r w:rsidRPr="00341892">
        <w:rPr>
          <w:rFonts w:cstheme="minorHAnsi"/>
          <w:sz w:val="22"/>
          <w:szCs w:val="22"/>
        </w:rPr>
        <w:t>.</w:t>
      </w:r>
      <w:r>
        <w:rPr>
          <w:rFonts w:cstheme="minorHAnsi"/>
          <w:sz w:val="22"/>
          <w:szCs w:val="22"/>
        </w:rPr>
        <w:t xml:space="preserve"> </w:t>
      </w:r>
    </w:p>
  </w:endnote>
  <w:endnote w:id="18">
    <w:p w14:paraId="60FB0779" w14:textId="51FCA803"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r w:rsidRPr="006C7213">
        <w:rPr>
          <w:rFonts w:cstheme="minorHAnsi"/>
          <w:sz w:val="22"/>
          <w:szCs w:val="22"/>
        </w:rPr>
        <w:t>Ibid.</w:t>
      </w:r>
    </w:p>
  </w:endnote>
  <w:endnote w:id="19">
    <w:p w14:paraId="195A9C61" w14:textId="053CB732"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spellStart"/>
      <w:r>
        <w:rPr>
          <w:rFonts w:cstheme="minorHAnsi"/>
          <w:sz w:val="22"/>
          <w:szCs w:val="22"/>
        </w:rPr>
        <w:t>Pross</w:t>
      </w:r>
      <w:proofErr w:type="spellEnd"/>
      <w:r>
        <w:rPr>
          <w:rFonts w:cstheme="minorHAnsi"/>
          <w:sz w:val="22"/>
          <w:szCs w:val="22"/>
        </w:rPr>
        <w:t xml:space="preserve"> C, </w:t>
      </w:r>
      <w:proofErr w:type="spellStart"/>
      <w:r>
        <w:rPr>
          <w:rFonts w:cstheme="minorHAnsi"/>
          <w:sz w:val="22"/>
          <w:szCs w:val="22"/>
        </w:rPr>
        <w:t>Geissler</w:t>
      </w:r>
      <w:proofErr w:type="spellEnd"/>
      <w:r>
        <w:rPr>
          <w:rFonts w:cstheme="minorHAnsi"/>
          <w:sz w:val="22"/>
          <w:szCs w:val="22"/>
        </w:rPr>
        <w:t xml:space="preserve"> A, </w:t>
      </w:r>
      <w:proofErr w:type="spellStart"/>
      <w:r>
        <w:rPr>
          <w:rFonts w:cstheme="minorHAnsi"/>
          <w:sz w:val="22"/>
          <w:szCs w:val="22"/>
        </w:rPr>
        <w:t>Busse</w:t>
      </w:r>
      <w:proofErr w:type="spellEnd"/>
      <w:r w:rsidRPr="006C7213">
        <w:rPr>
          <w:rFonts w:cstheme="minorHAnsi"/>
          <w:sz w:val="22"/>
          <w:szCs w:val="22"/>
        </w:rPr>
        <w:t xml:space="preserve"> R. Measuring, Reporting, and Rewarding Quality of Care in 5 Nations: 5 Policy Levers to Enhance Hospital Quality Accountability. The Milbank Quarterly: A Multidisciplinary Journal of Popu</w:t>
      </w:r>
      <w:r>
        <w:rPr>
          <w:rFonts w:cstheme="minorHAnsi"/>
          <w:sz w:val="22"/>
          <w:szCs w:val="22"/>
        </w:rPr>
        <w:t>lation Health and Health Policy</w:t>
      </w:r>
      <w:r w:rsidRPr="006C7213">
        <w:rPr>
          <w:rFonts w:cstheme="minorHAnsi"/>
          <w:sz w:val="22"/>
          <w:szCs w:val="22"/>
        </w:rPr>
        <w:t xml:space="preserve"> </w:t>
      </w:r>
      <w:r>
        <w:rPr>
          <w:rFonts w:cstheme="minorHAnsi"/>
          <w:sz w:val="22"/>
          <w:szCs w:val="22"/>
        </w:rPr>
        <w:t xml:space="preserve">2017; 95(1):136-183. </w:t>
      </w:r>
    </w:p>
  </w:endnote>
  <w:endnote w:id="20">
    <w:p w14:paraId="442DEC89" w14:textId="6516ACBA"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spellStart"/>
      <w:r w:rsidRPr="00341892">
        <w:rPr>
          <w:rFonts w:cstheme="minorHAnsi"/>
          <w:sz w:val="22"/>
          <w:szCs w:val="22"/>
        </w:rPr>
        <w:t>Cacace</w:t>
      </w:r>
      <w:proofErr w:type="spellEnd"/>
      <w:r w:rsidRPr="00341892">
        <w:rPr>
          <w:rFonts w:cstheme="minorHAnsi"/>
          <w:sz w:val="22"/>
          <w:szCs w:val="22"/>
        </w:rPr>
        <w:t xml:space="preserve"> M, </w:t>
      </w:r>
      <w:proofErr w:type="spellStart"/>
      <w:r w:rsidRPr="00341892">
        <w:rPr>
          <w:rFonts w:cstheme="minorHAnsi"/>
          <w:sz w:val="22"/>
          <w:szCs w:val="22"/>
        </w:rPr>
        <w:t>Etterlt</w:t>
      </w:r>
      <w:proofErr w:type="spellEnd"/>
      <w:r w:rsidRPr="00341892">
        <w:rPr>
          <w:rFonts w:cstheme="minorHAnsi"/>
          <w:sz w:val="22"/>
          <w:szCs w:val="22"/>
        </w:rPr>
        <w:t xml:space="preserve"> S, Brereton L, Pedersen J, Nolte E. How health systems make available information on service providers: Experience in seven countries. </w:t>
      </w:r>
      <w:proofErr w:type="gramStart"/>
      <w:r w:rsidRPr="00341892">
        <w:rPr>
          <w:rFonts w:cstheme="minorHAnsi"/>
          <w:sz w:val="22"/>
          <w:szCs w:val="22"/>
        </w:rPr>
        <w:t>RAND Corporation; 2011.</w:t>
      </w:r>
      <w:proofErr w:type="gramEnd"/>
      <w:r w:rsidRPr="00341892">
        <w:rPr>
          <w:rFonts w:cstheme="minorHAnsi"/>
          <w:sz w:val="22"/>
          <w:szCs w:val="22"/>
        </w:rPr>
        <w:t xml:space="preserve"> Available from: </w:t>
      </w:r>
      <w:hyperlink r:id="rId11" w:history="1">
        <w:r w:rsidRPr="00F30C51">
          <w:rPr>
            <w:rStyle w:val="Hyperlink"/>
            <w:rFonts w:asciiTheme="minorHAnsi" w:hAnsiTheme="minorHAnsi" w:cstheme="minorHAnsi"/>
            <w:szCs w:val="22"/>
          </w:rPr>
          <w:t>https://www.rand.org/pubs/technical_reports/TR887.html</w:t>
        </w:r>
      </w:hyperlink>
      <w:r w:rsidRPr="00341892">
        <w:rPr>
          <w:rFonts w:cstheme="minorHAnsi"/>
          <w:sz w:val="22"/>
          <w:szCs w:val="22"/>
        </w:rPr>
        <w:t>.</w:t>
      </w:r>
      <w:r>
        <w:rPr>
          <w:rFonts w:cstheme="minorHAnsi"/>
          <w:sz w:val="22"/>
          <w:szCs w:val="22"/>
        </w:rPr>
        <w:t xml:space="preserve"> </w:t>
      </w:r>
    </w:p>
  </w:endnote>
  <w:endnote w:id="21">
    <w:p w14:paraId="207CC213" w14:textId="77777777" w:rsidR="00F70157" w:rsidRPr="006C7213" w:rsidRDefault="00F70157" w:rsidP="00C761BC">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spellStart"/>
      <w:r w:rsidRPr="00341892">
        <w:rPr>
          <w:rFonts w:cstheme="minorHAnsi"/>
          <w:sz w:val="22"/>
          <w:szCs w:val="22"/>
        </w:rPr>
        <w:t>Kumpunen</w:t>
      </w:r>
      <w:proofErr w:type="spellEnd"/>
      <w:r w:rsidRPr="00341892">
        <w:rPr>
          <w:rFonts w:cstheme="minorHAnsi"/>
          <w:sz w:val="22"/>
          <w:szCs w:val="22"/>
        </w:rPr>
        <w:t xml:space="preserve"> S, Trigg, L, Rodrigues R. Public reporting in health and long-term care to facilitate provider choice, European Observatory on Health Systems and Policies. </w:t>
      </w:r>
      <w:proofErr w:type="gramStart"/>
      <w:r w:rsidRPr="00341892">
        <w:rPr>
          <w:rFonts w:cstheme="minorHAnsi"/>
          <w:sz w:val="22"/>
          <w:szCs w:val="22"/>
        </w:rPr>
        <w:t>World Health Organisation.</w:t>
      </w:r>
      <w:proofErr w:type="gramEnd"/>
      <w:r w:rsidRPr="00341892">
        <w:rPr>
          <w:rFonts w:cstheme="minorHAnsi"/>
          <w:sz w:val="22"/>
          <w:szCs w:val="22"/>
        </w:rPr>
        <w:t xml:space="preserve"> 2014. Available from: </w:t>
      </w:r>
      <w:hyperlink r:id="rId12" w:history="1">
        <w:r w:rsidRPr="00F30C51">
          <w:rPr>
            <w:rStyle w:val="Hyperlink"/>
            <w:rFonts w:asciiTheme="minorHAnsi" w:hAnsiTheme="minorHAnsi" w:cstheme="minorHAnsi"/>
            <w:szCs w:val="22"/>
          </w:rPr>
          <w:t>http://www.euro.who.int/__data/assets/pdf_file/0020/263540/Public-reporting-in-health-and-long-term-care-to-facilitate-provider-choice-Eng.pdf</w:t>
        </w:r>
      </w:hyperlink>
      <w:r w:rsidRPr="00341892">
        <w:rPr>
          <w:rFonts w:cstheme="minorHAnsi"/>
          <w:sz w:val="22"/>
          <w:szCs w:val="22"/>
        </w:rPr>
        <w:t>?</w:t>
      </w:r>
      <w:r>
        <w:rPr>
          <w:rFonts w:cstheme="minorHAnsi"/>
          <w:sz w:val="22"/>
          <w:szCs w:val="22"/>
        </w:rPr>
        <w:t xml:space="preserve"> </w:t>
      </w:r>
    </w:p>
  </w:endnote>
  <w:endnote w:id="22">
    <w:p w14:paraId="6E3F77FB" w14:textId="3C451922"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6C7213">
        <w:rPr>
          <w:rFonts w:cstheme="minorHAnsi"/>
          <w:sz w:val="22"/>
          <w:szCs w:val="22"/>
          <w:lang w:val="en-US"/>
        </w:rPr>
        <w:t>Ibid.</w:t>
      </w:r>
      <w:proofErr w:type="gramEnd"/>
      <w:r w:rsidRPr="006C7213">
        <w:rPr>
          <w:rFonts w:cstheme="minorHAnsi"/>
          <w:sz w:val="22"/>
          <w:szCs w:val="22"/>
          <w:lang w:val="en-US"/>
        </w:rPr>
        <w:t xml:space="preserve"> </w:t>
      </w:r>
    </w:p>
  </w:endnote>
  <w:endnote w:id="23">
    <w:p w14:paraId="13EAB985" w14:textId="2DBEDCB2" w:rsidR="00F70157" w:rsidRPr="006C7213" w:rsidRDefault="00F70157" w:rsidP="006C7213">
      <w:pPr>
        <w:pStyle w:val="EndnoteText"/>
        <w:tabs>
          <w:tab w:val="left" w:pos="567"/>
        </w:tabs>
        <w:spacing w:after="120" w:line="260" w:lineRule="atLeast"/>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spellStart"/>
      <w:r w:rsidRPr="00341892">
        <w:rPr>
          <w:rFonts w:cstheme="minorHAnsi"/>
          <w:sz w:val="22"/>
          <w:szCs w:val="22"/>
        </w:rPr>
        <w:t>Cacace</w:t>
      </w:r>
      <w:proofErr w:type="spellEnd"/>
      <w:r w:rsidRPr="00341892">
        <w:rPr>
          <w:rFonts w:cstheme="minorHAnsi"/>
          <w:sz w:val="22"/>
          <w:szCs w:val="22"/>
        </w:rPr>
        <w:t xml:space="preserve"> M, </w:t>
      </w:r>
      <w:proofErr w:type="spellStart"/>
      <w:r w:rsidRPr="00341892">
        <w:rPr>
          <w:rFonts w:cstheme="minorHAnsi"/>
          <w:sz w:val="22"/>
          <w:szCs w:val="22"/>
        </w:rPr>
        <w:t>Etterlt</w:t>
      </w:r>
      <w:proofErr w:type="spellEnd"/>
      <w:r w:rsidRPr="00341892">
        <w:rPr>
          <w:rFonts w:cstheme="minorHAnsi"/>
          <w:sz w:val="22"/>
          <w:szCs w:val="22"/>
        </w:rPr>
        <w:t xml:space="preserve"> S, Brereton L, Pedersen J, Nolte E. How health systems make available information on service providers: Experience in seven countries. </w:t>
      </w:r>
      <w:proofErr w:type="gramStart"/>
      <w:r w:rsidRPr="00341892">
        <w:rPr>
          <w:rFonts w:cstheme="minorHAnsi"/>
          <w:sz w:val="22"/>
          <w:szCs w:val="22"/>
        </w:rPr>
        <w:t>RAND Corporation; 2011.</w:t>
      </w:r>
      <w:proofErr w:type="gramEnd"/>
      <w:r w:rsidRPr="00341892">
        <w:rPr>
          <w:rFonts w:cstheme="minorHAnsi"/>
          <w:sz w:val="22"/>
          <w:szCs w:val="22"/>
        </w:rPr>
        <w:t xml:space="preserve"> Available from: </w:t>
      </w:r>
      <w:hyperlink r:id="rId13" w:history="1">
        <w:r w:rsidRPr="00F30C51">
          <w:rPr>
            <w:rStyle w:val="Hyperlink"/>
            <w:rFonts w:asciiTheme="minorHAnsi" w:hAnsiTheme="minorHAnsi" w:cstheme="minorHAnsi"/>
            <w:szCs w:val="22"/>
          </w:rPr>
          <w:t>https://www.rand.org/pubs/technical_reports/TR887.html</w:t>
        </w:r>
      </w:hyperlink>
      <w:r w:rsidRPr="00341892">
        <w:rPr>
          <w:rFonts w:cstheme="minorHAnsi"/>
          <w:sz w:val="22"/>
          <w:szCs w:val="22"/>
        </w:rPr>
        <w:t>.</w:t>
      </w:r>
      <w:r>
        <w:rPr>
          <w:rFonts w:cstheme="minorHAnsi"/>
          <w:sz w:val="22"/>
          <w:szCs w:val="22"/>
        </w:rPr>
        <w:t xml:space="preserve"> </w:t>
      </w:r>
    </w:p>
  </w:endnote>
  <w:endnote w:id="24">
    <w:p w14:paraId="2EDBD4FF" w14:textId="12BD2ECC"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spellStart"/>
      <w:r w:rsidRPr="00341892">
        <w:rPr>
          <w:rFonts w:cstheme="minorHAnsi"/>
          <w:sz w:val="22"/>
          <w:szCs w:val="22"/>
        </w:rPr>
        <w:t>Pross</w:t>
      </w:r>
      <w:proofErr w:type="spellEnd"/>
      <w:r w:rsidRPr="00341892">
        <w:rPr>
          <w:rFonts w:cstheme="minorHAnsi"/>
          <w:sz w:val="22"/>
          <w:szCs w:val="22"/>
        </w:rPr>
        <w:t xml:space="preserve"> C, </w:t>
      </w:r>
      <w:proofErr w:type="spellStart"/>
      <w:r w:rsidRPr="00341892">
        <w:rPr>
          <w:rFonts w:cstheme="minorHAnsi"/>
          <w:sz w:val="22"/>
          <w:szCs w:val="22"/>
        </w:rPr>
        <w:t>Geissler</w:t>
      </w:r>
      <w:proofErr w:type="spellEnd"/>
      <w:r w:rsidRPr="00341892">
        <w:rPr>
          <w:rFonts w:cstheme="minorHAnsi"/>
          <w:sz w:val="22"/>
          <w:szCs w:val="22"/>
        </w:rPr>
        <w:t xml:space="preserve"> A, </w:t>
      </w:r>
      <w:proofErr w:type="spellStart"/>
      <w:r w:rsidRPr="00341892">
        <w:rPr>
          <w:rFonts w:cstheme="minorHAnsi"/>
          <w:sz w:val="22"/>
          <w:szCs w:val="22"/>
        </w:rPr>
        <w:t>Busse</w:t>
      </w:r>
      <w:proofErr w:type="spellEnd"/>
      <w:r w:rsidRPr="00341892">
        <w:rPr>
          <w:rFonts w:cstheme="minorHAnsi"/>
          <w:sz w:val="22"/>
          <w:szCs w:val="22"/>
        </w:rPr>
        <w:t xml:space="preserve"> R. Measuring, Reporting, and Rewarding Quality of Care in 5 Nations: 5 Policy Levers to Enhance Hospital Quality Accountability. The Milbank Quarterly: A Multidisciplinary Journal of Population Health and Health Policy 2017; 95(1):136-183.</w:t>
      </w:r>
    </w:p>
  </w:endnote>
  <w:endnote w:id="25">
    <w:p w14:paraId="4286FE86" w14:textId="4321B60F" w:rsidR="00F70157" w:rsidRPr="00341892" w:rsidRDefault="00F70157" w:rsidP="00341892">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t xml:space="preserve">Braithwaite J, </w:t>
      </w:r>
      <w:proofErr w:type="spellStart"/>
      <w:r>
        <w:rPr>
          <w:rFonts w:cstheme="minorHAnsi"/>
          <w:sz w:val="22"/>
          <w:szCs w:val="22"/>
        </w:rPr>
        <w:t>Hibbert</w:t>
      </w:r>
      <w:proofErr w:type="spellEnd"/>
      <w:r>
        <w:rPr>
          <w:rFonts w:cstheme="minorHAnsi"/>
          <w:sz w:val="22"/>
          <w:szCs w:val="22"/>
        </w:rPr>
        <w:t xml:space="preserve"> P, Blakely</w:t>
      </w:r>
      <w:r w:rsidRPr="006C7213">
        <w:rPr>
          <w:rFonts w:cstheme="minorHAnsi"/>
          <w:sz w:val="22"/>
          <w:szCs w:val="22"/>
        </w:rPr>
        <w:t xml:space="preserve"> B.</w:t>
      </w:r>
      <w:r>
        <w:rPr>
          <w:rFonts w:cstheme="minorHAnsi"/>
          <w:sz w:val="22"/>
          <w:szCs w:val="22"/>
        </w:rPr>
        <w:t xml:space="preserve"> et al.</w:t>
      </w:r>
      <w:r w:rsidRPr="006C7213">
        <w:rPr>
          <w:rFonts w:cstheme="minorHAnsi"/>
          <w:sz w:val="22"/>
          <w:szCs w:val="22"/>
        </w:rPr>
        <w:t xml:space="preserve"> Health system frameworks ad performance indicators in eight countries: A comparative international analysis.</w:t>
      </w:r>
      <w:r>
        <w:rPr>
          <w:rFonts w:cstheme="minorHAnsi"/>
          <w:sz w:val="22"/>
          <w:szCs w:val="22"/>
        </w:rPr>
        <w:t xml:space="preserve"> SAGE Open Medicine 2017; 5: 1-10.</w:t>
      </w:r>
    </w:p>
  </w:endnote>
  <w:endnote w:id="26">
    <w:p w14:paraId="3E7080B3" w14:textId="2F67FC02"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spellStart"/>
      <w:r w:rsidRPr="00341892">
        <w:rPr>
          <w:rFonts w:cstheme="minorHAnsi"/>
          <w:sz w:val="22"/>
          <w:szCs w:val="22"/>
        </w:rPr>
        <w:t>Canaway</w:t>
      </w:r>
      <w:proofErr w:type="spellEnd"/>
      <w:r w:rsidRPr="00341892">
        <w:rPr>
          <w:rFonts w:cstheme="minorHAnsi"/>
          <w:sz w:val="22"/>
          <w:szCs w:val="22"/>
        </w:rPr>
        <w:t xml:space="preserve"> R, </w:t>
      </w:r>
      <w:proofErr w:type="spellStart"/>
      <w:r w:rsidRPr="00341892">
        <w:rPr>
          <w:rFonts w:cstheme="minorHAnsi"/>
          <w:sz w:val="22"/>
          <w:szCs w:val="22"/>
        </w:rPr>
        <w:t>Bismark</w:t>
      </w:r>
      <w:proofErr w:type="spellEnd"/>
      <w:r w:rsidRPr="00341892">
        <w:rPr>
          <w:rFonts w:cstheme="minorHAnsi"/>
          <w:sz w:val="22"/>
          <w:szCs w:val="22"/>
        </w:rPr>
        <w:t xml:space="preserve"> M, </w:t>
      </w:r>
      <w:proofErr w:type="spellStart"/>
      <w:r w:rsidRPr="00341892">
        <w:rPr>
          <w:rFonts w:cstheme="minorHAnsi"/>
          <w:sz w:val="22"/>
          <w:szCs w:val="22"/>
        </w:rPr>
        <w:t>Dunt</w:t>
      </w:r>
      <w:proofErr w:type="spellEnd"/>
      <w:r w:rsidRPr="00341892">
        <w:rPr>
          <w:rFonts w:cstheme="minorHAnsi"/>
          <w:sz w:val="22"/>
          <w:szCs w:val="22"/>
        </w:rPr>
        <w:t xml:space="preserve"> D, Prang K, </w:t>
      </w:r>
      <w:proofErr w:type="spellStart"/>
      <w:r w:rsidRPr="00341892">
        <w:rPr>
          <w:rFonts w:cstheme="minorHAnsi"/>
          <w:sz w:val="22"/>
          <w:szCs w:val="22"/>
        </w:rPr>
        <w:t>Kelaher</w:t>
      </w:r>
      <w:proofErr w:type="spellEnd"/>
      <w:r w:rsidRPr="00341892">
        <w:rPr>
          <w:rFonts w:cstheme="minorHAnsi"/>
          <w:sz w:val="22"/>
          <w:szCs w:val="22"/>
        </w:rPr>
        <w:t xml:space="preserve"> M. What is meant by public</w:t>
      </w:r>
      <w:proofErr w:type="gramStart"/>
      <w:r w:rsidRPr="00341892">
        <w:rPr>
          <w:rFonts w:cstheme="minorHAnsi"/>
          <w:sz w:val="22"/>
          <w:szCs w:val="22"/>
        </w:rPr>
        <w:t>?:</w:t>
      </w:r>
      <w:proofErr w:type="gramEnd"/>
      <w:r w:rsidRPr="00341892">
        <w:rPr>
          <w:rFonts w:cstheme="minorHAnsi"/>
          <w:sz w:val="22"/>
          <w:szCs w:val="22"/>
        </w:rPr>
        <w:t xml:space="preserve"> Stakeholder views on strengthening impacts of public reporting of hospital performance data. </w:t>
      </w:r>
      <w:proofErr w:type="gramStart"/>
      <w:r w:rsidRPr="00341892">
        <w:rPr>
          <w:rFonts w:cstheme="minorHAnsi"/>
          <w:sz w:val="22"/>
          <w:szCs w:val="22"/>
        </w:rPr>
        <w:t>Social Science &amp; Medicine 2018; 202:143-150.</w:t>
      </w:r>
      <w:proofErr w:type="gramEnd"/>
    </w:p>
  </w:endnote>
  <w:endnote w:id="27">
    <w:p w14:paraId="368CAF8E" w14:textId="0EE3F96E"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341892">
        <w:rPr>
          <w:rFonts w:cstheme="minorHAnsi"/>
          <w:sz w:val="22"/>
          <w:szCs w:val="22"/>
        </w:rPr>
        <w:t>National Health Information and Performance Principal Committee.</w:t>
      </w:r>
      <w:proofErr w:type="gramEnd"/>
      <w:r w:rsidRPr="00341892">
        <w:rPr>
          <w:rFonts w:cstheme="minorHAnsi"/>
          <w:sz w:val="22"/>
          <w:szCs w:val="22"/>
        </w:rPr>
        <w:t xml:space="preserve"> The Australian Health Performance</w:t>
      </w:r>
      <w:r>
        <w:rPr>
          <w:rFonts w:cstheme="minorHAnsi"/>
          <w:sz w:val="22"/>
          <w:szCs w:val="22"/>
        </w:rPr>
        <w:t xml:space="preserve"> Framework</w:t>
      </w:r>
      <w:r w:rsidRPr="00341892">
        <w:rPr>
          <w:rFonts w:cstheme="minorHAnsi"/>
          <w:sz w:val="22"/>
          <w:szCs w:val="22"/>
        </w:rPr>
        <w:t xml:space="preserve"> September 2017. Available from: </w:t>
      </w:r>
      <w:hyperlink r:id="rId14" w:history="1">
        <w:r w:rsidRPr="00F30C51">
          <w:rPr>
            <w:rStyle w:val="Hyperlink"/>
            <w:rFonts w:asciiTheme="minorHAnsi" w:hAnsiTheme="minorHAnsi" w:cstheme="minorHAnsi"/>
            <w:szCs w:val="22"/>
          </w:rPr>
          <w:t>https://www.coaghealthcouncil.gov.au/Portals/0/OOS318_Attachment%201.pdf</w:t>
        </w:r>
      </w:hyperlink>
      <w:r>
        <w:rPr>
          <w:rFonts w:cstheme="minorHAnsi"/>
          <w:sz w:val="22"/>
          <w:szCs w:val="22"/>
        </w:rPr>
        <w:t xml:space="preserve"> </w:t>
      </w:r>
    </w:p>
  </w:endnote>
  <w:endnote w:id="28">
    <w:p w14:paraId="5E19258D" w14:textId="5A0CC46F" w:rsidR="00F70157" w:rsidRPr="006C7213" w:rsidRDefault="00F70157" w:rsidP="006C7213">
      <w:pPr>
        <w:pStyle w:val="EndnoteText"/>
        <w:tabs>
          <w:tab w:val="left" w:pos="567"/>
        </w:tabs>
        <w:spacing w:after="120"/>
        <w:ind w:left="567" w:hanging="567"/>
        <w:rPr>
          <w:rFonts w:cstheme="minorHAnsi"/>
          <w:sz w:val="22"/>
          <w:szCs w:val="22"/>
        </w:rPr>
      </w:pPr>
      <w:r w:rsidRPr="00341892">
        <w:rPr>
          <w:rStyle w:val="EndnoteReference"/>
          <w:rFonts w:cstheme="minorHAnsi"/>
          <w:sz w:val="22"/>
          <w:szCs w:val="22"/>
          <w:vertAlign w:val="baseline"/>
        </w:rPr>
        <w:endnoteRef/>
      </w:r>
      <w:r w:rsidRPr="00341892">
        <w:rPr>
          <w:rFonts w:cstheme="minorHAnsi"/>
          <w:sz w:val="22"/>
          <w:szCs w:val="22"/>
        </w:rPr>
        <w:t xml:space="preserve"> </w:t>
      </w:r>
      <w:r w:rsidRPr="00341892">
        <w:rPr>
          <w:rFonts w:cstheme="minorHAnsi"/>
          <w:sz w:val="22"/>
          <w:szCs w:val="22"/>
        </w:rPr>
        <w:tab/>
        <w:t>Ibid.</w:t>
      </w:r>
    </w:p>
  </w:endnote>
  <w:endnote w:id="29">
    <w:p w14:paraId="33E50F4B" w14:textId="7613CBEC" w:rsidR="00F70157" w:rsidRPr="00341892" w:rsidRDefault="00F70157" w:rsidP="006C7213">
      <w:pPr>
        <w:pStyle w:val="EndnoteText"/>
        <w:tabs>
          <w:tab w:val="left" w:pos="567"/>
        </w:tabs>
        <w:spacing w:after="120"/>
        <w:ind w:left="567" w:hanging="567"/>
        <w:rPr>
          <w:rFonts w:cstheme="minorHAnsi"/>
          <w:sz w:val="22"/>
          <w:szCs w:val="22"/>
          <w:lang w:val="en-US"/>
        </w:rPr>
      </w:pPr>
      <w:r w:rsidRPr="00341892">
        <w:rPr>
          <w:rStyle w:val="EndnoteReference"/>
          <w:rFonts w:cstheme="minorHAnsi"/>
          <w:sz w:val="22"/>
          <w:szCs w:val="22"/>
          <w:vertAlign w:val="baseline"/>
        </w:rPr>
        <w:endnoteRef/>
      </w:r>
      <w:r w:rsidRPr="00341892">
        <w:rPr>
          <w:rFonts w:cstheme="minorHAnsi"/>
          <w:sz w:val="22"/>
          <w:szCs w:val="22"/>
        </w:rPr>
        <w:t xml:space="preserve"> </w:t>
      </w:r>
      <w:r w:rsidRPr="00341892">
        <w:rPr>
          <w:rFonts w:cstheme="minorHAnsi"/>
          <w:sz w:val="22"/>
          <w:szCs w:val="22"/>
        </w:rPr>
        <w:tab/>
      </w:r>
      <w:proofErr w:type="spellStart"/>
      <w:r w:rsidRPr="00341892">
        <w:rPr>
          <w:rFonts w:cstheme="minorHAnsi"/>
          <w:sz w:val="22"/>
          <w:szCs w:val="22"/>
        </w:rPr>
        <w:t>Ketelaar</w:t>
      </w:r>
      <w:proofErr w:type="spellEnd"/>
      <w:r w:rsidRPr="00341892">
        <w:rPr>
          <w:rFonts w:cstheme="minorHAnsi"/>
          <w:sz w:val="22"/>
          <w:szCs w:val="22"/>
        </w:rPr>
        <w:t xml:space="preserve"> NABM, Faber MJ, </w:t>
      </w:r>
      <w:proofErr w:type="spellStart"/>
      <w:r w:rsidRPr="00341892">
        <w:rPr>
          <w:rFonts w:cstheme="minorHAnsi"/>
          <w:sz w:val="22"/>
          <w:szCs w:val="22"/>
        </w:rPr>
        <w:t>Flottorp</w:t>
      </w:r>
      <w:proofErr w:type="spellEnd"/>
      <w:r w:rsidRPr="00341892">
        <w:rPr>
          <w:rFonts w:cstheme="minorHAnsi"/>
          <w:sz w:val="22"/>
          <w:szCs w:val="22"/>
        </w:rPr>
        <w:t xml:space="preserve"> S et al Public release of performance data in changing the behaviour of healthcare consumers, professionals or organisations. </w:t>
      </w:r>
      <w:proofErr w:type="gramStart"/>
      <w:r w:rsidRPr="00341892">
        <w:rPr>
          <w:rFonts w:ascii="Helvetica" w:hAnsi="Helvetica"/>
          <w:sz w:val="22"/>
          <w:szCs w:val="22"/>
          <w:lang w:val="en-US"/>
        </w:rPr>
        <w:t xml:space="preserve">Cochrane Systematic Review; </w:t>
      </w:r>
      <w:r w:rsidRPr="00341892">
        <w:rPr>
          <w:rFonts w:cstheme="minorHAnsi"/>
          <w:sz w:val="22"/>
          <w:szCs w:val="22"/>
        </w:rPr>
        <w:t>2011.</w:t>
      </w:r>
      <w:proofErr w:type="gramEnd"/>
    </w:p>
  </w:endnote>
  <w:endnote w:id="30">
    <w:p w14:paraId="75886FA2" w14:textId="2E900717" w:rsidR="00F70157" w:rsidRPr="00341892" w:rsidRDefault="00F70157" w:rsidP="00341892">
      <w:pPr>
        <w:pStyle w:val="EndnoteText"/>
        <w:tabs>
          <w:tab w:val="left" w:pos="567"/>
        </w:tabs>
        <w:spacing w:after="120"/>
        <w:ind w:left="567" w:hanging="567"/>
        <w:rPr>
          <w:rFonts w:cstheme="minorHAnsi"/>
          <w:sz w:val="22"/>
          <w:szCs w:val="22"/>
        </w:rPr>
      </w:pPr>
      <w:r w:rsidRPr="00341892">
        <w:rPr>
          <w:rStyle w:val="EndnoteReference"/>
          <w:rFonts w:cstheme="minorHAnsi"/>
          <w:sz w:val="22"/>
          <w:szCs w:val="22"/>
          <w:vertAlign w:val="baseline"/>
        </w:rPr>
        <w:endnoteRef/>
      </w:r>
      <w:r w:rsidRPr="00341892">
        <w:rPr>
          <w:rFonts w:cstheme="minorHAnsi"/>
          <w:sz w:val="22"/>
          <w:szCs w:val="22"/>
        </w:rPr>
        <w:t xml:space="preserve"> </w:t>
      </w:r>
      <w:r w:rsidRPr="00341892">
        <w:rPr>
          <w:rFonts w:cstheme="minorHAnsi"/>
          <w:sz w:val="22"/>
          <w:szCs w:val="22"/>
        </w:rPr>
        <w:tab/>
      </w:r>
      <w:proofErr w:type="spellStart"/>
      <w:r w:rsidRPr="00341892">
        <w:rPr>
          <w:rFonts w:cstheme="minorHAnsi"/>
          <w:sz w:val="22"/>
          <w:szCs w:val="22"/>
        </w:rPr>
        <w:t>Teleki</w:t>
      </w:r>
      <w:proofErr w:type="spellEnd"/>
      <w:r w:rsidRPr="00341892">
        <w:rPr>
          <w:rFonts w:cstheme="minorHAnsi"/>
          <w:sz w:val="22"/>
          <w:szCs w:val="22"/>
        </w:rPr>
        <w:t xml:space="preserve"> S, Shannon M. In California, quality reporting at the state level is at a crossroads after hospital group pulls out</w:t>
      </w:r>
      <w:r>
        <w:rPr>
          <w:rFonts w:cstheme="minorHAnsi"/>
          <w:sz w:val="22"/>
          <w:szCs w:val="22"/>
        </w:rPr>
        <w:t>. Health Affairs (Millwood)</w:t>
      </w:r>
      <w:r w:rsidRPr="00341892">
        <w:rPr>
          <w:rFonts w:cstheme="minorHAnsi"/>
          <w:sz w:val="22"/>
          <w:szCs w:val="22"/>
        </w:rPr>
        <w:t xml:space="preserve"> 2012 Mar</w:t>
      </w:r>
      <w:proofErr w:type="gramStart"/>
      <w:r w:rsidRPr="00341892">
        <w:rPr>
          <w:rFonts w:cstheme="minorHAnsi"/>
          <w:sz w:val="22"/>
          <w:szCs w:val="22"/>
        </w:rPr>
        <w:t>;31</w:t>
      </w:r>
      <w:proofErr w:type="gramEnd"/>
      <w:r w:rsidRPr="00341892">
        <w:rPr>
          <w:rFonts w:cstheme="minorHAnsi"/>
          <w:sz w:val="22"/>
          <w:szCs w:val="22"/>
        </w:rPr>
        <w:t>(3):642-6</w:t>
      </w:r>
      <w:r>
        <w:rPr>
          <w:rFonts w:cstheme="minorHAnsi"/>
          <w:sz w:val="22"/>
          <w:szCs w:val="22"/>
        </w:rPr>
        <w:t>.</w:t>
      </w:r>
    </w:p>
  </w:endnote>
  <w:endnote w:id="31">
    <w:p w14:paraId="0E2F9AF5" w14:textId="21C1BC3A"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spellStart"/>
      <w:r w:rsidRPr="00341892">
        <w:rPr>
          <w:rFonts w:cstheme="minorHAnsi"/>
          <w:sz w:val="22"/>
          <w:szCs w:val="22"/>
        </w:rPr>
        <w:t>Kumpunen</w:t>
      </w:r>
      <w:proofErr w:type="spellEnd"/>
      <w:r w:rsidRPr="00341892">
        <w:rPr>
          <w:rFonts w:cstheme="minorHAnsi"/>
          <w:sz w:val="22"/>
          <w:szCs w:val="22"/>
        </w:rPr>
        <w:t xml:space="preserve"> S, Trigg, L, Rodrigues R. Public reporting in health and long-term care to facilitate provider choice, European Observatory on Health Systems and Policies. </w:t>
      </w:r>
      <w:proofErr w:type="gramStart"/>
      <w:r w:rsidRPr="00341892">
        <w:rPr>
          <w:rFonts w:cstheme="minorHAnsi"/>
          <w:sz w:val="22"/>
          <w:szCs w:val="22"/>
        </w:rPr>
        <w:t>World Health Organisation; 2014.</w:t>
      </w:r>
      <w:proofErr w:type="gramEnd"/>
      <w:r w:rsidRPr="00341892">
        <w:rPr>
          <w:rFonts w:cstheme="minorHAnsi"/>
          <w:sz w:val="22"/>
          <w:szCs w:val="22"/>
        </w:rPr>
        <w:t xml:space="preserve"> Available from: </w:t>
      </w:r>
      <w:hyperlink r:id="rId15" w:history="1">
        <w:r w:rsidRPr="00F30C51">
          <w:rPr>
            <w:rStyle w:val="Hyperlink"/>
            <w:rFonts w:asciiTheme="minorHAnsi" w:hAnsiTheme="minorHAnsi" w:cstheme="minorHAnsi"/>
            <w:szCs w:val="22"/>
          </w:rPr>
          <w:t>http://www.euro.who.int/__data/assets/pdf_file/0020/263540/Public-reporting-in-health-and-long-term-care-to-facilitate-provider-choice-Eng.pdf</w:t>
        </w:r>
      </w:hyperlink>
      <w:r w:rsidRPr="00341892">
        <w:rPr>
          <w:rFonts w:cstheme="minorHAnsi"/>
          <w:sz w:val="22"/>
          <w:szCs w:val="22"/>
        </w:rPr>
        <w:t>?</w:t>
      </w:r>
      <w:r>
        <w:rPr>
          <w:rFonts w:cstheme="minorHAnsi"/>
          <w:sz w:val="22"/>
          <w:szCs w:val="22"/>
        </w:rPr>
        <w:t xml:space="preserve"> </w:t>
      </w:r>
    </w:p>
  </w:endnote>
  <w:endnote w:id="32">
    <w:p w14:paraId="53585B48" w14:textId="1B727274"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spellStart"/>
      <w:r w:rsidRPr="00B32C83">
        <w:rPr>
          <w:rFonts w:cstheme="minorHAnsi"/>
          <w:sz w:val="22"/>
          <w:szCs w:val="22"/>
        </w:rPr>
        <w:t>Lindenauer</w:t>
      </w:r>
      <w:proofErr w:type="spellEnd"/>
      <w:r w:rsidRPr="00B32C83">
        <w:rPr>
          <w:rFonts w:cstheme="minorHAnsi"/>
          <w:sz w:val="22"/>
          <w:szCs w:val="22"/>
        </w:rPr>
        <w:t xml:space="preserve"> PK, </w:t>
      </w:r>
      <w:proofErr w:type="spellStart"/>
      <w:r w:rsidRPr="00B32C83">
        <w:rPr>
          <w:rFonts w:cstheme="minorHAnsi"/>
          <w:sz w:val="22"/>
          <w:szCs w:val="22"/>
        </w:rPr>
        <w:t>Lagu</w:t>
      </w:r>
      <w:proofErr w:type="spellEnd"/>
      <w:r w:rsidRPr="00B32C83">
        <w:rPr>
          <w:rFonts w:cstheme="minorHAnsi"/>
          <w:sz w:val="22"/>
          <w:szCs w:val="22"/>
        </w:rPr>
        <w:t xml:space="preserve"> T, Ross JS, et al. Attitudes of Hospital Leaders </w:t>
      </w:r>
      <w:proofErr w:type="gramStart"/>
      <w:r w:rsidRPr="00B32C83">
        <w:rPr>
          <w:rFonts w:cstheme="minorHAnsi"/>
          <w:sz w:val="22"/>
          <w:szCs w:val="22"/>
        </w:rPr>
        <w:t>Toward</w:t>
      </w:r>
      <w:proofErr w:type="gramEnd"/>
      <w:r w:rsidRPr="00B32C83">
        <w:rPr>
          <w:rFonts w:cstheme="minorHAnsi"/>
          <w:sz w:val="22"/>
          <w:szCs w:val="22"/>
        </w:rPr>
        <w:t xml:space="preserve"> Publicly Reported Measures of Health Care Quality. JAMA Intern Med. 2014</w:t>
      </w:r>
      <w:proofErr w:type="gramStart"/>
      <w:r w:rsidRPr="00B32C83">
        <w:rPr>
          <w:rFonts w:cstheme="minorHAnsi"/>
          <w:sz w:val="22"/>
          <w:szCs w:val="22"/>
        </w:rPr>
        <w:t>;174</w:t>
      </w:r>
      <w:proofErr w:type="gramEnd"/>
      <w:r w:rsidRPr="00B32C83">
        <w:rPr>
          <w:rFonts w:cstheme="minorHAnsi"/>
          <w:sz w:val="22"/>
          <w:szCs w:val="22"/>
        </w:rPr>
        <w:t>(12):1904–1911.</w:t>
      </w:r>
    </w:p>
  </w:endnote>
  <w:endnote w:id="33">
    <w:p w14:paraId="7FB2AE6C" w14:textId="59E40885"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r w:rsidRPr="006C7213">
        <w:rPr>
          <w:rFonts w:cstheme="minorHAnsi"/>
          <w:sz w:val="22"/>
          <w:szCs w:val="22"/>
        </w:rPr>
        <w:t>Totten AM, Wagner J, Tiwari A, et al. Closing the Quality Gap: Revisiting the State of the Science (Vol. 5: Public Reporting as a Quality Impro</w:t>
      </w:r>
      <w:r>
        <w:rPr>
          <w:rFonts w:cstheme="minorHAnsi"/>
          <w:sz w:val="22"/>
          <w:szCs w:val="22"/>
        </w:rPr>
        <w:t>vement Strategy). Rockville MD</w:t>
      </w:r>
      <w:r w:rsidRPr="006C7213">
        <w:rPr>
          <w:rFonts w:cstheme="minorHAnsi"/>
          <w:sz w:val="22"/>
          <w:szCs w:val="22"/>
        </w:rPr>
        <w:t xml:space="preserve">: Agency for Healthcare Research and Quality (US); 2012 Jul. (Evidence Reports/Technology Assessments, No. 208.5.). Available from: </w:t>
      </w:r>
      <w:hyperlink r:id="rId16" w:history="1">
        <w:r w:rsidRPr="00F30C51">
          <w:rPr>
            <w:rStyle w:val="Hyperlink"/>
            <w:rFonts w:asciiTheme="minorHAnsi" w:hAnsiTheme="minorHAnsi" w:cstheme="minorHAnsi"/>
            <w:szCs w:val="22"/>
          </w:rPr>
          <w:t>https://www.ncbi.nlm.nih.gov/books/NBK99885</w:t>
        </w:r>
      </w:hyperlink>
      <w:r>
        <w:rPr>
          <w:rFonts w:cstheme="minorHAnsi"/>
          <w:sz w:val="22"/>
          <w:szCs w:val="22"/>
        </w:rPr>
        <w:t xml:space="preserve"> </w:t>
      </w:r>
    </w:p>
  </w:endnote>
  <w:endnote w:id="34">
    <w:p w14:paraId="04DA5A34" w14:textId="2F4C7D0C"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sidRPr="00B32C83">
        <w:rPr>
          <w:rFonts w:cstheme="minorHAnsi"/>
          <w:sz w:val="22"/>
          <w:szCs w:val="22"/>
        </w:rPr>
        <w:t>Cacace</w:t>
      </w:r>
      <w:proofErr w:type="spellEnd"/>
      <w:r w:rsidRPr="00B32C83">
        <w:rPr>
          <w:rFonts w:cstheme="minorHAnsi"/>
          <w:sz w:val="22"/>
          <w:szCs w:val="22"/>
        </w:rPr>
        <w:t xml:space="preserve"> M, </w:t>
      </w:r>
      <w:proofErr w:type="spellStart"/>
      <w:r w:rsidRPr="00B32C83">
        <w:rPr>
          <w:rFonts w:cstheme="minorHAnsi"/>
          <w:sz w:val="22"/>
          <w:szCs w:val="22"/>
        </w:rPr>
        <w:t>Etterlt</w:t>
      </w:r>
      <w:proofErr w:type="spellEnd"/>
      <w:r w:rsidRPr="00B32C83">
        <w:rPr>
          <w:rFonts w:cstheme="minorHAnsi"/>
          <w:sz w:val="22"/>
          <w:szCs w:val="22"/>
        </w:rPr>
        <w:t xml:space="preserve"> S, Brereton L, Pedersen J, Nolte E. How health systems make available information on service providers: Experience in seven countries. </w:t>
      </w:r>
      <w:proofErr w:type="gramStart"/>
      <w:r w:rsidRPr="00B32C83">
        <w:rPr>
          <w:rFonts w:cstheme="minorHAnsi"/>
          <w:sz w:val="22"/>
          <w:szCs w:val="22"/>
        </w:rPr>
        <w:t>RAND Corporation; 2011.</w:t>
      </w:r>
      <w:proofErr w:type="gramEnd"/>
      <w:r w:rsidRPr="00B32C83">
        <w:rPr>
          <w:rFonts w:cstheme="minorHAnsi"/>
          <w:sz w:val="22"/>
          <w:szCs w:val="22"/>
        </w:rPr>
        <w:t xml:space="preserve"> Available from: </w:t>
      </w:r>
      <w:hyperlink r:id="rId17" w:history="1">
        <w:r w:rsidRPr="00F30C51">
          <w:rPr>
            <w:rStyle w:val="Hyperlink"/>
            <w:rFonts w:asciiTheme="minorHAnsi" w:hAnsiTheme="minorHAnsi" w:cstheme="minorHAnsi"/>
            <w:szCs w:val="22"/>
          </w:rPr>
          <w:t>https://www.rand.org/pubs/technical_reports/TR887.html</w:t>
        </w:r>
      </w:hyperlink>
      <w:r w:rsidRPr="00B32C83">
        <w:rPr>
          <w:rFonts w:cstheme="minorHAnsi"/>
          <w:sz w:val="22"/>
          <w:szCs w:val="22"/>
        </w:rPr>
        <w:t>.</w:t>
      </w:r>
      <w:r>
        <w:rPr>
          <w:rFonts w:cstheme="minorHAnsi"/>
          <w:sz w:val="22"/>
          <w:szCs w:val="22"/>
        </w:rPr>
        <w:t xml:space="preserve"> </w:t>
      </w:r>
    </w:p>
  </w:endnote>
  <w:endnote w:id="35">
    <w:p w14:paraId="47C31ED5" w14:textId="3DDF695B"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Pr>
          <w:rFonts w:cstheme="minorHAnsi"/>
          <w:sz w:val="22"/>
          <w:szCs w:val="22"/>
        </w:rPr>
        <w:t xml:space="preserve"> </w:t>
      </w:r>
      <w:r>
        <w:rPr>
          <w:rFonts w:cstheme="minorHAnsi"/>
          <w:sz w:val="22"/>
          <w:szCs w:val="22"/>
        </w:rPr>
        <w:tab/>
      </w:r>
      <w:proofErr w:type="spellStart"/>
      <w:proofErr w:type="gramStart"/>
      <w:r>
        <w:rPr>
          <w:rFonts w:cstheme="minorHAnsi"/>
          <w:sz w:val="22"/>
          <w:szCs w:val="22"/>
        </w:rPr>
        <w:t>Tu</w:t>
      </w:r>
      <w:proofErr w:type="spellEnd"/>
      <w:r>
        <w:rPr>
          <w:rFonts w:cstheme="minorHAnsi"/>
          <w:sz w:val="22"/>
          <w:szCs w:val="22"/>
        </w:rPr>
        <w:t xml:space="preserve"> J, Donovan LR, Lee DS, et al.</w:t>
      </w:r>
      <w:r w:rsidRPr="006C7213">
        <w:rPr>
          <w:rFonts w:cstheme="minorHAnsi"/>
          <w:sz w:val="22"/>
          <w:szCs w:val="22"/>
        </w:rPr>
        <w:t xml:space="preserve"> Effectiveness of Public Report Cards for Improving the Quality of Cardiac Care.</w:t>
      </w:r>
      <w:proofErr w:type="gramEnd"/>
      <w:r w:rsidRPr="006C7213">
        <w:rPr>
          <w:rFonts w:cstheme="minorHAnsi"/>
          <w:sz w:val="22"/>
          <w:szCs w:val="22"/>
        </w:rPr>
        <w:t xml:space="preserve"> The E</w:t>
      </w:r>
      <w:r>
        <w:rPr>
          <w:rFonts w:cstheme="minorHAnsi"/>
          <w:sz w:val="22"/>
          <w:szCs w:val="22"/>
        </w:rPr>
        <w:t>FFECT Study: A Randomized Trial, JAMA 2009;</w:t>
      </w:r>
      <w:r w:rsidRPr="006C7213">
        <w:rPr>
          <w:rFonts w:cstheme="minorHAnsi"/>
          <w:sz w:val="22"/>
          <w:szCs w:val="22"/>
        </w:rPr>
        <w:t xml:space="preserve"> 302</w:t>
      </w:r>
      <w:r>
        <w:rPr>
          <w:rFonts w:cstheme="minorHAnsi"/>
          <w:sz w:val="22"/>
          <w:szCs w:val="22"/>
        </w:rPr>
        <w:t>(</w:t>
      </w:r>
      <w:r w:rsidRPr="006C7213">
        <w:rPr>
          <w:rFonts w:cstheme="minorHAnsi"/>
          <w:sz w:val="22"/>
          <w:szCs w:val="22"/>
        </w:rPr>
        <w:t>21</w:t>
      </w:r>
      <w:r>
        <w:rPr>
          <w:rFonts w:cstheme="minorHAnsi"/>
          <w:sz w:val="22"/>
          <w:szCs w:val="22"/>
        </w:rPr>
        <w:t>):</w:t>
      </w:r>
      <w:r w:rsidRPr="006C7213">
        <w:rPr>
          <w:rFonts w:cstheme="minorHAnsi"/>
          <w:sz w:val="22"/>
          <w:szCs w:val="22"/>
        </w:rPr>
        <w:t xml:space="preserve"> 2330-2337. </w:t>
      </w:r>
    </w:p>
  </w:endnote>
  <w:endnote w:id="36">
    <w:p w14:paraId="2382B616" w14:textId="79E017EF" w:rsidR="00F70157" w:rsidRPr="006C7213" w:rsidRDefault="00F70157" w:rsidP="00B32C8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sidRPr="00B32C83">
        <w:rPr>
          <w:rFonts w:cstheme="minorHAnsi"/>
          <w:sz w:val="22"/>
          <w:szCs w:val="22"/>
          <w:lang w:val="en-US"/>
        </w:rPr>
        <w:t>Shekelle</w:t>
      </w:r>
      <w:proofErr w:type="spellEnd"/>
      <w:r>
        <w:rPr>
          <w:rFonts w:cstheme="minorHAnsi"/>
          <w:sz w:val="22"/>
          <w:szCs w:val="22"/>
          <w:lang w:val="en-US"/>
        </w:rPr>
        <w:t xml:space="preserve"> PG,</w:t>
      </w:r>
      <w:r w:rsidRPr="00B32C83">
        <w:rPr>
          <w:rFonts w:cstheme="minorHAnsi"/>
          <w:sz w:val="22"/>
          <w:szCs w:val="22"/>
          <w:lang w:val="en-US"/>
        </w:rPr>
        <w:t xml:space="preserve"> </w:t>
      </w:r>
      <w:r>
        <w:rPr>
          <w:rFonts w:cstheme="minorHAnsi"/>
          <w:sz w:val="22"/>
          <w:szCs w:val="22"/>
          <w:lang w:val="en-US"/>
        </w:rPr>
        <w:t xml:space="preserve">Lim Y, </w:t>
      </w:r>
      <w:proofErr w:type="spellStart"/>
      <w:r>
        <w:rPr>
          <w:rFonts w:cstheme="minorHAnsi"/>
          <w:sz w:val="22"/>
          <w:szCs w:val="22"/>
          <w:lang w:val="en-US"/>
        </w:rPr>
        <w:t>Mattke</w:t>
      </w:r>
      <w:proofErr w:type="spellEnd"/>
      <w:r>
        <w:rPr>
          <w:rFonts w:cstheme="minorHAnsi"/>
          <w:sz w:val="22"/>
          <w:szCs w:val="22"/>
          <w:lang w:val="en-US"/>
        </w:rPr>
        <w:t xml:space="preserve"> S,</w:t>
      </w:r>
      <w:r w:rsidRPr="00B32C83">
        <w:rPr>
          <w:rFonts w:cstheme="minorHAnsi"/>
          <w:sz w:val="22"/>
          <w:szCs w:val="22"/>
          <w:lang w:val="en-US"/>
        </w:rPr>
        <w:t xml:space="preserve"> </w:t>
      </w:r>
      <w:proofErr w:type="spellStart"/>
      <w:r w:rsidRPr="00B32C83">
        <w:rPr>
          <w:rFonts w:cstheme="minorHAnsi"/>
          <w:sz w:val="22"/>
          <w:szCs w:val="22"/>
          <w:lang w:val="en-US"/>
        </w:rPr>
        <w:t>Damberg</w:t>
      </w:r>
      <w:proofErr w:type="spellEnd"/>
      <w:r>
        <w:rPr>
          <w:rFonts w:cstheme="minorHAnsi"/>
          <w:sz w:val="22"/>
          <w:szCs w:val="22"/>
          <w:lang w:val="en-US"/>
        </w:rPr>
        <w:t xml:space="preserve"> C. </w:t>
      </w:r>
      <w:r w:rsidRPr="00B32C83">
        <w:rPr>
          <w:rFonts w:cstheme="minorHAnsi"/>
          <w:sz w:val="22"/>
          <w:szCs w:val="22"/>
          <w:lang w:val="en-US"/>
        </w:rPr>
        <w:t>Does public release of</w:t>
      </w:r>
      <w:r>
        <w:rPr>
          <w:rFonts w:cstheme="minorHAnsi"/>
          <w:sz w:val="22"/>
          <w:szCs w:val="22"/>
          <w:lang w:val="en-US"/>
        </w:rPr>
        <w:t xml:space="preserve"> performance results improve quality of care? </w:t>
      </w:r>
      <w:proofErr w:type="gramStart"/>
      <w:r>
        <w:rPr>
          <w:rFonts w:cstheme="minorHAnsi"/>
          <w:sz w:val="22"/>
          <w:szCs w:val="22"/>
          <w:lang w:val="en-US"/>
        </w:rPr>
        <w:t>A systematic review.</w:t>
      </w:r>
      <w:proofErr w:type="gramEnd"/>
      <w:r>
        <w:rPr>
          <w:rFonts w:cstheme="minorHAnsi"/>
          <w:sz w:val="22"/>
          <w:szCs w:val="22"/>
          <w:lang w:val="en-US"/>
        </w:rPr>
        <w:t xml:space="preserve"> London: </w:t>
      </w:r>
      <w:r>
        <w:rPr>
          <w:rFonts w:ascii="ArialMT" w:hAnsi="ArialMT" w:cs="ArialMT"/>
          <w:sz w:val="21"/>
          <w:szCs w:val="21"/>
        </w:rPr>
        <w:t xml:space="preserve">The Health Foundation; 2008. </w:t>
      </w:r>
      <w:r>
        <w:rPr>
          <w:rFonts w:cstheme="minorHAnsi"/>
          <w:sz w:val="22"/>
          <w:szCs w:val="22"/>
          <w:lang w:val="en-US"/>
        </w:rPr>
        <w:t xml:space="preserve"> </w:t>
      </w:r>
      <w:r w:rsidRPr="00B32C83">
        <w:rPr>
          <w:rFonts w:cstheme="minorHAnsi"/>
          <w:sz w:val="22"/>
          <w:szCs w:val="22"/>
        </w:rPr>
        <w:t xml:space="preserve">Available from: </w:t>
      </w:r>
      <w:r>
        <w:rPr>
          <w:rFonts w:cstheme="minorHAnsi"/>
          <w:sz w:val="22"/>
          <w:szCs w:val="22"/>
        </w:rPr>
        <w:t xml:space="preserve"> </w:t>
      </w:r>
      <w:hyperlink r:id="rId18" w:history="1">
        <w:r w:rsidRPr="00F30C51">
          <w:rPr>
            <w:rStyle w:val="Hyperlink"/>
            <w:rFonts w:asciiTheme="minorHAnsi" w:hAnsiTheme="minorHAnsi" w:cstheme="minorHAnsi"/>
            <w:szCs w:val="22"/>
            <w:lang w:val="en-US"/>
          </w:rPr>
          <w:t>https://www.health.org.uk/sites/health/files/DoesPublicReleaseOfPerformanceResultsImproveQualityOfCare.pdf</w:t>
        </w:r>
      </w:hyperlink>
      <w:r>
        <w:rPr>
          <w:rFonts w:cstheme="minorHAnsi"/>
          <w:sz w:val="22"/>
          <w:szCs w:val="22"/>
          <w:lang w:val="en-US"/>
        </w:rPr>
        <w:t xml:space="preserve"> </w:t>
      </w:r>
    </w:p>
  </w:endnote>
  <w:endnote w:id="37">
    <w:p w14:paraId="68902243" w14:textId="0D3B148C"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Pr>
          <w:rFonts w:cstheme="minorHAnsi"/>
          <w:sz w:val="22"/>
          <w:szCs w:val="22"/>
        </w:rPr>
        <w:t xml:space="preserve"> </w:t>
      </w:r>
      <w:r>
        <w:rPr>
          <w:rFonts w:cstheme="minorHAnsi"/>
          <w:sz w:val="22"/>
          <w:szCs w:val="22"/>
        </w:rPr>
        <w:tab/>
      </w:r>
      <w:proofErr w:type="spellStart"/>
      <w:r>
        <w:rPr>
          <w:rFonts w:cstheme="minorHAnsi"/>
          <w:sz w:val="22"/>
          <w:szCs w:val="22"/>
        </w:rPr>
        <w:t>Chassin</w:t>
      </w:r>
      <w:proofErr w:type="spellEnd"/>
      <w:r>
        <w:rPr>
          <w:rFonts w:cstheme="minorHAnsi"/>
          <w:sz w:val="22"/>
          <w:szCs w:val="22"/>
        </w:rPr>
        <w:t xml:space="preserve"> M</w:t>
      </w:r>
      <w:r w:rsidRPr="006C7213">
        <w:rPr>
          <w:rFonts w:cstheme="minorHAnsi"/>
          <w:sz w:val="22"/>
          <w:szCs w:val="22"/>
        </w:rPr>
        <w:t xml:space="preserve">R. Achieving and </w:t>
      </w:r>
      <w:r>
        <w:rPr>
          <w:rFonts w:cstheme="minorHAnsi"/>
          <w:sz w:val="22"/>
          <w:szCs w:val="22"/>
        </w:rPr>
        <w:t>s</w:t>
      </w:r>
      <w:r w:rsidRPr="006C7213">
        <w:rPr>
          <w:rFonts w:cstheme="minorHAnsi"/>
          <w:sz w:val="22"/>
          <w:szCs w:val="22"/>
        </w:rPr>
        <w:t xml:space="preserve">ustaining </w:t>
      </w:r>
      <w:r>
        <w:rPr>
          <w:rFonts w:cstheme="minorHAnsi"/>
          <w:sz w:val="22"/>
          <w:szCs w:val="22"/>
        </w:rPr>
        <w:t>improved quality: l</w:t>
      </w:r>
      <w:r w:rsidRPr="006C7213">
        <w:rPr>
          <w:rFonts w:cstheme="minorHAnsi"/>
          <w:sz w:val="22"/>
          <w:szCs w:val="22"/>
        </w:rPr>
        <w:t xml:space="preserve">essons </w:t>
      </w:r>
      <w:r>
        <w:rPr>
          <w:rFonts w:cstheme="minorHAnsi"/>
          <w:sz w:val="22"/>
          <w:szCs w:val="22"/>
        </w:rPr>
        <w:t>f</w:t>
      </w:r>
      <w:r w:rsidRPr="006C7213">
        <w:rPr>
          <w:rFonts w:cstheme="minorHAnsi"/>
          <w:sz w:val="22"/>
          <w:szCs w:val="22"/>
        </w:rPr>
        <w:t xml:space="preserve">rom New York State </w:t>
      </w:r>
      <w:r>
        <w:rPr>
          <w:rFonts w:cstheme="minorHAnsi"/>
          <w:sz w:val="22"/>
          <w:szCs w:val="22"/>
        </w:rPr>
        <w:t>a</w:t>
      </w:r>
      <w:r w:rsidRPr="006C7213">
        <w:rPr>
          <w:rFonts w:cstheme="minorHAnsi"/>
          <w:sz w:val="22"/>
          <w:szCs w:val="22"/>
        </w:rPr>
        <w:t xml:space="preserve">nd </w:t>
      </w:r>
      <w:r>
        <w:rPr>
          <w:rFonts w:cstheme="minorHAnsi"/>
          <w:sz w:val="22"/>
          <w:szCs w:val="22"/>
        </w:rPr>
        <w:t>cardiac surgery. Health Affairs</w:t>
      </w:r>
      <w:r w:rsidRPr="006C7213">
        <w:rPr>
          <w:rFonts w:cstheme="minorHAnsi"/>
          <w:sz w:val="22"/>
          <w:szCs w:val="22"/>
        </w:rPr>
        <w:t xml:space="preserve"> </w:t>
      </w:r>
      <w:r>
        <w:rPr>
          <w:rFonts w:cstheme="minorHAnsi"/>
          <w:sz w:val="22"/>
          <w:szCs w:val="22"/>
        </w:rPr>
        <w:t>2002; 21(</w:t>
      </w:r>
      <w:r w:rsidRPr="006C7213">
        <w:rPr>
          <w:rFonts w:cstheme="minorHAnsi"/>
          <w:sz w:val="22"/>
          <w:szCs w:val="22"/>
        </w:rPr>
        <w:t>4</w:t>
      </w:r>
      <w:r>
        <w:rPr>
          <w:rFonts w:cstheme="minorHAnsi"/>
          <w:sz w:val="22"/>
          <w:szCs w:val="22"/>
        </w:rPr>
        <w:t>):</w:t>
      </w:r>
      <w:r w:rsidRPr="006C7213">
        <w:rPr>
          <w:rFonts w:cstheme="minorHAnsi"/>
          <w:sz w:val="22"/>
          <w:szCs w:val="22"/>
        </w:rPr>
        <w:t xml:space="preserve">40-51. </w:t>
      </w:r>
    </w:p>
  </w:endnote>
  <w:endnote w:id="38">
    <w:p w14:paraId="7C7F4DFC" w14:textId="2B0AB578"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t xml:space="preserve">Hibbard JH, </w:t>
      </w:r>
      <w:proofErr w:type="spellStart"/>
      <w:r w:rsidRPr="006C7213">
        <w:rPr>
          <w:rFonts w:cstheme="minorHAnsi"/>
          <w:sz w:val="22"/>
          <w:szCs w:val="22"/>
        </w:rPr>
        <w:t>Stockard</w:t>
      </w:r>
      <w:proofErr w:type="spellEnd"/>
      <w:r w:rsidRPr="006C7213">
        <w:rPr>
          <w:rFonts w:cstheme="minorHAnsi"/>
          <w:sz w:val="22"/>
          <w:szCs w:val="22"/>
        </w:rPr>
        <w:t xml:space="preserve"> J, </w:t>
      </w:r>
      <w:proofErr w:type="spellStart"/>
      <w:r w:rsidRPr="006C7213">
        <w:rPr>
          <w:rFonts w:cstheme="minorHAnsi"/>
          <w:sz w:val="22"/>
          <w:szCs w:val="22"/>
        </w:rPr>
        <w:t>Tusler</w:t>
      </w:r>
      <w:proofErr w:type="spellEnd"/>
      <w:r w:rsidRPr="006C7213">
        <w:rPr>
          <w:rFonts w:cstheme="minorHAnsi"/>
          <w:sz w:val="22"/>
          <w:szCs w:val="22"/>
        </w:rPr>
        <w:t xml:space="preserve"> M. Hospital performance reports: impact on quality, market share, and reputation. Health Affairs </w:t>
      </w:r>
      <w:r>
        <w:rPr>
          <w:rFonts w:cstheme="minorHAnsi"/>
          <w:sz w:val="22"/>
          <w:szCs w:val="22"/>
        </w:rPr>
        <w:t>2005;</w:t>
      </w:r>
      <w:r w:rsidRPr="00B32C83">
        <w:rPr>
          <w:rFonts w:cstheme="minorHAnsi"/>
          <w:sz w:val="22"/>
          <w:szCs w:val="22"/>
        </w:rPr>
        <w:t xml:space="preserve"> </w:t>
      </w:r>
      <w:r w:rsidRPr="006C7213">
        <w:rPr>
          <w:rFonts w:cstheme="minorHAnsi"/>
          <w:sz w:val="22"/>
          <w:szCs w:val="22"/>
        </w:rPr>
        <w:t>24(4): 1150–60</w:t>
      </w:r>
      <w:r>
        <w:rPr>
          <w:rFonts w:cstheme="minorHAnsi"/>
          <w:sz w:val="22"/>
          <w:szCs w:val="22"/>
        </w:rPr>
        <w:t>,</w:t>
      </w:r>
      <w:r w:rsidRPr="006C7213">
        <w:rPr>
          <w:rFonts w:cstheme="minorHAnsi"/>
          <w:sz w:val="22"/>
          <w:szCs w:val="22"/>
        </w:rPr>
        <w:t xml:space="preserve"> cited in the Health Quality and Safety Commission New Zealand, 2016, Position paper on the transparency of information related to health care interventions</w:t>
      </w:r>
      <w:r>
        <w:rPr>
          <w:rFonts w:cstheme="minorHAnsi"/>
          <w:sz w:val="22"/>
          <w:szCs w:val="22"/>
        </w:rPr>
        <w:t xml:space="preserve">. Wellington: </w:t>
      </w:r>
      <w:r w:rsidRPr="00B32C83">
        <w:rPr>
          <w:rFonts w:cstheme="minorHAnsi"/>
          <w:sz w:val="22"/>
          <w:szCs w:val="22"/>
        </w:rPr>
        <w:t>Health Quality &amp; Safety Commission</w:t>
      </w:r>
      <w:r>
        <w:rPr>
          <w:rFonts w:cstheme="minorHAnsi"/>
          <w:sz w:val="22"/>
          <w:szCs w:val="22"/>
        </w:rPr>
        <w:t>;</w:t>
      </w:r>
      <w:r w:rsidRPr="00B32C83">
        <w:rPr>
          <w:rFonts w:cstheme="minorHAnsi"/>
          <w:sz w:val="22"/>
          <w:szCs w:val="22"/>
        </w:rPr>
        <w:t xml:space="preserve"> 2016</w:t>
      </w:r>
      <w:r>
        <w:rPr>
          <w:rFonts w:cstheme="minorHAnsi"/>
          <w:sz w:val="22"/>
          <w:szCs w:val="22"/>
        </w:rPr>
        <w:t>.</w:t>
      </w:r>
    </w:p>
  </w:endnote>
  <w:endnote w:id="39">
    <w:p w14:paraId="3ADFC118" w14:textId="376246AF"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sidRPr="00B32C83">
        <w:rPr>
          <w:rFonts w:cstheme="minorHAnsi"/>
          <w:sz w:val="22"/>
          <w:szCs w:val="22"/>
        </w:rPr>
        <w:t>Teleki</w:t>
      </w:r>
      <w:proofErr w:type="spellEnd"/>
      <w:r w:rsidRPr="00B32C83">
        <w:rPr>
          <w:rFonts w:cstheme="minorHAnsi"/>
          <w:sz w:val="22"/>
          <w:szCs w:val="22"/>
        </w:rPr>
        <w:t xml:space="preserve"> S, Shannon M. In California, quality reporting at the state level is at a crossroads after hospital group pulls out. Health Affairs (Millwood) 2012 Mar</w:t>
      </w:r>
      <w:proofErr w:type="gramStart"/>
      <w:r w:rsidRPr="00B32C83">
        <w:rPr>
          <w:rFonts w:cstheme="minorHAnsi"/>
          <w:sz w:val="22"/>
          <w:szCs w:val="22"/>
        </w:rPr>
        <w:t>;31</w:t>
      </w:r>
      <w:proofErr w:type="gramEnd"/>
      <w:r w:rsidRPr="00B32C83">
        <w:rPr>
          <w:rFonts w:cstheme="minorHAnsi"/>
          <w:sz w:val="22"/>
          <w:szCs w:val="22"/>
        </w:rPr>
        <w:t>(3):642-6.</w:t>
      </w:r>
    </w:p>
  </w:endnote>
  <w:endnote w:id="40">
    <w:p w14:paraId="34FF9BFF" w14:textId="2EC450E4"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6C7213">
        <w:rPr>
          <w:rFonts w:cstheme="minorHAnsi"/>
          <w:sz w:val="22"/>
          <w:szCs w:val="22"/>
        </w:rPr>
        <w:t>Public reporting on quality and costs.</w:t>
      </w:r>
      <w:proofErr w:type="gramEnd"/>
      <w:r w:rsidRPr="006C7213">
        <w:rPr>
          <w:rFonts w:cstheme="minorHAnsi"/>
          <w:sz w:val="22"/>
          <w:szCs w:val="22"/>
        </w:rPr>
        <w:t xml:space="preserve"> Do report cards and other measures of providers’ performance lead to improved care an</w:t>
      </w:r>
      <w:r>
        <w:rPr>
          <w:rFonts w:cstheme="minorHAnsi"/>
          <w:sz w:val="22"/>
          <w:szCs w:val="22"/>
        </w:rPr>
        <w:t xml:space="preserve">d better choices by consumers. </w:t>
      </w:r>
      <w:proofErr w:type="gramStart"/>
      <w:r w:rsidRPr="00B32C83">
        <w:rPr>
          <w:rFonts w:cstheme="minorHAnsi"/>
          <w:sz w:val="22"/>
          <w:szCs w:val="22"/>
        </w:rPr>
        <w:t>Hea</w:t>
      </w:r>
      <w:r>
        <w:rPr>
          <w:rFonts w:cstheme="minorHAnsi"/>
          <w:sz w:val="22"/>
          <w:szCs w:val="22"/>
        </w:rPr>
        <w:t>lth Affairs Health Policy Brief.</w:t>
      </w:r>
      <w:proofErr w:type="gramEnd"/>
      <w:r>
        <w:rPr>
          <w:rFonts w:cstheme="minorHAnsi"/>
          <w:sz w:val="22"/>
          <w:szCs w:val="22"/>
        </w:rPr>
        <w:t xml:space="preserve"> 8 March</w:t>
      </w:r>
      <w:r w:rsidRPr="00B32C83">
        <w:rPr>
          <w:rFonts w:cstheme="minorHAnsi"/>
          <w:sz w:val="22"/>
          <w:szCs w:val="22"/>
        </w:rPr>
        <w:t xml:space="preserve"> 2012.</w:t>
      </w:r>
    </w:p>
  </w:endnote>
  <w:endnote w:id="41">
    <w:p w14:paraId="4D105D27" w14:textId="619A8718"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r w:rsidRPr="00B32C83">
        <w:rPr>
          <w:rFonts w:cstheme="minorHAnsi"/>
          <w:sz w:val="22"/>
          <w:szCs w:val="22"/>
        </w:rPr>
        <w:t>Hibbard,</w:t>
      </w:r>
      <w:r>
        <w:rPr>
          <w:rFonts w:cstheme="minorHAnsi"/>
          <w:sz w:val="22"/>
          <w:szCs w:val="22"/>
        </w:rPr>
        <w:t xml:space="preserve"> J </w:t>
      </w:r>
      <w:proofErr w:type="spellStart"/>
      <w:r>
        <w:rPr>
          <w:rFonts w:cstheme="minorHAnsi"/>
          <w:sz w:val="22"/>
          <w:szCs w:val="22"/>
        </w:rPr>
        <w:t>Sofaer</w:t>
      </w:r>
      <w:proofErr w:type="spellEnd"/>
      <w:r>
        <w:rPr>
          <w:rFonts w:cstheme="minorHAnsi"/>
          <w:sz w:val="22"/>
          <w:szCs w:val="22"/>
        </w:rPr>
        <w:t xml:space="preserve"> S. </w:t>
      </w:r>
      <w:r w:rsidRPr="006C7213">
        <w:rPr>
          <w:rFonts w:cstheme="minorHAnsi"/>
          <w:sz w:val="22"/>
          <w:szCs w:val="22"/>
        </w:rPr>
        <w:t xml:space="preserve">Best </w:t>
      </w:r>
      <w:r>
        <w:rPr>
          <w:rFonts w:cstheme="minorHAnsi"/>
          <w:sz w:val="22"/>
          <w:szCs w:val="22"/>
        </w:rPr>
        <w:t>practices in public r</w:t>
      </w:r>
      <w:r w:rsidRPr="006C7213">
        <w:rPr>
          <w:rFonts w:cstheme="minorHAnsi"/>
          <w:sz w:val="22"/>
          <w:szCs w:val="22"/>
        </w:rPr>
        <w:t xml:space="preserve">eporting </w:t>
      </w:r>
      <w:r>
        <w:rPr>
          <w:rFonts w:cstheme="minorHAnsi"/>
          <w:sz w:val="22"/>
          <w:szCs w:val="22"/>
        </w:rPr>
        <w:t>no. 1: H</w:t>
      </w:r>
      <w:r w:rsidRPr="006C7213">
        <w:rPr>
          <w:rFonts w:cstheme="minorHAnsi"/>
          <w:sz w:val="22"/>
          <w:szCs w:val="22"/>
        </w:rPr>
        <w:t>ow to effectively present health care performance data to consumers</w:t>
      </w:r>
      <w:r>
        <w:rPr>
          <w:rFonts w:cstheme="minorHAnsi"/>
          <w:sz w:val="22"/>
          <w:szCs w:val="22"/>
        </w:rPr>
        <w:t xml:space="preserve">. Rockville MD: </w:t>
      </w:r>
      <w:r w:rsidRPr="00B32C83">
        <w:rPr>
          <w:rFonts w:cstheme="minorHAnsi"/>
          <w:sz w:val="22"/>
          <w:szCs w:val="22"/>
        </w:rPr>
        <w:t>Agency for H</w:t>
      </w:r>
      <w:r>
        <w:rPr>
          <w:rFonts w:cstheme="minorHAnsi"/>
          <w:sz w:val="22"/>
          <w:szCs w:val="22"/>
        </w:rPr>
        <w:t xml:space="preserve">ealthcare Research and Quality; </w:t>
      </w:r>
      <w:r w:rsidRPr="006C7213">
        <w:rPr>
          <w:rFonts w:cstheme="minorHAnsi"/>
          <w:sz w:val="22"/>
          <w:szCs w:val="22"/>
        </w:rPr>
        <w:t>2010</w:t>
      </w:r>
      <w:r>
        <w:rPr>
          <w:rFonts w:cstheme="minorHAnsi"/>
          <w:sz w:val="22"/>
          <w:szCs w:val="22"/>
        </w:rPr>
        <w:t>.</w:t>
      </w:r>
    </w:p>
  </w:endnote>
  <w:endnote w:id="42">
    <w:p w14:paraId="07D28101" w14:textId="1DB285C2"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r>
        <w:rPr>
          <w:rFonts w:cstheme="minorHAnsi"/>
          <w:sz w:val="22"/>
          <w:szCs w:val="22"/>
        </w:rPr>
        <w:t>Ibid.</w:t>
      </w:r>
    </w:p>
  </w:endnote>
  <w:endnote w:id="43">
    <w:p w14:paraId="31ABC30E" w14:textId="4E590F92" w:rsidR="00F70157" w:rsidRPr="009F3195" w:rsidRDefault="00F70157" w:rsidP="009F3195">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sidRPr="00B32C83">
        <w:rPr>
          <w:rFonts w:cstheme="minorHAnsi"/>
          <w:sz w:val="22"/>
          <w:szCs w:val="22"/>
        </w:rPr>
        <w:t>Cacace</w:t>
      </w:r>
      <w:proofErr w:type="spellEnd"/>
      <w:r w:rsidRPr="00B32C83">
        <w:rPr>
          <w:rFonts w:cstheme="minorHAnsi"/>
          <w:sz w:val="22"/>
          <w:szCs w:val="22"/>
        </w:rPr>
        <w:t xml:space="preserve"> M, </w:t>
      </w:r>
      <w:proofErr w:type="spellStart"/>
      <w:r w:rsidRPr="00B32C83">
        <w:rPr>
          <w:rFonts w:cstheme="minorHAnsi"/>
          <w:sz w:val="22"/>
          <w:szCs w:val="22"/>
        </w:rPr>
        <w:t>Etterlt</w:t>
      </w:r>
      <w:proofErr w:type="spellEnd"/>
      <w:r w:rsidRPr="00B32C83">
        <w:rPr>
          <w:rFonts w:cstheme="minorHAnsi"/>
          <w:sz w:val="22"/>
          <w:szCs w:val="22"/>
        </w:rPr>
        <w:t xml:space="preserve"> S, Brereton L, Pedersen J, Nolte E. How health systems make available information on service providers: Experience in seven countries. </w:t>
      </w:r>
      <w:proofErr w:type="gramStart"/>
      <w:r w:rsidRPr="00B32C83">
        <w:rPr>
          <w:rFonts w:cstheme="minorHAnsi"/>
          <w:sz w:val="22"/>
          <w:szCs w:val="22"/>
        </w:rPr>
        <w:t>RAND Corporation; 2011.</w:t>
      </w:r>
      <w:proofErr w:type="gramEnd"/>
      <w:r w:rsidRPr="00B32C83">
        <w:rPr>
          <w:rFonts w:cstheme="minorHAnsi"/>
          <w:sz w:val="22"/>
          <w:szCs w:val="22"/>
        </w:rPr>
        <w:t xml:space="preserve"> Available from: </w:t>
      </w:r>
      <w:hyperlink r:id="rId19" w:history="1">
        <w:r w:rsidRPr="00F30C51">
          <w:rPr>
            <w:rStyle w:val="Hyperlink"/>
            <w:rFonts w:asciiTheme="minorHAnsi" w:hAnsiTheme="minorHAnsi" w:cstheme="minorHAnsi"/>
            <w:szCs w:val="22"/>
          </w:rPr>
          <w:t>https://www.rand.org/pubs/technical_reports/TR887.html</w:t>
        </w:r>
      </w:hyperlink>
      <w:r w:rsidRPr="00B32C83">
        <w:rPr>
          <w:rFonts w:cstheme="minorHAnsi"/>
          <w:sz w:val="22"/>
          <w:szCs w:val="22"/>
        </w:rPr>
        <w:t>.</w:t>
      </w:r>
    </w:p>
  </w:endnote>
  <w:endnote w:id="44">
    <w:p w14:paraId="2566B2B3" w14:textId="75EC12B1"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Pr>
          <w:rFonts w:cstheme="minorHAnsi"/>
          <w:sz w:val="22"/>
          <w:szCs w:val="22"/>
          <w:lang w:val="en-US"/>
        </w:rPr>
        <w:t>Shahian</w:t>
      </w:r>
      <w:proofErr w:type="spellEnd"/>
      <w:r>
        <w:rPr>
          <w:rFonts w:cstheme="minorHAnsi"/>
          <w:sz w:val="22"/>
          <w:szCs w:val="22"/>
          <w:lang w:val="en-US"/>
        </w:rPr>
        <w:t xml:space="preserve"> DM.</w:t>
      </w:r>
      <w:r w:rsidRPr="006C7213">
        <w:rPr>
          <w:rFonts w:cstheme="minorHAnsi"/>
          <w:sz w:val="22"/>
          <w:szCs w:val="22"/>
          <w:lang w:val="en-US"/>
        </w:rPr>
        <w:t xml:space="preserve"> </w:t>
      </w:r>
      <w:proofErr w:type="gramStart"/>
      <w:r w:rsidRPr="006C7213">
        <w:rPr>
          <w:rFonts w:cstheme="minorHAnsi"/>
          <w:sz w:val="22"/>
          <w:szCs w:val="22"/>
          <w:lang w:val="en-US"/>
        </w:rPr>
        <w:t>Beyond</w:t>
      </w:r>
      <w:proofErr w:type="gramEnd"/>
      <w:r w:rsidRPr="006C7213">
        <w:rPr>
          <w:rFonts w:cstheme="minorHAnsi"/>
          <w:sz w:val="22"/>
          <w:szCs w:val="22"/>
          <w:lang w:val="en-US"/>
        </w:rPr>
        <w:t xml:space="preserve"> Public Reporting. J </w:t>
      </w:r>
      <w:proofErr w:type="spellStart"/>
      <w:r w:rsidRPr="006C7213">
        <w:rPr>
          <w:rFonts w:cstheme="minorHAnsi"/>
          <w:sz w:val="22"/>
          <w:szCs w:val="22"/>
          <w:lang w:val="en-US"/>
        </w:rPr>
        <w:t>Thorac</w:t>
      </w:r>
      <w:proofErr w:type="spellEnd"/>
      <w:r w:rsidRPr="006C7213">
        <w:rPr>
          <w:rFonts w:cstheme="minorHAnsi"/>
          <w:sz w:val="22"/>
          <w:szCs w:val="22"/>
          <w:lang w:val="en-US"/>
        </w:rPr>
        <w:t xml:space="preserve"> </w:t>
      </w:r>
      <w:proofErr w:type="spellStart"/>
      <w:r w:rsidRPr="006C7213">
        <w:rPr>
          <w:rFonts w:cstheme="minorHAnsi"/>
          <w:sz w:val="22"/>
          <w:szCs w:val="22"/>
          <w:lang w:val="en-US"/>
        </w:rPr>
        <w:t>Cardiovasc</w:t>
      </w:r>
      <w:proofErr w:type="spellEnd"/>
      <w:r w:rsidRPr="006C7213">
        <w:rPr>
          <w:rFonts w:cstheme="minorHAnsi"/>
          <w:sz w:val="22"/>
          <w:szCs w:val="22"/>
          <w:lang w:val="en-US"/>
        </w:rPr>
        <w:t xml:space="preserve"> </w:t>
      </w:r>
      <w:proofErr w:type="spellStart"/>
      <w:r w:rsidRPr="006C7213">
        <w:rPr>
          <w:rFonts w:cstheme="minorHAnsi"/>
          <w:sz w:val="22"/>
          <w:szCs w:val="22"/>
          <w:lang w:val="en-US"/>
        </w:rPr>
        <w:t>Surg</w:t>
      </w:r>
      <w:proofErr w:type="spellEnd"/>
      <w:r w:rsidRPr="006C7213">
        <w:rPr>
          <w:rFonts w:cstheme="minorHAnsi"/>
          <w:sz w:val="22"/>
          <w:szCs w:val="22"/>
          <w:lang w:val="en-US"/>
        </w:rPr>
        <w:t xml:space="preserve"> 2017</w:t>
      </w:r>
      <w:proofErr w:type="gramStart"/>
      <w:r w:rsidRPr="006C7213">
        <w:rPr>
          <w:rFonts w:cstheme="minorHAnsi"/>
          <w:sz w:val="22"/>
          <w:szCs w:val="22"/>
          <w:lang w:val="en-US"/>
        </w:rPr>
        <w:t>;153:1627</w:t>
      </w:r>
      <w:proofErr w:type="gramEnd"/>
      <w:r w:rsidRPr="006C7213">
        <w:rPr>
          <w:rFonts w:cstheme="minorHAnsi"/>
          <w:sz w:val="22"/>
          <w:szCs w:val="22"/>
          <w:lang w:val="en-US"/>
        </w:rPr>
        <w:t>-9</w:t>
      </w:r>
      <w:r>
        <w:rPr>
          <w:rFonts w:cstheme="minorHAnsi"/>
          <w:sz w:val="22"/>
          <w:szCs w:val="22"/>
          <w:lang w:val="en-US"/>
        </w:rPr>
        <w:t>.</w:t>
      </w:r>
    </w:p>
  </w:endnote>
  <w:endnote w:id="45">
    <w:p w14:paraId="6FE242DC" w14:textId="196CDE14"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sidRPr="00B32C83">
        <w:rPr>
          <w:rFonts w:cstheme="minorHAnsi"/>
          <w:sz w:val="22"/>
          <w:szCs w:val="22"/>
        </w:rPr>
        <w:t>Kumpunen</w:t>
      </w:r>
      <w:proofErr w:type="spellEnd"/>
      <w:r w:rsidRPr="00B32C83">
        <w:rPr>
          <w:rFonts w:cstheme="minorHAnsi"/>
          <w:sz w:val="22"/>
          <w:szCs w:val="22"/>
        </w:rPr>
        <w:t xml:space="preserve"> S, Trigg, L, Rodrigues R. Public reporting in health and long-term care to facilitate provider choice, European Observatory on Health Systems and Policies. </w:t>
      </w:r>
      <w:proofErr w:type="gramStart"/>
      <w:r w:rsidRPr="00B32C83">
        <w:rPr>
          <w:rFonts w:cstheme="minorHAnsi"/>
          <w:sz w:val="22"/>
          <w:szCs w:val="22"/>
        </w:rPr>
        <w:t>World Health Organisation.</w:t>
      </w:r>
      <w:proofErr w:type="gramEnd"/>
      <w:r w:rsidRPr="00B32C83">
        <w:rPr>
          <w:rFonts w:cstheme="minorHAnsi"/>
          <w:sz w:val="22"/>
          <w:szCs w:val="22"/>
        </w:rPr>
        <w:t xml:space="preserve"> 2014. Available from: </w:t>
      </w:r>
      <w:hyperlink r:id="rId20" w:history="1">
        <w:r w:rsidRPr="00F30C51">
          <w:rPr>
            <w:rStyle w:val="Hyperlink"/>
            <w:rFonts w:asciiTheme="minorHAnsi" w:hAnsiTheme="minorHAnsi" w:cstheme="minorHAnsi"/>
            <w:szCs w:val="22"/>
          </w:rPr>
          <w:t>http://www.euro.who.int/__data/assets/pdf_file/0020/263540/Public-reporting-in-health-and-long-term-care-to-facilitate-provider-choice-Eng.pdf</w:t>
        </w:r>
      </w:hyperlink>
      <w:r w:rsidRPr="00B32C83">
        <w:rPr>
          <w:rFonts w:cstheme="minorHAnsi"/>
          <w:sz w:val="22"/>
          <w:szCs w:val="22"/>
        </w:rPr>
        <w:t>?</w:t>
      </w:r>
      <w:r>
        <w:rPr>
          <w:rFonts w:cstheme="minorHAnsi"/>
          <w:sz w:val="22"/>
          <w:szCs w:val="22"/>
        </w:rPr>
        <w:t xml:space="preserve"> </w:t>
      </w:r>
    </w:p>
  </w:endnote>
  <w:endnote w:id="46">
    <w:p w14:paraId="562BD6D9" w14:textId="419ABDDB" w:rsidR="00F70157" w:rsidRPr="006C7213" w:rsidRDefault="00F70157" w:rsidP="006C7213">
      <w:pPr>
        <w:pStyle w:val="EndnoteText"/>
        <w:tabs>
          <w:tab w:val="left" w:pos="567"/>
        </w:tabs>
        <w:spacing w:after="120"/>
        <w:ind w:left="567" w:hanging="567"/>
        <w:rPr>
          <w:rFonts w:cstheme="minorHAnsi"/>
          <w:sz w:val="22"/>
          <w:szCs w:val="22"/>
          <w:highlight w:val="yellow"/>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sidRPr="00B32C83">
        <w:rPr>
          <w:rFonts w:cstheme="minorHAnsi"/>
          <w:sz w:val="22"/>
          <w:szCs w:val="22"/>
          <w:lang w:val="en-US"/>
        </w:rPr>
        <w:t>Shekelle</w:t>
      </w:r>
      <w:proofErr w:type="spellEnd"/>
      <w:r w:rsidRPr="00B32C83">
        <w:rPr>
          <w:rFonts w:cstheme="minorHAnsi"/>
          <w:sz w:val="22"/>
          <w:szCs w:val="22"/>
          <w:lang w:val="en-US"/>
        </w:rPr>
        <w:t xml:space="preserve"> PG, Lim Y, </w:t>
      </w:r>
      <w:proofErr w:type="spellStart"/>
      <w:r w:rsidRPr="00B32C83">
        <w:rPr>
          <w:rFonts w:cstheme="minorHAnsi"/>
          <w:sz w:val="22"/>
          <w:szCs w:val="22"/>
          <w:lang w:val="en-US"/>
        </w:rPr>
        <w:t>Mattke</w:t>
      </w:r>
      <w:proofErr w:type="spellEnd"/>
      <w:r w:rsidRPr="00B32C83">
        <w:rPr>
          <w:rFonts w:cstheme="minorHAnsi"/>
          <w:sz w:val="22"/>
          <w:szCs w:val="22"/>
          <w:lang w:val="en-US"/>
        </w:rPr>
        <w:t xml:space="preserve"> S, </w:t>
      </w:r>
      <w:proofErr w:type="spellStart"/>
      <w:r w:rsidRPr="00B32C83">
        <w:rPr>
          <w:rFonts w:cstheme="minorHAnsi"/>
          <w:sz w:val="22"/>
          <w:szCs w:val="22"/>
          <w:lang w:val="en-US"/>
        </w:rPr>
        <w:t>Damberg</w:t>
      </w:r>
      <w:proofErr w:type="spellEnd"/>
      <w:r w:rsidRPr="00B32C83">
        <w:rPr>
          <w:rFonts w:cstheme="minorHAnsi"/>
          <w:sz w:val="22"/>
          <w:szCs w:val="22"/>
          <w:lang w:val="en-US"/>
        </w:rPr>
        <w:t xml:space="preserve"> C. Does public release of performance results improve quality of care? </w:t>
      </w:r>
      <w:proofErr w:type="gramStart"/>
      <w:r w:rsidRPr="00B32C83">
        <w:rPr>
          <w:rFonts w:cstheme="minorHAnsi"/>
          <w:sz w:val="22"/>
          <w:szCs w:val="22"/>
          <w:lang w:val="en-US"/>
        </w:rPr>
        <w:t>A systematic review.</w:t>
      </w:r>
      <w:proofErr w:type="gramEnd"/>
      <w:r w:rsidRPr="00B32C83">
        <w:rPr>
          <w:rFonts w:cstheme="minorHAnsi"/>
          <w:sz w:val="22"/>
          <w:szCs w:val="22"/>
          <w:lang w:val="en-US"/>
        </w:rPr>
        <w:t xml:space="preserve"> London: The Health Foundation; 2008.  Available from:  </w:t>
      </w:r>
      <w:hyperlink r:id="rId21" w:history="1">
        <w:r w:rsidRPr="00F30C51">
          <w:rPr>
            <w:rStyle w:val="Hyperlink"/>
            <w:rFonts w:asciiTheme="minorHAnsi" w:hAnsiTheme="minorHAnsi" w:cstheme="minorHAnsi"/>
            <w:szCs w:val="22"/>
            <w:lang w:val="en-US"/>
          </w:rPr>
          <w:t>https://www.health.org.uk/sites/health/files/DoesPublicReleaseOfPerformanceResultsImproveQualityOfCare.pdf</w:t>
        </w:r>
      </w:hyperlink>
      <w:r>
        <w:rPr>
          <w:rFonts w:cstheme="minorHAnsi"/>
          <w:sz w:val="22"/>
          <w:szCs w:val="22"/>
          <w:lang w:val="en-US"/>
        </w:rPr>
        <w:t xml:space="preserve"> </w:t>
      </w:r>
    </w:p>
  </w:endnote>
  <w:endnote w:id="47">
    <w:p w14:paraId="6ADE3672" w14:textId="250F8660" w:rsidR="00F70157" w:rsidRPr="00B32C83" w:rsidRDefault="00F70157" w:rsidP="006C7213">
      <w:pPr>
        <w:pStyle w:val="EndnoteText"/>
        <w:tabs>
          <w:tab w:val="left" w:pos="567"/>
        </w:tabs>
        <w:spacing w:after="120"/>
        <w:ind w:left="567" w:hanging="567"/>
        <w:rPr>
          <w:rFonts w:cstheme="minorHAnsi"/>
          <w:sz w:val="22"/>
          <w:szCs w:val="22"/>
        </w:rPr>
      </w:pPr>
      <w:r w:rsidRPr="00B32C83">
        <w:endnoteRef/>
      </w:r>
      <w:r w:rsidRPr="00B32C83">
        <w:rPr>
          <w:rFonts w:cstheme="minorHAnsi"/>
          <w:sz w:val="22"/>
          <w:szCs w:val="22"/>
        </w:rPr>
        <w:t xml:space="preserve"> </w:t>
      </w:r>
      <w:r w:rsidRPr="00B32C83">
        <w:rPr>
          <w:rFonts w:cstheme="minorHAnsi"/>
          <w:sz w:val="22"/>
          <w:szCs w:val="22"/>
        </w:rPr>
        <w:tab/>
      </w:r>
      <w:proofErr w:type="spellStart"/>
      <w:r w:rsidRPr="00B32C83">
        <w:rPr>
          <w:rFonts w:cstheme="minorHAnsi"/>
          <w:sz w:val="22"/>
          <w:szCs w:val="22"/>
        </w:rPr>
        <w:t>Cohoon</w:t>
      </w:r>
      <w:proofErr w:type="spellEnd"/>
      <w:r w:rsidRPr="00B32C83">
        <w:rPr>
          <w:rFonts w:cstheme="minorHAnsi"/>
          <w:sz w:val="22"/>
          <w:szCs w:val="22"/>
        </w:rPr>
        <w:t xml:space="preserve"> KP, Mack MJ, </w:t>
      </w:r>
      <w:proofErr w:type="gramStart"/>
      <w:r w:rsidRPr="00B32C83">
        <w:rPr>
          <w:rFonts w:cstheme="minorHAnsi"/>
          <w:sz w:val="22"/>
          <w:szCs w:val="22"/>
        </w:rPr>
        <w:t>Holmes</w:t>
      </w:r>
      <w:proofErr w:type="gramEnd"/>
      <w:r w:rsidRPr="00B32C83">
        <w:rPr>
          <w:rFonts w:cstheme="minorHAnsi"/>
          <w:sz w:val="22"/>
          <w:szCs w:val="22"/>
        </w:rPr>
        <w:t xml:space="preserve"> DR. Public reporting: A new threat to high</w:t>
      </w:r>
      <w:r>
        <w:rPr>
          <w:rFonts w:cstheme="minorHAnsi"/>
          <w:sz w:val="22"/>
          <w:szCs w:val="22"/>
        </w:rPr>
        <w:t>-</w:t>
      </w:r>
      <w:r w:rsidRPr="00B32C83">
        <w:rPr>
          <w:rFonts w:cstheme="minorHAnsi"/>
          <w:sz w:val="22"/>
          <w:szCs w:val="22"/>
        </w:rPr>
        <w:t>risk patients and medical innovation. Catheterization Cardiovascular Interventions 2016; 89(2):335-337.</w:t>
      </w:r>
    </w:p>
  </w:endnote>
  <w:endnote w:id="48">
    <w:p w14:paraId="69DB97AA" w14:textId="64F490BD" w:rsidR="00F70157" w:rsidRPr="006C7213" w:rsidRDefault="00F70157" w:rsidP="006C7213">
      <w:pPr>
        <w:pStyle w:val="EndnoteText"/>
        <w:tabs>
          <w:tab w:val="left" w:pos="567"/>
        </w:tabs>
        <w:spacing w:after="120"/>
        <w:ind w:left="567" w:hanging="567"/>
        <w:rPr>
          <w:rFonts w:cstheme="minorHAnsi"/>
          <w:sz w:val="22"/>
          <w:szCs w:val="22"/>
          <w:lang w:val="en-US"/>
        </w:rPr>
      </w:pPr>
      <w:r w:rsidRPr="00B32C83">
        <w:endnoteRef/>
      </w:r>
      <w:r w:rsidRPr="00B32C83">
        <w:rPr>
          <w:rFonts w:cstheme="minorHAnsi"/>
          <w:sz w:val="22"/>
          <w:szCs w:val="22"/>
        </w:rPr>
        <w:t xml:space="preserve"> </w:t>
      </w:r>
      <w:r w:rsidRPr="00B32C83">
        <w:rPr>
          <w:rFonts w:cstheme="minorHAnsi"/>
          <w:sz w:val="22"/>
          <w:szCs w:val="22"/>
        </w:rPr>
        <w:tab/>
      </w:r>
      <w:r>
        <w:rPr>
          <w:rFonts w:cstheme="minorHAnsi"/>
          <w:sz w:val="22"/>
          <w:szCs w:val="22"/>
        </w:rPr>
        <w:t>Ibid.</w:t>
      </w:r>
    </w:p>
  </w:endnote>
  <w:endnote w:id="49">
    <w:p w14:paraId="133FB075" w14:textId="3DD01132"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t xml:space="preserve">Bevan G, Hamblin R. Hitting and missing targets by ambulance services for emergency calls: effects of different systems of performance measurement within the UK. J R Stat </w:t>
      </w:r>
      <w:proofErr w:type="spellStart"/>
      <w:r w:rsidRPr="006C7213">
        <w:rPr>
          <w:rFonts w:cstheme="minorHAnsi"/>
          <w:sz w:val="22"/>
          <w:szCs w:val="22"/>
        </w:rPr>
        <w:t>Soc</w:t>
      </w:r>
      <w:proofErr w:type="spellEnd"/>
      <w:r w:rsidRPr="006C7213">
        <w:rPr>
          <w:rFonts w:cstheme="minorHAnsi"/>
          <w:sz w:val="22"/>
          <w:szCs w:val="22"/>
        </w:rPr>
        <w:t xml:space="preserve"> </w:t>
      </w:r>
      <w:proofErr w:type="spellStart"/>
      <w:r w:rsidRPr="006C7213">
        <w:rPr>
          <w:rFonts w:cstheme="minorHAnsi"/>
          <w:sz w:val="22"/>
          <w:szCs w:val="22"/>
        </w:rPr>
        <w:t>Ser</w:t>
      </w:r>
      <w:proofErr w:type="spellEnd"/>
      <w:r w:rsidRPr="006C7213">
        <w:rPr>
          <w:rFonts w:cstheme="minorHAnsi"/>
          <w:sz w:val="22"/>
          <w:szCs w:val="22"/>
        </w:rPr>
        <w:t xml:space="preserve"> A Stat </w:t>
      </w:r>
      <w:proofErr w:type="spellStart"/>
      <w:r w:rsidRPr="006C7213">
        <w:rPr>
          <w:rFonts w:cstheme="minorHAnsi"/>
          <w:sz w:val="22"/>
          <w:szCs w:val="22"/>
        </w:rPr>
        <w:t>Soc</w:t>
      </w:r>
      <w:proofErr w:type="spellEnd"/>
      <w:r>
        <w:rPr>
          <w:rFonts w:cstheme="minorHAnsi"/>
          <w:sz w:val="22"/>
          <w:szCs w:val="22"/>
        </w:rPr>
        <w:t xml:space="preserve"> 2009</w:t>
      </w:r>
      <w:proofErr w:type="gramStart"/>
      <w:r>
        <w:rPr>
          <w:rFonts w:cstheme="minorHAnsi"/>
          <w:sz w:val="22"/>
          <w:szCs w:val="22"/>
        </w:rPr>
        <w:t>;</w:t>
      </w:r>
      <w:r w:rsidRPr="006C7213">
        <w:rPr>
          <w:rFonts w:cstheme="minorHAnsi"/>
          <w:sz w:val="22"/>
          <w:szCs w:val="22"/>
        </w:rPr>
        <w:t>172</w:t>
      </w:r>
      <w:proofErr w:type="gramEnd"/>
      <w:r w:rsidRPr="006C7213">
        <w:rPr>
          <w:rFonts w:cstheme="minorHAnsi"/>
          <w:sz w:val="22"/>
          <w:szCs w:val="22"/>
        </w:rPr>
        <w:t>(1): 161–90</w:t>
      </w:r>
      <w:r>
        <w:rPr>
          <w:rFonts w:cstheme="minorHAnsi"/>
          <w:sz w:val="22"/>
          <w:szCs w:val="22"/>
        </w:rPr>
        <w:t>,</w:t>
      </w:r>
      <w:r w:rsidRPr="006C7213">
        <w:rPr>
          <w:rFonts w:cstheme="minorHAnsi"/>
          <w:sz w:val="22"/>
          <w:szCs w:val="22"/>
        </w:rPr>
        <w:t>cited in Health Quality and</w:t>
      </w:r>
      <w:r>
        <w:rPr>
          <w:rFonts w:cstheme="minorHAnsi"/>
          <w:sz w:val="22"/>
          <w:szCs w:val="22"/>
        </w:rPr>
        <w:t xml:space="preserve"> Safety Commission New Zealand.</w:t>
      </w:r>
      <w:r w:rsidRPr="006C7213">
        <w:rPr>
          <w:rFonts w:cstheme="minorHAnsi"/>
          <w:sz w:val="22"/>
          <w:szCs w:val="22"/>
        </w:rPr>
        <w:t xml:space="preserve"> </w:t>
      </w:r>
      <w:r w:rsidRPr="00B32C83">
        <w:rPr>
          <w:rFonts w:cstheme="minorHAnsi"/>
          <w:sz w:val="22"/>
          <w:szCs w:val="22"/>
        </w:rPr>
        <w:t>Position paper on the transparency of information related to health care interventions. Wellington: Health Quality &amp; Safety Commission</w:t>
      </w:r>
      <w:r>
        <w:rPr>
          <w:rFonts w:cstheme="minorHAnsi"/>
          <w:sz w:val="22"/>
          <w:szCs w:val="22"/>
        </w:rPr>
        <w:t>;</w:t>
      </w:r>
      <w:r w:rsidRPr="00B32C83">
        <w:rPr>
          <w:rFonts w:cstheme="minorHAnsi"/>
          <w:sz w:val="22"/>
          <w:szCs w:val="22"/>
        </w:rPr>
        <w:t xml:space="preserve"> 2016.</w:t>
      </w:r>
    </w:p>
  </w:endnote>
  <w:endnote w:id="50">
    <w:p w14:paraId="0D6125D7" w14:textId="3D9DCC62"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t>Totten AM, Wagner J, Tiwari A, et al. Closing the Quality Gap: Revisiting the State of the Science (Vol. 5: Public Reporting as a Quality Impro</w:t>
      </w:r>
      <w:r>
        <w:rPr>
          <w:rFonts w:cstheme="minorHAnsi"/>
          <w:sz w:val="22"/>
          <w:szCs w:val="22"/>
        </w:rPr>
        <w:t>vement Strategy). Rockville MD</w:t>
      </w:r>
      <w:r w:rsidRPr="006C7213">
        <w:rPr>
          <w:rFonts w:cstheme="minorHAnsi"/>
          <w:sz w:val="22"/>
          <w:szCs w:val="22"/>
        </w:rPr>
        <w:t>: Agency for Healthcare Research and Quality (US); 2012 Jul. (Evidence Reports/Tec</w:t>
      </w:r>
      <w:r>
        <w:rPr>
          <w:rFonts w:cstheme="minorHAnsi"/>
          <w:sz w:val="22"/>
          <w:szCs w:val="22"/>
        </w:rPr>
        <w:t>hnology Assessments, No. 208.5)</w:t>
      </w:r>
      <w:r w:rsidRPr="006C7213">
        <w:rPr>
          <w:rFonts w:cstheme="minorHAnsi"/>
          <w:sz w:val="22"/>
          <w:szCs w:val="22"/>
        </w:rPr>
        <w:t xml:space="preserve">. Available from: </w:t>
      </w:r>
      <w:hyperlink r:id="rId22" w:history="1">
        <w:r w:rsidRPr="00F30C51">
          <w:rPr>
            <w:rStyle w:val="Hyperlink"/>
            <w:rFonts w:asciiTheme="minorHAnsi" w:hAnsiTheme="minorHAnsi" w:cstheme="minorHAnsi"/>
            <w:szCs w:val="22"/>
          </w:rPr>
          <w:t>https://www.ncbi.nlm.nih.gov/books/NBK99885</w:t>
        </w:r>
      </w:hyperlink>
      <w:r>
        <w:rPr>
          <w:rFonts w:cstheme="minorHAnsi"/>
          <w:sz w:val="22"/>
          <w:szCs w:val="22"/>
        </w:rPr>
        <w:t xml:space="preserve"> </w:t>
      </w:r>
    </w:p>
  </w:endnote>
  <w:endnote w:id="51">
    <w:p w14:paraId="62F55875" w14:textId="1C27C297"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6C7213">
        <w:rPr>
          <w:rFonts w:cstheme="minorHAnsi"/>
          <w:sz w:val="22"/>
          <w:szCs w:val="22"/>
          <w:lang w:val="en-US"/>
        </w:rPr>
        <w:t>Ibid</w:t>
      </w:r>
      <w:r>
        <w:rPr>
          <w:rFonts w:cstheme="minorHAnsi"/>
          <w:sz w:val="22"/>
          <w:szCs w:val="22"/>
          <w:lang w:val="en-US"/>
        </w:rPr>
        <w:t>.</w:t>
      </w:r>
      <w:proofErr w:type="gramEnd"/>
      <w:r w:rsidRPr="006C7213">
        <w:rPr>
          <w:rFonts w:cstheme="minorHAnsi"/>
          <w:sz w:val="22"/>
          <w:szCs w:val="22"/>
          <w:lang w:val="en-US"/>
        </w:rPr>
        <w:t xml:space="preserve"> </w:t>
      </w:r>
    </w:p>
  </w:endnote>
  <w:endnote w:id="52">
    <w:p w14:paraId="794F78E9" w14:textId="4A34F3E2"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t>Health Quality an</w:t>
      </w:r>
      <w:r>
        <w:rPr>
          <w:rFonts w:cstheme="minorHAnsi"/>
          <w:sz w:val="22"/>
          <w:szCs w:val="22"/>
        </w:rPr>
        <w:t>d Safety Commission New Zealand.</w:t>
      </w:r>
      <w:r w:rsidRPr="006C7213">
        <w:rPr>
          <w:rFonts w:cstheme="minorHAnsi"/>
          <w:sz w:val="22"/>
          <w:szCs w:val="22"/>
        </w:rPr>
        <w:t xml:space="preserve"> Position paper on the transparency of information related to health care interventions</w:t>
      </w:r>
      <w:r>
        <w:rPr>
          <w:rFonts w:cstheme="minorHAnsi"/>
          <w:sz w:val="22"/>
          <w:szCs w:val="22"/>
        </w:rPr>
        <w:t xml:space="preserve"> </w:t>
      </w:r>
      <w:r w:rsidRPr="00B32C83">
        <w:rPr>
          <w:rFonts w:cstheme="minorHAnsi"/>
          <w:sz w:val="22"/>
          <w:szCs w:val="22"/>
        </w:rPr>
        <w:t>Wellington: Health Quality &amp; Safety Commission</w:t>
      </w:r>
      <w:r>
        <w:rPr>
          <w:rFonts w:cstheme="minorHAnsi"/>
          <w:sz w:val="22"/>
          <w:szCs w:val="22"/>
        </w:rPr>
        <w:t>;</w:t>
      </w:r>
      <w:r w:rsidRPr="00B32C83">
        <w:rPr>
          <w:rFonts w:cstheme="minorHAnsi"/>
          <w:sz w:val="22"/>
          <w:szCs w:val="22"/>
        </w:rPr>
        <w:t xml:space="preserve"> 2016.</w:t>
      </w:r>
    </w:p>
  </w:endnote>
  <w:endnote w:id="53">
    <w:p w14:paraId="722776DD" w14:textId="3101652E" w:rsidR="00F70157" w:rsidRPr="006C7213" w:rsidRDefault="00F70157" w:rsidP="006C7213">
      <w:pPr>
        <w:pStyle w:val="EndnoteText"/>
        <w:tabs>
          <w:tab w:val="left" w:pos="567"/>
        </w:tabs>
        <w:spacing w:after="120"/>
        <w:ind w:left="567" w:hanging="567"/>
        <w:rPr>
          <w:rFonts w:cstheme="minorHAnsi"/>
          <w:sz w:val="22"/>
          <w:szCs w:val="22"/>
          <w:lang w:val="en-US"/>
        </w:rPr>
      </w:pPr>
      <w:r w:rsidRPr="00B32C83">
        <w:rPr>
          <w:rStyle w:val="EndnoteReference"/>
          <w:rFonts w:cstheme="minorHAnsi"/>
          <w:sz w:val="22"/>
          <w:szCs w:val="22"/>
          <w:vertAlign w:val="baseline"/>
        </w:rPr>
        <w:endnoteRef/>
      </w:r>
      <w:r w:rsidRPr="00B32C83">
        <w:rPr>
          <w:rFonts w:cstheme="minorHAnsi"/>
          <w:sz w:val="22"/>
          <w:szCs w:val="22"/>
        </w:rPr>
        <w:t xml:space="preserve"> </w:t>
      </w:r>
      <w:r w:rsidRPr="00B32C83">
        <w:rPr>
          <w:rFonts w:cstheme="minorHAnsi"/>
          <w:sz w:val="22"/>
          <w:szCs w:val="22"/>
        </w:rPr>
        <w:tab/>
      </w:r>
      <w:proofErr w:type="spellStart"/>
      <w:r w:rsidRPr="00B32C83">
        <w:rPr>
          <w:rFonts w:cstheme="minorHAnsi"/>
          <w:sz w:val="22"/>
          <w:szCs w:val="22"/>
          <w:lang w:val="en-US"/>
        </w:rPr>
        <w:t>Teleki</w:t>
      </w:r>
      <w:proofErr w:type="spellEnd"/>
      <w:r w:rsidRPr="00B32C83">
        <w:rPr>
          <w:rFonts w:cstheme="minorHAnsi"/>
          <w:sz w:val="22"/>
          <w:szCs w:val="22"/>
          <w:lang w:val="en-US"/>
        </w:rPr>
        <w:t xml:space="preserve"> S, Shannon M. In California, quality reporting at the state level is at a crossroads after hospital group pulls out. Health Affairs (Millwood) 2012 Mar</w:t>
      </w:r>
      <w:proofErr w:type="gramStart"/>
      <w:r w:rsidRPr="00B32C83">
        <w:rPr>
          <w:rFonts w:cstheme="minorHAnsi"/>
          <w:sz w:val="22"/>
          <w:szCs w:val="22"/>
          <w:lang w:val="en-US"/>
        </w:rPr>
        <w:t>;31</w:t>
      </w:r>
      <w:proofErr w:type="gramEnd"/>
      <w:r w:rsidRPr="00B32C83">
        <w:rPr>
          <w:rFonts w:cstheme="minorHAnsi"/>
          <w:sz w:val="22"/>
          <w:szCs w:val="22"/>
          <w:lang w:val="en-US"/>
        </w:rPr>
        <w:t>(3):642-6.</w:t>
      </w:r>
    </w:p>
  </w:endnote>
  <w:endnote w:id="54">
    <w:p w14:paraId="6F07EC3A" w14:textId="31CA7E71"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r w:rsidRPr="00147BB4">
        <w:rPr>
          <w:rFonts w:cstheme="minorHAnsi"/>
          <w:sz w:val="22"/>
          <w:szCs w:val="22"/>
        </w:rPr>
        <w:t>Health Quality and Safety Commission New Zealand. Position paper on the transparency of information related to health care interventions Wellington: Health Quality &amp; Safety Commission; 2016.</w:t>
      </w:r>
    </w:p>
  </w:endnote>
  <w:endnote w:id="55">
    <w:p w14:paraId="5316D16D" w14:textId="5AE07F97" w:rsidR="00F70157"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6C7213">
        <w:rPr>
          <w:rFonts w:cstheme="minorHAnsi"/>
          <w:sz w:val="22"/>
          <w:szCs w:val="22"/>
          <w:lang w:val="en-US"/>
        </w:rPr>
        <w:t>Ibid</w:t>
      </w:r>
      <w:r>
        <w:rPr>
          <w:rFonts w:cstheme="minorHAnsi"/>
          <w:sz w:val="22"/>
          <w:szCs w:val="22"/>
          <w:lang w:val="en-US"/>
        </w:rPr>
        <w:t>.</w:t>
      </w:r>
      <w:proofErr w:type="gramEnd"/>
      <w:r w:rsidRPr="006C7213">
        <w:rPr>
          <w:rFonts w:cstheme="minorHAnsi"/>
          <w:sz w:val="22"/>
          <w:szCs w:val="22"/>
          <w:lang w:val="en-US"/>
        </w:rPr>
        <w:t xml:space="preserve"> </w:t>
      </w:r>
    </w:p>
    <w:p w14:paraId="638C3C3F" w14:textId="77777777" w:rsidR="00F70157" w:rsidRDefault="00F70157" w:rsidP="006C7213">
      <w:pPr>
        <w:pStyle w:val="EndnoteText"/>
        <w:tabs>
          <w:tab w:val="left" w:pos="567"/>
        </w:tabs>
        <w:spacing w:after="120"/>
        <w:ind w:left="567" w:hanging="567"/>
        <w:rPr>
          <w:rFonts w:cstheme="minorHAnsi"/>
          <w:sz w:val="22"/>
          <w:szCs w:val="22"/>
          <w:lang w:val="en-US"/>
        </w:rPr>
      </w:pPr>
    </w:p>
    <w:p w14:paraId="15F03081" w14:textId="77777777" w:rsidR="00F70157" w:rsidRPr="006C7213" w:rsidRDefault="00F70157" w:rsidP="006C7213">
      <w:pPr>
        <w:pStyle w:val="EndnoteText"/>
        <w:tabs>
          <w:tab w:val="left" w:pos="567"/>
        </w:tabs>
        <w:spacing w:after="120"/>
        <w:ind w:left="567" w:hanging="567"/>
        <w:rPr>
          <w:rFonts w:cstheme="minorHAnsi"/>
          <w:sz w:val="22"/>
          <w:szCs w:val="22"/>
          <w:lang w:val="en-US"/>
        </w:rPr>
      </w:pPr>
    </w:p>
  </w:endnote>
  <w:endnote w:id="56">
    <w:p w14:paraId="78DE7EDF" w14:textId="2700AB3A"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sidRPr="00B32C83">
        <w:rPr>
          <w:rFonts w:cstheme="minorHAnsi"/>
          <w:sz w:val="22"/>
          <w:szCs w:val="22"/>
        </w:rPr>
        <w:t>Kumpunen</w:t>
      </w:r>
      <w:proofErr w:type="spellEnd"/>
      <w:r w:rsidRPr="00B32C83">
        <w:rPr>
          <w:rFonts w:cstheme="minorHAnsi"/>
          <w:sz w:val="22"/>
          <w:szCs w:val="22"/>
        </w:rPr>
        <w:t xml:space="preserve"> S, Trigg, L, Rodrigues R. Public reporting in health and long-term care to facilitate provider choice, European Observatory on Health Systems and Policies. </w:t>
      </w:r>
      <w:proofErr w:type="gramStart"/>
      <w:r w:rsidRPr="00B32C83">
        <w:rPr>
          <w:rFonts w:cstheme="minorHAnsi"/>
          <w:sz w:val="22"/>
          <w:szCs w:val="22"/>
        </w:rPr>
        <w:t>World Health Organisation.</w:t>
      </w:r>
      <w:proofErr w:type="gramEnd"/>
      <w:r w:rsidRPr="00B32C83">
        <w:rPr>
          <w:rFonts w:cstheme="minorHAnsi"/>
          <w:sz w:val="22"/>
          <w:szCs w:val="22"/>
        </w:rPr>
        <w:t xml:space="preserve"> 2014. Available from: </w:t>
      </w:r>
      <w:hyperlink r:id="rId23" w:history="1">
        <w:r w:rsidRPr="00F30C51">
          <w:rPr>
            <w:rStyle w:val="Hyperlink"/>
            <w:rFonts w:asciiTheme="minorHAnsi" w:hAnsiTheme="minorHAnsi" w:cstheme="minorHAnsi"/>
            <w:szCs w:val="22"/>
          </w:rPr>
          <w:t>http://www.euro.who.int/__data/assets/pdf_file/0020/263540/Public-reporting-in-health-and-long-term-care-to-facilitate-provider-choice-Eng.pdf</w:t>
        </w:r>
      </w:hyperlink>
      <w:r w:rsidRPr="00B32C83">
        <w:rPr>
          <w:rFonts w:cstheme="minorHAnsi"/>
          <w:sz w:val="22"/>
          <w:szCs w:val="22"/>
        </w:rPr>
        <w:t>?</w:t>
      </w:r>
      <w:r>
        <w:rPr>
          <w:rFonts w:cstheme="minorHAnsi"/>
          <w:sz w:val="22"/>
          <w:szCs w:val="22"/>
        </w:rPr>
        <w:t xml:space="preserve"> </w:t>
      </w:r>
    </w:p>
  </w:endnote>
  <w:endnote w:id="57">
    <w:p w14:paraId="0AB63783" w14:textId="23794B4B"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6C7213">
        <w:rPr>
          <w:rFonts w:cstheme="minorHAnsi"/>
          <w:sz w:val="22"/>
          <w:szCs w:val="22"/>
          <w:lang w:val="en-US"/>
        </w:rPr>
        <w:t>Ibid</w:t>
      </w:r>
      <w:r>
        <w:rPr>
          <w:rFonts w:cstheme="minorHAnsi"/>
          <w:sz w:val="22"/>
          <w:szCs w:val="22"/>
          <w:lang w:val="en-US"/>
        </w:rPr>
        <w:t>.</w:t>
      </w:r>
      <w:proofErr w:type="gramEnd"/>
      <w:r w:rsidRPr="006C7213">
        <w:rPr>
          <w:rFonts w:cstheme="minorHAnsi"/>
          <w:sz w:val="22"/>
          <w:szCs w:val="22"/>
          <w:lang w:val="en-US"/>
        </w:rPr>
        <w:t xml:space="preserve"> </w:t>
      </w:r>
    </w:p>
  </w:endnote>
  <w:endnote w:id="58">
    <w:p w14:paraId="475298CC" w14:textId="35D798B9"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r w:rsidRPr="00147BB4">
        <w:rPr>
          <w:rFonts w:cstheme="minorHAnsi"/>
          <w:sz w:val="22"/>
          <w:szCs w:val="22"/>
        </w:rPr>
        <w:t>Health Quality and Safety Commission New Zealand. Position paper on the transparency of information related to health care interventions Wellington: Health Quality &amp; Safety Commission; 2016.</w:t>
      </w:r>
    </w:p>
  </w:endnote>
  <w:endnote w:id="59">
    <w:p w14:paraId="46BCB46F" w14:textId="22C91DB3" w:rsidR="00F70157" w:rsidRPr="006C7213" w:rsidRDefault="00F70157" w:rsidP="00B32C8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sidRPr="00B32C83">
        <w:rPr>
          <w:rFonts w:cstheme="minorHAnsi"/>
          <w:sz w:val="22"/>
          <w:szCs w:val="22"/>
        </w:rPr>
        <w:t>Canaw</w:t>
      </w:r>
      <w:r>
        <w:rPr>
          <w:rFonts w:cstheme="minorHAnsi"/>
          <w:sz w:val="22"/>
          <w:szCs w:val="22"/>
        </w:rPr>
        <w:t>ay</w:t>
      </w:r>
      <w:proofErr w:type="spellEnd"/>
      <w:r>
        <w:rPr>
          <w:rFonts w:cstheme="minorHAnsi"/>
          <w:sz w:val="22"/>
          <w:szCs w:val="22"/>
        </w:rPr>
        <w:t xml:space="preserve"> R,</w:t>
      </w:r>
      <w:r w:rsidRPr="00B32C83">
        <w:rPr>
          <w:rFonts w:cstheme="minorHAnsi"/>
          <w:sz w:val="22"/>
          <w:szCs w:val="22"/>
        </w:rPr>
        <w:t xml:space="preserve"> </w:t>
      </w:r>
      <w:proofErr w:type="spellStart"/>
      <w:r w:rsidRPr="00B32C83">
        <w:rPr>
          <w:rFonts w:cstheme="minorHAnsi"/>
          <w:sz w:val="22"/>
          <w:szCs w:val="22"/>
        </w:rPr>
        <w:t>Bismark</w:t>
      </w:r>
      <w:proofErr w:type="spellEnd"/>
      <w:r>
        <w:rPr>
          <w:rFonts w:cstheme="minorHAnsi"/>
          <w:sz w:val="22"/>
          <w:szCs w:val="22"/>
        </w:rPr>
        <w:t xml:space="preserve"> M</w:t>
      </w:r>
      <w:r w:rsidRPr="00B32C83">
        <w:rPr>
          <w:rFonts w:cstheme="minorHAnsi"/>
          <w:sz w:val="22"/>
          <w:szCs w:val="22"/>
        </w:rPr>
        <w:t xml:space="preserve">, </w:t>
      </w:r>
      <w:proofErr w:type="spellStart"/>
      <w:r w:rsidRPr="00B32C83">
        <w:rPr>
          <w:rFonts w:cstheme="minorHAnsi"/>
          <w:sz w:val="22"/>
          <w:szCs w:val="22"/>
        </w:rPr>
        <w:t>Dunt</w:t>
      </w:r>
      <w:proofErr w:type="spellEnd"/>
      <w:r>
        <w:rPr>
          <w:rFonts w:cstheme="minorHAnsi"/>
          <w:sz w:val="22"/>
          <w:szCs w:val="22"/>
        </w:rPr>
        <w:t xml:space="preserve"> D</w:t>
      </w:r>
      <w:r w:rsidRPr="00B32C83">
        <w:rPr>
          <w:rFonts w:cstheme="minorHAnsi"/>
          <w:sz w:val="22"/>
          <w:szCs w:val="22"/>
        </w:rPr>
        <w:t>, Prang</w:t>
      </w:r>
      <w:r>
        <w:rPr>
          <w:rFonts w:cstheme="minorHAnsi"/>
          <w:sz w:val="22"/>
          <w:szCs w:val="22"/>
        </w:rPr>
        <w:t xml:space="preserve"> K</w:t>
      </w:r>
      <w:r w:rsidRPr="00B32C83">
        <w:rPr>
          <w:rFonts w:cstheme="minorHAnsi"/>
          <w:sz w:val="22"/>
          <w:szCs w:val="22"/>
        </w:rPr>
        <w:t xml:space="preserve">, </w:t>
      </w:r>
      <w:proofErr w:type="spellStart"/>
      <w:r w:rsidRPr="00B32C83">
        <w:rPr>
          <w:rFonts w:cstheme="minorHAnsi"/>
          <w:sz w:val="22"/>
          <w:szCs w:val="22"/>
        </w:rPr>
        <w:t>Kelaher</w:t>
      </w:r>
      <w:proofErr w:type="spellEnd"/>
      <w:r>
        <w:rPr>
          <w:rFonts w:cstheme="minorHAnsi"/>
          <w:sz w:val="22"/>
          <w:szCs w:val="22"/>
        </w:rPr>
        <w:t xml:space="preserve"> M. ‘</w:t>
      </w:r>
      <w:r w:rsidRPr="00B32C83">
        <w:rPr>
          <w:rFonts w:cstheme="minorHAnsi"/>
          <w:sz w:val="22"/>
          <w:szCs w:val="22"/>
        </w:rPr>
        <w:t>What is meant by public?</w:t>
      </w:r>
      <w:proofErr w:type="gramStart"/>
      <w:r>
        <w:rPr>
          <w:rFonts w:cstheme="minorHAnsi"/>
          <w:sz w:val="22"/>
          <w:szCs w:val="22"/>
        </w:rPr>
        <w:t>’</w:t>
      </w:r>
      <w:r w:rsidRPr="00B32C83">
        <w:rPr>
          <w:rFonts w:cstheme="minorHAnsi"/>
          <w:sz w:val="22"/>
          <w:szCs w:val="22"/>
        </w:rPr>
        <w:t>:</w:t>
      </w:r>
      <w:proofErr w:type="gramEnd"/>
      <w:r w:rsidRPr="00B32C83">
        <w:rPr>
          <w:rFonts w:cstheme="minorHAnsi"/>
          <w:sz w:val="22"/>
          <w:szCs w:val="22"/>
        </w:rPr>
        <w:t xml:space="preserve"> Stakeholder views on strengthening impacts of public reporting of hospital performance data,</w:t>
      </w:r>
      <w:r>
        <w:rPr>
          <w:rFonts w:cstheme="minorHAnsi"/>
          <w:sz w:val="22"/>
          <w:szCs w:val="22"/>
        </w:rPr>
        <w:t xml:space="preserve"> Social Science &amp; Medicine 2018; 202:143-150.</w:t>
      </w:r>
    </w:p>
  </w:endnote>
  <w:endnote w:id="60">
    <w:p w14:paraId="5062D67F" w14:textId="09B719CC" w:rsidR="00F70157" w:rsidRPr="006C7213" w:rsidRDefault="00F70157" w:rsidP="006C7213">
      <w:pPr>
        <w:pStyle w:val="EndnoteText"/>
        <w:tabs>
          <w:tab w:val="left" w:pos="567"/>
        </w:tabs>
        <w:spacing w:after="120"/>
        <w:ind w:left="567" w:hanging="567"/>
        <w:rPr>
          <w:rFonts w:cstheme="minorHAnsi"/>
          <w:sz w:val="22"/>
          <w:szCs w:val="22"/>
          <w:lang w:val="en-US"/>
        </w:rPr>
      </w:pPr>
      <w:r w:rsidRPr="00085612">
        <w:rPr>
          <w:rStyle w:val="EndnoteReference"/>
          <w:rFonts w:cstheme="minorHAnsi"/>
          <w:sz w:val="22"/>
          <w:szCs w:val="22"/>
          <w:vertAlign w:val="baseline"/>
        </w:rPr>
        <w:endnoteRef/>
      </w:r>
      <w:r w:rsidRPr="00085612">
        <w:rPr>
          <w:rFonts w:cstheme="minorHAnsi"/>
          <w:sz w:val="22"/>
          <w:szCs w:val="22"/>
        </w:rPr>
        <w:t xml:space="preserve"> </w:t>
      </w:r>
      <w:r w:rsidRPr="00085612">
        <w:rPr>
          <w:rFonts w:cstheme="minorHAnsi"/>
          <w:sz w:val="22"/>
          <w:szCs w:val="22"/>
        </w:rPr>
        <w:tab/>
      </w:r>
      <w:proofErr w:type="spellStart"/>
      <w:proofErr w:type="gramStart"/>
      <w:r w:rsidRPr="00085612">
        <w:rPr>
          <w:rFonts w:cstheme="minorHAnsi"/>
          <w:sz w:val="22"/>
          <w:szCs w:val="22"/>
        </w:rPr>
        <w:t>Chassin</w:t>
      </w:r>
      <w:proofErr w:type="spellEnd"/>
      <w:r w:rsidRPr="00085612">
        <w:rPr>
          <w:rFonts w:cstheme="minorHAnsi"/>
          <w:sz w:val="22"/>
          <w:szCs w:val="22"/>
        </w:rPr>
        <w:t xml:space="preserve"> MR, Loeb, JM, Schmaltz SP, </w:t>
      </w:r>
      <w:proofErr w:type="spellStart"/>
      <w:r w:rsidRPr="00085612">
        <w:rPr>
          <w:rFonts w:cstheme="minorHAnsi"/>
          <w:sz w:val="22"/>
          <w:szCs w:val="22"/>
        </w:rPr>
        <w:t>Wachter</w:t>
      </w:r>
      <w:proofErr w:type="spellEnd"/>
      <w:r w:rsidRPr="00085612">
        <w:rPr>
          <w:rFonts w:cstheme="minorHAnsi"/>
          <w:sz w:val="22"/>
          <w:szCs w:val="22"/>
        </w:rPr>
        <w:t xml:space="preserve"> RM. Accountability measures </w:t>
      </w:r>
      <w:r>
        <w:rPr>
          <w:rFonts w:cstheme="minorHAnsi"/>
          <w:sz w:val="22"/>
          <w:szCs w:val="22"/>
        </w:rPr>
        <w:t>–</w:t>
      </w:r>
      <w:r w:rsidRPr="00085612">
        <w:rPr>
          <w:rFonts w:cstheme="minorHAnsi"/>
          <w:sz w:val="22"/>
          <w:szCs w:val="22"/>
        </w:rPr>
        <w:t xml:space="preserve"> using measurement to promote quality </w:t>
      </w:r>
      <w:r>
        <w:rPr>
          <w:rFonts w:cstheme="minorHAnsi"/>
          <w:sz w:val="22"/>
          <w:szCs w:val="22"/>
        </w:rPr>
        <w:t>improvement.</w:t>
      </w:r>
      <w:proofErr w:type="gramEnd"/>
      <w:r w:rsidRPr="00B32C83">
        <w:rPr>
          <w:rFonts w:cstheme="minorHAnsi"/>
          <w:sz w:val="22"/>
          <w:szCs w:val="22"/>
        </w:rPr>
        <w:t xml:space="preserve"> </w:t>
      </w:r>
      <w:proofErr w:type="spellStart"/>
      <w:r>
        <w:rPr>
          <w:rFonts w:cstheme="minorHAnsi"/>
          <w:sz w:val="22"/>
          <w:szCs w:val="22"/>
        </w:rPr>
        <w:t>E</w:t>
      </w:r>
      <w:r w:rsidRPr="00B32C83">
        <w:rPr>
          <w:rFonts w:cstheme="minorHAnsi"/>
          <w:sz w:val="22"/>
          <w:szCs w:val="22"/>
        </w:rPr>
        <w:t>ngl</w:t>
      </w:r>
      <w:proofErr w:type="spellEnd"/>
      <w:r w:rsidRPr="00B32C83">
        <w:rPr>
          <w:rFonts w:cstheme="minorHAnsi"/>
          <w:sz w:val="22"/>
          <w:szCs w:val="22"/>
        </w:rPr>
        <w:t xml:space="preserve"> </w:t>
      </w:r>
      <w:r>
        <w:rPr>
          <w:rFonts w:cstheme="minorHAnsi"/>
          <w:sz w:val="22"/>
          <w:szCs w:val="22"/>
        </w:rPr>
        <w:t>J M</w:t>
      </w:r>
      <w:r w:rsidRPr="00B32C83">
        <w:rPr>
          <w:rFonts w:cstheme="minorHAnsi"/>
          <w:sz w:val="22"/>
          <w:szCs w:val="22"/>
        </w:rPr>
        <w:t>ed 2010; 363:683-688</w:t>
      </w:r>
      <w:r>
        <w:rPr>
          <w:rFonts w:cstheme="minorHAnsi"/>
          <w:sz w:val="22"/>
          <w:szCs w:val="22"/>
        </w:rPr>
        <w:t>.</w:t>
      </w:r>
    </w:p>
  </w:endnote>
  <w:endnote w:id="61">
    <w:p w14:paraId="7ACBAD9C" w14:textId="11452246"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r w:rsidRPr="00F107A2">
        <w:rPr>
          <w:rFonts w:cstheme="minorHAnsi"/>
          <w:sz w:val="22"/>
          <w:szCs w:val="22"/>
          <w:lang w:val="en-US"/>
        </w:rPr>
        <w:t xml:space="preserve">Faber M, Bosch M, </w:t>
      </w:r>
      <w:proofErr w:type="spellStart"/>
      <w:r w:rsidRPr="00F107A2">
        <w:rPr>
          <w:rFonts w:cstheme="minorHAnsi"/>
          <w:sz w:val="22"/>
          <w:szCs w:val="22"/>
          <w:lang w:val="en-US"/>
        </w:rPr>
        <w:t>Wollersheim</w:t>
      </w:r>
      <w:proofErr w:type="spellEnd"/>
      <w:r w:rsidRPr="00F107A2">
        <w:rPr>
          <w:rFonts w:cstheme="minorHAnsi"/>
          <w:sz w:val="22"/>
          <w:szCs w:val="22"/>
          <w:lang w:val="en-US"/>
        </w:rPr>
        <w:t xml:space="preserve"> H, Leatherman S, </w:t>
      </w:r>
      <w:proofErr w:type="spellStart"/>
      <w:r w:rsidRPr="00F107A2">
        <w:rPr>
          <w:rFonts w:cstheme="minorHAnsi"/>
          <w:sz w:val="22"/>
          <w:szCs w:val="22"/>
          <w:lang w:val="en-US"/>
        </w:rPr>
        <w:t>Grol</w:t>
      </w:r>
      <w:proofErr w:type="spellEnd"/>
      <w:r w:rsidRPr="00F107A2">
        <w:rPr>
          <w:rFonts w:cstheme="minorHAnsi"/>
          <w:sz w:val="22"/>
          <w:szCs w:val="22"/>
          <w:lang w:val="en-US"/>
        </w:rPr>
        <w:t xml:space="preserve"> R, Public Reporting in Health Care: How Do Consumers Use Quality-of-Care Information?: A Systematic Review</w:t>
      </w:r>
      <w:r>
        <w:rPr>
          <w:rFonts w:cstheme="minorHAnsi"/>
          <w:sz w:val="22"/>
          <w:szCs w:val="22"/>
          <w:lang w:val="en-US"/>
        </w:rPr>
        <w:t>. Medical Care 2009; 47(1):1-8.</w:t>
      </w:r>
    </w:p>
  </w:endnote>
  <w:endnote w:id="62">
    <w:p w14:paraId="72D033F4" w14:textId="6A40927D"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sidRPr="006C7213">
        <w:rPr>
          <w:rFonts w:cstheme="minorHAnsi"/>
          <w:sz w:val="22"/>
          <w:szCs w:val="22"/>
          <w:lang w:val="en-US"/>
        </w:rPr>
        <w:t>Lagu</w:t>
      </w:r>
      <w:proofErr w:type="spellEnd"/>
      <w:r w:rsidRPr="006C7213">
        <w:rPr>
          <w:rFonts w:cstheme="minorHAnsi"/>
          <w:sz w:val="22"/>
          <w:szCs w:val="22"/>
          <w:lang w:val="en-US"/>
        </w:rPr>
        <w:t xml:space="preserve"> </w:t>
      </w:r>
      <w:r>
        <w:rPr>
          <w:rFonts w:cstheme="minorHAnsi"/>
          <w:sz w:val="22"/>
          <w:szCs w:val="22"/>
          <w:lang w:val="en-US"/>
        </w:rPr>
        <w:t xml:space="preserve">T, Greaves F. </w:t>
      </w:r>
      <w:proofErr w:type="gramStart"/>
      <w:r w:rsidRPr="00A14F17">
        <w:rPr>
          <w:rFonts w:cstheme="minorHAnsi"/>
          <w:sz w:val="22"/>
          <w:szCs w:val="22"/>
          <w:lang w:val="en-US"/>
        </w:rPr>
        <w:t>From Public to Social Reporting of Hospital Quality</w:t>
      </w:r>
      <w:r>
        <w:rPr>
          <w:rFonts w:cstheme="minorHAnsi"/>
          <w:sz w:val="22"/>
          <w:szCs w:val="22"/>
          <w:lang w:val="en-US"/>
        </w:rPr>
        <w:t>.</w:t>
      </w:r>
      <w:proofErr w:type="gramEnd"/>
      <w:r w:rsidRPr="006C7213">
        <w:rPr>
          <w:rFonts w:cstheme="minorHAnsi"/>
          <w:sz w:val="22"/>
          <w:szCs w:val="22"/>
          <w:lang w:val="en-US"/>
        </w:rPr>
        <w:t xml:space="preserve"> J Gen Intern</w:t>
      </w:r>
      <w:r>
        <w:rPr>
          <w:rFonts w:cstheme="minorHAnsi"/>
          <w:sz w:val="22"/>
          <w:szCs w:val="22"/>
          <w:lang w:val="en-US"/>
        </w:rPr>
        <w:t xml:space="preserve"> Med 2015;</w:t>
      </w:r>
      <w:r w:rsidRPr="006C7213">
        <w:rPr>
          <w:rFonts w:cstheme="minorHAnsi"/>
          <w:sz w:val="22"/>
          <w:szCs w:val="22"/>
          <w:lang w:val="en-US"/>
        </w:rPr>
        <w:t xml:space="preserve"> 30(10):1397–9</w:t>
      </w:r>
      <w:r>
        <w:rPr>
          <w:rFonts w:cstheme="minorHAnsi"/>
          <w:sz w:val="22"/>
          <w:szCs w:val="22"/>
          <w:lang w:val="en-US"/>
        </w:rPr>
        <w:t xml:space="preserve">. </w:t>
      </w:r>
    </w:p>
  </w:endnote>
  <w:endnote w:id="63">
    <w:p w14:paraId="38660244" w14:textId="09FEFA16"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t>Ibid</w:t>
      </w:r>
      <w:r>
        <w:rPr>
          <w:rFonts w:cstheme="minorHAnsi"/>
          <w:sz w:val="22"/>
          <w:szCs w:val="22"/>
        </w:rPr>
        <w:t>.</w:t>
      </w:r>
    </w:p>
  </w:endnote>
  <w:endnote w:id="64">
    <w:p w14:paraId="3C71B076" w14:textId="29B18C38"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r w:rsidRPr="006C7213">
        <w:rPr>
          <w:rFonts w:cstheme="minorHAnsi"/>
          <w:sz w:val="22"/>
          <w:szCs w:val="22"/>
          <w:lang w:val="en-US"/>
        </w:rPr>
        <w:t>Ibid</w:t>
      </w:r>
      <w:r>
        <w:rPr>
          <w:rFonts w:cstheme="minorHAnsi"/>
          <w:sz w:val="22"/>
          <w:szCs w:val="22"/>
          <w:lang w:val="en-US"/>
        </w:rPr>
        <w:t>.</w:t>
      </w:r>
    </w:p>
  </w:endnote>
  <w:endnote w:id="65">
    <w:p w14:paraId="0076B2CA" w14:textId="4C4E1CDF" w:rsidR="00F70157" w:rsidRPr="006C7213" w:rsidRDefault="00F70157" w:rsidP="00A14F17">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Pr>
          <w:rFonts w:cstheme="minorHAnsi"/>
          <w:sz w:val="22"/>
          <w:szCs w:val="22"/>
        </w:rPr>
        <w:t>Australian Commission of Safety and Quality in Health Care.</w:t>
      </w:r>
      <w:proofErr w:type="gramEnd"/>
      <w:r>
        <w:rPr>
          <w:rFonts w:cstheme="minorHAnsi"/>
          <w:sz w:val="22"/>
          <w:szCs w:val="22"/>
        </w:rPr>
        <w:t xml:space="preserve"> </w:t>
      </w:r>
      <w:proofErr w:type="gramStart"/>
      <w:r>
        <w:rPr>
          <w:rFonts w:cstheme="minorHAnsi"/>
          <w:sz w:val="22"/>
          <w:szCs w:val="22"/>
        </w:rPr>
        <w:t xml:space="preserve">National Safety and </w:t>
      </w:r>
      <w:r w:rsidRPr="00A14F17">
        <w:rPr>
          <w:rFonts w:cstheme="minorHAnsi"/>
          <w:sz w:val="22"/>
          <w:szCs w:val="22"/>
        </w:rPr>
        <w:t>Quality Health Service</w:t>
      </w:r>
      <w:r>
        <w:rPr>
          <w:rFonts w:cstheme="minorHAnsi"/>
          <w:sz w:val="22"/>
          <w:szCs w:val="22"/>
        </w:rPr>
        <w:t xml:space="preserve"> </w:t>
      </w:r>
      <w:r w:rsidRPr="00A14F17">
        <w:rPr>
          <w:rFonts w:cstheme="minorHAnsi"/>
          <w:sz w:val="22"/>
          <w:szCs w:val="22"/>
        </w:rPr>
        <w:t>Standards</w:t>
      </w:r>
      <w:r>
        <w:rPr>
          <w:rFonts w:cstheme="minorHAnsi"/>
          <w:sz w:val="22"/>
          <w:szCs w:val="22"/>
        </w:rPr>
        <w:t xml:space="preserve"> (</w:t>
      </w:r>
      <w:r w:rsidRPr="00A14F17">
        <w:rPr>
          <w:rFonts w:cstheme="minorHAnsi"/>
          <w:sz w:val="22"/>
          <w:szCs w:val="22"/>
        </w:rPr>
        <w:t>Second edition</w:t>
      </w:r>
      <w:r>
        <w:rPr>
          <w:rFonts w:cstheme="minorHAnsi"/>
          <w:sz w:val="22"/>
          <w:szCs w:val="22"/>
        </w:rPr>
        <w:t>).</w:t>
      </w:r>
      <w:proofErr w:type="gramEnd"/>
      <w:r>
        <w:rPr>
          <w:rFonts w:cstheme="minorHAnsi"/>
          <w:sz w:val="22"/>
          <w:szCs w:val="22"/>
        </w:rPr>
        <w:t xml:space="preserve"> Sydney: ACSQHC; 2017.</w:t>
      </w:r>
    </w:p>
  </w:endnote>
  <w:endnote w:id="66">
    <w:p w14:paraId="708B7CD3" w14:textId="32A3E328"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A14F17">
        <w:rPr>
          <w:rFonts w:cstheme="minorHAnsi"/>
          <w:sz w:val="22"/>
          <w:szCs w:val="22"/>
        </w:rPr>
        <w:t>Australian Institute of Health and Welfare.</w:t>
      </w:r>
      <w:proofErr w:type="gramEnd"/>
      <w:r w:rsidRPr="00A14F17">
        <w:rPr>
          <w:rFonts w:cstheme="minorHAnsi"/>
          <w:sz w:val="22"/>
          <w:szCs w:val="22"/>
        </w:rPr>
        <w:t xml:space="preserve"> </w:t>
      </w:r>
      <w:proofErr w:type="gramStart"/>
      <w:r w:rsidRPr="006C7213">
        <w:rPr>
          <w:rStyle w:val="Emphasis"/>
          <w:rFonts w:cstheme="minorHAnsi"/>
          <w:sz w:val="22"/>
          <w:szCs w:val="22"/>
        </w:rPr>
        <w:t>Staphylococcus aureus</w:t>
      </w:r>
      <w:r w:rsidRPr="006C7213">
        <w:rPr>
          <w:rFonts w:cstheme="minorHAnsi"/>
          <w:sz w:val="22"/>
          <w:szCs w:val="22"/>
        </w:rPr>
        <w:t xml:space="preserve"> bacteraemia in Australian </w:t>
      </w:r>
      <w:r>
        <w:rPr>
          <w:rFonts w:cstheme="minorHAnsi"/>
          <w:sz w:val="22"/>
          <w:szCs w:val="22"/>
        </w:rPr>
        <w:t xml:space="preserve">hospitals </w:t>
      </w:r>
      <w:r w:rsidRPr="006C7213">
        <w:rPr>
          <w:rFonts w:cstheme="minorHAnsi"/>
          <w:sz w:val="22"/>
          <w:szCs w:val="22"/>
        </w:rPr>
        <w:t>2017</w:t>
      </w:r>
      <w:r>
        <w:rPr>
          <w:rFonts w:cstheme="minorHAnsi"/>
          <w:sz w:val="22"/>
          <w:szCs w:val="22"/>
        </w:rPr>
        <w:t>.</w:t>
      </w:r>
      <w:proofErr w:type="gramEnd"/>
      <w:r>
        <w:rPr>
          <w:rFonts w:cstheme="minorHAnsi"/>
          <w:sz w:val="22"/>
          <w:szCs w:val="22"/>
        </w:rPr>
        <w:t xml:space="preserve"> </w:t>
      </w:r>
      <w:r w:rsidRPr="006C7213">
        <w:rPr>
          <w:rFonts w:cstheme="minorHAnsi"/>
          <w:sz w:val="22"/>
          <w:szCs w:val="22"/>
        </w:rPr>
        <w:t xml:space="preserve">Available </w:t>
      </w:r>
      <w:r>
        <w:rPr>
          <w:rFonts w:cstheme="minorHAnsi"/>
          <w:sz w:val="22"/>
          <w:szCs w:val="22"/>
        </w:rPr>
        <w:t>from</w:t>
      </w:r>
      <w:r w:rsidRPr="006C7213">
        <w:rPr>
          <w:rFonts w:cstheme="minorHAnsi"/>
          <w:sz w:val="22"/>
          <w:szCs w:val="22"/>
        </w:rPr>
        <w:t xml:space="preserve">: </w:t>
      </w:r>
      <w:hyperlink r:id="rId24" w:history="1">
        <w:r w:rsidRPr="006C7213">
          <w:rPr>
            <w:rStyle w:val="Hyperlink"/>
            <w:rFonts w:asciiTheme="minorHAnsi" w:hAnsiTheme="minorHAnsi" w:cstheme="minorHAnsi"/>
            <w:szCs w:val="22"/>
          </w:rPr>
          <w:t>https://www.aihw.gov.au/reports/hospitals/ahs-2016-17-sab/contents/introduction</w:t>
        </w:r>
      </w:hyperlink>
      <w:r w:rsidRPr="006C7213">
        <w:rPr>
          <w:rFonts w:cstheme="minorHAnsi"/>
          <w:sz w:val="22"/>
          <w:szCs w:val="22"/>
        </w:rPr>
        <w:t xml:space="preserve">. </w:t>
      </w:r>
    </w:p>
  </w:endnote>
  <w:endnote w:id="67">
    <w:p w14:paraId="749FB40C" w14:textId="3220EF34"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8906FF">
        <w:rPr>
          <w:rFonts w:cstheme="minorHAnsi"/>
          <w:sz w:val="22"/>
          <w:szCs w:val="22"/>
        </w:rPr>
        <w:tab/>
      </w:r>
      <w:proofErr w:type="gramStart"/>
      <w:r w:rsidRPr="008906FF">
        <w:rPr>
          <w:rFonts w:cstheme="minorHAnsi"/>
          <w:sz w:val="22"/>
          <w:szCs w:val="22"/>
        </w:rPr>
        <w:t>Health Roundtable.</w:t>
      </w:r>
      <w:proofErr w:type="gramEnd"/>
      <w:r w:rsidRPr="008906FF">
        <w:rPr>
          <w:rFonts w:cstheme="minorHAnsi"/>
          <w:sz w:val="22"/>
          <w:szCs w:val="22"/>
        </w:rPr>
        <w:t xml:space="preserve"> Patient Safety Improvement Group </w:t>
      </w:r>
      <w:r w:rsidRPr="008906FF">
        <w:rPr>
          <w:sz w:val="22"/>
          <w:szCs w:val="22"/>
        </w:rPr>
        <w:t xml:space="preserve">Accessed: </w:t>
      </w:r>
      <w:r>
        <w:rPr>
          <w:sz w:val="22"/>
          <w:szCs w:val="22"/>
        </w:rPr>
        <w:t>24/01/2019</w:t>
      </w:r>
      <w:r w:rsidRPr="008906FF">
        <w:rPr>
          <w:sz w:val="22"/>
          <w:szCs w:val="22"/>
        </w:rPr>
        <w:t xml:space="preserve">. </w:t>
      </w:r>
      <w:r w:rsidRPr="008906FF">
        <w:rPr>
          <w:rFonts w:cstheme="minorHAnsi"/>
          <w:sz w:val="22"/>
          <w:szCs w:val="22"/>
        </w:rPr>
        <w:t xml:space="preserve">Available </w:t>
      </w:r>
      <w:r w:rsidRPr="004264CB">
        <w:rPr>
          <w:rFonts w:cstheme="minorHAnsi"/>
          <w:sz w:val="22"/>
          <w:szCs w:val="22"/>
        </w:rPr>
        <w:t>from</w:t>
      </w:r>
      <w:r w:rsidRPr="008906FF">
        <w:rPr>
          <w:rFonts w:cstheme="minorHAnsi"/>
          <w:sz w:val="22"/>
          <w:szCs w:val="22"/>
        </w:rPr>
        <w:t>:</w:t>
      </w:r>
      <w:r w:rsidRPr="008906FF">
        <w:rPr>
          <w:rStyle w:val="Hyperlink"/>
          <w:rFonts w:asciiTheme="minorHAnsi" w:hAnsiTheme="minorHAnsi" w:cstheme="minorHAnsi"/>
          <w:szCs w:val="22"/>
          <w:u w:val="none"/>
          <w:lang w:val="en-US"/>
        </w:rPr>
        <w:t xml:space="preserve"> </w:t>
      </w:r>
      <w:hyperlink r:id="rId25" w:history="1">
        <w:r w:rsidRPr="00F30C51">
          <w:rPr>
            <w:rStyle w:val="Hyperlink"/>
            <w:rFonts w:asciiTheme="minorHAnsi" w:hAnsiTheme="minorHAnsi" w:cstheme="minorHAnsi"/>
            <w:szCs w:val="22"/>
            <w:lang w:val="en-US"/>
          </w:rPr>
          <w:t>https://www.healthroundtable.org/JoinUs/ImprovementGroups/PatientSafety.aspx</w:t>
        </w:r>
      </w:hyperlink>
      <w:r>
        <w:rPr>
          <w:rStyle w:val="Hyperlink"/>
          <w:rFonts w:asciiTheme="minorHAnsi" w:hAnsiTheme="minorHAnsi" w:cstheme="minorHAnsi"/>
          <w:szCs w:val="22"/>
          <w:u w:val="none"/>
          <w:lang w:val="en-US"/>
        </w:rPr>
        <w:t xml:space="preserve"> </w:t>
      </w:r>
      <w:r w:rsidRPr="008906FF">
        <w:rPr>
          <w:rStyle w:val="Hyperlink"/>
          <w:rFonts w:asciiTheme="minorHAnsi" w:hAnsiTheme="minorHAnsi" w:cstheme="minorHAnsi"/>
          <w:szCs w:val="22"/>
          <w:u w:val="none"/>
          <w:lang w:val="en-US"/>
        </w:rPr>
        <w:t xml:space="preserve"> </w:t>
      </w:r>
    </w:p>
  </w:endnote>
  <w:endnote w:id="68">
    <w:p w14:paraId="2DCB1A29" w14:textId="613C8E01"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6C7213">
        <w:rPr>
          <w:rFonts w:cstheme="minorHAnsi"/>
          <w:sz w:val="22"/>
          <w:szCs w:val="22"/>
          <w:lang w:val="en-US"/>
        </w:rPr>
        <w:t>Patient Opinion Australia.</w:t>
      </w:r>
      <w:proofErr w:type="gramEnd"/>
      <w:r w:rsidRPr="006C7213">
        <w:rPr>
          <w:rFonts w:cstheme="minorHAnsi"/>
          <w:sz w:val="22"/>
          <w:szCs w:val="22"/>
          <w:lang w:val="en-US"/>
        </w:rPr>
        <w:t xml:space="preserve"> </w:t>
      </w:r>
      <w:proofErr w:type="gramStart"/>
      <w:r>
        <w:rPr>
          <w:rFonts w:cstheme="minorHAnsi"/>
          <w:sz w:val="22"/>
          <w:szCs w:val="22"/>
          <w:lang w:val="en-US"/>
        </w:rPr>
        <w:t>Homepage.</w:t>
      </w:r>
      <w:proofErr w:type="gramEnd"/>
      <w:r>
        <w:rPr>
          <w:rFonts w:cstheme="minorHAnsi"/>
          <w:sz w:val="22"/>
          <w:szCs w:val="22"/>
          <w:lang w:val="en-US"/>
        </w:rPr>
        <w:t xml:space="preserve"> </w:t>
      </w:r>
      <w:r w:rsidRPr="008906FF">
        <w:rPr>
          <w:sz w:val="22"/>
          <w:szCs w:val="22"/>
        </w:rPr>
        <w:t xml:space="preserve">Accessed 13/05/2018. </w:t>
      </w:r>
      <w:r w:rsidRPr="008906FF">
        <w:rPr>
          <w:rFonts w:cstheme="minorHAnsi"/>
          <w:sz w:val="22"/>
          <w:szCs w:val="22"/>
          <w:lang w:val="en-US"/>
        </w:rPr>
        <w:t>Available</w:t>
      </w:r>
      <w:r w:rsidRPr="006C7213">
        <w:rPr>
          <w:rFonts w:cstheme="minorHAnsi"/>
          <w:sz w:val="22"/>
          <w:szCs w:val="22"/>
          <w:lang w:val="en-US"/>
        </w:rPr>
        <w:t xml:space="preserve"> </w:t>
      </w:r>
      <w:r w:rsidRPr="004264CB">
        <w:rPr>
          <w:rFonts w:cstheme="minorHAnsi"/>
          <w:sz w:val="22"/>
          <w:szCs w:val="22"/>
          <w:lang w:val="en-US"/>
        </w:rPr>
        <w:t>from</w:t>
      </w:r>
      <w:r w:rsidRPr="006C7213">
        <w:rPr>
          <w:rFonts w:cstheme="minorHAnsi"/>
          <w:sz w:val="22"/>
          <w:szCs w:val="22"/>
          <w:lang w:val="en-US"/>
        </w:rPr>
        <w:t xml:space="preserve">: </w:t>
      </w:r>
      <w:hyperlink r:id="rId26" w:history="1">
        <w:r w:rsidRPr="006C7213">
          <w:rPr>
            <w:rStyle w:val="Hyperlink"/>
            <w:rFonts w:asciiTheme="minorHAnsi" w:hAnsiTheme="minorHAnsi" w:cstheme="minorHAnsi"/>
            <w:szCs w:val="22"/>
            <w:lang w:val="en-US"/>
          </w:rPr>
          <w:t>https://www.patientopinion.org.au/</w:t>
        </w:r>
      </w:hyperlink>
      <w:r w:rsidRPr="006C7213">
        <w:rPr>
          <w:rFonts w:cstheme="minorHAnsi"/>
          <w:sz w:val="22"/>
          <w:szCs w:val="22"/>
          <w:lang w:val="en-US"/>
        </w:rPr>
        <w:t xml:space="preserve">. </w:t>
      </w:r>
    </w:p>
  </w:endnote>
  <w:endnote w:id="69">
    <w:p w14:paraId="63B75CA7" w14:textId="47762FA9"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Pr>
          <w:rFonts w:cstheme="minorHAnsi"/>
          <w:sz w:val="22"/>
          <w:szCs w:val="22"/>
        </w:rPr>
        <w:t>Government of Canada.</w:t>
      </w:r>
      <w:proofErr w:type="gramEnd"/>
      <w:r>
        <w:rPr>
          <w:rFonts w:cstheme="minorHAnsi"/>
          <w:sz w:val="22"/>
          <w:szCs w:val="22"/>
        </w:rPr>
        <w:t xml:space="preserve"> </w:t>
      </w:r>
      <w:r w:rsidRPr="006C7213">
        <w:rPr>
          <w:rFonts w:cstheme="minorHAnsi"/>
          <w:sz w:val="22"/>
          <w:szCs w:val="22"/>
          <w:lang w:val="en-US"/>
        </w:rPr>
        <w:t xml:space="preserve">Canada’s Health Care System. </w:t>
      </w:r>
      <w:r>
        <w:rPr>
          <w:rFonts w:cstheme="minorHAnsi"/>
          <w:sz w:val="22"/>
          <w:szCs w:val="22"/>
          <w:lang w:val="en-US"/>
        </w:rPr>
        <w:t>Accessed 31/01</w:t>
      </w:r>
      <w:r w:rsidRPr="004264CB">
        <w:rPr>
          <w:rFonts w:cstheme="minorHAnsi"/>
          <w:sz w:val="22"/>
          <w:szCs w:val="22"/>
          <w:lang w:val="en-US"/>
        </w:rPr>
        <w:t>/201</w:t>
      </w:r>
      <w:r>
        <w:rPr>
          <w:rFonts w:cstheme="minorHAnsi"/>
          <w:sz w:val="22"/>
          <w:szCs w:val="22"/>
          <w:lang w:val="en-US"/>
        </w:rPr>
        <w:t>9</w:t>
      </w:r>
      <w:r w:rsidRPr="004264CB">
        <w:rPr>
          <w:rFonts w:cstheme="minorHAnsi"/>
          <w:sz w:val="22"/>
          <w:szCs w:val="22"/>
          <w:lang w:val="en-US"/>
        </w:rPr>
        <w:t>.</w:t>
      </w:r>
      <w:r>
        <w:rPr>
          <w:rFonts w:cstheme="minorHAnsi"/>
          <w:sz w:val="22"/>
          <w:szCs w:val="22"/>
          <w:lang w:val="en-US"/>
        </w:rPr>
        <w:t xml:space="preserve"> </w:t>
      </w:r>
      <w:r w:rsidRPr="006C7213">
        <w:rPr>
          <w:rFonts w:cstheme="minorHAnsi"/>
          <w:sz w:val="22"/>
          <w:szCs w:val="22"/>
          <w:lang w:val="en-US"/>
        </w:rPr>
        <w:t xml:space="preserve">Available </w:t>
      </w:r>
      <w:r w:rsidRPr="004264CB">
        <w:rPr>
          <w:rFonts w:cstheme="minorHAnsi"/>
          <w:sz w:val="22"/>
          <w:szCs w:val="22"/>
          <w:lang w:val="en-US"/>
        </w:rPr>
        <w:t>from</w:t>
      </w:r>
      <w:r w:rsidRPr="006C7213">
        <w:rPr>
          <w:rFonts w:cstheme="minorHAnsi"/>
          <w:sz w:val="22"/>
          <w:szCs w:val="22"/>
          <w:lang w:val="en-US"/>
        </w:rPr>
        <w:t xml:space="preserve">: </w:t>
      </w:r>
      <w:hyperlink r:id="rId27" w:history="1">
        <w:r w:rsidRPr="004264CB">
          <w:rPr>
            <w:rStyle w:val="Hyperlink"/>
            <w:rFonts w:asciiTheme="minorHAnsi" w:hAnsiTheme="minorHAnsi"/>
            <w:szCs w:val="22"/>
          </w:rPr>
          <w:t>https://www.canada.ca/en/health-canada/services/canada-health-care-system.html</w:t>
        </w:r>
      </w:hyperlink>
      <w:r w:rsidRPr="004264CB">
        <w:rPr>
          <w:rFonts w:cstheme="minorHAnsi"/>
          <w:sz w:val="22"/>
          <w:szCs w:val="22"/>
          <w:lang w:val="en-US"/>
        </w:rPr>
        <w:t>.</w:t>
      </w:r>
      <w:r w:rsidRPr="006C7213">
        <w:rPr>
          <w:rFonts w:cstheme="minorHAnsi"/>
          <w:sz w:val="22"/>
          <w:szCs w:val="22"/>
          <w:lang w:val="en-US"/>
        </w:rPr>
        <w:t xml:space="preserve"> </w:t>
      </w:r>
    </w:p>
  </w:endnote>
  <w:endnote w:id="70">
    <w:p w14:paraId="0C6A50A2" w14:textId="79F2DDDE"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4264CB">
        <w:rPr>
          <w:rFonts w:cstheme="minorHAnsi"/>
          <w:sz w:val="22"/>
          <w:szCs w:val="22"/>
        </w:rPr>
        <w:t>Canadian Institute for Health Information</w:t>
      </w:r>
      <w:r>
        <w:rPr>
          <w:rFonts w:cstheme="minorHAnsi"/>
          <w:sz w:val="22"/>
          <w:szCs w:val="22"/>
        </w:rPr>
        <w:t>.</w:t>
      </w:r>
      <w:proofErr w:type="gramEnd"/>
      <w:r>
        <w:rPr>
          <w:rFonts w:cstheme="minorHAnsi"/>
          <w:sz w:val="22"/>
          <w:szCs w:val="22"/>
        </w:rPr>
        <w:t xml:space="preserve"> </w:t>
      </w:r>
      <w:proofErr w:type="gramStart"/>
      <w:r w:rsidRPr="006C7213">
        <w:rPr>
          <w:rFonts w:cstheme="minorHAnsi"/>
          <w:sz w:val="22"/>
          <w:szCs w:val="22"/>
          <w:lang w:val="en-US"/>
        </w:rPr>
        <w:t>About CIHI.</w:t>
      </w:r>
      <w:proofErr w:type="gramEnd"/>
      <w:r w:rsidRPr="006C7213">
        <w:rPr>
          <w:rFonts w:cstheme="minorHAnsi"/>
          <w:sz w:val="22"/>
          <w:szCs w:val="22"/>
          <w:lang w:val="en-US"/>
        </w:rPr>
        <w:t xml:space="preserve"> </w:t>
      </w:r>
      <w:proofErr w:type="gramStart"/>
      <w:r w:rsidRPr="004264CB">
        <w:rPr>
          <w:rFonts w:cstheme="minorHAnsi"/>
          <w:sz w:val="22"/>
          <w:szCs w:val="22"/>
          <w:lang w:val="en-US"/>
        </w:rPr>
        <w:t>Accessed: 26/04/2018.</w:t>
      </w:r>
      <w:proofErr w:type="gramEnd"/>
      <w:r w:rsidRPr="004264CB">
        <w:rPr>
          <w:rFonts w:cstheme="minorHAnsi"/>
          <w:sz w:val="22"/>
          <w:szCs w:val="22"/>
          <w:lang w:val="en-US"/>
        </w:rPr>
        <w:t xml:space="preserve"> </w:t>
      </w:r>
      <w:r w:rsidRPr="006C7213">
        <w:rPr>
          <w:rFonts w:cstheme="minorHAnsi"/>
          <w:sz w:val="22"/>
          <w:szCs w:val="22"/>
          <w:lang w:val="en-US"/>
        </w:rPr>
        <w:t xml:space="preserve">Available </w:t>
      </w:r>
      <w:r w:rsidRPr="004264CB">
        <w:rPr>
          <w:rFonts w:cstheme="minorHAnsi"/>
          <w:sz w:val="22"/>
          <w:szCs w:val="22"/>
          <w:lang w:val="en-US"/>
        </w:rPr>
        <w:t>from</w:t>
      </w:r>
      <w:r w:rsidRPr="006C7213">
        <w:rPr>
          <w:rFonts w:cstheme="minorHAnsi"/>
          <w:sz w:val="22"/>
          <w:szCs w:val="22"/>
          <w:lang w:val="en-US"/>
        </w:rPr>
        <w:t xml:space="preserve">: </w:t>
      </w:r>
      <w:hyperlink r:id="rId28" w:history="1">
        <w:r w:rsidRPr="006C7213">
          <w:rPr>
            <w:rStyle w:val="Hyperlink"/>
            <w:rFonts w:asciiTheme="minorHAnsi" w:hAnsiTheme="minorHAnsi" w:cstheme="minorHAnsi"/>
            <w:szCs w:val="22"/>
            <w:lang w:val="en-US"/>
          </w:rPr>
          <w:t>https://www.cihi.ca/en/about-cihi</w:t>
        </w:r>
      </w:hyperlink>
      <w:r w:rsidRPr="006C7213">
        <w:rPr>
          <w:rFonts w:cstheme="minorHAnsi"/>
          <w:sz w:val="22"/>
          <w:szCs w:val="22"/>
          <w:lang w:val="en-US"/>
        </w:rPr>
        <w:t xml:space="preserve">. </w:t>
      </w:r>
    </w:p>
  </w:endnote>
  <w:endnote w:id="71">
    <w:p w14:paraId="65A401C9" w14:textId="5B640611"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4264CB">
        <w:rPr>
          <w:rFonts w:cstheme="minorHAnsi"/>
          <w:sz w:val="22"/>
          <w:szCs w:val="22"/>
        </w:rPr>
        <w:t>Canadian Institute for Health Information</w:t>
      </w:r>
      <w:r>
        <w:rPr>
          <w:rFonts w:cstheme="minorHAnsi"/>
          <w:sz w:val="22"/>
          <w:szCs w:val="22"/>
        </w:rPr>
        <w:t>.</w:t>
      </w:r>
      <w:proofErr w:type="gramEnd"/>
      <w:r>
        <w:rPr>
          <w:rFonts w:cstheme="minorHAnsi"/>
          <w:sz w:val="22"/>
          <w:szCs w:val="22"/>
        </w:rPr>
        <w:t xml:space="preserve"> </w:t>
      </w:r>
      <w:proofErr w:type="gramStart"/>
      <w:r w:rsidRPr="006C7213">
        <w:rPr>
          <w:rFonts w:cstheme="minorHAnsi"/>
          <w:sz w:val="22"/>
          <w:szCs w:val="22"/>
          <w:lang w:val="en-US"/>
        </w:rPr>
        <w:t>Your</w:t>
      </w:r>
      <w:proofErr w:type="gramEnd"/>
      <w:r w:rsidRPr="006C7213">
        <w:rPr>
          <w:rFonts w:cstheme="minorHAnsi"/>
          <w:sz w:val="22"/>
          <w:szCs w:val="22"/>
          <w:lang w:val="en-US"/>
        </w:rPr>
        <w:t xml:space="preserve"> Health System. </w:t>
      </w:r>
      <w:proofErr w:type="gramStart"/>
      <w:r w:rsidRPr="004264CB">
        <w:rPr>
          <w:rFonts w:cstheme="minorHAnsi"/>
          <w:sz w:val="22"/>
          <w:szCs w:val="22"/>
          <w:lang w:val="en-US"/>
        </w:rPr>
        <w:t>Accessed: 26/04/2018.</w:t>
      </w:r>
      <w:proofErr w:type="gramEnd"/>
      <w:r w:rsidRPr="004264CB">
        <w:rPr>
          <w:rFonts w:cstheme="minorHAnsi"/>
          <w:sz w:val="22"/>
          <w:szCs w:val="22"/>
          <w:lang w:val="en-US"/>
        </w:rPr>
        <w:t xml:space="preserve"> </w:t>
      </w:r>
      <w:r>
        <w:rPr>
          <w:rFonts w:cstheme="minorHAnsi"/>
          <w:sz w:val="22"/>
          <w:szCs w:val="22"/>
          <w:lang w:val="en-US"/>
        </w:rPr>
        <w:t xml:space="preserve"> </w:t>
      </w:r>
      <w:r w:rsidRPr="006C7213">
        <w:rPr>
          <w:rFonts w:cstheme="minorHAnsi"/>
          <w:sz w:val="22"/>
          <w:szCs w:val="22"/>
          <w:lang w:val="en-US"/>
        </w:rPr>
        <w:t xml:space="preserve">Available </w:t>
      </w:r>
      <w:r w:rsidRPr="004264CB">
        <w:rPr>
          <w:rFonts w:cstheme="minorHAnsi"/>
          <w:sz w:val="22"/>
          <w:szCs w:val="22"/>
          <w:lang w:val="en-US"/>
        </w:rPr>
        <w:t>from</w:t>
      </w:r>
      <w:r w:rsidRPr="006C7213">
        <w:rPr>
          <w:rFonts w:cstheme="minorHAnsi"/>
          <w:sz w:val="22"/>
          <w:szCs w:val="22"/>
          <w:lang w:val="en-US"/>
        </w:rPr>
        <w:t xml:space="preserve">: </w:t>
      </w:r>
      <w:hyperlink r:id="rId29" w:history="1">
        <w:r w:rsidRPr="00F30C51">
          <w:rPr>
            <w:rStyle w:val="Hyperlink"/>
            <w:rFonts w:asciiTheme="minorHAnsi" w:hAnsiTheme="minorHAnsi" w:cstheme="minorHAnsi"/>
            <w:szCs w:val="22"/>
            <w:lang w:val="en-US"/>
          </w:rPr>
          <w:t>https://yourhealthsystem.cihi.ca</w:t>
        </w:r>
      </w:hyperlink>
      <w:r>
        <w:rPr>
          <w:rFonts w:cstheme="minorHAnsi"/>
          <w:sz w:val="22"/>
          <w:szCs w:val="22"/>
          <w:lang w:val="en-US"/>
        </w:rPr>
        <w:t xml:space="preserve">. </w:t>
      </w:r>
      <w:r w:rsidRPr="006C7213">
        <w:rPr>
          <w:rFonts w:cstheme="minorHAnsi"/>
          <w:sz w:val="22"/>
          <w:szCs w:val="22"/>
          <w:lang w:val="en-US"/>
        </w:rPr>
        <w:t xml:space="preserve"> </w:t>
      </w:r>
    </w:p>
  </w:endnote>
  <w:endnote w:id="72">
    <w:p w14:paraId="5FE558EE" w14:textId="610AF7DA"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r w:rsidRPr="006C7213">
        <w:rPr>
          <w:rFonts w:cstheme="minorHAnsi"/>
          <w:sz w:val="22"/>
          <w:szCs w:val="22"/>
          <w:lang w:val="en-US"/>
        </w:rPr>
        <w:t xml:space="preserve">Canadian Patient Safety Institute. </w:t>
      </w:r>
      <w:proofErr w:type="gramStart"/>
      <w:r>
        <w:rPr>
          <w:rFonts w:cstheme="minorHAnsi"/>
          <w:sz w:val="22"/>
          <w:szCs w:val="22"/>
          <w:lang w:val="en-US"/>
        </w:rPr>
        <w:t>Homepage.</w:t>
      </w:r>
      <w:proofErr w:type="gramEnd"/>
      <w:r>
        <w:rPr>
          <w:rFonts w:cstheme="minorHAnsi"/>
          <w:sz w:val="22"/>
          <w:szCs w:val="22"/>
          <w:lang w:val="en-US"/>
        </w:rPr>
        <w:t xml:space="preserve"> </w:t>
      </w:r>
      <w:r w:rsidRPr="006C7213">
        <w:rPr>
          <w:rFonts w:cstheme="minorHAnsi"/>
          <w:sz w:val="22"/>
          <w:szCs w:val="22"/>
          <w:lang w:val="en-US"/>
        </w:rPr>
        <w:t>Accessed 26/04/2018.</w:t>
      </w:r>
      <w:r>
        <w:rPr>
          <w:rFonts w:cstheme="minorHAnsi"/>
          <w:sz w:val="22"/>
          <w:szCs w:val="22"/>
          <w:lang w:val="en-US"/>
        </w:rPr>
        <w:t xml:space="preserve"> </w:t>
      </w:r>
      <w:r w:rsidRPr="006C7213">
        <w:rPr>
          <w:rFonts w:cstheme="minorHAnsi"/>
          <w:sz w:val="22"/>
          <w:szCs w:val="22"/>
          <w:lang w:val="en-US"/>
        </w:rPr>
        <w:t xml:space="preserve">Available </w:t>
      </w:r>
      <w:r>
        <w:rPr>
          <w:rFonts w:cstheme="minorHAnsi"/>
          <w:sz w:val="22"/>
          <w:szCs w:val="22"/>
          <w:lang w:val="en-US"/>
        </w:rPr>
        <w:t>from</w:t>
      </w:r>
      <w:r w:rsidRPr="006C7213">
        <w:rPr>
          <w:rFonts w:cstheme="minorHAnsi"/>
          <w:sz w:val="22"/>
          <w:szCs w:val="22"/>
          <w:lang w:val="en-US"/>
        </w:rPr>
        <w:t xml:space="preserve">: </w:t>
      </w:r>
      <w:hyperlink r:id="rId30" w:history="1">
        <w:r w:rsidRPr="006C7213">
          <w:rPr>
            <w:rStyle w:val="Hyperlink"/>
            <w:rFonts w:asciiTheme="minorHAnsi" w:hAnsiTheme="minorHAnsi" w:cstheme="minorHAnsi"/>
            <w:szCs w:val="22"/>
            <w:lang w:val="en-US"/>
          </w:rPr>
          <w:t>http://www.patientsafetyinstitute.ca/en/Pages/default.aspx</w:t>
        </w:r>
      </w:hyperlink>
      <w:r w:rsidRPr="006C7213">
        <w:rPr>
          <w:rFonts w:cstheme="minorHAnsi"/>
          <w:sz w:val="22"/>
          <w:szCs w:val="22"/>
          <w:lang w:val="en-US"/>
        </w:rPr>
        <w:t xml:space="preserve">. </w:t>
      </w:r>
    </w:p>
  </w:endnote>
  <w:endnote w:id="73">
    <w:p w14:paraId="7C91854A" w14:textId="17F6FFB7" w:rsidR="00F70157" w:rsidRDefault="00F70157" w:rsidP="004264CB">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Pr>
          <w:rFonts w:cstheme="minorHAnsi"/>
          <w:sz w:val="22"/>
          <w:szCs w:val="22"/>
        </w:rPr>
        <w:t>Ontario Ministry of Health and Long-term Care.</w:t>
      </w:r>
      <w:proofErr w:type="gramEnd"/>
      <w:r>
        <w:rPr>
          <w:rFonts w:cstheme="minorHAnsi"/>
          <w:sz w:val="22"/>
          <w:szCs w:val="22"/>
        </w:rPr>
        <w:t xml:space="preserve"> </w:t>
      </w:r>
      <w:r w:rsidRPr="006C7213">
        <w:rPr>
          <w:rFonts w:cstheme="minorHAnsi"/>
          <w:sz w:val="22"/>
          <w:szCs w:val="22"/>
          <w:lang w:val="en-US"/>
        </w:rPr>
        <w:t xml:space="preserve">Patient Safety: Patient Safety Indicator results at Health Quality Ontario. </w:t>
      </w:r>
      <w:proofErr w:type="gramStart"/>
      <w:r>
        <w:rPr>
          <w:rFonts w:cstheme="minorHAnsi"/>
          <w:sz w:val="22"/>
          <w:szCs w:val="22"/>
          <w:lang w:val="en-US"/>
        </w:rPr>
        <w:t>Accessed: 26/04/2018.</w:t>
      </w:r>
      <w:proofErr w:type="gramEnd"/>
      <w:r>
        <w:rPr>
          <w:rFonts w:cstheme="minorHAnsi"/>
          <w:sz w:val="22"/>
          <w:szCs w:val="22"/>
          <w:lang w:val="en-US"/>
        </w:rPr>
        <w:t xml:space="preserve"> </w:t>
      </w:r>
      <w:r w:rsidRPr="006C7213">
        <w:rPr>
          <w:rFonts w:cstheme="minorHAnsi"/>
          <w:sz w:val="22"/>
          <w:szCs w:val="22"/>
          <w:lang w:val="en-US"/>
        </w:rPr>
        <w:t xml:space="preserve">Available </w:t>
      </w:r>
      <w:r>
        <w:rPr>
          <w:rFonts w:cstheme="minorHAnsi"/>
          <w:sz w:val="22"/>
          <w:szCs w:val="22"/>
          <w:lang w:val="en-US"/>
        </w:rPr>
        <w:t>from</w:t>
      </w:r>
      <w:r w:rsidRPr="006C7213">
        <w:rPr>
          <w:rFonts w:cstheme="minorHAnsi"/>
          <w:sz w:val="22"/>
          <w:szCs w:val="22"/>
          <w:lang w:val="en-US"/>
        </w:rPr>
        <w:t xml:space="preserve">: </w:t>
      </w:r>
      <w:hyperlink r:id="rId31" w:history="1">
        <w:r w:rsidRPr="006C7213">
          <w:rPr>
            <w:rStyle w:val="Hyperlink"/>
            <w:rFonts w:asciiTheme="minorHAnsi" w:hAnsiTheme="minorHAnsi" w:cstheme="minorHAnsi"/>
            <w:szCs w:val="22"/>
            <w:lang w:val="en-US"/>
          </w:rPr>
          <w:t>http://www.health.gov.on.ca/en/public/programs/patient_safety/</w:t>
        </w:r>
      </w:hyperlink>
      <w:r w:rsidRPr="006C7213">
        <w:rPr>
          <w:rFonts w:cstheme="minorHAnsi"/>
          <w:sz w:val="22"/>
          <w:szCs w:val="22"/>
          <w:lang w:val="en-US"/>
        </w:rPr>
        <w:t xml:space="preserve">. </w:t>
      </w:r>
    </w:p>
    <w:p w14:paraId="63EB446E" w14:textId="77777777" w:rsidR="00F70157" w:rsidRPr="006C7213" w:rsidRDefault="00F70157" w:rsidP="004264CB">
      <w:pPr>
        <w:pStyle w:val="EndnoteText"/>
        <w:tabs>
          <w:tab w:val="left" w:pos="567"/>
        </w:tabs>
        <w:spacing w:after="120"/>
        <w:ind w:left="567" w:hanging="567"/>
        <w:rPr>
          <w:rFonts w:cstheme="minorHAnsi"/>
          <w:sz w:val="22"/>
          <w:szCs w:val="22"/>
          <w:lang w:val="en-US"/>
        </w:rPr>
      </w:pPr>
    </w:p>
  </w:endnote>
  <w:endnote w:id="74">
    <w:p w14:paraId="75B3581F" w14:textId="1A371DA4"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Pr>
          <w:rFonts w:cstheme="minorHAnsi"/>
          <w:sz w:val="22"/>
          <w:szCs w:val="22"/>
        </w:rPr>
        <w:t>Government of the Netherlands.</w:t>
      </w:r>
      <w:proofErr w:type="gramEnd"/>
      <w:r>
        <w:rPr>
          <w:rFonts w:cstheme="minorHAnsi"/>
          <w:sz w:val="22"/>
          <w:szCs w:val="22"/>
        </w:rPr>
        <w:t xml:space="preserve"> </w:t>
      </w:r>
      <w:proofErr w:type="gramStart"/>
      <w:r w:rsidRPr="006C7213">
        <w:rPr>
          <w:rFonts w:cstheme="minorHAnsi"/>
          <w:sz w:val="22"/>
          <w:szCs w:val="22"/>
          <w:lang w:val="en-US"/>
        </w:rPr>
        <w:t>Monitoring the quality of healthcare.</w:t>
      </w:r>
      <w:proofErr w:type="gramEnd"/>
      <w:r w:rsidRPr="006C7213">
        <w:rPr>
          <w:rFonts w:cstheme="minorHAnsi"/>
          <w:sz w:val="22"/>
          <w:szCs w:val="22"/>
          <w:lang w:val="en-US"/>
        </w:rPr>
        <w:t xml:space="preserve"> </w:t>
      </w:r>
      <w:proofErr w:type="gramStart"/>
      <w:r w:rsidRPr="006C7213">
        <w:rPr>
          <w:rFonts w:cstheme="minorHAnsi"/>
          <w:sz w:val="22"/>
          <w:szCs w:val="22"/>
          <w:lang w:val="en-US"/>
        </w:rPr>
        <w:t>Accessed: 1/05/2018.</w:t>
      </w:r>
      <w:proofErr w:type="gramEnd"/>
      <w:r w:rsidRPr="006C7213">
        <w:rPr>
          <w:rFonts w:cstheme="minorHAnsi"/>
          <w:sz w:val="22"/>
          <w:szCs w:val="22"/>
          <w:lang w:val="en-US"/>
        </w:rPr>
        <w:t xml:space="preserve"> Available </w:t>
      </w:r>
      <w:r>
        <w:rPr>
          <w:rFonts w:cstheme="minorHAnsi"/>
          <w:sz w:val="22"/>
          <w:szCs w:val="22"/>
          <w:lang w:val="en-US"/>
        </w:rPr>
        <w:t>from</w:t>
      </w:r>
      <w:r w:rsidRPr="006C7213">
        <w:rPr>
          <w:rFonts w:cstheme="minorHAnsi"/>
          <w:sz w:val="22"/>
          <w:szCs w:val="22"/>
          <w:lang w:val="en-US"/>
        </w:rPr>
        <w:t xml:space="preserve">: </w:t>
      </w:r>
      <w:hyperlink r:id="rId32" w:history="1">
        <w:r w:rsidRPr="006C7213">
          <w:rPr>
            <w:rStyle w:val="Hyperlink"/>
            <w:rFonts w:asciiTheme="minorHAnsi" w:hAnsiTheme="minorHAnsi" w:cstheme="minorHAnsi"/>
            <w:szCs w:val="22"/>
            <w:lang w:val="en-US"/>
          </w:rPr>
          <w:t>https://www.government.nl/topics/quality-of-healthcare/monitoring-the-quality-of-healthcare</w:t>
        </w:r>
      </w:hyperlink>
      <w:r w:rsidRPr="006C7213">
        <w:rPr>
          <w:rFonts w:cstheme="minorHAnsi"/>
          <w:sz w:val="22"/>
          <w:szCs w:val="22"/>
          <w:lang w:val="en-US"/>
        </w:rPr>
        <w:t xml:space="preserve">. </w:t>
      </w:r>
    </w:p>
  </w:endnote>
  <w:endnote w:id="75">
    <w:p w14:paraId="7C48A15B" w14:textId="52A33C26"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spellStart"/>
      <w:r w:rsidRPr="004264CB">
        <w:rPr>
          <w:rFonts w:cstheme="minorHAnsi"/>
          <w:sz w:val="22"/>
          <w:szCs w:val="22"/>
        </w:rPr>
        <w:t>Cacace</w:t>
      </w:r>
      <w:proofErr w:type="spellEnd"/>
      <w:r w:rsidRPr="004264CB">
        <w:rPr>
          <w:rFonts w:cstheme="minorHAnsi"/>
          <w:sz w:val="22"/>
          <w:szCs w:val="22"/>
        </w:rPr>
        <w:t xml:space="preserve"> M, </w:t>
      </w:r>
      <w:proofErr w:type="spellStart"/>
      <w:r w:rsidRPr="004264CB">
        <w:rPr>
          <w:rFonts w:cstheme="minorHAnsi"/>
          <w:sz w:val="22"/>
          <w:szCs w:val="22"/>
        </w:rPr>
        <w:t>Etterlt</w:t>
      </w:r>
      <w:proofErr w:type="spellEnd"/>
      <w:r w:rsidRPr="004264CB">
        <w:rPr>
          <w:rFonts w:cstheme="minorHAnsi"/>
          <w:sz w:val="22"/>
          <w:szCs w:val="22"/>
        </w:rPr>
        <w:t xml:space="preserve"> S, Brereton L, Pedersen J, Nolte E. How health systems make available information on service providers: Experience in seven countries. </w:t>
      </w:r>
      <w:proofErr w:type="gramStart"/>
      <w:r w:rsidRPr="004264CB">
        <w:rPr>
          <w:rFonts w:cstheme="minorHAnsi"/>
          <w:sz w:val="22"/>
          <w:szCs w:val="22"/>
        </w:rPr>
        <w:t>RAND Corporation; 2011.</w:t>
      </w:r>
      <w:proofErr w:type="gramEnd"/>
      <w:r w:rsidRPr="004264CB">
        <w:rPr>
          <w:rFonts w:cstheme="minorHAnsi"/>
          <w:sz w:val="22"/>
          <w:szCs w:val="22"/>
        </w:rPr>
        <w:t xml:space="preserve"> Available from: </w:t>
      </w:r>
      <w:hyperlink r:id="rId33" w:history="1">
        <w:r w:rsidRPr="00F30C51">
          <w:rPr>
            <w:rStyle w:val="Hyperlink"/>
            <w:rFonts w:asciiTheme="minorHAnsi" w:hAnsiTheme="minorHAnsi" w:cstheme="minorHAnsi"/>
            <w:szCs w:val="22"/>
          </w:rPr>
          <w:t>https://www.rand.org/pubs/technical_reports/TR887.html</w:t>
        </w:r>
      </w:hyperlink>
      <w:r w:rsidRPr="004264CB">
        <w:rPr>
          <w:rFonts w:cstheme="minorHAnsi"/>
          <w:sz w:val="22"/>
          <w:szCs w:val="22"/>
        </w:rPr>
        <w:t>.</w:t>
      </w:r>
      <w:r>
        <w:rPr>
          <w:rFonts w:cstheme="minorHAnsi"/>
          <w:sz w:val="22"/>
          <w:szCs w:val="22"/>
        </w:rPr>
        <w:t xml:space="preserve"> </w:t>
      </w:r>
    </w:p>
  </w:endnote>
  <w:endnote w:id="76">
    <w:p w14:paraId="3C326C91" w14:textId="3E2E34DE" w:rsidR="00F70157" w:rsidRPr="006C7213" w:rsidRDefault="00F70157" w:rsidP="006C7213">
      <w:pPr>
        <w:pStyle w:val="EndnoteText"/>
        <w:tabs>
          <w:tab w:val="left" w:pos="567"/>
        </w:tabs>
        <w:spacing w:after="120"/>
        <w:ind w:left="567" w:hanging="567"/>
        <w:rPr>
          <w:rFonts w:cstheme="minorHAnsi"/>
          <w:sz w:val="22"/>
          <w:szCs w:val="22"/>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4264CB">
        <w:rPr>
          <w:rFonts w:cstheme="minorHAnsi"/>
          <w:sz w:val="22"/>
          <w:szCs w:val="22"/>
        </w:rPr>
        <w:t>Dutch Hospital Association</w:t>
      </w:r>
      <w:r>
        <w:rPr>
          <w:rFonts w:cstheme="minorHAnsi"/>
          <w:sz w:val="22"/>
          <w:szCs w:val="22"/>
        </w:rPr>
        <w:t>.</w:t>
      </w:r>
      <w:proofErr w:type="gramEnd"/>
      <w:r w:rsidRPr="004264CB">
        <w:rPr>
          <w:rFonts w:cstheme="minorHAnsi"/>
          <w:sz w:val="22"/>
          <w:szCs w:val="22"/>
        </w:rPr>
        <w:t xml:space="preserve"> </w:t>
      </w:r>
      <w:proofErr w:type="gramStart"/>
      <w:r>
        <w:rPr>
          <w:rFonts w:cstheme="minorHAnsi"/>
          <w:sz w:val="22"/>
          <w:szCs w:val="22"/>
        </w:rPr>
        <w:t>Quality Window.</w:t>
      </w:r>
      <w:proofErr w:type="gramEnd"/>
      <w:r w:rsidRPr="006C7213">
        <w:rPr>
          <w:rFonts w:cstheme="minorHAnsi"/>
          <w:sz w:val="22"/>
          <w:szCs w:val="22"/>
        </w:rPr>
        <w:t xml:space="preserve"> Accessed 1/06/2018</w:t>
      </w:r>
      <w:r>
        <w:rPr>
          <w:rFonts w:cstheme="minorHAnsi"/>
          <w:sz w:val="22"/>
          <w:szCs w:val="22"/>
        </w:rPr>
        <w:t xml:space="preserve">. </w:t>
      </w:r>
      <w:r w:rsidRPr="006C7213">
        <w:rPr>
          <w:rFonts w:cstheme="minorHAnsi"/>
          <w:sz w:val="22"/>
          <w:szCs w:val="22"/>
        </w:rPr>
        <w:t xml:space="preserve">Available </w:t>
      </w:r>
      <w:r>
        <w:rPr>
          <w:rFonts w:cstheme="minorHAnsi"/>
          <w:sz w:val="22"/>
          <w:szCs w:val="22"/>
        </w:rPr>
        <w:t>from</w:t>
      </w:r>
      <w:r w:rsidRPr="006C7213">
        <w:rPr>
          <w:rFonts w:cstheme="minorHAnsi"/>
          <w:sz w:val="22"/>
          <w:szCs w:val="22"/>
        </w:rPr>
        <w:t xml:space="preserve">: </w:t>
      </w:r>
      <w:hyperlink r:id="rId34" w:history="1">
        <w:r w:rsidRPr="006C7213">
          <w:rPr>
            <w:rStyle w:val="Hyperlink"/>
            <w:rFonts w:asciiTheme="minorHAnsi" w:hAnsiTheme="minorHAnsi" w:cstheme="minorHAnsi"/>
            <w:szCs w:val="22"/>
          </w:rPr>
          <w:t>https://en.nvz-ziekenhuizen.nl/topics/quality-window/</w:t>
        </w:r>
      </w:hyperlink>
      <w:r w:rsidRPr="006C7213">
        <w:rPr>
          <w:rFonts w:cstheme="minorHAnsi"/>
          <w:sz w:val="22"/>
          <w:szCs w:val="22"/>
        </w:rPr>
        <w:t xml:space="preserve"> </w:t>
      </w:r>
    </w:p>
  </w:endnote>
  <w:endnote w:id="77">
    <w:p w14:paraId="757BDB3A" w14:textId="24EA0C2D"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Pr>
          <w:rFonts w:cstheme="minorHAnsi"/>
          <w:sz w:val="22"/>
          <w:szCs w:val="22"/>
        </w:rPr>
        <w:t xml:space="preserve">Government of the Netherlands </w:t>
      </w:r>
      <w:r w:rsidRPr="004264CB">
        <w:rPr>
          <w:rFonts w:cstheme="minorHAnsi"/>
          <w:sz w:val="22"/>
          <w:szCs w:val="22"/>
        </w:rPr>
        <w:t>Ministry of Health, Welfare and Sport.</w:t>
      </w:r>
      <w:proofErr w:type="gramEnd"/>
      <w:r w:rsidRPr="004264CB">
        <w:rPr>
          <w:rFonts w:cstheme="minorHAnsi"/>
          <w:sz w:val="22"/>
          <w:szCs w:val="22"/>
        </w:rPr>
        <w:t xml:space="preserve"> </w:t>
      </w:r>
      <w:proofErr w:type="gramStart"/>
      <w:r w:rsidRPr="006C7213">
        <w:rPr>
          <w:rFonts w:cstheme="minorHAnsi"/>
          <w:sz w:val="22"/>
          <w:szCs w:val="22"/>
          <w:lang w:val="en-US"/>
        </w:rPr>
        <w:t>Dutc</w:t>
      </w:r>
      <w:r w:rsidRPr="004264CB">
        <w:rPr>
          <w:rFonts w:cstheme="minorHAnsi"/>
          <w:sz w:val="22"/>
          <w:szCs w:val="22"/>
          <w:lang w:val="en-US"/>
        </w:rPr>
        <w:t xml:space="preserve">h </w:t>
      </w:r>
      <w:r>
        <w:rPr>
          <w:rFonts w:cstheme="minorHAnsi"/>
          <w:sz w:val="22"/>
          <w:szCs w:val="22"/>
          <w:lang w:val="en-US"/>
        </w:rPr>
        <w:t>Health Care Performance Report 2010.</w:t>
      </w:r>
      <w:proofErr w:type="gramEnd"/>
      <w:r w:rsidRPr="004264CB">
        <w:rPr>
          <w:rFonts w:cstheme="minorHAnsi"/>
          <w:sz w:val="22"/>
          <w:szCs w:val="22"/>
          <w:lang w:val="en-US"/>
        </w:rPr>
        <w:t xml:space="preserve"> Accessed 1/05/2018.</w:t>
      </w:r>
      <w:r>
        <w:rPr>
          <w:rFonts w:cstheme="minorHAnsi"/>
          <w:sz w:val="22"/>
          <w:szCs w:val="22"/>
          <w:lang w:val="en-US"/>
        </w:rPr>
        <w:t xml:space="preserve"> </w:t>
      </w:r>
      <w:r w:rsidRPr="004264CB">
        <w:rPr>
          <w:rFonts w:cstheme="minorHAnsi"/>
          <w:sz w:val="22"/>
          <w:szCs w:val="22"/>
        </w:rPr>
        <w:t>Available</w:t>
      </w:r>
      <w:r w:rsidRPr="006C7213">
        <w:rPr>
          <w:rFonts w:cstheme="minorHAnsi"/>
          <w:sz w:val="22"/>
          <w:szCs w:val="22"/>
        </w:rPr>
        <w:t xml:space="preserve"> </w:t>
      </w:r>
      <w:r>
        <w:rPr>
          <w:rFonts w:cstheme="minorHAnsi"/>
          <w:sz w:val="22"/>
          <w:szCs w:val="22"/>
        </w:rPr>
        <w:t>from</w:t>
      </w:r>
      <w:r w:rsidRPr="006C7213">
        <w:rPr>
          <w:rFonts w:cstheme="minorHAnsi"/>
          <w:sz w:val="22"/>
          <w:szCs w:val="22"/>
        </w:rPr>
        <w:t xml:space="preserve">: </w:t>
      </w:r>
      <w:hyperlink r:id="rId35" w:history="1">
        <w:r w:rsidRPr="006C7213">
          <w:rPr>
            <w:rStyle w:val="Hyperlink"/>
            <w:rFonts w:asciiTheme="minorHAnsi" w:hAnsiTheme="minorHAnsi" w:cstheme="minorHAnsi"/>
            <w:szCs w:val="22"/>
          </w:rPr>
          <w:t>https://www.gezondheidszorgbalans.nl/English</w:t>
        </w:r>
      </w:hyperlink>
      <w:r w:rsidRPr="006C7213">
        <w:rPr>
          <w:rFonts w:cstheme="minorHAnsi"/>
          <w:sz w:val="22"/>
          <w:szCs w:val="22"/>
        </w:rPr>
        <w:t xml:space="preserve">. </w:t>
      </w:r>
    </w:p>
  </w:endnote>
  <w:endnote w:id="78">
    <w:p w14:paraId="2B963722" w14:textId="457142F1" w:rsidR="00F70157" w:rsidRPr="00D872F7"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6C7213">
        <w:rPr>
          <w:rFonts w:cstheme="minorHAnsi"/>
          <w:sz w:val="22"/>
          <w:szCs w:val="22"/>
          <w:lang w:val="en-US"/>
        </w:rPr>
        <w:t>US Department of Health and Human Services.</w:t>
      </w:r>
      <w:proofErr w:type="gramEnd"/>
      <w:r w:rsidRPr="006C7213">
        <w:rPr>
          <w:rFonts w:cstheme="minorHAnsi"/>
          <w:sz w:val="22"/>
          <w:szCs w:val="22"/>
          <w:lang w:val="en-US"/>
        </w:rPr>
        <w:t xml:space="preserve"> </w:t>
      </w:r>
      <w:proofErr w:type="gramStart"/>
      <w:r w:rsidRPr="006C7213">
        <w:rPr>
          <w:rFonts w:cstheme="minorHAnsi"/>
          <w:sz w:val="22"/>
          <w:szCs w:val="22"/>
          <w:lang w:val="en-US"/>
        </w:rPr>
        <w:t>Performance improvements.</w:t>
      </w:r>
      <w:proofErr w:type="gramEnd"/>
      <w:r w:rsidRPr="006C7213">
        <w:rPr>
          <w:rFonts w:cstheme="minorHAnsi"/>
          <w:sz w:val="22"/>
          <w:szCs w:val="22"/>
          <w:lang w:val="en-US"/>
        </w:rPr>
        <w:t xml:space="preserve"> </w:t>
      </w:r>
      <w:proofErr w:type="gramStart"/>
      <w:r w:rsidRPr="006C7213">
        <w:rPr>
          <w:rFonts w:cstheme="minorHAnsi"/>
          <w:sz w:val="22"/>
          <w:szCs w:val="22"/>
          <w:lang w:val="en-US"/>
        </w:rPr>
        <w:t>Accessed: 1/05/2018.</w:t>
      </w:r>
      <w:proofErr w:type="gramEnd"/>
      <w:r>
        <w:rPr>
          <w:rFonts w:cstheme="minorHAnsi"/>
          <w:sz w:val="22"/>
          <w:szCs w:val="22"/>
          <w:lang w:val="en-US"/>
        </w:rPr>
        <w:t xml:space="preserve"> </w:t>
      </w:r>
      <w:r w:rsidRPr="006C7213">
        <w:rPr>
          <w:rFonts w:cstheme="minorHAnsi"/>
          <w:sz w:val="22"/>
          <w:szCs w:val="22"/>
          <w:lang w:val="en-US"/>
        </w:rPr>
        <w:t xml:space="preserve">Available </w:t>
      </w:r>
      <w:r>
        <w:rPr>
          <w:rFonts w:cstheme="minorHAnsi"/>
          <w:sz w:val="22"/>
          <w:szCs w:val="22"/>
          <w:lang w:val="en-US"/>
        </w:rPr>
        <w:t>from</w:t>
      </w:r>
      <w:r w:rsidRPr="006C7213">
        <w:rPr>
          <w:rFonts w:cstheme="minorHAnsi"/>
          <w:sz w:val="22"/>
          <w:szCs w:val="22"/>
          <w:lang w:val="en-US"/>
        </w:rPr>
        <w:t xml:space="preserve">: </w:t>
      </w:r>
      <w:hyperlink r:id="rId36" w:anchor="tab-106-1" w:history="1">
        <w:r w:rsidRPr="00D872F7">
          <w:rPr>
            <w:rStyle w:val="Hyperlink"/>
            <w:rFonts w:asciiTheme="minorHAnsi" w:hAnsiTheme="minorHAnsi" w:cstheme="minorHAnsi"/>
            <w:szCs w:val="22"/>
            <w:lang w:val="en-US"/>
          </w:rPr>
          <w:t>https://aspe.hhs.gov/report/performance-improvement-2013-2014#tab-106-1</w:t>
        </w:r>
      </w:hyperlink>
      <w:r w:rsidRPr="00D872F7">
        <w:rPr>
          <w:rFonts w:cstheme="minorHAnsi"/>
          <w:sz w:val="22"/>
          <w:szCs w:val="22"/>
          <w:lang w:val="en-US"/>
        </w:rPr>
        <w:t xml:space="preserve">. </w:t>
      </w:r>
    </w:p>
  </w:endnote>
  <w:endnote w:id="79">
    <w:p w14:paraId="3CCDDEF4" w14:textId="76E41666"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t xml:space="preserve">Medicare.gov. </w:t>
      </w:r>
      <w:r w:rsidRPr="00D872F7">
        <w:rPr>
          <w:rFonts w:cstheme="minorHAnsi"/>
          <w:sz w:val="22"/>
          <w:szCs w:val="22"/>
          <w:lang w:val="en-US"/>
        </w:rPr>
        <w:t xml:space="preserve">Hospital </w:t>
      </w:r>
      <w:proofErr w:type="gramStart"/>
      <w:r w:rsidRPr="00D872F7">
        <w:rPr>
          <w:rFonts w:cstheme="minorHAnsi"/>
          <w:sz w:val="22"/>
          <w:szCs w:val="22"/>
          <w:lang w:val="en-US"/>
        </w:rPr>
        <w:t>compare</w:t>
      </w:r>
      <w:proofErr w:type="gramEnd"/>
      <w:r w:rsidRPr="00D872F7">
        <w:rPr>
          <w:rFonts w:cstheme="minorHAnsi"/>
          <w:sz w:val="22"/>
          <w:szCs w:val="22"/>
          <w:lang w:val="en-US"/>
        </w:rPr>
        <w:t xml:space="preserve"> overall rating. </w:t>
      </w:r>
      <w:proofErr w:type="gramStart"/>
      <w:r w:rsidRPr="00D872F7">
        <w:rPr>
          <w:rFonts w:cstheme="minorHAnsi"/>
          <w:sz w:val="22"/>
          <w:szCs w:val="22"/>
          <w:lang w:val="en-US"/>
        </w:rPr>
        <w:t>Accessed: 27/04/2018.</w:t>
      </w:r>
      <w:proofErr w:type="gramEnd"/>
      <w:r w:rsidRPr="00D872F7">
        <w:rPr>
          <w:rFonts w:cstheme="minorHAnsi"/>
          <w:sz w:val="22"/>
          <w:szCs w:val="22"/>
          <w:lang w:val="en-US"/>
        </w:rPr>
        <w:t xml:space="preserve"> Available from: </w:t>
      </w:r>
      <w:hyperlink r:id="rId37" w:history="1">
        <w:r w:rsidRPr="00D872F7">
          <w:rPr>
            <w:rStyle w:val="Hyperlink"/>
            <w:rFonts w:asciiTheme="minorHAnsi" w:hAnsiTheme="minorHAnsi"/>
            <w:szCs w:val="22"/>
          </w:rPr>
          <w:t>https://www.medicare.gov/hospitalcompare/Data/Measure-groups.html</w:t>
        </w:r>
      </w:hyperlink>
      <w:r w:rsidRPr="00D872F7">
        <w:rPr>
          <w:sz w:val="22"/>
          <w:szCs w:val="22"/>
        </w:rPr>
        <w:t xml:space="preserve">. </w:t>
      </w:r>
    </w:p>
  </w:endnote>
  <w:endnote w:id="80">
    <w:p w14:paraId="40EF1B0B" w14:textId="54C09F1B"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rPr>
        <w:t>Agency for Healthcare Research and Quality.</w:t>
      </w:r>
      <w:proofErr w:type="gramEnd"/>
      <w:r w:rsidRPr="00D872F7">
        <w:rPr>
          <w:rFonts w:cstheme="minorHAnsi"/>
          <w:sz w:val="22"/>
          <w:szCs w:val="22"/>
        </w:rPr>
        <w:t xml:space="preserve"> </w:t>
      </w:r>
      <w:r w:rsidRPr="00D872F7">
        <w:rPr>
          <w:rFonts w:cstheme="minorHAnsi"/>
          <w:sz w:val="22"/>
          <w:szCs w:val="22"/>
          <w:lang w:val="en-US"/>
        </w:rPr>
        <w:t xml:space="preserve">What we do. Accessed 27/04/2018. Available from: </w:t>
      </w:r>
      <w:hyperlink r:id="rId38" w:history="1">
        <w:r w:rsidRPr="00D872F7">
          <w:rPr>
            <w:rStyle w:val="Hyperlink"/>
            <w:rFonts w:asciiTheme="minorHAnsi" w:hAnsiTheme="minorHAnsi" w:cstheme="minorHAnsi"/>
            <w:szCs w:val="22"/>
            <w:lang w:val="en-US"/>
          </w:rPr>
          <w:t>https://www.ahrq.gov/</w:t>
        </w:r>
      </w:hyperlink>
      <w:r w:rsidRPr="00D872F7">
        <w:rPr>
          <w:rFonts w:cstheme="minorHAnsi"/>
          <w:sz w:val="22"/>
          <w:szCs w:val="22"/>
          <w:lang w:val="en-US"/>
        </w:rPr>
        <w:t xml:space="preserve">. </w:t>
      </w:r>
    </w:p>
  </w:endnote>
  <w:endnote w:id="81">
    <w:p w14:paraId="2FED5E1F" w14:textId="2B125CC6"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rPr>
        <w:t>Agency for Healthcare Research and Quality.</w:t>
      </w:r>
      <w:proofErr w:type="gramEnd"/>
      <w:r w:rsidRPr="00D872F7">
        <w:rPr>
          <w:rFonts w:cstheme="minorHAnsi"/>
          <w:sz w:val="22"/>
          <w:szCs w:val="22"/>
        </w:rPr>
        <w:t xml:space="preserve"> </w:t>
      </w:r>
      <w:proofErr w:type="gramStart"/>
      <w:r w:rsidRPr="00D872F7">
        <w:rPr>
          <w:rFonts w:cstheme="minorHAnsi"/>
          <w:sz w:val="22"/>
          <w:szCs w:val="22"/>
          <w:lang w:val="en-US"/>
        </w:rPr>
        <w:t>AHRQ Indicators.</w:t>
      </w:r>
      <w:proofErr w:type="gramEnd"/>
      <w:r w:rsidRPr="00D872F7">
        <w:rPr>
          <w:rFonts w:cstheme="minorHAnsi"/>
          <w:sz w:val="22"/>
          <w:szCs w:val="22"/>
          <w:lang w:val="en-US"/>
        </w:rPr>
        <w:t xml:space="preserve"> Accessed 27/04/2018. Available from:  </w:t>
      </w:r>
      <w:hyperlink r:id="rId39" w:history="1">
        <w:r w:rsidRPr="00D872F7">
          <w:rPr>
            <w:rStyle w:val="Hyperlink"/>
            <w:rFonts w:asciiTheme="minorHAnsi" w:hAnsiTheme="minorHAnsi" w:cstheme="minorHAnsi"/>
            <w:szCs w:val="22"/>
            <w:lang w:val="en-US"/>
          </w:rPr>
          <w:t>http://www.qualityindicators.ahrq.gov</w:t>
        </w:r>
      </w:hyperlink>
      <w:r w:rsidRPr="00D872F7">
        <w:rPr>
          <w:rFonts w:cstheme="minorHAnsi"/>
          <w:sz w:val="22"/>
          <w:szCs w:val="22"/>
          <w:lang w:val="en-US"/>
        </w:rPr>
        <w:t xml:space="preserve">. </w:t>
      </w:r>
    </w:p>
  </w:endnote>
  <w:endnote w:id="82">
    <w:p w14:paraId="40409F08" w14:textId="202F26A3"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rPr>
        <w:t>Agency for Healthcare Research and Quality.</w:t>
      </w:r>
      <w:proofErr w:type="gramEnd"/>
      <w:r w:rsidRPr="00D872F7">
        <w:rPr>
          <w:rFonts w:cstheme="minorHAnsi"/>
          <w:sz w:val="22"/>
          <w:szCs w:val="22"/>
        </w:rPr>
        <w:t xml:space="preserve"> </w:t>
      </w:r>
      <w:proofErr w:type="gramStart"/>
      <w:r w:rsidRPr="00D872F7">
        <w:rPr>
          <w:rFonts w:cstheme="minorHAnsi"/>
          <w:sz w:val="22"/>
          <w:szCs w:val="22"/>
          <w:lang w:val="en-US"/>
        </w:rPr>
        <w:t>Patient Safety Indicators v6.0 ICD-9-CM Benchmark Data Tables.</w:t>
      </w:r>
      <w:proofErr w:type="gramEnd"/>
      <w:r w:rsidRPr="00D872F7">
        <w:rPr>
          <w:rFonts w:cstheme="minorHAnsi"/>
          <w:sz w:val="22"/>
          <w:szCs w:val="22"/>
          <w:lang w:val="en-US"/>
        </w:rPr>
        <w:t xml:space="preserve"> </w:t>
      </w:r>
      <w:proofErr w:type="gramStart"/>
      <w:r w:rsidRPr="00D872F7">
        <w:rPr>
          <w:rFonts w:cstheme="minorHAnsi"/>
          <w:sz w:val="22"/>
          <w:szCs w:val="22"/>
          <w:lang w:val="en-US"/>
        </w:rPr>
        <w:t>Accessed: 27/04/2018.</w:t>
      </w:r>
      <w:proofErr w:type="gramEnd"/>
      <w:r w:rsidRPr="00D872F7">
        <w:rPr>
          <w:rFonts w:cstheme="minorHAnsi"/>
          <w:sz w:val="22"/>
          <w:szCs w:val="22"/>
          <w:lang w:val="en-US"/>
        </w:rPr>
        <w:t xml:space="preserve"> Available from: </w:t>
      </w:r>
      <w:hyperlink r:id="rId40" w:history="1">
        <w:r w:rsidRPr="00D872F7">
          <w:rPr>
            <w:rStyle w:val="Hyperlink"/>
            <w:rFonts w:asciiTheme="minorHAnsi" w:hAnsiTheme="minorHAnsi"/>
            <w:szCs w:val="22"/>
          </w:rPr>
          <w:t>http://www.qualityindicators.ahrq.gov</w:t>
        </w:r>
      </w:hyperlink>
      <w:r w:rsidRPr="00D872F7">
        <w:rPr>
          <w:sz w:val="22"/>
          <w:szCs w:val="22"/>
        </w:rPr>
        <w:t>.</w:t>
      </w:r>
      <w:r w:rsidRPr="00D872F7">
        <w:t xml:space="preserve"> </w:t>
      </w:r>
    </w:p>
  </w:endnote>
  <w:endnote w:id="83">
    <w:p w14:paraId="0A21D299" w14:textId="178A514B"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rPr>
        <w:t>The Leapfrog Group.</w:t>
      </w:r>
      <w:proofErr w:type="gramEnd"/>
      <w:r w:rsidRPr="00D872F7">
        <w:rPr>
          <w:rFonts w:cstheme="minorHAnsi"/>
          <w:sz w:val="22"/>
          <w:szCs w:val="22"/>
        </w:rPr>
        <w:t xml:space="preserve"> </w:t>
      </w:r>
      <w:proofErr w:type="gramStart"/>
      <w:r w:rsidRPr="00D872F7">
        <w:rPr>
          <w:rFonts w:cstheme="minorHAnsi"/>
          <w:sz w:val="22"/>
          <w:szCs w:val="22"/>
        </w:rPr>
        <w:t>About us and our mission.</w:t>
      </w:r>
      <w:proofErr w:type="gramEnd"/>
      <w:r w:rsidRPr="00D872F7">
        <w:rPr>
          <w:rFonts w:cstheme="minorHAnsi"/>
          <w:sz w:val="22"/>
          <w:szCs w:val="22"/>
        </w:rPr>
        <w:t xml:space="preserve"> </w:t>
      </w:r>
      <w:proofErr w:type="gramStart"/>
      <w:r w:rsidRPr="00D872F7">
        <w:rPr>
          <w:rFonts w:cstheme="minorHAnsi"/>
          <w:sz w:val="22"/>
          <w:szCs w:val="22"/>
        </w:rPr>
        <w:t>Accessed: 30/04/2018.</w:t>
      </w:r>
      <w:proofErr w:type="gramEnd"/>
      <w:r w:rsidRPr="00D872F7">
        <w:rPr>
          <w:rFonts w:cstheme="minorHAnsi"/>
          <w:sz w:val="22"/>
          <w:szCs w:val="22"/>
        </w:rPr>
        <w:t xml:space="preserve"> Available from: </w:t>
      </w:r>
      <w:hyperlink r:id="rId41" w:history="1">
        <w:r w:rsidRPr="00D872F7">
          <w:rPr>
            <w:rStyle w:val="Hyperlink"/>
            <w:rFonts w:asciiTheme="minorHAnsi" w:hAnsiTheme="minorHAnsi" w:cstheme="minorHAnsi"/>
            <w:szCs w:val="22"/>
          </w:rPr>
          <w:t>http://www.leapfroggroup.org/about</w:t>
        </w:r>
      </w:hyperlink>
      <w:r w:rsidRPr="00D872F7">
        <w:rPr>
          <w:rFonts w:cstheme="minorHAnsi"/>
          <w:sz w:val="22"/>
          <w:szCs w:val="22"/>
        </w:rPr>
        <w:t xml:space="preserve">. </w:t>
      </w:r>
    </w:p>
  </w:endnote>
  <w:endnote w:id="84">
    <w:p w14:paraId="4E98DF25" w14:textId="1AE96479"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lang w:val="en-US"/>
        </w:rPr>
        <w:t>Leapfrog Hospital Safety Grade.</w:t>
      </w:r>
      <w:proofErr w:type="gramEnd"/>
      <w:r w:rsidRPr="00D872F7">
        <w:rPr>
          <w:rFonts w:cstheme="minorHAnsi"/>
          <w:sz w:val="22"/>
          <w:szCs w:val="22"/>
          <w:lang w:val="en-US"/>
        </w:rPr>
        <w:t xml:space="preserve"> </w:t>
      </w:r>
      <w:proofErr w:type="gramStart"/>
      <w:r w:rsidRPr="00D872F7">
        <w:rPr>
          <w:rFonts w:cstheme="minorHAnsi"/>
          <w:sz w:val="22"/>
          <w:szCs w:val="22"/>
          <w:lang w:val="en-US"/>
        </w:rPr>
        <w:t>About the Grade.</w:t>
      </w:r>
      <w:proofErr w:type="gramEnd"/>
      <w:r w:rsidRPr="00D872F7">
        <w:rPr>
          <w:rFonts w:cstheme="minorHAnsi"/>
          <w:sz w:val="22"/>
          <w:szCs w:val="22"/>
          <w:lang w:val="en-US"/>
        </w:rPr>
        <w:t xml:space="preserve"> Accessed 30/04/2018. Available from: </w:t>
      </w:r>
      <w:hyperlink r:id="rId42" w:history="1">
        <w:r w:rsidRPr="00D872F7">
          <w:rPr>
            <w:rStyle w:val="Hyperlink"/>
            <w:rFonts w:asciiTheme="minorHAnsi" w:hAnsiTheme="minorHAnsi" w:cstheme="minorHAnsi"/>
            <w:szCs w:val="22"/>
            <w:lang w:val="en-US"/>
          </w:rPr>
          <w:t>https://www.hospitalsafetygrade.org/your-hospitals-safety-grade/about-the-grade</w:t>
        </w:r>
      </w:hyperlink>
      <w:r w:rsidRPr="00D872F7">
        <w:rPr>
          <w:rFonts w:cstheme="minorHAnsi"/>
          <w:sz w:val="22"/>
          <w:szCs w:val="22"/>
          <w:lang w:val="en-US"/>
        </w:rPr>
        <w:t xml:space="preserve">. </w:t>
      </w:r>
    </w:p>
  </w:endnote>
  <w:endnote w:id="85">
    <w:p w14:paraId="59B564AF" w14:textId="6B328802"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rPr>
        <w:t>The Leapfrog Group.</w:t>
      </w:r>
      <w:proofErr w:type="gramEnd"/>
      <w:r w:rsidRPr="00D872F7">
        <w:rPr>
          <w:rFonts w:cstheme="minorHAnsi"/>
          <w:sz w:val="22"/>
          <w:szCs w:val="22"/>
        </w:rPr>
        <w:t xml:space="preserve"> </w:t>
      </w:r>
      <w:proofErr w:type="gramStart"/>
      <w:r w:rsidRPr="00D872F7">
        <w:rPr>
          <w:rFonts w:cstheme="minorHAnsi"/>
          <w:sz w:val="22"/>
          <w:szCs w:val="22"/>
          <w:lang w:val="en-US"/>
        </w:rPr>
        <w:t>Competitive Benchmarking.</w:t>
      </w:r>
      <w:proofErr w:type="gramEnd"/>
      <w:r w:rsidRPr="00D872F7">
        <w:rPr>
          <w:rFonts w:cstheme="minorHAnsi"/>
          <w:sz w:val="22"/>
          <w:szCs w:val="22"/>
          <w:lang w:val="en-US"/>
        </w:rPr>
        <w:t xml:space="preserve"> Accessed 30/04/2018. Available from: </w:t>
      </w:r>
      <w:hyperlink r:id="rId43" w:history="1">
        <w:r w:rsidRPr="00D872F7">
          <w:rPr>
            <w:rStyle w:val="Hyperlink"/>
            <w:rFonts w:asciiTheme="minorHAnsi" w:hAnsiTheme="minorHAnsi" w:cstheme="minorHAnsi"/>
            <w:szCs w:val="22"/>
            <w:lang w:val="en-US"/>
          </w:rPr>
          <w:t>http://www.leapfroggroup.org/ratings-reports/competitive-benchmarking</w:t>
        </w:r>
      </w:hyperlink>
      <w:r w:rsidRPr="00D872F7">
        <w:rPr>
          <w:rFonts w:cstheme="minorHAnsi"/>
          <w:sz w:val="22"/>
          <w:szCs w:val="22"/>
          <w:lang w:val="en-US"/>
        </w:rPr>
        <w:t xml:space="preserve">. </w:t>
      </w:r>
    </w:p>
  </w:endnote>
  <w:endnote w:id="86">
    <w:p w14:paraId="1EE46A0A" w14:textId="58F6586A"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rPr>
        <w:t>The Joint Commission.</w:t>
      </w:r>
      <w:proofErr w:type="gramEnd"/>
      <w:r w:rsidRPr="00D872F7">
        <w:rPr>
          <w:rFonts w:cstheme="minorHAnsi"/>
          <w:sz w:val="22"/>
          <w:szCs w:val="22"/>
        </w:rPr>
        <w:t xml:space="preserve"> </w:t>
      </w:r>
      <w:proofErr w:type="gramStart"/>
      <w:r w:rsidRPr="00D872F7">
        <w:rPr>
          <w:rFonts w:cstheme="minorHAnsi"/>
          <w:sz w:val="22"/>
          <w:szCs w:val="22"/>
          <w:lang w:val="en-US"/>
        </w:rPr>
        <w:t>About Quality Check.</w:t>
      </w:r>
      <w:proofErr w:type="gramEnd"/>
      <w:r w:rsidRPr="00D872F7">
        <w:rPr>
          <w:rFonts w:cstheme="minorHAnsi"/>
          <w:sz w:val="22"/>
          <w:szCs w:val="22"/>
          <w:lang w:val="en-US"/>
        </w:rPr>
        <w:t xml:space="preserve"> Accessed 1/05/2018. Available online: </w:t>
      </w:r>
      <w:hyperlink r:id="rId44" w:history="1">
        <w:r w:rsidRPr="00D872F7">
          <w:rPr>
            <w:rStyle w:val="Hyperlink"/>
            <w:rFonts w:asciiTheme="minorHAnsi" w:hAnsiTheme="minorHAnsi" w:cstheme="minorHAnsi"/>
            <w:szCs w:val="22"/>
            <w:lang w:val="en-US"/>
          </w:rPr>
          <w:t>https://www.qualitycheck.org/</w:t>
        </w:r>
      </w:hyperlink>
      <w:r w:rsidRPr="00D872F7">
        <w:rPr>
          <w:rFonts w:cstheme="minorHAnsi"/>
          <w:sz w:val="22"/>
          <w:szCs w:val="22"/>
          <w:lang w:val="en-US"/>
        </w:rPr>
        <w:t xml:space="preserve">. </w:t>
      </w:r>
    </w:p>
  </w:endnote>
  <w:endnote w:id="87">
    <w:p w14:paraId="3BC4BAA7" w14:textId="57A4D595"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r w:rsidRPr="00D872F7">
        <w:rPr>
          <w:rFonts w:cstheme="minorHAnsi"/>
          <w:sz w:val="22"/>
          <w:szCs w:val="22"/>
          <w:lang w:val="en-US"/>
        </w:rPr>
        <w:t xml:space="preserve">Kaiser Permanente. </w:t>
      </w:r>
      <w:proofErr w:type="gramStart"/>
      <w:r w:rsidRPr="00D872F7">
        <w:rPr>
          <w:rFonts w:cstheme="minorHAnsi"/>
          <w:sz w:val="22"/>
          <w:szCs w:val="22"/>
          <w:lang w:val="en-US"/>
        </w:rPr>
        <w:t>Health Research.</w:t>
      </w:r>
      <w:proofErr w:type="gramEnd"/>
      <w:r w:rsidRPr="00D872F7">
        <w:rPr>
          <w:rFonts w:cstheme="minorHAnsi"/>
          <w:sz w:val="22"/>
          <w:szCs w:val="22"/>
          <w:lang w:val="en-US"/>
        </w:rPr>
        <w:t xml:space="preserve"> </w:t>
      </w:r>
      <w:proofErr w:type="gramStart"/>
      <w:r w:rsidRPr="00D872F7">
        <w:rPr>
          <w:rFonts w:cstheme="minorHAnsi"/>
          <w:sz w:val="22"/>
          <w:szCs w:val="22"/>
          <w:lang w:val="en-US"/>
        </w:rPr>
        <w:t>Accessed: 1/05/2018.</w:t>
      </w:r>
      <w:proofErr w:type="gramEnd"/>
      <w:r w:rsidRPr="00D872F7">
        <w:rPr>
          <w:rFonts w:cstheme="minorHAnsi"/>
          <w:sz w:val="22"/>
          <w:szCs w:val="22"/>
          <w:lang w:val="en-US"/>
        </w:rPr>
        <w:t xml:space="preserve"> Available from: </w:t>
      </w:r>
      <w:hyperlink r:id="rId45" w:history="1">
        <w:r w:rsidRPr="00D872F7">
          <w:rPr>
            <w:rStyle w:val="Hyperlink"/>
            <w:rFonts w:asciiTheme="minorHAnsi" w:hAnsiTheme="minorHAnsi" w:cstheme="minorHAnsi"/>
            <w:szCs w:val="22"/>
            <w:lang w:val="en-US"/>
          </w:rPr>
          <w:t>https://share.kaiserpermanente.org/article/about-kaiser-permanente-research/</w:t>
        </w:r>
      </w:hyperlink>
      <w:r w:rsidRPr="00D872F7">
        <w:rPr>
          <w:rFonts w:cstheme="minorHAnsi"/>
          <w:sz w:val="22"/>
          <w:szCs w:val="22"/>
          <w:lang w:val="en-US"/>
        </w:rPr>
        <w:t xml:space="preserve">. </w:t>
      </w:r>
    </w:p>
  </w:endnote>
  <w:endnote w:id="88">
    <w:p w14:paraId="093B07C5" w14:textId="31B14EC4"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t xml:space="preserve">ACT Health. ACT Public Health Services Quarterly Performance Report. </w:t>
      </w:r>
      <w:r w:rsidRPr="00D872F7">
        <w:rPr>
          <w:rFonts w:cstheme="minorHAnsi"/>
          <w:sz w:val="22"/>
          <w:szCs w:val="22"/>
          <w:lang w:val="en-US"/>
        </w:rPr>
        <w:t xml:space="preserve">Accessed 13/05/2018. Available from: </w:t>
      </w:r>
      <w:hyperlink r:id="rId46" w:history="1">
        <w:r w:rsidRPr="00D872F7">
          <w:rPr>
            <w:rStyle w:val="Hyperlink"/>
            <w:rFonts w:asciiTheme="minorHAnsi" w:hAnsiTheme="minorHAnsi" w:cstheme="minorHAnsi"/>
            <w:szCs w:val="22"/>
            <w:lang w:val="en-US"/>
          </w:rPr>
          <w:t>https://health.act.gov.au/about-our-health-system/data-and-publications/reports/act-public-health-services-quarterly</w:t>
        </w:r>
      </w:hyperlink>
      <w:r w:rsidRPr="00D872F7">
        <w:rPr>
          <w:rFonts w:cstheme="minorHAnsi"/>
          <w:sz w:val="22"/>
          <w:szCs w:val="22"/>
          <w:lang w:val="en-US"/>
        </w:rPr>
        <w:t xml:space="preserve"> </w:t>
      </w:r>
    </w:p>
  </w:endnote>
  <w:endnote w:id="89">
    <w:p w14:paraId="38A5D427" w14:textId="4577D6D9" w:rsidR="00F70157" w:rsidRPr="00D872F7" w:rsidRDefault="00F70157" w:rsidP="00E07076">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rPr>
        <w:t>Bureau of Health Information.</w:t>
      </w:r>
      <w:proofErr w:type="gramEnd"/>
      <w:r w:rsidRPr="00D872F7">
        <w:rPr>
          <w:rFonts w:cstheme="minorHAnsi"/>
          <w:sz w:val="22"/>
          <w:szCs w:val="22"/>
        </w:rPr>
        <w:t xml:space="preserve"> </w:t>
      </w:r>
      <w:r>
        <w:rPr>
          <w:rFonts w:cstheme="minorHAnsi"/>
          <w:sz w:val="22"/>
          <w:szCs w:val="22"/>
          <w:lang w:val="en-US"/>
        </w:rPr>
        <w:t xml:space="preserve">Healthcare in Focus </w:t>
      </w:r>
      <w:r w:rsidRPr="00E07076">
        <w:rPr>
          <w:rFonts w:cstheme="minorHAnsi"/>
          <w:sz w:val="22"/>
          <w:szCs w:val="22"/>
          <w:lang w:val="en-US"/>
        </w:rPr>
        <w:t>2017 - How does NSW compare</w:t>
      </w:r>
      <w:proofErr w:type="gramStart"/>
      <w:r w:rsidRPr="00E07076">
        <w:rPr>
          <w:rFonts w:cstheme="minorHAnsi"/>
          <w:sz w:val="22"/>
          <w:szCs w:val="22"/>
          <w:lang w:val="en-US"/>
        </w:rPr>
        <w:t>?</w:t>
      </w:r>
      <w:r w:rsidRPr="00D872F7">
        <w:rPr>
          <w:rFonts w:cstheme="minorHAnsi"/>
          <w:sz w:val="22"/>
          <w:szCs w:val="22"/>
          <w:lang w:val="en-US"/>
        </w:rPr>
        <w:t>.</w:t>
      </w:r>
      <w:proofErr w:type="gramEnd"/>
      <w:r w:rsidRPr="00D872F7">
        <w:rPr>
          <w:rFonts w:cstheme="minorHAnsi"/>
          <w:sz w:val="22"/>
          <w:szCs w:val="22"/>
          <w:lang w:val="en-US"/>
        </w:rPr>
        <w:t xml:space="preserve"> </w:t>
      </w:r>
      <w:proofErr w:type="spellStart"/>
      <w:r>
        <w:rPr>
          <w:rFonts w:cstheme="minorHAnsi"/>
          <w:sz w:val="22"/>
          <w:szCs w:val="22"/>
          <w:lang w:val="en-US"/>
        </w:rPr>
        <w:t>Chatswood</w:t>
      </w:r>
      <w:proofErr w:type="spellEnd"/>
      <w:r>
        <w:rPr>
          <w:rFonts w:cstheme="minorHAnsi"/>
          <w:sz w:val="22"/>
          <w:szCs w:val="22"/>
          <w:lang w:val="en-US"/>
        </w:rPr>
        <w:t xml:space="preserve">: </w:t>
      </w:r>
      <w:r w:rsidRPr="00E07076">
        <w:rPr>
          <w:rFonts w:cstheme="minorHAnsi"/>
          <w:sz w:val="22"/>
          <w:szCs w:val="22"/>
          <w:lang w:val="en-US"/>
        </w:rPr>
        <w:t xml:space="preserve">Bureau of Health Information </w:t>
      </w:r>
      <w:r>
        <w:rPr>
          <w:rFonts w:cstheme="minorHAnsi"/>
          <w:sz w:val="22"/>
          <w:szCs w:val="22"/>
          <w:lang w:val="en-US"/>
        </w:rPr>
        <w:t xml:space="preserve">2018. </w:t>
      </w:r>
      <w:r w:rsidRPr="00D872F7">
        <w:rPr>
          <w:rFonts w:cstheme="minorHAnsi"/>
          <w:sz w:val="22"/>
          <w:szCs w:val="22"/>
          <w:lang w:val="en-US"/>
        </w:rPr>
        <w:t xml:space="preserve">Available from: </w:t>
      </w:r>
      <w:hyperlink r:id="rId47" w:history="1">
        <w:r w:rsidRPr="00E07076">
          <w:rPr>
            <w:rStyle w:val="Hyperlink"/>
            <w:rFonts w:asciiTheme="minorHAnsi" w:hAnsiTheme="minorHAnsi"/>
            <w:szCs w:val="22"/>
          </w:rPr>
          <w:t>http://www.bhi.nsw.gov.au/BHI_reports/healthcare_in_focus/2017</w:t>
        </w:r>
      </w:hyperlink>
      <w:r>
        <w:rPr>
          <w:sz w:val="22"/>
          <w:szCs w:val="22"/>
        </w:rPr>
        <w:t>.</w:t>
      </w:r>
      <w:r>
        <w:t xml:space="preserve"> </w:t>
      </w:r>
    </w:p>
  </w:endnote>
  <w:endnote w:id="90">
    <w:p w14:paraId="4CC8AFDD" w14:textId="45DDE5B9"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rPr>
        <w:t>Bureau of health information.</w:t>
      </w:r>
      <w:proofErr w:type="gramEnd"/>
      <w:r w:rsidRPr="00D872F7">
        <w:rPr>
          <w:rFonts w:cstheme="minorHAnsi"/>
          <w:sz w:val="22"/>
          <w:szCs w:val="22"/>
        </w:rPr>
        <w:t xml:space="preserve"> </w:t>
      </w:r>
      <w:r w:rsidRPr="00D872F7">
        <w:rPr>
          <w:rFonts w:cstheme="minorHAnsi"/>
          <w:sz w:val="22"/>
          <w:szCs w:val="22"/>
          <w:lang w:val="en-US"/>
        </w:rPr>
        <w:t xml:space="preserve">International Surveys. Accessed 18/04/2018. Available from: </w:t>
      </w:r>
      <w:hyperlink r:id="rId48" w:history="1">
        <w:r w:rsidRPr="00D872F7">
          <w:rPr>
            <w:rStyle w:val="Hyperlink"/>
            <w:rFonts w:asciiTheme="minorHAnsi" w:hAnsiTheme="minorHAnsi" w:cstheme="minorHAnsi"/>
            <w:szCs w:val="22"/>
            <w:lang w:val="en-US"/>
          </w:rPr>
          <w:t>http://www.bhi.nsw.gov.au/nsw_patient_survey_program/international_surveys</w:t>
        </w:r>
      </w:hyperlink>
      <w:r w:rsidRPr="00D872F7">
        <w:rPr>
          <w:rFonts w:cstheme="minorHAnsi"/>
          <w:sz w:val="22"/>
          <w:szCs w:val="22"/>
          <w:lang w:val="en-US"/>
        </w:rPr>
        <w:t xml:space="preserve">. </w:t>
      </w:r>
    </w:p>
  </w:endnote>
  <w:endnote w:id="91">
    <w:p w14:paraId="4A0F8701" w14:textId="1BC5C08D"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rPr>
        <w:t>NT Department of Health.</w:t>
      </w:r>
      <w:proofErr w:type="gramEnd"/>
      <w:r w:rsidRPr="00D872F7">
        <w:rPr>
          <w:rFonts w:cstheme="minorHAnsi"/>
          <w:sz w:val="22"/>
          <w:szCs w:val="22"/>
        </w:rPr>
        <w:t xml:space="preserve"> </w:t>
      </w:r>
      <w:proofErr w:type="gramStart"/>
      <w:r w:rsidRPr="00D872F7">
        <w:rPr>
          <w:rFonts w:cstheme="minorHAnsi"/>
          <w:sz w:val="22"/>
          <w:szCs w:val="22"/>
          <w:lang w:val="en-US"/>
        </w:rPr>
        <w:t>Client complaints, suggestions and questions.</w:t>
      </w:r>
      <w:proofErr w:type="gramEnd"/>
      <w:r w:rsidRPr="00D872F7">
        <w:rPr>
          <w:rFonts w:cstheme="minorHAnsi"/>
          <w:sz w:val="22"/>
          <w:szCs w:val="22"/>
          <w:lang w:val="en-US"/>
        </w:rPr>
        <w:t xml:space="preserve"> Accessed 16/04/2018. Available from: </w:t>
      </w:r>
      <w:hyperlink r:id="rId49" w:history="1">
        <w:r w:rsidRPr="00D872F7">
          <w:rPr>
            <w:rStyle w:val="Hyperlink"/>
            <w:rFonts w:asciiTheme="minorHAnsi" w:hAnsiTheme="minorHAnsi" w:cstheme="minorHAnsi"/>
            <w:szCs w:val="22"/>
            <w:lang w:val="en-US"/>
          </w:rPr>
          <w:t>https://health.nt.gov.au/health-governance/compliments-complaints-and-feedback/health-complaints-suggestions-questions</w:t>
        </w:r>
      </w:hyperlink>
      <w:r w:rsidRPr="00D872F7">
        <w:rPr>
          <w:rFonts w:cstheme="minorHAnsi"/>
          <w:sz w:val="22"/>
          <w:szCs w:val="22"/>
          <w:lang w:val="en-US"/>
        </w:rPr>
        <w:t xml:space="preserve">. </w:t>
      </w:r>
    </w:p>
  </w:endnote>
  <w:endnote w:id="92">
    <w:p w14:paraId="18AB539C" w14:textId="53AD157D" w:rsidR="00F70157" w:rsidRPr="00ED1DB5" w:rsidRDefault="00F70157" w:rsidP="00ED1DB5">
      <w:pPr>
        <w:pStyle w:val="EndnoteText"/>
        <w:tabs>
          <w:tab w:val="left" w:pos="567"/>
        </w:tabs>
        <w:spacing w:after="120"/>
        <w:ind w:left="567" w:hanging="567"/>
        <w:rPr>
          <w:rFonts w:cstheme="minorHAnsi"/>
          <w:sz w:val="22"/>
          <w:szCs w:val="22"/>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rPr>
        <w:t>Queensland Health.</w:t>
      </w:r>
      <w:proofErr w:type="gramEnd"/>
      <w:r w:rsidRPr="00D872F7">
        <w:rPr>
          <w:rFonts w:cstheme="minorHAnsi"/>
          <w:sz w:val="22"/>
          <w:szCs w:val="22"/>
        </w:rPr>
        <w:t xml:space="preserve"> My health, Queensland’s future: Advancing health 2026. </w:t>
      </w:r>
      <w:proofErr w:type="gramStart"/>
      <w:r w:rsidRPr="00D872F7">
        <w:rPr>
          <w:rFonts w:cstheme="minorHAnsi"/>
          <w:sz w:val="22"/>
          <w:szCs w:val="22"/>
        </w:rPr>
        <w:t>Accessed: 25/04/2018.</w:t>
      </w:r>
      <w:proofErr w:type="gramEnd"/>
      <w:r w:rsidRPr="00D872F7">
        <w:rPr>
          <w:rFonts w:cstheme="minorHAnsi"/>
          <w:sz w:val="22"/>
          <w:szCs w:val="22"/>
        </w:rPr>
        <w:t xml:space="preserve">  Available from: </w:t>
      </w:r>
      <w:hyperlink r:id="rId50" w:history="1">
        <w:r w:rsidRPr="00D872F7">
          <w:rPr>
            <w:rStyle w:val="Hyperlink"/>
            <w:rFonts w:asciiTheme="minorHAnsi" w:hAnsiTheme="minorHAnsi" w:cstheme="minorHAnsi"/>
            <w:szCs w:val="22"/>
          </w:rPr>
          <w:t>https://www.health.qld.gov.au/__data/assets/pdf_file/0025/441655/vision-strat-healthy-qld.pdf</w:t>
        </w:r>
      </w:hyperlink>
      <w:r w:rsidRPr="00D872F7">
        <w:rPr>
          <w:rFonts w:cstheme="minorHAnsi"/>
          <w:sz w:val="22"/>
          <w:szCs w:val="22"/>
        </w:rPr>
        <w:t xml:space="preserve">. </w:t>
      </w:r>
    </w:p>
  </w:endnote>
  <w:endnote w:id="93">
    <w:p w14:paraId="317EA903" w14:textId="0DBCE027"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rPr>
        <w:t>Queensland Health.</w:t>
      </w:r>
      <w:proofErr w:type="gramEnd"/>
      <w:r w:rsidRPr="00D872F7">
        <w:rPr>
          <w:rFonts w:cstheme="minorHAnsi"/>
          <w:sz w:val="22"/>
          <w:szCs w:val="22"/>
        </w:rPr>
        <w:t xml:space="preserve"> </w:t>
      </w:r>
      <w:proofErr w:type="gramStart"/>
      <w:r w:rsidRPr="00D872F7">
        <w:rPr>
          <w:rFonts w:cstheme="minorHAnsi"/>
          <w:sz w:val="22"/>
          <w:szCs w:val="22"/>
          <w:lang w:val="en-US"/>
        </w:rPr>
        <w:t>Hospital performance.</w:t>
      </w:r>
      <w:proofErr w:type="gramEnd"/>
      <w:r w:rsidRPr="00D872F7">
        <w:rPr>
          <w:rFonts w:cstheme="minorHAnsi"/>
          <w:sz w:val="22"/>
          <w:szCs w:val="22"/>
          <w:lang w:val="en-US"/>
        </w:rPr>
        <w:t xml:space="preserve"> </w:t>
      </w:r>
      <w:proofErr w:type="gramStart"/>
      <w:r w:rsidRPr="00D872F7">
        <w:rPr>
          <w:rFonts w:cstheme="minorHAnsi"/>
          <w:sz w:val="22"/>
          <w:szCs w:val="22"/>
          <w:lang w:val="en-US"/>
        </w:rPr>
        <w:t>Queensland Reporting Hospitals.</w:t>
      </w:r>
      <w:proofErr w:type="gramEnd"/>
      <w:r w:rsidRPr="00D872F7">
        <w:rPr>
          <w:rFonts w:cstheme="minorHAnsi"/>
          <w:sz w:val="22"/>
          <w:szCs w:val="22"/>
          <w:lang w:val="en-US"/>
        </w:rPr>
        <w:t xml:space="preserve"> </w:t>
      </w:r>
      <w:proofErr w:type="gramStart"/>
      <w:r w:rsidRPr="00D872F7">
        <w:rPr>
          <w:rFonts w:cstheme="minorHAnsi"/>
          <w:sz w:val="22"/>
          <w:szCs w:val="22"/>
          <w:lang w:val="en-US"/>
        </w:rPr>
        <w:t>Accessed online 25/04/2018.</w:t>
      </w:r>
      <w:proofErr w:type="gramEnd"/>
      <w:r w:rsidRPr="00D872F7">
        <w:rPr>
          <w:rFonts w:cstheme="minorHAnsi"/>
          <w:sz w:val="22"/>
          <w:szCs w:val="22"/>
          <w:lang w:val="en-US"/>
        </w:rPr>
        <w:t xml:space="preserve"> Available from: </w:t>
      </w:r>
      <w:hyperlink r:id="rId51" w:history="1">
        <w:r w:rsidRPr="00D872F7">
          <w:rPr>
            <w:rStyle w:val="Hyperlink"/>
            <w:rFonts w:asciiTheme="minorHAnsi" w:hAnsiTheme="minorHAnsi" w:cstheme="minorHAnsi"/>
            <w:szCs w:val="22"/>
            <w:lang w:val="en-US"/>
          </w:rPr>
          <w:t>http://www.performance.health.qld.gov.au/hospitalperformance/service-areas.aspx?hospital=99999</w:t>
        </w:r>
      </w:hyperlink>
      <w:r w:rsidRPr="00D872F7">
        <w:rPr>
          <w:rFonts w:cstheme="minorHAnsi"/>
          <w:sz w:val="22"/>
          <w:szCs w:val="22"/>
          <w:lang w:val="en-US"/>
        </w:rPr>
        <w:t xml:space="preserve">. </w:t>
      </w:r>
    </w:p>
  </w:endnote>
  <w:endnote w:id="94">
    <w:p w14:paraId="6326B812" w14:textId="2D589611"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lang w:val="en-US"/>
        </w:rPr>
        <w:t>Clinical Excellence Division.</w:t>
      </w:r>
      <w:proofErr w:type="gramEnd"/>
      <w:r w:rsidRPr="00D872F7">
        <w:rPr>
          <w:rFonts w:cstheme="minorHAnsi"/>
          <w:sz w:val="22"/>
          <w:szCs w:val="22"/>
          <w:lang w:val="en-US"/>
        </w:rPr>
        <w:t xml:space="preserve"> Year in Review 2016-17. Accessed 25/04/2018. Available from: </w:t>
      </w:r>
      <w:hyperlink r:id="rId52" w:history="1">
        <w:r w:rsidRPr="00D872F7">
          <w:rPr>
            <w:rStyle w:val="Hyperlink"/>
            <w:rFonts w:asciiTheme="minorHAnsi" w:hAnsiTheme="minorHAnsi" w:cstheme="minorHAnsi"/>
            <w:szCs w:val="22"/>
            <w:lang w:val="en-US"/>
          </w:rPr>
          <w:t>https://clinicalexcellence.qld.gov.au/sites/default/files/docs/clinical-excellence-year-in-review.pdf</w:t>
        </w:r>
      </w:hyperlink>
      <w:r w:rsidRPr="00D872F7">
        <w:rPr>
          <w:rFonts w:cstheme="minorHAnsi"/>
          <w:sz w:val="22"/>
          <w:szCs w:val="22"/>
          <w:lang w:val="en-US"/>
        </w:rPr>
        <w:t xml:space="preserve">. </w:t>
      </w:r>
    </w:p>
  </w:endnote>
  <w:endnote w:id="95">
    <w:p w14:paraId="5F707E87" w14:textId="48D117F4" w:rsidR="00F70157" w:rsidRPr="00D872F7"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rPr>
        <w:t>Queensland Health.</w:t>
      </w:r>
      <w:proofErr w:type="gramEnd"/>
      <w:r w:rsidRPr="00D872F7">
        <w:rPr>
          <w:rFonts w:cstheme="minorHAnsi"/>
          <w:sz w:val="22"/>
          <w:szCs w:val="22"/>
        </w:rPr>
        <w:t xml:space="preserve"> </w:t>
      </w:r>
      <w:proofErr w:type="gramStart"/>
      <w:r w:rsidRPr="00D872F7">
        <w:rPr>
          <w:rFonts w:cstheme="minorHAnsi"/>
          <w:sz w:val="22"/>
          <w:szCs w:val="22"/>
          <w:lang w:val="en-US"/>
        </w:rPr>
        <w:t>Expanding quality and safety reporting.</w:t>
      </w:r>
      <w:proofErr w:type="gramEnd"/>
      <w:r w:rsidRPr="00D872F7">
        <w:rPr>
          <w:rFonts w:cstheme="minorHAnsi"/>
          <w:sz w:val="22"/>
          <w:szCs w:val="22"/>
          <w:lang w:val="en-US"/>
        </w:rPr>
        <w:t xml:space="preserve"> </w:t>
      </w:r>
      <w:proofErr w:type="gramStart"/>
      <w:r w:rsidRPr="00D872F7">
        <w:rPr>
          <w:rFonts w:cstheme="minorHAnsi"/>
          <w:sz w:val="22"/>
          <w:szCs w:val="22"/>
          <w:lang w:val="en-US"/>
        </w:rPr>
        <w:t>Accessed online: 26/04/2018.</w:t>
      </w:r>
      <w:proofErr w:type="gramEnd"/>
      <w:r w:rsidRPr="00D872F7">
        <w:rPr>
          <w:rFonts w:cstheme="minorHAnsi"/>
          <w:sz w:val="22"/>
          <w:szCs w:val="22"/>
          <w:lang w:val="en-US"/>
        </w:rPr>
        <w:t xml:space="preserve"> Available from: </w:t>
      </w:r>
      <w:hyperlink r:id="rId53" w:history="1">
        <w:r w:rsidRPr="00D872F7">
          <w:rPr>
            <w:rStyle w:val="Hyperlink"/>
            <w:rFonts w:asciiTheme="minorHAnsi" w:hAnsiTheme="minorHAnsi" w:cstheme="minorHAnsi"/>
            <w:szCs w:val="22"/>
            <w:lang w:val="en-US"/>
          </w:rPr>
          <w:t>https://www.health.qld.gov.au/system-governance/strategic-direction/improving-service/expanding-patient-safety-reporting</w:t>
        </w:r>
      </w:hyperlink>
      <w:r w:rsidRPr="00D872F7">
        <w:rPr>
          <w:rFonts w:cstheme="minorHAnsi"/>
          <w:sz w:val="22"/>
          <w:szCs w:val="22"/>
          <w:lang w:val="en-US"/>
        </w:rPr>
        <w:t xml:space="preserve">. </w:t>
      </w:r>
    </w:p>
  </w:endnote>
  <w:endnote w:id="96">
    <w:p w14:paraId="28006B32" w14:textId="3C4348ED" w:rsidR="00F70157" w:rsidRPr="006C7213" w:rsidRDefault="00F70157" w:rsidP="006C7213">
      <w:pPr>
        <w:pStyle w:val="EndnoteText"/>
        <w:tabs>
          <w:tab w:val="left" w:pos="567"/>
        </w:tabs>
        <w:spacing w:after="120"/>
        <w:ind w:left="567" w:hanging="567"/>
        <w:rPr>
          <w:rFonts w:cstheme="minorHAnsi"/>
          <w:sz w:val="22"/>
          <w:szCs w:val="22"/>
        </w:rPr>
      </w:pPr>
      <w:r w:rsidRPr="00D872F7">
        <w:rPr>
          <w:rStyle w:val="EndnoteReference"/>
          <w:rFonts w:cstheme="minorHAnsi"/>
          <w:sz w:val="22"/>
          <w:szCs w:val="22"/>
          <w:vertAlign w:val="baseline"/>
        </w:rPr>
        <w:endnoteRef/>
      </w:r>
      <w:r w:rsidRPr="00D872F7">
        <w:rPr>
          <w:rFonts w:cstheme="minorHAnsi"/>
          <w:sz w:val="22"/>
          <w:szCs w:val="22"/>
        </w:rPr>
        <w:t xml:space="preserve"> </w:t>
      </w:r>
      <w:r w:rsidRPr="00D872F7">
        <w:rPr>
          <w:rFonts w:cstheme="minorHAnsi"/>
          <w:sz w:val="22"/>
          <w:szCs w:val="22"/>
        </w:rPr>
        <w:tab/>
      </w:r>
      <w:proofErr w:type="gramStart"/>
      <w:r w:rsidRPr="00D872F7">
        <w:rPr>
          <w:rFonts w:cstheme="minorHAnsi"/>
          <w:sz w:val="22"/>
          <w:szCs w:val="22"/>
        </w:rPr>
        <w:t>Queensland Health.</w:t>
      </w:r>
      <w:proofErr w:type="gramEnd"/>
      <w:r w:rsidRPr="00D872F7">
        <w:rPr>
          <w:rFonts w:cstheme="minorHAnsi"/>
          <w:sz w:val="22"/>
          <w:szCs w:val="22"/>
        </w:rPr>
        <w:t xml:space="preserve"> </w:t>
      </w:r>
      <w:proofErr w:type="gramStart"/>
      <w:r w:rsidRPr="00D872F7">
        <w:rPr>
          <w:sz w:val="22"/>
          <w:szCs w:val="22"/>
          <w:lang w:val="en"/>
        </w:rPr>
        <w:t>Expanding healthcare quality and patient safety reporting.</w:t>
      </w:r>
      <w:proofErr w:type="gramEnd"/>
      <w:r w:rsidRPr="00D872F7">
        <w:rPr>
          <w:sz w:val="22"/>
          <w:szCs w:val="22"/>
          <w:lang w:val="en"/>
        </w:rPr>
        <w:t xml:space="preserve"> Accessed 31/1/2018. Available from:</w:t>
      </w:r>
      <w:r w:rsidRPr="00D872F7">
        <w:rPr>
          <w:lang w:val="en"/>
        </w:rPr>
        <w:t xml:space="preserve"> </w:t>
      </w:r>
      <w:hyperlink r:id="rId54" w:history="1">
        <w:r w:rsidRPr="00F30C51">
          <w:rPr>
            <w:rStyle w:val="Hyperlink"/>
            <w:rFonts w:asciiTheme="minorHAnsi" w:hAnsiTheme="minorHAnsi" w:cstheme="minorHAnsi"/>
            <w:szCs w:val="22"/>
          </w:rPr>
          <w:t>https://www.health.qld.gov.au/system-governance/strategic-direction/improving-service/expanding-patient-safety-reporting</w:t>
        </w:r>
      </w:hyperlink>
      <w:r>
        <w:rPr>
          <w:rFonts w:cstheme="minorHAnsi"/>
          <w:sz w:val="22"/>
          <w:szCs w:val="22"/>
        </w:rPr>
        <w:t xml:space="preserve">. </w:t>
      </w:r>
    </w:p>
  </w:endnote>
  <w:endnote w:id="97">
    <w:p w14:paraId="79B2E1C6" w14:textId="19D20553"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D872F7">
        <w:rPr>
          <w:rFonts w:cstheme="minorHAnsi"/>
          <w:sz w:val="22"/>
          <w:szCs w:val="22"/>
        </w:rPr>
        <w:t>SA Heath.</w:t>
      </w:r>
      <w:proofErr w:type="gramEnd"/>
      <w:r w:rsidRPr="00D872F7">
        <w:rPr>
          <w:rFonts w:cstheme="minorHAnsi"/>
          <w:sz w:val="22"/>
          <w:szCs w:val="22"/>
        </w:rPr>
        <w:t xml:space="preserve"> </w:t>
      </w:r>
      <w:proofErr w:type="gramStart"/>
      <w:r w:rsidRPr="006C7213">
        <w:rPr>
          <w:rFonts w:cstheme="minorHAnsi"/>
          <w:sz w:val="22"/>
          <w:szCs w:val="22"/>
          <w:lang w:val="en-US"/>
        </w:rPr>
        <w:t>Safety and quality reports.</w:t>
      </w:r>
      <w:proofErr w:type="gramEnd"/>
      <w:r w:rsidRPr="006C7213">
        <w:rPr>
          <w:rFonts w:cstheme="minorHAnsi"/>
          <w:sz w:val="22"/>
          <w:szCs w:val="22"/>
          <w:lang w:val="en-US"/>
        </w:rPr>
        <w:t xml:space="preserve"> </w:t>
      </w:r>
      <w:r>
        <w:rPr>
          <w:rFonts w:cstheme="minorHAnsi"/>
          <w:sz w:val="22"/>
          <w:szCs w:val="22"/>
          <w:lang w:val="en-US"/>
        </w:rPr>
        <w:t>Accessed</w:t>
      </w:r>
      <w:r w:rsidRPr="00D872F7">
        <w:rPr>
          <w:rFonts w:cstheme="minorHAnsi"/>
          <w:sz w:val="22"/>
          <w:szCs w:val="22"/>
          <w:lang w:val="en-US"/>
        </w:rPr>
        <w:t xml:space="preserve"> 24/04/2018.</w:t>
      </w:r>
      <w:r>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55" w:history="1">
        <w:r w:rsidRPr="006C7213">
          <w:rPr>
            <w:rStyle w:val="Hyperlink"/>
            <w:rFonts w:asciiTheme="minorHAnsi" w:hAnsiTheme="minorHAnsi" w:cstheme="minorHAnsi"/>
            <w:szCs w:val="22"/>
            <w:lang w:val="en-US"/>
          </w:rPr>
          <w:t>http://www.sahealth.sa.gov.au/wps/wcm/connect/public+content/sa+health+internet/clinical+resources/safety+and+quality/safety+and+quality+reports</w:t>
        </w:r>
      </w:hyperlink>
      <w:r>
        <w:rPr>
          <w:rFonts w:cstheme="minorHAnsi"/>
          <w:sz w:val="22"/>
          <w:szCs w:val="22"/>
          <w:lang w:val="en-US"/>
        </w:rPr>
        <w:t>.</w:t>
      </w:r>
    </w:p>
  </w:endnote>
  <w:endnote w:id="98">
    <w:p w14:paraId="5E8C55E0" w14:textId="57536941"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D872F7">
        <w:rPr>
          <w:rFonts w:cstheme="minorHAnsi"/>
          <w:sz w:val="22"/>
          <w:szCs w:val="22"/>
        </w:rPr>
        <w:t>SA Health.</w:t>
      </w:r>
      <w:proofErr w:type="gramEnd"/>
      <w:r w:rsidRPr="00D872F7">
        <w:rPr>
          <w:rFonts w:cstheme="minorHAnsi"/>
          <w:sz w:val="22"/>
          <w:szCs w:val="22"/>
        </w:rPr>
        <w:t xml:space="preserve"> </w:t>
      </w:r>
      <w:r w:rsidRPr="006C7213">
        <w:rPr>
          <w:rFonts w:cstheme="minorHAnsi"/>
          <w:sz w:val="22"/>
          <w:szCs w:val="22"/>
          <w:lang w:val="en-US"/>
        </w:rPr>
        <w:t xml:space="preserve">South Australian Patient Safety Report 2015-2016. </w:t>
      </w:r>
      <w:r w:rsidRPr="00D872F7">
        <w:rPr>
          <w:rFonts w:cstheme="minorHAnsi"/>
          <w:sz w:val="22"/>
          <w:szCs w:val="22"/>
          <w:lang w:val="en-US"/>
        </w:rPr>
        <w:t>Accessed 24/04/2018.</w:t>
      </w:r>
      <w:r>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56" w:history="1">
        <w:r w:rsidRPr="00F30C51">
          <w:rPr>
            <w:rStyle w:val="Hyperlink"/>
            <w:rFonts w:asciiTheme="minorHAnsi" w:hAnsiTheme="minorHAnsi" w:cstheme="minorHAnsi"/>
            <w:szCs w:val="22"/>
            <w:lang w:val="en-US"/>
          </w:rPr>
          <w:t>http://www.sahealth.sa.gov.au/wps/wcm/connect/6932c580419c3b938dbbbfdb31a1ff3d/16151.1+Patient+Safety+Report%28v6%29WebS.pdf?MOD=AJPERES&amp;CACHEID=ROOTWORKSPACE-6932c580419c3b938dbbbfdb31a1ff3d-lPiC.KM</w:t>
        </w:r>
      </w:hyperlink>
      <w:r w:rsidRPr="006C7213">
        <w:rPr>
          <w:rFonts w:cstheme="minorHAnsi"/>
          <w:sz w:val="22"/>
          <w:szCs w:val="22"/>
          <w:lang w:val="en-US"/>
        </w:rPr>
        <w:t>.</w:t>
      </w:r>
      <w:r>
        <w:rPr>
          <w:rFonts w:cstheme="minorHAnsi"/>
          <w:sz w:val="22"/>
          <w:szCs w:val="22"/>
          <w:lang w:val="en-US"/>
        </w:rPr>
        <w:t xml:space="preserve"> </w:t>
      </w:r>
      <w:r w:rsidRPr="006C7213">
        <w:rPr>
          <w:rFonts w:cstheme="minorHAnsi"/>
          <w:sz w:val="22"/>
          <w:szCs w:val="22"/>
          <w:lang w:val="en-US"/>
        </w:rPr>
        <w:t xml:space="preserve"> </w:t>
      </w:r>
    </w:p>
  </w:endnote>
  <w:endnote w:id="99">
    <w:p w14:paraId="48C75069" w14:textId="3D435452"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sidRPr="006C7213">
        <w:rPr>
          <w:rFonts w:cstheme="minorHAnsi"/>
          <w:sz w:val="22"/>
          <w:szCs w:val="22"/>
        </w:rPr>
        <w:tab/>
      </w:r>
      <w:proofErr w:type="gramStart"/>
      <w:r w:rsidRPr="00D872F7">
        <w:rPr>
          <w:rFonts w:cstheme="minorHAnsi"/>
          <w:sz w:val="22"/>
          <w:szCs w:val="22"/>
        </w:rPr>
        <w:t>SA Health.</w:t>
      </w:r>
      <w:proofErr w:type="gramEnd"/>
      <w:r w:rsidRPr="00D872F7">
        <w:rPr>
          <w:rFonts w:cstheme="minorHAnsi"/>
          <w:sz w:val="22"/>
          <w:szCs w:val="22"/>
        </w:rPr>
        <w:t xml:space="preserve"> </w:t>
      </w:r>
      <w:proofErr w:type="gramStart"/>
      <w:r w:rsidRPr="006C7213">
        <w:rPr>
          <w:rFonts w:cstheme="minorHAnsi"/>
          <w:sz w:val="22"/>
          <w:szCs w:val="22"/>
          <w:lang w:val="en-US"/>
        </w:rPr>
        <w:t>Our hospital dashboards.</w:t>
      </w:r>
      <w:proofErr w:type="gramEnd"/>
      <w:r w:rsidRPr="006C7213">
        <w:rPr>
          <w:rFonts w:cstheme="minorHAnsi"/>
          <w:sz w:val="22"/>
          <w:szCs w:val="22"/>
          <w:lang w:val="en-US"/>
        </w:rPr>
        <w:t xml:space="preserve"> </w:t>
      </w:r>
      <w:r w:rsidRPr="00D872F7">
        <w:rPr>
          <w:rFonts w:cstheme="minorHAnsi"/>
          <w:sz w:val="22"/>
          <w:szCs w:val="22"/>
          <w:lang w:val="en-US"/>
        </w:rPr>
        <w:t>Accessed 24/04/2018.</w:t>
      </w:r>
      <w:r>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57" w:history="1">
        <w:r w:rsidRPr="006C7213">
          <w:rPr>
            <w:rStyle w:val="Hyperlink"/>
            <w:rFonts w:asciiTheme="minorHAnsi" w:hAnsiTheme="minorHAnsi" w:cstheme="minorHAnsi"/>
            <w:szCs w:val="22"/>
            <w:lang w:val="en-US"/>
          </w:rPr>
          <w:t>http://www.sahealth.sa.gov.au/wps/wcm/connect/public+content/sa+health+internet/about+us/our+performance/our+hospital+dashboards/our+hospitals+dashboards</w:t>
        </w:r>
      </w:hyperlink>
      <w:r w:rsidRPr="006C7213">
        <w:rPr>
          <w:rFonts w:cstheme="minorHAnsi"/>
          <w:sz w:val="22"/>
          <w:szCs w:val="22"/>
          <w:lang w:val="en-US"/>
        </w:rPr>
        <w:t xml:space="preserve">. </w:t>
      </w:r>
    </w:p>
  </w:endnote>
  <w:endnote w:id="100">
    <w:p w14:paraId="2164A46A" w14:textId="1AE874CD"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D872F7">
        <w:rPr>
          <w:rFonts w:cstheme="minorHAnsi"/>
          <w:sz w:val="22"/>
          <w:szCs w:val="22"/>
        </w:rPr>
        <w:t xml:space="preserve">Department of Health and Human Services </w:t>
      </w:r>
      <w:r>
        <w:rPr>
          <w:rFonts w:cstheme="minorHAnsi"/>
          <w:sz w:val="22"/>
          <w:szCs w:val="22"/>
        </w:rPr>
        <w:t>Tasmania.</w:t>
      </w:r>
      <w:proofErr w:type="gramEnd"/>
      <w:r>
        <w:rPr>
          <w:rFonts w:cstheme="minorHAnsi"/>
          <w:sz w:val="22"/>
          <w:szCs w:val="22"/>
        </w:rPr>
        <w:t xml:space="preserve"> </w:t>
      </w:r>
      <w:r w:rsidRPr="006C7213">
        <w:rPr>
          <w:rFonts w:cstheme="minorHAnsi"/>
          <w:sz w:val="22"/>
          <w:szCs w:val="22"/>
          <w:lang w:val="en-US"/>
        </w:rPr>
        <w:t xml:space="preserve">Healthcare associated infection surveillance. </w:t>
      </w:r>
      <w:r w:rsidRPr="00D872F7">
        <w:rPr>
          <w:rFonts w:cstheme="minorHAnsi"/>
          <w:sz w:val="22"/>
          <w:szCs w:val="22"/>
          <w:lang w:val="en-US"/>
        </w:rPr>
        <w:t>Accessed 22/04/2018.</w:t>
      </w:r>
      <w:r>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58" w:history="1">
        <w:r w:rsidRPr="006C7213">
          <w:rPr>
            <w:rStyle w:val="Hyperlink"/>
            <w:rFonts w:asciiTheme="minorHAnsi" w:hAnsiTheme="minorHAnsi" w:cstheme="minorHAnsi"/>
            <w:szCs w:val="22"/>
            <w:lang w:val="en-US"/>
          </w:rPr>
          <w:t>http://www.dhhs.tas.gov.au/publichealth/tasmanian_infection_prevention_and_control_unit/HAI_Surveillance</w:t>
        </w:r>
      </w:hyperlink>
      <w:r w:rsidRPr="006C7213">
        <w:rPr>
          <w:rFonts w:cstheme="minorHAnsi"/>
          <w:sz w:val="22"/>
          <w:szCs w:val="22"/>
          <w:lang w:val="en-US"/>
        </w:rPr>
        <w:t xml:space="preserve">. </w:t>
      </w:r>
    </w:p>
  </w:endnote>
  <w:endnote w:id="101">
    <w:p w14:paraId="2D0428F0" w14:textId="0105F0AF"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D872F7">
        <w:rPr>
          <w:rFonts w:cstheme="minorHAnsi"/>
          <w:sz w:val="22"/>
          <w:szCs w:val="22"/>
        </w:rPr>
        <w:t>Department of Health and Human Services Tasmania</w:t>
      </w:r>
      <w:r>
        <w:rPr>
          <w:rFonts w:cstheme="minorHAnsi"/>
          <w:sz w:val="22"/>
          <w:szCs w:val="22"/>
        </w:rPr>
        <w:t>.</w:t>
      </w:r>
      <w:proofErr w:type="gramEnd"/>
      <w:r w:rsidRPr="00D872F7">
        <w:rPr>
          <w:rFonts w:cstheme="minorHAnsi"/>
          <w:sz w:val="22"/>
          <w:szCs w:val="22"/>
        </w:rPr>
        <w:t xml:space="preserve"> </w:t>
      </w:r>
      <w:proofErr w:type="gramStart"/>
      <w:r w:rsidRPr="006C7213">
        <w:rPr>
          <w:rFonts w:cstheme="minorHAnsi"/>
          <w:sz w:val="22"/>
          <w:szCs w:val="22"/>
          <w:lang w:val="en-US"/>
        </w:rPr>
        <w:t>Health System Dashboard.</w:t>
      </w:r>
      <w:proofErr w:type="gramEnd"/>
      <w:r w:rsidRPr="006C7213">
        <w:rPr>
          <w:rFonts w:cstheme="minorHAnsi"/>
          <w:sz w:val="22"/>
          <w:szCs w:val="22"/>
          <w:lang w:val="en-US"/>
        </w:rPr>
        <w:t xml:space="preserve"> </w:t>
      </w:r>
      <w:proofErr w:type="gramStart"/>
      <w:r w:rsidRPr="00D872F7">
        <w:rPr>
          <w:rFonts w:cstheme="minorHAnsi"/>
          <w:sz w:val="22"/>
          <w:szCs w:val="22"/>
          <w:lang w:val="en-US"/>
        </w:rPr>
        <w:t>Accessed: 22/04/2018.</w:t>
      </w:r>
      <w:proofErr w:type="gramEnd"/>
      <w:r w:rsidRPr="00D872F7">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59" w:history="1">
        <w:r w:rsidRPr="006C7213">
          <w:rPr>
            <w:rStyle w:val="Hyperlink"/>
            <w:rFonts w:asciiTheme="minorHAnsi" w:hAnsiTheme="minorHAnsi" w:cstheme="minorHAnsi"/>
            <w:szCs w:val="22"/>
            <w:lang w:val="en-US"/>
          </w:rPr>
          <w:t>http://www.healthstats.dhhs.tas.gov.au/healthsystem</w:t>
        </w:r>
      </w:hyperlink>
      <w:r w:rsidRPr="006C7213">
        <w:rPr>
          <w:rFonts w:cstheme="minorHAnsi"/>
          <w:sz w:val="22"/>
          <w:szCs w:val="22"/>
          <w:lang w:val="en-US"/>
        </w:rPr>
        <w:t xml:space="preserve">. </w:t>
      </w:r>
    </w:p>
  </w:endnote>
  <w:endnote w:id="102">
    <w:p w14:paraId="13A33C08" w14:textId="7C3890B8"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Pr>
          <w:rFonts w:cstheme="minorHAnsi"/>
          <w:sz w:val="22"/>
          <w:szCs w:val="22"/>
        </w:rPr>
        <w:t xml:space="preserve">Victorian </w:t>
      </w:r>
      <w:r w:rsidRPr="00D872F7">
        <w:rPr>
          <w:rFonts w:cstheme="minorHAnsi"/>
          <w:sz w:val="22"/>
          <w:szCs w:val="22"/>
        </w:rPr>
        <w:t>Department of Health and Human Services</w:t>
      </w:r>
      <w:r>
        <w:rPr>
          <w:rFonts w:cstheme="minorHAnsi"/>
          <w:sz w:val="22"/>
          <w:szCs w:val="22"/>
        </w:rPr>
        <w:t>.</w:t>
      </w:r>
      <w:proofErr w:type="gramEnd"/>
      <w:r>
        <w:rPr>
          <w:rFonts w:cstheme="minorHAnsi"/>
          <w:sz w:val="22"/>
          <w:szCs w:val="22"/>
        </w:rPr>
        <w:t xml:space="preserve"> </w:t>
      </w:r>
      <w:proofErr w:type="gramStart"/>
      <w:r w:rsidRPr="006C7213">
        <w:rPr>
          <w:rFonts w:cstheme="minorHAnsi"/>
          <w:sz w:val="22"/>
          <w:szCs w:val="22"/>
          <w:lang w:val="en-US"/>
        </w:rPr>
        <w:t>Performance monitoring framework.</w:t>
      </w:r>
      <w:proofErr w:type="gramEnd"/>
      <w:r w:rsidRPr="006C7213">
        <w:rPr>
          <w:rFonts w:cstheme="minorHAnsi"/>
          <w:sz w:val="22"/>
          <w:szCs w:val="22"/>
          <w:lang w:val="en-US"/>
        </w:rPr>
        <w:t xml:space="preserve"> </w:t>
      </w:r>
      <w:r>
        <w:rPr>
          <w:rFonts w:cstheme="minorHAnsi"/>
          <w:sz w:val="22"/>
          <w:szCs w:val="22"/>
          <w:lang w:val="en-US"/>
        </w:rPr>
        <w:t>Accessed</w:t>
      </w:r>
      <w:r w:rsidRPr="00D872F7">
        <w:rPr>
          <w:rFonts w:cstheme="minorHAnsi"/>
          <w:sz w:val="22"/>
          <w:szCs w:val="22"/>
          <w:lang w:val="en-US"/>
        </w:rPr>
        <w:t xml:space="preserve"> 26/04/2018.</w:t>
      </w:r>
      <w:r>
        <w:rPr>
          <w:rFonts w:cstheme="minorHAnsi"/>
          <w:sz w:val="22"/>
          <w:szCs w:val="22"/>
          <w:lang w:val="en-US"/>
        </w:rPr>
        <w:t xml:space="preserve"> </w:t>
      </w:r>
      <w:r w:rsidRPr="006C7213">
        <w:rPr>
          <w:rFonts w:cstheme="minorHAnsi"/>
          <w:sz w:val="22"/>
          <w:szCs w:val="22"/>
          <w:lang w:val="en-US"/>
        </w:rPr>
        <w:t xml:space="preserve">Available </w:t>
      </w:r>
      <w:r>
        <w:rPr>
          <w:rFonts w:cstheme="minorHAnsi"/>
          <w:sz w:val="22"/>
          <w:szCs w:val="22"/>
          <w:lang w:val="en-US"/>
        </w:rPr>
        <w:t>from</w:t>
      </w:r>
      <w:r w:rsidRPr="006C7213">
        <w:rPr>
          <w:rFonts w:cstheme="minorHAnsi"/>
          <w:sz w:val="22"/>
          <w:szCs w:val="22"/>
          <w:lang w:val="en-US"/>
        </w:rPr>
        <w:t xml:space="preserve">: </w:t>
      </w:r>
      <w:hyperlink r:id="rId60" w:history="1">
        <w:r w:rsidRPr="006C7213">
          <w:rPr>
            <w:rStyle w:val="Hyperlink"/>
            <w:rFonts w:asciiTheme="minorHAnsi" w:hAnsiTheme="minorHAnsi" w:cstheme="minorHAnsi"/>
            <w:szCs w:val="22"/>
            <w:lang w:val="en-US"/>
          </w:rPr>
          <w:t>https://www2.health.vic.gov.au/hospitals-and-health-services/funding-performance-accountability/performance-monitoring</w:t>
        </w:r>
      </w:hyperlink>
      <w:r w:rsidRPr="006C7213">
        <w:rPr>
          <w:rFonts w:cstheme="minorHAnsi"/>
          <w:sz w:val="22"/>
          <w:szCs w:val="22"/>
          <w:lang w:val="en-US"/>
        </w:rPr>
        <w:t xml:space="preserve">. </w:t>
      </w:r>
    </w:p>
  </w:endnote>
  <w:endnote w:id="103">
    <w:p w14:paraId="15DA31E8" w14:textId="718BBBAA" w:rsidR="00F70157" w:rsidRDefault="00F70157" w:rsidP="007F450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Pr>
          <w:rFonts w:cstheme="minorHAnsi"/>
          <w:sz w:val="22"/>
          <w:szCs w:val="22"/>
        </w:rPr>
        <w:t>Victorian Agency for Health Information.</w:t>
      </w:r>
      <w:proofErr w:type="gramEnd"/>
      <w:r>
        <w:rPr>
          <w:rFonts w:cstheme="minorHAnsi"/>
          <w:sz w:val="22"/>
          <w:szCs w:val="22"/>
        </w:rPr>
        <w:t xml:space="preserve"> </w:t>
      </w:r>
      <w:r w:rsidRPr="006C7213">
        <w:rPr>
          <w:rFonts w:cstheme="minorHAnsi"/>
          <w:sz w:val="22"/>
          <w:szCs w:val="22"/>
          <w:lang w:val="en-US"/>
        </w:rPr>
        <w:t xml:space="preserve">Victorian Health Services Performance: Quality, Safety and Patient Experience. </w:t>
      </w:r>
      <w:r w:rsidRPr="00D872F7">
        <w:rPr>
          <w:rFonts w:cstheme="minorHAnsi"/>
          <w:sz w:val="22"/>
          <w:szCs w:val="22"/>
          <w:lang w:val="en-US"/>
        </w:rPr>
        <w:t>Accessed 26/04/2018.</w:t>
      </w:r>
      <w:r>
        <w:rPr>
          <w:rFonts w:cstheme="minorHAnsi"/>
          <w:sz w:val="22"/>
          <w:szCs w:val="22"/>
          <w:lang w:val="en-US"/>
        </w:rPr>
        <w:t xml:space="preserve"> </w:t>
      </w:r>
      <w:r w:rsidRPr="006C7213">
        <w:rPr>
          <w:rFonts w:cstheme="minorHAnsi"/>
          <w:sz w:val="22"/>
          <w:szCs w:val="22"/>
          <w:lang w:val="en-US"/>
        </w:rPr>
        <w:t xml:space="preserve">Available </w:t>
      </w:r>
      <w:r>
        <w:rPr>
          <w:rFonts w:cstheme="minorHAnsi"/>
          <w:sz w:val="22"/>
          <w:szCs w:val="22"/>
          <w:lang w:val="en-US"/>
        </w:rPr>
        <w:t>from</w:t>
      </w:r>
      <w:r w:rsidRPr="006C7213">
        <w:rPr>
          <w:rFonts w:cstheme="minorHAnsi"/>
          <w:sz w:val="22"/>
          <w:szCs w:val="22"/>
          <w:lang w:val="en-US"/>
        </w:rPr>
        <w:t xml:space="preserve">: </w:t>
      </w:r>
      <w:hyperlink r:id="rId61" w:anchor="Anchor" w:history="1">
        <w:r w:rsidRPr="006C7213">
          <w:rPr>
            <w:rStyle w:val="Hyperlink"/>
            <w:rFonts w:asciiTheme="minorHAnsi" w:hAnsiTheme="minorHAnsi" w:cstheme="minorHAnsi"/>
            <w:szCs w:val="22"/>
            <w:lang w:val="en-US"/>
          </w:rPr>
          <w:t>http://performance.health.vic.gov.au/Home/Category.aspx?CategoryKey=5#Anchor</w:t>
        </w:r>
      </w:hyperlink>
      <w:r w:rsidRPr="006C7213">
        <w:rPr>
          <w:rFonts w:cstheme="minorHAnsi"/>
          <w:sz w:val="22"/>
          <w:szCs w:val="22"/>
          <w:lang w:val="en-US"/>
        </w:rPr>
        <w:t xml:space="preserve">. </w:t>
      </w:r>
    </w:p>
    <w:p w14:paraId="321E3AF9" w14:textId="77777777" w:rsidR="00F70157" w:rsidRPr="006C7213" w:rsidRDefault="00F70157" w:rsidP="007F4503">
      <w:pPr>
        <w:pStyle w:val="EndnoteText"/>
        <w:tabs>
          <w:tab w:val="left" w:pos="567"/>
        </w:tabs>
        <w:spacing w:after="120"/>
        <w:ind w:left="567" w:hanging="567"/>
        <w:rPr>
          <w:rFonts w:cstheme="minorHAnsi"/>
          <w:sz w:val="22"/>
          <w:szCs w:val="22"/>
          <w:lang w:val="en-US"/>
        </w:rPr>
      </w:pPr>
    </w:p>
  </w:endnote>
  <w:endnote w:id="104">
    <w:p w14:paraId="34968AAF" w14:textId="7C39B152" w:rsidR="00F70157" w:rsidRPr="006C7213" w:rsidRDefault="00F70157" w:rsidP="006C7213">
      <w:pPr>
        <w:pStyle w:val="EndnoteText"/>
        <w:tabs>
          <w:tab w:val="left" w:pos="567"/>
        </w:tabs>
        <w:spacing w:after="120"/>
        <w:ind w:left="567" w:hanging="567"/>
        <w:rPr>
          <w:rFonts w:cstheme="minorHAnsi"/>
          <w:sz w:val="22"/>
          <w:szCs w:val="22"/>
          <w:lang w:val="en-US"/>
        </w:rPr>
      </w:pPr>
      <w:r w:rsidRPr="00D872F7">
        <w:rPr>
          <w:rStyle w:val="EndnoteReference"/>
          <w:rFonts w:cstheme="minorHAnsi"/>
          <w:sz w:val="22"/>
          <w:szCs w:val="22"/>
          <w:vertAlign w:val="baseline"/>
        </w:rPr>
        <w:endnoteRef/>
      </w:r>
      <w:r w:rsidRPr="00D872F7">
        <w:rPr>
          <w:rFonts w:cstheme="minorHAnsi"/>
          <w:sz w:val="22"/>
          <w:szCs w:val="22"/>
        </w:rPr>
        <w:t xml:space="preserve">  </w:t>
      </w:r>
      <w:r>
        <w:rPr>
          <w:rFonts w:cstheme="minorHAnsi"/>
          <w:sz w:val="22"/>
          <w:szCs w:val="22"/>
        </w:rPr>
        <w:tab/>
      </w:r>
      <w:proofErr w:type="gramStart"/>
      <w:r w:rsidRPr="00D872F7">
        <w:rPr>
          <w:rFonts w:cstheme="minorHAnsi"/>
          <w:sz w:val="22"/>
          <w:szCs w:val="22"/>
        </w:rPr>
        <w:t xml:space="preserve">Victorian </w:t>
      </w:r>
      <w:r w:rsidRPr="00D872F7">
        <w:rPr>
          <w:sz w:val="22"/>
          <w:szCs w:val="22"/>
          <w:lang w:val="en"/>
        </w:rPr>
        <w:t>Department of Health &amp; Human Services</w:t>
      </w:r>
      <w:r>
        <w:rPr>
          <w:sz w:val="22"/>
          <w:szCs w:val="22"/>
          <w:lang w:val="en"/>
        </w:rPr>
        <w:t>.</w:t>
      </w:r>
      <w:proofErr w:type="gramEnd"/>
      <w:r w:rsidRPr="00D872F7">
        <w:rPr>
          <w:sz w:val="22"/>
          <w:szCs w:val="22"/>
          <w:lang w:val="en"/>
        </w:rPr>
        <w:t xml:space="preserve"> </w:t>
      </w:r>
      <w:r w:rsidRPr="00D872F7">
        <w:rPr>
          <w:rFonts w:cstheme="minorHAnsi"/>
          <w:sz w:val="22"/>
          <w:szCs w:val="22"/>
          <w:lang w:val="en-US"/>
        </w:rPr>
        <w:t xml:space="preserve">Review of hospital safety and quality assurance in Victoria. </w:t>
      </w:r>
      <w:r w:rsidRPr="006C7213">
        <w:rPr>
          <w:rFonts w:cstheme="minorHAnsi"/>
          <w:sz w:val="22"/>
          <w:szCs w:val="22"/>
          <w:lang w:val="en-US"/>
        </w:rPr>
        <w:t>Accessed 26/04/2018.</w:t>
      </w:r>
      <w:r>
        <w:rPr>
          <w:rFonts w:cstheme="minorHAnsi"/>
          <w:sz w:val="22"/>
          <w:szCs w:val="22"/>
          <w:lang w:val="en-US"/>
        </w:rPr>
        <w:t xml:space="preserve"> </w:t>
      </w:r>
      <w:r w:rsidRPr="00D872F7">
        <w:rPr>
          <w:rFonts w:cstheme="minorHAnsi"/>
          <w:sz w:val="22"/>
          <w:szCs w:val="22"/>
          <w:lang w:val="en-US"/>
        </w:rPr>
        <w:t xml:space="preserve">Available </w:t>
      </w:r>
      <w:r>
        <w:rPr>
          <w:rFonts w:cstheme="minorHAnsi"/>
          <w:sz w:val="22"/>
          <w:szCs w:val="22"/>
          <w:lang w:val="en-US"/>
        </w:rPr>
        <w:t>from</w:t>
      </w:r>
      <w:r w:rsidRPr="00D872F7">
        <w:rPr>
          <w:rFonts w:cstheme="minorHAnsi"/>
          <w:sz w:val="22"/>
          <w:szCs w:val="22"/>
          <w:lang w:val="en-US"/>
        </w:rPr>
        <w:t xml:space="preserve">: </w:t>
      </w:r>
      <w:hyperlink r:id="rId62" w:history="1">
        <w:r w:rsidRPr="00D872F7">
          <w:rPr>
            <w:rStyle w:val="Hyperlink"/>
            <w:rFonts w:asciiTheme="minorHAnsi" w:hAnsiTheme="minorHAnsi" w:cstheme="minorHAnsi"/>
            <w:szCs w:val="22"/>
            <w:lang w:val="en-US"/>
          </w:rPr>
          <w:t>https://www2.health.vic.gov.au/hospitals-and-health-services/quality-safety-service/hospital-safety-and-quality-review</w:t>
        </w:r>
      </w:hyperlink>
      <w:r w:rsidRPr="006C7213">
        <w:rPr>
          <w:rFonts w:cstheme="minorHAnsi"/>
          <w:sz w:val="22"/>
          <w:szCs w:val="22"/>
          <w:lang w:val="en-US"/>
        </w:rPr>
        <w:t xml:space="preserve">. </w:t>
      </w:r>
    </w:p>
  </w:endnote>
  <w:endnote w:id="105">
    <w:p w14:paraId="7FB33BE5" w14:textId="4CC91EC6" w:rsidR="00F70157" w:rsidRPr="006C7213" w:rsidRDefault="00F70157" w:rsidP="00ED1DB5">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952AC1">
        <w:rPr>
          <w:rFonts w:cstheme="minorHAnsi"/>
          <w:sz w:val="22"/>
          <w:szCs w:val="22"/>
        </w:rPr>
        <w:t>Victorian Department of Health &amp; Human Services.</w:t>
      </w:r>
      <w:proofErr w:type="gramEnd"/>
      <w:r w:rsidRPr="00952AC1">
        <w:rPr>
          <w:rFonts w:cstheme="minorHAnsi"/>
          <w:sz w:val="22"/>
          <w:szCs w:val="22"/>
        </w:rPr>
        <w:t xml:space="preserve"> </w:t>
      </w:r>
      <w:proofErr w:type="gramStart"/>
      <w:r w:rsidRPr="006C7213">
        <w:rPr>
          <w:rFonts w:cstheme="minorHAnsi"/>
          <w:sz w:val="22"/>
          <w:szCs w:val="22"/>
          <w:lang w:val="en-US"/>
        </w:rPr>
        <w:t>Targeting zero, the review of hospital safety and quality assurance in Victoria.</w:t>
      </w:r>
      <w:proofErr w:type="gramEnd"/>
      <w:r w:rsidRPr="006C7213">
        <w:rPr>
          <w:rFonts w:cstheme="minorHAnsi"/>
          <w:sz w:val="22"/>
          <w:szCs w:val="22"/>
          <w:lang w:val="en-US"/>
        </w:rPr>
        <w:t xml:space="preserve"> </w:t>
      </w:r>
      <w:r>
        <w:rPr>
          <w:rFonts w:cstheme="minorHAnsi"/>
          <w:sz w:val="22"/>
          <w:szCs w:val="22"/>
          <w:lang w:val="en-US"/>
        </w:rPr>
        <w:t>Accessed</w:t>
      </w:r>
      <w:r w:rsidRPr="006C7213">
        <w:rPr>
          <w:rFonts w:cstheme="minorHAnsi"/>
          <w:sz w:val="22"/>
          <w:szCs w:val="22"/>
          <w:lang w:val="en-US"/>
        </w:rPr>
        <w:t xml:space="preserve"> 26/04/2018.</w:t>
      </w:r>
      <w:r>
        <w:rPr>
          <w:rFonts w:cstheme="minorHAnsi"/>
          <w:sz w:val="22"/>
          <w:szCs w:val="22"/>
          <w:lang w:val="en-US"/>
        </w:rPr>
        <w:t xml:space="preserve"> </w:t>
      </w:r>
      <w:r w:rsidRPr="006C7213">
        <w:rPr>
          <w:rFonts w:cstheme="minorHAnsi"/>
          <w:sz w:val="22"/>
          <w:szCs w:val="22"/>
          <w:lang w:val="en-US"/>
        </w:rPr>
        <w:t xml:space="preserve">Available </w:t>
      </w:r>
      <w:r>
        <w:rPr>
          <w:rFonts w:cstheme="minorHAnsi"/>
          <w:sz w:val="22"/>
          <w:szCs w:val="22"/>
          <w:lang w:val="en-US"/>
        </w:rPr>
        <w:t>from</w:t>
      </w:r>
      <w:r w:rsidRPr="006C7213">
        <w:rPr>
          <w:rFonts w:cstheme="minorHAnsi"/>
          <w:sz w:val="22"/>
          <w:szCs w:val="22"/>
          <w:lang w:val="en-US"/>
        </w:rPr>
        <w:t xml:space="preserve">: </w:t>
      </w:r>
      <w:hyperlink r:id="rId63" w:history="1">
        <w:r w:rsidRPr="006C7213">
          <w:rPr>
            <w:rStyle w:val="Hyperlink"/>
            <w:rFonts w:asciiTheme="minorHAnsi" w:hAnsiTheme="minorHAnsi" w:cstheme="minorHAnsi"/>
            <w:szCs w:val="22"/>
            <w:lang w:val="en-US"/>
          </w:rPr>
          <w:t>https://www.dhhs.vic.gov.au/publications/targeting-zero-review-hospital-safety-and-quality-assurance-victoria</w:t>
        </w:r>
      </w:hyperlink>
      <w:r w:rsidRPr="006C7213">
        <w:rPr>
          <w:rFonts w:cstheme="minorHAnsi"/>
          <w:sz w:val="22"/>
          <w:szCs w:val="22"/>
          <w:lang w:val="en-US"/>
        </w:rPr>
        <w:t xml:space="preserve">. </w:t>
      </w:r>
    </w:p>
  </w:endnote>
  <w:endnote w:id="106">
    <w:p w14:paraId="28C1FA5B" w14:textId="59CB1908"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952AC1">
        <w:rPr>
          <w:rFonts w:cstheme="minorHAnsi"/>
          <w:sz w:val="22"/>
          <w:szCs w:val="22"/>
        </w:rPr>
        <w:t>Safer Care Victoria</w:t>
      </w:r>
      <w:r>
        <w:rPr>
          <w:rFonts w:cstheme="minorHAnsi"/>
          <w:sz w:val="22"/>
          <w:szCs w:val="22"/>
        </w:rPr>
        <w:t>.</w:t>
      </w:r>
      <w:proofErr w:type="gramEnd"/>
      <w:r w:rsidRPr="00952AC1">
        <w:rPr>
          <w:rFonts w:cstheme="minorHAnsi"/>
          <w:sz w:val="22"/>
          <w:szCs w:val="22"/>
        </w:rPr>
        <w:t xml:space="preserve"> </w:t>
      </w:r>
      <w:proofErr w:type="gramStart"/>
      <w:r w:rsidRPr="006C7213">
        <w:rPr>
          <w:rFonts w:cstheme="minorHAnsi"/>
          <w:sz w:val="22"/>
          <w:szCs w:val="22"/>
          <w:lang w:val="en-US"/>
        </w:rPr>
        <w:t>About Safer Care Victoria.</w:t>
      </w:r>
      <w:proofErr w:type="gramEnd"/>
      <w:r w:rsidRPr="006C7213">
        <w:rPr>
          <w:rFonts w:cstheme="minorHAnsi"/>
          <w:sz w:val="22"/>
          <w:szCs w:val="22"/>
          <w:lang w:val="en-US"/>
        </w:rPr>
        <w:t xml:space="preserve"> </w:t>
      </w:r>
      <w:r w:rsidRPr="00952AC1">
        <w:rPr>
          <w:rFonts w:cstheme="minorHAnsi"/>
          <w:sz w:val="22"/>
          <w:szCs w:val="22"/>
          <w:lang w:val="en-US"/>
        </w:rPr>
        <w:t>Accessed: 20/04/2018.</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64" w:history="1">
        <w:r w:rsidRPr="006C7213">
          <w:rPr>
            <w:rStyle w:val="Hyperlink"/>
            <w:rFonts w:asciiTheme="minorHAnsi" w:hAnsiTheme="minorHAnsi" w:cstheme="minorHAnsi"/>
            <w:szCs w:val="22"/>
            <w:lang w:val="en-US"/>
          </w:rPr>
          <w:t>https://www2.health.vic.gov.au/hospitals-and-health-services/safer-care-victoria/about</w:t>
        </w:r>
      </w:hyperlink>
      <w:r w:rsidRPr="006C7213">
        <w:rPr>
          <w:rFonts w:cstheme="minorHAnsi"/>
          <w:sz w:val="22"/>
          <w:szCs w:val="22"/>
          <w:lang w:val="en-US"/>
        </w:rPr>
        <w:t xml:space="preserve">. </w:t>
      </w:r>
    </w:p>
  </w:endnote>
  <w:endnote w:id="107">
    <w:p w14:paraId="34AE337A" w14:textId="556FF9FE"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952AC1">
        <w:rPr>
          <w:rFonts w:cstheme="minorHAnsi"/>
          <w:sz w:val="22"/>
          <w:szCs w:val="22"/>
        </w:rPr>
        <w:t>Victorian Department of Health &amp; Human Services.</w:t>
      </w:r>
      <w:proofErr w:type="gramEnd"/>
      <w:r w:rsidRPr="00952AC1">
        <w:rPr>
          <w:rFonts w:cstheme="minorHAnsi"/>
          <w:sz w:val="22"/>
          <w:szCs w:val="22"/>
        </w:rPr>
        <w:t xml:space="preserve"> </w:t>
      </w:r>
      <w:r w:rsidRPr="006C7213">
        <w:rPr>
          <w:rFonts w:cstheme="minorHAnsi"/>
          <w:sz w:val="22"/>
          <w:szCs w:val="22"/>
          <w:lang w:val="en-US"/>
        </w:rPr>
        <w:t xml:space="preserve">Victorian Health Services Performance monitoring framework 2017-18. </w:t>
      </w:r>
      <w:proofErr w:type="gramStart"/>
      <w:r w:rsidRPr="00952AC1">
        <w:rPr>
          <w:rFonts w:cstheme="minorHAnsi"/>
          <w:sz w:val="22"/>
          <w:szCs w:val="22"/>
          <w:lang w:val="en-US"/>
        </w:rPr>
        <w:t>Accessed: 20/04/2018.</w:t>
      </w:r>
      <w:proofErr w:type="gramEnd"/>
      <w:r>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65" w:history="1">
        <w:r w:rsidRPr="006C7213">
          <w:rPr>
            <w:rStyle w:val="Hyperlink"/>
            <w:rFonts w:asciiTheme="minorHAnsi" w:hAnsiTheme="minorHAnsi" w:cstheme="minorHAnsi"/>
            <w:szCs w:val="22"/>
            <w:lang w:val="en-US"/>
          </w:rPr>
          <w:t>https://www2.health.vic.gov.au/hospitals-and-health-services/funding-performance-accountability/performance-monitoring</w:t>
        </w:r>
      </w:hyperlink>
      <w:r w:rsidRPr="006C7213">
        <w:rPr>
          <w:rFonts w:cstheme="minorHAnsi"/>
          <w:sz w:val="22"/>
          <w:szCs w:val="22"/>
          <w:lang w:val="en-US"/>
        </w:rPr>
        <w:t xml:space="preserve">. </w:t>
      </w:r>
    </w:p>
  </w:endnote>
  <w:endnote w:id="108">
    <w:p w14:paraId="19F98E90" w14:textId="2DD4AC46"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Pr>
          <w:rFonts w:cstheme="minorHAnsi"/>
          <w:sz w:val="22"/>
          <w:szCs w:val="22"/>
          <w:lang w:val="en-US"/>
        </w:rPr>
        <w:t>Safer Care Victoria.</w:t>
      </w:r>
      <w:proofErr w:type="gramEnd"/>
      <w:r>
        <w:rPr>
          <w:rFonts w:cstheme="minorHAnsi"/>
          <w:sz w:val="22"/>
          <w:szCs w:val="22"/>
          <w:lang w:val="en-US"/>
        </w:rPr>
        <w:t xml:space="preserve"> </w:t>
      </w:r>
      <w:proofErr w:type="gramStart"/>
      <w:r>
        <w:rPr>
          <w:rFonts w:cstheme="minorHAnsi"/>
          <w:sz w:val="22"/>
          <w:szCs w:val="22"/>
          <w:lang w:val="en-US"/>
        </w:rPr>
        <w:t>P</w:t>
      </w:r>
      <w:r w:rsidRPr="006C7213">
        <w:rPr>
          <w:rFonts w:cstheme="minorHAnsi"/>
          <w:sz w:val="22"/>
          <w:szCs w:val="22"/>
          <w:lang w:val="en-US"/>
        </w:rPr>
        <w:t>ublications.</w:t>
      </w:r>
      <w:proofErr w:type="gramEnd"/>
      <w:r w:rsidRPr="006C7213">
        <w:rPr>
          <w:rFonts w:cstheme="minorHAnsi"/>
          <w:sz w:val="22"/>
          <w:szCs w:val="22"/>
          <w:lang w:val="en-US"/>
        </w:rPr>
        <w:t xml:space="preserve"> </w:t>
      </w:r>
      <w:r>
        <w:rPr>
          <w:rFonts w:cstheme="minorHAnsi"/>
          <w:sz w:val="22"/>
          <w:szCs w:val="22"/>
          <w:lang w:val="en-US"/>
        </w:rPr>
        <w:t>Accessed</w:t>
      </w:r>
      <w:r w:rsidRPr="00952AC1">
        <w:rPr>
          <w:rFonts w:cstheme="minorHAnsi"/>
          <w:sz w:val="22"/>
          <w:szCs w:val="22"/>
          <w:lang w:val="en-US"/>
        </w:rPr>
        <w:t xml:space="preserve"> 20/04/2018.</w:t>
      </w:r>
      <w:r>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66" w:history="1">
        <w:r w:rsidRPr="006C7213">
          <w:rPr>
            <w:rStyle w:val="Hyperlink"/>
            <w:rFonts w:asciiTheme="minorHAnsi" w:hAnsiTheme="minorHAnsi" w:cstheme="minorHAnsi"/>
            <w:szCs w:val="22"/>
            <w:lang w:val="en-US"/>
          </w:rPr>
          <w:t>https://www2.health.vic.gov.au/hospitals-and-health-services/safer-care-victoria/scv-publications</w:t>
        </w:r>
      </w:hyperlink>
      <w:r w:rsidRPr="006C7213">
        <w:rPr>
          <w:rFonts w:cstheme="minorHAnsi"/>
          <w:sz w:val="22"/>
          <w:szCs w:val="22"/>
          <w:lang w:val="en-US"/>
        </w:rPr>
        <w:t xml:space="preserve">. </w:t>
      </w:r>
    </w:p>
  </w:endnote>
  <w:endnote w:id="109">
    <w:p w14:paraId="15DEE97B" w14:textId="62BB62D4"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952AC1">
        <w:rPr>
          <w:rFonts w:cstheme="minorHAnsi"/>
          <w:sz w:val="22"/>
          <w:szCs w:val="22"/>
        </w:rPr>
        <w:t>Victorian Department of Health &amp; Human Services.</w:t>
      </w:r>
      <w:proofErr w:type="gramEnd"/>
      <w:r w:rsidRPr="00952AC1">
        <w:rPr>
          <w:rFonts w:cstheme="minorHAnsi"/>
          <w:sz w:val="22"/>
          <w:szCs w:val="22"/>
        </w:rPr>
        <w:t xml:space="preserve"> </w:t>
      </w:r>
      <w:proofErr w:type="gramStart"/>
      <w:r w:rsidRPr="006C7213">
        <w:rPr>
          <w:rFonts w:cstheme="minorHAnsi"/>
          <w:sz w:val="22"/>
          <w:szCs w:val="22"/>
          <w:lang w:val="en-US"/>
        </w:rPr>
        <w:t>Victorian quality account.</w:t>
      </w:r>
      <w:proofErr w:type="gramEnd"/>
      <w:r w:rsidRPr="006C7213">
        <w:rPr>
          <w:rFonts w:cstheme="minorHAnsi"/>
          <w:sz w:val="22"/>
          <w:szCs w:val="22"/>
          <w:lang w:val="en-US"/>
        </w:rPr>
        <w:t xml:space="preserve"> </w:t>
      </w:r>
      <w:r>
        <w:rPr>
          <w:rFonts w:cstheme="minorHAnsi"/>
          <w:sz w:val="22"/>
          <w:szCs w:val="22"/>
          <w:lang w:val="en-US"/>
        </w:rPr>
        <w:t>Accessed</w:t>
      </w:r>
      <w:r w:rsidRPr="00952AC1">
        <w:rPr>
          <w:rFonts w:cstheme="minorHAnsi"/>
          <w:sz w:val="22"/>
          <w:szCs w:val="22"/>
          <w:lang w:val="en-US"/>
        </w:rPr>
        <w:t xml:space="preserve"> 20/04/2018.</w:t>
      </w:r>
      <w:r>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67" w:history="1">
        <w:r w:rsidRPr="006C7213">
          <w:rPr>
            <w:rStyle w:val="Hyperlink"/>
            <w:rFonts w:asciiTheme="minorHAnsi" w:hAnsiTheme="minorHAnsi" w:cstheme="minorHAnsi"/>
            <w:szCs w:val="22"/>
            <w:lang w:val="en-US"/>
          </w:rPr>
          <w:t>https://www2.health.vic.gov.au/about/participation-and-communication/quality-account</w:t>
        </w:r>
      </w:hyperlink>
      <w:r w:rsidRPr="006C7213">
        <w:rPr>
          <w:rFonts w:cstheme="minorHAnsi"/>
          <w:sz w:val="22"/>
          <w:szCs w:val="22"/>
          <w:lang w:val="en-US"/>
        </w:rPr>
        <w:t xml:space="preserve">. </w:t>
      </w:r>
    </w:p>
  </w:endnote>
  <w:endnote w:id="110">
    <w:p w14:paraId="23AFCBE2" w14:textId="2AB9F28F"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Pr>
          <w:rFonts w:cstheme="minorHAnsi"/>
          <w:sz w:val="22"/>
          <w:szCs w:val="22"/>
        </w:rPr>
        <w:t>Victoria State Government.</w:t>
      </w:r>
      <w:proofErr w:type="gramEnd"/>
      <w:r>
        <w:rPr>
          <w:rFonts w:cstheme="minorHAnsi"/>
          <w:sz w:val="22"/>
          <w:szCs w:val="22"/>
        </w:rPr>
        <w:t xml:space="preserve"> </w:t>
      </w:r>
      <w:proofErr w:type="gramStart"/>
      <w:r w:rsidRPr="006C7213">
        <w:rPr>
          <w:rFonts w:cstheme="minorHAnsi"/>
          <w:sz w:val="22"/>
          <w:szCs w:val="22"/>
          <w:lang w:val="en-US"/>
        </w:rPr>
        <w:t>Victorian Agency for Health Information.</w:t>
      </w:r>
      <w:proofErr w:type="gramEnd"/>
      <w:r w:rsidRPr="00952AC1">
        <w:t xml:space="preserve"> </w:t>
      </w:r>
      <w:r w:rsidRPr="00952AC1">
        <w:rPr>
          <w:rFonts w:cstheme="minorHAnsi"/>
          <w:sz w:val="22"/>
          <w:szCs w:val="22"/>
          <w:lang w:val="en-US"/>
        </w:rPr>
        <w:t>Accessed 19/04/2018.</w:t>
      </w:r>
      <w:r w:rsidRPr="006C7213">
        <w:rPr>
          <w:rFonts w:cstheme="minorHAnsi"/>
          <w:sz w:val="22"/>
          <w:szCs w:val="22"/>
          <w:lang w:val="en-US"/>
        </w:rPr>
        <w:t xml:space="preserve"> Available</w:t>
      </w:r>
      <w:r>
        <w:rPr>
          <w:rFonts w:cstheme="minorHAnsi"/>
          <w:sz w:val="22"/>
          <w:szCs w:val="22"/>
          <w:lang w:val="en-US"/>
        </w:rPr>
        <w:t xml:space="preserve"> from</w:t>
      </w:r>
      <w:r w:rsidRPr="006C7213">
        <w:rPr>
          <w:rFonts w:cstheme="minorHAnsi"/>
          <w:sz w:val="22"/>
          <w:szCs w:val="22"/>
          <w:lang w:val="en-US"/>
        </w:rPr>
        <w:t xml:space="preserve">: </w:t>
      </w:r>
      <w:hyperlink r:id="rId68" w:history="1">
        <w:r w:rsidRPr="006C7213">
          <w:rPr>
            <w:rStyle w:val="Hyperlink"/>
            <w:rFonts w:asciiTheme="minorHAnsi" w:hAnsiTheme="minorHAnsi" w:cstheme="minorHAnsi"/>
            <w:szCs w:val="22"/>
            <w:lang w:val="en-US"/>
          </w:rPr>
          <w:t>https://www2.health.vic.gov.au/hospitals-and-health-services/vahi</w:t>
        </w:r>
      </w:hyperlink>
      <w:r>
        <w:rPr>
          <w:rFonts w:cstheme="minorHAnsi"/>
          <w:sz w:val="22"/>
          <w:szCs w:val="22"/>
          <w:lang w:val="en-US"/>
        </w:rPr>
        <w:t>.</w:t>
      </w:r>
    </w:p>
  </w:endnote>
  <w:endnote w:id="111">
    <w:p w14:paraId="2A2D596C" w14:textId="2596A43E" w:rsidR="00F70157" w:rsidRPr="00952AC1"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952AC1">
        <w:rPr>
          <w:rFonts w:cstheme="minorHAnsi"/>
          <w:sz w:val="22"/>
          <w:szCs w:val="22"/>
        </w:rPr>
        <w:t>Victorian Agency for Health Information</w:t>
      </w:r>
      <w:r>
        <w:rPr>
          <w:rFonts w:cstheme="minorHAnsi"/>
          <w:sz w:val="22"/>
          <w:szCs w:val="22"/>
        </w:rPr>
        <w:t>.</w:t>
      </w:r>
      <w:proofErr w:type="gramEnd"/>
      <w:r w:rsidRPr="00952AC1">
        <w:rPr>
          <w:rFonts w:cstheme="minorHAnsi"/>
          <w:sz w:val="22"/>
          <w:szCs w:val="22"/>
        </w:rPr>
        <w:t xml:space="preserve"> </w:t>
      </w:r>
      <w:r w:rsidRPr="006C7213">
        <w:rPr>
          <w:rFonts w:cstheme="minorHAnsi"/>
          <w:sz w:val="22"/>
          <w:szCs w:val="22"/>
          <w:lang w:val="en-US"/>
        </w:rPr>
        <w:t xml:space="preserve">Guide to VAHI Reports. </w:t>
      </w:r>
      <w:r w:rsidRPr="00952AC1">
        <w:rPr>
          <w:rFonts w:cstheme="minorHAnsi"/>
          <w:sz w:val="22"/>
          <w:szCs w:val="22"/>
          <w:lang w:val="en-US"/>
        </w:rPr>
        <w:t>Accessed 19/04/2018.</w:t>
      </w:r>
      <w:r>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69" w:history="1">
        <w:r w:rsidRPr="00952AC1">
          <w:rPr>
            <w:rStyle w:val="Hyperlink"/>
            <w:rFonts w:asciiTheme="minorHAnsi" w:hAnsiTheme="minorHAnsi"/>
            <w:szCs w:val="22"/>
          </w:rPr>
          <w:t>https://bettersafercare.vic.gov.au/sites/default/files/2018-03/Guide-to-VAHI-Reports.pdf</w:t>
        </w:r>
      </w:hyperlink>
      <w:r w:rsidRPr="00952AC1">
        <w:rPr>
          <w:sz w:val="22"/>
          <w:szCs w:val="22"/>
        </w:rPr>
        <w:t xml:space="preserve"> </w:t>
      </w:r>
    </w:p>
  </w:endnote>
  <w:endnote w:id="112">
    <w:p w14:paraId="28CC402E" w14:textId="17B5142D"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r w:rsidRPr="006C7213">
        <w:rPr>
          <w:rFonts w:cstheme="minorHAnsi"/>
          <w:sz w:val="22"/>
          <w:szCs w:val="22"/>
          <w:lang w:val="en-US"/>
        </w:rPr>
        <w:t xml:space="preserve">Adult experiences of care in public hospitals – 2016 Report. Available: </w:t>
      </w:r>
      <w:hyperlink r:id="rId70" w:history="1">
        <w:r w:rsidRPr="006C7213">
          <w:rPr>
            <w:rStyle w:val="Hyperlink"/>
            <w:rFonts w:asciiTheme="minorHAnsi" w:hAnsiTheme="minorHAnsi" w:cstheme="minorHAnsi"/>
            <w:szCs w:val="22"/>
            <w:lang w:val="en-US"/>
          </w:rPr>
          <w:t>https://www2.health.vic.gov.au/hospitals-and-health-services/vahi/vahi-publications/adult-experience-public-hospitals-2016-report</w:t>
        </w:r>
      </w:hyperlink>
      <w:r>
        <w:rPr>
          <w:rFonts w:cstheme="minorHAnsi"/>
          <w:sz w:val="22"/>
          <w:szCs w:val="22"/>
          <w:lang w:val="en-US"/>
        </w:rPr>
        <w:t>. Accessed</w:t>
      </w:r>
      <w:r w:rsidRPr="006C7213">
        <w:rPr>
          <w:rFonts w:cstheme="minorHAnsi"/>
          <w:sz w:val="22"/>
          <w:szCs w:val="22"/>
          <w:lang w:val="en-US"/>
        </w:rPr>
        <w:t xml:space="preserve"> 19/04/2018. </w:t>
      </w:r>
    </w:p>
  </w:endnote>
  <w:endnote w:id="113">
    <w:p w14:paraId="3EC6E42D" w14:textId="10180D1E"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6C7213">
        <w:rPr>
          <w:rFonts w:cstheme="minorHAnsi"/>
          <w:sz w:val="22"/>
          <w:szCs w:val="22"/>
          <w:lang w:val="en-US"/>
        </w:rPr>
        <w:t>Victorian Agency for Health Information</w:t>
      </w:r>
      <w:r>
        <w:rPr>
          <w:rFonts w:cstheme="minorHAnsi"/>
          <w:sz w:val="22"/>
          <w:szCs w:val="22"/>
          <w:lang w:val="en-US"/>
        </w:rPr>
        <w:t>.</w:t>
      </w:r>
      <w:proofErr w:type="gramEnd"/>
      <w:r w:rsidRPr="006C7213">
        <w:rPr>
          <w:rFonts w:cstheme="minorHAnsi"/>
          <w:sz w:val="22"/>
          <w:szCs w:val="22"/>
          <w:lang w:val="en-US"/>
        </w:rPr>
        <w:t xml:space="preserve"> Corporate Plan: 2017-18 (October 2017). </w:t>
      </w:r>
      <w:r>
        <w:rPr>
          <w:rFonts w:cstheme="minorHAnsi"/>
          <w:sz w:val="22"/>
          <w:szCs w:val="22"/>
          <w:lang w:val="en-US"/>
        </w:rPr>
        <w:t>Accessed</w:t>
      </w:r>
      <w:r w:rsidRPr="009A2833">
        <w:rPr>
          <w:rFonts w:cstheme="minorHAnsi"/>
          <w:sz w:val="22"/>
          <w:szCs w:val="22"/>
          <w:lang w:val="en-US"/>
        </w:rPr>
        <w:t xml:space="preserve"> 19/04/2018.</w:t>
      </w:r>
      <w:r>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71" w:history="1">
        <w:r w:rsidRPr="006C7213">
          <w:rPr>
            <w:rStyle w:val="Hyperlink"/>
            <w:rFonts w:asciiTheme="minorHAnsi" w:hAnsiTheme="minorHAnsi" w:cstheme="minorHAnsi"/>
            <w:szCs w:val="22"/>
            <w:lang w:val="en-US"/>
          </w:rPr>
          <w:t>https://bettersafercare.vic.gov.au/sites/default/files/2018-03/VAHI-corporate-plan-2017-18.pdf</w:t>
        </w:r>
      </w:hyperlink>
      <w:r w:rsidRPr="006C7213">
        <w:rPr>
          <w:rFonts w:cstheme="minorHAnsi"/>
          <w:sz w:val="22"/>
          <w:szCs w:val="22"/>
          <w:lang w:val="en-US"/>
        </w:rPr>
        <w:t xml:space="preserve">. </w:t>
      </w:r>
    </w:p>
  </w:endnote>
  <w:endnote w:id="114">
    <w:p w14:paraId="6F2C666A" w14:textId="14BD5980"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9A2833">
        <w:rPr>
          <w:rFonts w:cstheme="minorHAnsi"/>
          <w:sz w:val="22"/>
          <w:szCs w:val="22"/>
        </w:rPr>
        <w:t>VICNISS</w:t>
      </w:r>
      <w:r>
        <w:rPr>
          <w:rFonts w:cstheme="minorHAnsi"/>
          <w:sz w:val="22"/>
          <w:szCs w:val="22"/>
        </w:rPr>
        <w:t>.</w:t>
      </w:r>
      <w:proofErr w:type="gramEnd"/>
      <w:r w:rsidRPr="009A2833">
        <w:rPr>
          <w:rFonts w:cstheme="minorHAnsi"/>
          <w:sz w:val="22"/>
          <w:szCs w:val="22"/>
        </w:rPr>
        <w:t xml:space="preserve"> </w:t>
      </w:r>
      <w:r w:rsidRPr="006C7213">
        <w:rPr>
          <w:rFonts w:cstheme="minorHAnsi"/>
          <w:sz w:val="22"/>
          <w:szCs w:val="22"/>
          <w:lang w:val="en-US"/>
        </w:rPr>
        <w:t xml:space="preserve">What is </w:t>
      </w:r>
      <w:proofErr w:type="gramStart"/>
      <w:r w:rsidRPr="006C7213">
        <w:rPr>
          <w:rFonts w:cstheme="minorHAnsi"/>
          <w:sz w:val="22"/>
          <w:szCs w:val="22"/>
          <w:lang w:val="en-US"/>
        </w:rPr>
        <w:t>VICNISS.</w:t>
      </w:r>
      <w:proofErr w:type="gramEnd"/>
      <w:r w:rsidRPr="009A2833">
        <w:t xml:space="preserve"> </w:t>
      </w:r>
      <w:r>
        <w:rPr>
          <w:rFonts w:cstheme="minorHAnsi"/>
          <w:sz w:val="22"/>
          <w:szCs w:val="22"/>
          <w:lang w:val="en-US"/>
        </w:rPr>
        <w:t>Accessed 20/04/2018.</w:t>
      </w:r>
      <w:r w:rsidRPr="006C7213">
        <w:rPr>
          <w:rFonts w:cstheme="minorHAnsi"/>
          <w:sz w:val="22"/>
          <w:szCs w:val="22"/>
          <w:lang w:val="en-US"/>
        </w:rPr>
        <w:t xml:space="preserve"> Available</w:t>
      </w:r>
      <w:r>
        <w:rPr>
          <w:rFonts w:cstheme="minorHAnsi"/>
          <w:sz w:val="22"/>
          <w:szCs w:val="22"/>
          <w:lang w:val="en-US"/>
        </w:rPr>
        <w:t xml:space="preserve"> from</w:t>
      </w:r>
      <w:r w:rsidRPr="006C7213">
        <w:rPr>
          <w:rFonts w:cstheme="minorHAnsi"/>
          <w:sz w:val="22"/>
          <w:szCs w:val="22"/>
          <w:lang w:val="en-US"/>
        </w:rPr>
        <w:t xml:space="preserve">: </w:t>
      </w:r>
      <w:hyperlink r:id="rId72" w:history="1">
        <w:r w:rsidRPr="006C7213">
          <w:rPr>
            <w:rStyle w:val="Hyperlink"/>
            <w:rFonts w:asciiTheme="minorHAnsi" w:hAnsiTheme="minorHAnsi" w:cstheme="minorHAnsi"/>
            <w:szCs w:val="22"/>
            <w:lang w:val="en-US"/>
          </w:rPr>
          <w:t>https://www.vicniss.org.au/about/what-is-vicniss/</w:t>
        </w:r>
      </w:hyperlink>
      <w:r w:rsidRPr="006C7213">
        <w:rPr>
          <w:rFonts w:cstheme="minorHAnsi"/>
          <w:sz w:val="22"/>
          <w:szCs w:val="22"/>
          <w:lang w:val="en-US"/>
        </w:rPr>
        <w:t xml:space="preserve">. </w:t>
      </w:r>
    </w:p>
  </w:endnote>
  <w:endnote w:id="115">
    <w:p w14:paraId="1561E912" w14:textId="2B256B26"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Pr>
          <w:rFonts w:cstheme="minorHAnsi"/>
          <w:sz w:val="22"/>
          <w:szCs w:val="22"/>
        </w:rPr>
        <w:t>VICISS.</w:t>
      </w:r>
      <w:proofErr w:type="gramEnd"/>
      <w:r w:rsidRPr="009A2833">
        <w:rPr>
          <w:rFonts w:cstheme="minorHAnsi"/>
          <w:sz w:val="22"/>
          <w:szCs w:val="22"/>
        </w:rPr>
        <w:t xml:space="preserve"> </w:t>
      </w:r>
      <w:proofErr w:type="gramStart"/>
      <w:r w:rsidRPr="006C7213">
        <w:rPr>
          <w:rFonts w:cstheme="minorHAnsi"/>
          <w:sz w:val="22"/>
          <w:szCs w:val="22"/>
          <w:lang w:val="en-US"/>
        </w:rPr>
        <w:t>VICNISS Surveillance Activities in Our Hospitals.</w:t>
      </w:r>
      <w:proofErr w:type="gramEnd"/>
      <w:r w:rsidRPr="006C7213">
        <w:rPr>
          <w:rFonts w:cstheme="minorHAnsi"/>
          <w:sz w:val="22"/>
          <w:szCs w:val="22"/>
          <w:lang w:val="en-US"/>
        </w:rPr>
        <w:t xml:space="preserve"> </w:t>
      </w:r>
      <w:r>
        <w:rPr>
          <w:rFonts w:cstheme="minorHAnsi"/>
          <w:sz w:val="22"/>
          <w:szCs w:val="22"/>
          <w:lang w:val="en-US"/>
        </w:rPr>
        <w:t>Accessed</w:t>
      </w:r>
      <w:r w:rsidRPr="009A2833">
        <w:rPr>
          <w:rFonts w:cstheme="minorHAnsi"/>
          <w:sz w:val="22"/>
          <w:szCs w:val="22"/>
          <w:lang w:val="en-US"/>
        </w:rPr>
        <w:t xml:space="preserve"> 20/04/2018</w:t>
      </w:r>
      <w:r>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73" w:history="1">
        <w:r w:rsidRPr="006C7213">
          <w:rPr>
            <w:rStyle w:val="Hyperlink"/>
            <w:rFonts w:asciiTheme="minorHAnsi" w:hAnsiTheme="minorHAnsi" w:cstheme="minorHAnsi"/>
            <w:szCs w:val="22"/>
            <w:lang w:val="en-US"/>
          </w:rPr>
          <w:t>https://www.vicniss.org.au/about/surveillance-activities/</w:t>
        </w:r>
      </w:hyperlink>
      <w:r w:rsidRPr="006C7213">
        <w:rPr>
          <w:rFonts w:cstheme="minorHAnsi"/>
          <w:sz w:val="22"/>
          <w:szCs w:val="22"/>
          <w:lang w:val="en-US"/>
        </w:rPr>
        <w:t xml:space="preserve">. </w:t>
      </w:r>
    </w:p>
  </w:endnote>
  <w:endnote w:id="116">
    <w:p w14:paraId="6837150E" w14:textId="060F5730"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r w:rsidRPr="009A2833">
        <w:rPr>
          <w:rFonts w:cstheme="minorHAnsi"/>
          <w:sz w:val="22"/>
          <w:szCs w:val="22"/>
        </w:rPr>
        <w:t>Doherty Institute</w:t>
      </w:r>
      <w:r>
        <w:rPr>
          <w:rFonts w:cstheme="minorHAnsi"/>
          <w:sz w:val="22"/>
          <w:szCs w:val="22"/>
        </w:rPr>
        <w:t>.</w:t>
      </w:r>
      <w:r w:rsidRPr="009A2833">
        <w:rPr>
          <w:rFonts w:cstheme="minorHAnsi"/>
          <w:sz w:val="22"/>
          <w:szCs w:val="22"/>
        </w:rPr>
        <w:t xml:space="preserve"> </w:t>
      </w:r>
      <w:proofErr w:type="gramStart"/>
      <w:r w:rsidRPr="006C7213">
        <w:rPr>
          <w:rFonts w:cstheme="minorHAnsi"/>
          <w:sz w:val="22"/>
          <w:szCs w:val="22"/>
          <w:lang w:val="en-US"/>
        </w:rPr>
        <w:t>Healthcare-associated infection in Victoria Surveillance</w:t>
      </w:r>
      <w:r>
        <w:rPr>
          <w:rFonts w:cstheme="minorHAnsi"/>
          <w:sz w:val="22"/>
          <w:szCs w:val="22"/>
          <w:lang w:val="en-US"/>
        </w:rPr>
        <w:t xml:space="preserve"> report for 2014-15 and 2015-16.</w:t>
      </w:r>
      <w:proofErr w:type="gramEnd"/>
      <w:r>
        <w:rPr>
          <w:rFonts w:cstheme="minorHAnsi"/>
          <w:sz w:val="22"/>
          <w:szCs w:val="22"/>
          <w:lang w:val="en-US"/>
        </w:rPr>
        <w:t xml:space="preserve"> Melbourne: State of Victoria </w:t>
      </w:r>
      <w:r w:rsidRPr="009A2833">
        <w:rPr>
          <w:sz w:val="22"/>
          <w:szCs w:val="22"/>
        </w:rPr>
        <w:t>Department of Health and Human Services</w:t>
      </w:r>
      <w:r w:rsidRPr="006C7213">
        <w:rPr>
          <w:rFonts w:cstheme="minorHAnsi"/>
          <w:sz w:val="22"/>
          <w:szCs w:val="22"/>
          <w:lang w:val="en-US"/>
        </w:rPr>
        <w:t xml:space="preserve"> </w:t>
      </w:r>
      <w:r>
        <w:rPr>
          <w:rFonts w:cstheme="minorHAnsi"/>
          <w:sz w:val="22"/>
          <w:szCs w:val="22"/>
          <w:lang w:val="en-US"/>
        </w:rPr>
        <w:t>2017</w:t>
      </w:r>
      <w:r w:rsidRPr="006C7213">
        <w:rPr>
          <w:rFonts w:cstheme="minorHAnsi"/>
          <w:sz w:val="22"/>
          <w:szCs w:val="22"/>
          <w:lang w:val="en-US"/>
        </w:rPr>
        <w:t xml:space="preserve">. </w:t>
      </w:r>
      <w:r>
        <w:rPr>
          <w:rFonts w:cstheme="minorHAnsi"/>
          <w:sz w:val="22"/>
          <w:szCs w:val="22"/>
          <w:lang w:val="en-US"/>
        </w:rPr>
        <w:t>Accessed</w:t>
      </w:r>
      <w:r w:rsidRPr="009A2833">
        <w:rPr>
          <w:rFonts w:cstheme="minorHAnsi"/>
          <w:sz w:val="22"/>
          <w:szCs w:val="22"/>
          <w:lang w:val="en-US"/>
        </w:rPr>
        <w:t xml:space="preserve"> 20/04/2018.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74" w:history="1">
        <w:r w:rsidRPr="006C7213">
          <w:rPr>
            <w:rStyle w:val="Hyperlink"/>
            <w:rFonts w:asciiTheme="minorHAnsi" w:hAnsiTheme="minorHAnsi" w:cstheme="minorHAnsi"/>
            <w:szCs w:val="22"/>
            <w:lang w:val="en-US"/>
          </w:rPr>
          <w:t>https://www.vicniss.org.au/media/1787/21373-pdi_vicniss_report_2014-16_a4_v6_web.pdf</w:t>
        </w:r>
      </w:hyperlink>
      <w:r w:rsidRPr="006C7213">
        <w:rPr>
          <w:rFonts w:cstheme="minorHAnsi"/>
          <w:sz w:val="22"/>
          <w:szCs w:val="22"/>
          <w:lang w:val="en-US"/>
        </w:rPr>
        <w:t xml:space="preserve">. </w:t>
      </w:r>
    </w:p>
  </w:endnote>
  <w:endnote w:id="117">
    <w:p w14:paraId="242F98CC" w14:textId="28862EA4"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Pr>
          <w:rFonts w:cstheme="minorHAnsi"/>
          <w:sz w:val="22"/>
          <w:szCs w:val="22"/>
        </w:rPr>
        <w:t xml:space="preserve">WA Health </w:t>
      </w:r>
      <w:r>
        <w:rPr>
          <w:rFonts w:cstheme="minorHAnsi"/>
          <w:sz w:val="22"/>
          <w:szCs w:val="22"/>
          <w:lang w:val="en-US"/>
        </w:rPr>
        <w:t>Our performance.</w:t>
      </w:r>
      <w:proofErr w:type="gramEnd"/>
      <w:r>
        <w:rPr>
          <w:rFonts w:cstheme="minorHAnsi"/>
          <w:sz w:val="22"/>
          <w:szCs w:val="22"/>
          <w:lang w:val="en-US"/>
        </w:rPr>
        <w:t xml:space="preserve"> </w:t>
      </w:r>
      <w:proofErr w:type="gramStart"/>
      <w:r w:rsidRPr="006C7213">
        <w:rPr>
          <w:rFonts w:cstheme="minorHAnsi"/>
          <w:sz w:val="22"/>
          <w:szCs w:val="22"/>
          <w:lang w:val="en-US"/>
        </w:rPr>
        <w:t>Accessed: 25/</w:t>
      </w:r>
      <w:r w:rsidRPr="006C7213">
        <w:rPr>
          <w:rFonts w:cstheme="minorHAnsi"/>
          <w:sz w:val="22"/>
          <w:szCs w:val="22"/>
        </w:rPr>
        <w:t>01</w:t>
      </w:r>
      <w:r>
        <w:rPr>
          <w:rFonts w:cstheme="minorHAnsi"/>
          <w:sz w:val="22"/>
          <w:szCs w:val="22"/>
          <w:lang w:val="en-US"/>
        </w:rPr>
        <w:t>/2019.</w:t>
      </w:r>
      <w:proofErr w:type="gramEnd"/>
      <w:r>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w:t>
      </w:r>
      <w:r w:rsidRPr="006C7213">
        <w:rPr>
          <w:rFonts w:cstheme="minorHAnsi"/>
          <w:sz w:val="22"/>
          <w:szCs w:val="22"/>
        </w:rPr>
        <w:t xml:space="preserve"> </w:t>
      </w:r>
      <w:hyperlink r:id="rId75" w:history="1">
        <w:r w:rsidRPr="006C7213">
          <w:rPr>
            <w:rStyle w:val="Hyperlink"/>
            <w:rFonts w:asciiTheme="minorHAnsi" w:hAnsiTheme="minorHAnsi" w:cstheme="minorHAnsi"/>
            <w:szCs w:val="22"/>
            <w:lang w:val="en-US"/>
          </w:rPr>
          <w:t>http://ww2.health.wa.gov.au/Our-performance</w:t>
        </w:r>
      </w:hyperlink>
      <w:r w:rsidRPr="006C7213">
        <w:rPr>
          <w:rFonts w:cstheme="minorHAnsi"/>
          <w:sz w:val="22"/>
          <w:szCs w:val="22"/>
          <w:lang w:val="en-US"/>
        </w:rPr>
        <w:t xml:space="preserve">. </w:t>
      </w:r>
    </w:p>
  </w:endnote>
  <w:endnote w:id="118">
    <w:p w14:paraId="5105945D" w14:textId="56D79866"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9A2833">
        <w:rPr>
          <w:rFonts w:cstheme="minorHAnsi"/>
          <w:sz w:val="22"/>
          <w:szCs w:val="22"/>
        </w:rPr>
        <w:t>WA Health.</w:t>
      </w:r>
      <w:proofErr w:type="gramEnd"/>
      <w:r w:rsidRPr="009A2833">
        <w:rPr>
          <w:rFonts w:cstheme="minorHAnsi"/>
          <w:sz w:val="22"/>
          <w:szCs w:val="22"/>
        </w:rPr>
        <w:t xml:space="preserve"> </w:t>
      </w:r>
      <w:r w:rsidRPr="006C7213">
        <w:rPr>
          <w:rFonts w:cstheme="minorHAnsi"/>
          <w:sz w:val="22"/>
          <w:szCs w:val="22"/>
          <w:lang w:val="en-US"/>
        </w:rPr>
        <w:t xml:space="preserve">Monitoring and reporting of hand hygiene. </w:t>
      </w:r>
      <w:proofErr w:type="gramStart"/>
      <w:r>
        <w:rPr>
          <w:rFonts w:cstheme="minorHAnsi"/>
          <w:sz w:val="22"/>
          <w:szCs w:val="22"/>
          <w:lang w:val="en-US"/>
        </w:rPr>
        <w:t>Accessed online</w:t>
      </w:r>
      <w:r w:rsidRPr="009A2833">
        <w:rPr>
          <w:rFonts w:cstheme="minorHAnsi"/>
          <w:sz w:val="22"/>
          <w:szCs w:val="22"/>
          <w:lang w:val="en-US"/>
        </w:rPr>
        <w:t xml:space="preserve"> 23/04/2018.</w:t>
      </w:r>
      <w:proofErr w:type="gramEnd"/>
      <w:r>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76" w:history="1">
        <w:r w:rsidRPr="006C7213">
          <w:rPr>
            <w:rStyle w:val="Hyperlink"/>
            <w:rFonts w:asciiTheme="minorHAnsi" w:hAnsiTheme="minorHAnsi" w:cstheme="minorHAnsi"/>
            <w:szCs w:val="22"/>
            <w:lang w:val="en-US"/>
          </w:rPr>
          <w:t>http://ww2.health.wa.gov.au/Our-performance/Hand-hygiene/Monitoring-and-reporting-of-hand-hygiene</w:t>
        </w:r>
      </w:hyperlink>
      <w:r w:rsidRPr="006C7213">
        <w:rPr>
          <w:rFonts w:cstheme="minorHAnsi"/>
          <w:sz w:val="22"/>
          <w:szCs w:val="22"/>
          <w:lang w:val="en-US"/>
        </w:rPr>
        <w:t xml:space="preserve">. </w:t>
      </w:r>
    </w:p>
  </w:endnote>
  <w:endnote w:id="119">
    <w:p w14:paraId="5E198DD9" w14:textId="4F9F6E4F"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9A2833">
        <w:rPr>
          <w:rFonts w:cstheme="minorHAnsi"/>
          <w:sz w:val="22"/>
          <w:szCs w:val="22"/>
        </w:rPr>
        <w:t>WA Health</w:t>
      </w:r>
      <w:r>
        <w:rPr>
          <w:rFonts w:cstheme="minorHAnsi"/>
          <w:sz w:val="22"/>
          <w:szCs w:val="22"/>
        </w:rPr>
        <w:t>.</w:t>
      </w:r>
      <w:proofErr w:type="gramEnd"/>
      <w:r w:rsidRPr="009A2833">
        <w:rPr>
          <w:rFonts w:cstheme="minorHAnsi"/>
          <w:sz w:val="22"/>
          <w:szCs w:val="22"/>
        </w:rPr>
        <w:t xml:space="preserve"> </w:t>
      </w:r>
      <w:proofErr w:type="gramStart"/>
      <w:r w:rsidRPr="006C7213">
        <w:rPr>
          <w:rFonts w:cstheme="minorHAnsi"/>
          <w:sz w:val="22"/>
          <w:szCs w:val="22"/>
          <w:lang w:val="en-US"/>
        </w:rPr>
        <w:t>Your safety in our hands in hospital.</w:t>
      </w:r>
      <w:proofErr w:type="gramEnd"/>
      <w:r w:rsidRPr="009A2833">
        <w:t xml:space="preserve"> </w:t>
      </w:r>
      <w:r>
        <w:rPr>
          <w:rFonts w:cstheme="minorHAnsi"/>
          <w:sz w:val="22"/>
          <w:szCs w:val="22"/>
          <w:lang w:val="en-US"/>
        </w:rPr>
        <w:t>Accessed 23/04/2018</w:t>
      </w:r>
      <w:r w:rsidRPr="006C7213">
        <w:rPr>
          <w:rFonts w:cstheme="minorHAnsi"/>
          <w:sz w:val="22"/>
          <w:szCs w:val="22"/>
          <w:lang w:val="en-US"/>
        </w:rPr>
        <w:t>. Available</w:t>
      </w:r>
      <w:r>
        <w:rPr>
          <w:rFonts w:cstheme="minorHAnsi"/>
          <w:sz w:val="22"/>
          <w:szCs w:val="22"/>
          <w:lang w:val="en-US"/>
        </w:rPr>
        <w:t xml:space="preserve"> from</w:t>
      </w:r>
      <w:r w:rsidRPr="006C7213">
        <w:rPr>
          <w:rFonts w:cstheme="minorHAnsi"/>
          <w:sz w:val="22"/>
          <w:szCs w:val="22"/>
          <w:lang w:val="en-US"/>
        </w:rPr>
        <w:t xml:space="preserve">: </w:t>
      </w:r>
      <w:hyperlink r:id="rId77" w:history="1">
        <w:r w:rsidRPr="006C7213">
          <w:rPr>
            <w:rStyle w:val="Hyperlink"/>
            <w:rFonts w:asciiTheme="minorHAnsi" w:hAnsiTheme="minorHAnsi" w:cstheme="minorHAnsi"/>
            <w:szCs w:val="22"/>
            <w:lang w:val="en-US"/>
          </w:rPr>
          <w:t>http://ww2.health.wa.gov.au/Reports-and-publications/Your-safety-in-our-hands-in-hospital</w:t>
        </w:r>
      </w:hyperlink>
      <w:r w:rsidRPr="006C7213">
        <w:rPr>
          <w:rFonts w:cstheme="minorHAnsi"/>
          <w:sz w:val="22"/>
          <w:szCs w:val="22"/>
          <w:lang w:val="en-US"/>
        </w:rPr>
        <w:t xml:space="preserve">. </w:t>
      </w:r>
    </w:p>
  </w:endnote>
  <w:endnote w:id="120">
    <w:p w14:paraId="1563A469" w14:textId="18F2F30C" w:rsidR="00F70157" w:rsidRPr="006C7213" w:rsidRDefault="00F70157" w:rsidP="006C7213">
      <w:pPr>
        <w:pStyle w:val="EndnoteText"/>
        <w:tabs>
          <w:tab w:val="left" w:pos="567"/>
        </w:tabs>
        <w:spacing w:after="120"/>
        <w:ind w:left="567" w:hanging="567"/>
        <w:rPr>
          <w:rFonts w:cstheme="minorHAnsi"/>
          <w:sz w:val="22"/>
          <w:szCs w:val="22"/>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9A2833">
        <w:rPr>
          <w:rFonts w:cstheme="minorHAnsi"/>
          <w:sz w:val="22"/>
          <w:szCs w:val="22"/>
        </w:rPr>
        <w:t>WA Health.</w:t>
      </w:r>
      <w:proofErr w:type="gramEnd"/>
      <w:r w:rsidRPr="009A2833">
        <w:rPr>
          <w:rFonts w:cstheme="minorHAnsi"/>
          <w:sz w:val="22"/>
          <w:szCs w:val="22"/>
        </w:rPr>
        <w:t xml:space="preserve"> </w:t>
      </w:r>
      <w:proofErr w:type="gramStart"/>
      <w:r w:rsidRPr="006C7213">
        <w:rPr>
          <w:rFonts w:cstheme="minorHAnsi"/>
          <w:sz w:val="22"/>
          <w:szCs w:val="22"/>
        </w:rPr>
        <w:t>HISWA</w:t>
      </w:r>
      <w:r w:rsidRPr="006C7213">
        <w:rPr>
          <w:rFonts w:cstheme="minorHAnsi"/>
          <w:sz w:val="22"/>
          <w:szCs w:val="22"/>
          <w:lang w:val="en-US"/>
        </w:rPr>
        <w:t xml:space="preserve"> reports.</w:t>
      </w:r>
      <w:proofErr w:type="gramEnd"/>
      <w:r w:rsidRPr="006C7213">
        <w:rPr>
          <w:rFonts w:cstheme="minorHAnsi"/>
          <w:sz w:val="22"/>
          <w:szCs w:val="22"/>
          <w:lang w:val="en-US"/>
        </w:rPr>
        <w:t xml:space="preserve"> </w:t>
      </w:r>
      <w:r>
        <w:rPr>
          <w:rFonts w:cstheme="minorHAnsi"/>
          <w:sz w:val="22"/>
          <w:szCs w:val="22"/>
          <w:lang w:val="en-US"/>
        </w:rPr>
        <w:t>Accessed</w:t>
      </w:r>
      <w:r w:rsidRPr="009A2833">
        <w:rPr>
          <w:rFonts w:cstheme="minorHAnsi"/>
          <w:sz w:val="22"/>
          <w:szCs w:val="22"/>
          <w:lang w:val="en-US"/>
        </w:rPr>
        <w:t xml:space="preserve"> 23/04/2018.</w:t>
      </w:r>
      <w:r>
        <w:rPr>
          <w:rFonts w:cstheme="minorHAnsi"/>
          <w:sz w:val="22"/>
          <w:szCs w:val="22"/>
          <w:lang w:val="en-US"/>
        </w:rPr>
        <w:t xml:space="preserve"> </w:t>
      </w:r>
      <w:r w:rsidRPr="006C7213">
        <w:rPr>
          <w:rFonts w:cstheme="minorHAnsi"/>
          <w:sz w:val="22"/>
          <w:szCs w:val="22"/>
          <w:lang w:val="en-US"/>
        </w:rPr>
        <w:t>Available</w:t>
      </w:r>
      <w:r>
        <w:rPr>
          <w:rFonts w:cstheme="minorHAnsi"/>
          <w:sz w:val="22"/>
          <w:szCs w:val="22"/>
          <w:lang w:val="en-US"/>
        </w:rPr>
        <w:t xml:space="preserve"> from</w:t>
      </w:r>
      <w:r w:rsidRPr="006C7213">
        <w:rPr>
          <w:rFonts w:cstheme="minorHAnsi"/>
          <w:sz w:val="22"/>
          <w:szCs w:val="22"/>
          <w:lang w:val="en-US"/>
        </w:rPr>
        <w:t xml:space="preserve">: </w:t>
      </w:r>
      <w:hyperlink r:id="rId78" w:history="1">
        <w:r w:rsidRPr="009A2833">
          <w:rPr>
            <w:rStyle w:val="Hyperlink"/>
            <w:rFonts w:asciiTheme="minorHAnsi" w:hAnsiTheme="minorHAnsi"/>
            <w:szCs w:val="22"/>
          </w:rPr>
          <w:t>https://ww2.health.wa.gov.au/Articles/F_I/Infectious-disease-data/Healthcare-Infection-Surveillance-Western-Australia-HISWA-reports</w:t>
        </w:r>
      </w:hyperlink>
      <w:r w:rsidRPr="009A2833">
        <w:rPr>
          <w:sz w:val="22"/>
          <w:szCs w:val="22"/>
        </w:rPr>
        <w:t>.</w:t>
      </w:r>
      <w:r>
        <w:t xml:space="preserve"> </w:t>
      </w:r>
    </w:p>
  </w:endnote>
  <w:endnote w:id="121">
    <w:p w14:paraId="2AA71D2C" w14:textId="5DA154C8" w:rsidR="00F70157" w:rsidRPr="009E565A" w:rsidRDefault="00F70157" w:rsidP="006C7213">
      <w:pPr>
        <w:pStyle w:val="EndnoteText"/>
        <w:tabs>
          <w:tab w:val="left" w:pos="567"/>
        </w:tabs>
        <w:spacing w:after="120"/>
        <w:ind w:left="567" w:hanging="567"/>
        <w:rPr>
          <w:lang w:val="en-US"/>
        </w:rPr>
      </w:pPr>
      <w:r w:rsidRPr="006C7213">
        <w:rPr>
          <w:rStyle w:val="EndnoteReference"/>
          <w:rFonts w:cstheme="minorHAnsi"/>
          <w:sz w:val="22"/>
          <w:szCs w:val="22"/>
          <w:vertAlign w:val="baseline"/>
        </w:rPr>
        <w:endnoteRef/>
      </w:r>
      <w:r w:rsidRPr="006C7213">
        <w:rPr>
          <w:rFonts w:cstheme="minorHAnsi"/>
          <w:sz w:val="22"/>
          <w:szCs w:val="22"/>
        </w:rPr>
        <w:t xml:space="preserve"> </w:t>
      </w:r>
      <w:r>
        <w:rPr>
          <w:rFonts w:cstheme="minorHAnsi"/>
          <w:sz w:val="22"/>
          <w:szCs w:val="22"/>
        </w:rPr>
        <w:tab/>
      </w:r>
      <w:proofErr w:type="gramStart"/>
      <w:r w:rsidRPr="009A2833">
        <w:rPr>
          <w:rFonts w:cstheme="minorHAnsi"/>
          <w:sz w:val="22"/>
          <w:szCs w:val="22"/>
        </w:rPr>
        <w:t>WA Health</w:t>
      </w:r>
      <w:r>
        <w:rPr>
          <w:rFonts w:cstheme="minorHAnsi"/>
          <w:sz w:val="22"/>
          <w:szCs w:val="22"/>
        </w:rPr>
        <w:t>.</w:t>
      </w:r>
      <w:proofErr w:type="gramEnd"/>
      <w:r w:rsidRPr="009A2833">
        <w:rPr>
          <w:rFonts w:cstheme="minorHAnsi"/>
          <w:sz w:val="22"/>
          <w:szCs w:val="22"/>
        </w:rPr>
        <w:t xml:space="preserve"> </w:t>
      </w:r>
      <w:r w:rsidRPr="006C7213">
        <w:rPr>
          <w:rFonts w:cstheme="minorHAnsi"/>
          <w:sz w:val="22"/>
          <w:szCs w:val="22"/>
        </w:rPr>
        <w:t xml:space="preserve">Healthcare associated </w:t>
      </w:r>
      <w:r w:rsidRPr="006C7213">
        <w:rPr>
          <w:rFonts w:cstheme="minorHAnsi"/>
          <w:i/>
          <w:iCs/>
          <w:sz w:val="22"/>
          <w:szCs w:val="22"/>
        </w:rPr>
        <w:t xml:space="preserve">Staphylococcus aureus </w:t>
      </w:r>
      <w:r w:rsidRPr="006C7213">
        <w:rPr>
          <w:rFonts w:cstheme="minorHAnsi"/>
          <w:sz w:val="22"/>
          <w:szCs w:val="22"/>
        </w:rPr>
        <w:t xml:space="preserve">bloodstream infection. </w:t>
      </w:r>
      <w:r w:rsidRPr="009A2833">
        <w:rPr>
          <w:rFonts w:cstheme="minorHAnsi"/>
          <w:sz w:val="22"/>
          <w:szCs w:val="22"/>
        </w:rPr>
        <w:t>Accessed 23/04/2018.</w:t>
      </w:r>
      <w:r>
        <w:rPr>
          <w:rFonts w:cstheme="minorHAnsi"/>
          <w:sz w:val="22"/>
          <w:szCs w:val="22"/>
        </w:rPr>
        <w:t xml:space="preserve"> </w:t>
      </w:r>
      <w:r w:rsidRPr="006C7213">
        <w:rPr>
          <w:rFonts w:cstheme="minorHAnsi"/>
          <w:sz w:val="22"/>
          <w:szCs w:val="22"/>
          <w:lang w:val="en-US"/>
        </w:rPr>
        <w:t>Available</w:t>
      </w:r>
      <w:r>
        <w:rPr>
          <w:rFonts w:cstheme="minorHAnsi"/>
          <w:sz w:val="22"/>
          <w:szCs w:val="22"/>
          <w:lang w:val="en-US"/>
        </w:rPr>
        <w:t xml:space="preserve"> f</w:t>
      </w:r>
      <w:r w:rsidRPr="009A2833">
        <w:rPr>
          <w:rFonts w:cstheme="minorHAnsi"/>
          <w:sz w:val="22"/>
          <w:szCs w:val="22"/>
          <w:lang w:val="en-US"/>
        </w:rPr>
        <w:t xml:space="preserve">rom: </w:t>
      </w:r>
      <w:hyperlink r:id="rId79" w:history="1">
        <w:r w:rsidRPr="009A2833">
          <w:rPr>
            <w:rStyle w:val="Hyperlink"/>
            <w:rFonts w:asciiTheme="minorHAnsi" w:hAnsiTheme="minorHAnsi"/>
            <w:szCs w:val="22"/>
          </w:rPr>
          <w:t>https://ww2.health.wa.gov.au/Reports-and-publications/Staphylococcus-aureus-bloodstream-infections</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9999999">
    <w:altName w:val="Times New Roman"/>
    <w:panose1 w:val="00000000000000000000"/>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Open Sans">
    <w:altName w:val="Times New Roman"/>
    <w:charset w:val="00"/>
    <w:family w:val="auto"/>
    <w:pitch w:val="default"/>
  </w:font>
  <w:font w:name="Frutiger 45 Light">
    <w:altName w:val="Frutiger 45 Light"/>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Proxima Nova Extrabold">
    <w:altName w:val="Proxima Nova Extrabol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ijksoverheidSansText-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F5456" w14:textId="77777777" w:rsidR="00F70157" w:rsidRPr="00F57148" w:rsidRDefault="00F70157" w:rsidP="009B053D">
    <w:pPr>
      <w:pStyle w:val="Footer"/>
      <w:jc w:val="right"/>
    </w:pPr>
    <w:r>
      <w:t>Draft Literature Review and Environment Scan</w:t>
    </w:r>
    <w:r>
      <w:tab/>
    </w:r>
    <w:r>
      <w:tab/>
    </w:r>
    <w:r w:rsidRPr="00F57148">
      <w:fldChar w:fldCharType="begin"/>
    </w:r>
    <w:r w:rsidRPr="00F57148">
      <w:instrText xml:space="preserve"> PAGE   \* MERGEFORMAT </w:instrText>
    </w:r>
    <w:r w:rsidRPr="00F57148">
      <w:fldChar w:fldCharType="separate"/>
    </w:r>
    <w:r>
      <w:rPr>
        <w:noProof/>
      </w:rPr>
      <w:t>i</w:t>
    </w:r>
    <w:r w:rsidRPr="00F57148">
      <w:rPr>
        <w:noProof/>
      </w:rPr>
      <w:fldChar w:fldCharType="end"/>
    </w:r>
  </w:p>
  <w:p w14:paraId="7743134C" w14:textId="77777777" w:rsidR="00F70157" w:rsidRDefault="00F7015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B6C3D" w14:textId="69DF8026" w:rsidR="00F70157" w:rsidRPr="00F57148" w:rsidRDefault="00F70157" w:rsidP="004F4936">
    <w:pPr>
      <w:pStyle w:val="Footer"/>
    </w:pPr>
    <w:r w:rsidRPr="004F4936">
      <w:rPr>
        <w:sz w:val="18"/>
        <w:szCs w:val="18"/>
      </w:rPr>
      <w:t>Public reporting of safety and quality in public and private hospitals: Literature review and environment scan</w:t>
    </w:r>
    <w:r>
      <w:tab/>
    </w:r>
    <w:r>
      <w:tab/>
    </w:r>
    <w:r w:rsidRPr="00F57148">
      <w:fldChar w:fldCharType="begin"/>
    </w:r>
    <w:r w:rsidRPr="00F57148">
      <w:instrText xml:space="preserve"> PAGE   \* MERGEFORMAT </w:instrText>
    </w:r>
    <w:r w:rsidRPr="00F57148">
      <w:fldChar w:fldCharType="separate"/>
    </w:r>
    <w:r w:rsidR="00B329FD">
      <w:rPr>
        <w:noProof/>
      </w:rPr>
      <w:t>34</w:t>
    </w:r>
    <w:r w:rsidRPr="00F57148">
      <w:rPr>
        <w:noProof/>
      </w:rPr>
      <w:fldChar w:fldCharType="end"/>
    </w:r>
  </w:p>
  <w:p w14:paraId="76845CFD" w14:textId="77777777" w:rsidR="00F70157" w:rsidRDefault="00F701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4CF3E8" w14:textId="77777777" w:rsidR="00F70157" w:rsidRDefault="00F7015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811BF" w14:textId="77777777" w:rsidR="00F70157" w:rsidRPr="00F57148" w:rsidRDefault="00F70157" w:rsidP="009B053D">
    <w:pPr>
      <w:pStyle w:val="Footer"/>
      <w:jc w:val="right"/>
    </w:pPr>
    <w:r>
      <w:t>Draft Literature Review and Environment Scan</w:t>
    </w:r>
    <w:r>
      <w:tab/>
    </w:r>
    <w:r>
      <w:tab/>
    </w:r>
    <w:r w:rsidRPr="00F57148">
      <w:fldChar w:fldCharType="begin"/>
    </w:r>
    <w:r w:rsidRPr="00F57148">
      <w:instrText xml:space="preserve"> PAGE   \* MERGEFORMAT </w:instrText>
    </w:r>
    <w:r w:rsidRPr="00F57148">
      <w:fldChar w:fldCharType="separate"/>
    </w:r>
    <w:r w:rsidR="00B329FD">
      <w:rPr>
        <w:noProof/>
      </w:rPr>
      <w:t>54</w:t>
    </w:r>
    <w:r w:rsidRPr="00F57148">
      <w:rPr>
        <w:noProof/>
      </w:rPr>
      <w:fldChar w:fldCharType="end"/>
    </w:r>
  </w:p>
  <w:p w14:paraId="16ADA568" w14:textId="77777777" w:rsidR="00F70157" w:rsidRDefault="00F7015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6286060"/>
      <w:docPartObj>
        <w:docPartGallery w:val="Page Numbers (Bottom of Page)"/>
        <w:docPartUnique/>
      </w:docPartObj>
    </w:sdtPr>
    <w:sdtEndPr>
      <w:rPr>
        <w:noProof/>
      </w:rPr>
    </w:sdtEndPr>
    <w:sdtContent>
      <w:p w14:paraId="3FA49A6C" w14:textId="249C5F36" w:rsidR="00F70157" w:rsidRDefault="00F70157">
        <w:pPr>
          <w:pStyle w:val="Footer"/>
          <w:jc w:val="right"/>
        </w:pPr>
        <w:r>
          <w:fldChar w:fldCharType="begin"/>
        </w:r>
        <w:r>
          <w:instrText xml:space="preserve"> PAGE   \* MERGEFORMAT </w:instrText>
        </w:r>
        <w:r>
          <w:fldChar w:fldCharType="separate"/>
        </w:r>
        <w:r w:rsidR="00B329FD">
          <w:rPr>
            <w:noProof/>
          </w:rPr>
          <w:t>59</w:t>
        </w:r>
        <w:r>
          <w:rPr>
            <w:noProof/>
          </w:rPr>
          <w:fldChar w:fldCharType="end"/>
        </w:r>
      </w:p>
    </w:sdtContent>
  </w:sdt>
  <w:p w14:paraId="79CE4828" w14:textId="77777777" w:rsidR="00F70157" w:rsidRDefault="00F7015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DBA1B" w14:textId="77777777" w:rsidR="00F70157" w:rsidRDefault="00F70157" w:rsidP="000B0274">
      <w:r>
        <w:separator/>
      </w:r>
    </w:p>
  </w:footnote>
  <w:footnote w:type="continuationSeparator" w:id="0">
    <w:p w14:paraId="73D62D6C" w14:textId="77777777" w:rsidR="00F70157" w:rsidRDefault="00F70157" w:rsidP="000B027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EB41E3" w14:textId="77777777" w:rsidR="00F70157" w:rsidRDefault="00F7015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890BA" w14:textId="77777777" w:rsidR="00F70157" w:rsidRDefault="00F701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CBA2D9C"/>
    <w:lvl w:ilvl="0">
      <w:start w:val="1"/>
      <w:numFmt w:val="bullet"/>
      <w:pStyle w:val="ListBullet2"/>
      <w:lvlText w:val="-"/>
      <w:lvlJc w:val="left"/>
      <w:pPr>
        <w:tabs>
          <w:tab w:val="num" w:pos="1054"/>
        </w:tabs>
        <w:ind w:left="1054" w:hanging="340"/>
      </w:pPr>
      <w:rPr>
        <w:rFonts w:ascii="9999999" w:hAnsi="9999999" w:cs="Courier New" w:hint="default"/>
      </w:rPr>
    </w:lvl>
  </w:abstractNum>
  <w:abstractNum w:abstractNumId="1">
    <w:nsid w:val="FFFFFF89"/>
    <w:multiLevelType w:val="singleLevel"/>
    <w:tmpl w:val="00FE7C48"/>
    <w:lvl w:ilvl="0">
      <w:start w:val="1"/>
      <w:numFmt w:val="bullet"/>
      <w:pStyle w:val="ListBullet"/>
      <w:lvlText w:val=""/>
      <w:lvlJc w:val="left"/>
      <w:pPr>
        <w:tabs>
          <w:tab w:val="num" w:pos="697"/>
        </w:tabs>
        <w:ind w:left="697" w:hanging="340"/>
      </w:pPr>
      <w:rPr>
        <w:rFonts w:ascii="Symbol" w:hAnsi="Symbol" w:hint="default"/>
        <w:color w:val="auto"/>
        <w:sz w:val="22"/>
      </w:rPr>
    </w:lvl>
  </w:abstractNum>
  <w:abstractNum w:abstractNumId="2">
    <w:nsid w:val="01320201"/>
    <w:multiLevelType w:val="multilevel"/>
    <w:tmpl w:val="F8F205F4"/>
    <w:lvl w:ilvl="0">
      <w:start w:val="1"/>
      <w:numFmt w:val="bullet"/>
      <w:lvlText w:val="o"/>
      <w:lvlJc w:val="left"/>
      <w:pPr>
        <w:tabs>
          <w:tab w:val="num" w:pos="700"/>
        </w:tabs>
        <w:ind w:left="700" w:hanging="360"/>
      </w:pPr>
      <w:rPr>
        <w:rFonts w:ascii="Courier New" w:hAnsi="Courier New" w:cs="Courier New" w:hint="default"/>
        <w:sz w:val="20"/>
      </w:rPr>
    </w:lvl>
    <w:lvl w:ilvl="1" w:tentative="1">
      <w:start w:val="1"/>
      <w:numFmt w:val="bullet"/>
      <w:lvlText w:val="o"/>
      <w:lvlJc w:val="left"/>
      <w:pPr>
        <w:tabs>
          <w:tab w:val="num" w:pos="1420"/>
        </w:tabs>
        <w:ind w:left="1420" w:hanging="360"/>
      </w:pPr>
      <w:rPr>
        <w:rFonts w:ascii="Courier New" w:hAnsi="Courier New" w:hint="default"/>
        <w:sz w:val="20"/>
      </w:rPr>
    </w:lvl>
    <w:lvl w:ilvl="2" w:tentative="1">
      <w:start w:val="1"/>
      <w:numFmt w:val="bullet"/>
      <w:lvlText w:val=""/>
      <w:lvlJc w:val="left"/>
      <w:pPr>
        <w:tabs>
          <w:tab w:val="num" w:pos="2140"/>
        </w:tabs>
        <w:ind w:left="2140" w:hanging="360"/>
      </w:pPr>
      <w:rPr>
        <w:rFonts w:ascii="Wingdings" w:hAnsi="Wingdings" w:hint="default"/>
        <w:sz w:val="20"/>
      </w:rPr>
    </w:lvl>
    <w:lvl w:ilvl="3" w:tentative="1">
      <w:start w:val="1"/>
      <w:numFmt w:val="bullet"/>
      <w:lvlText w:val=""/>
      <w:lvlJc w:val="left"/>
      <w:pPr>
        <w:tabs>
          <w:tab w:val="num" w:pos="2860"/>
        </w:tabs>
        <w:ind w:left="2860" w:hanging="360"/>
      </w:pPr>
      <w:rPr>
        <w:rFonts w:ascii="Wingdings" w:hAnsi="Wingdings" w:hint="default"/>
        <w:sz w:val="20"/>
      </w:rPr>
    </w:lvl>
    <w:lvl w:ilvl="4" w:tentative="1">
      <w:start w:val="1"/>
      <w:numFmt w:val="bullet"/>
      <w:lvlText w:val=""/>
      <w:lvlJc w:val="left"/>
      <w:pPr>
        <w:tabs>
          <w:tab w:val="num" w:pos="3580"/>
        </w:tabs>
        <w:ind w:left="3580" w:hanging="360"/>
      </w:pPr>
      <w:rPr>
        <w:rFonts w:ascii="Wingdings" w:hAnsi="Wingdings" w:hint="default"/>
        <w:sz w:val="20"/>
      </w:rPr>
    </w:lvl>
    <w:lvl w:ilvl="5" w:tentative="1">
      <w:start w:val="1"/>
      <w:numFmt w:val="bullet"/>
      <w:lvlText w:val=""/>
      <w:lvlJc w:val="left"/>
      <w:pPr>
        <w:tabs>
          <w:tab w:val="num" w:pos="4300"/>
        </w:tabs>
        <w:ind w:left="4300" w:hanging="360"/>
      </w:pPr>
      <w:rPr>
        <w:rFonts w:ascii="Wingdings" w:hAnsi="Wingdings" w:hint="default"/>
        <w:sz w:val="20"/>
      </w:rPr>
    </w:lvl>
    <w:lvl w:ilvl="6" w:tentative="1">
      <w:start w:val="1"/>
      <w:numFmt w:val="bullet"/>
      <w:lvlText w:val=""/>
      <w:lvlJc w:val="left"/>
      <w:pPr>
        <w:tabs>
          <w:tab w:val="num" w:pos="5020"/>
        </w:tabs>
        <w:ind w:left="5020" w:hanging="360"/>
      </w:pPr>
      <w:rPr>
        <w:rFonts w:ascii="Wingdings" w:hAnsi="Wingdings" w:hint="default"/>
        <w:sz w:val="20"/>
      </w:rPr>
    </w:lvl>
    <w:lvl w:ilvl="7" w:tentative="1">
      <w:start w:val="1"/>
      <w:numFmt w:val="bullet"/>
      <w:lvlText w:val=""/>
      <w:lvlJc w:val="left"/>
      <w:pPr>
        <w:tabs>
          <w:tab w:val="num" w:pos="5740"/>
        </w:tabs>
        <w:ind w:left="5740" w:hanging="360"/>
      </w:pPr>
      <w:rPr>
        <w:rFonts w:ascii="Wingdings" w:hAnsi="Wingdings" w:hint="default"/>
        <w:sz w:val="20"/>
      </w:rPr>
    </w:lvl>
    <w:lvl w:ilvl="8" w:tentative="1">
      <w:start w:val="1"/>
      <w:numFmt w:val="bullet"/>
      <w:lvlText w:val=""/>
      <w:lvlJc w:val="left"/>
      <w:pPr>
        <w:tabs>
          <w:tab w:val="num" w:pos="6460"/>
        </w:tabs>
        <w:ind w:left="6460" w:hanging="360"/>
      </w:pPr>
      <w:rPr>
        <w:rFonts w:ascii="Wingdings" w:hAnsi="Wingdings" w:hint="default"/>
        <w:sz w:val="20"/>
      </w:rPr>
    </w:lvl>
  </w:abstractNum>
  <w:abstractNum w:abstractNumId="3">
    <w:nsid w:val="01401830"/>
    <w:multiLevelType w:val="hybridMultilevel"/>
    <w:tmpl w:val="18A4CE18"/>
    <w:lvl w:ilvl="0" w:tplc="421E0196">
      <w:start w:val="1"/>
      <w:numFmt w:val="bullet"/>
      <w:lvlText w:val="­"/>
      <w:lvlJc w:val="left"/>
      <w:pPr>
        <w:ind w:left="1074" w:hanging="360"/>
      </w:pPr>
      <w:rPr>
        <w:rFonts w:ascii="Courier New" w:hAnsi="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4">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5B50DCF"/>
    <w:multiLevelType w:val="hybridMultilevel"/>
    <w:tmpl w:val="C694D63C"/>
    <w:lvl w:ilvl="0" w:tplc="421E0196">
      <w:start w:val="1"/>
      <w:numFmt w:val="bullet"/>
      <w:lvlText w:val="­"/>
      <w:lvlJc w:val="left"/>
      <w:pPr>
        <w:ind w:left="1074" w:hanging="360"/>
      </w:pPr>
      <w:rPr>
        <w:rFonts w:ascii="Courier New" w:hAnsi="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6">
    <w:nsid w:val="0A406CB2"/>
    <w:multiLevelType w:val="multilevel"/>
    <w:tmpl w:val="6AF011C2"/>
    <w:lvl w:ilvl="0">
      <w:start w:val="1"/>
      <w:numFmt w:val="bullet"/>
      <w:lvlText w:val="­"/>
      <w:lvlJc w:val="left"/>
      <w:pPr>
        <w:tabs>
          <w:tab w:val="num" w:pos="700"/>
        </w:tabs>
        <w:ind w:left="700" w:hanging="360"/>
      </w:pPr>
      <w:rPr>
        <w:rFonts w:ascii="Courier New" w:hAnsi="Courier New" w:hint="default"/>
        <w:sz w:val="20"/>
      </w:rPr>
    </w:lvl>
    <w:lvl w:ilvl="1" w:tentative="1">
      <w:start w:val="1"/>
      <w:numFmt w:val="bullet"/>
      <w:lvlText w:val="o"/>
      <w:lvlJc w:val="left"/>
      <w:pPr>
        <w:tabs>
          <w:tab w:val="num" w:pos="1420"/>
        </w:tabs>
        <w:ind w:left="1420" w:hanging="360"/>
      </w:pPr>
      <w:rPr>
        <w:rFonts w:ascii="Courier New" w:hAnsi="Courier New" w:hint="default"/>
        <w:sz w:val="20"/>
      </w:rPr>
    </w:lvl>
    <w:lvl w:ilvl="2" w:tentative="1">
      <w:start w:val="1"/>
      <w:numFmt w:val="bullet"/>
      <w:lvlText w:val=""/>
      <w:lvlJc w:val="left"/>
      <w:pPr>
        <w:tabs>
          <w:tab w:val="num" w:pos="2140"/>
        </w:tabs>
        <w:ind w:left="2140" w:hanging="360"/>
      </w:pPr>
      <w:rPr>
        <w:rFonts w:ascii="Wingdings" w:hAnsi="Wingdings" w:hint="default"/>
        <w:sz w:val="20"/>
      </w:rPr>
    </w:lvl>
    <w:lvl w:ilvl="3" w:tentative="1">
      <w:start w:val="1"/>
      <w:numFmt w:val="bullet"/>
      <w:lvlText w:val=""/>
      <w:lvlJc w:val="left"/>
      <w:pPr>
        <w:tabs>
          <w:tab w:val="num" w:pos="2860"/>
        </w:tabs>
        <w:ind w:left="2860" w:hanging="360"/>
      </w:pPr>
      <w:rPr>
        <w:rFonts w:ascii="Wingdings" w:hAnsi="Wingdings" w:hint="default"/>
        <w:sz w:val="20"/>
      </w:rPr>
    </w:lvl>
    <w:lvl w:ilvl="4" w:tentative="1">
      <w:start w:val="1"/>
      <w:numFmt w:val="bullet"/>
      <w:lvlText w:val=""/>
      <w:lvlJc w:val="left"/>
      <w:pPr>
        <w:tabs>
          <w:tab w:val="num" w:pos="3580"/>
        </w:tabs>
        <w:ind w:left="3580" w:hanging="360"/>
      </w:pPr>
      <w:rPr>
        <w:rFonts w:ascii="Wingdings" w:hAnsi="Wingdings" w:hint="default"/>
        <w:sz w:val="20"/>
      </w:rPr>
    </w:lvl>
    <w:lvl w:ilvl="5" w:tentative="1">
      <w:start w:val="1"/>
      <w:numFmt w:val="bullet"/>
      <w:lvlText w:val=""/>
      <w:lvlJc w:val="left"/>
      <w:pPr>
        <w:tabs>
          <w:tab w:val="num" w:pos="4300"/>
        </w:tabs>
        <w:ind w:left="4300" w:hanging="360"/>
      </w:pPr>
      <w:rPr>
        <w:rFonts w:ascii="Wingdings" w:hAnsi="Wingdings" w:hint="default"/>
        <w:sz w:val="20"/>
      </w:rPr>
    </w:lvl>
    <w:lvl w:ilvl="6" w:tentative="1">
      <w:start w:val="1"/>
      <w:numFmt w:val="bullet"/>
      <w:lvlText w:val=""/>
      <w:lvlJc w:val="left"/>
      <w:pPr>
        <w:tabs>
          <w:tab w:val="num" w:pos="5020"/>
        </w:tabs>
        <w:ind w:left="5020" w:hanging="360"/>
      </w:pPr>
      <w:rPr>
        <w:rFonts w:ascii="Wingdings" w:hAnsi="Wingdings" w:hint="default"/>
        <w:sz w:val="20"/>
      </w:rPr>
    </w:lvl>
    <w:lvl w:ilvl="7" w:tentative="1">
      <w:start w:val="1"/>
      <w:numFmt w:val="bullet"/>
      <w:lvlText w:val=""/>
      <w:lvlJc w:val="left"/>
      <w:pPr>
        <w:tabs>
          <w:tab w:val="num" w:pos="5740"/>
        </w:tabs>
        <w:ind w:left="5740" w:hanging="360"/>
      </w:pPr>
      <w:rPr>
        <w:rFonts w:ascii="Wingdings" w:hAnsi="Wingdings" w:hint="default"/>
        <w:sz w:val="20"/>
      </w:rPr>
    </w:lvl>
    <w:lvl w:ilvl="8" w:tentative="1">
      <w:start w:val="1"/>
      <w:numFmt w:val="bullet"/>
      <w:lvlText w:val=""/>
      <w:lvlJc w:val="left"/>
      <w:pPr>
        <w:tabs>
          <w:tab w:val="num" w:pos="6460"/>
        </w:tabs>
        <w:ind w:left="6460" w:hanging="360"/>
      </w:pPr>
      <w:rPr>
        <w:rFonts w:ascii="Wingdings" w:hAnsi="Wingdings" w:hint="default"/>
        <w:sz w:val="20"/>
      </w:rPr>
    </w:lvl>
  </w:abstractNum>
  <w:abstractNum w:abstractNumId="7">
    <w:nsid w:val="0C345D54"/>
    <w:multiLevelType w:val="hybridMultilevel"/>
    <w:tmpl w:val="350EBDF6"/>
    <w:lvl w:ilvl="0" w:tplc="0C090003">
      <w:start w:val="1"/>
      <w:numFmt w:val="bullet"/>
      <w:lvlText w:val="o"/>
      <w:lvlJc w:val="left"/>
      <w:pPr>
        <w:ind w:left="1074" w:hanging="360"/>
      </w:pPr>
      <w:rPr>
        <w:rFonts w:ascii="Courier New" w:hAnsi="Courier New" w:cs="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8">
    <w:nsid w:val="0DCB4511"/>
    <w:multiLevelType w:val="multilevel"/>
    <w:tmpl w:val="0EB47998"/>
    <w:styleLink w:val="Bullet"/>
    <w:lvl w:ilvl="0">
      <w:start w:val="1"/>
      <w:numFmt w:val="decimal"/>
      <w:suff w:val="nothing"/>
      <w:lvlText w:val="Appendix %1"/>
      <w:lvlJc w:val="left"/>
      <w:pPr>
        <w:ind w:left="-32767" w:firstLine="32767"/>
      </w:pPr>
      <w:rPr>
        <w:rFonts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0E9B07C3"/>
    <w:multiLevelType w:val="hybridMultilevel"/>
    <w:tmpl w:val="05B2E640"/>
    <w:lvl w:ilvl="0" w:tplc="05E2F02C">
      <w:start w:val="1"/>
      <w:numFmt w:val="bullet"/>
      <w:lvlText w:val=""/>
      <w:lvlJc w:val="left"/>
      <w:pPr>
        <w:ind w:left="720" w:hanging="360"/>
      </w:pPr>
      <w:rPr>
        <w:rFonts w:ascii="Symbol" w:hAnsi="Symbol" w:hint="default"/>
        <w:color w:val="auto"/>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1">
    <w:nsid w:val="0F3E7C5C"/>
    <w:multiLevelType w:val="hybridMultilevel"/>
    <w:tmpl w:val="6D967814"/>
    <w:lvl w:ilvl="0" w:tplc="421E0196">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C814A3E"/>
    <w:multiLevelType w:val="multilevel"/>
    <w:tmpl w:val="E7042E3C"/>
    <w:lvl w:ilvl="0">
      <w:start w:val="1"/>
      <w:numFmt w:val="decimal"/>
      <w:lvlText w:val="%1."/>
      <w:lvlJc w:val="left"/>
      <w:pPr>
        <w:ind w:left="1080" w:hanging="360"/>
      </w:pPr>
      <w:rPr>
        <w:rFonts w:hint="default"/>
      </w:rPr>
    </w:lvl>
    <w:lvl w:ilvl="1">
      <w:start w:val="3"/>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nsid w:val="1FBB00FE"/>
    <w:multiLevelType w:val="hybridMultilevel"/>
    <w:tmpl w:val="AF68C624"/>
    <w:lvl w:ilvl="0" w:tplc="0C09000F">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1FED7AFD"/>
    <w:multiLevelType w:val="hybridMultilevel"/>
    <w:tmpl w:val="24A07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2166480"/>
    <w:multiLevelType w:val="multilevel"/>
    <w:tmpl w:val="42A40834"/>
    <w:lvl w:ilvl="0">
      <w:start w:val="1"/>
      <w:numFmt w:val="upperLetter"/>
      <w:suff w:val="nothing"/>
      <w:lvlText w:val="Appendix %1"/>
      <w:lvlJc w:val="left"/>
      <w:pPr>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AppendixHeading3"/>
      <w:lvlText w:val="%1.%2.%3"/>
      <w:lvlJc w:val="left"/>
      <w:pPr>
        <w:tabs>
          <w:tab w:val="num" w:pos="1004"/>
        </w:tabs>
        <w:ind w:left="1004" w:hanging="720"/>
      </w:pPr>
      <w:rPr>
        <w:rFonts w:hint="default"/>
      </w:rPr>
    </w:lvl>
    <w:lvl w:ilvl="3">
      <w:start w:val="1"/>
      <w:numFmt w:val="decimal"/>
      <w:pStyle w:val="AppendixHeading4"/>
      <w:lvlText w:val="%1.%2.%3.%4"/>
      <w:lvlJc w:val="left"/>
      <w:pPr>
        <w:tabs>
          <w:tab w:val="num" w:pos="720"/>
        </w:tabs>
        <w:ind w:left="720" w:hanging="72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nsid w:val="24CF4D91"/>
    <w:multiLevelType w:val="multilevel"/>
    <w:tmpl w:val="F17481A2"/>
    <w:lvl w:ilvl="0">
      <w:start w:val="1"/>
      <w:numFmt w:val="upperLetter"/>
      <w:pStyle w:val="Appendixheading"/>
      <w:suff w:val="nothing"/>
      <w:lvlText w:val="Appendix %1"/>
      <w:lvlJc w:val="left"/>
      <w:pPr>
        <w:ind w:left="0" w:firstLine="0"/>
      </w:pPr>
      <w:rPr>
        <w:rFonts w:ascii="Arial Bold" w:hAnsi="Arial Bold" w:hint="default"/>
        <w:b/>
        <w:i w:val="0"/>
        <w:sz w:val="40"/>
      </w:rPr>
    </w:lvl>
    <w:lvl w:ilvl="1">
      <w:start w:val="1"/>
      <w:numFmt w:val="decimal"/>
      <w:pStyle w:val="AppendixHeading2"/>
      <w:lvlText w:val="%1.%2"/>
      <w:lvlJc w:val="left"/>
      <w:pPr>
        <w:tabs>
          <w:tab w:val="num" w:pos="720"/>
        </w:tabs>
        <w:ind w:left="720" w:hanging="720"/>
      </w:pPr>
      <w:rPr>
        <w:rFonts w:ascii="Arial Bold" w:hAnsi="Arial Bold"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533554B"/>
    <w:multiLevelType w:val="hybridMultilevel"/>
    <w:tmpl w:val="ADDAF5BA"/>
    <w:lvl w:ilvl="0" w:tplc="421E0196">
      <w:start w:val="1"/>
      <w:numFmt w:val="bullet"/>
      <w:lvlText w:val="­"/>
      <w:lvlJc w:val="left"/>
      <w:pPr>
        <w:ind w:left="1074" w:hanging="360"/>
      </w:pPr>
      <w:rPr>
        <w:rFonts w:ascii="Courier New" w:hAnsi="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9">
    <w:nsid w:val="25D35B03"/>
    <w:multiLevelType w:val="multilevel"/>
    <w:tmpl w:val="BC081980"/>
    <w:lvl w:ilvl="0">
      <w:start w:val="1"/>
      <w:numFmt w:val="decimal"/>
      <w:lvlText w:val="%1."/>
      <w:lvlJc w:val="left"/>
      <w:pPr>
        <w:tabs>
          <w:tab w:val="num" w:pos="680"/>
        </w:tabs>
        <w:ind w:left="680" w:hanging="340"/>
      </w:pPr>
      <w:rPr>
        <w:rFonts w:hint="default"/>
      </w:rPr>
    </w:lvl>
    <w:lvl w:ilvl="1">
      <w:start w:val="1"/>
      <w:numFmt w:val="bullet"/>
      <w:lvlText w:val=""/>
      <w:lvlJc w:val="left"/>
      <w:pPr>
        <w:tabs>
          <w:tab w:val="num" w:pos="1020"/>
        </w:tabs>
        <w:ind w:left="1020" w:hanging="340"/>
      </w:pPr>
      <w:rPr>
        <w:rFonts w:ascii="Symbol" w:hAnsi="Symbol" w:hint="default"/>
        <w:sz w:val="22"/>
      </w:rPr>
    </w:lvl>
    <w:lvl w:ilvl="2">
      <w:start w:val="1"/>
      <w:numFmt w:val="bullet"/>
      <w:lvlText w:val="-"/>
      <w:lvlJc w:val="left"/>
      <w:pPr>
        <w:tabs>
          <w:tab w:val="num" w:pos="1360"/>
        </w:tabs>
        <w:ind w:left="1360" w:hanging="340"/>
      </w:pPr>
      <w:rPr>
        <w:rFonts w:ascii="9999999" w:hAnsi="9999999" w:hint="default"/>
      </w:rPr>
    </w:lvl>
    <w:lvl w:ilvl="3">
      <w:start w:val="1"/>
      <w:numFmt w:val="bullet"/>
      <w:lvlText w:val=""/>
      <w:lvlJc w:val="left"/>
      <w:pPr>
        <w:tabs>
          <w:tab w:val="num" w:pos="1701"/>
        </w:tabs>
        <w:ind w:left="1701" w:hanging="341"/>
      </w:pPr>
      <w:rPr>
        <w:rFonts w:ascii="Symbol" w:hAnsi="Symbol" w:hint="default"/>
        <w:sz w:val="22"/>
      </w:rPr>
    </w:lvl>
    <w:lvl w:ilvl="4">
      <w:start w:val="1"/>
      <w:numFmt w:val="bullet"/>
      <w:lvlText w:val=""/>
      <w:lvlJc w:val="left"/>
      <w:pPr>
        <w:tabs>
          <w:tab w:val="num" w:pos="2041"/>
        </w:tabs>
        <w:ind w:left="2041" w:hanging="340"/>
      </w:pPr>
      <w:rPr>
        <w:rFonts w:ascii="Symbol" w:hAnsi="Symbol" w:hint="default"/>
      </w:rPr>
    </w:lvl>
    <w:lvl w:ilvl="5">
      <w:start w:val="1"/>
      <w:numFmt w:val="bullet"/>
      <w:lvlText w:val=""/>
      <w:lvlJc w:val="left"/>
      <w:pPr>
        <w:tabs>
          <w:tab w:val="num" w:pos="2381"/>
        </w:tabs>
        <w:ind w:left="2381" w:hanging="340"/>
      </w:pPr>
      <w:rPr>
        <w:rFonts w:ascii="Wingdings" w:hAnsi="Wingdings" w:hint="default"/>
      </w:rPr>
    </w:lvl>
    <w:lvl w:ilvl="6">
      <w:start w:val="1"/>
      <w:numFmt w:val="bullet"/>
      <w:lvlText w:val=""/>
      <w:lvlJc w:val="left"/>
      <w:pPr>
        <w:tabs>
          <w:tab w:val="num" w:pos="2721"/>
        </w:tabs>
        <w:ind w:left="2721" w:hanging="340"/>
      </w:pPr>
      <w:rPr>
        <w:rFonts w:ascii="Wingdings" w:hAnsi="Wingdings" w:hint="default"/>
      </w:rPr>
    </w:lvl>
    <w:lvl w:ilvl="7">
      <w:start w:val="1"/>
      <w:numFmt w:val="bullet"/>
      <w:lvlText w:val=""/>
      <w:lvlJc w:val="left"/>
      <w:pPr>
        <w:tabs>
          <w:tab w:val="num" w:pos="3061"/>
        </w:tabs>
        <w:ind w:left="3061" w:hanging="340"/>
      </w:pPr>
      <w:rPr>
        <w:rFonts w:ascii="Symbol" w:hAnsi="Symbol" w:hint="default"/>
      </w:rPr>
    </w:lvl>
    <w:lvl w:ilvl="8">
      <w:start w:val="1"/>
      <w:numFmt w:val="bullet"/>
      <w:lvlText w:val=""/>
      <w:lvlJc w:val="left"/>
      <w:pPr>
        <w:tabs>
          <w:tab w:val="num" w:pos="3401"/>
        </w:tabs>
        <w:ind w:left="3401" w:hanging="340"/>
      </w:pPr>
      <w:rPr>
        <w:rFonts w:ascii="Symbol" w:hAnsi="Symbol" w:hint="default"/>
      </w:rPr>
    </w:lvl>
  </w:abstractNum>
  <w:abstractNum w:abstractNumId="20">
    <w:nsid w:val="270F1A35"/>
    <w:multiLevelType w:val="multilevel"/>
    <w:tmpl w:val="313AE20A"/>
    <w:lvl w:ilvl="0">
      <w:start w:val="1"/>
      <w:numFmt w:val="bullet"/>
      <w:lvlText w:val="­"/>
      <w:lvlJc w:val="left"/>
      <w:pPr>
        <w:tabs>
          <w:tab w:val="num" w:pos="700"/>
        </w:tabs>
        <w:ind w:left="700" w:hanging="360"/>
      </w:pPr>
      <w:rPr>
        <w:rFonts w:ascii="Courier New" w:hAnsi="Courier New" w:hint="default"/>
        <w:sz w:val="20"/>
      </w:rPr>
    </w:lvl>
    <w:lvl w:ilvl="1" w:tentative="1">
      <w:start w:val="1"/>
      <w:numFmt w:val="bullet"/>
      <w:lvlText w:val="o"/>
      <w:lvlJc w:val="left"/>
      <w:pPr>
        <w:tabs>
          <w:tab w:val="num" w:pos="1420"/>
        </w:tabs>
        <w:ind w:left="1420" w:hanging="360"/>
      </w:pPr>
      <w:rPr>
        <w:rFonts w:ascii="Courier New" w:hAnsi="Courier New" w:hint="default"/>
        <w:sz w:val="20"/>
      </w:rPr>
    </w:lvl>
    <w:lvl w:ilvl="2" w:tentative="1">
      <w:start w:val="1"/>
      <w:numFmt w:val="bullet"/>
      <w:lvlText w:val=""/>
      <w:lvlJc w:val="left"/>
      <w:pPr>
        <w:tabs>
          <w:tab w:val="num" w:pos="2140"/>
        </w:tabs>
        <w:ind w:left="2140" w:hanging="360"/>
      </w:pPr>
      <w:rPr>
        <w:rFonts w:ascii="Wingdings" w:hAnsi="Wingdings" w:hint="default"/>
        <w:sz w:val="20"/>
      </w:rPr>
    </w:lvl>
    <w:lvl w:ilvl="3" w:tentative="1">
      <w:start w:val="1"/>
      <w:numFmt w:val="bullet"/>
      <w:lvlText w:val=""/>
      <w:lvlJc w:val="left"/>
      <w:pPr>
        <w:tabs>
          <w:tab w:val="num" w:pos="2860"/>
        </w:tabs>
        <w:ind w:left="2860" w:hanging="360"/>
      </w:pPr>
      <w:rPr>
        <w:rFonts w:ascii="Wingdings" w:hAnsi="Wingdings" w:hint="default"/>
        <w:sz w:val="20"/>
      </w:rPr>
    </w:lvl>
    <w:lvl w:ilvl="4" w:tentative="1">
      <w:start w:val="1"/>
      <w:numFmt w:val="bullet"/>
      <w:lvlText w:val=""/>
      <w:lvlJc w:val="left"/>
      <w:pPr>
        <w:tabs>
          <w:tab w:val="num" w:pos="3580"/>
        </w:tabs>
        <w:ind w:left="3580" w:hanging="360"/>
      </w:pPr>
      <w:rPr>
        <w:rFonts w:ascii="Wingdings" w:hAnsi="Wingdings" w:hint="default"/>
        <w:sz w:val="20"/>
      </w:rPr>
    </w:lvl>
    <w:lvl w:ilvl="5" w:tentative="1">
      <w:start w:val="1"/>
      <w:numFmt w:val="bullet"/>
      <w:lvlText w:val=""/>
      <w:lvlJc w:val="left"/>
      <w:pPr>
        <w:tabs>
          <w:tab w:val="num" w:pos="4300"/>
        </w:tabs>
        <w:ind w:left="4300" w:hanging="360"/>
      </w:pPr>
      <w:rPr>
        <w:rFonts w:ascii="Wingdings" w:hAnsi="Wingdings" w:hint="default"/>
        <w:sz w:val="20"/>
      </w:rPr>
    </w:lvl>
    <w:lvl w:ilvl="6" w:tentative="1">
      <w:start w:val="1"/>
      <w:numFmt w:val="bullet"/>
      <w:lvlText w:val=""/>
      <w:lvlJc w:val="left"/>
      <w:pPr>
        <w:tabs>
          <w:tab w:val="num" w:pos="5020"/>
        </w:tabs>
        <w:ind w:left="5020" w:hanging="360"/>
      </w:pPr>
      <w:rPr>
        <w:rFonts w:ascii="Wingdings" w:hAnsi="Wingdings" w:hint="default"/>
        <w:sz w:val="20"/>
      </w:rPr>
    </w:lvl>
    <w:lvl w:ilvl="7" w:tentative="1">
      <w:start w:val="1"/>
      <w:numFmt w:val="bullet"/>
      <w:lvlText w:val=""/>
      <w:lvlJc w:val="left"/>
      <w:pPr>
        <w:tabs>
          <w:tab w:val="num" w:pos="5740"/>
        </w:tabs>
        <w:ind w:left="5740" w:hanging="360"/>
      </w:pPr>
      <w:rPr>
        <w:rFonts w:ascii="Wingdings" w:hAnsi="Wingdings" w:hint="default"/>
        <w:sz w:val="20"/>
      </w:rPr>
    </w:lvl>
    <w:lvl w:ilvl="8" w:tentative="1">
      <w:start w:val="1"/>
      <w:numFmt w:val="bullet"/>
      <w:lvlText w:val=""/>
      <w:lvlJc w:val="left"/>
      <w:pPr>
        <w:tabs>
          <w:tab w:val="num" w:pos="6460"/>
        </w:tabs>
        <w:ind w:left="6460" w:hanging="360"/>
      </w:pPr>
      <w:rPr>
        <w:rFonts w:ascii="Wingdings" w:hAnsi="Wingdings" w:hint="default"/>
        <w:sz w:val="20"/>
      </w:rPr>
    </w:lvl>
  </w:abstractNum>
  <w:abstractNum w:abstractNumId="21">
    <w:nsid w:val="2D246A33"/>
    <w:multiLevelType w:val="hybridMultilevel"/>
    <w:tmpl w:val="C7661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44027CE"/>
    <w:multiLevelType w:val="singleLevel"/>
    <w:tmpl w:val="5FB07492"/>
    <w:lvl w:ilvl="0">
      <w:start w:val="1"/>
      <w:numFmt w:val="bullet"/>
      <w:lvlText w:val=""/>
      <w:lvlJc w:val="left"/>
      <w:pPr>
        <w:tabs>
          <w:tab w:val="num" w:pos="340"/>
        </w:tabs>
        <w:ind w:left="340" w:hanging="340"/>
      </w:pPr>
      <w:rPr>
        <w:rFonts w:ascii="Symbol" w:hAnsi="Symbol" w:hint="default"/>
        <w:color w:val="auto"/>
        <w:sz w:val="22"/>
      </w:rPr>
    </w:lvl>
  </w:abstractNum>
  <w:abstractNum w:abstractNumId="23">
    <w:nsid w:val="388D35CB"/>
    <w:multiLevelType w:val="hybridMultilevel"/>
    <w:tmpl w:val="BC36D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C18267E"/>
    <w:multiLevelType w:val="multilevel"/>
    <w:tmpl w:val="B28C17C6"/>
    <w:lvl w:ilvl="0">
      <w:start w:val="1"/>
      <w:numFmt w:val="decimal"/>
      <w:lvlText w:val="%1."/>
      <w:lvlJc w:val="left"/>
      <w:pPr>
        <w:ind w:left="1080" w:hanging="360"/>
      </w:pPr>
      <w:rPr>
        <w:rFonts w:hint="default"/>
      </w:rPr>
    </w:lvl>
    <w:lvl w:ilvl="1">
      <w:start w:val="3"/>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5">
    <w:nsid w:val="3CED7E99"/>
    <w:multiLevelType w:val="multilevel"/>
    <w:tmpl w:val="8FB0E1E0"/>
    <w:lvl w:ilvl="0">
      <w:start w:val="1"/>
      <w:numFmt w:val="bullet"/>
      <w:pStyle w:val="Tablebullet2"/>
      <w:lvlText w:val="-"/>
      <w:lvlJc w:val="left"/>
      <w:pPr>
        <w:tabs>
          <w:tab w:val="num" w:pos="700"/>
        </w:tabs>
        <w:ind w:left="700" w:hanging="360"/>
      </w:pPr>
      <w:rPr>
        <w:rFonts w:ascii="Courier New" w:hAnsi="Courier New" w:hint="default"/>
        <w:sz w:val="20"/>
      </w:rPr>
    </w:lvl>
    <w:lvl w:ilvl="1" w:tentative="1">
      <w:start w:val="1"/>
      <w:numFmt w:val="bullet"/>
      <w:lvlText w:val="o"/>
      <w:lvlJc w:val="left"/>
      <w:pPr>
        <w:tabs>
          <w:tab w:val="num" w:pos="1420"/>
        </w:tabs>
        <w:ind w:left="1420" w:hanging="360"/>
      </w:pPr>
      <w:rPr>
        <w:rFonts w:ascii="Courier New" w:hAnsi="Courier New" w:hint="default"/>
        <w:sz w:val="20"/>
      </w:rPr>
    </w:lvl>
    <w:lvl w:ilvl="2" w:tentative="1">
      <w:start w:val="1"/>
      <w:numFmt w:val="bullet"/>
      <w:lvlText w:val=""/>
      <w:lvlJc w:val="left"/>
      <w:pPr>
        <w:tabs>
          <w:tab w:val="num" w:pos="2140"/>
        </w:tabs>
        <w:ind w:left="2140" w:hanging="360"/>
      </w:pPr>
      <w:rPr>
        <w:rFonts w:ascii="Wingdings" w:hAnsi="Wingdings" w:hint="default"/>
        <w:sz w:val="20"/>
      </w:rPr>
    </w:lvl>
    <w:lvl w:ilvl="3" w:tentative="1">
      <w:start w:val="1"/>
      <w:numFmt w:val="bullet"/>
      <w:lvlText w:val=""/>
      <w:lvlJc w:val="left"/>
      <w:pPr>
        <w:tabs>
          <w:tab w:val="num" w:pos="2860"/>
        </w:tabs>
        <w:ind w:left="2860" w:hanging="360"/>
      </w:pPr>
      <w:rPr>
        <w:rFonts w:ascii="Wingdings" w:hAnsi="Wingdings" w:hint="default"/>
        <w:sz w:val="20"/>
      </w:rPr>
    </w:lvl>
    <w:lvl w:ilvl="4" w:tentative="1">
      <w:start w:val="1"/>
      <w:numFmt w:val="bullet"/>
      <w:lvlText w:val=""/>
      <w:lvlJc w:val="left"/>
      <w:pPr>
        <w:tabs>
          <w:tab w:val="num" w:pos="3580"/>
        </w:tabs>
        <w:ind w:left="3580" w:hanging="360"/>
      </w:pPr>
      <w:rPr>
        <w:rFonts w:ascii="Wingdings" w:hAnsi="Wingdings" w:hint="default"/>
        <w:sz w:val="20"/>
      </w:rPr>
    </w:lvl>
    <w:lvl w:ilvl="5" w:tentative="1">
      <w:start w:val="1"/>
      <w:numFmt w:val="bullet"/>
      <w:lvlText w:val=""/>
      <w:lvlJc w:val="left"/>
      <w:pPr>
        <w:tabs>
          <w:tab w:val="num" w:pos="4300"/>
        </w:tabs>
        <w:ind w:left="4300" w:hanging="360"/>
      </w:pPr>
      <w:rPr>
        <w:rFonts w:ascii="Wingdings" w:hAnsi="Wingdings" w:hint="default"/>
        <w:sz w:val="20"/>
      </w:rPr>
    </w:lvl>
    <w:lvl w:ilvl="6" w:tentative="1">
      <w:start w:val="1"/>
      <w:numFmt w:val="bullet"/>
      <w:lvlText w:val=""/>
      <w:lvlJc w:val="left"/>
      <w:pPr>
        <w:tabs>
          <w:tab w:val="num" w:pos="5020"/>
        </w:tabs>
        <w:ind w:left="5020" w:hanging="360"/>
      </w:pPr>
      <w:rPr>
        <w:rFonts w:ascii="Wingdings" w:hAnsi="Wingdings" w:hint="default"/>
        <w:sz w:val="20"/>
      </w:rPr>
    </w:lvl>
    <w:lvl w:ilvl="7" w:tentative="1">
      <w:start w:val="1"/>
      <w:numFmt w:val="bullet"/>
      <w:lvlText w:val=""/>
      <w:lvlJc w:val="left"/>
      <w:pPr>
        <w:tabs>
          <w:tab w:val="num" w:pos="5740"/>
        </w:tabs>
        <w:ind w:left="5740" w:hanging="360"/>
      </w:pPr>
      <w:rPr>
        <w:rFonts w:ascii="Wingdings" w:hAnsi="Wingdings" w:hint="default"/>
        <w:sz w:val="20"/>
      </w:rPr>
    </w:lvl>
    <w:lvl w:ilvl="8" w:tentative="1">
      <w:start w:val="1"/>
      <w:numFmt w:val="bullet"/>
      <w:lvlText w:val=""/>
      <w:lvlJc w:val="left"/>
      <w:pPr>
        <w:tabs>
          <w:tab w:val="num" w:pos="6460"/>
        </w:tabs>
        <w:ind w:left="6460" w:hanging="360"/>
      </w:pPr>
      <w:rPr>
        <w:rFonts w:ascii="Wingdings" w:hAnsi="Wingdings" w:hint="default"/>
        <w:sz w:val="20"/>
      </w:rPr>
    </w:lvl>
  </w:abstractNum>
  <w:abstractNum w:abstractNumId="26">
    <w:nsid w:val="3E1B4DD7"/>
    <w:multiLevelType w:val="hybridMultilevel"/>
    <w:tmpl w:val="004E1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E312D98"/>
    <w:multiLevelType w:val="multilevel"/>
    <w:tmpl w:val="D1E61AAE"/>
    <w:lvl w:ilvl="0">
      <w:start w:val="1"/>
      <w:numFmt w:val="decimal"/>
      <w:lvlText w:val="%1."/>
      <w:lvlJc w:val="left"/>
      <w:pPr>
        <w:tabs>
          <w:tab w:val="num" w:pos="1140"/>
        </w:tabs>
        <w:ind w:left="1140" w:hanging="360"/>
      </w:pPr>
    </w:lvl>
    <w:lvl w:ilvl="1" w:tentative="1">
      <w:start w:val="1"/>
      <w:numFmt w:val="decimal"/>
      <w:lvlText w:val="%2."/>
      <w:lvlJc w:val="left"/>
      <w:pPr>
        <w:tabs>
          <w:tab w:val="num" w:pos="1860"/>
        </w:tabs>
        <w:ind w:left="1860" w:hanging="360"/>
      </w:pPr>
    </w:lvl>
    <w:lvl w:ilvl="2" w:tentative="1">
      <w:start w:val="1"/>
      <w:numFmt w:val="decimal"/>
      <w:lvlText w:val="%3."/>
      <w:lvlJc w:val="left"/>
      <w:pPr>
        <w:tabs>
          <w:tab w:val="num" w:pos="2580"/>
        </w:tabs>
        <w:ind w:left="2580" w:hanging="360"/>
      </w:pPr>
    </w:lvl>
    <w:lvl w:ilvl="3" w:tentative="1">
      <w:start w:val="1"/>
      <w:numFmt w:val="decimal"/>
      <w:lvlText w:val="%4."/>
      <w:lvlJc w:val="left"/>
      <w:pPr>
        <w:tabs>
          <w:tab w:val="num" w:pos="3300"/>
        </w:tabs>
        <w:ind w:left="3300" w:hanging="360"/>
      </w:pPr>
    </w:lvl>
    <w:lvl w:ilvl="4" w:tentative="1">
      <w:start w:val="1"/>
      <w:numFmt w:val="decimal"/>
      <w:lvlText w:val="%5."/>
      <w:lvlJc w:val="left"/>
      <w:pPr>
        <w:tabs>
          <w:tab w:val="num" w:pos="4020"/>
        </w:tabs>
        <w:ind w:left="4020" w:hanging="360"/>
      </w:pPr>
    </w:lvl>
    <w:lvl w:ilvl="5" w:tentative="1">
      <w:start w:val="1"/>
      <w:numFmt w:val="decimal"/>
      <w:lvlText w:val="%6."/>
      <w:lvlJc w:val="left"/>
      <w:pPr>
        <w:tabs>
          <w:tab w:val="num" w:pos="4740"/>
        </w:tabs>
        <w:ind w:left="4740" w:hanging="360"/>
      </w:pPr>
    </w:lvl>
    <w:lvl w:ilvl="6" w:tentative="1">
      <w:start w:val="1"/>
      <w:numFmt w:val="decimal"/>
      <w:lvlText w:val="%7."/>
      <w:lvlJc w:val="left"/>
      <w:pPr>
        <w:tabs>
          <w:tab w:val="num" w:pos="5460"/>
        </w:tabs>
        <w:ind w:left="5460" w:hanging="360"/>
      </w:pPr>
    </w:lvl>
    <w:lvl w:ilvl="7" w:tentative="1">
      <w:start w:val="1"/>
      <w:numFmt w:val="decimal"/>
      <w:lvlText w:val="%8."/>
      <w:lvlJc w:val="left"/>
      <w:pPr>
        <w:tabs>
          <w:tab w:val="num" w:pos="6180"/>
        </w:tabs>
        <w:ind w:left="6180" w:hanging="360"/>
      </w:pPr>
    </w:lvl>
    <w:lvl w:ilvl="8" w:tentative="1">
      <w:start w:val="1"/>
      <w:numFmt w:val="decimal"/>
      <w:lvlText w:val="%9."/>
      <w:lvlJc w:val="left"/>
      <w:pPr>
        <w:tabs>
          <w:tab w:val="num" w:pos="6900"/>
        </w:tabs>
        <w:ind w:left="6900" w:hanging="360"/>
      </w:pPr>
    </w:lvl>
  </w:abstractNum>
  <w:abstractNum w:abstractNumId="28">
    <w:nsid w:val="42B13283"/>
    <w:multiLevelType w:val="hybridMultilevel"/>
    <w:tmpl w:val="29F04A14"/>
    <w:lvl w:ilvl="0" w:tplc="421E0196">
      <w:start w:val="1"/>
      <w:numFmt w:val="bullet"/>
      <w:lvlText w:val="­"/>
      <w:lvlJc w:val="left"/>
      <w:pPr>
        <w:ind w:left="1074" w:hanging="360"/>
      </w:pPr>
      <w:rPr>
        <w:rFonts w:ascii="Courier New" w:hAnsi="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29">
    <w:nsid w:val="44AF3E1B"/>
    <w:multiLevelType w:val="singleLevel"/>
    <w:tmpl w:val="9F32E02C"/>
    <w:lvl w:ilvl="0">
      <w:start w:val="1"/>
      <w:numFmt w:val="bullet"/>
      <w:lvlText w:val=""/>
      <w:lvlJc w:val="left"/>
      <w:pPr>
        <w:tabs>
          <w:tab w:val="num" w:pos="340"/>
        </w:tabs>
        <w:ind w:left="340" w:hanging="340"/>
      </w:pPr>
      <w:rPr>
        <w:rFonts w:ascii="Symbol" w:hAnsi="Symbol" w:hint="default"/>
        <w:color w:val="auto"/>
        <w:sz w:val="22"/>
      </w:rPr>
    </w:lvl>
  </w:abstractNum>
  <w:abstractNum w:abstractNumId="3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72511BB"/>
    <w:multiLevelType w:val="multilevel"/>
    <w:tmpl w:val="8ADEFBB4"/>
    <w:lvl w:ilvl="0">
      <w:start w:val="1"/>
      <w:numFmt w:val="decimal"/>
      <w:lvlText w:val="%1."/>
      <w:lvlJc w:val="left"/>
      <w:pPr>
        <w:tabs>
          <w:tab w:val="num" w:pos="680"/>
        </w:tabs>
        <w:ind w:left="680" w:hanging="340"/>
      </w:pPr>
      <w:rPr>
        <w:rFonts w:hint="default"/>
      </w:rPr>
    </w:lvl>
    <w:lvl w:ilvl="1">
      <w:start w:val="1"/>
      <w:numFmt w:val="bullet"/>
      <w:lvlText w:val=""/>
      <w:lvlJc w:val="left"/>
      <w:pPr>
        <w:tabs>
          <w:tab w:val="num" w:pos="1020"/>
        </w:tabs>
        <w:ind w:left="1020" w:hanging="340"/>
      </w:pPr>
      <w:rPr>
        <w:rFonts w:ascii="Symbol" w:hAnsi="Symbol" w:hint="default"/>
        <w:sz w:val="22"/>
      </w:rPr>
    </w:lvl>
    <w:lvl w:ilvl="2">
      <w:start w:val="1"/>
      <w:numFmt w:val="bullet"/>
      <w:lvlText w:val="-"/>
      <w:lvlJc w:val="left"/>
      <w:pPr>
        <w:tabs>
          <w:tab w:val="num" w:pos="1360"/>
        </w:tabs>
        <w:ind w:left="1360" w:hanging="340"/>
      </w:pPr>
      <w:rPr>
        <w:rFonts w:ascii="9999999" w:hAnsi="9999999" w:hint="default"/>
      </w:rPr>
    </w:lvl>
    <w:lvl w:ilvl="3">
      <w:start w:val="1"/>
      <w:numFmt w:val="bullet"/>
      <w:lvlText w:val=""/>
      <w:lvlJc w:val="left"/>
      <w:pPr>
        <w:tabs>
          <w:tab w:val="num" w:pos="1701"/>
        </w:tabs>
        <w:ind w:left="1701" w:hanging="341"/>
      </w:pPr>
      <w:rPr>
        <w:rFonts w:ascii="Symbol" w:hAnsi="Symbol" w:hint="default"/>
        <w:sz w:val="22"/>
      </w:rPr>
    </w:lvl>
    <w:lvl w:ilvl="4">
      <w:start w:val="1"/>
      <w:numFmt w:val="bullet"/>
      <w:lvlText w:val=""/>
      <w:lvlJc w:val="left"/>
      <w:pPr>
        <w:tabs>
          <w:tab w:val="num" w:pos="2041"/>
        </w:tabs>
        <w:ind w:left="2041" w:hanging="340"/>
      </w:pPr>
      <w:rPr>
        <w:rFonts w:ascii="Symbol" w:hAnsi="Symbol" w:hint="default"/>
      </w:rPr>
    </w:lvl>
    <w:lvl w:ilvl="5">
      <w:start w:val="1"/>
      <w:numFmt w:val="bullet"/>
      <w:lvlText w:val=""/>
      <w:lvlJc w:val="left"/>
      <w:pPr>
        <w:tabs>
          <w:tab w:val="num" w:pos="2381"/>
        </w:tabs>
        <w:ind w:left="2381" w:hanging="340"/>
      </w:pPr>
      <w:rPr>
        <w:rFonts w:ascii="Wingdings" w:hAnsi="Wingdings" w:hint="default"/>
      </w:rPr>
    </w:lvl>
    <w:lvl w:ilvl="6">
      <w:start w:val="1"/>
      <w:numFmt w:val="bullet"/>
      <w:lvlText w:val=""/>
      <w:lvlJc w:val="left"/>
      <w:pPr>
        <w:tabs>
          <w:tab w:val="num" w:pos="2721"/>
        </w:tabs>
        <w:ind w:left="2721" w:hanging="340"/>
      </w:pPr>
      <w:rPr>
        <w:rFonts w:ascii="Wingdings" w:hAnsi="Wingdings" w:hint="default"/>
      </w:rPr>
    </w:lvl>
    <w:lvl w:ilvl="7">
      <w:start w:val="1"/>
      <w:numFmt w:val="bullet"/>
      <w:lvlText w:val=""/>
      <w:lvlJc w:val="left"/>
      <w:pPr>
        <w:tabs>
          <w:tab w:val="num" w:pos="3061"/>
        </w:tabs>
        <w:ind w:left="3061" w:hanging="340"/>
      </w:pPr>
      <w:rPr>
        <w:rFonts w:ascii="Symbol" w:hAnsi="Symbol" w:hint="default"/>
      </w:rPr>
    </w:lvl>
    <w:lvl w:ilvl="8">
      <w:start w:val="1"/>
      <w:numFmt w:val="bullet"/>
      <w:lvlText w:val=""/>
      <w:lvlJc w:val="left"/>
      <w:pPr>
        <w:tabs>
          <w:tab w:val="num" w:pos="3401"/>
        </w:tabs>
        <w:ind w:left="3401" w:hanging="340"/>
      </w:pPr>
      <w:rPr>
        <w:rFonts w:ascii="Symbol" w:hAnsi="Symbol" w:hint="default"/>
      </w:rPr>
    </w:lvl>
  </w:abstractNum>
  <w:abstractNum w:abstractNumId="32">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50DA0623"/>
    <w:multiLevelType w:val="multilevel"/>
    <w:tmpl w:val="3DD8D9D4"/>
    <w:lvl w:ilvl="0">
      <w:start w:val="1"/>
      <w:numFmt w:val="bullet"/>
      <w:lvlText w:val="­"/>
      <w:lvlJc w:val="left"/>
      <w:pPr>
        <w:tabs>
          <w:tab w:val="num" w:pos="700"/>
        </w:tabs>
        <w:ind w:left="700" w:hanging="360"/>
      </w:pPr>
      <w:rPr>
        <w:rFonts w:ascii="Courier New" w:hAnsi="Courier New" w:hint="default"/>
        <w:sz w:val="20"/>
      </w:rPr>
    </w:lvl>
    <w:lvl w:ilvl="1" w:tentative="1">
      <w:start w:val="1"/>
      <w:numFmt w:val="bullet"/>
      <w:lvlText w:val="o"/>
      <w:lvlJc w:val="left"/>
      <w:pPr>
        <w:tabs>
          <w:tab w:val="num" w:pos="1420"/>
        </w:tabs>
        <w:ind w:left="1420" w:hanging="360"/>
      </w:pPr>
      <w:rPr>
        <w:rFonts w:ascii="Courier New" w:hAnsi="Courier New" w:hint="default"/>
        <w:sz w:val="20"/>
      </w:rPr>
    </w:lvl>
    <w:lvl w:ilvl="2" w:tentative="1">
      <w:start w:val="1"/>
      <w:numFmt w:val="bullet"/>
      <w:lvlText w:val=""/>
      <w:lvlJc w:val="left"/>
      <w:pPr>
        <w:tabs>
          <w:tab w:val="num" w:pos="2140"/>
        </w:tabs>
        <w:ind w:left="2140" w:hanging="360"/>
      </w:pPr>
      <w:rPr>
        <w:rFonts w:ascii="Wingdings" w:hAnsi="Wingdings" w:hint="default"/>
        <w:sz w:val="20"/>
      </w:rPr>
    </w:lvl>
    <w:lvl w:ilvl="3" w:tentative="1">
      <w:start w:val="1"/>
      <w:numFmt w:val="bullet"/>
      <w:lvlText w:val=""/>
      <w:lvlJc w:val="left"/>
      <w:pPr>
        <w:tabs>
          <w:tab w:val="num" w:pos="2860"/>
        </w:tabs>
        <w:ind w:left="2860" w:hanging="360"/>
      </w:pPr>
      <w:rPr>
        <w:rFonts w:ascii="Wingdings" w:hAnsi="Wingdings" w:hint="default"/>
        <w:sz w:val="20"/>
      </w:rPr>
    </w:lvl>
    <w:lvl w:ilvl="4" w:tentative="1">
      <w:start w:val="1"/>
      <w:numFmt w:val="bullet"/>
      <w:lvlText w:val=""/>
      <w:lvlJc w:val="left"/>
      <w:pPr>
        <w:tabs>
          <w:tab w:val="num" w:pos="3580"/>
        </w:tabs>
        <w:ind w:left="3580" w:hanging="360"/>
      </w:pPr>
      <w:rPr>
        <w:rFonts w:ascii="Wingdings" w:hAnsi="Wingdings" w:hint="default"/>
        <w:sz w:val="20"/>
      </w:rPr>
    </w:lvl>
    <w:lvl w:ilvl="5" w:tentative="1">
      <w:start w:val="1"/>
      <w:numFmt w:val="bullet"/>
      <w:lvlText w:val=""/>
      <w:lvlJc w:val="left"/>
      <w:pPr>
        <w:tabs>
          <w:tab w:val="num" w:pos="4300"/>
        </w:tabs>
        <w:ind w:left="4300" w:hanging="360"/>
      </w:pPr>
      <w:rPr>
        <w:rFonts w:ascii="Wingdings" w:hAnsi="Wingdings" w:hint="default"/>
        <w:sz w:val="20"/>
      </w:rPr>
    </w:lvl>
    <w:lvl w:ilvl="6" w:tentative="1">
      <w:start w:val="1"/>
      <w:numFmt w:val="bullet"/>
      <w:lvlText w:val=""/>
      <w:lvlJc w:val="left"/>
      <w:pPr>
        <w:tabs>
          <w:tab w:val="num" w:pos="5020"/>
        </w:tabs>
        <w:ind w:left="5020" w:hanging="360"/>
      </w:pPr>
      <w:rPr>
        <w:rFonts w:ascii="Wingdings" w:hAnsi="Wingdings" w:hint="default"/>
        <w:sz w:val="20"/>
      </w:rPr>
    </w:lvl>
    <w:lvl w:ilvl="7" w:tentative="1">
      <w:start w:val="1"/>
      <w:numFmt w:val="bullet"/>
      <w:lvlText w:val=""/>
      <w:lvlJc w:val="left"/>
      <w:pPr>
        <w:tabs>
          <w:tab w:val="num" w:pos="5740"/>
        </w:tabs>
        <w:ind w:left="5740" w:hanging="360"/>
      </w:pPr>
      <w:rPr>
        <w:rFonts w:ascii="Wingdings" w:hAnsi="Wingdings" w:hint="default"/>
        <w:sz w:val="20"/>
      </w:rPr>
    </w:lvl>
    <w:lvl w:ilvl="8" w:tentative="1">
      <w:start w:val="1"/>
      <w:numFmt w:val="bullet"/>
      <w:lvlText w:val=""/>
      <w:lvlJc w:val="left"/>
      <w:pPr>
        <w:tabs>
          <w:tab w:val="num" w:pos="6460"/>
        </w:tabs>
        <w:ind w:left="6460" w:hanging="360"/>
      </w:pPr>
      <w:rPr>
        <w:rFonts w:ascii="Wingdings" w:hAnsi="Wingdings" w:hint="default"/>
        <w:sz w:val="20"/>
      </w:rPr>
    </w:lvl>
  </w:abstractNum>
  <w:abstractNum w:abstractNumId="34">
    <w:nsid w:val="526F31A1"/>
    <w:multiLevelType w:val="hybridMultilevel"/>
    <w:tmpl w:val="4600BD7E"/>
    <w:lvl w:ilvl="0" w:tplc="0C090003">
      <w:start w:val="1"/>
      <w:numFmt w:val="bullet"/>
      <w:lvlText w:val="o"/>
      <w:lvlJc w:val="left"/>
      <w:pPr>
        <w:ind w:left="1074" w:hanging="360"/>
      </w:pPr>
      <w:rPr>
        <w:rFonts w:ascii="Courier New" w:hAnsi="Courier New" w:cs="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5">
    <w:nsid w:val="56513BB4"/>
    <w:multiLevelType w:val="hybridMultilevel"/>
    <w:tmpl w:val="A614F8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5E4B1C9F"/>
    <w:multiLevelType w:val="singleLevel"/>
    <w:tmpl w:val="CC8EE4CA"/>
    <w:lvl w:ilvl="0">
      <w:start w:val="1"/>
      <w:numFmt w:val="bullet"/>
      <w:lvlText w:val=""/>
      <w:lvlJc w:val="left"/>
      <w:pPr>
        <w:tabs>
          <w:tab w:val="num" w:pos="340"/>
        </w:tabs>
        <w:ind w:left="340" w:hanging="340"/>
      </w:pPr>
      <w:rPr>
        <w:rFonts w:ascii="Symbol" w:hAnsi="Symbol" w:hint="default"/>
        <w:color w:val="auto"/>
        <w:sz w:val="22"/>
      </w:rPr>
    </w:lvl>
  </w:abstractNum>
  <w:abstractNum w:abstractNumId="37">
    <w:nsid w:val="5FE06E84"/>
    <w:multiLevelType w:val="hybridMultilevel"/>
    <w:tmpl w:val="F4C6E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10C4F60"/>
    <w:multiLevelType w:val="hybridMultilevel"/>
    <w:tmpl w:val="D14E3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18339B5"/>
    <w:multiLevelType w:val="hybridMultilevel"/>
    <w:tmpl w:val="24AA1AF2"/>
    <w:lvl w:ilvl="0" w:tplc="421E0196">
      <w:start w:val="1"/>
      <w:numFmt w:val="bullet"/>
      <w:lvlText w:val="­"/>
      <w:lvlJc w:val="left"/>
      <w:pPr>
        <w:ind w:left="1074" w:hanging="360"/>
      </w:pPr>
      <w:rPr>
        <w:rFonts w:ascii="Courier New" w:hAnsi="Courier New"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40">
    <w:nsid w:val="6D3C66D9"/>
    <w:multiLevelType w:val="hybridMultilevel"/>
    <w:tmpl w:val="A1ACB20C"/>
    <w:lvl w:ilvl="0" w:tplc="421E0196">
      <w:start w:val="1"/>
      <w:numFmt w:val="bullet"/>
      <w:lvlText w:val="­"/>
      <w:lvlJc w:val="left"/>
      <w:pPr>
        <w:ind w:left="1060" w:hanging="360"/>
      </w:pPr>
      <w:rPr>
        <w:rFonts w:ascii="Courier New" w:hAnsi="Courier New"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41">
    <w:nsid w:val="6D5D4BC8"/>
    <w:multiLevelType w:val="hybridMultilevel"/>
    <w:tmpl w:val="EF402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37B19A7"/>
    <w:multiLevelType w:val="hybridMultilevel"/>
    <w:tmpl w:val="B9AC7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421E0196">
      <w:start w:val="1"/>
      <w:numFmt w:val="bullet"/>
      <w:lvlText w:val="­"/>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56B4B02"/>
    <w:multiLevelType w:val="multilevel"/>
    <w:tmpl w:val="EC900F7E"/>
    <w:lvl w:ilvl="0">
      <w:start w:val="1"/>
      <w:numFmt w:val="decimal"/>
      <w:lvlText w:val="%1"/>
      <w:lvlJc w:val="left"/>
      <w:pPr>
        <w:tabs>
          <w:tab w:val="num" w:pos="862"/>
        </w:tabs>
        <w:ind w:left="862" w:hanging="862"/>
      </w:pPr>
      <w:rPr>
        <w:rFonts w:hint="default"/>
        <w:b/>
        <w:i w:val="0"/>
        <w:sz w:val="40"/>
      </w:rPr>
    </w:lvl>
    <w:lvl w:ilvl="1">
      <w:start w:val="1"/>
      <w:numFmt w:val="decimal"/>
      <w:lvlText w:val="%1.%2"/>
      <w:lvlJc w:val="left"/>
      <w:pPr>
        <w:tabs>
          <w:tab w:val="num" w:pos="8092"/>
        </w:tabs>
        <w:ind w:left="8092" w:hanging="862"/>
      </w:pPr>
      <w:rPr>
        <w:rFonts w:hint="default"/>
        <w:sz w:val="32"/>
        <w:szCs w:val="32"/>
      </w:rPr>
    </w:lvl>
    <w:lvl w:ilvl="2">
      <w:start w:val="1"/>
      <w:numFmt w:val="decimal"/>
      <w:lvlText w:val="%1.%2.%3"/>
      <w:lvlJc w:val="left"/>
      <w:pPr>
        <w:tabs>
          <w:tab w:val="num" w:pos="862"/>
        </w:tabs>
        <w:ind w:left="862" w:hanging="862"/>
      </w:pPr>
      <w:rPr>
        <w:rFonts w:hint="default"/>
      </w:rPr>
    </w:lvl>
    <w:lvl w:ilvl="3">
      <w:start w:val="1"/>
      <w:numFmt w:val="decimal"/>
      <w:pStyle w:val="Heading4"/>
      <w:lvlText w:val="%1.%2.%3.%4"/>
      <w:lvlJc w:val="left"/>
      <w:pPr>
        <w:tabs>
          <w:tab w:val="num" w:pos="862"/>
        </w:tabs>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44">
    <w:nsid w:val="75B620FE"/>
    <w:multiLevelType w:val="hybridMultilevel"/>
    <w:tmpl w:val="85A6B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D4F05B3"/>
    <w:multiLevelType w:val="singleLevel"/>
    <w:tmpl w:val="FD3A4632"/>
    <w:lvl w:ilvl="0">
      <w:start w:val="1"/>
      <w:numFmt w:val="bullet"/>
      <w:pStyle w:val="Tablebullet1"/>
      <w:lvlText w:val=""/>
      <w:lvlJc w:val="left"/>
      <w:pPr>
        <w:tabs>
          <w:tab w:val="num" w:pos="340"/>
        </w:tabs>
        <w:ind w:left="340" w:hanging="340"/>
      </w:pPr>
      <w:rPr>
        <w:rFonts w:ascii="Symbol" w:hAnsi="Symbol" w:hint="default"/>
        <w:color w:val="auto"/>
        <w:sz w:val="22"/>
      </w:rPr>
    </w:lvl>
  </w:abstractNum>
  <w:abstractNum w:abstractNumId="46">
    <w:nsid w:val="7DC42B2E"/>
    <w:multiLevelType w:val="hybridMultilevel"/>
    <w:tmpl w:val="801C4742"/>
    <w:lvl w:ilvl="0" w:tplc="FA66CBD4">
      <w:start w:val="1"/>
      <w:numFmt w:val="decimal"/>
      <w:lvlText w:val="%1."/>
      <w:lvlJc w:val="left"/>
      <w:pPr>
        <w:ind w:left="720" w:hanging="360"/>
      </w:pPr>
      <w:rPr>
        <w:rFonts w:hint="default"/>
      </w:r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8"/>
  </w:num>
  <w:num w:numId="3">
    <w:abstractNumId w:val="16"/>
  </w:num>
  <w:num w:numId="4">
    <w:abstractNumId w:val="32"/>
  </w:num>
  <w:num w:numId="5">
    <w:abstractNumId w:val="30"/>
  </w:num>
  <w:num w:numId="6">
    <w:abstractNumId w:val="10"/>
  </w:num>
  <w:num w:numId="7">
    <w:abstractNumId w:val="1"/>
  </w:num>
  <w:num w:numId="8">
    <w:abstractNumId w:val="0"/>
  </w:num>
  <w:num w:numId="9">
    <w:abstractNumId w:val="12"/>
  </w:num>
  <w:num w:numId="10">
    <w:abstractNumId w:val="13"/>
  </w:num>
  <w:num w:numId="11">
    <w:abstractNumId w:val="27"/>
  </w:num>
  <w:num w:numId="12">
    <w:abstractNumId w:val="31"/>
  </w:num>
  <w:num w:numId="13">
    <w:abstractNumId w:val="19"/>
  </w:num>
  <w:num w:numId="14">
    <w:abstractNumId w:val="22"/>
  </w:num>
  <w:num w:numId="15">
    <w:abstractNumId w:val="45"/>
  </w:num>
  <w:num w:numId="16">
    <w:abstractNumId w:val="15"/>
  </w:num>
  <w:num w:numId="17">
    <w:abstractNumId w:val="29"/>
  </w:num>
  <w:num w:numId="18">
    <w:abstractNumId w:val="25"/>
  </w:num>
  <w:num w:numId="19">
    <w:abstractNumId w:val="36"/>
  </w:num>
  <w:num w:numId="20">
    <w:abstractNumId w:val="43"/>
  </w:num>
  <w:num w:numId="21">
    <w:abstractNumId w:val="17"/>
  </w:num>
  <w:num w:numId="22">
    <w:abstractNumId w:val="26"/>
  </w:num>
  <w:num w:numId="23">
    <w:abstractNumId w:val="37"/>
  </w:num>
  <w:num w:numId="24">
    <w:abstractNumId w:val="9"/>
  </w:num>
  <w:num w:numId="25">
    <w:abstractNumId w:val="14"/>
  </w:num>
  <w:num w:numId="26">
    <w:abstractNumId w:val="21"/>
  </w:num>
  <w:num w:numId="27">
    <w:abstractNumId w:val="2"/>
  </w:num>
  <w:num w:numId="28">
    <w:abstractNumId w:val="24"/>
  </w:num>
  <w:num w:numId="29">
    <w:abstractNumId w:val="7"/>
  </w:num>
  <w:num w:numId="30">
    <w:abstractNumId w:val="34"/>
  </w:num>
  <w:num w:numId="31">
    <w:abstractNumId w:val="20"/>
  </w:num>
  <w:num w:numId="32">
    <w:abstractNumId w:val="33"/>
  </w:num>
  <w:num w:numId="33">
    <w:abstractNumId w:val="6"/>
  </w:num>
  <w:num w:numId="34">
    <w:abstractNumId w:val="40"/>
  </w:num>
  <w:num w:numId="35">
    <w:abstractNumId w:val="5"/>
  </w:num>
  <w:num w:numId="36">
    <w:abstractNumId w:val="39"/>
  </w:num>
  <w:num w:numId="37">
    <w:abstractNumId w:val="18"/>
  </w:num>
  <w:num w:numId="38">
    <w:abstractNumId w:val="46"/>
  </w:num>
  <w:num w:numId="39">
    <w:abstractNumId w:val="44"/>
  </w:num>
  <w:num w:numId="40">
    <w:abstractNumId w:val="35"/>
  </w:num>
  <w:num w:numId="41">
    <w:abstractNumId w:val="41"/>
  </w:num>
  <w:num w:numId="42">
    <w:abstractNumId w:val="42"/>
  </w:num>
  <w:num w:numId="43">
    <w:abstractNumId w:val="11"/>
  </w:num>
  <w:num w:numId="44">
    <w:abstractNumId w:val="38"/>
  </w:num>
  <w:num w:numId="45">
    <w:abstractNumId w:val="23"/>
  </w:num>
  <w:num w:numId="46">
    <w:abstractNumId w:val="28"/>
  </w:num>
  <w:num w:numId="47">
    <w:abstractNumId w:val="3"/>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1839"/>
    <w:rsid w:val="0000105C"/>
    <w:rsid w:val="00002045"/>
    <w:rsid w:val="00003743"/>
    <w:rsid w:val="00004C02"/>
    <w:rsid w:val="00012EE6"/>
    <w:rsid w:val="00014B05"/>
    <w:rsid w:val="00020AE0"/>
    <w:rsid w:val="00020DBD"/>
    <w:rsid w:val="0002267B"/>
    <w:rsid w:val="0002474B"/>
    <w:rsid w:val="000255BC"/>
    <w:rsid w:val="00026148"/>
    <w:rsid w:val="0002714D"/>
    <w:rsid w:val="0002790C"/>
    <w:rsid w:val="00027A18"/>
    <w:rsid w:val="00032CE6"/>
    <w:rsid w:val="000406F8"/>
    <w:rsid w:val="00041D07"/>
    <w:rsid w:val="00042979"/>
    <w:rsid w:val="00043103"/>
    <w:rsid w:val="00043671"/>
    <w:rsid w:val="00044EE9"/>
    <w:rsid w:val="0004756D"/>
    <w:rsid w:val="00050A99"/>
    <w:rsid w:val="0005174A"/>
    <w:rsid w:val="00052A0C"/>
    <w:rsid w:val="00055699"/>
    <w:rsid w:val="00061F7F"/>
    <w:rsid w:val="00064C19"/>
    <w:rsid w:val="00067456"/>
    <w:rsid w:val="000746E3"/>
    <w:rsid w:val="00075097"/>
    <w:rsid w:val="00077EF9"/>
    <w:rsid w:val="0008111A"/>
    <w:rsid w:val="00082357"/>
    <w:rsid w:val="0008242F"/>
    <w:rsid w:val="00082EF0"/>
    <w:rsid w:val="00083B4F"/>
    <w:rsid w:val="0008479C"/>
    <w:rsid w:val="00085612"/>
    <w:rsid w:val="00086819"/>
    <w:rsid w:val="00086FB0"/>
    <w:rsid w:val="00087FC3"/>
    <w:rsid w:val="00091D3D"/>
    <w:rsid w:val="000935B7"/>
    <w:rsid w:val="00095117"/>
    <w:rsid w:val="00095581"/>
    <w:rsid w:val="0009637D"/>
    <w:rsid w:val="000964EB"/>
    <w:rsid w:val="00097BF2"/>
    <w:rsid w:val="000A0936"/>
    <w:rsid w:val="000A1C73"/>
    <w:rsid w:val="000A3F0D"/>
    <w:rsid w:val="000A6EED"/>
    <w:rsid w:val="000B0274"/>
    <w:rsid w:val="000B28E9"/>
    <w:rsid w:val="000B2F6B"/>
    <w:rsid w:val="000B49A5"/>
    <w:rsid w:val="000B7207"/>
    <w:rsid w:val="000B7905"/>
    <w:rsid w:val="000C1DD4"/>
    <w:rsid w:val="000C2637"/>
    <w:rsid w:val="000C2793"/>
    <w:rsid w:val="000C39E1"/>
    <w:rsid w:val="000D017D"/>
    <w:rsid w:val="000D20F0"/>
    <w:rsid w:val="000D265B"/>
    <w:rsid w:val="000D2753"/>
    <w:rsid w:val="000D7FCA"/>
    <w:rsid w:val="000E2F2E"/>
    <w:rsid w:val="000F01EF"/>
    <w:rsid w:val="000F70EA"/>
    <w:rsid w:val="00102CB0"/>
    <w:rsid w:val="001116C6"/>
    <w:rsid w:val="00111DA1"/>
    <w:rsid w:val="00112A1C"/>
    <w:rsid w:val="00114020"/>
    <w:rsid w:val="0011440A"/>
    <w:rsid w:val="00114D40"/>
    <w:rsid w:val="00116B75"/>
    <w:rsid w:val="00117E77"/>
    <w:rsid w:val="001256C9"/>
    <w:rsid w:val="00125BA1"/>
    <w:rsid w:val="001309B5"/>
    <w:rsid w:val="00130E91"/>
    <w:rsid w:val="001366D2"/>
    <w:rsid w:val="0013682F"/>
    <w:rsid w:val="00137490"/>
    <w:rsid w:val="00140612"/>
    <w:rsid w:val="00140763"/>
    <w:rsid w:val="001427F9"/>
    <w:rsid w:val="00144AF7"/>
    <w:rsid w:val="00147B92"/>
    <w:rsid w:val="00147BB4"/>
    <w:rsid w:val="00152773"/>
    <w:rsid w:val="0015509D"/>
    <w:rsid w:val="00157591"/>
    <w:rsid w:val="001575E6"/>
    <w:rsid w:val="00161686"/>
    <w:rsid w:val="001668CB"/>
    <w:rsid w:val="001703A8"/>
    <w:rsid w:val="00170CFB"/>
    <w:rsid w:val="00171F17"/>
    <w:rsid w:val="001739F5"/>
    <w:rsid w:val="00174F8A"/>
    <w:rsid w:val="00176A97"/>
    <w:rsid w:val="00177FC7"/>
    <w:rsid w:val="00181EC8"/>
    <w:rsid w:val="00191B5D"/>
    <w:rsid w:val="001921ED"/>
    <w:rsid w:val="0019305E"/>
    <w:rsid w:val="001938AB"/>
    <w:rsid w:val="00196AC8"/>
    <w:rsid w:val="001974AD"/>
    <w:rsid w:val="001A3602"/>
    <w:rsid w:val="001A6ABF"/>
    <w:rsid w:val="001B0AC7"/>
    <w:rsid w:val="001B3338"/>
    <w:rsid w:val="001B3443"/>
    <w:rsid w:val="001B4918"/>
    <w:rsid w:val="001B4E8E"/>
    <w:rsid w:val="001C1A75"/>
    <w:rsid w:val="001C2111"/>
    <w:rsid w:val="001C301E"/>
    <w:rsid w:val="001C4647"/>
    <w:rsid w:val="001D06BE"/>
    <w:rsid w:val="001D1FD2"/>
    <w:rsid w:val="001D3A2F"/>
    <w:rsid w:val="001D5613"/>
    <w:rsid w:val="001E1042"/>
    <w:rsid w:val="001E259A"/>
    <w:rsid w:val="001E2845"/>
    <w:rsid w:val="001E290E"/>
    <w:rsid w:val="001E57FD"/>
    <w:rsid w:val="001E5EF1"/>
    <w:rsid w:val="001E77C4"/>
    <w:rsid w:val="001F0B71"/>
    <w:rsid w:val="001F1271"/>
    <w:rsid w:val="001F2691"/>
    <w:rsid w:val="001F2ED9"/>
    <w:rsid w:val="001F3CA6"/>
    <w:rsid w:val="001F5143"/>
    <w:rsid w:val="00200CD3"/>
    <w:rsid w:val="00201356"/>
    <w:rsid w:val="0020203D"/>
    <w:rsid w:val="00204857"/>
    <w:rsid w:val="00204A25"/>
    <w:rsid w:val="00205655"/>
    <w:rsid w:val="002122D1"/>
    <w:rsid w:val="00212C36"/>
    <w:rsid w:val="00215498"/>
    <w:rsid w:val="0021672B"/>
    <w:rsid w:val="00221A9F"/>
    <w:rsid w:val="00222FC2"/>
    <w:rsid w:val="00225152"/>
    <w:rsid w:val="002266A4"/>
    <w:rsid w:val="002266F1"/>
    <w:rsid w:val="00230721"/>
    <w:rsid w:val="00234F8F"/>
    <w:rsid w:val="00237ADF"/>
    <w:rsid w:val="00240CC4"/>
    <w:rsid w:val="00242CCD"/>
    <w:rsid w:val="00245201"/>
    <w:rsid w:val="00245D81"/>
    <w:rsid w:val="002505CC"/>
    <w:rsid w:val="00250AF8"/>
    <w:rsid w:val="0025182B"/>
    <w:rsid w:val="00253928"/>
    <w:rsid w:val="00255596"/>
    <w:rsid w:val="00261F43"/>
    <w:rsid w:val="00264B20"/>
    <w:rsid w:val="002662B4"/>
    <w:rsid w:val="00266C78"/>
    <w:rsid w:val="00267635"/>
    <w:rsid w:val="00270899"/>
    <w:rsid w:val="00272435"/>
    <w:rsid w:val="00272752"/>
    <w:rsid w:val="002804CB"/>
    <w:rsid w:val="00281FD4"/>
    <w:rsid w:val="00282694"/>
    <w:rsid w:val="002946D0"/>
    <w:rsid w:val="0029539E"/>
    <w:rsid w:val="00296B28"/>
    <w:rsid w:val="002A09CC"/>
    <w:rsid w:val="002A3BDF"/>
    <w:rsid w:val="002A4F41"/>
    <w:rsid w:val="002A7241"/>
    <w:rsid w:val="002B175D"/>
    <w:rsid w:val="002B5462"/>
    <w:rsid w:val="002B6383"/>
    <w:rsid w:val="002B7DD0"/>
    <w:rsid w:val="002C0C79"/>
    <w:rsid w:val="002C0DF5"/>
    <w:rsid w:val="002C0E8C"/>
    <w:rsid w:val="002C4A77"/>
    <w:rsid w:val="002C5567"/>
    <w:rsid w:val="002C6A86"/>
    <w:rsid w:val="002C6AF0"/>
    <w:rsid w:val="002C7149"/>
    <w:rsid w:val="002D1372"/>
    <w:rsid w:val="002D1E79"/>
    <w:rsid w:val="002D7E0E"/>
    <w:rsid w:val="002E300F"/>
    <w:rsid w:val="002E4F0B"/>
    <w:rsid w:val="002E6A48"/>
    <w:rsid w:val="002E7A7B"/>
    <w:rsid w:val="002F002F"/>
    <w:rsid w:val="002F0134"/>
    <w:rsid w:val="002F1EBE"/>
    <w:rsid w:val="002F3AE3"/>
    <w:rsid w:val="002F5306"/>
    <w:rsid w:val="002F7E6F"/>
    <w:rsid w:val="00302107"/>
    <w:rsid w:val="00304877"/>
    <w:rsid w:val="0030786C"/>
    <w:rsid w:val="0030799E"/>
    <w:rsid w:val="00311B41"/>
    <w:rsid w:val="00312A62"/>
    <w:rsid w:val="00313D4A"/>
    <w:rsid w:val="0031436D"/>
    <w:rsid w:val="003151FA"/>
    <w:rsid w:val="00316683"/>
    <w:rsid w:val="00316738"/>
    <w:rsid w:val="00321010"/>
    <w:rsid w:val="00321DE1"/>
    <w:rsid w:val="003220B6"/>
    <w:rsid w:val="00322FB3"/>
    <w:rsid w:val="003252F0"/>
    <w:rsid w:val="003254D5"/>
    <w:rsid w:val="00327A39"/>
    <w:rsid w:val="00327DC4"/>
    <w:rsid w:val="003311EB"/>
    <w:rsid w:val="00331DD5"/>
    <w:rsid w:val="003327CF"/>
    <w:rsid w:val="00335DFC"/>
    <w:rsid w:val="003402B0"/>
    <w:rsid w:val="00341892"/>
    <w:rsid w:val="003442CA"/>
    <w:rsid w:val="00345D9E"/>
    <w:rsid w:val="00346556"/>
    <w:rsid w:val="00356393"/>
    <w:rsid w:val="0035656D"/>
    <w:rsid w:val="003576CD"/>
    <w:rsid w:val="00357B1E"/>
    <w:rsid w:val="003611B8"/>
    <w:rsid w:val="003638B5"/>
    <w:rsid w:val="00364880"/>
    <w:rsid w:val="00364CB8"/>
    <w:rsid w:val="00365902"/>
    <w:rsid w:val="003661DE"/>
    <w:rsid w:val="00370739"/>
    <w:rsid w:val="0037081B"/>
    <w:rsid w:val="00370A14"/>
    <w:rsid w:val="00371EEC"/>
    <w:rsid w:val="003749AB"/>
    <w:rsid w:val="003751F8"/>
    <w:rsid w:val="00375E9C"/>
    <w:rsid w:val="00375F88"/>
    <w:rsid w:val="00385C88"/>
    <w:rsid w:val="003873C6"/>
    <w:rsid w:val="00387652"/>
    <w:rsid w:val="00387C10"/>
    <w:rsid w:val="003927B1"/>
    <w:rsid w:val="003936A1"/>
    <w:rsid w:val="00393816"/>
    <w:rsid w:val="0039440B"/>
    <w:rsid w:val="0039666B"/>
    <w:rsid w:val="00396A28"/>
    <w:rsid w:val="00397AFF"/>
    <w:rsid w:val="003A30C5"/>
    <w:rsid w:val="003A49AA"/>
    <w:rsid w:val="003A5AA0"/>
    <w:rsid w:val="003A671E"/>
    <w:rsid w:val="003A7F59"/>
    <w:rsid w:val="003B41CC"/>
    <w:rsid w:val="003B7714"/>
    <w:rsid w:val="003C297A"/>
    <w:rsid w:val="003C319E"/>
    <w:rsid w:val="003C33C0"/>
    <w:rsid w:val="003C3DAE"/>
    <w:rsid w:val="003D17F9"/>
    <w:rsid w:val="003D3102"/>
    <w:rsid w:val="003D345F"/>
    <w:rsid w:val="003D437B"/>
    <w:rsid w:val="003D6D33"/>
    <w:rsid w:val="003D7758"/>
    <w:rsid w:val="003E29C0"/>
    <w:rsid w:val="003E3479"/>
    <w:rsid w:val="003E50AE"/>
    <w:rsid w:val="003E5A42"/>
    <w:rsid w:val="003E5E88"/>
    <w:rsid w:val="003E6F92"/>
    <w:rsid w:val="003E76C8"/>
    <w:rsid w:val="003F18FA"/>
    <w:rsid w:val="003F24E9"/>
    <w:rsid w:val="003F635A"/>
    <w:rsid w:val="004008DB"/>
    <w:rsid w:val="004053CE"/>
    <w:rsid w:val="00405478"/>
    <w:rsid w:val="00407CD7"/>
    <w:rsid w:val="0041052C"/>
    <w:rsid w:val="00411763"/>
    <w:rsid w:val="00412E9D"/>
    <w:rsid w:val="004133B8"/>
    <w:rsid w:val="00413F2A"/>
    <w:rsid w:val="00413FC8"/>
    <w:rsid w:val="00420891"/>
    <w:rsid w:val="00425A76"/>
    <w:rsid w:val="004264CB"/>
    <w:rsid w:val="00426565"/>
    <w:rsid w:val="0043212E"/>
    <w:rsid w:val="004333E5"/>
    <w:rsid w:val="00434CA4"/>
    <w:rsid w:val="00434EF1"/>
    <w:rsid w:val="00435A34"/>
    <w:rsid w:val="00435A84"/>
    <w:rsid w:val="00437C15"/>
    <w:rsid w:val="004448AD"/>
    <w:rsid w:val="0044530F"/>
    <w:rsid w:val="004454B9"/>
    <w:rsid w:val="00447345"/>
    <w:rsid w:val="00447D31"/>
    <w:rsid w:val="00451E67"/>
    <w:rsid w:val="00453782"/>
    <w:rsid w:val="0045524C"/>
    <w:rsid w:val="00455E8B"/>
    <w:rsid w:val="00460621"/>
    <w:rsid w:val="0046110A"/>
    <w:rsid w:val="00463CB2"/>
    <w:rsid w:val="00466670"/>
    <w:rsid w:val="0046734B"/>
    <w:rsid w:val="00470AB8"/>
    <w:rsid w:val="00475B55"/>
    <w:rsid w:val="00477980"/>
    <w:rsid w:val="004853FF"/>
    <w:rsid w:val="00485E1F"/>
    <w:rsid w:val="004867E2"/>
    <w:rsid w:val="00486826"/>
    <w:rsid w:val="004873B0"/>
    <w:rsid w:val="00492500"/>
    <w:rsid w:val="00492AAC"/>
    <w:rsid w:val="00495119"/>
    <w:rsid w:val="004A02FA"/>
    <w:rsid w:val="004A0670"/>
    <w:rsid w:val="004A4BB3"/>
    <w:rsid w:val="004A4DE6"/>
    <w:rsid w:val="004A778F"/>
    <w:rsid w:val="004B21F5"/>
    <w:rsid w:val="004B2999"/>
    <w:rsid w:val="004B3832"/>
    <w:rsid w:val="004B4668"/>
    <w:rsid w:val="004B4AC8"/>
    <w:rsid w:val="004C0B09"/>
    <w:rsid w:val="004C150F"/>
    <w:rsid w:val="004C2BE3"/>
    <w:rsid w:val="004D0373"/>
    <w:rsid w:val="004D139C"/>
    <w:rsid w:val="004D3C42"/>
    <w:rsid w:val="004D430F"/>
    <w:rsid w:val="004D4D82"/>
    <w:rsid w:val="004D5360"/>
    <w:rsid w:val="004D5658"/>
    <w:rsid w:val="004D6042"/>
    <w:rsid w:val="004D696D"/>
    <w:rsid w:val="004E58C1"/>
    <w:rsid w:val="004F4422"/>
    <w:rsid w:val="004F479C"/>
    <w:rsid w:val="004F4936"/>
    <w:rsid w:val="004F5E4F"/>
    <w:rsid w:val="005051AF"/>
    <w:rsid w:val="0050545A"/>
    <w:rsid w:val="00506957"/>
    <w:rsid w:val="00507E92"/>
    <w:rsid w:val="00510151"/>
    <w:rsid w:val="00511092"/>
    <w:rsid w:val="005117CD"/>
    <w:rsid w:val="00512B9E"/>
    <w:rsid w:val="005155EE"/>
    <w:rsid w:val="0052107C"/>
    <w:rsid w:val="00521E18"/>
    <w:rsid w:val="005221B7"/>
    <w:rsid w:val="0052310F"/>
    <w:rsid w:val="005251FF"/>
    <w:rsid w:val="0052786F"/>
    <w:rsid w:val="00527CA5"/>
    <w:rsid w:val="00531F50"/>
    <w:rsid w:val="00532B47"/>
    <w:rsid w:val="005415A9"/>
    <w:rsid w:val="00544282"/>
    <w:rsid w:val="00544A4E"/>
    <w:rsid w:val="005511AE"/>
    <w:rsid w:val="00551622"/>
    <w:rsid w:val="00551774"/>
    <w:rsid w:val="00552796"/>
    <w:rsid w:val="00553E33"/>
    <w:rsid w:val="00554DED"/>
    <w:rsid w:val="0055550B"/>
    <w:rsid w:val="00555FC6"/>
    <w:rsid w:val="00557927"/>
    <w:rsid w:val="00557C3F"/>
    <w:rsid w:val="005600FD"/>
    <w:rsid w:val="0056155A"/>
    <w:rsid w:val="00566B97"/>
    <w:rsid w:val="00573932"/>
    <w:rsid w:val="00577C2D"/>
    <w:rsid w:val="00581C0D"/>
    <w:rsid w:val="00582704"/>
    <w:rsid w:val="00582D17"/>
    <w:rsid w:val="00583900"/>
    <w:rsid w:val="005842E9"/>
    <w:rsid w:val="0059108C"/>
    <w:rsid w:val="005918D9"/>
    <w:rsid w:val="0059545A"/>
    <w:rsid w:val="00595921"/>
    <w:rsid w:val="0059724C"/>
    <w:rsid w:val="005A0419"/>
    <w:rsid w:val="005A0B7D"/>
    <w:rsid w:val="005A5194"/>
    <w:rsid w:val="005A73CD"/>
    <w:rsid w:val="005A7A12"/>
    <w:rsid w:val="005B43AD"/>
    <w:rsid w:val="005B682D"/>
    <w:rsid w:val="005B72D5"/>
    <w:rsid w:val="005B7515"/>
    <w:rsid w:val="005C1496"/>
    <w:rsid w:val="005C20E3"/>
    <w:rsid w:val="005C5AB7"/>
    <w:rsid w:val="005C6AAE"/>
    <w:rsid w:val="005D1983"/>
    <w:rsid w:val="005D5D98"/>
    <w:rsid w:val="005E039D"/>
    <w:rsid w:val="005E2329"/>
    <w:rsid w:val="005E2614"/>
    <w:rsid w:val="005E391D"/>
    <w:rsid w:val="005E3945"/>
    <w:rsid w:val="005E5471"/>
    <w:rsid w:val="005E6578"/>
    <w:rsid w:val="005E6962"/>
    <w:rsid w:val="005E7818"/>
    <w:rsid w:val="005F01E0"/>
    <w:rsid w:val="005F1972"/>
    <w:rsid w:val="005F30B4"/>
    <w:rsid w:val="00602E02"/>
    <w:rsid w:val="0060389E"/>
    <w:rsid w:val="006054B3"/>
    <w:rsid w:val="0060596F"/>
    <w:rsid w:val="00607396"/>
    <w:rsid w:val="00607B0B"/>
    <w:rsid w:val="00610C0D"/>
    <w:rsid w:val="0061735E"/>
    <w:rsid w:val="00617AC4"/>
    <w:rsid w:val="00622F94"/>
    <w:rsid w:val="006317C9"/>
    <w:rsid w:val="0063435A"/>
    <w:rsid w:val="00635BC1"/>
    <w:rsid w:val="00635D41"/>
    <w:rsid w:val="00642707"/>
    <w:rsid w:val="00642D82"/>
    <w:rsid w:val="00643032"/>
    <w:rsid w:val="00643CC1"/>
    <w:rsid w:val="006462C1"/>
    <w:rsid w:val="0065112A"/>
    <w:rsid w:val="00651D64"/>
    <w:rsid w:val="00655069"/>
    <w:rsid w:val="006552A1"/>
    <w:rsid w:val="00661A57"/>
    <w:rsid w:val="00665E0F"/>
    <w:rsid w:val="006714AA"/>
    <w:rsid w:val="006800B6"/>
    <w:rsid w:val="006803BA"/>
    <w:rsid w:val="006827C2"/>
    <w:rsid w:val="00687DB4"/>
    <w:rsid w:val="00696274"/>
    <w:rsid w:val="006A2A49"/>
    <w:rsid w:val="006A4940"/>
    <w:rsid w:val="006B1154"/>
    <w:rsid w:val="006B1484"/>
    <w:rsid w:val="006B1632"/>
    <w:rsid w:val="006B3458"/>
    <w:rsid w:val="006B3787"/>
    <w:rsid w:val="006B58B4"/>
    <w:rsid w:val="006B5F22"/>
    <w:rsid w:val="006B616A"/>
    <w:rsid w:val="006B67EA"/>
    <w:rsid w:val="006B7BBB"/>
    <w:rsid w:val="006C1BE4"/>
    <w:rsid w:val="006C1E2D"/>
    <w:rsid w:val="006C2D31"/>
    <w:rsid w:val="006C3BA4"/>
    <w:rsid w:val="006C5616"/>
    <w:rsid w:val="006C5E9F"/>
    <w:rsid w:val="006C7213"/>
    <w:rsid w:val="006D1D9E"/>
    <w:rsid w:val="006D732F"/>
    <w:rsid w:val="006E3B18"/>
    <w:rsid w:val="006E6308"/>
    <w:rsid w:val="006E688D"/>
    <w:rsid w:val="006F3122"/>
    <w:rsid w:val="006F34BC"/>
    <w:rsid w:val="006F678D"/>
    <w:rsid w:val="00701F94"/>
    <w:rsid w:val="007028EC"/>
    <w:rsid w:val="0070312F"/>
    <w:rsid w:val="0070703E"/>
    <w:rsid w:val="00707B69"/>
    <w:rsid w:val="00713173"/>
    <w:rsid w:val="0071637F"/>
    <w:rsid w:val="0071697F"/>
    <w:rsid w:val="00717CD1"/>
    <w:rsid w:val="00721BDD"/>
    <w:rsid w:val="007255C2"/>
    <w:rsid w:val="007301C4"/>
    <w:rsid w:val="00732B85"/>
    <w:rsid w:val="0073333D"/>
    <w:rsid w:val="007360BF"/>
    <w:rsid w:val="00736210"/>
    <w:rsid w:val="00737B16"/>
    <w:rsid w:val="0074112F"/>
    <w:rsid w:val="00744114"/>
    <w:rsid w:val="00744902"/>
    <w:rsid w:val="00751CA9"/>
    <w:rsid w:val="00751D5E"/>
    <w:rsid w:val="007527A9"/>
    <w:rsid w:val="0075313A"/>
    <w:rsid w:val="007545C7"/>
    <w:rsid w:val="00757E11"/>
    <w:rsid w:val="0076005C"/>
    <w:rsid w:val="00760432"/>
    <w:rsid w:val="00762647"/>
    <w:rsid w:val="007635C1"/>
    <w:rsid w:val="00766545"/>
    <w:rsid w:val="00766B42"/>
    <w:rsid w:val="00766BAE"/>
    <w:rsid w:val="0077028A"/>
    <w:rsid w:val="00770A03"/>
    <w:rsid w:val="007717CE"/>
    <w:rsid w:val="007723CD"/>
    <w:rsid w:val="00772BD7"/>
    <w:rsid w:val="00773626"/>
    <w:rsid w:val="00776E32"/>
    <w:rsid w:val="0078070C"/>
    <w:rsid w:val="0078322A"/>
    <w:rsid w:val="00784541"/>
    <w:rsid w:val="00784E7B"/>
    <w:rsid w:val="00786498"/>
    <w:rsid w:val="00787FFA"/>
    <w:rsid w:val="00793D86"/>
    <w:rsid w:val="00794601"/>
    <w:rsid w:val="007962E4"/>
    <w:rsid w:val="007968CC"/>
    <w:rsid w:val="00796E7B"/>
    <w:rsid w:val="00796FB7"/>
    <w:rsid w:val="00797061"/>
    <w:rsid w:val="007A24D9"/>
    <w:rsid w:val="007A3885"/>
    <w:rsid w:val="007A48EC"/>
    <w:rsid w:val="007A5557"/>
    <w:rsid w:val="007A56EC"/>
    <w:rsid w:val="007B04A9"/>
    <w:rsid w:val="007B16AC"/>
    <w:rsid w:val="007B1AD6"/>
    <w:rsid w:val="007B2A3B"/>
    <w:rsid w:val="007B466D"/>
    <w:rsid w:val="007B5516"/>
    <w:rsid w:val="007B5B2C"/>
    <w:rsid w:val="007B72B2"/>
    <w:rsid w:val="007C3024"/>
    <w:rsid w:val="007C5B03"/>
    <w:rsid w:val="007D12CF"/>
    <w:rsid w:val="007D185A"/>
    <w:rsid w:val="007D40E0"/>
    <w:rsid w:val="007E000D"/>
    <w:rsid w:val="007E00AB"/>
    <w:rsid w:val="007E0D1E"/>
    <w:rsid w:val="007E2798"/>
    <w:rsid w:val="007E3423"/>
    <w:rsid w:val="007E3448"/>
    <w:rsid w:val="007E3EFF"/>
    <w:rsid w:val="007E4918"/>
    <w:rsid w:val="007E64A7"/>
    <w:rsid w:val="007E7988"/>
    <w:rsid w:val="007F0331"/>
    <w:rsid w:val="007F0D6A"/>
    <w:rsid w:val="007F4503"/>
    <w:rsid w:val="00801C23"/>
    <w:rsid w:val="0080246D"/>
    <w:rsid w:val="00804C15"/>
    <w:rsid w:val="00804D8C"/>
    <w:rsid w:val="0081186B"/>
    <w:rsid w:val="00811AA8"/>
    <w:rsid w:val="00811FA6"/>
    <w:rsid w:val="00816BCA"/>
    <w:rsid w:val="0082058E"/>
    <w:rsid w:val="008213FC"/>
    <w:rsid w:val="00824C15"/>
    <w:rsid w:val="008264EB"/>
    <w:rsid w:val="0082652B"/>
    <w:rsid w:val="00827699"/>
    <w:rsid w:val="00827924"/>
    <w:rsid w:val="00830756"/>
    <w:rsid w:val="00832346"/>
    <w:rsid w:val="008326FD"/>
    <w:rsid w:val="0083329B"/>
    <w:rsid w:val="00836776"/>
    <w:rsid w:val="00836B57"/>
    <w:rsid w:val="008400F3"/>
    <w:rsid w:val="00840238"/>
    <w:rsid w:val="00846FDC"/>
    <w:rsid w:val="0085017C"/>
    <w:rsid w:val="008511D8"/>
    <w:rsid w:val="00852BED"/>
    <w:rsid w:val="00854C06"/>
    <w:rsid w:val="00864BF6"/>
    <w:rsid w:val="00864FA0"/>
    <w:rsid w:val="0086749A"/>
    <w:rsid w:val="0087089E"/>
    <w:rsid w:val="0087225E"/>
    <w:rsid w:val="008732BD"/>
    <w:rsid w:val="0087406B"/>
    <w:rsid w:val="00874965"/>
    <w:rsid w:val="0087744B"/>
    <w:rsid w:val="0088482B"/>
    <w:rsid w:val="00884864"/>
    <w:rsid w:val="008854FB"/>
    <w:rsid w:val="008906FF"/>
    <w:rsid w:val="00891B03"/>
    <w:rsid w:val="008939C8"/>
    <w:rsid w:val="008A03E1"/>
    <w:rsid w:val="008A050D"/>
    <w:rsid w:val="008A1921"/>
    <w:rsid w:val="008A2AB9"/>
    <w:rsid w:val="008A3DF1"/>
    <w:rsid w:val="008A58F9"/>
    <w:rsid w:val="008A5D68"/>
    <w:rsid w:val="008B388B"/>
    <w:rsid w:val="008B4443"/>
    <w:rsid w:val="008B56CB"/>
    <w:rsid w:val="008B5C94"/>
    <w:rsid w:val="008B7E6C"/>
    <w:rsid w:val="008C01EB"/>
    <w:rsid w:val="008C3BC8"/>
    <w:rsid w:val="008C3F6A"/>
    <w:rsid w:val="008C5B4E"/>
    <w:rsid w:val="008C5C83"/>
    <w:rsid w:val="008D0843"/>
    <w:rsid w:val="008D2ABF"/>
    <w:rsid w:val="008D3454"/>
    <w:rsid w:val="008D3D7F"/>
    <w:rsid w:val="008D4AB5"/>
    <w:rsid w:val="008D7565"/>
    <w:rsid w:val="008E094F"/>
    <w:rsid w:val="008E0FD0"/>
    <w:rsid w:val="008E1533"/>
    <w:rsid w:val="008E494C"/>
    <w:rsid w:val="008E5D6A"/>
    <w:rsid w:val="008E5F64"/>
    <w:rsid w:val="008E73A8"/>
    <w:rsid w:val="008F0D8B"/>
    <w:rsid w:val="008F2B2C"/>
    <w:rsid w:val="008F38F1"/>
    <w:rsid w:val="008F6D3E"/>
    <w:rsid w:val="0090365B"/>
    <w:rsid w:val="0090417B"/>
    <w:rsid w:val="00906FF2"/>
    <w:rsid w:val="00907AC5"/>
    <w:rsid w:val="0091137C"/>
    <w:rsid w:val="00911B05"/>
    <w:rsid w:val="0091203E"/>
    <w:rsid w:val="009157B4"/>
    <w:rsid w:val="009165D8"/>
    <w:rsid w:val="00916BE6"/>
    <w:rsid w:val="00925018"/>
    <w:rsid w:val="00925903"/>
    <w:rsid w:val="009279E8"/>
    <w:rsid w:val="0093365D"/>
    <w:rsid w:val="009343E7"/>
    <w:rsid w:val="00934EAE"/>
    <w:rsid w:val="00934F53"/>
    <w:rsid w:val="00935B3E"/>
    <w:rsid w:val="00937A50"/>
    <w:rsid w:val="009424A5"/>
    <w:rsid w:val="0094312A"/>
    <w:rsid w:val="00943138"/>
    <w:rsid w:val="00945840"/>
    <w:rsid w:val="00945892"/>
    <w:rsid w:val="00946911"/>
    <w:rsid w:val="00946F89"/>
    <w:rsid w:val="0095230F"/>
    <w:rsid w:val="00952674"/>
    <w:rsid w:val="00952AC1"/>
    <w:rsid w:val="00955476"/>
    <w:rsid w:val="00955CC9"/>
    <w:rsid w:val="00963DDB"/>
    <w:rsid w:val="00964277"/>
    <w:rsid w:val="009653C8"/>
    <w:rsid w:val="0097006D"/>
    <w:rsid w:val="009700B6"/>
    <w:rsid w:val="00973C4F"/>
    <w:rsid w:val="00976875"/>
    <w:rsid w:val="0097786C"/>
    <w:rsid w:val="00977D26"/>
    <w:rsid w:val="009826A3"/>
    <w:rsid w:val="009876CF"/>
    <w:rsid w:val="009901AD"/>
    <w:rsid w:val="009915CE"/>
    <w:rsid w:val="009921D2"/>
    <w:rsid w:val="00992EA3"/>
    <w:rsid w:val="0099366C"/>
    <w:rsid w:val="00994127"/>
    <w:rsid w:val="00996F27"/>
    <w:rsid w:val="009A007B"/>
    <w:rsid w:val="009A075D"/>
    <w:rsid w:val="009A0C3B"/>
    <w:rsid w:val="009A263C"/>
    <w:rsid w:val="009A2833"/>
    <w:rsid w:val="009A3F7C"/>
    <w:rsid w:val="009A4068"/>
    <w:rsid w:val="009A499B"/>
    <w:rsid w:val="009A577D"/>
    <w:rsid w:val="009A756F"/>
    <w:rsid w:val="009B0389"/>
    <w:rsid w:val="009B053D"/>
    <w:rsid w:val="009B087A"/>
    <w:rsid w:val="009B23CC"/>
    <w:rsid w:val="009B64E3"/>
    <w:rsid w:val="009C1815"/>
    <w:rsid w:val="009C3166"/>
    <w:rsid w:val="009C478A"/>
    <w:rsid w:val="009C7F20"/>
    <w:rsid w:val="009D14AA"/>
    <w:rsid w:val="009D61D0"/>
    <w:rsid w:val="009D6E2E"/>
    <w:rsid w:val="009D7486"/>
    <w:rsid w:val="009E1F38"/>
    <w:rsid w:val="009E2E8C"/>
    <w:rsid w:val="009E4E3D"/>
    <w:rsid w:val="009E565A"/>
    <w:rsid w:val="009E6B78"/>
    <w:rsid w:val="009E6F94"/>
    <w:rsid w:val="009F1CB4"/>
    <w:rsid w:val="009F2E87"/>
    <w:rsid w:val="009F2FF0"/>
    <w:rsid w:val="009F3195"/>
    <w:rsid w:val="009F5557"/>
    <w:rsid w:val="00A00A19"/>
    <w:rsid w:val="00A00C3D"/>
    <w:rsid w:val="00A0340D"/>
    <w:rsid w:val="00A03882"/>
    <w:rsid w:val="00A053A0"/>
    <w:rsid w:val="00A0554C"/>
    <w:rsid w:val="00A06670"/>
    <w:rsid w:val="00A1023C"/>
    <w:rsid w:val="00A1116D"/>
    <w:rsid w:val="00A11855"/>
    <w:rsid w:val="00A12349"/>
    <w:rsid w:val="00A12FE0"/>
    <w:rsid w:val="00A14F17"/>
    <w:rsid w:val="00A15082"/>
    <w:rsid w:val="00A15D6D"/>
    <w:rsid w:val="00A16862"/>
    <w:rsid w:val="00A17398"/>
    <w:rsid w:val="00A17E6E"/>
    <w:rsid w:val="00A203E9"/>
    <w:rsid w:val="00A212BD"/>
    <w:rsid w:val="00A25F89"/>
    <w:rsid w:val="00A30BA8"/>
    <w:rsid w:val="00A31675"/>
    <w:rsid w:val="00A340D8"/>
    <w:rsid w:val="00A34B91"/>
    <w:rsid w:val="00A34EBE"/>
    <w:rsid w:val="00A36E60"/>
    <w:rsid w:val="00A4199A"/>
    <w:rsid w:val="00A41B27"/>
    <w:rsid w:val="00A4512D"/>
    <w:rsid w:val="00A46FDC"/>
    <w:rsid w:val="00A512F1"/>
    <w:rsid w:val="00A514D9"/>
    <w:rsid w:val="00A52916"/>
    <w:rsid w:val="00A53564"/>
    <w:rsid w:val="00A54629"/>
    <w:rsid w:val="00A611BB"/>
    <w:rsid w:val="00A62017"/>
    <w:rsid w:val="00A62A0A"/>
    <w:rsid w:val="00A62A15"/>
    <w:rsid w:val="00A65CB4"/>
    <w:rsid w:val="00A665B3"/>
    <w:rsid w:val="00A66969"/>
    <w:rsid w:val="00A67B4E"/>
    <w:rsid w:val="00A705AF"/>
    <w:rsid w:val="00A70999"/>
    <w:rsid w:val="00A70F00"/>
    <w:rsid w:val="00A753A4"/>
    <w:rsid w:val="00A75B58"/>
    <w:rsid w:val="00A76B2B"/>
    <w:rsid w:val="00A77349"/>
    <w:rsid w:val="00A8050E"/>
    <w:rsid w:val="00A808BC"/>
    <w:rsid w:val="00A80B53"/>
    <w:rsid w:val="00A80D6D"/>
    <w:rsid w:val="00A81CB0"/>
    <w:rsid w:val="00A8349D"/>
    <w:rsid w:val="00A83664"/>
    <w:rsid w:val="00A83839"/>
    <w:rsid w:val="00A861A8"/>
    <w:rsid w:val="00A86BD4"/>
    <w:rsid w:val="00A931E2"/>
    <w:rsid w:val="00A93A18"/>
    <w:rsid w:val="00A95661"/>
    <w:rsid w:val="00A964DB"/>
    <w:rsid w:val="00A96946"/>
    <w:rsid w:val="00AA14E8"/>
    <w:rsid w:val="00AA19E2"/>
    <w:rsid w:val="00AA3B61"/>
    <w:rsid w:val="00AA5B8A"/>
    <w:rsid w:val="00AA6DC2"/>
    <w:rsid w:val="00AA7251"/>
    <w:rsid w:val="00AA7AF9"/>
    <w:rsid w:val="00AA7B58"/>
    <w:rsid w:val="00AB1978"/>
    <w:rsid w:val="00AB2329"/>
    <w:rsid w:val="00AB39A2"/>
    <w:rsid w:val="00AB3C05"/>
    <w:rsid w:val="00AB40AB"/>
    <w:rsid w:val="00AB694C"/>
    <w:rsid w:val="00AB6ED9"/>
    <w:rsid w:val="00AB7E9C"/>
    <w:rsid w:val="00AC22B7"/>
    <w:rsid w:val="00AC2DD2"/>
    <w:rsid w:val="00AC659C"/>
    <w:rsid w:val="00AD21D5"/>
    <w:rsid w:val="00AD52A0"/>
    <w:rsid w:val="00AE34B9"/>
    <w:rsid w:val="00AE409C"/>
    <w:rsid w:val="00AE4BCF"/>
    <w:rsid w:val="00AF29BE"/>
    <w:rsid w:val="00AF6154"/>
    <w:rsid w:val="00AF6717"/>
    <w:rsid w:val="00B00BAB"/>
    <w:rsid w:val="00B03313"/>
    <w:rsid w:val="00B035E1"/>
    <w:rsid w:val="00B05C5E"/>
    <w:rsid w:val="00B10CAC"/>
    <w:rsid w:val="00B1440A"/>
    <w:rsid w:val="00B203D6"/>
    <w:rsid w:val="00B2049E"/>
    <w:rsid w:val="00B222C4"/>
    <w:rsid w:val="00B24DF4"/>
    <w:rsid w:val="00B251C6"/>
    <w:rsid w:val="00B25B9A"/>
    <w:rsid w:val="00B2665E"/>
    <w:rsid w:val="00B2769E"/>
    <w:rsid w:val="00B27929"/>
    <w:rsid w:val="00B308AD"/>
    <w:rsid w:val="00B328AF"/>
    <w:rsid w:val="00B329FD"/>
    <w:rsid w:val="00B32C83"/>
    <w:rsid w:val="00B32DD1"/>
    <w:rsid w:val="00B3720C"/>
    <w:rsid w:val="00B37282"/>
    <w:rsid w:val="00B4090A"/>
    <w:rsid w:val="00B41409"/>
    <w:rsid w:val="00B42851"/>
    <w:rsid w:val="00B44AAB"/>
    <w:rsid w:val="00B47076"/>
    <w:rsid w:val="00B505B2"/>
    <w:rsid w:val="00B56B37"/>
    <w:rsid w:val="00B5727D"/>
    <w:rsid w:val="00B611AD"/>
    <w:rsid w:val="00B66C01"/>
    <w:rsid w:val="00B70187"/>
    <w:rsid w:val="00B70911"/>
    <w:rsid w:val="00B73281"/>
    <w:rsid w:val="00B7407E"/>
    <w:rsid w:val="00B76EF4"/>
    <w:rsid w:val="00B84058"/>
    <w:rsid w:val="00B84FB9"/>
    <w:rsid w:val="00B867F8"/>
    <w:rsid w:val="00B87BB5"/>
    <w:rsid w:val="00B90137"/>
    <w:rsid w:val="00B91D12"/>
    <w:rsid w:val="00B94A26"/>
    <w:rsid w:val="00B9561F"/>
    <w:rsid w:val="00B95A67"/>
    <w:rsid w:val="00B9663B"/>
    <w:rsid w:val="00BA1468"/>
    <w:rsid w:val="00BA1A0E"/>
    <w:rsid w:val="00BA4A6A"/>
    <w:rsid w:val="00BA4AEE"/>
    <w:rsid w:val="00BA680F"/>
    <w:rsid w:val="00BB0CB3"/>
    <w:rsid w:val="00BB1D40"/>
    <w:rsid w:val="00BB4D18"/>
    <w:rsid w:val="00BB564F"/>
    <w:rsid w:val="00BC07E4"/>
    <w:rsid w:val="00BC21B3"/>
    <w:rsid w:val="00BC766E"/>
    <w:rsid w:val="00BC7963"/>
    <w:rsid w:val="00BD23A9"/>
    <w:rsid w:val="00BD2821"/>
    <w:rsid w:val="00BD2A06"/>
    <w:rsid w:val="00BD495D"/>
    <w:rsid w:val="00BE1DB3"/>
    <w:rsid w:val="00BE3A66"/>
    <w:rsid w:val="00BF022E"/>
    <w:rsid w:val="00BF0969"/>
    <w:rsid w:val="00C03B69"/>
    <w:rsid w:val="00C054B1"/>
    <w:rsid w:val="00C06314"/>
    <w:rsid w:val="00C0646A"/>
    <w:rsid w:val="00C10CEB"/>
    <w:rsid w:val="00C11CE4"/>
    <w:rsid w:val="00C13FFA"/>
    <w:rsid w:val="00C15321"/>
    <w:rsid w:val="00C23604"/>
    <w:rsid w:val="00C236E1"/>
    <w:rsid w:val="00C23E9E"/>
    <w:rsid w:val="00C2512C"/>
    <w:rsid w:val="00C258C0"/>
    <w:rsid w:val="00C27987"/>
    <w:rsid w:val="00C317A2"/>
    <w:rsid w:val="00C31839"/>
    <w:rsid w:val="00C3354A"/>
    <w:rsid w:val="00C33A13"/>
    <w:rsid w:val="00C34308"/>
    <w:rsid w:val="00C353AB"/>
    <w:rsid w:val="00C3750E"/>
    <w:rsid w:val="00C37F69"/>
    <w:rsid w:val="00C436EE"/>
    <w:rsid w:val="00C4379A"/>
    <w:rsid w:val="00C450CE"/>
    <w:rsid w:val="00C46DEB"/>
    <w:rsid w:val="00C47095"/>
    <w:rsid w:val="00C471F0"/>
    <w:rsid w:val="00C5115C"/>
    <w:rsid w:val="00C51BE7"/>
    <w:rsid w:val="00C54710"/>
    <w:rsid w:val="00C62D08"/>
    <w:rsid w:val="00C64A5B"/>
    <w:rsid w:val="00C6666A"/>
    <w:rsid w:val="00C66855"/>
    <w:rsid w:val="00C70680"/>
    <w:rsid w:val="00C7244F"/>
    <w:rsid w:val="00C73BD6"/>
    <w:rsid w:val="00C73C23"/>
    <w:rsid w:val="00C74C5E"/>
    <w:rsid w:val="00C75B42"/>
    <w:rsid w:val="00C761BC"/>
    <w:rsid w:val="00C8075F"/>
    <w:rsid w:val="00C82109"/>
    <w:rsid w:val="00C822FC"/>
    <w:rsid w:val="00C835BB"/>
    <w:rsid w:val="00C869C2"/>
    <w:rsid w:val="00C877C5"/>
    <w:rsid w:val="00C911AD"/>
    <w:rsid w:val="00C92126"/>
    <w:rsid w:val="00C952CB"/>
    <w:rsid w:val="00CA30D7"/>
    <w:rsid w:val="00CA385A"/>
    <w:rsid w:val="00CA3D4D"/>
    <w:rsid w:val="00CA3FC2"/>
    <w:rsid w:val="00CA440C"/>
    <w:rsid w:val="00CA705D"/>
    <w:rsid w:val="00CB0684"/>
    <w:rsid w:val="00CB1DD8"/>
    <w:rsid w:val="00CB5999"/>
    <w:rsid w:val="00CB5B1A"/>
    <w:rsid w:val="00CB733F"/>
    <w:rsid w:val="00CB7C49"/>
    <w:rsid w:val="00CC607C"/>
    <w:rsid w:val="00CC697B"/>
    <w:rsid w:val="00CC6DF0"/>
    <w:rsid w:val="00CD04FE"/>
    <w:rsid w:val="00CD23C4"/>
    <w:rsid w:val="00CD2CB7"/>
    <w:rsid w:val="00CD4F3E"/>
    <w:rsid w:val="00CD66E2"/>
    <w:rsid w:val="00CE28A0"/>
    <w:rsid w:val="00CE389F"/>
    <w:rsid w:val="00CF24D3"/>
    <w:rsid w:val="00CF43F6"/>
    <w:rsid w:val="00CF4971"/>
    <w:rsid w:val="00CF4EB2"/>
    <w:rsid w:val="00CF5835"/>
    <w:rsid w:val="00CF6A3A"/>
    <w:rsid w:val="00CF7255"/>
    <w:rsid w:val="00D02312"/>
    <w:rsid w:val="00D109E4"/>
    <w:rsid w:val="00D14368"/>
    <w:rsid w:val="00D14A44"/>
    <w:rsid w:val="00D14DB6"/>
    <w:rsid w:val="00D17DBF"/>
    <w:rsid w:val="00D20112"/>
    <w:rsid w:val="00D2270F"/>
    <w:rsid w:val="00D22EB9"/>
    <w:rsid w:val="00D2329A"/>
    <w:rsid w:val="00D23F71"/>
    <w:rsid w:val="00D24922"/>
    <w:rsid w:val="00D24B0D"/>
    <w:rsid w:val="00D2674B"/>
    <w:rsid w:val="00D27170"/>
    <w:rsid w:val="00D27451"/>
    <w:rsid w:val="00D2773F"/>
    <w:rsid w:val="00D27B4F"/>
    <w:rsid w:val="00D30C40"/>
    <w:rsid w:val="00D336EF"/>
    <w:rsid w:val="00D34572"/>
    <w:rsid w:val="00D356CA"/>
    <w:rsid w:val="00D35807"/>
    <w:rsid w:val="00D35C3F"/>
    <w:rsid w:val="00D408D3"/>
    <w:rsid w:val="00D4183E"/>
    <w:rsid w:val="00D41BFC"/>
    <w:rsid w:val="00D420C9"/>
    <w:rsid w:val="00D42B9A"/>
    <w:rsid w:val="00D4301F"/>
    <w:rsid w:val="00D43039"/>
    <w:rsid w:val="00D469E4"/>
    <w:rsid w:val="00D513E1"/>
    <w:rsid w:val="00D54679"/>
    <w:rsid w:val="00D57C9E"/>
    <w:rsid w:val="00D57DE6"/>
    <w:rsid w:val="00D605BD"/>
    <w:rsid w:val="00D63EF6"/>
    <w:rsid w:val="00D6551E"/>
    <w:rsid w:val="00D663A4"/>
    <w:rsid w:val="00D73FE2"/>
    <w:rsid w:val="00D74213"/>
    <w:rsid w:val="00D7465B"/>
    <w:rsid w:val="00D75DE3"/>
    <w:rsid w:val="00D7781F"/>
    <w:rsid w:val="00D80337"/>
    <w:rsid w:val="00D809FE"/>
    <w:rsid w:val="00D81FB9"/>
    <w:rsid w:val="00D82C1F"/>
    <w:rsid w:val="00D83677"/>
    <w:rsid w:val="00D86562"/>
    <w:rsid w:val="00D872F7"/>
    <w:rsid w:val="00D87936"/>
    <w:rsid w:val="00D9305F"/>
    <w:rsid w:val="00D937A9"/>
    <w:rsid w:val="00D96327"/>
    <w:rsid w:val="00DA0782"/>
    <w:rsid w:val="00DA4E76"/>
    <w:rsid w:val="00DA5155"/>
    <w:rsid w:val="00DA6F2F"/>
    <w:rsid w:val="00DB50A2"/>
    <w:rsid w:val="00DB5911"/>
    <w:rsid w:val="00DB6A11"/>
    <w:rsid w:val="00DC09F9"/>
    <w:rsid w:val="00DC0D24"/>
    <w:rsid w:val="00DC0F59"/>
    <w:rsid w:val="00DC117A"/>
    <w:rsid w:val="00DC3010"/>
    <w:rsid w:val="00DC47AF"/>
    <w:rsid w:val="00DC5887"/>
    <w:rsid w:val="00DC5EC5"/>
    <w:rsid w:val="00DC75D5"/>
    <w:rsid w:val="00DD0809"/>
    <w:rsid w:val="00DE3FB6"/>
    <w:rsid w:val="00DE4DA6"/>
    <w:rsid w:val="00DF1D32"/>
    <w:rsid w:val="00DF3B64"/>
    <w:rsid w:val="00DF3E47"/>
    <w:rsid w:val="00DF67D3"/>
    <w:rsid w:val="00E005F8"/>
    <w:rsid w:val="00E0117C"/>
    <w:rsid w:val="00E044EE"/>
    <w:rsid w:val="00E048E7"/>
    <w:rsid w:val="00E0549A"/>
    <w:rsid w:val="00E07076"/>
    <w:rsid w:val="00E12FE7"/>
    <w:rsid w:val="00E13C5C"/>
    <w:rsid w:val="00E15A58"/>
    <w:rsid w:val="00E16336"/>
    <w:rsid w:val="00E213DE"/>
    <w:rsid w:val="00E21E79"/>
    <w:rsid w:val="00E236C6"/>
    <w:rsid w:val="00E24BF5"/>
    <w:rsid w:val="00E254ED"/>
    <w:rsid w:val="00E33952"/>
    <w:rsid w:val="00E33E80"/>
    <w:rsid w:val="00E34883"/>
    <w:rsid w:val="00E35563"/>
    <w:rsid w:val="00E3615C"/>
    <w:rsid w:val="00E36D3D"/>
    <w:rsid w:val="00E372B3"/>
    <w:rsid w:val="00E40F95"/>
    <w:rsid w:val="00E41A6D"/>
    <w:rsid w:val="00E4240F"/>
    <w:rsid w:val="00E4312B"/>
    <w:rsid w:val="00E46D5E"/>
    <w:rsid w:val="00E5064E"/>
    <w:rsid w:val="00E5158B"/>
    <w:rsid w:val="00E60EE1"/>
    <w:rsid w:val="00E61C82"/>
    <w:rsid w:val="00E631ED"/>
    <w:rsid w:val="00E65A6B"/>
    <w:rsid w:val="00E65F56"/>
    <w:rsid w:val="00E6668C"/>
    <w:rsid w:val="00E66AE0"/>
    <w:rsid w:val="00E67677"/>
    <w:rsid w:val="00E67FC9"/>
    <w:rsid w:val="00E708F6"/>
    <w:rsid w:val="00E70A77"/>
    <w:rsid w:val="00E716B4"/>
    <w:rsid w:val="00E72519"/>
    <w:rsid w:val="00E72555"/>
    <w:rsid w:val="00E763D7"/>
    <w:rsid w:val="00E77976"/>
    <w:rsid w:val="00E8023F"/>
    <w:rsid w:val="00E80AC7"/>
    <w:rsid w:val="00E83F26"/>
    <w:rsid w:val="00E85B75"/>
    <w:rsid w:val="00E867F6"/>
    <w:rsid w:val="00E86B67"/>
    <w:rsid w:val="00E87F60"/>
    <w:rsid w:val="00E9123A"/>
    <w:rsid w:val="00E918FC"/>
    <w:rsid w:val="00E927D3"/>
    <w:rsid w:val="00E92A9A"/>
    <w:rsid w:val="00E95522"/>
    <w:rsid w:val="00EA270F"/>
    <w:rsid w:val="00EA5E02"/>
    <w:rsid w:val="00EA5FD0"/>
    <w:rsid w:val="00EA6A50"/>
    <w:rsid w:val="00EA7885"/>
    <w:rsid w:val="00EA79BA"/>
    <w:rsid w:val="00EB30D9"/>
    <w:rsid w:val="00EB67AA"/>
    <w:rsid w:val="00EB67D8"/>
    <w:rsid w:val="00EB7209"/>
    <w:rsid w:val="00EC466C"/>
    <w:rsid w:val="00EC5C34"/>
    <w:rsid w:val="00EC5F7E"/>
    <w:rsid w:val="00EC6478"/>
    <w:rsid w:val="00EC6609"/>
    <w:rsid w:val="00EC75E7"/>
    <w:rsid w:val="00ED02E9"/>
    <w:rsid w:val="00ED05C2"/>
    <w:rsid w:val="00ED1DB5"/>
    <w:rsid w:val="00ED39E8"/>
    <w:rsid w:val="00ED4254"/>
    <w:rsid w:val="00ED56BD"/>
    <w:rsid w:val="00ED63A2"/>
    <w:rsid w:val="00ED65A5"/>
    <w:rsid w:val="00ED705B"/>
    <w:rsid w:val="00ED7935"/>
    <w:rsid w:val="00EE2DA1"/>
    <w:rsid w:val="00EE356F"/>
    <w:rsid w:val="00EE397E"/>
    <w:rsid w:val="00EE4765"/>
    <w:rsid w:val="00EE70CF"/>
    <w:rsid w:val="00EF15B5"/>
    <w:rsid w:val="00EF1C95"/>
    <w:rsid w:val="00EF28F6"/>
    <w:rsid w:val="00EF3716"/>
    <w:rsid w:val="00EF5325"/>
    <w:rsid w:val="00EF5C37"/>
    <w:rsid w:val="00EF69B7"/>
    <w:rsid w:val="00F0189B"/>
    <w:rsid w:val="00F02786"/>
    <w:rsid w:val="00F04585"/>
    <w:rsid w:val="00F06C00"/>
    <w:rsid w:val="00F078B7"/>
    <w:rsid w:val="00F107A2"/>
    <w:rsid w:val="00F10A49"/>
    <w:rsid w:val="00F11333"/>
    <w:rsid w:val="00F13C6B"/>
    <w:rsid w:val="00F15EE5"/>
    <w:rsid w:val="00F21B98"/>
    <w:rsid w:val="00F21D38"/>
    <w:rsid w:val="00F238F2"/>
    <w:rsid w:val="00F23915"/>
    <w:rsid w:val="00F24E56"/>
    <w:rsid w:val="00F25261"/>
    <w:rsid w:val="00F332B3"/>
    <w:rsid w:val="00F3366D"/>
    <w:rsid w:val="00F33D3E"/>
    <w:rsid w:val="00F34D63"/>
    <w:rsid w:val="00F37634"/>
    <w:rsid w:val="00F409EF"/>
    <w:rsid w:val="00F40DF3"/>
    <w:rsid w:val="00F41888"/>
    <w:rsid w:val="00F41A73"/>
    <w:rsid w:val="00F41C35"/>
    <w:rsid w:val="00F42748"/>
    <w:rsid w:val="00F43DAD"/>
    <w:rsid w:val="00F44F1C"/>
    <w:rsid w:val="00F47508"/>
    <w:rsid w:val="00F51676"/>
    <w:rsid w:val="00F51E07"/>
    <w:rsid w:val="00F5322E"/>
    <w:rsid w:val="00F549D7"/>
    <w:rsid w:val="00F54C91"/>
    <w:rsid w:val="00F556DB"/>
    <w:rsid w:val="00F560B3"/>
    <w:rsid w:val="00F560D5"/>
    <w:rsid w:val="00F6045B"/>
    <w:rsid w:val="00F64816"/>
    <w:rsid w:val="00F667D3"/>
    <w:rsid w:val="00F670D1"/>
    <w:rsid w:val="00F70157"/>
    <w:rsid w:val="00F72811"/>
    <w:rsid w:val="00F73D95"/>
    <w:rsid w:val="00F7541A"/>
    <w:rsid w:val="00F763C3"/>
    <w:rsid w:val="00F76B60"/>
    <w:rsid w:val="00F76EE9"/>
    <w:rsid w:val="00F80283"/>
    <w:rsid w:val="00F80BFD"/>
    <w:rsid w:val="00F83148"/>
    <w:rsid w:val="00F873BF"/>
    <w:rsid w:val="00F87FA2"/>
    <w:rsid w:val="00F92112"/>
    <w:rsid w:val="00F92617"/>
    <w:rsid w:val="00F95769"/>
    <w:rsid w:val="00F95C6C"/>
    <w:rsid w:val="00FA272F"/>
    <w:rsid w:val="00FA32B1"/>
    <w:rsid w:val="00FA3AE2"/>
    <w:rsid w:val="00FA4436"/>
    <w:rsid w:val="00FA51F1"/>
    <w:rsid w:val="00FA7C47"/>
    <w:rsid w:val="00FB050D"/>
    <w:rsid w:val="00FB69ED"/>
    <w:rsid w:val="00FB6D0D"/>
    <w:rsid w:val="00FC4D65"/>
    <w:rsid w:val="00FC5F5F"/>
    <w:rsid w:val="00FC7F5D"/>
    <w:rsid w:val="00FD3ECD"/>
    <w:rsid w:val="00FD408C"/>
    <w:rsid w:val="00FD4323"/>
    <w:rsid w:val="00FE17B9"/>
    <w:rsid w:val="00FE1BD1"/>
    <w:rsid w:val="00FE5C31"/>
    <w:rsid w:val="00FE5CA3"/>
    <w:rsid w:val="00FF0D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4:docId w14:val="3CE4D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locked="0" w:semiHidden="0" w:uiPriority="0" w:unhideWhenUsed="0" w:qFormat="1"/>
    <w:lsdException w:name="heading 6" w:semiHidden="0" w:uiPriority="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footnote text" w:locked="0" w:uiPriority="99"/>
    <w:lsdException w:name="footer" w:locked="0" w:uiPriority="99"/>
    <w:lsdException w:name="caption" w:qFormat="1"/>
    <w:lsdException w:name="footnote reference" w:locked="0" w:uiPriority="0"/>
    <w:lsdException w:name="List Bullet" w:uiPriority="0" w:qFormat="1"/>
    <w:lsdException w:name="List Number" w:semiHidden="0" w:unhideWhenUsed="0"/>
    <w:lsdException w:name="List 4" w:semiHidden="0" w:unhideWhenUsed="0"/>
    <w:lsdException w:name="List 5" w:semiHidden="0" w:unhideWhenUsed="0"/>
    <w:lsdException w:name="Title" w:locked="0" w:semiHidden="0" w:uiPriority="0" w:unhideWhenUsed="0" w:qFormat="1"/>
    <w:lsdException w:name="Default Paragraph Font" w:locked="0" w:uiPriority="0"/>
    <w:lsdException w:name="Subtitle" w:semiHidden="0" w:uiPriority="0" w:unhideWhenUsed="0" w:qFormat="1"/>
    <w:lsdException w:name="Salutation" w:semiHidden="0" w:unhideWhenUsed="0"/>
    <w:lsdException w:name="Date" w:semiHidden="0" w:unhideWhenUsed="0"/>
    <w:lsdException w:name="Body Text First Indent" w:semiHidden="0" w:unhideWhenUsed="0"/>
    <w:lsdException w:name="Hyperlink" w:locked="0" w:uiPriority="99"/>
    <w:lsdException w:name="FollowedHyperlink" w:locked="0" w:uiPriority="0"/>
    <w:lsdException w:name="Strong" w:locked="0" w:semiHidden="0" w:uiPriority="0" w:unhideWhenUsed="0" w:qFormat="1"/>
    <w:lsdException w:name="Emphasis" w:locked="0" w:semiHidden="0" w:uiPriority="20" w:unhideWhenUsed="0" w:qFormat="1"/>
    <w:lsdException w:name="HTML Top of Form" w:locked="0" w:uiPriority="0"/>
    <w:lsdException w:name="HTML Bottom of Form" w:locked="0" w:uiPriority="0"/>
    <w:lsdException w:name="Normal (Web)" w:uiPriority="99"/>
    <w:lsdException w:name="HTML Acronym" w:uiPriority="99"/>
    <w:lsdException w:name="Normal Table" w:locked="0" w:uiPriority="0"/>
    <w:lsdException w:name="No List" w:locked="0"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locked="0"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locked="0" w:uiPriority="39" w:qFormat="1"/>
  </w:latentStyles>
  <w:style w:type="paragraph" w:default="1" w:styleId="Normal">
    <w:name w:val="Normal"/>
    <w:qFormat/>
    <w:rsid w:val="00D2773F"/>
    <w:pPr>
      <w:spacing w:after="200"/>
    </w:pPr>
  </w:style>
  <w:style w:type="paragraph" w:styleId="Heading1">
    <w:name w:val="heading 1"/>
    <w:basedOn w:val="Normal"/>
    <w:next w:val="Normal"/>
    <w:qFormat/>
    <w:rsid w:val="00F0189B"/>
    <w:pPr>
      <w:keepNext/>
      <w:pageBreakBefore/>
      <w:spacing w:before="240" w:after="240"/>
      <w:outlineLvl w:val="0"/>
    </w:pPr>
    <w:rPr>
      <w:rFonts w:cs="Arial"/>
      <w:b/>
      <w:bCs/>
      <w:color w:val="1178A2"/>
      <w:kern w:val="28"/>
      <w:sz w:val="40"/>
      <w:szCs w:val="32"/>
    </w:rPr>
  </w:style>
  <w:style w:type="paragraph" w:styleId="Heading2">
    <w:name w:val="heading 2"/>
    <w:basedOn w:val="Heading1"/>
    <w:next w:val="Normal"/>
    <w:link w:val="Heading2Char"/>
    <w:qFormat/>
    <w:rsid w:val="00F0189B"/>
    <w:pPr>
      <w:pageBreakBefore w:val="0"/>
      <w:numPr>
        <w:ilvl w:val="1"/>
      </w:numPr>
      <w:tabs>
        <w:tab w:val="num" w:pos="862"/>
      </w:tabs>
      <w:outlineLvl w:val="1"/>
    </w:pPr>
    <w:rPr>
      <w:bCs w:val="0"/>
      <w:iCs/>
      <w:sz w:val="32"/>
      <w:szCs w:val="28"/>
    </w:rPr>
  </w:style>
  <w:style w:type="paragraph" w:styleId="Heading3">
    <w:name w:val="heading 3"/>
    <w:basedOn w:val="Heading2"/>
    <w:next w:val="Normal"/>
    <w:qFormat/>
    <w:rsid w:val="00A15082"/>
    <w:pPr>
      <w:numPr>
        <w:ilvl w:val="2"/>
      </w:numPr>
      <w:tabs>
        <w:tab w:val="num" w:pos="862"/>
      </w:tabs>
      <w:outlineLvl w:val="2"/>
    </w:pPr>
    <w:rPr>
      <w:bCs/>
      <w:sz w:val="28"/>
      <w:szCs w:val="26"/>
    </w:rPr>
  </w:style>
  <w:style w:type="paragraph" w:styleId="Heading4">
    <w:name w:val="heading 4"/>
    <w:basedOn w:val="Normal"/>
    <w:next w:val="Normal"/>
    <w:qFormat/>
    <w:rsid w:val="00A15082"/>
    <w:pPr>
      <w:keepNext/>
      <w:numPr>
        <w:ilvl w:val="3"/>
        <w:numId w:val="20"/>
      </w:numPr>
      <w:spacing w:before="240" w:after="60"/>
      <w:outlineLvl w:val="3"/>
    </w:pPr>
    <w:rPr>
      <w:b/>
      <w:bCs/>
      <w:color w:val="404040" w:themeColor="text1" w:themeTint="BF"/>
      <w:sz w:val="26"/>
      <w:szCs w:val="26"/>
    </w:rPr>
  </w:style>
  <w:style w:type="paragraph" w:styleId="Heading5">
    <w:name w:val="heading 5"/>
    <w:basedOn w:val="Normal"/>
    <w:next w:val="Normal"/>
    <w:link w:val="Heading5Char"/>
    <w:qFormat/>
    <w:rsid w:val="00A15082"/>
    <w:pPr>
      <w:keepNext/>
      <w:numPr>
        <w:ilvl w:val="4"/>
        <w:numId w:val="20"/>
      </w:numPr>
      <w:spacing w:before="240" w:after="60"/>
      <w:outlineLvl w:val="4"/>
    </w:pPr>
    <w:rPr>
      <w:b/>
      <w:bCs/>
      <w:iCs/>
      <w:color w:val="404040" w:themeColor="text1" w:themeTint="BF"/>
      <w:sz w:val="24"/>
    </w:rPr>
  </w:style>
  <w:style w:type="paragraph" w:styleId="Heading6">
    <w:name w:val="heading 6"/>
    <w:basedOn w:val="Normal"/>
    <w:next w:val="Normal"/>
    <w:qFormat/>
    <w:locked/>
    <w:rsid w:val="00A705AF"/>
    <w:pPr>
      <w:keepNext/>
      <w:numPr>
        <w:ilvl w:val="5"/>
        <w:numId w:val="20"/>
      </w:numPr>
      <w:spacing w:before="240" w:after="60"/>
      <w:outlineLvl w:val="5"/>
    </w:pPr>
    <w:rPr>
      <w:b/>
      <w:bCs/>
      <w:i/>
    </w:rPr>
  </w:style>
  <w:style w:type="paragraph" w:styleId="Heading7">
    <w:name w:val="heading 7"/>
    <w:basedOn w:val="Normal"/>
    <w:next w:val="Normal"/>
    <w:link w:val="Heading7Char"/>
    <w:uiPriority w:val="98"/>
    <w:semiHidden/>
    <w:unhideWhenUsed/>
    <w:qFormat/>
    <w:locked/>
    <w:rsid w:val="00DE3FB6"/>
    <w:pPr>
      <w:keepNext/>
      <w:keepLines/>
      <w:numPr>
        <w:ilvl w:val="6"/>
        <w:numId w:val="20"/>
      </w:numPr>
      <w:spacing w:before="40" w:after="0"/>
      <w:outlineLvl w:val="6"/>
    </w:pPr>
    <w:rPr>
      <w:rFonts w:asciiTheme="majorHAnsi" w:eastAsiaTheme="majorEastAsia" w:hAnsiTheme="majorHAnsi" w:cstheme="majorBidi"/>
      <w:i/>
      <w:iCs/>
      <w:color w:val="083B50" w:themeColor="accent1" w:themeShade="7F"/>
    </w:rPr>
  </w:style>
  <w:style w:type="paragraph" w:styleId="Heading8">
    <w:name w:val="heading 8"/>
    <w:basedOn w:val="Normal"/>
    <w:next w:val="Normal"/>
    <w:link w:val="Heading8Char"/>
    <w:uiPriority w:val="98"/>
    <w:semiHidden/>
    <w:unhideWhenUsed/>
    <w:qFormat/>
    <w:locked/>
    <w:rsid w:val="00DE3FB6"/>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8"/>
    <w:semiHidden/>
    <w:unhideWhenUsed/>
    <w:qFormat/>
    <w:locked/>
    <w:rsid w:val="00DE3FB6"/>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8E494C"/>
    <w:pPr>
      <w:tabs>
        <w:tab w:val="left" w:pos="426"/>
        <w:tab w:val="right" w:leader="dot" w:pos="9016"/>
      </w:tabs>
      <w:spacing w:before="120" w:after="120"/>
      <w:ind w:left="426" w:hanging="426"/>
    </w:pPr>
    <w:rPr>
      <w:rFonts w:ascii="Arial Bold" w:hAnsi="Arial Bold" w:cstheme="minorHAnsi"/>
      <w:b/>
      <w:bCs/>
      <w:noProof/>
      <w:color w:val="1178A2" w:themeColor="accent1"/>
      <w:sz w:val="24"/>
      <w:szCs w:val="24"/>
    </w:rPr>
  </w:style>
  <w:style w:type="paragraph" w:styleId="Quote">
    <w:name w:val="Quote"/>
    <w:basedOn w:val="Normal"/>
    <w:next w:val="Normal"/>
    <w:link w:val="QuoteChar"/>
    <w:uiPriority w:val="29"/>
    <w:qFormat/>
    <w:rsid w:val="008F38F1"/>
    <w:pPr>
      <w:ind w:left="357"/>
    </w:pPr>
    <w:rPr>
      <w:rFonts w:cs="Arial"/>
      <w:i/>
    </w:rPr>
  </w:style>
  <w:style w:type="character" w:customStyle="1" w:styleId="QuoteChar">
    <w:name w:val="Quote Char"/>
    <w:basedOn w:val="DefaultParagraphFont"/>
    <w:link w:val="Quote"/>
    <w:uiPriority w:val="29"/>
    <w:rsid w:val="008F38F1"/>
    <w:rPr>
      <w:rFonts w:cs="Arial"/>
      <w:i/>
    </w:rPr>
  </w:style>
  <w:style w:type="paragraph" w:styleId="TOC2">
    <w:name w:val="toc 2"/>
    <w:basedOn w:val="Normal"/>
    <w:next w:val="Normal"/>
    <w:autoRedefine/>
    <w:uiPriority w:val="39"/>
    <w:qFormat/>
    <w:rsid w:val="00766545"/>
    <w:pPr>
      <w:tabs>
        <w:tab w:val="left" w:pos="1134"/>
        <w:tab w:val="right" w:leader="dot" w:pos="9016"/>
      </w:tabs>
      <w:spacing w:before="120" w:after="120"/>
      <w:ind w:left="1134" w:hanging="708"/>
    </w:pPr>
    <w:rPr>
      <w:rFonts w:ascii="Arial" w:hAnsi="Arial" w:cstheme="minorHAnsi"/>
      <w:noProof/>
      <w:szCs w:val="20"/>
    </w:rPr>
  </w:style>
  <w:style w:type="paragraph" w:styleId="TOC3">
    <w:name w:val="toc 3"/>
    <w:basedOn w:val="Normal"/>
    <w:next w:val="Normal"/>
    <w:autoRedefine/>
    <w:uiPriority w:val="39"/>
    <w:qFormat/>
    <w:rsid w:val="00082357"/>
    <w:pPr>
      <w:tabs>
        <w:tab w:val="left" w:pos="1320"/>
        <w:tab w:val="left" w:pos="8902"/>
      </w:tabs>
      <w:spacing w:after="0"/>
      <w:ind w:left="221"/>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uiPriority w:val="99"/>
    <w:rsid w:val="00C436EE"/>
    <w:pPr>
      <w:spacing w:after="0"/>
    </w:pPr>
    <w:rPr>
      <w:sz w:val="20"/>
      <w:szCs w:val="20"/>
    </w:rPr>
  </w:style>
  <w:style w:type="character" w:customStyle="1" w:styleId="FootnoteTextChar">
    <w:name w:val="Footnote Text Char"/>
    <w:basedOn w:val="DefaultParagraphFont"/>
    <w:link w:val="FootnoteText"/>
    <w:uiPriority w:val="99"/>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766545"/>
    <w:rPr>
      <w:rFonts w:ascii="Arial" w:hAnsi="Arial"/>
      <w:b w:val="0"/>
      <w:i w:val="0"/>
      <w:color w:val="auto"/>
      <w:sz w:val="22"/>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paragraph" w:styleId="ListParagraph">
    <w:name w:val="List Paragraph"/>
    <w:aliases w:val="List Paragraph1,Recommendation,NFP GP Bulleted List,Bullet table"/>
    <w:basedOn w:val="Normal"/>
    <w:link w:val="ListParagraphChar"/>
    <w:uiPriority w:val="34"/>
    <w:qFormat/>
    <w:locked/>
    <w:rsid w:val="005051AF"/>
    <w:pPr>
      <w:keepLines/>
      <w:spacing w:before="120" w:after="120"/>
      <w:ind w:left="720"/>
      <w:contextualSpacing/>
    </w:pPr>
    <w:rPr>
      <w:rFonts w:ascii="Arial" w:eastAsia="Calibri" w:hAnsi="Arial"/>
      <w:lang w:eastAsia="en-US"/>
    </w:rPr>
  </w:style>
  <w:style w:type="character" w:customStyle="1" w:styleId="ListParagraphChar">
    <w:name w:val="List Paragraph Char"/>
    <w:aliases w:val="List Paragraph1 Char,Recommendation Char,NFP GP Bulleted List Char,Bullet table Char"/>
    <w:basedOn w:val="DefaultParagraphFont"/>
    <w:link w:val="ListParagraph"/>
    <w:uiPriority w:val="34"/>
    <w:rsid w:val="005051AF"/>
    <w:rPr>
      <w:rFonts w:ascii="Arial" w:eastAsia="Calibri" w:hAnsi="Arial"/>
      <w:lang w:eastAsia="en-US"/>
    </w:rPr>
  </w:style>
  <w:style w:type="paragraph" w:styleId="ListBullet">
    <w:name w:val="List Bullet"/>
    <w:basedOn w:val="Normal"/>
    <w:unhideWhenUsed/>
    <w:qFormat/>
    <w:locked/>
    <w:rsid w:val="0011440A"/>
    <w:pPr>
      <w:numPr>
        <w:numId w:val="7"/>
      </w:numPr>
      <w:spacing w:before="120" w:after="120"/>
      <w:contextualSpacing/>
    </w:pPr>
  </w:style>
  <w:style w:type="paragraph" w:styleId="ListBullet2">
    <w:name w:val="List Bullet 2"/>
    <w:basedOn w:val="Normal"/>
    <w:uiPriority w:val="98"/>
    <w:unhideWhenUsed/>
    <w:locked/>
    <w:rsid w:val="0011440A"/>
    <w:pPr>
      <w:numPr>
        <w:numId w:val="8"/>
      </w:numPr>
      <w:spacing w:before="120" w:after="120"/>
      <w:contextualSpacing/>
    </w:pPr>
  </w:style>
  <w:style w:type="paragraph" w:styleId="BodyText">
    <w:name w:val="Body Text"/>
    <w:basedOn w:val="Normal"/>
    <w:link w:val="BodyTextChar"/>
    <w:uiPriority w:val="98"/>
    <w:unhideWhenUsed/>
    <w:locked/>
    <w:rsid w:val="00955476"/>
    <w:pPr>
      <w:spacing w:before="120" w:after="120"/>
    </w:pPr>
  </w:style>
  <w:style w:type="character" w:customStyle="1" w:styleId="BodyTextChar">
    <w:name w:val="Body Text Char"/>
    <w:basedOn w:val="DefaultParagraphFont"/>
    <w:link w:val="BodyText"/>
    <w:uiPriority w:val="98"/>
    <w:rsid w:val="00955476"/>
  </w:style>
  <w:style w:type="paragraph" w:customStyle="1" w:styleId="Default">
    <w:name w:val="Default"/>
    <w:rsid w:val="002C5567"/>
    <w:pPr>
      <w:autoSpaceDE w:val="0"/>
      <w:autoSpaceDN w:val="0"/>
      <w:adjustRightInd w:val="0"/>
      <w:spacing w:after="0"/>
    </w:pPr>
    <w:rPr>
      <w:rFonts w:ascii="Open Sans" w:hAnsi="Open Sans" w:cs="Open Sans"/>
      <w:color w:val="000000"/>
      <w:sz w:val="24"/>
      <w:szCs w:val="24"/>
    </w:rPr>
  </w:style>
  <w:style w:type="paragraph" w:styleId="NormalWeb">
    <w:name w:val="Normal (Web)"/>
    <w:basedOn w:val="Normal"/>
    <w:uiPriority w:val="99"/>
    <w:unhideWhenUsed/>
    <w:locked/>
    <w:rsid w:val="000B7207"/>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8"/>
    <w:semiHidden/>
    <w:unhideWhenUsed/>
    <w:locked/>
    <w:rsid w:val="00D7781F"/>
    <w:rPr>
      <w:sz w:val="16"/>
      <w:szCs w:val="16"/>
    </w:rPr>
  </w:style>
  <w:style w:type="paragraph" w:styleId="CommentText">
    <w:name w:val="annotation text"/>
    <w:basedOn w:val="Normal"/>
    <w:link w:val="CommentTextChar"/>
    <w:uiPriority w:val="98"/>
    <w:semiHidden/>
    <w:unhideWhenUsed/>
    <w:locked/>
    <w:rsid w:val="00D7781F"/>
    <w:rPr>
      <w:sz w:val="20"/>
      <w:szCs w:val="20"/>
    </w:rPr>
  </w:style>
  <w:style w:type="character" w:customStyle="1" w:styleId="CommentTextChar">
    <w:name w:val="Comment Text Char"/>
    <w:basedOn w:val="DefaultParagraphFont"/>
    <w:link w:val="CommentText"/>
    <w:uiPriority w:val="98"/>
    <w:semiHidden/>
    <w:rsid w:val="00D7781F"/>
    <w:rPr>
      <w:sz w:val="20"/>
      <w:szCs w:val="20"/>
    </w:rPr>
  </w:style>
  <w:style w:type="paragraph" w:styleId="CommentSubject">
    <w:name w:val="annotation subject"/>
    <w:basedOn w:val="CommentText"/>
    <w:next w:val="CommentText"/>
    <w:link w:val="CommentSubjectChar"/>
    <w:uiPriority w:val="98"/>
    <w:semiHidden/>
    <w:unhideWhenUsed/>
    <w:locked/>
    <w:rsid w:val="00D7781F"/>
    <w:rPr>
      <w:b/>
      <w:bCs/>
    </w:rPr>
  </w:style>
  <w:style w:type="character" w:customStyle="1" w:styleId="CommentSubjectChar">
    <w:name w:val="Comment Subject Char"/>
    <w:basedOn w:val="CommentTextChar"/>
    <w:link w:val="CommentSubject"/>
    <w:uiPriority w:val="98"/>
    <w:semiHidden/>
    <w:rsid w:val="00D7781F"/>
    <w:rPr>
      <w:b/>
      <w:bCs/>
      <w:sz w:val="20"/>
      <w:szCs w:val="20"/>
    </w:rPr>
  </w:style>
  <w:style w:type="paragraph" w:customStyle="1" w:styleId="Pa2">
    <w:name w:val="Pa2"/>
    <w:basedOn w:val="Default"/>
    <w:next w:val="Default"/>
    <w:uiPriority w:val="99"/>
    <w:rsid w:val="003E6F92"/>
    <w:pPr>
      <w:spacing w:line="201" w:lineRule="atLeast"/>
    </w:pPr>
    <w:rPr>
      <w:rFonts w:ascii="Frutiger 45 Light" w:hAnsi="Frutiger 45 Light" w:cs="Times New Roman"/>
      <w:color w:val="auto"/>
    </w:rPr>
  </w:style>
  <w:style w:type="character" w:customStyle="1" w:styleId="Heading7Char">
    <w:name w:val="Heading 7 Char"/>
    <w:basedOn w:val="DefaultParagraphFont"/>
    <w:link w:val="Heading7"/>
    <w:uiPriority w:val="98"/>
    <w:semiHidden/>
    <w:rsid w:val="00DE3FB6"/>
    <w:rPr>
      <w:rFonts w:asciiTheme="majorHAnsi" w:eastAsiaTheme="majorEastAsia" w:hAnsiTheme="majorHAnsi" w:cstheme="majorBidi"/>
      <w:i/>
      <w:iCs/>
      <w:color w:val="083B50" w:themeColor="accent1" w:themeShade="7F"/>
    </w:rPr>
  </w:style>
  <w:style w:type="character" w:customStyle="1" w:styleId="Heading8Char">
    <w:name w:val="Heading 8 Char"/>
    <w:basedOn w:val="DefaultParagraphFont"/>
    <w:link w:val="Heading8"/>
    <w:uiPriority w:val="98"/>
    <w:semiHidden/>
    <w:rsid w:val="00DE3FB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8"/>
    <w:semiHidden/>
    <w:rsid w:val="00DE3FB6"/>
    <w:rPr>
      <w:rFonts w:asciiTheme="majorHAnsi" w:eastAsiaTheme="majorEastAsia" w:hAnsiTheme="majorHAnsi" w:cstheme="majorBidi"/>
      <w:i/>
      <w:iCs/>
      <w:color w:val="272727" w:themeColor="text1" w:themeTint="D8"/>
      <w:sz w:val="21"/>
      <w:szCs w:val="21"/>
    </w:rPr>
  </w:style>
  <w:style w:type="paragraph" w:customStyle="1" w:styleId="HeadingLevel1NoNumber">
    <w:name w:val="HeadingLevel1NoNumber"/>
    <w:basedOn w:val="Heading1"/>
    <w:qFormat/>
    <w:rsid w:val="00D2773F"/>
  </w:style>
  <w:style w:type="paragraph" w:customStyle="1" w:styleId="HeadingLevel2NoNumber">
    <w:name w:val="HeadingLevel2NoNumber"/>
    <w:basedOn w:val="Heading2"/>
    <w:qFormat/>
    <w:rsid w:val="00DE3FB6"/>
  </w:style>
  <w:style w:type="paragraph" w:customStyle="1" w:styleId="HeadingLevel3NoNumber">
    <w:name w:val="HeadingLevel3NoNumber"/>
    <w:basedOn w:val="Heading3"/>
    <w:qFormat/>
    <w:rsid w:val="00D2773F"/>
    <w:pPr>
      <w:numPr>
        <w:ilvl w:val="0"/>
      </w:numPr>
      <w:tabs>
        <w:tab w:val="num" w:pos="862"/>
      </w:tabs>
    </w:pPr>
  </w:style>
  <w:style w:type="paragraph" w:customStyle="1" w:styleId="Appendixheading">
    <w:name w:val="Appendix heading"/>
    <w:basedOn w:val="Heading1"/>
    <w:next w:val="Normal"/>
    <w:uiPriority w:val="2"/>
    <w:qFormat/>
    <w:rsid w:val="00B10CAC"/>
    <w:pPr>
      <w:numPr>
        <w:numId w:val="21"/>
      </w:numPr>
      <w:tabs>
        <w:tab w:val="num" w:pos="360"/>
      </w:tabs>
    </w:pPr>
  </w:style>
  <w:style w:type="paragraph" w:customStyle="1" w:styleId="AppendixHeading2">
    <w:name w:val="Appendix Heading 2"/>
    <w:basedOn w:val="Heading2"/>
    <w:next w:val="BodyText"/>
    <w:rsid w:val="00D2773F"/>
    <w:pPr>
      <w:numPr>
        <w:numId w:val="21"/>
      </w:numPr>
      <w:tabs>
        <w:tab w:val="left" w:pos="964"/>
      </w:tabs>
      <w:spacing w:after="120"/>
      <w:jc w:val="both"/>
      <w:outlineLvl w:val="9"/>
    </w:pPr>
    <w:rPr>
      <w:rFonts w:ascii="Arial Bold" w:hAnsi="Arial Bold" w:cs="Times New Roman"/>
      <w:iCs w:val="0"/>
      <w:color w:val="0063A6"/>
      <w:kern w:val="0"/>
      <w:sz w:val="28"/>
      <w:szCs w:val="20"/>
      <w:lang w:eastAsia="en-US"/>
    </w:rPr>
  </w:style>
  <w:style w:type="paragraph" w:customStyle="1" w:styleId="AppendixHeading3">
    <w:name w:val="Appendix Heading 3"/>
    <w:basedOn w:val="Heading3"/>
    <w:next w:val="BodyText"/>
    <w:rsid w:val="00DE3FB6"/>
    <w:pPr>
      <w:numPr>
        <w:numId w:val="16"/>
      </w:numPr>
      <w:tabs>
        <w:tab w:val="clear" w:pos="1004"/>
        <w:tab w:val="left" w:pos="357"/>
        <w:tab w:val="num" w:pos="720"/>
      </w:tabs>
      <w:spacing w:after="120"/>
      <w:ind w:left="720"/>
      <w:jc w:val="both"/>
      <w:outlineLvl w:val="9"/>
    </w:pPr>
    <w:rPr>
      <w:rFonts w:ascii="Arial" w:hAnsi="Arial" w:cs="Times New Roman"/>
      <w:bCs w:val="0"/>
      <w:iCs w:val="0"/>
      <w:color w:val="0063A6"/>
      <w:kern w:val="0"/>
      <w:sz w:val="24"/>
      <w:szCs w:val="20"/>
      <w:lang w:eastAsia="en-US"/>
    </w:rPr>
  </w:style>
  <w:style w:type="paragraph" w:customStyle="1" w:styleId="AppendixHeading4">
    <w:name w:val="Appendix Heading 4"/>
    <w:basedOn w:val="Heading4"/>
    <w:next w:val="BodyText"/>
    <w:rsid w:val="00DE3FB6"/>
    <w:pPr>
      <w:numPr>
        <w:numId w:val="16"/>
      </w:numPr>
      <w:tabs>
        <w:tab w:val="left" w:pos="964"/>
      </w:tabs>
      <w:spacing w:after="120"/>
      <w:jc w:val="both"/>
      <w:outlineLvl w:val="9"/>
    </w:pPr>
    <w:rPr>
      <w:rFonts w:ascii="Arial" w:hAnsi="Arial"/>
      <w:bCs w:val="0"/>
      <w:color w:val="0063A6"/>
      <w:sz w:val="20"/>
      <w:szCs w:val="20"/>
      <w:lang w:eastAsia="en-US"/>
    </w:rPr>
  </w:style>
  <w:style w:type="paragraph" w:customStyle="1" w:styleId="Bodytextkeepwithnext">
    <w:name w:val="Bodytextkeepwithnext"/>
    <w:basedOn w:val="BodyText"/>
    <w:qFormat/>
    <w:rsid w:val="00955476"/>
    <w:pPr>
      <w:keepNext/>
    </w:pPr>
  </w:style>
  <w:style w:type="paragraph" w:styleId="Caption">
    <w:name w:val="caption"/>
    <w:basedOn w:val="Normal"/>
    <w:next w:val="Normal"/>
    <w:uiPriority w:val="98"/>
    <w:unhideWhenUsed/>
    <w:qFormat/>
    <w:locked/>
    <w:rsid w:val="008F38F1"/>
    <w:pPr>
      <w:keepNext/>
      <w:spacing w:before="120" w:after="120"/>
    </w:pPr>
    <w:rPr>
      <w:rFonts w:ascii="Arial" w:eastAsia="Calibri" w:hAnsi="Arial"/>
      <w:i/>
      <w:iCs/>
      <w:sz w:val="20"/>
      <w:szCs w:val="18"/>
      <w:lang w:eastAsia="en-US"/>
    </w:rPr>
  </w:style>
  <w:style w:type="paragraph" w:styleId="BodyTextIndent">
    <w:name w:val="Body Text Indent"/>
    <w:basedOn w:val="Normal"/>
    <w:link w:val="BodyTextIndentChar"/>
    <w:uiPriority w:val="98"/>
    <w:unhideWhenUsed/>
    <w:locked/>
    <w:rsid w:val="00DE3FB6"/>
    <w:pPr>
      <w:spacing w:after="120"/>
      <w:ind w:left="357"/>
    </w:pPr>
  </w:style>
  <w:style w:type="character" w:customStyle="1" w:styleId="BodyTextIndentChar">
    <w:name w:val="Body Text Indent Char"/>
    <w:basedOn w:val="DefaultParagraphFont"/>
    <w:link w:val="BodyTextIndent"/>
    <w:uiPriority w:val="98"/>
    <w:rsid w:val="00DE3FB6"/>
  </w:style>
  <w:style w:type="paragraph" w:styleId="EndnoteText">
    <w:name w:val="endnote text"/>
    <w:basedOn w:val="Normal"/>
    <w:link w:val="EndnoteTextChar"/>
    <w:uiPriority w:val="98"/>
    <w:unhideWhenUsed/>
    <w:locked/>
    <w:rsid w:val="00DE3FB6"/>
    <w:pPr>
      <w:spacing w:after="0"/>
    </w:pPr>
    <w:rPr>
      <w:sz w:val="20"/>
      <w:szCs w:val="20"/>
    </w:rPr>
  </w:style>
  <w:style w:type="character" w:customStyle="1" w:styleId="EndnoteTextChar">
    <w:name w:val="Endnote Text Char"/>
    <w:basedOn w:val="DefaultParagraphFont"/>
    <w:link w:val="EndnoteText"/>
    <w:uiPriority w:val="98"/>
    <w:rsid w:val="00DE3FB6"/>
    <w:rPr>
      <w:sz w:val="20"/>
      <w:szCs w:val="20"/>
    </w:rPr>
  </w:style>
  <w:style w:type="character" w:styleId="EndnoteReference">
    <w:name w:val="endnote reference"/>
    <w:basedOn w:val="DefaultParagraphFont"/>
    <w:uiPriority w:val="98"/>
    <w:semiHidden/>
    <w:unhideWhenUsed/>
    <w:locked/>
    <w:rsid w:val="00DE3FB6"/>
    <w:rPr>
      <w:vertAlign w:val="superscript"/>
    </w:rPr>
  </w:style>
  <w:style w:type="table" w:customStyle="1" w:styleId="GridTable1Light-Accent11">
    <w:name w:val="Grid Table 1 Light - Accent 11"/>
    <w:basedOn w:val="TableNormal"/>
    <w:uiPriority w:val="46"/>
    <w:rsid w:val="00DE3FB6"/>
    <w:pPr>
      <w:spacing w:after="0"/>
    </w:pPr>
    <w:rPr>
      <w:rFonts w:eastAsiaTheme="minorHAnsi" w:cstheme="minorBidi"/>
      <w:lang w:eastAsia="en-US"/>
    </w:rPr>
    <w:tblPr>
      <w:tblStyleRowBandSize w:val="1"/>
      <w:tblStyleColBandSize w:val="1"/>
      <w:tblBorders>
        <w:top w:val="single" w:sz="4" w:space="0" w:color="86D3F2" w:themeColor="accent1" w:themeTint="66"/>
        <w:left w:val="single" w:sz="4" w:space="0" w:color="86D3F2" w:themeColor="accent1" w:themeTint="66"/>
        <w:bottom w:val="single" w:sz="4" w:space="0" w:color="86D3F2" w:themeColor="accent1" w:themeTint="66"/>
        <w:right w:val="single" w:sz="4" w:space="0" w:color="86D3F2" w:themeColor="accent1" w:themeTint="66"/>
        <w:insideH w:val="single" w:sz="4" w:space="0" w:color="86D3F2" w:themeColor="accent1" w:themeTint="66"/>
        <w:insideV w:val="single" w:sz="4" w:space="0" w:color="86D3F2" w:themeColor="accent1" w:themeTint="66"/>
      </w:tblBorders>
    </w:tblPr>
    <w:tblStylePr w:type="firstRow">
      <w:rPr>
        <w:b/>
        <w:bCs/>
      </w:rPr>
      <w:tblPr/>
      <w:tcPr>
        <w:tcBorders>
          <w:bottom w:val="single" w:sz="12" w:space="0" w:color="4BBDEC" w:themeColor="accent1" w:themeTint="99"/>
        </w:tcBorders>
      </w:tcPr>
    </w:tblStylePr>
    <w:tblStylePr w:type="lastRow">
      <w:rPr>
        <w:b/>
        <w:bCs/>
      </w:rPr>
      <w:tblPr/>
      <w:tcPr>
        <w:tcBorders>
          <w:top w:val="double" w:sz="2" w:space="0" w:color="4BBDEC"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DE3FB6"/>
    <w:pPr>
      <w:spacing w:after="0"/>
    </w:pPr>
  </w:style>
  <w:style w:type="paragraph" w:customStyle="1" w:styleId="esstext">
    <w:name w:val="esstext"/>
    <w:basedOn w:val="Normal"/>
    <w:rsid w:val="00DE3FB6"/>
    <w:pPr>
      <w:spacing w:before="100" w:beforeAutospacing="1" w:after="100" w:afterAutospacing="1" w:line="280" w:lineRule="atLeast"/>
    </w:pPr>
    <w:rPr>
      <w:rFonts w:ascii="Trebuchet MS" w:hAnsi="Trebuchet MS"/>
      <w:color w:val="0F2046"/>
      <w:sz w:val="18"/>
      <w:szCs w:val="18"/>
    </w:rPr>
  </w:style>
  <w:style w:type="table" w:customStyle="1" w:styleId="GridTable1Light-Accent31">
    <w:name w:val="Grid Table 1 Light - Accent 31"/>
    <w:basedOn w:val="TableNormal"/>
    <w:uiPriority w:val="46"/>
    <w:rsid w:val="00DE3FB6"/>
    <w:pPr>
      <w:spacing w:after="0"/>
    </w:pPr>
    <w:tblPr>
      <w:tblStyleRowBandSize w:val="1"/>
      <w:tblStyleColBandSize w:val="1"/>
      <w:tblBorders>
        <w:top w:val="single" w:sz="4" w:space="0" w:color="7CC7EA" w:themeColor="accent3" w:themeTint="66"/>
        <w:left w:val="single" w:sz="4" w:space="0" w:color="7CC7EA" w:themeColor="accent3" w:themeTint="66"/>
        <w:bottom w:val="single" w:sz="4" w:space="0" w:color="7CC7EA" w:themeColor="accent3" w:themeTint="66"/>
        <w:right w:val="single" w:sz="4" w:space="0" w:color="7CC7EA" w:themeColor="accent3" w:themeTint="66"/>
        <w:insideH w:val="single" w:sz="4" w:space="0" w:color="7CC7EA" w:themeColor="accent3" w:themeTint="66"/>
        <w:insideV w:val="single" w:sz="4" w:space="0" w:color="7CC7EA" w:themeColor="accent3" w:themeTint="66"/>
      </w:tblBorders>
    </w:tblPr>
    <w:tblStylePr w:type="firstRow">
      <w:rPr>
        <w:b/>
        <w:bCs/>
      </w:rPr>
      <w:tblPr/>
      <w:tcPr>
        <w:tcBorders>
          <w:bottom w:val="single" w:sz="12" w:space="0" w:color="3AACDF" w:themeColor="accent3" w:themeTint="99"/>
        </w:tcBorders>
      </w:tcPr>
    </w:tblStylePr>
    <w:tblStylePr w:type="lastRow">
      <w:rPr>
        <w:b/>
        <w:bCs/>
      </w:rPr>
      <w:tblPr/>
      <w:tcPr>
        <w:tcBorders>
          <w:top w:val="double" w:sz="2" w:space="0" w:color="3AACDF" w:themeColor="accent3" w:themeTint="99"/>
        </w:tcBorders>
      </w:tcPr>
    </w:tblStylePr>
    <w:tblStylePr w:type="firstCol">
      <w:rPr>
        <w:b/>
        <w:bCs/>
      </w:rPr>
    </w:tblStylePr>
    <w:tblStylePr w:type="lastCol">
      <w:rPr>
        <w:b/>
        <w:bCs/>
      </w:rPr>
    </w:tblStylePr>
  </w:style>
  <w:style w:type="paragraph" w:customStyle="1" w:styleId="Commissionbodytext">
    <w:name w:val="Commission body text"/>
    <w:basedOn w:val="Normal"/>
    <w:link w:val="CommissionbodytextChar"/>
    <w:qFormat/>
    <w:rsid w:val="006B616A"/>
    <w:pPr>
      <w:spacing w:after="0" w:line="276" w:lineRule="auto"/>
    </w:pPr>
    <w:rPr>
      <w:rFonts w:ascii="Arial" w:hAnsi="Arial" w:cs="Arial"/>
    </w:rPr>
  </w:style>
  <w:style w:type="character" w:customStyle="1" w:styleId="CommissionbodytextChar">
    <w:name w:val="Commission body text Char"/>
    <w:basedOn w:val="DefaultParagraphFont"/>
    <w:link w:val="Commissionbodytext"/>
    <w:rsid w:val="006B616A"/>
    <w:rPr>
      <w:rFonts w:ascii="Arial" w:hAnsi="Arial" w:cs="Arial"/>
    </w:rPr>
  </w:style>
  <w:style w:type="paragraph" w:customStyle="1" w:styleId="Tableheading">
    <w:name w:val="Tableheading"/>
    <w:basedOn w:val="Normal"/>
    <w:qFormat/>
    <w:rsid w:val="00E6668C"/>
    <w:pPr>
      <w:keepLines/>
      <w:spacing w:before="40" w:after="40"/>
      <w:contextualSpacing/>
    </w:pPr>
    <w:rPr>
      <w:rFonts w:ascii="Arial Bold" w:eastAsia="Calibri" w:hAnsi="Arial Bold" w:cs="Arial"/>
      <w:b/>
      <w:bCs/>
      <w:sz w:val="20"/>
      <w:lang w:eastAsia="en-US"/>
    </w:rPr>
  </w:style>
  <w:style w:type="paragraph" w:customStyle="1" w:styleId="Tablebullet1">
    <w:name w:val="Tablebullet1"/>
    <w:basedOn w:val="ListParagraph"/>
    <w:qFormat/>
    <w:rsid w:val="00E6668C"/>
    <w:pPr>
      <w:keepLines w:val="0"/>
      <w:numPr>
        <w:numId w:val="15"/>
      </w:numPr>
      <w:spacing w:before="40" w:after="40"/>
    </w:pPr>
    <w:rPr>
      <w:rFonts w:cs="Arial"/>
      <w:bCs/>
      <w:sz w:val="20"/>
    </w:rPr>
  </w:style>
  <w:style w:type="paragraph" w:customStyle="1" w:styleId="Tabletext">
    <w:name w:val="Tabletext"/>
    <w:basedOn w:val="Normal"/>
    <w:qFormat/>
    <w:rsid w:val="00E6668C"/>
    <w:pPr>
      <w:spacing w:before="40" w:after="40"/>
    </w:pPr>
    <w:rPr>
      <w:rFonts w:ascii="Arial" w:eastAsiaTheme="minorHAnsi" w:hAnsi="Arial" w:cs="Arial"/>
      <w:b/>
      <w:bCs/>
      <w:sz w:val="20"/>
      <w:szCs w:val="20"/>
      <w:lang w:eastAsia="en-US"/>
    </w:rPr>
  </w:style>
  <w:style w:type="paragraph" w:customStyle="1" w:styleId="Tablebullet2">
    <w:name w:val="Tablebullet2"/>
    <w:basedOn w:val="Normal"/>
    <w:qFormat/>
    <w:rsid w:val="00B10CAC"/>
    <w:pPr>
      <w:numPr>
        <w:numId w:val="18"/>
      </w:numPr>
      <w:spacing w:before="40" w:after="40"/>
      <w:ind w:left="697" w:hanging="357"/>
    </w:pPr>
    <w:rPr>
      <w:rFonts w:cs="Arial"/>
      <w:sz w:val="20"/>
      <w:szCs w:val="20"/>
      <w:lang w:val="en"/>
    </w:rPr>
  </w:style>
  <w:style w:type="paragraph" w:styleId="NoSpacing">
    <w:name w:val="No Spacing"/>
    <w:uiPriority w:val="1"/>
    <w:qFormat/>
    <w:locked/>
    <w:rsid w:val="00313D4A"/>
    <w:pPr>
      <w:spacing w:after="0"/>
    </w:pPr>
    <w:rPr>
      <w:rFonts w:ascii="Times New Roman" w:hAnsi="Times New Roman"/>
      <w:sz w:val="24"/>
      <w:szCs w:val="24"/>
      <w:lang w:eastAsia="en-US"/>
    </w:rPr>
  </w:style>
  <w:style w:type="character" w:styleId="SubtleEmphasis">
    <w:name w:val="Subtle Emphasis"/>
    <w:basedOn w:val="DefaultParagraphFont"/>
    <w:uiPriority w:val="19"/>
    <w:qFormat/>
    <w:locked/>
    <w:rsid w:val="00313D4A"/>
    <w:rPr>
      <w:i/>
      <w:iCs/>
      <w:color w:val="808080" w:themeColor="text1" w:themeTint="7F"/>
    </w:rPr>
  </w:style>
  <w:style w:type="character" w:styleId="IntenseEmphasis">
    <w:name w:val="Intense Emphasis"/>
    <w:basedOn w:val="DefaultParagraphFont"/>
    <w:uiPriority w:val="21"/>
    <w:qFormat/>
    <w:locked/>
    <w:rsid w:val="00313D4A"/>
    <w:rPr>
      <w:b/>
      <w:bCs/>
      <w:i/>
      <w:iCs/>
      <w:color w:val="1178A2" w:themeColor="accent1"/>
    </w:rPr>
  </w:style>
  <w:style w:type="paragraph" w:styleId="IntenseQuote">
    <w:name w:val="Intense Quote"/>
    <w:basedOn w:val="Normal"/>
    <w:next w:val="Normal"/>
    <w:link w:val="IntenseQuoteChar"/>
    <w:uiPriority w:val="30"/>
    <w:qFormat/>
    <w:locked/>
    <w:rsid w:val="00313D4A"/>
    <w:pPr>
      <w:pBdr>
        <w:bottom w:val="single" w:sz="4" w:space="4" w:color="1178A2" w:themeColor="accent1"/>
      </w:pBdr>
      <w:spacing w:before="200" w:after="280"/>
      <w:ind w:left="936" w:right="936"/>
    </w:pPr>
    <w:rPr>
      <w:rFonts w:ascii="Times New Roman" w:hAnsi="Times New Roman"/>
      <w:b/>
      <w:bCs/>
      <w:i/>
      <w:iCs/>
      <w:color w:val="1178A2" w:themeColor="accent1"/>
      <w:sz w:val="24"/>
      <w:szCs w:val="24"/>
      <w:lang w:eastAsia="en-US"/>
    </w:rPr>
  </w:style>
  <w:style w:type="character" w:customStyle="1" w:styleId="IntenseQuoteChar">
    <w:name w:val="Intense Quote Char"/>
    <w:basedOn w:val="DefaultParagraphFont"/>
    <w:link w:val="IntenseQuote"/>
    <w:uiPriority w:val="30"/>
    <w:rsid w:val="00313D4A"/>
    <w:rPr>
      <w:rFonts w:ascii="Times New Roman" w:hAnsi="Times New Roman"/>
      <w:b/>
      <w:bCs/>
      <w:i/>
      <w:iCs/>
      <w:color w:val="1178A2" w:themeColor="accent1"/>
      <w:sz w:val="24"/>
      <w:szCs w:val="24"/>
      <w:lang w:eastAsia="en-US"/>
    </w:rPr>
  </w:style>
  <w:style w:type="character" w:styleId="SubtleReference">
    <w:name w:val="Subtle Reference"/>
    <w:basedOn w:val="DefaultParagraphFont"/>
    <w:uiPriority w:val="31"/>
    <w:qFormat/>
    <w:locked/>
    <w:rsid w:val="00313D4A"/>
    <w:rPr>
      <w:smallCaps/>
      <w:color w:val="00A9DD" w:themeColor="accent2"/>
      <w:u w:val="single"/>
    </w:rPr>
  </w:style>
  <w:style w:type="character" w:styleId="IntenseReference">
    <w:name w:val="Intense Reference"/>
    <w:basedOn w:val="DefaultParagraphFont"/>
    <w:uiPriority w:val="32"/>
    <w:qFormat/>
    <w:locked/>
    <w:rsid w:val="00313D4A"/>
    <w:rPr>
      <w:b/>
      <w:bCs/>
      <w:i/>
      <w:smallCaps/>
      <w:color w:val="00A9DD" w:themeColor="accent2"/>
      <w:spacing w:val="5"/>
      <w:u w:val="none"/>
    </w:rPr>
  </w:style>
  <w:style w:type="character" w:styleId="BookTitle">
    <w:name w:val="Book Title"/>
    <w:basedOn w:val="DefaultParagraphFont"/>
    <w:uiPriority w:val="33"/>
    <w:qFormat/>
    <w:locked/>
    <w:rsid w:val="00313D4A"/>
    <w:rPr>
      <w:b/>
      <w:bCs/>
      <w:smallCaps/>
      <w:spacing w:val="5"/>
    </w:rPr>
  </w:style>
  <w:style w:type="character" w:customStyle="1" w:styleId="esstext1">
    <w:name w:val="esstext1"/>
    <w:basedOn w:val="DefaultParagraphFont"/>
    <w:rsid w:val="00313D4A"/>
    <w:rPr>
      <w:rFonts w:ascii="Trebuchet MS" w:hAnsi="Trebuchet MS" w:hint="default"/>
      <w:color w:val="0F2046"/>
      <w:sz w:val="18"/>
      <w:szCs w:val="18"/>
    </w:rPr>
  </w:style>
  <w:style w:type="character" w:customStyle="1" w:styleId="essheadinglrg1">
    <w:name w:val="essheadinglrg1"/>
    <w:basedOn w:val="DefaultParagraphFont"/>
    <w:rsid w:val="00313D4A"/>
    <w:rPr>
      <w:rFonts w:ascii="Trebuchet MS" w:hAnsi="Trebuchet MS" w:hint="default"/>
      <w:b/>
      <w:bCs/>
      <w:color w:val="45C5C7"/>
      <w:sz w:val="44"/>
      <w:szCs w:val="44"/>
    </w:rPr>
  </w:style>
  <w:style w:type="character" w:customStyle="1" w:styleId="esssubhead1">
    <w:name w:val="esssubhead1"/>
    <w:basedOn w:val="DefaultParagraphFont"/>
    <w:rsid w:val="00313D4A"/>
    <w:rPr>
      <w:rFonts w:ascii="Trebuchet MS" w:hAnsi="Trebuchet MS" w:hint="default"/>
      <w:b/>
      <w:bCs/>
      <w:color w:val="0F2046"/>
      <w:sz w:val="19"/>
      <w:szCs w:val="19"/>
    </w:rPr>
  </w:style>
  <w:style w:type="character" w:customStyle="1" w:styleId="hiddentext">
    <w:name w:val="hiddentext"/>
    <w:basedOn w:val="DefaultParagraphFont"/>
    <w:rsid w:val="0011440A"/>
  </w:style>
  <w:style w:type="paragraph" w:customStyle="1" w:styleId="by-line1">
    <w:name w:val="by-line1"/>
    <w:basedOn w:val="Normal"/>
    <w:rsid w:val="0011440A"/>
    <w:pPr>
      <w:spacing w:before="105" w:after="0"/>
    </w:pPr>
    <w:rPr>
      <w:rFonts w:ascii="Times New Roman" w:hAnsi="Times New Roman"/>
      <w:sz w:val="27"/>
      <w:szCs w:val="27"/>
    </w:rPr>
  </w:style>
  <w:style w:type="character" w:styleId="HTMLAcronym">
    <w:name w:val="HTML Acronym"/>
    <w:basedOn w:val="DefaultParagraphFont"/>
    <w:uiPriority w:val="99"/>
    <w:semiHidden/>
    <w:unhideWhenUsed/>
    <w:locked/>
    <w:rsid w:val="0011440A"/>
  </w:style>
  <w:style w:type="table" w:styleId="LightList-Accent2">
    <w:name w:val="Light List Accent 2"/>
    <w:basedOn w:val="TableNormal"/>
    <w:uiPriority w:val="61"/>
    <w:locked/>
    <w:rsid w:val="00064C19"/>
    <w:pPr>
      <w:spacing w:after="0"/>
    </w:pPr>
    <w:tblPr>
      <w:tblStyleRowBandSize w:val="1"/>
      <w:tblStyleColBandSize w:val="1"/>
      <w:tblBorders>
        <w:top w:val="single" w:sz="8" w:space="0" w:color="00A9DD" w:themeColor="accent2"/>
        <w:left w:val="single" w:sz="8" w:space="0" w:color="00A9DD" w:themeColor="accent2"/>
        <w:bottom w:val="single" w:sz="8" w:space="0" w:color="00A9DD" w:themeColor="accent2"/>
        <w:right w:val="single" w:sz="8" w:space="0" w:color="00A9DD" w:themeColor="accent2"/>
      </w:tblBorders>
    </w:tblPr>
    <w:tblStylePr w:type="firstRow">
      <w:pPr>
        <w:spacing w:before="0" w:after="0" w:line="240" w:lineRule="auto"/>
      </w:pPr>
      <w:rPr>
        <w:b/>
        <w:bCs/>
        <w:color w:val="FFFFFF" w:themeColor="background1"/>
      </w:rPr>
      <w:tblPr/>
      <w:tcPr>
        <w:shd w:val="clear" w:color="auto" w:fill="00A9DD" w:themeFill="accent2"/>
      </w:tcPr>
    </w:tblStylePr>
    <w:tblStylePr w:type="lastRow">
      <w:pPr>
        <w:spacing w:before="0" w:after="0" w:line="240" w:lineRule="auto"/>
      </w:pPr>
      <w:rPr>
        <w:b/>
        <w:bCs/>
      </w:rPr>
      <w:tblPr/>
      <w:tcPr>
        <w:tcBorders>
          <w:top w:val="double" w:sz="6" w:space="0" w:color="00A9DD" w:themeColor="accent2"/>
          <w:left w:val="single" w:sz="8" w:space="0" w:color="00A9DD" w:themeColor="accent2"/>
          <w:bottom w:val="single" w:sz="8" w:space="0" w:color="00A9DD" w:themeColor="accent2"/>
          <w:right w:val="single" w:sz="8" w:space="0" w:color="00A9DD" w:themeColor="accent2"/>
        </w:tcBorders>
      </w:tcPr>
    </w:tblStylePr>
    <w:tblStylePr w:type="firstCol">
      <w:rPr>
        <w:b/>
        <w:bCs/>
      </w:rPr>
    </w:tblStylePr>
    <w:tblStylePr w:type="lastCol">
      <w:rPr>
        <w:b/>
        <w:bCs/>
      </w:rPr>
    </w:tblStylePr>
    <w:tblStylePr w:type="band1Vert">
      <w:tblPr/>
      <w:tcPr>
        <w:tcBorders>
          <w:top w:val="single" w:sz="8" w:space="0" w:color="00A9DD" w:themeColor="accent2"/>
          <w:left w:val="single" w:sz="8" w:space="0" w:color="00A9DD" w:themeColor="accent2"/>
          <w:bottom w:val="single" w:sz="8" w:space="0" w:color="00A9DD" w:themeColor="accent2"/>
          <w:right w:val="single" w:sz="8" w:space="0" w:color="00A9DD" w:themeColor="accent2"/>
        </w:tcBorders>
      </w:tcPr>
    </w:tblStylePr>
    <w:tblStylePr w:type="band1Horz">
      <w:tblPr/>
      <w:tcPr>
        <w:tcBorders>
          <w:top w:val="single" w:sz="8" w:space="0" w:color="00A9DD" w:themeColor="accent2"/>
          <w:left w:val="single" w:sz="8" w:space="0" w:color="00A9DD" w:themeColor="accent2"/>
          <w:bottom w:val="single" w:sz="8" w:space="0" w:color="00A9DD" w:themeColor="accent2"/>
          <w:right w:val="single" w:sz="8" w:space="0" w:color="00A9DD" w:themeColor="accent2"/>
        </w:tcBorders>
      </w:tcPr>
    </w:tblStylePr>
  </w:style>
  <w:style w:type="character" w:customStyle="1" w:styleId="Heading5Char">
    <w:name w:val="Heading 5 Char"/>
    <w:basedOn w:val="DefaultParagraphFont"/>
    <w:link w:val="Heading5"/>
    <w:rsid w:val="00D17DBF"/>
    <w:rPr>
      <w:b/>
      <w:bCs/>
      <w:iCs/>
      <w:color w:val="404040" w:themeColor="text1" w:themeTint="BF"/>
      <w:sz w:val="24"/>
    </w:rPr>
  </w:style>
  <w:style w:type="character" w:customStyle="1" w:styleId="Heading2Char">
    <w:name w:val="Heading 2 Char"/>
    <w:basedOn w:val="DefaultParagraphFont"/>
    <w:link w:val="Heading2"/>
    <w:rsid w:val="00F0189B"/>
    <w:rPr>
      <w:rFonts w:cs="Arial"/>
      <w:b/>
      <w:iCs/>
      <w:color w:val="1178A2"/>
      <w:kern w:val="28"/>
      <w:sz w:val="32"/>
      <w:szCs w:val="28"/>
    </w:rPr>
  </w:style>
  <w:style w:type="character" w:customStyle="1" w:styleId="moreauthors1">
    <w:name w:val="moreauthors1"/>
    <w:basedOn w:val="DefaultParagraphFont"/>
    <w:rsid w:val="00085612"/>
    <w:rPr>
      <w:b w:val="0"/>
      <w:bCs w:val="0"/>
      <w:color w:val="000000"/>
    </w:rPr>
  </w:style>
  <w:style w:type="paragraph" w:customStyle="1" w:styleId="Pa9">
    <w:name w:val="Pa9"/>
    <w:basedOn w:val="Default"/>
    <w:next w:val="Default"/>
    <w:uiPriority w:val="99"/>
    <w:rsid w:val="006B58B4"/>
    <w:pPr>
      <w:spacing w:line="461" w:lineRule="atLeast"/>
    </w:pPr>
    <w:rPr>
      <w:rFonts w:ascii="Proxima Nova Extrabold" w:hAnsi="Proxima Nova Extrabold" w:cs="Times New Roman"/>
      <w:color w:val="auto"/>
    </w:rPr>
  </w:style>
  <w:style w:type="paragraph" w:customStyle="1" w:styleId="Pa4">
    <w:name w:val="Pa4"/>
    <w:basedOn w:val="Default"/>
    <w:next w:val="Default"/>
    <w:uiPriority w:val="99"/>
    <w:rsid w:val="006B58B4"/>
    <w:pPr>
      <w:spacing w:line="201" w:lineRule="atLeast"/>
    </w:pPr>
    <w:rPr>
      <w:rFonts w:ascii="Proxima Nova Extrabold" w:hAnsi="Proxima Nova Extrabold" w:cs="Times New Roman"/>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1" w:defUnhideWhenUsed="1" w:defQFormat="0" w:count="267">
    <w:lsdException w:name="Normal" w:locked="0" w:semiHidden="0" w:uiPriority="0" w:unhideWhenUsed="0" w:qFormat="1"/>
    <w:lsdException w:name="heading 1" w:locked="0" w:semiHidden="0" w:uiPriority="0" w:unhideWhenUsed="0" w:qFormat="1"/>
    <w:lsdException w:name="heading 2" w:locked="0" w:semiHidden="0" w:uiPriority="0" w:unhideWhenUsed="0" w:qFormat="1"/>
    <w:lsdException w:name="heading 3" w:locked="0" w:semiHidden="0" w:uiPriority="0" w:unhideWhenUsed="0" w:qFormat="1"/>
    <w:lsdException w:name="heading 4" w:locked="0" w:semiHidden="0" w:uiPriority="0" w:unhideWhenUsed="0" w:qFormat="1"/>
    <w:lsdException w:name="heading 5" w:locked="0" w:semiHidden="0" w:uiPriority="0" w:unhideWhenUsed="0" w:qFormat="1"/>
    <w:lsdException w:name="heading 6" w:semiHidden="0" w:uiPriority="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footnote text" w:locked="0" w:uiPriority="99"/>
    <w:lsdException w:name="footer" w:locked="0" w:uiPriority="99"/>
    <w:lsdException w:name="caption" w:qFormat="1"/>
    <w:lsdException w:name="footnote reference" w:locked="0" w:uiPriority="0"/>
    <w:lsdException w:name="List Bullet" w:uiPriority="0" w:qFormat="1"/>
    <w:lsdException w:name="List Number" w:semiHidden="0" w:unhideWhenUsed="0"/>
    <w:lsdException w:name="List 4" w:semiHidden="0" w:unhideWhenUsed="0"/>
    <w:lsdException w:name="List 5" w:semiHidden="0" w:unhideWhenUsed="0"/>
    <w:lsdException w:name="Title" w:locked="0" w:semiHidden="0" w:uiPriority="0" w:unhideWhenUsed="0" w:qFormat="1"/>
    <w:lsdException w:name="Default Paragraph Font" w:locked="0" w:uiPriority="0"/>
    <w:lsdException w:name="Subtitle" w:semiHidden="0" w:uiPriority="0" w:unhideWhenUsed="0" w:qFormat="1"/>
    <w:lsdException w:name="Salutation" w:semiHidden="0" w:unhideWhenUsed="0"/>
    <w:lsdException w:name="Date" w:semiHidden="0" w:unhideWhenUsed="0"/>
    <w:lsdException w:name="Body Text First Indent" w:semiHidden="0" w:unhideWhenUsed="0"/>
    <w:lsdException w:name="Hyperlink" w:locked="0" w:uiPriority="99"/>
    <w:lsdException w:name="FollowedHyperlink" w:locked="0" w:uiPriority="0"/>
    <w:lsdException w:name="Strong" w:locked="0" w:semiHidden="0" w:uiPriority="0" w:unhideWhenUsed="0" w:qFormat="1"/>
    <w:lsdException w:name="Emphasis" w:locked="0" w:semiHidden="0" w:uiPriority="20" w:unhideWhenUsed="0" w:qFormat="1"/>
    <w:lsdException w:name="HTML Top of Form" w:locked="0" w:uiPriority="0"/>
    <w:lsdException w:name="HTML Bottom of Form" w:locked="0" w:uiPriority="0"/>
    <w:lsdException w:name="Normal (Web)" w:uiPriority="99"/>
    <w:lsdException w:name="HTML Acronym" w:uiPriority="99"/>
    <w:lsdException w:name="Normal Table" w:locked="0" w:uiPriority="0"/>
    <w:lsdException w:name="No List" w:locked="0" w:uiPriority="99"/>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locked="0"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Balloon Text"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lsdException w:name="List Paragraph" w:semiHidden="0" w:uiPriority="34" w:unhideWhenUsed="0" w:qFormat="1"/>
    <w:lsdException w:name="Quote" w:locked="0"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locked="0" w:uiPriority="39" w:qFormat="1"/>
  </w:latentStyles>
  <w:style w:type="paragraph" w:default="1" w:styleId="Normal">
    <w:name w:val="Normal"/>
    <w:qFormat/>
    <w:rsid w:val="00D2773F"/>
    <w:pPr>
      <w:spacing w:after="200"/>
    </w:pPr>
  </w:style>
  <w:style w:type="paragraph" w:styleId="Heading1">
    <w:name w:val="heading 1"/>
    <w:basedOn w:val="Normal"/>
    <w:next w:val="Normal"/>
    <w:qFormat/>
    <w:rsid w:val="00F0189B"/>
    <w:pPr>
      <w:keepNext/>
      <w:pageBreakBefore/>
      <w:spacing w:before="240" w:after="240"/>
      <w:outlineLvl w:val="0"/>
    </w:pPr>
    <w:rPr>
      <w:rFonts w:cs="Arial"/>
      <w:b/>
      <w:bCs/>
      <w:color w:val="1178A2"/>
      <w:kern w:val="28"/>
      <w:sz w:val="40"/>
      <w:szCs w:val="32"/>
    </w:rPr>
  </w:style>
  <w:style w:type="paragraph" w:styleId="Heading2">
    <w:name w:val="heading 2"/>
    <w:basedOn w:val="Heading1"/>
    <w:next w:val="Normal"/>
    <w:link w:val="Heading2Char"/>
    <w:qFormat/>
    <w:rsid w:val="00F0189B"/>
    <w:pPr>
      <w:pageBreakBefore w:val="0"/>
      <w:numPr>
        <w:ilvl w:val="1"/>
      </w:numPr>
      <w:tabs>
        <w:tab w:val="num" w:pos="862"/>
      </w:tabs>
      <w:outlineLvl w:val="1"/>
    </w:pPr>
    <w:rPr>
      <w:bCs w:val="0"/>
      <w:iCs/>
      <w:sz w:val="32"/>
      <w:szCs w:val="28"/>
    </w:rPr>
  </w:style>
  <w:style w:type="paragraph" w:styleId="Heading3">
    <w:name w:val="heading 3"/>
    <w:basedOn w:val="Heading2"/>
    <w:next w:val="Normal"/>
    <w:qFormat/>
    <w:rsid w:val="00A15082"/>
    <w:pPr>
      <w:numPr>
        <w:ilvl w:val="2"/>
      </w:numPr>
      <w:tabs>
        <w:tab w:val="num" w:pos="862"/>
      </w:tabs>
      <w:outlineLvl w:val="2"/>
    </w:pPr>
    <w:rPr>
      <w:bCs/>
      <w:sz w:val="28"/>
      <w:szCs w:val="26"/>
    </w:rPr>
  </w:style>
  <w:style w:type="paragraph" w:styleId="Heading4">
    <w:name w:val="heading 4"/>
    <w:basedOn w:val="Normal"/>
    <w:next w:val="Normal"/>
    <w:qFormat/>
    <w:rsid w:val="00A15082"/>
    <w:pPr>
      <w:keepNext/>
      <w:numPr>
        <w:ilvl w:val="3"/>
        <w:numId w:val="20"/>
      </w:numPr>
      <w:spacing w:before="240" w:after="60"/>
      <w:outlineLvl w:val="3"/>
    </w:pPr>
    <w:rPr>
      <w:b/>
      <w:bCs/>
      <w:color w:val="404040" w:themeColor="text1" w:themeTint="BF"/>
      <w:sz w:val="26"/>
      <w:szCs w:val="26"/>
    </w:rPr>
  </w:style>
  <w:style w:type="paragraph" w:styleId="Heading5">
    <w:name w:val="heading 5"/>
    <w:basedOn w:val="Normal"/>
    <w:next w:val="Normal"/>
    <w:link w:val="Heading5Char"/>
    <w:qFormat/>
    <w:rsid w:val="00A15082"/>
    <w:pPr>
      <w:keepNext/>
      <w:numPr>
        <w:ilvl w:val="4"/>
        <w:numId w:val="20"/>
      </w:numPr>
      <w:spacing w:before="240" w:after="60"/>
      <w:outlineLvl w:val="4"/>
    </w:pPr>
    <w:rPr>
      <w:b/>
      <w:bCs/>
      <w:iCs/>
      <w:color w:val="404040" w:themeColor="text1" w:themeTint="BF"/>
      <w:sz w:val="24"/>
    </w:rPr>
  </w:style>
  <w:style w:type="paragraph" w:styleId="Heading6">
    <w:name w:val="heading 6"/>
    <w:basedOn w:val="Normal"/>
    <w:next w:val="Normal"/>
    <w:qFormat/>
    <w:locked/>
    <w:rsid w:val="00A705AF"/>
    <w:pPr>
      <w:keepNext/>
      <w:numPr>
        <w:ilvl w:val="5"/>
        <w:numId w:val="20"/>
      </w:numPr>
      <w:spacing w:before="240" w:after="60"/>
      <w:outlineLvl w:val="5"/>
    </w:pPr>
    <w:rPr>
      <w:b/>
      <w:bCs/>
      <w:i/>
    </w:rPr>
  </w:style>
  <w:style w:type="paragraph" w:styleId="Heading7">
    <w:name w:val="heading 7"/>
    <w:basedOn w:val="Normal"/>
    <w:next w:val="Normal"/>
    <w:link w:val="Heading7Char"/>
    <w:uiPriority w:val="98"/>
    <w:semiHidden/>
    <w:unhideWhenUsed/>
    <w:qFormat/>
    <w:locked/>
    <w:rsid w:val="00DE3FB6"/>
    <w:pPr>
      <w:keepNext/>
      <w:keepLines/>
      <w:numPr>
        <w:ilvl w:val="6"/>
        <w:numId w:val="20"/>
      </w:numPr>
      <w:spacing w:before="40" w:after="0"/>
      <w:outlineLvl w:val="6"/>
    </w:pPr>
    <w:rPr>
      <w:rFonts w:asciiTheme="majorHAnsi" w:eastAsiaTheme="majorEastAsia" w:hAnsiTheme="majorHAnsi" w:cstheme="majorBidi"/>
      <w:i/>
      <w:iCs/>
      <w:color w:val="083B50" w:themeColor="accent1" w:themeShade="7F"/>
    </w:rPr>
  </w:style>
  <w:style w:type="paragraph" w:styleId="Heading8">
    <w:name w:val="heading 8"/>
    <w:basedOn w:val="Normal"/>
    <w:next w:val="Normal"/>
    <w:link w:val="Heading8Char"/>
    <w:uiPriority w:val="98"/>
    <w:semiHidden/>
    <w:unhideWhenUsed/>
    <w:qFormat/>
    <w:locked/>
    <w:rsid w:val="00DE3FB6"/>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8"/>
    <w:semiHidden/>
    <w:unhideWhenUsed/>
    <w:qFormat/>
    <w:locked/>
    <w:rsid w:val="00DE3FB6"/>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705AF"/>
    <w:rPr>
      <w:i/>
      <w:iCs/>
    </w:rPr>
  </w:style>
  <w:style w:type="character" w:styleId="Strong">
    <w:name w:val="Strong"/>
    <w:basedOn w:val="DefaultParagraphFont"/>
    <w:qFormat/>
    <w:rsid w:val="00A705AF"/>
    <w:rPr>
      <w:b/>
      <w:bCs/>
    </w:rPr>
  </w:style>
  <w:style w:type="paragraph" w:styleId="Subtitle">
    <w:name w:val="Subtitle"/>
    <w:basedOn w:val="Normal"/>
    <w:next w:val="Normal"/>
    <w:link w:val="SubtitleChar"/>
    <w:qFormat/>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rsid w:val="007B04A9"/>
    <w:rPr>
      <w:rFonts w:ascii="Franklin Gothic Medium" w:eastAsiaTheme="majorEastAsia" w:hAnsi="Franklin Gothic Medium" w:cstheme="majorBidi"/>
      <w:iCs/>
      <w:color w:val="00A9E5"/>
      <w:spacing w:val="15"/>
      <w:sz w:val="52"/>
    </w:rPr>
  </w:style>
  <w:style w:type="paragraph" w:styleId="Title">
    <w:name w:val="Title"/>
    <w:basedOn w:val="Normal"/>
    <w:next w:val="Normal"/>
    <w:link w:val="TitleChar"/>
    <w:qFormat/>
    <w:rsid w:val="000B0274"/>
    <w:pPr>
      <w:spacing w:after="300"/>
      <w:contextualSpacing/>
    </w:pPr>
    <w:rPr>
      <w:rFonts w:ascii="Arial Bold" w:eastAsiaTheme="majorEastAsia" w:hAnsi="Arial Bold" w:cstheme="majorBidi"/>
      <w:b/>
      <w:color w:val="0A4A63"/>
      <w:kern w:val="28"/>
      <w:sz w:val="56"/>
      <w:szCs w:val="56"/>
    </w:rPr>
  </w:style>
  <w:style w:type="character" w:customStyle="1" w:styleId="TitleChar">
    <w:name w:val="Title Char"/>
    <w:basedOn w:val="DefaultParagraphFont"/>
    <w:link w:val="Title"/>
    <w:rsid w:val="000B0274"/>
    <w:rPr>
      <w:rFonts w:ascii="Arial Bold" w:eastAsiaTheme="majorEastAsia" w:hAnsi="Arial Bold" w:cstheme="majorBidi"/>
      <w:b/>
      <w:color w:val="0A4A63"/>
      <w:kern w:val="28"/>
      <w:sz w:val="56"/>
      <w:szCs w:val="56"/>
      <w:lang w:eastAsia="en-US"/>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8E494C"/>
    <w:pPr>
      <w:tabs>
        <w:tab w:val="left" w:pos="426"/>
        <w:tab w:val="right" w:leader="dot" w:pos="9016"/>
      </w:tabs>
      <w:spacing w:before="120" w:after="120"/>
      <w:ind w:left="426" w:hanging="426"/>
    </w:pPr>
    <w:rPr>
      <w:rFonts w:ascii="Arial Bold" w:hAnsi="Arial Bold" w:cstheme="minorHAnsi"/>
      <w:b/>
      <w:bCs/>
      <w:noProof/>
      <w:color w:val="1178A2" w:themeColor="accent1"/>
      <w:sz w:val="24"/>
      <w:szCs w:val="24"/>
    </w:rPr>
  </w:style>
  <w:style w:type="paragraph" w:styleId="Quote">
    <w:name w:val="Quote"/>
    <w:basedOn w:val="Normal"/>
    <w:next w:val="Normal"/>
    <w:link w:val="QuoteChar"/>
    <w:uiPriority w:val="29"/>
    <w:qFormat/>
    <w:rsid w:val="008F38F1"/>
    <w:pPr>
      <w:ind w:left="357"/>
    </w:pPr>
    <w:rPr>
      <w:rFonts w:cs="Arial"/>
      <w:i/>
    </w:rPr>
  </w:style>
  <w:style w:type="character" w:customStyle="1" w:styleId="QuoteChar">
    <w:name w:val="Quote Char"/>
    <w:basedOn w:val="DefaultParagraphFont"/>
    <w:link w:val="Quote"/>
    <w:uiPriority w:val="29"/>
    <w:rsid w:val="008F38F1"/>
    <w:rPr>
      <w:rFonts w:cs="Arial"/>
      <w:i/>
    </w:rPr>
  </w:style>
  <w:style w:type="paragraph" w:styleId="TOC2">
    <w:name w:val="toc 2"/>
    <w:basedOn w:val="Normal"/>
    <w:next w:val="Normal"/>
    <w:autoRedefine/>
    <w:uiPriority w:val="39"/>
    <w:qFormat/>
    <w:rsid w:val="00766545"/>
    <w:pPr>
      <w:tabs>
        <w:tab w:val="left" w:pos="1134"/>
        <w:tab w:val="right" w:leader="dot" w:pos="9016"/>
      </w:tabs>
      <w:spacing w:before="120" w:after="120"/>
      <w:ind w:left="1134" w:hanging="708"/>
    </w:pPr>
    <w:rPr>
      <w:rFonts w:ascii="Arial" w:hAnsi="Arial" w:cstheme="minorHAnsi"/>
      <w:noProof/>
      <w:szCs w:val="20"/>
    </w:rPr>
  </w:style>
  <w:style w:type="paragraph" w:styleId="TOC3">
    <w:name w:val="toc 3"/>
    <w:basedOn w:val="Normal"/>
    <w:next w:val="Normal"/>
    <w:autoRedefine/>
    <w:uiPriority w:val="39"/>
    <w:qFormat/>
    <w:rsid w:val="00082357"/>
    <w:pPr>
      <w:tabs>
        <w:tab w:val="left" w:pos="1320"/>
        <w:tab w:val="left" w:pos="8902"/>
      </w:tabs>
      <w:spacing w:after="0"/>
      <w:ind w:left="221"/>
    </w:pPr>
    <w:rPr>
      <w:rFonts w:cstheme="minorHAnsi"/>
      <w:iCs/>
      <w:noProof/>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uiPriority w:val="99"/>
    <w:rsid w:val="00C436EE"/>
    <w:pPr>
      <w:spacing w:after="0"/>
    </w:pPr>
    <w:rPr>
      <w:sz w:val="20"/>
      <w:szCs w:val="20"/>
    </w:rPr>
  </w:style>
  <w:style w:type="character" w:customStyle="1" w:styleId="FootnoteTextChar">
    <w:name w:val="Footnote Text Char"/>
    <w:basedOn w:val="DefaultParagraphFont"/>
    <w:link w:val="FootnoteText"/>
    <w:uiPriority w:val="99"/>
    <w:rsid w:val="00C436EE"/>
    <w:rPr>
      <w:rFonts w:ascii="Arial" w:hAnsi="Arial"/>
      <w:color w:val="000000" w:themeColor="text1"/>
      <w:lang w:eastAsia="en-US"/>
    </w:rPr>
  </w:style>
  <w:style w:type="paragraph" w:styleId="BalloonText">
    <w:name w:val="Balloon Text"/>
    <w:basedOn w:val="Normal"/>
    <w:link w:val="BalloonTextChar"/>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766545"/>
    <w:rPr>
      <w:rFonts w:ascii="Arial" w:hAnsi="Arial"/>
      <w:b w:val="0"/>
      <w:i w:val="0"/>
      <w:color w:val="auto"/>
      <w:sz w:val="22"/>
      <w:u w:val="single"/>
    </w:rPr>
  </w:style>
  <w:style w:type="paragraph" w:styleId="Footer">
    <w:name w:val="footer"/>
    <w:basedOn w:val="Normal"/>
    <w:link w:val="FooterChar"/>
    <w:uiPriority w:val="99"/>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uiPriority w:val="99"/>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keepLines/>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A15082"/>
    <w:pPr>
      <w:spacing w:before="120" w:after="120"/>
    </w:pPr>
    <w:rPr>
      <w:sz w:val="20"/>
      <w:szCs w:val="20"/>
    </w:rPr>
  </w:style>
  <w:style w:type="character" w:customStyle="1" w:styleId="CaptionsChar">
    <w:name w:val="Captions Char"/>
    <w:basedOn w:val="DefaultParagraphFont"/>
    <w:link w:val="Captions"/>
    <w:rsid w:val="00A15082"/>
    <w:rPr>
      <w:rFonts w:ascii="Arial" w:hAnsi="Arial"/>
      <w:color w:val="000000" w:themeColor="text1"/>
      <w:lang w:eastAsia="en-US"/>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heading">
    <w:name w:val="Subheading"/>
    <w:basedOn w:val="Normal"/>
    <w:next w:val="Normal"/>
    <w:qFormat/>
    <w:rsid w:val="000B0274"/>
    <w:pPr>
      <w:spacing w:before="240"/>
    </w:pPr>
    <w:rPr>
      <w:b/>
      <w:color w:val="00A9E5"/>
      <w:sz w:val="36"/>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447D31"/>
    <w:pPr>
      <w:spacing w:before="240" w:after="240"/>
    </w:pPr>
    <w:rPr>
      <w:color w:val="0A4A63"/>
      <w:sz w:val="32"/>
      <w:szCs w:val="40"/>
    </w:rPr>
  </w:style>
  <w:style w:type="character" w:customStyle="1" w:styleId="PublicationDateChar">
    <w:name w:val="Publication Date Char"/>
    <w:basedOn w:val="DefaultParagraphFont"/>
    <w:link w:val="PublicationDate"/>
    <w:rsid w:val="00447D31"/>
    <w:rPr>
      <w:rFonts w:ascii="Arial" w:hAnsi="Arial"/>
      <w:color w:val="0A4A63"/>
      <w:sz w:val="32"/>
      <w:szCs w:val="40"/>
      <w:lang w:eastAsia="en-US"/>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tabs>
        <w:tab w:val="right" w:pos="9016"/>
      </w:tabs>
      <w:spacing w:before="120" w:after="0"/>
      <w:ind w:left="658"/>
    </w:pPr>
  </w:style>
  <w:style w:type="paragraph" w:styleId="ListParagraph">
    <w:name w:val="List Paragraph"/>
    <w:aliases w:val="List Paragraph1,Recommendation,NFP GP Bulleted List,Bullet table"/>
    <w:basedOn w:val="Normal"/>
    <w:link w:val="ListParagraphChar"/>
    <w:uiPriority w:val="34"/>
    <w:qFormat/>
    <w:locked/>
    <w:rsid w:val="005051AF"/>
    <w:pPr>
      <w:keepLines/>
      <w:spacing w:before="120" w:after="120"/>
      <w:ind w:left="720"/>
      <w:contextualSpacing/>
    </w:pPr>
    <w:rPr>
      <w:rFonts w:ascii="Arial" w:eastAsia="Calibri" w:hAnsi="Arial"/>
      <w:lang w:eastAsia="en-US"/>
    </w:rPr>
  </w:style>
  <w:style w:type="character" w:customStyle="1" w:styleId="ListParagraphChar">
    <w:name w:val="List Paragraph Char"/>
    <w:aliases w:val="List Paragraph1 Char,Recommendation Char,NFP GP Bulleted List Char,Bullet table Char"/>
    <w:basedOn w:val="DefaultParagraphFont"/>
    <w:link w:val="ListParagraph"/>
    <w:uiPriority w:val="34"/>
    <w:rsid w:val="005051AF"/>
    <w:rPr>
      <w:rFonts w:ascii="Arial" w:eastAsia="Calibri" w:hAnsi="Arial"/>
      <w:lang w:eastAsia="en-US"/>
    </w:rPr>
  </w:style>
  <w:style w:type="paragraph" w:styleId="ListBullet">
    <w:name w:val="List Bullet"/>
    <w:basedOn w:val="Normal"/>
    <w:unhideWhenUsed/>
    <w:qFormat/>
    <w:locked/>
    <w:rsid w:val="0011440A"/>
    <w:pPr>
      <w:numPr>
        <w:numId w:val="7"/>
      </w:numPr>
      <w:spacing w:before="120" w:after="120"/>
      <w:contextualSpacing/>
    </w:pPr>
  </w:style>
  <w:style w:type="paragraph" w:styleId="ListBullet2">
    <w:name w:val="List Bullet 2"/>
    <w:basedOn w:val="Normal"/>
    <w:uiPriority w:val="98"/>
    <w:unhideWhenUsed/>
    <w:locked/>
    <w:rsid w:val="0011440A"/>
    <w:pPr>
      <w:numPr>
        <w:numId w:val="8"/>
      </w:numPr>
      <w:spacing w:before="120" w:after="120"/>
      <w:contextualSpacing/>
    </w:pPr>
  </w:style>
  <w:style w:type="paragraph" w:styleId="BodyText">
    <w:name w:val="Body Text"/>
    <w:basedOn w:val="Normal"/>
    <w:link w:val="BodyTextChar"/>
    <w:uiPriority w:val="98"/>
    <w:unhideWhenUsed/>
    <w:locked/>
    <w:rsid w:val="00955476"/>
    <w:pPr>
      <w:spacing w:before="120" w:after="120"/>
    </w:pPr>
  </w:style>
  <w:style w:type="character" w:customStyle="1" w:styleId="BodyTextChar">
    <w:name w:val="Body Text Char"/>
    <w:basedOn w:val="DefaultParagraphFont"/>
    <w:link w:val="BodyText"/>
    <w:uiPriority w:val="98"/>
    <w:rsid w:val="00955476"/>
  </w:style>
  <w:style w:type="paragraph" w:customStyle="1" w:styleId="Default">
    <w:name w:val="Default"/>
    <w:rsid w:val="002C5567"/>
    <w:pPr>
      <w:autoSpaceDE w:val="0"/>
      <w:autoSpaceDN w:val="0"/>
      <w:adjustRightInd w:val="0"/>
      <w:spacing w:after="0"/>
    </w:pPr>
    <w:rPr>
      <w:rFonts w:ascii="Open Sans" w:hAnsi="Open Sans" w:cs="Open Sans"/>
      <w:color w:val="000000"/>
      <w:sz w:val="24"/>
      <w:szCs w:val="24"/>
    </w:rPr>
  </w:style>
  <w:style w:type="paragraph" w:styleId="NormalWeb">
    <w:name w:val="Normal (Web)"/>
    <w:basedOn w:val="Normal"/>
    <w:uiPriority w:val="99"/>
    <w:unhideWhenUsed/>
    <w:locked/>
    <w:rsid w:val="000B7207"/>
    <w:pPr>
      <w:spacing w:before="100" w:beforeAutospacing="1" w:after="100" w:afterAutospacing="1"/>
    </w:pPr>
    <w:rPr>
      <w:rFonts w:ascii="Times New Roman" w:hAnsi="Times New Roman"/>
      <w:sz w:val="24"/>
      <w:szCs w:val="24"/>
    </w:rPr>
  </w:style>
  <w:style w:type="character" w:styleId="CommentReference">
    <w:name w:val="annotation reference"/>
    <w:basedOn w:val="DefaultParagraphFont"/>
    <w:uiPriority w:val="98"/>
    <w:semiHidden/>
    <w:unhideWhenUsed/>
    <w:locked/>
    <w:rsid w:val="00D7781F"/>
    <w:rPr>
      <w:sz w:val="16"/>
      <w:szCs w:val="16"/>
    </w:rPr>
  </w:style>
  <w:style w:type="paragraph" w:styleId="CommentText">
    <w:name w:val="annotation text"/>
    <w:basedOn w:val="Normal"/>
    <w:link w:val="CommentTextChar"/>
    <w:uiPriority w:val="98"/>
    <w:semiHidden/>
    <w:unhideWhenUsed/>
    <w:locked/>
    <w:rsid w:val="00D7781F"/>
    <w:rPr>
      <w:sz w:val="20"/>
      <w:szCs w:val="20"/>
    </w:rPr>
  </w:style>
  <w:style w:type="character" w:customStyle="1" w:styleId="CommentTextChar">
    <w:name w:val="Comment Text Char"/>
    <w:basedOn w:val="DefaultParagraphFont"/>
    <w:link w:val="CommentText"/>
    <w:uiPriority w:val="98"/>
    <w:semiHidden/>
    <w:rsid w:val="00D7781F"/>
    <w:rPr>
      <w:sz w:val="20"/>
      <w:szCs w:val="20"/>
    </w:rPr>
  </w:style>
  <w:style w:type="paragraph" w:styleId="CommentSubject">
    <w:name w:val="annotation subject"/>
    <w:basedOn w:val="CommentText"/>
    <w:next w:val="CommentText"/>
    <w:link w:val="CommentSubjectChar"/>
    <w:uiPriority w:val="98"/>
    <w:semiHidden/>
    <w:unhideWhenUsed/>
    <w:locked/>
    <w:rsid w:val="00D7781F"/>
    <w:rPr>
      <w:b/>
      <w:bCs/>
    </w:rPr>
  </w:style>
  <w:style w:type="character" w:customStyle="1" w:styleId="CommentSubjectChar">
    <w:name w:val="Comment Subject Char"/>
    <w:basedOn w:val="CommentTextChar"/>
    <w:link w:val="CommentSubject"/>
    <w:uiPriority w:val="98"/>
    <w:semiHidden/>
    <w:rsid w:val="00D7781F"/>
    <w:rPr>
      <w:b/>
      <w:bCs/>
      <w:sz w:val="20"/>
      <w:szCs w:val="20"/>
    </w:rPr>
  </w:style>
  <w:style w:type="paragraph" w:customStyle="1" w:styleId="Pa2">
    <w:name w:val="Pa2"/>
    <w:basedOn w:val="Default"/>
    <w:next w:val="Default"/>
    <w:uiPriority w:val="99"/>
    <w:rsid w:val="003E6F92"/>
    <w:pPr>
      <w:spacing w:line="201" w:lineRule="atLeast"/>
    </w:pPr>
    <w:rPr>
      <w:rFonts w:ascii="Frutiger 45 Light" w:hAnsi="Frutiger 45 Light" w:cs="Times New Roman"/>
      <w:color w:val="auto"/>
    </w:rPr>
  </w:style>
  <w:style w:type="character" w:customStyle="1" w:styleId="Heading7Char">
    <w:name w:val="Heading 7 Char"/>
    <w:basedOn w:val="DefaultParagraphFont"/>
    <w:link w:val="Heading7"/>
    <w:uiPriority w:val="98"/>
    <w:semiHidden/>
    <w:rsid w:val="00DE3FB6"/>
    <w:rPr>
      <w:rFonts w:asciiTheme="majorHAnsi" w:eastAsiaTheme="majorEastAsia" w:hAnsiTheme="majorHAnsi" w:cstheme="majorBidi"/>
      <w:i/>
      <w:iCs/>
      <w:color w:val="083B50" w:themeColor="accent1" w:themeShade="7F"/>
    </w:rPr>
  </w:style>
  <w:style w:type="character" w:customStyle="1" w:styleId="Heading8Char">
    <w:name w:val="Heading 8 Char"/>
    <w:basedOn w:val="DefaultParagraphFont"/>
    <w:link w:val="Heading8"/>
    <w:uiPriority w:val="98"/>
    <w:semiHidden/>
    <w:rsid w:val="00DE3FB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8"/>
    <w:semiHidden/>
    <w:rsid w:val="00DE3FB6"/>
    <w:rPr>
      <w:rFonts w:asciiTheme="majorHAnsi" w:eastAsiaTheme="majorEastAsia" w:hAnsiTheme="majorHAnsi" w:cstheme="majorBidi"/>
      <w:i/>
      <w:iCs/>
      <w:color w:val="272727" w:themeColor="text1" w:themeTint="D8"/>
      <w:sz w:val="21"/>
      <w:szCs w:val="21"/>
    </w:rPr>
  </w:style>
  <w:style w:type="paragraph" w:customStyle="1" w:styleId="HeadingLevel1NoNumber">
    <w:name w:val="HeadingLevel1NoNumber"/>
    <w:basedOn w:val="Heading1"/>
    <w:qFormat/>
    <w:rsid w:val="00D2773F"/>
  </w:style>
  <w:style w:type="paragraph" w:customStyle="1" w:styleId="HeadingLevel2NoNumber">
    <w:name w:val="HeadingLevel2NoNumber"/>
    <w:basedOn w:val="Heading2"/>
    <w:qFormat/>
    <w:rsid w:val="00DE3FB6"/>
  </w:style>
  <w:style w:type="paragraph" w:customStyle="1" w:styleId="HeadingLevel3NoNumber">
    <w:name w:val="HeadingLevel3NoNumber"/>
    <w:basedOn w:val="Heading3"/>
    <w:qFormat/>
    <w:rsid w:val="00D2773F"/>
    <w:pPr>
      <w:numPr>
        <w:ilvl w:val="0"/>
      </w:numPr>
      <w:tabs>
        <w:tab w:val="num" w:pos="862"/>
      </w:tabs>
    </w:pPr>
  </w:style>
  <w:style w:type="paragraph" w:customStyle="1" w:styleId="Appendixheading">
    <w:name w:val="Appendix heading"/>
    <w:basedOn w:val="Heading1"/>
    <w:next w:val="Normal"/>
    <w:uiPriority w:val="2"/>
    <w:qFormat/>
    <w:rsid w:val="00B10CAC"/>
    <w:pPr>
      <w:numPr>
        <w:numId w:val="21"/>
      </w:numPr>
      <w:tabs>
        <w:tab w:val="num" w:pos="360"/>
      </w:tabs>
    </w:pPr>
  </w:style>
  <w:style w:type="paragraph" w:customStyle="1" w:styleId="AppendixHeading2">
    <w:name w:val="Appendix Heading 2"/>
    <w:basedOn w:val="Heading2"/>
    <w:next w:val="BodyText"/>
    <w:rsid w:val="00D2773F"/>
    <w:pPr>
      <w:numPr>
        <w:numId w:val="21"/>
      </w:numPr>
      <w:tabs>
        <w:tab w:val="left" w:pos="964"/>
      </w:tabs>
      <w:spacing w:after="120"/>
      <w:jc w:val="both"/>
      <w:outlineLvl w:val="9"/>
    </w:pPr>
    <w:rPr>
      <w:rFonts w:ascii="Arial Bold" w:hAnsi="Arial Bold" w:cs="Times New Roman"/>
      <w:iCs w:val="0"/>
      <w:color w:val="0063A6"/>
      <w:kern w:val="0"/>
      <w:sz w:val="28"/>
      <w:szCs w:val="20"/>
      <w:lang w:eastAsia="en-US"/>
    </w:rPr>
  </w:style>
  <w:style w:type="paragraph" w:customStyle="1" w:styleId="AppendixHeading3">
    <w:name w:val="Appendix Heading 3"/>
    <w:basedOn w:val="Heading3"/>
    <w:next w:val="BodyText"/>
    <w:rsid w:val="00DE3FB6"/>
    <w:pPr>
      <w:numPr>
        <w:numId w:val="16"/>
      </w:numPr>
      <w:tabs>
        <w:tab w:val="clear" w:pos="1004"/>
        <w:tab w:val="left" w:pos="357"/>
        <w:tab w:val="num" w:pos="720"/>
      </w:tabs>
      <w:spacing w:after="120"/>
      <w:ind w:left="720"/>
      <w:jc w:val="both"/>
      <w:outlineLvl w:val="9"/>
    </w:pPr>
    <w:rPr>
      <w:rFonts w:ascii="Arial" w:hAnsi="Arial" w:cs="Times New Roman"/>
      <w:bCs w:val="0"/>
      <w:iCs w:val="0"/>
      <w:color w:val="0063A6"/>
      <w:kern w:val="0"/>
      <w:sz w:val="24"/>
      <w:szCs w:val="20"/>
      <w:lang w:eastAsia="en-US"/>
    </w:rPr>
  </w:style>
  <w:style w:type="paragraph" w:customStyle="1" w:styleId="AppendixHeading4">
    <w:name w:val="Appendix Heading 4"/>
    <w:basedOn w:val="Heading4"/>
    <w:next w:val="BodyText"/>
    <w:rsid w:val="00DE3FB6"/>
    <w:pPr>
      <w:numPr>
        <w:numId w:val="16"/>
      </w:numPr>
      <w:tabs>
        <w:tab w:val="left" w:pos="964"/>
      </w:tabs>
      <w:spacing w:after="120"/>
      <w:jc w:val="both"/>
      <w:outlineLvl w:val="9"/>
    </w:pPr>
    <w:rPr>
      <w:rFonts w:ascii="Arial" w:hAnsi="Arial"/>
      <w:bCs w:val="0"/>
      <w:color w:val="0063A6"/>
      <w:sz w:val="20"/>
      <w:szCs w:val="20"/>
      <w:lang w:eastAsia="en-US"/>
    </w:rPr>
  </w:style>
  <w:style w:type="paragraph" w:customStyle="1" w:styleId="Bodytextkeepwithnext">
    <w:name w:val="Bodytextkeepwithnext"/>
    <w:basedOn w:val="BodyText"/>
    <w:qFormat/>
    <w:rsid w:val="00955476"/>
    <w:pPr>
      <w:keepNext/>
    </w:pPr>
  </w:style>
  <w:style w:type="paragraph" w:styleId="Caption">
    <w:name w:val="caption"/>
    <w:basedOn w:val="Normal"/>
    <w:next w:val="Normal"/>
    <w:uiPriority w:val="98"/>
    <w:unhideWhenUsed/>
    <w:qFormat/>
    <w:locked/>
    <w:rsid w:val="008F38F1"/>
    <w:pPr>
      <w:keepNext/>
      <w:spacing w:before="120" w:after="120"/>
    </w:pPr>
    <w:rPr>
      <w:rFonts w:ascii="Arial" w:eastAsia="Calibri" w:hAnsi="Arial"/>
      <w:i/>
      <w:iCs/>
      <w:sz w:val="20"/>
      <w:szCs w:val="18"/>
      <w:lang w:eastAsia="en-US"/>
    </w:rPr>
  </w:style>
  <w:style w:type="paragraph" w:styleId="BodyTextIndent">
    <w:name w:val="Body Text Indent"/>
    <w:basedOn w:val="Normal"/>
    <w:link w:val="BodyTextIndentChar"/>
    <w:uiPriority w:val="98"/>
    <w:unhideWhenUsed/>
    <w:locked/>
    <w:rsid w:val="00DE3FB6"/>
    <w:pPr>
      <w:spacing w:after="120"/>
      <w:ind w:left="357"/>
    </w:pPr>
  </w:style>
  <w:style w:type="character" w:customStyle="1" w:styleId="BodyTextIndentChar">
    <w:name w:val="Body Text Indent Char"/>
    <w:basedOn w:val="DefaultParagraphFont"/>
    <w:link w:val="BodyTextIndent"/>
    <w:uiPriority w:val="98"/>
    <w:rsid w:val="00DE3FB6"/>
  </w:style>
  <w:style w:type="paragraph" w:styleId="EndnoteText">
    <w:name w:val="endnote text"/>
    <w:basedOn w:val="Normal"/>
    <w:link w:val="EndnoteTextChar"/>
    <w:uiPriority w:val="98"/>
    <w:unhideWhenUsed/>
    <w:locked/>
    <w:rsid w:val="00DE3FB6"/>
    <w:pPr>
      <w:spacing w:after="0"/>
    </w:pPr>
    <w:rPr>
      <w:sz w:val="20"/>
      <w:szCs w:val="20"/>
    </w:rPr>
  </w:style>
  <w:style w:type="character" w:customStyle="1" w:styleId="EndnoteTextChar">
    <w:name w:val="Endnote Text Char"/>
    <w:basedOn w:val="DefaultParagraphFont"/>
    <w:link w:val="EndnoteText"/>
    <w:uiPriority w:val="98"/>
    <w:rsid w:val="00DE3FB6"/>
    <w:rPr>
      <w:sz w:val="20"/>
      <w:szCs w:val="20"/>
    </w:rPr>
  </w:style>
  <w:style w:type="character" w:styleId="EndnoteReference">
    <w:name w:val="endnote reference"/>
    <w:basedOn w:val="DefaultParagraphFont"/>
    <w:uiPriority w:val="98"/>
    <w:semiHidden/>
    <w:unhideWhenUsed/>
    <w:locked/>
    <w:rsid w:val="00DE3FB6"/>
    <w:rPr>
      <w:vertAlign w:val="superscript"/>
    </w:rPr>
  </w:style>
  <w:style w:type="table" w:customStyle="1" w:styleId="GridTable1Light-Accent11">
    <w:name w:val="Grid Table 1 Light - Accent 11"/>
    <w:basedOn w:val="TableNormal"/>
    <w:uiPriority w:val="46"/>
    <w:rsid w:val="00DE3FB6"/>
    <w:pPr>
      <w:spacing w:after="0"/>
    </w:pPr>
    <w:rPr>
      <w:rFonts w:eastAsiaTheme="minorHAnsi" w:cstheme="minorBidi"/>
      <w:lang w:eastAsia="en-US"/>
    </w:rPr>
    <w:tblPr>
      <w:tblStyleRowBandSize w:val="1"/>
      <w:tblStyleColBandSize w:val="1"/>
      <w:tblBorders>
        <w:top w:val="single" w:sz="4" w:space="0" w:color="86D3F2" w:themeColor="accent1" w:themeTint="66"/>
        <w:left w:val="single" w:sz="4" w:space="0" w:color="86D3F2" w:themeColor="accent1" w:themeTint="66"/>
        <w:bottom w:val="single" w:sz="4" w:space="0" w:color="86D3F2" w:themeColor="accent1" w:themeTint="66"/>
        <w:right w:val="single" w:sz="4" w:space="0" w:color="86D3F2" w:themeColor="accent1" w:themeTint="66"/>
        <w:insideH w:val="single" w:sz="4" w:space="0" w:color="86D3F2" w:themeColor="accent1" w:themeTint="66"/>
        <w:insideV w:val="single" w:sz="4" w:space="0" w:color="86D3F2" w:themeColor="accent1" w:themeTint="66"/>
      </w:tblBorders>
    </w:tblPr>
    <w:tblStylePr w:type="firstRow">
      <w:rPr>
        <w:b/>
        <w:bCs/>
      </w:rPr>
      <w:tblPr/>
      <w:tcPr>
        <w:tcBorders>
          <w:bottom w:val="single" w:sz="12" w:space="0" w:color="4BBDEC" w:themeColor="accent1" w:themeTint="99"/>
        </w:tcBorders>
      </w:tcPr>
    </w:tblStylePr>
    <w:tblStylePr w:type="lastRow">
      <w:rPr>
        <w:b/>
        <w:bCs/>
      </w:rPr>
      <w:tblPr/>
      <w:tcPr>
        <w:tcBorders>
          <w:top w:val="double" w:sz="2" w:space="0" w:color="4BBDEC"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DE3FB6"/>
    <w:pPr>
      <w:spacing w:after="0"/>
    </w:pPr>
  </w:style>
  <w:style w:type="paragraph" w:customStyle="1" w:styleId="esstext">
    <w:name w:val="esstext"/>
    <w:basedOn w:val="Normal"/>
    <w:rsid w:val="00DE3FB6"/>
    <w:pPr>
      <w:spacing w:before="100" w:beforeAutospacing="1" w:after="100" w:afterAutospacing="1" w:line="280" w:lineRule="atLeast"/>
    </w:pPr>
    <w:rPr>
      <w:rFonts w:ascii="Trebuchet MS" w:hAnsi="Trebuchet MS"/>
      <w:color w:val="0F2046"/>
      <w:sz w:val="18"/>
      <w:szCs w:val="18"/>
    </w:rPr>
  </w:style>
  <w:style w:type="table" w:customStyle="1" w:styleId="GridTable1Light-Accent31">
    <w:name w:val="Grid Table 1 Light - Accent 31"/>
    <w:basedOn w:val="TableNormal"/>
    <w:uiPriority w:val="46"/>
    <w:rsid w:val="00DE3FB6"/>
    <w:pPr>
      <w:spacing w:after="0"/>
    </w:pPr>
    <w:tblPr>
      <w:tblStyleRowBandSize w:val="1"/>
      <w:tblStyleColBandSize w:val="1"/>
      <w:tblBorders>
        <w:top w:val="single" w:sz="4" w:space="0" w:color="7CC7EA" w:themeColor="accent3" w:themeTint="66"/>
        <w:left w:val="single" w:sz="4" w:space="0" w:color="7CC7EA" w:themeColor="accent3" w:themeTint="66"/>
        <w:bottom w:val="single" w:sz="4" w:space="0" w:color="7CC7EA" w:themeColor="accent3" w:themeTint="66"/>
        <w:right w:val="single" w:sz="4" w:space="0" w:color="7CC7EA" w:themeColor="accent3" w:themeTint="66"/>
        <w:insideH w:val="single" w:sz="4" w:space="0" w:color="7CC7EA" w:themeColor="accent3" w:themeTint="66"/>
        <w:insideV w:val="single" w:sz="4" w:space="0" w:color="7CC7EA" w:themeColor="accent3" w:themeTint="66"/>
      </w:tblBorders>
    </w:tblPr>
    <w:tblStylePr w:type="firstRow">
      <w:rPr>
        <w:b/>
        <w:bCs/>
      </w:rPr>
      <w:tblPr/>
      <w:tcPr>
        <w:tcBorders>
          <w:bottom w:val="single" w:sz="12" w:space="0" w:color="3AACDF" w:themeColor="accent3" w:themeTint="99"/>
        </w:tcBorders>
      </w:tcPr>
    </w:tblStylePr>
    <w:tblStylePr w:type="lastRow">
      <w:rPr>
        <w:b/>
        <w:bCs/>
      </w:rPr>
      <w:tblPr/>
      <w:tcPr>
        <w:tcBorders>
          <w:top w:val="double" w:sz="2" w:space="0" w:color="3AACDF" w:themeColor="accent3" w:themeTint="99"/>
        </w:tcBorders>
      </w:tcPr>
    </w:tblStylePr>
    <w:tblStylePr w:type="firstCol">
      <w:rPr>
        <w:b/>
        <w:bCs/>
      </w:rPr>
    </w:tblStylePr>
    <w:tblStylePr w:type="lastCol">
      <w:rPr>
        <w:b/>
        <w:bCs/>
      </w:rPr>
    </w:tblStylePr>
  </w:style>
  <w:style w:type="paragraph" w:customStyle="1" w:styleId="Commissionbodytext">
    <w:name w:val="Commission body text"/>
    <w:basedOn w:val="Normal"/>
    <w:link w:val="CommissionbodytextChar"/>
    <w:qFormat/>
    <w:rsid w:val="006B616A"/>
    <w:pPr>
      <w:spacing w:after="0" w:line="276" w:lineRule="auto"/>
    </w:pPr>
    <w:rPr>
      <w:rFonts w:ascii="Arial" w:hAnsi="Arial" w:cs="Arial"/>
    </w:rPr>
  </w:style>
  <w:style w:type="character" w:customStyle="1" w:styleId="CommissionbodytextChar">
    <w:name w:val="Commission body text Char"/>
    <w:basedOn w:val="DefaultParagraphFont"/>
    <w:link w:val="Commissionbodytext"/>
    <w:rsid w:val="006B616A"/>
    <w:rPr>
      <w:rFonts w:ascii="Arial" w:hAnsi="Arial" w:cs="Arial"/>
    </w:rPr>
  </w:style>
  <w:style w:type="paragraph" w:customStyle="1" w:styleId="Tableheading">
    <w:name w:val="Tableheading"/>
    <w:basedOn w:val="Normal"/>
    <w:qFormat/>
    <w:rsid w:val="00E6668C"/>
    <w:pPr>
      <w:keepLines/>
      <w:spacing w:before="40" w:after="40"/>
      <w:contextualSpacing/>
    </w:pPr>
    <w:rPr>
      <w:rFonts w:ascii="Arial Bold" w:eastAsia="Calibri" w:hAnsi="Arial Bold" w:cs="Arial"/>
      <w:b/>
      <w:bCs/>
      <w:sz w:val="20"/>
      <w:lang w:eastAsia="en-US"/>
    </w:rPr>
  </w:style>
  <w:style w:type="paragraph" w:customStyle="1" w:styleId="Tablebullet1">
    <w:name w:val="Tablebullet1"/>
    <w:basedOn w:val="ListParagraph"/>
    <w:qFormat/>
    <w:rsid w:val="00E6668C"/>
    <w:pPr>
      <w:keepLines w:val="0"/>
      <w:numPr>
        <w:numId w:val="15"/>
      </w:numPr>
      <w:spacing w:before="40" w:after="40"/>
    </w:pPr>
    <w:rPr>
      <w:rFonts w:cs="Arial"/>
      <w:bCs/>
      <w:sz w:val="20"/>
    </w:rPr>
  </w:style>
  <w:style w:type="paragraph" w:customStyle="1" w:styleId="Tabletext">
    <w:name w:val="Tabletext"/>
    <w:basedOn w:val="Normal"/>
    <w:qFormat/>
    <w:rsid w:val="00E6668C"/>
    <w:pPr>
      <w:spacing w:before="40" w:after="40"/>
    </w:pPr>
    <w:rPr>
      <w:rFonts w:ascii="Arial" w:eastAsiaTheme="minorHAnsi" w:hAnsi="Arial" w:cs="Arial"/>
      <w:b/>
      <w:bCs/>
      <w:sz w:val="20"/>
      <w:szCs w:val="20"/>
      <w:lang w:eastAsia="en-US"/>
    </w:rPr>
  </w:style>
  <w:style w:type="paragraph" w:customStyle="1" w:styleId="Tablebullet2">
    <w:name w:val="Tablebullet2"/>
    <w:basedOn w:val="Normal"/>
    <w:qFormat/>
    <w:rsid w:val="00B10CAC"/>
    <w:pPr>
      <w:numPr>
        <w:numId w:val="18"/>
      </w:numPr>
      <w:spacing w:before="40" w:after="40"/>
      <w:ind w:left="697" w:hanging="357"/>
    </w:pPr>
    <w:rPr>
      <w:rFonts w:cs="Arial"/>
      <w:sz w:val="20"/>
      <w:szCs w:val="20"/>
      <w:lang w:val="en"/>
    </w:rPr>
  </w:style>
  <w:style w:type="paragraph" w:styleId="NoSpacing">
    <w:name w:val="No Spacing"/>
    <w:uiPriority w:val="1"/>
    <w:qFormat/>
    <w:locked/>
    <w:rsid w:val="00313D4A"/>
    <w:pPr>
      <w:spacing w:after="0"/>
    </w:pPr>
    <w:rPr>
      <w:rFonts w:ascii="Times New Roman" w:hAnsi="Times New Roman"/>
      <w:sz w:val="24"/>
      <w:szCs w:val="24"/>
      <w:lang w:eastAsia="en-US"/>
    </w:rPr>
  </w:style>
  <w:style w:type="character" w:styleId="SubtleEmphasis">
    <w:name w:val="Subtle Emphasis"/>
    <w:basedOn w:val="DefaultParagraphFont"/>
    <w:uiPriority w:val="19"/>
    <w:qFormat/>
    <w:locked/>
    <w:rsid w:val="00313D4A"/>
    <w:rPr>
      <w:i/>
      <w:iCs/>
      <w:color w:val="808080" w:themeColor="text1" w:themeTint="7F"/>
    </w:rPr>
  </w:style>
  <w:style w:type="character" w:styleId="IntenseEmphasis">
    <w:name w:val="Intense Emphasis"/>
    <w:basedOn w:val="DefaultParagraphFont"/>
    <w:uiPriority w:val="21"/>
    <w:qFormat/>
    <w:locked/>
    <w:rsid w:val="00313D4A"/>
    <w:rPr>
      <w:b/>
      <w:bCs/>
      <w:i/>
      <w:iCs/>
      <w:color w:val="1178A2" w:themeColor="accent1"/>
    </w:rPr>
  </w:style>
  <w:style w:type="paragraph" w:styleId="IntenseQuote">
    <w:name w:val="Intense Quote"/>
    <w:basedOn w:val="Normal"/>
    <w:next w:val="Normal"/>
    <w:link w:val="IntenseQuoteChar"/>
    <w:uiPriority w:val="30"/>
    <w:qFormat/>
    <w:locked/>
    <w:rsid w:val="00313D4A"/>
    <w:pPr>
      <w:pBdr>
        <w:bottom w:val="single" w:sz="4" w:space="4" w:color="1178A2" w:themeColor="accent1"/>
      </w:pBdr>
      <w:spacing w:before="200" w:after="280"/>
      <w:ind w:left="936" w:right="936"/>
    </w:pPr>
    <w:rPr>
      <w:rFonts w:ascii="Times New Roman" w:hAnsi="Times New Roman"/>
      <w:b/>
      <w:bCs/>
      <w:i/>
      <w:iCs/>
      <w:color w:val="1178A2" w:themeColor="accent1"/>
      <w:sz w:val="24"/>
      <w:szCs w:val="24"/>
      <w:lang w:eastAsia="en-US"/>
    </w:rPr>
  </w:style>
  <w:style w:type="character" w:customStyle="1" w:styleId="IntenseQuoteChar">
    <w:name w:val="Intense Quote Char"/>
    <w:basedOn w:val="DefaultParagraphFont"/>
    <w:link w:val="IntenseQuote"/>
    <w:uiPriority w:val="30"/>
    <w:rsid w:val="00313D4A"/>
    <w:rPr>
      <w:rFonts w:ascii="Times New Roman" w:hAnsi="Times New Roman"/>
      <w:b/>
      <w:bCs/>
      <w:i/>
      <w:iCs/>
      <w:color w:val="1178A2" w:themeColor="accent1"/>
      <w:sz w:val="24"/>
      <w:szCs w:val="24"/>
      <w:lang w:eastAsia="en-US"/>
    </w:rPr>
  </w:style>
  <w:style w:type="character" w:styleId="SubtleReference">
    <w:name w:val="Subtle Reference"/>
    <w:basedOn w:val="DefaultParagraphFont"/>
    <w:uiPriority w:val="31"/>
    <w:qFormat/>
    <w:locked/>
    <w:rsid w:val="00313D4A"/>
    <w:rPr>
      <w:smallCaps/>
      <w:color w:val="00A9DD" w:themeColor="accent2"/>
      <w:u w:val="single"/>
    </w:rPr>
  </w:style>
  <w:style w:type="character" w:styleId="IntenseReference">
    <w:name w:val="Intense Reference"/>
    <w:basedOn w:val="DefaultParagraphFont"/>
    <w:uiPriority w:val="32"/>
    <w:qFormat/>
    <w:locked/>
    <w:rsid w:val="00313D4A"/>
    <w:rPr>
      <w:b/>
      <w:bCs/>
      <w:i/>
      <w:smallCaps/>
      <w:color w:val="00A9DD" w:themeColor="accent2"/>
      <w:spacing w:val="5"/>
      <w:u w:val="none"/>
    </w:rPr>
  </w:style>
  <w:style w:type="character" w:styleId="BookTitle">
    <w:name w:val="Book Title"/>
    <w:basedOn w:val="DefaultParagraphFont"/>
    <w:uiPriority w:val="33"/>
    <w:qFormat/>
    <w:locked/>
    <w:rsid w:val="00313D4A"/>
    <w:rPr>
      <w:b/>
      <w:bCs/>
      <w:smallCaps/>
      <w:spacing w:val="5"/>
    </w:rPr>
  </w:style>
  <w:style w:type="character" w:customStyle="1" w:styleId="esstext1">
    <w:name w:val="esstext1"/>
    <w:basedOn w:val="DefaultParagraphFont"/>
    <w:rsid w:val="00313D4A"/>
    <w:rPr>
      <w:rFonts w:ascii="Trebuchet MS" w:hAnsi="Trebuchet MS" w:hint="default"/>
      <w:color w:val="0F2046"/>
      <w:sz w:val="18"/>
      <w:szCs w:val="18"/>
    </w:rPr>
  </w:style>
  <w:style w:type="character" w:customStyle="1" w:styleId="essheadinglrg1">
    <w:name w:val="essheadinglrg1"/>
    <w:basedOn w:val="DefaultParagraphFont"/>
    <w:rsid w:val="00313D4A"/>
    <w:rPr>
      <w:rFonts w:ascii="Trebuchet MS" w:hAnsi="Trebuchet MS" w:hint="default"/>
      <w:b/>
      <w:bCs/>
      <w:color w:val="45C5C7"/>
      <w:sz w:val="44"/>
      <w:szCs w:val="44"/>
    </w:rPr>
  </w:style>
  <w:style w:type="character" w:customStyle="1" w:styleId="esssubhead1">
    <w:name w:val="esssubhead1"/>
    <w:basedOn w:val="DefaultParagraphFont"/>
    <w:rsid w:val="00313D4A"/>
    <w:rPr>
      <w:rFonts w:ascii="Trebuchet MS" w:hAnsi="Trebuchet MS" w:hint="default"/>
      <w:b/>
      <w:bCs/>
      <w:color w:val="0F2046"/>
      <w:sz w:val="19"/>
      <w:szCs w:val="19"/>
    </w:rPr>
  </w:style>
  <w:style w:type="character" w:customStyle="1" w:styleId="hiddentext">
    <w:name w:val="hiddentext"/>
    <w:basedOn w:val="DefaultParagraphFont"/>
    <w:rsid w:val="0011440A"/>
  </w:style>
  <w:style w:type="paragraph" w:customStyle="1" w:styleId="by-line1">
    <w:name w:val="by-line1"/>
    <w:basedOn w:val="Normal"/>
    <w:rsid w:val="0011440A"/>
    <w:pPr>
      <w:spacing w:before="105" w:after="0"/>
    </w:pPr>
    <w:rPr>
      <w:rFonts w:ascii="Times New Roman" w:hAnsi="Times New Roman"/>
      <w:sz w:val="27"/>
      <w:szCs w:val="27"/>
    </w:rPr>
  </w:style>
  <w:style w:type="character" w:styleId="HTMLAcronym">
    <w:name w:val="HTML Acronym"/>
    <w:basedOn w:val="DefaultParagraphFont"/>
    <w:uiPriority w:val="99"/>
    <w:semiHidden/>
    <w:unhideWhenUsed/>
    <w:locked/>
    <w:rsid w:val="0011440A"/>
  </w:style>
  <w:style w:type="table" w:styleId="LightList-Accent2">
    <w:name w:val="Light List Accent 2"/>
    <w:basedOn w:val="TableNormal"/>
    <w:uiPriority w:val="61"/>
    <w:locked/>
    <w:rsid w:val="00064C19"/>
    <w:pPr>
      <w:spacing w:after="0"/>
    </w:pPr>
    <w:tblPr>
      <w:tblStyleRowBandSize w:val="1"/>
      <w:tblStyleColBandSize w:val="1"/>
      <w:tblBorders>
        <w:top w:val="single" w:sz="8" w:space="0" w:color="00A9DD" w:themeColor="accent2"/>
        <w:left w:val="single" w:sz="8" w:space="0" w:color="00A9DD" w:themeColor="accent2"/>
        <w:bottom w:val="single" w:sz="8" w:space="0" w:color="00A9DD" w:themeColor="accent2"/>
        <w:right w:val="single" w:sz="8" w:space="0" w:color="00A9DD" w:themeColor="accent2"/>
      </w:tblBorders>
    </w:tblPr>
    <w:tblStylePr w:type="firstRow">
      <w:pPr>
        <w:spacing w:before="0" w:after="0" w:line="240" w:lineRule="auto"/>
      </w:pPr>
      <w:rPr>
        <w:b/>
        <w:bCs/>
        <w:color w:val="FFFFFF" w:themeColor="background1"/>
      </w:rPr>
      <w:tblPr/>
      <w:tcPr>
        <w:shd w:val="clear" w:color="auto" w:fill="00A9DD" w:themeFill="accent2"/>
      </w:tcPr>
    </w:tblStylePr>
    <w:tblStylePr w:type="lastRow">
      <w:pPr>
        <w:spacing w:before="0" w:after="0" w:line="240" w:lineRule="auto"/>
      </w:pPr>
      <w:rPr>
        <w:b/>
        <w:bCs/>
      </w:rPr>
      <w:tblPr/>
      <w:tcPr>
        <w:tcBorders>
          <w:top w:val="double" w:sz="6" w:space="0" w:color="00A9DD" w:themeColor="accent2"/>
          <w:left w:val="single" w:sz="8" w:space="0" w:color="00A9DD" w:themeColor="accent2"/>
          <w:bottom w:val="single" w:sz="8" w:space="0" w:color="00A9DD" w:themeColor="accent2"/>
          <w:right w:val="single" w:sz="8" w:space="0" w:color="00A9DD" w:themeColor="accent2"/>
        </w:tcBorders>
      </w:tcPr>
    </w:tblStylePr>
    <w:tblStylePr w:type="firstCol">
      <w:rPr>
        <w:b/>
        <w:bCs/>
      </w:rPr>
    </w:tblStylePr>
    <w:tblStylePr w:type="lastCol">
      <w:rPr>
        <w:b/>
        <w:bCs/>
      </w:rPr>
    </w:tblStylePr>
    <w:tblStylePr w:type="band1Vert">
      <w:tblPr/>
      <w:tcPr>
        <w:tcBorders>
          <w:top w:val="single" w:sz="8" w:space="0" w:color="00A9DD" w:themeColor="accent2"/>
          <w:left w:val="single" w:sz="8" w:space="0" w:color="00A9DD" w:themeColor="accent2"/>
          <w:bottom w:val="single" w:sz="8" w:space="0" w:color="00A9DD" w:themeColor="accent2"/>
          <w:right w:val="single" w:sz="8" w:space="0" w:color="00A9DD" w:themeColor="accent2"/>
        </w:tcBorders>
      </w:tcPr>
    </w:tblStylePr>
    <w:tblStylePr w:type="band1Horz">
      <w:tblPr/>
      <w:tcPr>
        <w:tcBorders>
          <w:top w:val="single" w:sz="8" w:space="0" w:color="00A9DD" w:themeColor="accent2"/>
          <w:left w:val="single" w:sz="8" w:space="0" w:color="00A9DD" w:themeColor="accent2"/>
          <w:bottom w:val="single" w:sz="8" w:space="0" w:color="00A9DD" w:themeColor="accent2"/>
          <w:right w:val="single" w:sz="8" w:space="0" w:color="00A9DD" w:themeColor="accent2"/>
        </w:tcBorders>
      </w:tcPr>
    </w:tblStylePr>
  </w:style>
  <w:style w:type="character" w:customStyle="1" w:styleId="Heading5Char">
    <w:name w:val="Heading 5 Char"/>
    <w:basedOn w:val="DefaultParagraphFont"/>
    <w:link w:val="Heading5"/>
    <w:rsid w:val="00D17DBF"/>
    <w:rPr>
      <w:b/>
      <w:bCs/>
      <w:iCs/>
      <w:color w:val="404040" w:themeColor="text1" w:themeTint="BF"/>
      <w:sz w:val="24"/>
    </w:rPr>
  </w:style>
  <w:style w:type="character" w:customStyle="1" w:styleId="Heading2Char">
    <w:name w:val="Heading 2 Char"/>
    <w:basedOn w:val="DefaultParagraphFont"/>
    <w:link w:val="Heading2"/>
    <w:rsid w:val="00F0189B"/>
    <w:rPr>
      <w:rFonts w:cs="Arial"/>
      <w:b/>
      <w:iCs/>
      <w:color w:val="1178A2"/>
      <w:kern w:val="28"/>
      <w:sz w:val="32"/>
      <w:szCs w:val="28"/>
    </w:rPr>
  </w:style>
  <w:style w:type="character" w:customStyle="1" w:styleId="moreauthors1">
    <w:name w:val="moreauthors1"/>
    <w:basedOn w:val="DefaultParagraphFont"/>
    <w:rsid w:val="00085612"/>
    <w:rPr>
      <w:b w:val="0"/>
      <w:bCs w:val="0"/>
      <w:color w:val="000000"/>
    </w:rPr>
  </w:style>
  <w:style w:type="paragraph" w:customStyle="1" w:styleId="Pa9">
    <w:name w:val="Pa9"/>
    <w:basedOn w:val="Default"/>
    <w:next w:val="Default"/>
    <w:uiPriority w:val="99"/>
    <w:rsid w:val="006B58B4"/>
    <w:pPr>
      <w:spacing w:line="461" w:lineRule="atLeast"/>
    </w:pPr>
    <w:rPr>
      <w:rFonts w:ascii="Proxima Nova Extrabold" w:hAnsi="Proxima Nova Extrabold" w:cs="Times New Roman"/>
      <w:color w:val="auto"/>
    </w:rPr>
  </w:style>
  <w:style w:type="paragraph" w:customStyle="1" w:styleId="Pa4">
    <w:name w:val="Pa4"/>
    <w:basedOn w:val="Default"/>
    <w:next w:val="Default"/>
    <w:uiPriority w:val="99"/>
    <w:rsid w:val="006B58B4"/>
    <w:pPr>
      <w:spacing w:line="201" w:lineRule="atLeast"/>
    </w:pPr>
    <w:rPr>
      <w:rFonts w:ascii="Proxima Nova Extrabold" w:hAnsi="Proxima Nova Extrabold"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29907">
      <w:bodyDiv w:val="1"/>
      <w:marLeft w:val="0"/>
      <w:marRight w:val="0"/>
      <w:marTop w:val="0"/>
      <w:marBottom w:val="0"/>
      <w:divBdr>
        <w:top w:val="none" w:sz="0" w:space="0" w:color="auto"/>
        <w:left w:val="none" w:sz="0" w:space="0" w:color="auto"/>
        <w:bottom w:val="none" w:sz="0" w:space="0" w:color="auto"/>
        <w:right w:val="none" w:sz="0" w:space="0" w:color="auto"/>
      </w:divBdr>
      <w:divsChild>
        <w:div w:id="1482111794">
          <w:marLeft w:val="0"/>
          <w:marRight w:val="0"/>
          <w:marTop w:val="0"/>
          <w:marBottom w:val="0"/>
          <w:divBdr>
            <w:top w:val="none" w:sz="0" w:space="0" w:color="auto"/>
            <w:left w:val="none" w:sz="0" w:space="0" w:color="auto"/>
            <w:bottom w:val="none" w:sz="0" w:space="0" w:color="auto"/>
            <w:right w:val="none" w:sz="0" w:space="0" w:color="auto"/>
          </w:divBdr>
          <w:divsChild>
            <w:div w:id="1109398582">
              <w:marLeft w:val="0"/>
              <w:marRight w:val="0"/>
              <w:marTop w:val="0"/>
              <w:marBottom w:val="0"/>
              <w:divBdr>
                <w:top w:val="none" w:sz="0" w:space="0" w:color="auto"/>
                <w:left w:val="none" w:sz="0" w:space="0" w:color="auto"/>
                <w:bottom w:val="none" w:sz="0" w:space="0" w:color="auto"/>
                <w:right w:val="none" w:sz="0" w:space="0" w:color="auto"/>
              </w:divBdr>
              <w:divsChild>
                <w:div w:id="736048100">
                  <w:marLeft w:val="0"/>
                  <w:marRight w:val="0"/>
                  <w:marTop w:val="0"/>
                  <w:marBottom w:val="240"/>
                  <w:divBdr>
                    <w:top w:val="none" w:sz="0" w:space="0" w:color="auto"/>
                    <w:left w:val="none" w:sz="0" w:space="0" w:color="auto"/>
                    <w:bottom w:val="none" w:sz="0" w:space="0" w:color="auto"/>
                    <w:right w:val="none" w:sz="0" w:space="0" w:color="auto"/>
                  </w:divBdr>
                  <w:divsChild>
                    <w:div w:id="13973613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55428342">
      <w:bodyDiv w:val="1"/>
      <w:marLeft w:val="0"/>
      <w:marRight w:val="0"/>
      <w:marTop w:val="0"/>
      <w:marBottom w:val="0"/>
      <w:divBdr>
        <w:top w:val="none" w:sz="0" w:space="0" w:color="auto"/>
        <w:left w:val="none" w:sz="0" w:space="0" w:color="auto"/>
        <w:bottom w:val="none" w:sz="0" w:space="0" w:color="auto"/>
        <w:right w:val="none" w:sz="0" w:space="0" w:color="auto"/>
      </w:divBdr>
      <w:divsChild>
        <w:div w:id="620845343">
          <w:marLeft w:val="0"/>
          <w:marRight w:val="0"/>
          <w:marTop w:val="0"/>
          <w:marBottom w:val="0"/>
          <w:divBdr>
            <w:top w:val="none" w:sz="0" w:space="0" w:color="auto"/>
            <w:left w:val="none" w:sz="0" w:space="0" w:color="auto"/>
            <w:bottom w:val="none" w:sz="0" w:space="0" w:color="auto"/>
            <w:right w:val="none" w:sz="0" w:space="0" w:color="auto"/>
          </w:divBdr>
          <w:divsChild>
            <w:div w:id="1242056733">
              <w:marLeft w:val="0"/>
              <w:marRight w:val="0"/>
              <w:marTop w:val="0"/>
              <w:marBottom w:val="0"/>
              <w:divBdr>
                <w:top w:val="none" w:sz="0" w:space="0" w:color="auto"/>
                <w:left w:val="none" w:sz="0" w:space="0" w:color="auto"/>
                <w:bottom w:val="none" w:sz="0" w:space="0" w:color="auto"/>
                <w:right w:val="none" w:sz="0" w:space="0" w:color="auto"/>
              </w:divBdr>
            </w:div>
            <w:div w:id="20848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89495">
      <w:bodyDiv w:val="1"/>
      <w:marLeft w:val="0"/>
      <w:marRight w:val="0"/>
      <w:marTop w:val="0"/>
      <w:marBottom w:val="0"/>
      <w:divBdr>
        <w:top w:val="none" w:sz="0" w:space="0" w:color="auto"/>
        <w:left w:val="none" w:sz="0" w:space="0" w:color="auto"/>
        <w:bottom w:val="none" w:sz="0" w:space="0" w:color="auto"/>
        <w:right w:val="none" w:sz="0" w:space="0" w:color="auto"/>
      </w:divBdr>
      <w:divsChild>
        <w:div w:id="1515219662">
          <w:marLeft w:val="0"/>
          <w:marRight w:val="0"/>
          <w:marTop w:val="0"/>
          <w:marBottom w:val="0"/>
          <w:divBdr>
            <w:top w:val="none" w:sz="0" w:space="0" w:color="auto"/>
            <w:left w:val="none" w:sz="0" w:space="0" w:color="auto"/>
            <w:bottom w:val="none" w:sz="0" w:space="0" w:color="auto"/>
            <w:right w:val="none" w:sz="0" w:space="0" w:color="auto"/>
          </w:divBdr>
          <w:divsChild>
            <w:div w:id="35042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3775">
      <w:bodyDiv w:val="1"/>
      <w:marLeft w:val="0"/>
      <w:marRight w:val="0"/>
      <w:marTop w:val="0"/>
      <w:marBottom w:val="0"/>
      <w:divBdr>
        <w:top w:val="none" w:sz="0" w:space="0" w:color="auto"/>
        <w:left w:val="none" w:sz="0" w:space="0" w:color="auto"/>
        <w:bottom w:val="none" w:sz="0" w:space="0" w:color="auto"/>
        <w:right w:val="none" w:sz="0" w:space="0" w:color="auto"/>
      </w:divBdr>
      <w:divsChild>
        <w:div w:id="489902443">
          <w:marLeft w:val="0"/>
          <w:marRight w:val="0"/>
          <w:marTop w:val="0"/>
          <w:marBottom w:val="0"/>
          <w:divBdr>
            <w:top w:val="none" w:sz="0" w:space="0" w:color="auto"/>
            <w:left w:val="none" w:sz="0" w:space="0" w:color="auto"/>
            <w:bottom w:val="none" w:sz="0" w:space="0" w:color="auto"/>
            <w:right w:val="none" w:sz="0" w:space="0" w:color="auto"/>
          </w:divBdr>
          <w:divsChild>
            <w:div w:id="1357389086">
              <w:marLeft w:val="0"/>
              <w:marRight w:val="0"/>
              <w:marTop w:val="0"/>
              <w:marBottom w:val="0"/>
              <w:divBdr>
                <w:top w:val="none" w:sz="0" w:space="0" w:color="auto"/>
                <w:left w:val="none" w:sz="0" w:space="0" w:color="auto"/>
                <w:bottom w:val="none" w:sz="0" w:space="0" w:color="auto"/>
                <w:right w:val="none" w:sz="0" w:space="0" w:color="auto"/>
              </w:divBdr>
              <w:divsChild>
                <w:div w:id="134300185">
                  <w:marLeft w:val="0"/>
                  <w:marRight w:val="0"/>
                  <w:marTop w:val="0"/>
                  <w:marBottom w:val="0"/>
                  <w:divBdr>
                    <w:top w:val="none" w:sz="0" w:space="0" w:color="auto"/>
                    <w:left w:val="none" w:sz="0" w:space="0" w:color="auto"/>
                    <w:bottom w:val="none" w:sz="0" w:space="0" w:color="auto"/>
                    <w:right w:val="none" w:sz="0" w:space="0" w:color="auto"/>
                  </w:divBdr>
                  <w:divsChild>
                    <w:div w:id="778448009">
                      <w:marLeft w:val="0"/>
                      <w:marRight w:val="0"/>
                      <w:marTop w:val="0"/>
                      <w:marBottom w:val="0"/>
                      <w:divBdr>
                        <w:top w:val="none" w:sz="0" w:space="0" w:color="auto"/>
                        <w:left w:val="none" w:sz="0" w:space="0" w:color="auto"/>
                        <w:bottom w:val="none" w:sz="0" w:space="0" w:color="auto"/>
                        <w:right w:val="none" w:sz="0" w:space="0" w:color="auto"/>
                      </w:divBdr>
                      <w:divsChild>
                        <w:div w:id="733700027">
                          <w:marLeft w:val="0"/>
                          <w:marRight w:val="0"/>
                          <w:marTop w:val="0"/>
                          <w:marBottom w:val="0"/>
                          <w:divBdr>
                            <w:top w:val="none" w:sz="0" w:space="0" w:color="auto"/>
                            <w:left w:val="none" w:sz="0" w:space="0" w:color="auto"/>
                            <w:bottom w:val="none" w:sz="0" w:space="0" w:color="auto"/>
                            <w:right w:val="none" w:sz="0" w:space="0" w:color="auto"/>
                          </w:divBdr>
                          <w:divsChild>
                            <w:div w:id="60909436">
                              <w:marLeft w:val="0"/>
                              <w:marRight w:val="0"/>
                              <w:marTop w:val="0"/>
                              <w:marBottom w:val="0"/>
                              <w:divBdr>
                                <w:top w:val="none" w:sz="0" w:space="0" w:color="auto"/>
                                <w:left w:val="none" w:sz="0" w:space="0" w:color="auto"/>
                                <w:bottom w:val="none" w:sz="0" w:space="0" w:color="auto"/>
                                <w:right w:val="none" w:sz="0" w:space="0" w:color="auto"/>
                              </w:divBdr>
                              <w:divsChild>
                                <w:div w:id="185194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3566531">
      <w:bodyDiv w:val="1"/>
      <w:marLeft w:val="0"/>
      <w:marRight w:val="0"/>
      <w:marTop w:val="0"/>
      <w:marBottom w:val="0"/>
      <w:divBdr>
        <w:top w:val="none" w:sz="0" w:space="0" w:color="auto"/>
        <w:left w:val="none" w:sz="0" w:space="0" w:color="auto"/>
        <w:bottom w:val="none" w:sz="0" w:space="0" w:color="auto"/>
        <w:right w:val="none" w:sz="0" w:space="0" w:color="auto"/>
      </w:divBdr>
      <w:divsChild>
        <w:div w:id="1293050878">
          <w:marLeft w:val="0"/>
          <w:marRight w:val="0"/>
          <w:marTop w:val="0"/>
          <w:marBottom w:val="0"/>
          <w:divBdr>
            <w:top w:val="none" w:sz="0" w:space="0" w:color="auto"/>
            <w:left w:val="none" w:sz="0" w:space="0" w:color="auto"/>
            <w:bottom w:val="none" w:sz="0" w:space="0" w:color="auto"/>
            <w:right w:val="none" w:sz="0" w:space="0" w:color="auto"/>
          </w:divBdr>
          <w:divsChild>
            <w:div w:id="125703018">
              <w:marLeft w:val="0"/>
              <w:marRight w:val="0"/>
              <w:marTop w:val="300"/>
              <w:marBottom w:val="600"/>
              <w:divBdr>
                <w:top w:val="none" w:sz="0" w:space="0" w:color="auto"/>
                <w:left w:val="none" w:sz="0" w:space="0" w:color="auto"/>
                <w:bottom w:val="none" w:sz="0" w:space="0" w:color="auto"/>
                <w:right w:val="none" w:sz="0" w:space="0" w:color="auto"/>
              </w:divBdr>
              <w:divsChild>
                <w:div w:id="1960843706">
                  <w:marLeft w:val="-225"/>
                  <w:marRight w:val="-225"/>
                  <w:marTop w:val="0"/>
                  <w:marBottom w:val="0"/>
                  <w:divBdr>
                    <w:top w:val="none" w:sz="0" w:space="0" w:color="auto"/>
                    <w:left w:val="none" w:sz="0" w:space="0" w:color="auto"/>
                    <w:bottom w:val="none" w:sz="0" w:space="0" w:color="auto"/>
                    <w:right w:val="none" w:sz="0" w:space="0" w:color="auto"/>
                  </w:divBdr>
                  <w:divsChild>
                    <w:div w:id="2004965752">
                      <w:marLeft w:val="0"/>
                      <w:marRight w:val="0"/>
                      <w:marTop w:val="0"/>
                      <w:marBottom w:val="0"/>
                      <w:divBdr>
                        <w:top w:val="none" w:sz="0" w:space="0" w:color="auto"/>
                        <w:left w:val="none" w:sz="0" w:space="0" w:color="auto"/>
                        <w:bottom w:val="none" w:sz="0" w:space="0" w:color="auto"/>
                        <w:right w:val="none" w:sz="0" w:space="0" w:color="auto"/>
                      </w:divBdr>
                      <w:divsChild>
                        <w:div w:id="2026319885">
                          <w:marLeft w:val="0"/>
                          <w:marRight w:val="0"/>
                          <w:marTop w:val="0"/>
                          <w:marBottom w:val="0"/>
                          <w:divBdr>
                            <w:top w:val="none" w:sz="0" w:space="0" w:color="auto"/>
                            <w:left w:val="none" w:sz="0" w:space="0" w:color="auto"/>
                            <w:bottom w:val="none" w:sz="0" w:space="0" w:color="auto"/>
                            <w:right w:val="none" w:sz="0" w:space="0" w:color="auto"/>
                          </w:divBdr>
                          <w:divsChild>
                            <w:div w:id="602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8837306">
      <w:bodyDiv w:val="1"/>
      <w:marLeft w:val="0"/>
      <w:marRight w:val="0"/>
      <w:marTop w:val="0"/>
      <w:marBottom w:val="0"/>
      <w:divBdr>
        <w:top w:val="none" w:sz="0" w:space="0" w:color="auto"/>
        <w:left w:val="none" w:sz="0" w:space="0" w:color="auto"/>
        <w:bottom w:val="none" w:sz="0" w:space="0" w:color="auto"/>
        <w:right w:val="none" w:sz="0" w:space="0" w:color="auto"/>
      </w:divBdr>
      <w:divsChild>
        <w:div w:id="1757705803">
          <w:marLeft w:val="0"/>
          <w:marRight w:val="0"/>
          <w:marTop w:val="975"/>
          <w:marBottom w:val="0"/>
          <w:divBdr>
            <w:top w:val="none" w:sz="0" w:space="0" w:color="auto"/>
            <w:left w:val="none" w:sz="0" w:space="0" w:color="auto"/>
            <w:bottom w:val="none" w:sz="0" w:space="0" w:color="auto"/>
            <w:right w:val="none" w:sz="0" w:space="0" w:color="auto"/>
          </w:divBdr>
          <w:divsChild>
            <w:div w:id="1980762105">
              <w:marLeft w:val="0"/>
              <w:marRight w:val="0"/>
              <w:marTop w:val="0"/>
              <w:marBottom w:val="0"/>
              <w:divBdr>
                <w:top w:val="none" w:sz="0" w:space="0" w:color="auto"/>
                <w:left w:val="none" w:sz="0" w:space="0" w:color="auto"/>
                <w:bottom w:val="none" w:sz="0" w:space="0" w:color="auto"/>
                <w:right w:val="none" w:sz="0" w:space="0" w:color="auto"/>
              </w:divBdr>
              <w:divsChild>
                <w:div w:id="658584946">
                  <w:marLeft w:val="0"/>
                  <w:marRight w:val="0"/>
                  <w:marTop w:val="0"/>
                  <w:marBottom w:val="0"/>
                  <w:divBdr>
                    <w:top w:val="none" w:sz="0" w:space="0" w:color="auto"/>
                    <w:left w:val="none" w:sz="0" w:space="0" w:color="auto"/>
                    <w:bottom w:val="none" w:sz="0" w:space="0" w:color="auto"/>
                    <w:right w:val="none" w:sz="0" w:space="0" w:color="auto"/>
                  </w:divBdr>
                  <w:divsChild>
                    <w:div w:id="1736514072">
                      <w:marLeft w:val="0"/>
                      <w:marRight w:val="0"/>
                      <w:marTop w:val="0"/>
                      <w:marBottom w:val="0"/>
                      <w:divBdr>
                        <w:top w:val="none" w:sz="0" w:space="0" w:color="auto"/>
                        <w:left w:val="none" w:sz="0" w:space="0" w:color="auto"/>
                        <w:bottom w:val="none" w:sz="0" w:space="0" w:color="auto"/>
                        <w:right w:val="none" w:sz="0" w:space="0" w:color="auto"/>
                      </w:divBdr>
                      <w:divsChild>
                        <w:div w:id="1719041516">
                          <w:marLeft w:val="0"/>
                          <w:marRight w:val="0"/>
                          <w:marTop w:val="0"/>
                          <w:marBottom w:val="0"/>
                          <w:divBdr>
                            <w:top w:val="none" w:sz="0" w:space="0" w:color="auto"/>
                            <w:left w:val="none" w:sz="0" w:space="0" w:color="auto"/>
                            <w:bottom w:val="none" w:sz="0" w:space="0" w:color="auto"/>
                            <w:right w:val="none" w:sz="0" w:space="0" w:color="auto"/>
                          </w:divBdr>
                          <w:divsChild>
                            <w:div w:id="1712457564">
                              <w:marLeft w:val="0"/>
                              <w:marRight w:val="0"/>
                              <w:marTop w:val="0"/>
                              <w:marBottom w:val="0"/>
                              <w:divBdr>
                                <w:top w:val="none" w:sz="0" w:space="0" w:color="auto"/>
                                <w:left w:val="none" w:sz="0" w:space="0" w:color="auto"/>
                                <w:bottom w:val="none" w:sz="0" w:space="0" w:color="auto"/>
                                <w:right w:val="none" w:sz="0" w:space="0" w:color="auto"/>
                              </w:divBdr>
                              <w:divsChild>
                                <w:div w:id="11155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1582829">
      <w:bodyDiv w:val="1"/>
      <w:marLeft w:val="0"/>
      <w:marRight w:val="0"/>
      <w:marTop w:val="0"/>
      <w:marBottom w:val="0"/>
      <w:divBdr>
        <w:top w:val="none" w:sz="0" w:space="0" w:color="auto"/>
        <w:left w:val="none" w:sz="0" w:space="0" w:color="auto"/>
        <w:bottom w:val="none" w:sz="0" w:space="0" w:color="auto"/>
        <w:right w:val="none" w:sz="0" w:space="0" w:color="auto"/>
      </w:divBdr>
      <w:divsChild>
        <w:div w:id="1484852216">
          <w:marLeft w:val="0"/>
          <w:marRight w:val="0"/>
          <w:marTop w:val="0"/>
          <w:marBottom w:val="0"/>
          <w:divBdr>
            <w:top w:val="none" w:sz="0" w:space="0" w:color="auto"/>
            <w:left w:val="none" w:sz="0" w:space="0" w:color="auto"/>
            <w:bottom w:val="none" w:sz="0" w:space="0" w:color="auto"/>
            <w:right w:val="none" w:sz="0" w:space="0" w:color="auto"/>
          </w:divBdr>
          <w:divsChild>
            <w:div w:id="1764447343">
              <w:marLeft w:val="0"/>
              <w:marRight w:val="0"/>
              <w:marTop w:val="0"/>
              <w:marBottom w:val="0"/>
              <w:divBdr>
                <w:top w:val="none" w:sz="0" w:space="0" w:color="auto"/>
                <w:left w:val="none" w:sz="0" w:space="0" w:color="auto"/>
                <w:bottom w:val="none" w:sz="0" w:space="0" w:color="auto"/>
                <w:right w:val="none" w:sz="0" w:space="0" w:color="auto"/>
              </w:divBdr>
              <w:divsChild>
                <w:div w:id="1387950241">
                  <w:marLeft w:val="0"/>
                  <w:marRight w:val="0"/>
                  <w:marTop w:val="0"/>
                  <w:marBottom w:val="0"/>
                  <w:divBdr>
                    <w:top w:val="none" w:sz="0" w:space="0" w:color="auto"/>
                    <w:left w:val="none" w:sz="0" w:space="0" w:color="auto"/>
                    <w:bottom w:val="none" w:sz="0" w:space="0" w:color="auto"/>
                    <w:right w:val="none" w:sz="0" w:space="0" w:color="auto"/>
                  </w:divBdr>
                  <w:divsChild>
                    <w:div w:id="1593129196">
                      <w:marLeft w:val="0"/>
                      <w:marRight w:val="0"/>
                      <w:marTop w:val="0"/>
                      <w:marBottom w:val="0"/>
                      <w:divBdr>
                        <w:top w:val="none" w:sz="0" w:space="0" w:color="auto"/>
                        <w:left w:val="none" w:sz="0" w:space="0" w:color="auto"/>
                        <w:bottom w:val="single" w:sz="6" w:space="23" w:color="auto"/>
                        <w:right w:val="none" w:sz="0" w:space="0" w:color="auto"/>
                      </w:divBdr>
                      <w:divsChild>
                        <w:div w:id="10839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8421113">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415321687">
      <w:bodyDiv w:val="1"/>
      <w:marLeft w:val="0"/>
      <w:marRight w:val="0"/>
      <w:marTop w:val="0"/>
      <w:marBottom w:val="0"/>
      <w:divBdr>
        <w:top w:val="none" w:sz="0" w:space="0" w:color="auto"/>
        <w:left w:val="none" w:sz="0" w:space="0" w:color="auto"/>
        <w:bottom w:val="none" w:sz="0" w:space="0" w:color="auto"/>
        <w:right w:val="none" w:sz="0" w:space="0" w:color="auto"/>
      </w:divBdr>
    </w:div>
    <w:div w:id="1484080068">
      <w:bodyDiv w:val="1"/>
      <w:marLeft w:val="0"/>
      <w:marRight w:val="0"/>
      <w:marTop w:val="0"/>
      <w:marBottom w:val="0"/>
      <w:divBdr>
        <w:top w:val="none" w:sz="0" w:space="0" w:color="auto"/>
        <w:left w:val="none" w:sz="0" w:space="0" w:color="auto"/>
        <w:bottom w:val="none" w:sz="0" w:space="0" w:color="auto"/>
        <w:right w:val="none" w:sz="0" w:space="0" w:color="auto"/>
      </w:divBdr>
      <w:divsChild>
        <w:div w:id="1687827385">
          <w:marLeft w:val="0"/>
          <w:marRight w:val="0"/>
          <w:marTop w:val="975"/>
          <w:marBottom w:val="0"/>
          <w:divBdr>
            <w:top w:val="none" w:sz="0" w:space="0" w:color="auto"/>
            <w:left w:val="none" w:sz="0" w:space="0" w:color="auto"/>
            <w:bottom w:val="none" w:sz="0" w:space="0" w:color="auto"/>
            <w:right w:val="none" w:sz="0" w:space="0" w:color="auto"/>
          </w:divBdr>
          <w:divsChild>
            <w:div w:id="771894701">
              <w:marLeft w:val="0"/>
              <w:marRight w:val="0"/>
              <w:marTop w:val="0"/>
              <w:marBottom w:val="0"/>
              <w:divBdr>
                <w:top w:val="none" w:sz="0" w:space="0" w:color="auto"/>
                <w:left w:val="none" w:sz="0" w:space="0" w:color="auto"/>
                <w:bottom w:val="none" w:sz="0" w:space="0" w:color="auto"/>
                <w:right w:val="none" w:sz="0" w:space="0" w:color="auto"/>
              </w:divBdr>
              <w:divsChild>
                <w:div w:id="1997688745">
                  <w:marLeft w:val="0"/>
                  <w:marRight w:val="0"/>
                  <w:marTop w:val="0"/>
                  <w:marBottom w:val="0"/>
                  <w:divBdr>
                    <w:top w:val="none" w:sz="0" w:space="0" w:color="auto"/>
                    <w:left w:val="none" w:sz="0" w:space="0" w:color="auto"/>
                    <w:bottom w:val="none" w:sz="0" w:space="0" w:color="auto"/>
                    <w:right w:val="none" w:sz="0" w:space="0" w:color="auto"/>
                  </w:divBdr>
                  <w:divsChild>
                    <w:div w:id="262342062">
                      <w:marLeft w:val="0"/>
                      <w:marRight w:val="0"/>
                      <w:marTop w:val="0"/>
                      <w:marBottom w:val="0"/>
                      <w:divBdr>
                        <w:top w:val="none" w:sz="0" w:space="0" w:color="auto"/>
                        <w:left w:val="none" w:sz="0" w:space="0" w:color="auto"/>
                        <w:bottom w:val="none" w:sz="0" w:space="0" w:color="auto"/>
                        <w:right w:val="none" w:sz="0" w:space="0" w:color="auto"/>
                      </w:divBdr>
                      <w:divsChild>
                        <w:div w:id="578830971">
                          <w:marLeft w:val="0"/>
                          <w:marRight w:val="0"/>
                          <w:marTop w:val="0"/>
                          <w:marBottom w:val="0"/>
                          <w:divBdr>
                            <w:top w:val="none" w:sz="0" w:space="0" w:color="auto"/>
                            <w:left w:val="none" w:sz="0" w:space="0" w:color="auto"/>
                            <w:bottom w:val="none" w:sz="0" w:space="0" w:color="auto"/>
                            <w:right w:val="none" w:sz="0" w:space="0" w:color="auto"/>
                          </w:divBdr>
                          <w:divsChild>
                            <w:div w:id="685517277">
                              <w:marLeft w:val="0"/>
                              <w:marRight w:val="0"/>
                              <w:marTop w:val="0"/>
                              <w:marBottom w:val="0"/>
                              <w:divBdr>
                                <w:top w:val="none" w:sz="0" w:space="0" w:color="auto"/>
                                <w:left w:val="none" w:sz="0" w:space="0" w:color="auto"/>
                                <w:bottom w:val="none" w:sz="0" w:space="0" w:color="auto"/>
                                <w:right w:val="none" w:sz="0" w:space="0" w:color="auto"/>
                              </w:divBdr>
                              <w:divsChild>
                                <w:div w:id="2122339675">
                                  <w:marLeft w:val="0"/>
                                  <w:marRight w:val="0"/>
                                  <w:marTop w:val="0"/>
                                  <w:marBottom w:val="0"/>
                                  <w:divBdr>
                                    <w:top w:val="none" w:sz="0" w:space="0" w:color="auto"/>
                                    <w:left w:val="none" w:sz="0" w:space="0" w:color="auto"/>
                                    <w:bottom w:val="none" w:sz="0" w:space="0" w:color="auto"/>
                                    <w:right w:val="none" w:sz="0" w:space="0" w:color="auto"/>
                                  </w:divBdr>
                                  <w:divsChild>
                                    <w:div w:id="138274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724499">
      <w:bodyDiv w:val="1"/>
      <w:marLeft w:val="0"/>
      <w:marRight w:val="0"/>
      <w:marTop w:val="0"/>
      <w:marBottom w:val="0"/>
      <w:divBdr>
        <w:top w:val="none" w:sz="0" w:space="0" w:color="auto"/>
        <w:left w:val="none" w:sz="0" w:space="0" w:color="auto"/>
        <w:bottom w:val="none" w:sz="0" w:space="0" w:color="auto"/>
        <w:right w:val="none" w:sz="0" w:space="0" w:color="auto"/>
      </w:divBdr>
      <w:divsChild>
        <w:div w:id="1380475667">
          <w:marLeft w:val="0"/>
          <w:marRight w:val="0"/>
          <w:marTop w:val="0"/>
          <w:marBottom w:val="0"/>
          <w:divBdr>
            <w:top w:val="none" w:sz="0" w:space="0" w:color="auto"/>
            <w:left w:val="none" w:sz="0" w:space="0" w:color="auto"/>
            <w:bottom w:val="none" w:sz="0" w:space="0" w:color="auto"/>
            <w:right w:val="none" w:sz="0" w:space="0" w:color="auto"/>
          </w:divBdr>
          <w:divsChild>
            <w:div w:id="389572370">
              <w:marLeft w:val="0"/>
              <w:marRight w:val="0"/>
              <w:marTop w:val="100"/>
              <w:marBottom w:val="100"/>
              <w:divBdr>
                <w:top w:val="none" w:sz="0" w:space="0" w:color="auto"/>
                <w:left w:val="single" w:sz="12" w:space="0" w:color="C5CBD2"/>
                <w:bottom w:val="none" w:sz="0" w:space="0" w:color="auto"/>
                <w:right w:val="single" w:sz="12" w:space="0" w:color="C5CBD2"/>
              </w:divBdr>
              <w:divsChild>
                <w:div w:id="1658993148">
                  <w:marLeft w:val="0"/>
                  <w:marRight w:val="0"/>
                  <w:marTop w:val="0"/>
                  <w:marBottom w:val="0"/>
                  <w:divBdr>
                    <w:top w:val="single" w:sz="2" w:space="0" w:color="EFE6CE"/>
                    <w:left w:val="single" w:sz="6" w:space="0" w:color="EFE6CE"/>
                    <w:bottom w:val="single" w:sz="6" w:space="15" w:color="EFE6CE"/>
                    <w:right w:val="single" w:sz="6" w:space="0" w:color="EFE6CE"/>
                  </w:divBdr>
                  <w:divsChild>
                    <w:div w:id="597372710">
                      <w:marLeft w:val="45"/>
                      <w:marRight w:val="0"/>
                      <w:marTop w:val="0"/>
                      <w:marBottom w:val="0"/>
                      <w:divBdr>
                        <w:top w:val="none" w:sz="0" w:space="0" w:color="auto"/>
                        <w:left w:val="none" w:sz="0" w:space="0" w:color="auto"/>
                        <w:bottom w:val="none" w:sz="0" w:space="0" w:color="auto"/>
                        <w:right w:val="none" w:sz="0" w:space="0" w:color="auto"/>
                      </w:divBdr>
                      <w:divsChild>
                        <w:div w:id="502743239">
                          <w:marLeft w:val="0"/>
                          <w:marRight w:val="0"/>
                          <w:marTop w:val="0"/>
                          <w:marBottom w:val="0"/>
                          <w:divBdr>
                            <w:top w:val="none" w:sz="0" w:space="0" w:color="auto"/>
                            <w:left w:val="none" w:sz="0" w:space="0" w:color="auto"/>
                            <w:bottom w:val="none" w:sz="0" w:space="0" w:color="auto"/>
                            <w:right w:val="none" w:sz="0" w:space="0" w:color="auto"/>
                          </w:divBdr>
                          <w:divsChild>
                            <w:div w:id="1227644922">
                              <w:marLeft w:val="0"/>
                              <w:marRight w:val="0"/>
                              <w:marTop w:val="0"/>
                              <w:marBottom w:val="0"/>
                              <w:divBdr>
                                <w:top w:val="none" w:sz="0" w:space="0" w:color="auto"/>
                                <w:left w:val="none" w:sz="0" w:space="0" w:color="auto"/>
                                <w:bottom w:val="none" w:sz="0" w:space="0" w:color="auto"/>
                                <w:right w:val="none" w:sz="0" w:space="0" w:color="auto"/>
                              </w:divBdr>
                              <w:divsChild>
                                <w:div w:id="393090301">
                                  <w:marLeft w:val="210"/>
                                  <w:marRight w:val="0"/>
                                  <w:marTop w:val="0"/>
                                  <w:marBottom w:val="0"/>
                                  <w:divBdr>
                                    <w:top w:val="none" w:sz="0" w:space="0" w:color="auto"/>
                                    <w:left w:val="none" w:sz="0" w:space="0" w:color="auto"/>
                                    <w:bottom w:val="none" w:sz="0" w:space="0" w:color="auto"/>
                                    <w:right w:val="none" w:sz="0" w:space="0" w:color="auto"/>
                                  </w:divBdr>
                                  <w:divsChild>
                                    <w:div w:id="13051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891922354">
      <w:bodyDiv w:val="1"/>
      <w:marLeft w:val="0"/>
      <w:marRight w:val="0"/>
      <w:marTop w:val="0"/>
      <w:marBottom w:val="0"/>
      <w:divBdr>
        <w:top w:val="none" w:sz="0" w:space="0" w:color="auto"/>
        <w:left w:val="none" w:sz="0" w:space="0" w:color="auto"/>
        <w:bottom w:val="none" w:sz="0" w:space="0" w:color="auto"/>
        <w:right w:val="none" w:sz="0" w:space="0" w:color="auto"/>
      </w:divBdr>
      <w:divsChild>
        <w:div w:id="1337608684">
          <w:marLeft w:val="0"/>
          <w:marRight w:val="0"/>
          <w:marTop w:val="0"/>
          <w:marBottom w:val="0"/>
          <w:divBdr>
            <w:top w:val="none" w:sz="0" w:space="0" w:color="auto"/>
            <w:left w:val="none" w:sz="0" w:space="0" w:color="auto"/>
            <w:bottom w:val="none" w:sz="0" w:space="0" w:color="auto"/>
            <w:right w:val="none" w:sz="0" w:space="0" w:color="auto"/>
          </w:divBdr>
          <w:divsChild>
            <w:div w:id="483355577">
              <w:marLeft w:val="0"/>
              <w:marRight w:val="0"/>
              <w:marTop w:val="0"/>
              <w:marBottom w:val="0"/>
              <w:divBdr>
                <w:top w:val="none" w:sz="0" w:space="0" w:color="auto"/>
                <w:left w:val="none" w:sz="0" w:space="0" w:color="auto"/>
                <w:bottom w:val="none" w:sz="0" w:space="0" w:color="auto"/>
                <w:right w:val="none" w:sz="0" w:space="0" w:color="auto"/>
              </w:divBdr>
              <w:divsChild>
                <w:div w:id="1522091657">
                  <w:marLeft w:val="-225"/>
                  <w:marRight w:val="-225"/>
                  <w:marTop w:val="0"/>
                  <w:marBottom w:val="0"/>
                  <w:divBdr>
                    <w:top w:val="none" w:sz="0" w:space="0" w:color="auto"/>
                    <w:left w:val="none" w:sz="0" w:space="0" w:color="auto"/>
                    <w:bottom w:val="none" w:sz="0" w:space="0" w:color="auto"/>
                    <w:right w:val="none" w:sz="0" w:space="0" w:color="auto"/>
                  </w:divBdr>
                  <w:divsChild>
                    <w:div w:id="593787087">
                      <w:marLeft w:val="0"/>
                      <w:marRight w:val="0"/>
                      <w:marTop w:val="0"/>
                      <w:marBottom w:val="0"/>
                      <w:divBdr>
                        <w:top w:val="none" w:sz="0" w:space="0" w:color="auto"/>
                        <w:left w:val="none" w:sz="0" w:space="0" w:color="auto"/>
                        <w:bottom w:val="none" w:sz="0" w:space="0" w:color="auto"/>
                        <w:right w:val="none" w:sz="0" w:space="0" w:color="auto"/>
                      </w:divBdr>
                      <w:divsChild>
                        <w:div w:id="6335597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 w:id="2052682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yhospitals.gov.au/" TargetMode="External"/><Relationship Id="rId21" Type="http://schemas.openxmlformats.org/officeDocument/2006/relationships/hyperlink" Target="https://www.myhospitals.gov.au/search/hospitals" TargetMode="External"/><Relationship Id="rId34" Type="http://schemas.openxmlformats.org/officeDocument/2006/relationships/image" Target="media/image7.PNG"/><Relationship Id="rId42" Type="http://schemas.openxmlformats.org/officeDocument/2006/relationships/image" Target="media/image13.png"/><Relationship Id="rId47" Type="http://schemas.openxmlformats.org/officeDocument/2006/relationships/footer" Target="footer4.xml"/><Relationship Id="rId50" Type="http://schemas.openxmlformats.org/officeDocument/2006/relationships/hyperlink" Target="https://www.sjog.org.au/" TargetMode="External"/><Relationship Id="rId55" Type="http://schemas.openxmlformats.org/officeDocument/2006/relationships/hyperlink" Target="https://www.mariestopes.org.au/" TargetMode="External"/><Relationship Id="rId63" Type="http://schemas.openxmlformats.org/officeDocument/2006/relationships/hyperlink" Target="http://www.evolutionhealthcare.com.au/" TargetMode="External"/><Relationship Id="rId68" Type="http://schemas.openxmlformats.org/officeDocument/2006/relationships/hyperlink" Target="https://www.medibank.com.au/" TargetMode="External"/><Relationship Id="rId76" Type="http://schemas.openxmlformats.org/officeDocument/2006/relationships/hyperlink" Target="http://www.health.act.gov.au/" TargetMode="External"/><Relationship Id="rId84" Type="http://schemas.openxmlformats.org/officeDocument/2006/relationships/hyperlink" Target="https://www.rah.sa.gov.au/" TargetMode="External"/><Relationship Id="rId89" Type="http://schemas.openxmlformats.org/officeDocument/2006/relationships/hyperlink" Target="https://www.medicare.gov/"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www.nhmrc.gov.au/" TargetMode="External"/><Relationship Id="rId92" Type="http://schemas.openxmlformats.org/officeDocument/2006/relationships/hyperlink" Target="https://www.jointcommission.org/"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yperlink" Target="http://creativecommons.org/licenses/by-nc-nd/4.0/" TargetMode="External"/><Relationship Id="rId24" Type="http://schemas.openxmlformats.org/officeDocument/2006/relationships/hyperlink" Target="https://www.myhospitals.gov.au/" TargetMode="Externa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1.png"/><Relationship Id="rId45" Type="http://schemas.openxmlformats.org/officeDocument/2006/relationships/image" Target="media/image15.PNG"/><Relationship Id="rId53" Type="http://schemas.openxmlformats.org/officeDocument/2006/relationships/hyperlink" Target="https://www.fmc-au.com/" TargetMode="External"/><Relationship Id="rId58" Type="http://schemas.openxmlformats.org/officeDocument/2006/relationships/hyperlink" Target="https://svha.org.au/home" TargetMode="External"/><Relationship Id="rId66" Type="http://schemas.openxmlformats.org/officeDocument/2006/relationships/hyperlink" Target="https://www.hbf.com.au/" TargetMode="External"/><Relationship Id="rId74" Type="http://schemas.openxmlformats.org/officeDocument/2006/relationships/hyperlink" Target="https://www.myhospitals.gov.au/" TargetMode="External"/><Relationship Id="rId79" Type="http://schemas.openxmlformats.org/officeDocument/2006/relationships/hyperlink" Target="http://www.bhi.nsw.gov.au/home/_nocache" TargetMode="External"/><Relationship Id="rId87" Type="http://schemas.openxmlformats.org/officeDocument/2006/relationships/hyperlink" Target="http://www.sph.org.au/" TargetMode="External"/><Relationship Id="rId5" Type="http://schemas.openxmlformats.org/officeDocument/2006/relationships/settings" Target="settings.xml"/><Relationship Id="rId61" Type="http://schemas.openxmlformats.org/officeDocument/2006/relationships/hyperlink" Target="http://www.iphoa.com.au/" TargetMode="External"/><Relationship Id="rId82" Type="http://schemas.openxmlformats.org/officeDocument/2006/relationships/hyperlink" Target="https://www2.health.vic.gov.au/hospitals-and-health-services/safer-care-victoria" TargetMode="External"/><Relationship Id="rId90" Type="http://schemas.openxmlformats.org/officeDocument/2006/relationships/hyperlink" Target="https://www.ahrq.gov/" TargetMode="External"/><Relationship Id="rId95" Type="http://schemas.openxmlformats.org/officeDocument/2006/relationships/footer" Target="footer5.xml"/><Relationship Id="rId19" Type="http://schemas.openxmlformats.org/officeDocument/2006/relationships/hyperlink" Target="https://www.myhospitals.gov.au/search/hospitals" TargetMode="External"/><Relationship Id="rId14" Type="http://schemas.openxmlformats.org/officeDocument/2006/relationships/footer" Target="footer2.xml"/><Relationship Id="rId22" Type="http://schemas.openxmlformats.org/officeDocument/2006/relationships/hyperlink" Target="https://www.myhospitals.gov.au/compare-hospitals" TargetMode="External"/><Relationship Id="rId27" Type="http://schemas.openxmlformats.org/officeDocument/2006/relationships/image" Target="media/image4.png"/><Relationship Id="rId30" Type="http://schemas.openxmlformats.org/officeDocument/2006/relationships/hyperlink" Target="https://www.patientopinion.org.au/" TargetMode="External"/><Relationship Id="rId35" Type="http://schemas.openxmlformats.org/officeDocument/2006/relationships/image" Target="media/image8.PNG"/><Relationship Id="rId43" Type="http://schemas.openxmlformats.org/officeDocument/2006/relationships/hyperlink" Target="http://www.cec.health.nsw.gov.au/" TargetMode="External"/><Relationship Id="rId48" Type="http://schemas.openxmlformats.org/officeDocument/2006/relationships/hyperlink" Target="http://www.ramsayhealth.com.au/" TargetMode="External"/><Relationship Id="rId56" Type="http://schemas.openxmlformats.org/officeDocument/2006/relationships/hyperlink" Target="http://www.epworth.org.au/Pages/Home.aspx" TargetMode="External"/><Relationship Id="rId64" Type="http://schemas.openxmlformats.org/officeDocument/2006/relationships/hyperlink" Target="http://melbendoscopy.com.au/" TargetMode="External"/><Relationship Id="rId69" Type="http://schemas.openxmlformats.org/officeDocument/2006/relationships/hyperlink" Target="https://www.nib.com.au/" TargetMode="External"/><Relationship Id="rId77" Type="http://schemas.openxmlformats.org/officeDocument/2006/relationships/hyperlink" Target="https://health.nt.gov.au/" TargetMode="External"/><Relationship Id="rId8" Type="http://schemas.openxmlformats.org/officeDocument/2006/relationships/endnotes" Target="endnotes.xml"/><Relationship Id="rId51" Type="http://schemas.openxmlformats.org/officeDocument/2006/relationships/hyperlink" Target="http://www.curagroup.com.au/" TargetMode="External"/><Relationship Id="rId72" Type="http://schemas.openxmlformats.org/officeDocument/2006/relationships/hyperlink" Target="http://www.abs.gov.au/" TargetMode="External"/><Relationship Id="rId80" Type="http://schemas.openxmlformats.org/officeDocument/2006/relationships/hyperlink" Target="http://www.princeofwalesprivatehospital.com.au/" TargetMode="External"/><Relationship Id="rId85" Type="http://schemas.openxmlformats.org/officeDocument/2006/relationships/hyperlink" Target="http://www.sahealth.sa.gov.au/wps/wcm/connect/public+content/sa+health+internet/health+services/hospitals+and+health+services+metropolitan+adelaide/the+queen+elizabeth+hospital/about+the+queen+elizabeth+hospital" TargetMode="External"/><Relationship Id="rId93" Type="http://schemas.openxmlformats.org/officeDocument/2006/relationships/hyperlink" Target="https://healthy.kaiserpermanente.org/"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www.myhospitals.gov.au/" TargetMode="External"/><Relationship Id="rId33" Type="http://schemas.openxmlformats.org/officeDocument/2006/relationships/hyperlink" Target="https://www.gezondheidszorgbalans.nl/dsresource?type=pdf&amp;disposition=inline&amp;objectid=rivmp:258320&amp;versionid=&amp;subobjectname" TargetMode="External"/><Relationship Id="rId38" Type="http://schemas.openxmlformats.org/officeDocument/2006/relationships/hyperlink" Target="http://www.leapfroggroup.org/compare-hospitals" TargetMode="External"/><Relationship Id="rId46" Type="http://schemas.openxmlformats.org/officeDocument/2006/relationships/image" Target="media/image16.PNG"/><Relationship Id="rId59" Type="http://schemas.openxmlformats.org/officeDocument/2006/relationships/hyperlink" Target="http://www.iconcancercare.com.au/" TargetMode="External"/><Relationship Id="rId67" Type="http://schemas.openxmlformats.org/officeDocument/2006/relationships/hyperlink" Target="https://www.hcf.com.au/" TargetMode="External"/><Relationship Id="rId20" Type="http://schemas.openxmlformats.org/officeDocument/2006/relationships/hyperlink" Target="https://www.myhospitals.gov.au/search/hospitals" TargetMode="External"/><Relationship Id="rId41" Type="http://schemas.openxmlformats.org/officeDocument/2006/relationships/image" Target="media/image12.png"/><Relationship Id="rId54" Type="http://schemas.openxmlformats.org/officeDocument/2006/relationships/hyperlink" Target="https://www.calvarycare.org.au/" TargetMode="External"/><Relationship Id="rId62" Type="http://schemas.openxmlformats.org/officeDocument/2006/relationships/hyperlink" Target="https://www.mercycq.com/mh/home" TargetMode="External"/><Relationship Id="rId70" Type="http://schemas.openxmlformats.org/officeDocument/2006/relationships/hyperlink" Target="http://www.health.gov.au/" TargetMode="External"/><Relationship Id="rId75" Type="http://schemas.openxmlformats.org/officeDocument/2006/relationships/hyperlink" Target="https://www.patientopinion.org.au/" TargetMode="External"/><Relationship Id="rId83" Type="http://schemas.openxmlformats.org/officeDocument/2006/relationships/hyperlink" Target="https://www.nh.org.au/" TargetMode="External"/><Relationship Id="rId88" Type="http://schemas.openxmlformats.org/officeDocument/2006/relationships/hyperlink" Target="https://www.cihi.ca/en" TargetMode="External"/><Relationship Id="rId91" Type="http://schemas.openxmlformats.org/officeDocument/2006/relationships/hyperlink" Target="http://www.leapfroggroup.org/"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www.myhospitals.gov.au/our-reports" TargetMode="External"/><Relationship Id="rId28" Type="http://schemas.openxmlformats.org/officeDocument/2006/relationships/hyperlink" Target="https://www.healthroundtable.org/JoinUs/ImprovementGroups/PatientSafety.aspx" TargetMode="External"/><Relationship Id="rId36" Type="http://schemas.openxmlformats.org/officeDocument/2006/relationships/hyperlink" Target="http://www.hospitalsafetygrade.org/your-hospitals-safety-grade/about-the-grade" TargetMode="External"/><Relationship Id="rId49" Type="http://schemas.openxmlformats.org/officeDocument/2006/relationships/hyperlink" Target="http://www.healthscope.com.au/" TargetMode="External"/><Relationship Id="rId57" Type="http://schemas.openxmlformats.org/officeDocument/2006/relationships/hyperlink" Target="http://www.pulsehealth.net.au/" TargetMode="External"/><Relationship Id="rId10" Type="http://schemas.openxmlformats.org/officeDocument/2006/relationships/footer" Target="footer1.xml"/><Relationship Id="rId31" Type="http://schemas.openxmlformats.org/officeDocument/2006/relationships/hyperlink" Target="http://www.health.gov.on.ca/en/public/programs/patient_safety/" TargetMode="External"/><Relationship Id="rId44" Type="http://schemas.openxmlformats.org/officeDocument/2006/relationships/image" Target="media/image14.png"/><Relationship Id="rId52" Type="http://schemas.openxmlformats.org/officeDocument/2006/relationships/hyperlink" Target="http://www.healthecare.com.au/" TargetMode="External"/><Relationship Id="rId60" Type="http://schemas.openxmlformats.org/officeDocument/2006/relationships/hyperlink" Target="http://unitingcarehealth.com.au/" TargetMode="External"/><Relationship Id="rId65" Type="http://schemas.openxmlformats.org/officeDocument/2006/relationships/hyperlink" Target="https://www.bupa.com.au/" TargetMode="External"/><Relationship Id="rId73" Type="http://schemas.openxmlformats.org/officeDocument/2006/relationships/hyperlink" Target="http://www.health.gov.au/internet/nhpa/publishing.nsf/Content/Our-reports" TargetMode="External"/><Relationship Id="rId78" Type="http://schemas.openxmlformats.org/officeDocument/2006/relationships/hyperlink" Target="http://www.health.nsw.gov.au/Pages/default.aspx" TargetMode="External"/><Relationship Id="rId81" Type="http://schemas.openxmlformats.org/officeDocument/2006/relationships/hyperlink" Target="https://dhhs.vic.gov.au/sites/default/files/documents/201610/Hospital%20Safety%20and%20Quality%20Assurance%20in" TargetMode="External"/><Relationship Id="rId86" Type="http://schemas.openxmlformats.org/officeDocument/2006/relationships/hyperlink" Target="http://www.rph.wa.gov.au/" TargetMode="External"/><Relationship Id="rId94"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mailto:communications@safetyandquality.gov.au" TargetMode="External"/><Relationship Id="rId18" Type="http://schemas.openxmlformats.org/officeDocument/2006/relationships/hyperlink" Target="https://www.myhospitals.gov.au/browse-hospitals" TargetMode="External"/><Relationship Id="rId39" Type="http://schemas.openxmlformats.org/officeDocument/2006/relationships/image" Target="media/image10.png"/></Relationships>
</file>

<file path=word/_rels/endnotes.xml.rels><?xml version="1.0" encoding="UTF-8" standalone="yes"?>
<Relationships xmlns="http://schemas.openxmlformats.org/package/2006/relationships"><Relationship Id="rId13" Type="http://schemas.openxmlformats.org/officeDocument/2006/relationships/hyperlink" Target="https://www.rand.org/pubs/technical_reports/TR887.html" TargetMode="External"/><Relationship Id="rId18" Type="http://schemas.openxmlformats.org/officeDocument/2006/relationships/hyperlink" Target="https://www.health.org.uk/sites/health/files/DoesPublicReleaseOfPerformanceResultsImproveQualityOfCare.pdf" TargetMode="External"/><Relationship Id="rId26" Type="http://schemas.openxmlformats.org/officeDocument/2006/relationships/hyperlink" Target="https://www.patientopinion.org.au/" TargetMode="External"/><Relationship Id="rId39" Type="http://schemas.openxmlformats.org/officeDocument/2006/relationships/hyperlink" Target="http://www.qualityindicators.ahrq.gov" TargetMode="External"/><Relationship Id="rId21" Type="http://schemas.openxmlformats.org/officeDocument/2006/relationships/hyperlink" Target="https://www.health.org.uk/sites/health/files/DoesPublicReleaseOfPerformanceResultsImproveQualityOfCare.pdf" TargetMode="External"/><Relationship Id="rId34" Type="http://schemas.openxmlformats.org/officeDocument/2006/relationships/hyperlink" Target="https://en.nvz-ziekenhuizen.nl/topics/quality-window/" TargetMode="External"/><Relationship Id="rId42" Type="http://schemas.openxmlformats.org/officeDocument/2006/relationships/hyperlink" Target="https://www.hospitalsafetygrade.org/your-hospitals-safety-grade/about-the-grade" TargetMode="External"/><Relationship Id="rId47" Type="http://schemas.openxmlformats.org/officeDocument/2006/relationships/hyperlink" Target="http://www.bhi.nsw.gov.au/BHI_reports/healthcare_in_focus/2017" TargetMode="External"/><Relationship Id="rId50" Type="http://schemas.openxmlformats.org/officeDocument/2006/relationships/hyperlink" Target="https://www.health.qld.gov.au/__data/assets/pdf_file/0025/441655/vision-strat-healthy-qld.pdf" TargetMode="External"/><Relationship Id="rId55" Type="http://schemas.openxmlformats.org/officeDocument/2006/relationships/hyperlink" Target="http://www.sahealth.sa.gov.au/wps/wcm/connect/public+content/sa+health+internet/clinical+resources/safety+and+quality/safety+and+quality+reports" TargetMode="External"/><Relationship Id="rId63" Type="http://schemas.openxmlformats.org/officeDocument/2006/relationships/hyperlink" Target="https://www.dhhs.vic.gov.au/publications/targeting-zero-review-hospital-safety-and-quality-assurance-victoria" TargetMode="External"/><Relationship Id="rId68" Type="http://schemas.openxmlformats.org/officeDocument/2006/relationships/hyperlink" Target="https://www2.health.vic.gov.au/hospitals-and-health-services/vahi" TargetMode="External"/><Relationship Id="rId76" Type="http://schemas.openxmlformats.org/officeDocument/2006/relationships/hyperlink" Target="http://ww2.health.wa.gov.au/Our-performance/Hand-hygiene/Monitoring-and-reporting-of-hand-hygiene" TargetMode="External"/><Relationship Id="rId7" Type="http://schemas.openxmlformats.org/officeDocument/2006/relationships/hyperlink" Target="https://www.rand.org/pubs/technical_reports/TR887.html" TargetMode="External"/><Relationship Id="rId71" Type="http://schemas.openxmlformats.org/officeDocument/2006/relationships/hyperlink" Target="https://bettersafercare.vic.gov.au/sites/default/files/2018-03/VAHI-corporate-plan-2017-18.pdf" TargetMode="External"/><Relationship Id="rId2" Type="http://schemas.openxmlformats.org/officeDocument/2006/relationships/hyperlink" Target="https://www.coag.gov.au/about-coag/agreements/heads-agreement-between-commonwealth-and-states-and-territories-public-0" TargetMode="External"/><Relationship Id="rId16" Type="http://schemas.openxmlformats.org/officeDocument/2006/relationships/hyperlink" Target="https://www.ncbi.nlm.nih.gov/books/NBK99885" TargetMode="External"/><Relationship Id="rId29" Type="http://schemas.openxmlformats.org/officeDocument/2006/relationships/hyperlink" Target="https://yourhealthsystem.cihi.ca" TargetMode="External"/><Relationship Id="rId11" Type="http://schemas.openxmlformats.org/officeDocument/2006/relationships/hyperlink" Target="https://www.rand.org/pubs/technical_reports/TR887.html" TargetMode="External"/><Relationship Id="rId24" Type="http://schemas.openxmlformats.org/officeDocument/2006/relationships/hyperlink" Target="https://www.aihw.gov.au/reports/hospitals/ahs-2016-17-sab/contents/introduction" TargetMode="External"/><Relationship Id="rId32" Type="http://schemas.openxmlformats.org/officeDocument/2006/relationships/hyperlink" Target="https://www.government.nl/topics/quality-of-healthcare/monitoring-the-quality-of-healthcare" TargetMode="External"/><Relationship Id="rId37" Type="http://schemas.openxmlformats.org/officeDocument/2006/relationships/hyperlink" Target="https://www.medicare.gov/hospitalcompare/Data/Measure-groups.html" TargetMode="External"/><Relationship Id="rId40" Type="http://schemas.openxmlformats.org/officeDocument/2006/relationships/hyperlink" Target="http://www.qualityindicators.ahrq.gov" TargetMode="External"/><Relationship Id="rId45" Type="http://schemas.openxmlformats.org/officeDocument/2006/relationships/hyperlink" Target="https://share.kaiserpermanente.org/article/about-kaiser-permanente-research/" TargetMode="External"/><Relationship Id="rId53" Type="http://schemas.openxmlformats.org/officeDocument/2006/relationships/hyperlink" Target="https://www.health.qld.gov.au/system-governance/strategic-direction/improving-service/expanding-patient-safety-reporting" TargetMode="External"/><Relationship Id="rId58" Type="http://schemas.openxmlformats.org/officeDocument/2006/relationships/hyperlink" Target="http://www.dhhs.tas.gov.au/publichealth/tasmanian_infection_prevention_and_control_unit/HAI_Surveillance" TargetMode="External"/><Relationship Id="rId66" Type="http://schemas.openxmlformats.org/officeDocument/2006/relationships/hyperlink" Target="https://www2.health.vic.gov.au/hospitals-and-health-services/safer-care-victoria/scv-publications" TargetMode="External"/><Relationship Id="rId74" Type="http://schemas.openxmlformats.org/officeDocument/2006/relationships/hyperlink" Target="https://www.vicniss.org.au/media/1787/21373-pdi_vicniss_report_2014-16_a4_v6_web.pdf" TargetMode="External"/><Relationship Id="rId79" Type="http://schemas.openxmlformats.org/officeDocument/2006/relationships/hyperlink" Target="https://ww2.health.wa.gov.au/Reports-and-publications/Staphylococcus-aureus-bloodstream-infections" TargetMode="External"/><Relationship Id="rId5" Type="http://schemas.openxmlformats.org/officeDocument/2006/relationships/hyperlink" Target="http://www.brookings.edu/research/papers/2015/02/04-medicare-transparency-health-consumers-patel" TargetMode="External"/><Relationship Id="rId61" Type="http://schemas.openxmlformats.org/officeDocument/2006/relationships/hyperlink" Target="http://performance.health.vic.gov.au/Home/Category.aspx?CategoryKey=5" TargetMode="External"/><Relationship Id="rId10" Type="http://schemas.openxmlformats.org/officeDocument/2006/relationships/hyperlink" Target="https://www.rand.org/pubs/technical_reports/TR887.html" TargetMode="External"/><Relationship Id="rId19" Type="http://schemas.openxmlformats.org/officeDocument/2006/relationships/hyperlink" Target="https://www.rand.org/pubs/technical_reports/TR887.html" TargetMode="External"/><Relationship Id="rId31" Type="http://schemas.openxmlformats.org/officeDocument/2006/relationships/hyperlink" Target="http://www.health.gov.on.ca/en/public/programs/patient_safety/" TargetMode="External"/><Relationship Id="rId44" Type="http://schemas.openxmlformats.org/officeDocument/2006/relationships/hyperlink" Target="https://www.qualitycheck.org/" TargetMode="External"/><Relationship Id="rId52" Type="http://schemas.openxmlformats.org/officeDocument/2006/relationships/hyperlink" Target="https://clinicalexcellence.qld.gov.au/sites/default/files/docs/clinical-excellence-year-in-review.pdf" TargetMode="External"/><Relationship Id="rId60" Type="http://schemas.openxmlformats.org/officeDocument/2006/relationships/hyperlink" Target="https://www2.health.vic.gov.au/hospitals-and-health-services/funding-performance-accountability/performance-monitoring" TargetMode="External"/><Relationship Id="rId65" Type="http://schemas.openxmlformats.org/officeDocument/2006/relationships/hyperlink" Target="https://www2.health.vic.gov.au/hospitals-and-health-services/funding-performance-accountability/performance-monitoring" TargetMode="External"/><Relationship Id="rId73" Type="http://schemas.openxmlformats.org/officeDocument/2006/relationships/hyperlink" Target="https://www.vicniss.org.au/about/surveillance-activities/" TargetMode="External"/><Relationship Id="rId78" Type="http://schemas.openxmlformats.org/officeDocument/2006/relationships/hyperlink" Target="https://ww2.health.wa.gov.au/Articles/F_I/Infectious-disease-data/Healthcare-Infection-Surveillance-Western-Australia-HISWA-reports" TargetMode="External"/><Relationship Id="rId4" Type="http://schemas.openxmlformats.org/officeDocument/2006/relationships/hyperlink" Target="https://www.health.qld.gov.au/system-governance/strategic-direction/improving-service/expanding-patient-safety-reporting" TargetMode="External"/><Relationship Id="rId9" Type="http://schemas.openxmlformats.org/officeDocument/2006/relationships/hyperlink" Target="http://www.euro.who.int/__data/assets/pdf_file/0020/263540/Public-reporting-in-health-and-long-term-care-to-facilitate-provider-choice-Eng.pdf" TargetMode="External"/><Relationship Id="rId14" Type="http://schemas.openxmlformats.org/officeDocument/2006/relationships/hyperlink" Target="https://www.coaghealthcouncil.gov.au/Portals/0/OOS318_Attachment%201.pdf" TargetMode="External"/><Relationship Id="rId22" Type="http://schemas.openxmlformats.org/officeDocument/2006/relationships/hyperlink" Target="https://www.ncbi.nlm.nih.gov/books/NBK99885" TargetMode="External"/><Relationship Id="rId27" Type="http://schemas.openxmlformats.org/officeDocument/2006/relationships/hyperlink" Target="https://www.canada.ca/en/health-canada/services/canada-health-care-system.html" TargetMode="External"/><Relationship Id="rId30" Type="http://schemas.openxmlformats.org/officeDocument/2006/relationships/hyperlink" Target="http://www.patientsafetyinstitute.ca/en/Pages/default.aspx" TargetMode="External"/><Relationship Id="rId35" Type="http://schemas.openxmlformats.org/officeDocument/2006/relationships/hyperlink" Target="https://www.gezondheidszorgbalans.nl/English" TargetMode="External"/><Relationship Id="rId43" Type="http://schemas.openxmlformats.org/officeDocument/2006/relationships/hyperlink" Target="http://www.leapfroggroup.org/ratings-reports/competitive-benchmarking" TargetMode="External"/><Relationship Id="rId48" Type="http://schemas.openxmlformats.org/officeDocument/2006/relationships/hyperlink" Target="http://www.bhi.nsw.gov.au/nsw_patient_survey_program/international_surveys" TargetMode="External"/><Relationship Id="rId56" Type="http://schemas.openxmlformats.org/officeDocument/2006/relationships/hyperlink" Target="http://www.sahealth.sa.gov.au/wps/wcm/connect/6932c580419c3b938dbbbfdb31a1ff3d/16151.1+Patient+Safety+Report%28v6%29WebS.pdf?MOD=AJPERES&amp;CACHEID=ROOTWORKSPACE-6932c580419c3b938dbbbfdb31a1ff3d-lPiC.KM" TargetMode="External"/><Relationship Id="rId64" Type="http://schemas.openxmlformats.org/officeDocument/2006/relationships/hyperlink" Target="https://www2.health.vic.gov.au/hospitals-and-health-services/safer-care-victoria/about" TargetMode="External"/><Relationship Id="rId69" Type="http://schemas.openxmlformats.org/officeDocument/2006/relationships/hyperlink" Target="https://bettersafercare.vic.gov.au/sites/default/files/2018-03/Guide-to-VAHI-Reports.pdf" TargetMode="External"/><Relationship Id="rId77" Type="http://schemas.openxmlformats.org/officeDocument/2006/relationships/hyperlink" Target="http://ww2.health.wa.gov.au/Reports-and-publications/Your-safety-in-our-hands-in-hospital" TargetMode="External"/><Relationship Id="rId8" Type="http://schemas.openxmlformats.org/officeDocument/2006/relationships/hyperlink" Target="http://www.safetyandquality.gov.au/wpcontent/uploads/2009/01/Developing-a-Safety-and-Quality-Framework-for-Australia.pdf" TargetMode="External"/><Relationship Id="rId51" Type="http://schemas.openxmlformats.org/officeDocument/2006/relationships/hyperlink" Target="http://www.performance.health.qld.gov.au/hospitalperformance/service-areas.aspx?hospital=99999" TargetMode="External"/><Relationship Id="rId72" Type="http://schemas.openxmlformats.org/officeDocument/2006/relationships/hyperlink" Target="https://www.vicniss.org.au/about/what-is-vicniss/" TargetMode="External"/><Relationship Id="rId3" Type="http://schemas.openxmlformats.org/officeDocument/2006/relationships/hyperlink" Target="https://www.coaghealthcouncil.gov.au/Portals/0/OOS318_Attachment%201.pdf" TargetMode="External"/><Relationship Id="rId12" Type="http://schemas.openxmlformats.org/officeDocument/2006/relationships/hyperlink" Target="http://www.euro.who.int/__data/assets/pdf_file/0020/263540/Public-reporting-in-health-and-long-term-care-to-facilitate-provider-choice-Eng.pdf" TargetMode="External"/><Relationship Id="rId17" Type="http://schemas.openxmlformats.org/officeDocument/2006/relationships/hyperlink" Target="https://www.rand.org/pubs/technical_reports/TR887.html" TargetMode="External"/><Relationship Id="rId25" Type="http://schemas.openxmlformats.org/officeDocument/2006/relationships/hyperlink" Target="https://www.healthroundtable.org/JoinUs/ImprovementGroups/PatientSafety.aspx" TargetMode="External"/><Relationship Id="rId33" Type="http://schemas.openxmlformats.org/officeDocument/2006/relationships/hyperlink" Target="https://www.rand.org/pubs/technical_reports/TR887.html" TargetMode="External"/><Relationship Id="rId38" Type="http://schemas.openxmlformats.org/officeDocument/2006/relationships/hyperlink" Target="https://www.ahrq.gov/" TargetMode="External"/><Relationship Id="rId46" Type="http://schemas.openxmlformats.org/officeDocument/2006/relationships/hyperlink" Target="https://health.act.gov.au/about-our-health-system/data-and-publications/reports/act-public-health-services-quarterly" TargetMode="External"/><Relationship Id="rId59" Type="http://schemas.openxmlformats.org/officeDocument/2006/relationships/hyperlink" Target="http://www.healthstats.dhhs.tas.gov.au/healthsystem" TargetMode="External"/><Relationship Id="rId67" Type="http://schemas.openxmlformats.org/officeDocument/2006/relationships/hyperlink" Target="https://www2.health.vic.gov.au/about/participation-and-communication/quality-account" TargetMode="External"/><Relationship Id="rId20" Type="http://schemas.openxmlformats.org/officeDocument/2006/relationships/hyperlink" Target="http://www.euro.who.int/__data/assets/pdf_file/0020/263540/Public-reporting-in-health-and-long-term-care-to-facilitate-provider-choice-Eng.pdf" TargetMode="External"/><Relationship Id="rId41" Type="http://schemas.openxmlformats.org/officeDocument/2006/relationships/hyperlink" Target="http://www.leapfroggroup.org/about" TargetMode="External"/><Relationship Id="rId54" Type="http://schemas.openxmlformats.org/officeDocument/2006/relationships/hyperlink" Target="https://www.health.qld.gov.au/system-governance/strategic-direction/improving-service/expanding-patient-safety-reporting" TargetMode="External"/><Relationship Id="rId62" Type="http://schemas.openxmlformats.org/officeDocument/2006/relationships/hyperlink" Target="https://www2.health.vic.gov.au/hospitals-and-health-services/quality-safety-service/hospital-safety-and-quality-review" TargetMode="External"/><Relationship Id="rId70" Type="http://schemas.openxmlformats.org/officeDocument/2006/relationships/hyperlink" Target="https://www2.health.vic.gov.au/hospitals-and-health-services/vahi/vahi-publications/adult-experience-public-hospitals-2016-report" TargetMode="External"/><Relationship Id="rId75" Type="http://schemas.openxmlformats.org/officeDocument/2006/relationships/hyperlink" Target="http://ww2.health.wa.gov.au/Our-performance" TargetMode="External"/><Relationship Id="rId1" Type="http://schemas.openxmlformats.org/officeDocument/2006/relationships/hyperlink" Target="https://www.pc.gov.au/inquiries/completed/human-services/reforms/report/human-services-reforms.pdf" TargetMode="External"/><Relationship Id="rId6" Type="http://schemas.openxmlformats.org/officeDocument/2006/relationships/hyperlink" Target="https://www.saxinstitute.org.au/wp-content/uploads/17_Public-reporting-of-health-system-performance....pdf" TargetMode="External"/><Relationship Id="rId15" Type="http://schemas.openxmlformats.org/officeDocument/2006/relationships/hyperlink" Target="http://www.euro.who.int/__data/assets/pdf_file/0020/263540/Public-reporting-in-health-and-long-term-care-to-facilitate-provider-choice-Eng.pdf" TargetMode="External"/><Relationship Id="rId23" Type="http://schemas.openxmlformats.org/officeDocument/2006/relationships/hyperlink" Target="http://www.euro.who.int/__data/assets/pdf_file/0020/263540/Public-reporting-in-health-and-long-term-care-to-facilitate-provider-choice-Eng.pdf" TargetMode="External"/><Relationship Id="rId28" Type="http://schemas.openxmlformats.org/officeDocument/2006/relationships/hyperlink" Target="https://www.cihi.ca/en/about-cihi" TargetMode="External"/><Relationship Id="rId36" Type="http://schemas.openxmlformats.org/officeDocument/2006/relationships/hyperlink" Target="https://aspe.hhs.gov/report/performance-improvement-2013-2014" TargetMode="External"/><Relationship Id="rId49" Type="http://schemas.openxmlformats.org/officeDocument/2006/relationships/hyperlink" Target="https://health.nt.gov.au/health-governance/compliments-complaints-and-feedback/health-complaints-suggestions-questions" TargetMode="External"/><Relationship Id="rId57" Type="http://schemas.openxmlformats.org/officeDocument/2006/relationships/hyperlink" Target="http://www.sahealth.sa.gov.au/wps/wcm/connect/public+content/sa+health+internet/about+us/our+performance/our+hospital+dashboards/our+hospitals+dashboard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3AFAC-01F7-4F98-BF37-A7B55DA4E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2042</TotalTime>
  <Pages>71</Pages>
  <Words>20956</Words>
  <Characters>133905</Characters>
  <Application>Microsoft Office Word</Application>
  <DocSecurity>0</DocSecurity>
  <Lines>1115</Lines>
  <Paragraphs>309</Paragraphs>
  <ScaleCrop>false</ScaleCrop>
  <HeadingPairs>
    <vt:vector size="2" baseType="variant">
      <vt:variant>
        <vt:lpstr>Title</vt:lpstr>
      </vt:variant>
      <vt:variant>
        <vt:i4>1</vt:i4>
      </vt:variant>
    </vt:vector>
  </HeadingPairs>
  <TitlesOfParts>
    <vt:vector size="1" baseType="lpstr">
      <vt:lpstr/>
    </vt:vector>
  </TitlesOfParts>
  <Company>Dept Health And Ageing</Company>
  <LinksUpToDate>false</LinksUpToDate>
  <CharactersWithSpaces>154552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Komoder Andrew</dc:creator>
  <cp:lastModifiedBy>BROWN, Courtney</cp:lastModifiedBy>
  <cp:revision>40</cp:revision>
  <cp:lastPrinted>2019-03-11T23:34:00Z</cp:lastPrinted>
  <dcterms:created xsi:type="dcterms:W3CDTF">2019-01-22T23:30:00Z</dcterms:created>
  <dcterms:modified xsi:type="dcterms:W3CDTF">2019-04-01T01:11:00Z</dcterms:modified>
</cp:coreProperties>
</file>