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ED7E1" w14:textId="77777777" w:rsidR="00BC2953" w:rsidRPr="00613535" w:rsidRDefault="00BC2953" w:rsidP="00BC2953">
      <w:pPr>
        <w:pStyle w:val="Commissionbodytext"/>
        <w:ind w:left="284"/>
        <w:rPr>
          <w:rStyle w:val="IntenseReference"/>
          <w:b w:val="0"/>
          <w:bCs w:val="0"/>
          <w:i w:val="0"/>
          <w:smallCaps w:val="0"/>
          <w:color w:val="auto"/>
          <w:spacing w:val="0"/>
        </w:rPr>
      </w:pPr>
      <w:bookmarkStart w:id="0" w:name="_GoBack"/>
      <w:bookmarkEnd w:id="0"/>
      <w:r w:rsidRPr="00613535">
        <w:rPr>
          <w:rFonts w:eastAsiaTheme="majorEastAsia"/>
          <w:b/>
          <w:noProof/>
          <w:color w:val="336699"/>
          <w:kern w:val="28"/>
          <w:sz w:val="56"/>
          <w:szCs w:val="52"/>
        </w:rPr>
        <w:drawing>
          <wp:inline distT="0" distB="0" distL="0" distR="0" wp14:anchorId="7D785553" wp14:editId="0C6E48D1">
            <wp:extent cx="5731510" cy="766004"/>
            <wp:effectExtent l="0" t="0" r="2540" b="0"/>
            <wp:docPr id="1" name="Picture 1" title="Australi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66004"/>
                    </a:xfrm>
                    <a:prstGeom prst="rect">
                      <a:avLst/>
                    </a:prstGeom>
                    <a:noFill/>
                    <a:ln>
                      <a:noFill/>
                    </a:ln>
                  </pic:spPr>
                </pic:pic>
              </a:graphicData>
            </a:graphic>
          </wp:inline>
        </w:drawing>
      </w:r>
    </w:p>
    <w:p w14:paraId="6D9C92B9" w14:textId="77777777" w:rsidR="00BC2953" w:rsidRPr="002A4F2C" w:rsidRDefault="00BC2953" w:rsidP="00BC2953">
      <w:pPr>
        <w:pStyle w:val="RISTitle"/>
      </w:pPr>
      <w:r w:rsidRPr="002A4F2C">
        <w:t>DECISION</w:t>
      </w:r>
    </w:p>
    <w:p w14:paraId="2AB5C80E" w14:textId="77777777" w:rsidR="00BC2953" w:rsidRPr="002A4F2C" w:rsidRDefault="00BC2953" w:rsidP="00BC2953">
      <w:pPr>
        <w:pStyle w:val="RISTitle2"/>
      </w:pPr>
      <w:r w:rsidRPr="002A4F2C">
        <w:t>Regulation Impact Statement</w:t>
      </w:r>
    </w:p>
    <w:p w14:paraId="1AC89CE0" w14:textId="77777777" w:rsidR="00BC2953" w:rsidRPr="002A4F2C" w:rsidRDefault="00BC2953" w:rsidP="00BC2953">
      <w:pPr>
        <w:pStyle w:val="RISSubtitle"/>
      </w:pPr>
      <w:r w:rsidRPr="002A4F2C">
        <w:t>Review of the National Safety and Quality Health Service Standards</w:t>
      </w:r>
    </w:p>
    <w:p w14:paraId="1D370469" w14:textId="77777777" w:rsidR="00BC2953" w:rsidRPr="002A4F2C" w:rsidRDefault="00783794" w:rsidP="00BC2953">
      <w:pPr>
        <w:spacing w:before="6360"/>
        <w:rPr>
          <w:rFonts w:eastAsiaTheme="majorEastAsia"/>
          <w:sz w:val="28"/>
          <w:szCs w:val="28"/>
        </w:rPr>
      </w:pPr>
      <w:r>
        <w:rPr>
          <w:rFonts w:eastAsiaTheme="majorEastAsia"/>
          <w:sz w:val="28"/>
          <w:szCs w:val="28"/>
        </w:rPr>
        <w:t>Version 1.9</w:t>
      </w:r>
    </w:p>
    <w:p w14:paraId="62B0EB1C" w14:textId="77777777" w:rsidR="00BC2953" w:rsidRPr="002A4F2C" w:rsidRDefault="00BC2953" w:rsidP="00BC2953">
      <w:pPr>
        <w:rPr>
          <w:rFonts w:eastAsiaTheme="majorEastAsia"/>
          <w:sz w:val="40"/>
          <w:szCs w:val="40"/>
        </w:rPr>
      </w:pPr>
      <w:r w:rsidRPr="002A4F2C">
        <w:rPr>
          <w:rFonts w:eastAsiaTheme="majorEastAsia"/>
          <w:sz w:val="40"/>
          <w:szCs w:val="40"/>
        </w:rPr>
        <w:t>September 2016</w:t>
      </w:r>
    </w:p>
    <w:p w14:paraId="38388F80" w14:textId="77777777" w:rsidR="00BC2953" w:rsidRPr="00613535" w:rsidRDefault="00BC2953" w:rsidP="00BC2953">
      <w:pPr>
        <w:rPr>
          <w:rFonts w:eastAsiaTheme="majorEastAsia"/>
          <w:color w:val="A6A6A6" w:themeColor="background1" w:themeShade="A6"/>
          <w:kern w:val="28"/>
          <w:szCs w:val="52"/>
        </w:rPr>
      </w:pPr>
      <w:r w:rsidRPr="00613535">
        <w:rPr>
          <w:rFonts w:eastAsiaTheme="majorEastAsia"/>
          <w:color w:val="A6A6A6" w:themeColor="background1" w:themeShade="A6"/>
          <w:kern w:val="28"/>
          <w:szCs w:val="52"/>
        </w:rPr>
        <w:br w:type="page"/>
      </w:r>
    </w:p>
    <w:p w14:paraId="6CE604C7" w14:textId="77777777" w:rsidR="00552906" w:rsidRDefault="00552906" w:rsidP="00BC2953">
      <w:pPr>
        <w:rPr>
          <w:rStyle w:val="Strong"/>
        </w:rPr>
      </w:pPr>
    </w:p>
    <w:p w14:paraId="4F5239FB" w14:textId="77777777" w:rsidR="00552906" w:rsidRDefault="00552906" w:rsidP="00BC2953">
      <w:pPr>
        <w:rPr>
          <w:rStyle w:val="Strong"/>
        </w:rPr>
      </w:pPr>
    </w:p>
    <w:p w14:paraId="20873D69" w14:textId="77777777" w:rsidR="00BC2953" w:rsidRDefault="00BC2953" w:rsidP="00BC2953">
      <w:pPr>
        <w:rPr>
          <w:rStyle w:val="Strong"/>
        </w:rPr>
      </w:pPr>
      <w:r w:rsidRPr="0087708C">
        <w:rPr>
          <w:rStyle w:val="Strong"/>
        </w:rPr>
        <w:t>Version control</w:t>
      </w:r>
    </w:p>
    <w:p w14:paraId="7F4B95D8" w14:textId="77777777" w:rsidR="00552906" w:rsidRPr="0087708C" w:rsidRDefault="00552906" w:rsidP="00BC2953">
      <w:pPr>
        <w:rPr>
          <w:rStyle w:val="Strong"/>
        </w:rPr>
      </w:pPr>
    </w:p>
    <w:tbl>
      <w:tblPr>
        <w:tblStyle w:val="TableGrid"/>
        <w:tblW w:w="0" w:type="auto"/>
        <w:tblLook w:val="04A0" w:firstRow="1" w:lastRow="0" w:firstColumn="1" w:lastColumn="0" w:noHBand="0" w:noVBand="1"/>
        <w:tblCaption w:val="Version control"/>
      </w:tblPr>
      <w:tblGrid>
        <w:gridCol w:w="1101"/>
        <w:gridCol w:w="1842"/>
        <w:gridCol w:w="3448"/>
        <w:gridCol w:w="2131"/>
      </w:tblGrid>
      <w:tr w:rsidR="00BC2953" w:rsidRPr="00613535" w14:paraId="6203A8DE"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1101" w:type="dxa"/>
          </w:tcPr>
          <w:p w14:paraId="11C08239" w14:textId="77777777" w:rsidR="00BC2953" w:rsidRPr="00613535" w:rsidRDefault="00BC2953" w:rsidP="00030BC1">
            <w:pPr>
              <w:pStyle w:val="TableHeading0"/>
              <w:rPr>
                <w:rStyle w:val="IntenseReference"/>
                <w:rFonts w:ascii="Arial" w:hAnsi="Arial" w:cs="Arial"/>
                <w:b w:val="0"/>
                <w:bCs/>
                <w:i w:val="0"/>
                <w:smallCaps w:val="0"/>
                <w:color w:val="000000"/>
                <w:spacing w:val="0"/>
              </w:rPr>
            </w:pPr>
            <w:r w:rsidRPr="00613535">
              <w:rPr>
                <w:rStyle w:val="IntenseReference"/>
                <w:rFonts w:ascii="Arial" w:hAnsi="Arial" w:cs="Arial"/>
                <w:b w:val="0"/>
                <w:bCs/>
                <w:i w:val="0"/>
                <w:smallCaps w:val="0"/>
                <w:color w:val="000000"/>
                <w:spacing w:val="0"/>
              </w:rPr>
              <w:t>Date</w:t>
            </w:r>
          </w:p>
        </w:tc>
        <w:tc>
          <w:tcPr>
            <w:tcW w:w="1842" w:type="dxa"/>
          </w:tcPr>
          <w:p w14:paraId="215076D6" w14:textId="77777777" w:rsidR="00BC2953" w:rsidRPr="00613535" w:rsidRDefault="00BC2953" w:rsidP="00030BC1">
            <w:pPr>
              <w:pStyle w:val="TableHeading0"/>
              <w:rPr>
                <w:rStyle w:val="IntenseReference"/>
                <w:rFonts w:ascii="Arial" w:hAnsi="Arial" w:cs="Arial"/>
                <w:b w:val="0"/>
                <w:bCs/>
                <w:i w:val="0"/>
                <w:smallCaps w:val="0"/>
                <w:color w:val="000000"/>
                <w:spacing w:val="0"/>
              </w:rPr>
            </w:pPr>
            <w:r w:rsidRPr="00613535">
              <w:rPr>
                <w:rStyle w:val="IntenseReference"/>
                <w:rFonts w:ascii="Arial" w:hAnsi="Arial" w:cs="Arial"/>
                <w:b w:val="0"/>
                <w:bCs/>
                <w:i w:val="0"/>
                <w:smallCaps w:val="0"/>
                <w:color w:val="000000"/>
                <w:spacing w:val="0"/>
              </w:rPr>
              <w:t>Version</w:t>
            </w:r>
          </w:p>
        </w:tc>
        <w:tc>
          <w:tcPr>
            <w:tcW w:w="3448" w:type="dxa"/>
          </w:tcPr>
          <w:p w14:paraId="26EBB713" w14:textId="77777777" w:rsidR="00BC2953" w:rsidRPr="00613535" w:rsidRDefault="00BC2953" w:rsidP="00030BC1">
            <w:pPr>
              <w:pStyle w:val="TableHeading0"/>
              <w:rPr>
                <w:rStyle w:val="IntenseReference"/>
                <w:rFonts w:ascii="Arial" w:hAnsi="Arial" w:cs="Arial"/>
                <w:b w:val="0"/>
                <w:bCs/>
                <w:i w:val="0"/>
                <w:smallCaps w:val="0"/>
                <w:color w:val="000000"/>
                <w:spacing w:val="0"/>
              </w:rPr>
            </w:pPr>
            <w:r w:rsidRPr="00613535">
              <w:rPr>
                <w:rStyle w:val="IntenseReference"/>
                <w:rFonts w:ascii="Arial" w:hAnsi="Arial" w:cs="Arial"/>
                <w:b w:val="0"/>
                <w:bCs/>
                <w:i w:val="0"/>
                <w:smallCaps w:val="0"/>
                <w:color w:val="000000"/>
                <w:spacing w:val="0"/>
              </w:rPr>
              <w:t>Amendments</w:t>
            </w:r>
          </w:p>
        </w:tc>
        <w:tc>
          <w:tcPr>
            <w:tcW w:w="2131" w:type="dxa"/>
          </w:tcPr>
          <w:p w14:paraId="3BDB2ABF" w14:textId="77777777" w:rsidR="00BC2953" w:rsidRPr="00613535" w:rsidRDefault="00BC2953" w:rsidP="00030BC1">
            <w:pPr>
              <w:pStyle w:val="TableHeading0"/>
              <w:rPr>
                <w:rStyle w:val="IntenseReference"/>
                <w:rFonts w:ascii="Arial" w:hAnsi="Arial" w:cs="Arial"/>
                <w:b w:val="0"/>
                <w:bCs/>
                <w:i w:val="0"/>
                <w:smallCaps w:val="0"/>
                <w:color w:val="000000"/>
                <w:spacing w:val="0"/>
              </w:rPr>
            </w:pPr>
            <w:r w:rsidRPr="00613535">
              <w:rPr>
                <w:rStyle w:val="IntenseReference"/>
                <w:rFonts w:ascii="Arial" w:hAnsi="Arial" w:cs="Arial"/>
                <w:b w:val="0"/>
                <w:bCs/>
                <w:i w:val="0"/>
                <w:smallCaps w:val="0"/>
                <w:color w:val="000000"/>
                <w:spacing w:val="0"/>
              </w:rPr>
              <w:t>Author</w:t>
            </w:r>
          </w:p>
        </w:tc>
      </w:tr>
      <w:tr w:rsidR="00BC2953" w:rsidRPr="00613535" w14:paraId="09DCD9A0" w14:textId="77777777" w:rsidTr="00030BC1">
        <w:tc>
          <w:tcPr>
            <w:tcW w:w="1101" w:type="dxa"/>
          </w:tcPr>
          <w:p w14:paraId="4172316D"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 xml:space="preserve">27 June </w:t>
            </w:r>
          </w:p>
        </w:tc>
        <w:tc>
          <w:tcPr>
            <w:tcW w:w="1842" w:type="dxa"/>
          </w:tcPr>
          <w:p w14:paraId="54DF0833"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1.0 based on consultation RIS</w:t>
            </w:r>
          </w:p>
        </w:tc>
        <w:tc>
          <w:tcPr>
            <w:tcW w:w="3448" w:type="dxa"/>
          </w:tcPr>
          <w:p w14:paraId="0B4A720F"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Amend to reflect this is Decision RIS</w:t>
            </w:r>
          </w:p>
        </w:tc>
        <w:tc>
          <w:tcPr>
            <w:tcW w:w="2131" w:type="dxa"/>
          </w:tcPr>
          <w:p w14:paraId="420661A5"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25755F03" w14:textId="77777777" w:rsidTr="00030BC1">
        <w:tc>
          <w:tcPr>
            <w:tcW w:w="1101" w:type="dxa"/>
          </w:tcPr>
          <w:p w14:paraId="78958B11"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15/7/16</w:t>
            </w:r>
          </w:p>
        </w:tc>
        <w:tc>
          <w:tcPr>
            <w:tcW w:w="1842" w:type="dxa"/>
          </w:tcPr>
          <w:p w14:paraId="1C04F101"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1.1</w:t>
            </w:r>
          </w:p>
        </w:tc>
        <w:tc>
          <w:tcPr>
            <w:tcW w:w="3448" w:type="dxa"/>
          </w:tcPr>
          <w:p w14:paraId="049E8783"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 xml:space="preserve">Drafting </w:t>
            </w:r>
          </w:p>
        </w:tc>
        <w:tc>
          <w:tcPr>
            <w:tcW w:w="2131" w:type="dxa"/>
          </w:tcPr>
          <w:p w14:paraId="50C15F64"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4DDD7884" w14:textId="77777777" w:rsidTr="00030BC1">
        <w:tc>
          <w:tcPr>
            <w:tcW w:w="1101" w:type="dxa"/>
          </w:tcPr>
          <w:p w14:paraId="22CACE35"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8/8/16</w:t>
            </w:r>
          </w:p>
        </w:tc>
        <w:tc>
          <w:tcPr>
            <w:tcW w:w="1842" w:type="dxa"/>
          </w:tcPr>
          <w:p w14:paraId="5955921B"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1.2</w:t>
            </w:r>
          </w:p>
        </w:tc>
        <w:tc>
          <w:tcPr>
            <w:tcW w:w="3448" w:type="dxa"/>
          </w:tcPr>
          <w:p w14:paraId="42D30142"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Incorporating feedback and analysis from RIS</w:t>
            </w:r>
          </w:p>
        </w:tc>
        <w:tc>
          <w:tcPr>
            <w:tcW w:w="2131" w:type="dxa"/>
          </w:tcPr>
          <w:p w14:paraId="33E40696"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LG</w:t>
            </w:r>
          </w:p>
        </w:tc>
      </w:tr>
      <w:tr w:rsidR="00BC2953" w:rsidRPr="00613535" w14:paraId="3D98ACD3" w14:textId="77777777" w:rsidTr="00030BC1">
        <w:tc>
          <w:tcPr>
            <w:tcW w:w="1101" w:type="dxa"/>
          </w:tcPr>
          <w:p w14:paraId="4465397E"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12/8/16</w:t>
            </w:r>
          </w:p>
        </w:tc>
        <w:tc>
          <w:tcPr>
            <w:tcW w:w="1842" w:type="dxa"/>
          </w:tcPr>
          <w:p w14:paraId="7A5B72EF"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1.3</w:t>
            </w:r>
          </w:p>
        </w:tc>
        <w:tc>
          <w:tcPr>
            <w:tcW w:w="3448" w:type="dxa"/>
          </w:tcPr>
          <w:p w14:paraId="215524B3"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Review</w:t>
            </w:r>
          </w:p>
        </w:tc>
        <w:tc>
          <w:tcPr>
            <w:tcW w:w="2131" w:type="dxa"/>
          </w:tcPr>
          <w:p w14:paraId="5A6DB3D4"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207D82FF" w14:textId="77777777" w:rsidTr="00030BC1">
        <w:tc>
          <w:tcPr>
            <w:tcW w:w="1101" w:type="dxa"/>
          </w:tcPr>
          <w:p w14:paraId="252AE835"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15/8/16</w:t>
            </w:r>
          </w:p>
        </w:tc>
        <w:tc>
          <w:tcPr>
            <w:tcW w:w="1842" w:type="dxa"/>
          </w:tcPr>
          <w:p w14:paraId="7A1AECA7"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1.4</w:t>
            </w:r>
          </w:p>
        </w:tc>
        <w:tc>
          <w:tcPr>
            <w:tcW w:w="3448" w:type="dxa"/>
          </w:tcPr>
          <w:p w14:paraId="75F5B3BB"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 xml:space="preserve">Edit </w:t>
            </w:r>
          </w:p>
        </w:tc>
        <w:tc>
          <w:tcPr>
            <w:tcW w:w="2131" w:type="dxa"/>
          </w:tcPr>
          <w:p w14:paraId="6DFD10E1"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TO”M, LG</w:t>
            </w:r>
          </w:p>
        </w:tc>
      </w:tr>
      <w:tr w:rsidR="00BC2953" w:rsidRPr="00613535" w14:paraId="147962D1" w14:textId="77777777" w:rsidTr="00030BC1">
        <w:tc>
          <w:tcPr>
            <w:tcW w:w="1101" w:type="dxa"/>
          </w:tcPr>
          <w:p w14:paraId="0A1742D6"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29/8/16</w:t>
            </w:r>
          </w:p>
        </w:tc>
        <w:tc>
          <w:tcPr>
            <w:tcW w:w="1842" w:type="dxa"/>
          </w:tcPr>
          <w:p w14:paraId="396BC92F"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1.5</w:t>
            </w:r>
          </w:p>
        </w:tc>
        <w:tc>
          <w:tcPr>
            <w:tcW w:w="3448" w:type="dxa"/>
          </w:tcPr>
          <w:p w14:paraId="7711E7D0"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OBPR comments incorporated</w:t>
            </w:r>
          </w:p>
        </w:tc>
        <w:tc>
          <w:tcPr>
            <w:tcW w:w="2131" w:type="dxa"/>
          </w:tcPr>
          <w:p w14:paraId="04F70B4E"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6FAD2F91" w14:textId="77777777" w:rsidTr="00030BC1">
        <w:tc>
          <w:tcPr>
            <w:tcW w:w="1101" w:type="dxa"/>
          </w:tcPr>
          <w:p w14:paraId="0FD0973D"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1/9/16</w:t>
            </w:r>
          </w:p>
        </w:tc>
        <w:tc>
          <w:tcPr>
            <w:tcW w:w="1842" w:type="dxa"/>
          </w:tcPr>
          <w:p w14:paraId="5046B230"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1.6</w:t>
            </w:r>
          </w:p>
        </w:tc>
        <w:tc>
          <w:tcPr>
            <w:tcW w:w="3448" w:type="dxa"/>
          </w:tcPr>
          <w:p w14:paraId="432EA9AA"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Cost calculations revised</w:t>
            </w:r>
          </w:p>
        </w:tc>
        <w:tc>
          <w:tcPr>
            <w:tcW w:w="2131" w:type="dxa"/>
          </w:tcPr>
          <w:p w14:paraId="702FAA82"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67464116" w14:textId="77777777" w:rsidTr="00030BC1">
        <w:tc>
          <w:tcPr>
            <w:tcW w:w="1101" w:type="dxa"/>
          </w:tcPr>
          <w:p w14:paraId="6206AEB5"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5/9/16</w:t>
            </w:r>
          </w:p>
        </w:tc>
        <w:tc>
          <w:tcPr>
            <w:tcW w:w="1842" w:type="dxa"/>
          </w:tcPr>
          <w:p w14:paraId="35693849"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1.7</w:t>
            </w:r>
          </w:p>
        </w:tc>
        <w:tc>
          <w:tcPr>
            <w:tcW w:w="3448" w:type="dxa"/>
          </w:tcPr>
          <w:p w14:paraId="20A11CE4"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Amend cost calculations to include public sector</w:t>
            </w:r>
          </w:p>
        </w:tc>
        <w:tc>
          <w:tcPr>
            <w:tcW w:w="2131" w:type="dxa"/>
          </w:tcPr>
          <w:p w14:paraId="5FDE1E88"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BC2953" w:rsidRPr="00613535" w14:paraId="0BDD790C" w14:textId="77777777" w:rsidTr="00030BC1">
        <w:tc>
          <w:tcPr>
            <w:tcW w:w="1101" w:type="dxa"/>
          </w:tcPr>
          <w:p w14:paraId="0D3BE899"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7/9/16</w:t>
            </w:r>
          </w:p>
        </w:tc>
        <w:tc>
          <w:tcPr>
            <w:tcW w:w="1842" w:type="dxa"/>
          </w:tcPr>
          <w:p w14:paraId="4E56F5DF"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1.8</w:t>
            </w:r>
          </w:p>
        </w:tc>
        <w:tc>
          <w:tcPr>
            <w:tcW w:w="3448" w:type="dxa"/>
          </w:tcPr>
          <w:p w14:paraId="79234001" w14:textId="77777777" w:rsidR="00BC2953"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OBPR comments accepted</w:t>
            </w:r>
          </w:p>
          <w:p w14:paraId="585B57F4"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Appendix 5 added</w:t>
            </w:r>
          </w:p>
        </w:tc>
        <w:tc>
          <w:tcPr>
            <w:tcW w:w="2131" w:type="dxa"/>
          </w:tcPr>
          <w:p w14:paraId="434A1391" w14:textId="77777777" w:rsidR="00BC2953" w:rsidRPr="00613535" w:rsidRDefault="00BC2953" w:rsidP="00030BC1">
            <w:pPr>
              <w:pStyle w:val="TableText"/>
              <w:rPr>
                <w:rStyle w:val="IntenseReference"/>
                <w:rFonts w:ascii="Arial" w:hAnsi="Arial" w:cs="Arial"/>
                <w:b w:val="0"/>
                <w:bCs w:val="0"/>
                <w:i w:val="0"/>
                <w:smallCaps w:val="0"/>
                <w:color w:val="000000"/>
                <w:spacing w:val="0"/>
              </w:rPr>
            </w:pPr>
            <w:r>
              <w:rPr>
                <w:rStyle w:val="IntenseReference"/>
                <w:rFonts w:ascii="Arial" w:hAnsi="Arial" w:cs="Arial"/>
                <w:b w:val="0"/>
                <w:bCs w:val="0"/>
                <w:i w:val="0"/>
                <w:smallCaps w:val="0"/>
                <w:color w:val="000000"/>
                <w:spacing w:val="0"/>
              </w:rPr>
              <w:t>MB</w:t>
            </w:r>
          </w:p>
        </w:tc>
      </w:tr>
      <w:tr w:rsidR="00AC7F56" w:rsidRPr="00613535" w14:paraId="22A59E4C" w14:textId="77777777" w:rsidTr="00030BC1">
        <w:tc>
          <w:tcPr>
            <w:tcW w:w="1101" w:type="dxa"/>
          </w:tcPr>
          <w:p w14:paraId="4A796CE4" w14:textId="77777777" w:rsidR="00AC7F56" w:rsidRDefault="00AC7F56" w:rsidP="00030BC1">
            <w:pPr>
              <w:pStyle w:val="TableText"/>
              <w:rPr>
                <w:rStyle w:val="IntenseReference"/>
                <w:b w:val="0"/>
                <w:bCs w:val="0"/>
                <w:i w:val="0"/>
                <w:smallCaps w:val="0"/>
                <w:color w:val="000000"/>
                <w:spacing w:val="0"/>
              </w:rPr>
            </w:pPr>
            <w:r>
              <w:rPr>
                <w:rStyle w:val="IntenseReference"/>
                <w:b w:val="0"/>
                <w:bCs w:val="0"/>
                <w:i w:val="0"/>
                <w:smallCaps w:val="0"/>
                <w:color w:val="000000"/>
                <w:spacing w:val="0"/>
              </w:rPr>
              <w:t>9/9/13</w:t>
            </w:r>
          </w:p>
        </w:tc>
        <w:tc>
          <w:tcPr>
            <w:tcW w:w="1842" w:type="dxa"/>
          </w:tcPr>
          <w:p w14:paraId="2F535520" w14:textId="77777777" w:rsidR="00AC7F56" w:rsidRDefault="00AC7F56" w:rsidP="00030BC1">
            <w:pPr>
              <w:pStyle w:val="TableText"/>
              <w:rPr>
                <w:rStyle w:val="IntenseReference"/>
                <w:b w:val="0"/>
                <w:bCs w:val="0"/>
                <w:i w:val="0"/>
                <w:smallCaps w:val="0"/>
                <w:color w:val="000000"/>
                <w:spacing w:val="0"/>
              </w:rPr>
            </w:pPr>
            <w:r>
              <w:rPr>
                <w:rStyle w:val="IntenseReference"/>
                <w:b w:val="0"/>
                <w:bCs w:val="0"/>
                <w:i w:val="0"/>
                <w:smallCaps w:val="0"/>
                <w:color w:val="000000"/>
                <w:spacing w:val="0"/>
              </w:rPr>
              <w:t>1.9</w:t>
            </w:r>
          </w:p>
        </w:tc>
        <w:tc>
          <w:tcPr>
            <w:tcW w:w="3448" w:type="dxa"/>
          </w:tcPr>
          <w:p w14:paraId="2AF56E7D" w14:textId="77777777" w:rsidR="00AC7F56" w:rsidRDefault="00AC7F56" w:rsidP="00030BC1">
            <w:pPr>
              <w:pStyle w:val="TableText"/>
              <w:rPr>
                <w:rStyle w:val="IntenseReference"/>
                <w:b w:val="0"/>
                <w:bCs w:val="0"/>
                <w:i w:val="0"/>
                <w:smallCaps w:val="0"/>
                <w:color w:val="000000"/>
                <w:spacing w:val="0"/>
              </w:rPr>
            </w:pPr>
            <w:r>
              <w:rPr>
                <w:rStyle w:val="IntenseReference"/>
                <w:b w:val="0"/>
                <w:bCs w:val="0"/>
                <w:i w:val="0"/>
                <w:smallCaps w:val="0"/>
                <w:color w:val="000000"/>
                <w:spacing w:val="0"/>
              </w:rPr>
              <w:t xml:space="preserve">Editing – including comments from Accreditation team, Adam </w:t>
            </w:r>
            <w:proofErr w:type="spellStart"/>
            <w:r>
              <w:rPr>
                <w:rStyle w:val="IntenseReference"/>
                <w:b w:val="0"/>
                <w:bCs w:val="0"/>
                <w:i w:val="0"/>
                <w:smallCaps w:val="0"/>
                <w:color w:val="000000"/>
                <w:spacing w:val="0"/>
              </w:rPr>
              <w:t>Cresswell</w:t>
            </w:r>
            <w:proofErr w:type="spellEnd"/>
            <w:r>
              <w:rPr>
                <w:rStyle w:val="IntenseReference"/>
                <w:b w:val="0"/>
                <w:bCs w:val="0"/>
                <w:i w:val="0"/>
                <w:smallCaps w:val="0"/>
                <w:color w:val="000000"/>
                <w:spacing w:val="0"/>
              </w:rPr>
              <w:t>, Mike Wallace and Catherine Katz</w:t>
            </w:r>
          </w:p>
        </w:tc>
        <w:tc>
          <w:tcPr>
            <w:tcW w:w="2131" w:type="dxa"/>
          </w:tcPr>
          <w:p w14:paraId="249C7E4A" w14:textId="77777777" w:rsidR="00AC7F56" w:rsidRDefault="00AC7F56" w:rsidP="00030BC1">
            <w:pPr>
              <w:pStyle w:val="TableText"/>
              <w:rPr>
                <w:rStyle w:val="IntenseReference"/>
                <w:b w:val="0"/>
                <w:bCs w:val="0"/>
                <w:i w:val="0"/>
                <w:smallCaps w:val="0"/>
                <w:color w:val="000000"/>
                <w:spacing w:val="0"/>
              </w:rPr>
            </w:pPr>
            <w:r>
              <w:rPr>
                <w:rStyle w:val="IntenseReference"/>
                <w:b w:val="0"/>
                <w:bCs w:val="0"/>
                <w:i w:val="0"/>
                <w:smallCaps w:val="0"/>
                <w:color w:val="000000"/>
                <w:spacing w:val="0"/>
              </w:rPr>
              <w:t>MB</w:t>
            </w:r>
          </w:p>
        </w:tc>
      </w:tr>
    </w:tbl>
    <w:p w14:paraId="46B6930A" w14:textId="77777777" w:rsidR="00BC2953" w:rsidRPr="00C3385E" w:rsidRDefault="00BC2953" w:rsidP="00BC2953">
      <w:pPr>
        <w:pStyle w:val="Heading1a"/>
        <w:rPr>
          <w:rStyle w:val="IntenseReference"/>
          <w:b w:val="0"/>
          <w:bCs/>
          <w:i w:val="0"/>
          <w:smallCaps w:val="0"/>
          <w:color w:val="auto"/>
          <w:spacing w:val="0"/>
          <w:kern w:val="0"/>
          <w:sz w:val="24"/>
        </w:rPr>
      </w:pPr>
      <w:bookmarkStart w:id="1" w:name="_Toc445101451"/>
      <w:r w:rsidRPr="00C3385E">
        <w:rPr>
          <w:rStyle w:val="IntenseReference"/>
          <w:b w:val="0"/>
          <w:i w:val="0"/>
          <w:smallCaps w:val="0"/>
          <w:color w:val="auto"/>
          <w:spacing w:val="0"/>
        </w:rPr>
        <w:lastRenderedPageBreak/>
        <w:t>Contents</w:t>
      </w:r>
      <w:bookmarkEnd w:id="1"/>
    </w:p>
    <w:p w14:paraId="6533C0C5" w14:textId="77777777" w:rsidR="00094745" w:rsidRPr="00C3385E" w:rsidRDefault="00BC2953" w:rsidP="00094745">
      <w:pPr>
        <w:pStyle w:val="TOC1"/>
        <w:tabs>
          <w:tab w:val="left" w:pos="1418"/>
        </w:tabs>
        <w:rPr>
          <w:rFonts w:asciiTheme="minorHAnsi" w:eastAsiaTheme="minorEastAsia" w:hAnsiTheme="minorHAnsi" w:cstheme="minorBidi"/>
          <w:b w:val="0"/>
          <w:bCs w:val="0"/>
          <w:spacing w:val="0"/>
        </w:rPr>
      </w:pPr>
      <w:r w:rsidRPr="00C3385E">
        <w:rPr>
          <w:rStyle w:val="IntenseReference"/>
          <w:bCs/>
          <w:i w:val="0"/>
          <w:smallCaps w:val="0"/>
          <w:color w:val="auto"/>
          <w:spacing w:val="0"/>
          <w:szCs w:val="24"/>
        </w:rPr>
        <w:fldChar w:fldCharType="begin"/>
      </w:r>
      <w:r w:rsidRPr="00C3385E">
        <w:rPr>
          <w:rStyle w:val="IntenseReference"/>
          <w:bCs/>
          <w:i w:val="0"/>
          <w:smallCaps w:val="0"/>
          <w:color w:val="auto"/>
          <w:spacing w:val="0"/>
          <w:szCs w:val="24"/>
        </w:rPr>
        <w:instrText xml:space="preserve"> TOC \o "1-1" \h \z \u </w:instrText>
      </w:r>
      <w:r w:rsidRPr="00C3385E">
        <w:rPr>
          <w:rStyle w:val="IntenseReference"/>
          <w:bCs/>
          <w:i w:val="0"/>
          <w:smallCaps w:val="0"/>
          <w:color w:val="auto"/>
          <w:spacing w:val="0"/>
          <w:szCs w:val="24"/>
        </w:rPr>
        <w:fldChar w:fldCharType="separate"/>
      </w:r>
      <w:hyperlink w:anchor="_Toc461178315" w:history="1">
        <w:r w:rsidR="00094745" w:rsidRPr="00C3385E">
          <w:rPr>
            <w:rStyle w:val="Hyperlink"/>
            <w:b w:val="0"/>
          </w:rPr>
          <w:t>Executive summary</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_Toc461178315 \h </w:instrText>
        </w:r>
        <w:r w:rsidR="00094745" w:rsidRPr="00C3385E">
          <w:rPr>
            <w:b w:val="0"/>
            <w:webHidden/>
          </w:rPr>
        </w:r>
        <w:r w:rsidR="00094745" w:rsidRPr="00C3385E">
          <w:rPr>
            <w:b w:val="0"/>
            <w:webHidden/>
          </w:rPr>
          <w:fldChar w:fldCharType="separate"/>
        </w:r>
        <w:r w:rsidR="0068597B">
          <w:rPr>
            <w:b w:val="0"/>
            <w:webHidden/>
          </w:rPr>
          <w:t>4</w:t>
        </w:r>
        <w:r w:rsidR="00094745" w:rsidRPr="00C3385E">
          <w:rPr>
            <w:b w:val="0"/>
            <w:webHidden/>
          </w:rPr>
          <w:fldChar w:fldCharType="end"/>
        </w:r>
      </w:hyperlink>
    </w:p>
    <w:p w14:paraId="0D77331D"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16" w:history="1">
        <w:r w:rsidR="00094745" w:rsidRPr="00C3385E">
          <w:rPr>
            <w:rStyle w:val="Hyperlink"/>
            <w:b w:val="0"/>
          </w:rPr>
          <w:t>Introduction</w:t>
        </w:r>
        <w:r w:rsidR="00094745" w:rsidRPr="00C3385E">
          <w:rPr>
            <w:b w:val="0"/>
            <w:webHidden/>
          </w:rPr>
          <w:tab/>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_Toc461178316 \h </w:instrText>
        </w:r>
        <w:r w:rsidR="00094745" w:rsidRPr="00C3385E">
          <w:rPr>
            <w:b w:val="0"/>
            <w:webHidden/>
          </w:rPr>
        </w:r>
        <w:r w:rsidR="00094745" w:rsidRPr="00C3385E">
          <w:rPr>
            <w:b w:val="0"/>
            <w:webHidden/>
          </w:rPr>
          <w:fldChar w:fldCharType="separate"/>
        </w:r>
        <w:r w:rsidR="0068597B">
          <w:rPr>
            <w:b w:val="0"/>
            <w:webHidden/>
          </w:rPr>
          <w:t>6</w:t>
        </w:r>
        <w:r w:rsidR="00094745" w:rsidRPr="00C3385E">
          <w:rPr>
            <w:b w:val="0"/>
            <w:webHidden/>
          </w:rPr>
          <w:fldChar w:fldCharType="end"/>
        </w:r>
      </w:hyperlink>
    </w:p>
    <w:p w14:paraId="30F0A871"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17" w:history="1">
        <w:r w:rsidR="00094745" w:rsidRPr="00C3385E">
          <w:rPr>
            <w:rStyle w:val="Hyperlink"/>
            <w:b w:val="0"/>
          </w:rPr>
          <w:t>Section 1</w:t>
        </w:r>
        <w:r w:rsidR="00094745" w:rsidRPr="00C3385E">
          <w:rPr>
            <w:rFonts w:asciiTheme="minorHAnsi" w:eastAsiaTheme="minorEastAsia" w:hAnsiTheme="minorHAnsi" w:cstheme="minorBidi"/>
            <w:b w:val="0"/>
            <w:bCs w:val="0"/>
            <w:spacing w:val="0"/>
          </w:rPr>
          <w:tab/>
        </w:r>
        <w:r w:rsidR="00094745" w:rsidRPr="00C3385E">
          <w:rPr>
            <w:rStyle w:val="Hyperlink"/>
            <w:b w:val="0"/>
          </w:rPr>
          <w:t>Statement of the problem</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_Toc461178317 \h </w:instrText>
        </w:r>
        <w:r w:rsidR="00094745" w:rsidRPr="00C3385E">
          <w:rPr>
            <w:b w:val="0"/>
            <w:webHidden/>
          </w:rPr>
        </w:r>
        <w:r w:rsidR="00094745" w:rsidRPr="00C3385E">
          <w:rPr>
            <w:b w:val="0"/>
            <w:webHidden/>
          </w:rPr>
          <w:fldChar w:fldCharType="separate"/>
        </w:r>
        <w:r w:rsidR="0068597B">
          <w:rPr>
            <w:b w:val="0"/>
            <w:webHidden/>
          </w:rPr>
          <w:t>8</w:t>
        </w:r>
        <w:r w:rsidR="00094745" w:rsidRPr="00C3385E">
          <w:rPr>
            <w:b w:val="0"/>
            <w:webHidden/>
          </w:rPr>
          <w:fldChar w:fldCharType="end"/>
        </w:r>
      </w:hyperlink>
    </w:p>
    <w:p w14:paraId="1B7AC6C7"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18" w:history="1">
        <w:r w:rsidR="00094745" w:rsidRPr="00C3385E">
          <w:rPr>
            <w:rStyle w:val="Hyperlink"/>
            <w:b w:val="0"/>
          </w:rPr>
          <w:t>Section 2</w:t>
        </w:r>
        <w:r w:rsidR="00094745" w:rsidRPr="00C3385E">
          <w:rPr>
            <w:rFonts w:asciiTheme="minorHAnsi" w:eastAsiaTheme="minorEastAsia" w:hAnsiTheme="minorHAnsi" w:cstheme="minorBidi"/>
            <w:b w:val="0"/>
            <w:bCs w:val="0"/>
            <w:spacing w:val="0"/>
          </w:rPr>
          <w:tab/>
        </w:r>
        <w:r w:rsidR="00094745" w:rsidRPr="00C3385E">
          <w:rPr>
            <w:rStyle w:val="Hyperlink"/>
            <w:b w:val="0"/>
          </w:rPr>
          <w:t>Objectives of the NSQHS Standards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_Toc461178318 \h </w:instrText>
        </w:r>
        <w:r w:rsidR="00094745" w:rsidRPr="00C3385E">
          <w:rPr>
            <w:b w:val="0"/>
            <w:webHidden/>
          </w:rPr>
        </w:r>
        <w:r w:rsidR="00094745" w:rsidRPr="00C3385E">
          <w:rPr>
            <w:b w:val="0"/>
            <w:webHidden/>
          </w:rPr>
          <w:fldChar w:fldCharType="separate"/>
        </w:r>
        <w:r w:rsidR="0068597B">
          <w:rPr>
            <w:b w:val="0"/>
            <w:webHidden/>
          </w:rPr>
          <w:t>18</w:t>
        </w:r>
        <w:r w:rsidR="00094745" w:rsidRPr="00C3385E">
          <w:rPr>
            <w:b w:val="0"/>
            <w:webHidden/>
          </w:rPr>
          <w:fldChar w:fldCharType="end"/>
        </w:r>
      </w:hyperlink>
    </w:p>
    <w:p w14:paraId="50287DF5"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19" w:history="1">
        <w:r w:rsidR="00094745" w:rsidRPr="00C3385E">
          <w:rPr>
            <w:rStyle w:val="Hyperlink"/>
            <w:b w:val="0"/>
          </w:rPr>
          <w:t>Section 3</w:t>
        </w:r>
        <w:r w:rsidR="00094745" w:rsidRPr="00C3385E">
          <w:rPr>
            <w:rFonts w:asciiTheme="minorHAnsi" w:eastAsiaTheme="minorEastAsia" w:hAnsiTheme="minorHAnsi" w:cstheme="minorBidi"/>
            <w:b w:val="0"/>
            <w:bCs w:val="0"/>
            <w:spacing w:val="0"/>
          </w:rPr>
          <w:tab/>
        </w:r>
        <w:r w:rsidR="00094745" w:rsidRPr="00C3385E">
          <w:rPr>
            <w:rStyle w:val="Hyperlink"/>
            <w:b w:val="0"/>
          </w:rPr>
          <w:t>Statement of options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_Toc461178319 \h </w:instrText>
        </w:r>
        <w:r w:rsidR="00094745" w:rsidRPr="00C3385E">
          <w:rPr>
            <w:b w:val="0"/>
            <w:webHidden/>
          </w:rPr>
        </w:r>
        <w:r w:rsidR="00094745" w:rsidRPr="00C3385E">
          <w:rPr>
            <w:b w:val="0"/>
            <w:webHidden/>
          </w:rPr>
          <w:fldChar w:fldCharType="separate"/>
        </w:r>
        <w:r w:rsidR="0068597B">
          <w:rPr>
            <w:b w:val="0"/>
            <w:webHidden/>
          </w:rPr>
          <w:t>19</w:t>
        </w:r>
        <w:r w:rsidR="00094745" w:rsidRPr="00C3385E">
          <w:rPr>
            <w:b w:val="0"/>
            <w:webHidden/>
          </w:rPr>
          <w:fldChar w:fldCharType="end"/>
        </w:r>
      </w:hyperlink>
    </w:p>
    <w:p w14:paraId="3C750CA7"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20" w:history="1">
        <w:r w:rsidR="00094745" w:rsidRPr="00C3385E">
          <w:rPr>
            <w:rStyle w:val="Hyperlink"/>
            <w:b w:val="0"/>
          </w:rPr>
          <w:t>Section 4</w:t>
        </w:r>
        <w:r w:rsidR="00094745" w:rsidRPr="00C3385E">
          <w:rPr>
            <w:rFonts w:asciiTheme="minorHAnsi" w:eastAsiaTheme="minorEastAsia" w:hAnsiTheme="minorHAnsi" w:cstheme="minorBidi"/>
            <w:b w:val="0"/>
            <w:bCs w:val="0"/>
            <w:spacing w:val="0"/>
          </w:rPr>
          <w:tab/>
        </w:r>
        <w:r w:rsidR="00094745" w:rsidRPr="00C3385E">
          <w:rPr>
            <w:rStyle w:val="Hyperlink"/>
            <w:b w:val="0"/>
          </w:rPr>
          <w:t>RIS consultation</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_Toc461178320 \h </w:instrText>
        </w:r>
        <w:r w:rsidR="00094745" w:rsidRPr="00C3385E">
          <w:rPr>
            <w:b w:val="0"/>
            <w:webHidden/>
          </w:rPr>
        </w:r>
        <w:r w:rsidR="00094745" w:rsidRPr="00C3385E">
          <w:rPr>
            <w:b w:val="0"/>
            <w:webHidden/>
          </w:rPr>
          <w:fldChar w:fldCharType="separate"/>
        </w:r>
        <w:r w:rsidR="0068597B">
          <w:rPr>
            <w:b w:val="0"/>
            <w:webHidden/>
          </w:rPr>
          <w:t>21</w:t>
        </w:r>
        <w:r w:rsidR="00094745" w:rsidRPr="00C3385E">
          <w:rPr>
            <w:b w:val="0"/>
            <w:webHidden/>
          </w:rPr>
          <w:fldChar w:fldCharType="end"/>
        </w:r>
      </w:hyperlink>
    </w:p>
    <w:p w14:paraId="717324AD"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21" w:history="1">
        <w:r w:rsidR="00094745" w:rsidRPr="00C3385E">
          <w:rPr>
            <w:rStyle w:val="Hyperlink"/>
            <w:b w:val="0"/>
          </w:rPr>
          <w:t>Section 5</w:t>
        </w:r>
        <w:r w:rsidR="00094745" w:rsidRPr="00C3385E">
          <w:rPr>
            <w:rFonts w:asciiTheme="minorHAnsi" w:eastAsiaTheme="minorEastAsia" w:hAnsiTheme="minorHAnsi" w:cstheme="minorBidi"/>
            <w:b w:val="0"/>
            <w:bCs w:val="0"/>
            <w:spacing w:val="0"/>
          </w:rPr>
          <w:tab/>
        </w:r>
        <w:r w:rsidR="00094745" w:rsidRPr="00C3385E">
          <w:rPr>
            <w:rStyle w:val="Hyperlink"/>
            <w:b w:val="0"/>
          </w:rPr>
          <w:t>Impact analysis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_Toc461178321 \h </w:instrText>
        </w:r>
        <w:r w:rsidR="00094745" w:rsidRPr="00C3385E">
          <w:rPr>
            <w:b w:val="0"/>
            <w:webHidden/>
          </w:rPr>
        </w:r>
        <w:r w:rsidR="00094745" w:rsidRPr="00C3385E">
          <w:rPr>
            <w:b w:val="0"/>
            <w:webHidden/>
          </w:rPr>
          <w:fldChar w:fldCharType="separate"/>
        </w:r>
        <w:r w:rsidR="0068597B">
          <w:rPr>
            <w:b w:val="0"/>
            <w:webHidden/>
          </w:rPr>
          <w:t>25</w:t>
        </w:r>
        <w:r w:rsidR="00094745" w:rsidRPr="00C3385E">
          <w:rPr>
            <w:b w:val="0"/>
            <w:webHidden/>
          </w:rPr>
          <w:fldChar w:fldCharType="end"/>
        </w:r>
      </w:hyperlink>
    </w:p>
    <w:p w14:paraId="69530206"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22" w:history="1">
        <w:r w:rsidR="00094745" w:rsidRPr="00C3385E">
          <w:rPr>
            <w:rStyle w:val="Hyperlink"/>
            <w:b w:val="0"/>
          </w:rPr>
          <w:t>Section 6</w:t>
        </w:r>
        <w:r w:rsidR="00094745" w:rsidRPr="00C3385E">
          <w:rPr>
            <w:rFonts w:asciiTheme="minorHAnsi" w:eastAsiaTheme="minorEastAsia" w:hAnsiTheme="minorHAnsi" w:cstheme="minorBidi"/>
            <w:b w:val="0"/>
            <w:bCs w:val="0"/>
            <w:spacing w:val="0"/>
          </w:rPr>
          <w:tab/>
        </w:r>
        <w:r w:rsidR="00094745" w:rsidRPr="00C3385E">
          <w:rPr>
            <w:rStyle w:val="Hyperlink"/>
            <w:b w:val="0"/>
          </w:rPr>
          <w:t>Implementation</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_Toc461178322 \h </w:instrText>
        </w:r>
        <w:r w:rsidR="00094745" w:rsidRPr="00C3385E">
          <w:rPr>
            <w:b w:val="0"/>
            <w:webHidden/>
          </w:rPr>
        </w:r>
        <w:r w:rsidR="00094745" w:rsidRPr="00C3385E">
          <w:rPr>
            <w:b w:val="0"/>
            <w:webHidden/>
          </w:rPr>
          <w:fldChar w:fldCharType="separate"/>
        </w:r>
        <w:r w:rsidR="0068597B">
          <w:rPr>
            <w:b w:val="0"/>
            <w:webHidden/>
          </w:rPr>
          <w:t>44</w:t>
        </w:r>
        <w:r w:rsidR="00094745" w:rsidRPr="00C3385E">
          <w:rPr>
            <w:b w:val="0"/>
            <w:webHidden/>
          </w:rPr>
          <w:fldChar w:fldCharType="end"/>
        </w:r>
      </w:hyperlink>
    </w:p>
    <w:p w14:paraId="30817FB7" w14:textId="77777777" w:rsidR="00094745" w:rsidRPr="00C3385E" w:rsidRDefault="006A3C26" w:rsidP="00094745">
      <w:pPr>
        <w:pStyle w:val="TOC1"/>
        <w:tabs>
          <w:tab w:val="left" w:pos="1418"/>
        </w:tabs>
        <w:rPr>
          <w:rFonts w:asciiTheme="minorHAnsi" w:eastAsiaTheme="minorEastAsia" w:hAnsiTheme="minorHAnsi" w:cstheme="minorBidi"/>
          <w:b w:val="0"/>
          <w:bCs w:val="0"/>
          <w:spacing w:val="0"/>
        </w:rPr>
      </w:pPr>
      <w:hyperlink w:anchor="_Toc461178323" w:history="1">
        <w:r w:rsidR="00094745" w:rsidRPr="00C3385E">
          <w:rPr>
            <w:rStyle w:val="Hyperlink"/>
            <w:b w:val="0"/>
          </w:rPr>
          <w:t>Section 7</w:t>
        </w:r>
        <w:r w:rsidR="00094745" w:rsidRPr="00C3385E">
          <w:rPr>
            <w:rFonts w:asciiTheme="minorHAnsi" w:eastAsiaTheme="minorEastAsia" w:hAnsiTheme="minorHAnsi" w:cstheme="minorBidi"/>
            <w:b w:val="0"/>
            <w:bCs w:val="0"/>
            <w:spacing w:val="0"/>
          </w:rPr>
          <w:tab/>
        </w:r>
        <w:r w:rsidR="00094745" w:rsidRPr="00C3385E">
          <w:rPr>
            <w:rStyle w:val="Hyperlink"/>
            <w:b w:val="0"/>
          </w:rPr>
          <w:t>Conclusion</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_Toc461178323 \h </w:instrText>
        </w:r>
        <w:r w:rsidR="00094745" w:rsidRPr="00C3385E">
          <w:rPr>
            <w:b w:val="0"/>
            <w:webHidden/>
          </w:rPr>
        </w:r>
        <w:r w:rsidR="00094745" w:rsidRPr="00C3385E">
          <w:rPr>
            <w:b w:val="0"/>
            <w:webHidden/>
          </w:rPr>
          <w:fldChar w:fldCharType="separate"/>
        </w:r>
        <w:r w:rsidR="0068597B">
          <w:rPr>
            <w:b w:val="0"/>
            <w:webHidden/>
          </w:rPr>
          <w:t>45</w:t>
        </w:r>
        <w:r w:rsidR="00094745" w:rsidRPr="00C3385E">
          <w:rPr>
            <w:b w:val="0"/>
            <w:webHidden/>
          </w:rPr>
          <w:fldChar w:fldCharType="end"/>
        </w:r>
      </w:hyperlink>
    </w:p>
    <w:p w14:paraId="730D59A8"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4" w:history="1">
        <w:r w:rsidR="00094745" w:rsidRPr="00C3385E">
          <w:rPr>
            <w:rStyle w:val="Hyperlink"/>
            <w:b w:val="0"/>
          </w:rPr>
          <w:t>Appendix 1</w:t>
        </w:r>
        <w:r w:rsidR="00094745" w:rsidRPr="00C3385E">
          <w:rPr>
            <w:rFonts w:asciiTheme="minorHAnsi" w:eastAsiaTheme="minorEastAsia" w:hAnsiTheme="minorHAnsi" w:cstheme="minorBidi"/>
            <w:b w:val="0"/>
            <w:bCs w:val="0"/>
            <w:spacing w:val="0"/>
          </w:rPr>
          <w:tab/>
        </w:r>
        <w:r w:rsidR="00094745" w:rsidRPr="00C3385E">
          <w:rPr>
            <w:rStyle w:val="Hyperlink"/>
            <w:b w:val="0"/>
          </w:rPr>
          <w:t>Stakeholder distribution list</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_Toc461178324 \h </w:instrText>
        </w:r>
        <w:r w:rsidR="00094745" w:rsidRPr="00C3385E">
          <w:rPr>
            <w:b w:val="0"/>
            <w:webHidden/>
          </w:rPr>
        </w:r>
        <w:r w:rsidR="00094745" w:rsidRPr="00C3385E">
          <w:rPr>
            <w:b w:val="0"/>
            <w:webHidden/>
          </w:rPr>
          <w:fldChar w:fldCharType="separate"/>
        </w:r>
        <w:r w:rsidR="0068597B">
          <w:rPr>
            <w:b w:val="0"/>
            <w:webHidden/>
          </w:rPr>
          <w:t>47</w:t>
        </w:r>
        <w:r w:rsidR="00094745" w:rsidRPr="00C3385E">
          <w:rPr>
            <w:b w:val="0"/>
            <w:webHidden/>
          </w:rPr>
          <w:fldChar w:fldCharType="end"/>
        </w:r>
      </w:hyperlink>
    </w:p>
    <w:p w14:paraId="62357B7D"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5" w:history="1">
        <w:r w:rsidR="00094745" w:rsidRPr="00C3385E">
          <w:rPr>
            <w:rStyle w:val="Hyperlink"/>
            <w:b w:val="0"/>
          </w:rPr>
          <w:t>Appendix 2</w:t>
        </w:r>
        <w:r w:rsidR="00094745" w:rsidRPr="00C3385E">
          <w:rPr>
            <w:rFonts w:asciiTheme="minorHAnsi" w:eastAsiaTheme="minorEastAsia" w:hAnsiTheme="minorHAnsi" w:cstheme="minorBidi"/>
            <w:b w:val="0"/>
            <w:bCs w:val="0"/>
            <w:spacing w:val="0"/>
          </w:rPr>
          <w:tab/>
        </w:r>
        <w:r w:rsidR="00094745" w:rsidRPr="00C3385E">
          <w:rPr>
            <w:rStyle w:val="Hyperlink"/>
            <w:b w:val="0"/>
          </w:rPr>
          <w:t>Development of Version 2 of the NSQHS Standards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_Toc461178325 \h </w:instrText>
        </w:r>
        <w:r w:rsidR="00094745" w:rsidRPr="00C3385E">
          <w:rPr>
            <w:b w:val="0"/>
            <w:webHidden/>
          </w:rPr>
        </w:r>
        <w:r w:rsidR="00094745" w:rsidRPr="00C3385E">
          <w:rPr>
            <w:b w:val="0"/>
            <w:webHidden/>
          </w:rPr>
          <w:fldChar w:fldCharType="separate"/>
        </w:r>
        <w:r w:rsidR="0068597B">
          <w:rPr>
            <w:b w:val="0"/>
            <w:webHidden/>
          </w:rPr>
          <w:t>48</w:t>
        </w:r>
        <w:r w:rsidR="00094745" w:rsidRPr="00C3385E">
          <w:rPr>
            <w:b w:val="0"/>
            <w:webHidden/>
          </w:rPr>
          <w:fldChar w:fldCharType="end"/>
        </w:r>
      </w:hyperlink>
    </w:p>
    <w:p w14:paraId="38CF552F"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6" w:history="1">
        <w:r w:rsidR="00094745" w:rsidRPr="00C3385E">
          <w:rPr>
            <w:rStyle w:val="Hyperlink"/>
            <w:b w:val="0"/>
          </w:rPr>
          <w:t xml:space="preserve">Appendix 3 </w:t>
        </w:r>
        <w:r w:rsidR="00094745" w:rsidRPr="00C3385E">
          <w:rPr>
            <w:rFonts w:asciiTheme="minorHAnsi" w:eastAsiaTheme="minorEastAsia" w:hAnsiTheme="minorHAnsi" w:cstheme="minorBidi"/>
            <w:b w:val="0"/>
            <w:bCs w:val="0"/>
            <w:spacing w:val="0"/>
          </w:rPr>
          <w:tab/>
        </w:r>
        <w:r w:rsidR="00094745" w:rsidRPr="00C3385E">
          <w:rPr>
            <w:rStyle w:val="Hyperlink"/>
            <w:b w:val="0"/>
          </w:rPr>
          <w:t>RIS Respondents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_Toc461178326 \h </w:instrText>
        </w:r>
        <w:r w:rsidR="00094745" w:rsidRPr="00C3385E">
          <w:rPr>
            <w:b w:val="0"/>
            <w:webHidden/>
          </w:rPr>
        </w:r>
        <w:r w:rsidR="00094745" w:rsidRPr="00C3385E">
          <w:rPr>
            <w:b w:val="0"/>
            <w:webHidden/>
          </w:rPr>
          <w:fldChar w:fldCharType="separate"/>
        </w:r>
        <w:r w:rsidR="0068597B">
          <w:rPr>
            <w:b w:val="0"/>
            <w:webHidden/>
          </w:rPr>
          <w:t>52</w:t>
        </w:r>
        <w:r w:rsidR="00094745" w:rsidRPr="00C3385E">
          <w:rPr>
            <w:b w:val="0"/>
            <w:webHidden/>
          </w:rPr>
          <w:fldChar w:fldCharType="end"/>
        </w:r>
      </w:hyperlink>
    </w:p>
    <w:p w14:paraId="0503BFB3"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7" w:history="1">
        <w:r w:rsidR="00094745" w:rsidRPr="00C3385E">
          <w:rPr>
            <w:rStyle w:val="Hyperlink"/>
            <w:b w:val="0"/>
          </w:rPr>
          <w:t xml:space="preserve">Appendix 4 </w:t>
        </w:r>
        <w:r w:rsidR="00094745" w:rsidRPr="00C3385E">
          <w:rPr>
            <w:rFonts w:asciiTheme="minorHAnsi" w:eastAsiaTheme="minorEastAsia" w:hAnsiTheme="minorHAnsi" w:cstheme="minorBidi"/>
            <w:b w:val="0"/>
            <w:bCs w:val="0"/>
            <w:spacing w:val="0"/>
          </w:rPr>
          <w:tab/>
        </w:r>
        <w:r w:rsidR="00094745" w:rsidRPr="00C3385E">
          <w:rPr>
            <w:rStyle w:val="Hyperlink"/>
            <w:b w:val="0"/>
          </w:rPr>
          <w:t>Responses to consultation questions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_Toc461178327 \h </w:instrText>
        </w:r>
        <w:r w:rsidR="00094745" w:rsidRPr="00C3385E">
          <w:rPr>
            <w:b w:val="0"/>
            <w:webHidden/>
          </w:rPr>
        </w:r>
        <w:r w:rsidR="00094745" w:rsidRPr="00C3385E">
          <w:rPr>
            <w:b w:val="0"/>
            <w:webHidden/>
          </w:rPr>
          <w:fldChar w:fldCharType="separate"/>
        </w:r>
        <w:r w:rsidR="0068597B">
          <w:rPr>
            <w:b w:val="0"/>
            <w:webHidden/>
          </w:rPr>
          <w:t>54</w:t>
        </w:r>
        <w:r w:rsidR="00094745" w:rsidRPr="00C3385E">
          <w:rPr>
            <w:b w:val="0"/>
            <w:webHidden/>
          </w:rPr>
          <w:fldChar w:fldCharType="end"/>
        </w:r>
      </w:hyperlink>
    </w:p>
    <w:p w14:paraId="7BDDDE69"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8" w:history="1">
        <w:r w:rsidR="00094745" w:rsidRPr="00C3385E">
          <w:rPr>
            <w:rStyle w:val="Hyperlink"/>
            <w:b w:val="0"/>
          </w:rPr>
          <w:t xml:space="preserve">Appendix 5 </w:t>
        </w:r>
        <w:r w:rsidR="00094745" w:rsidRPr="00C3385E">
          <w:rPr>
            <w:rFonts w:asciiTheme="minorHAnsi" w:eastAsiaTheme="minorEastAsia" w:hAnsiTheme="minorHAnsi" w:cstheme="minorBidi"/>
            <w:b w:val="0"/>
            <w:bCs w:val="0"/>
            <w:spacing w:val="0"/>
          </w:rPr>
          <w:tab/>
        </w:r>
        <w:r w:rsidR="00094745" w:rsidRPr="00C3385E">
          <w:rPr>
            <w:rStyle w:val="Hyperlink"/>
            <w:b w:val="0"/>
          </w:rPr>
          <w:t>Costs and benefits by Standard</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_Toc461178328 \h </w:instrText>
        </w:r>
        <w:r w:rsidR="00094745" w:rsidRPr="00C3385E">
          <w:rPr>
            <w:b w:val="0"/>
            <w:webHidden/>
          </w:rPr>
        </w:r>
        <w:r w:rsidR="00094745" w:rsidRPr="00C3385E">
          <w:rPr>
            <w:b w:val="0"/>
            <w:webHidden/>
          </w:rPr>
          <w:fldChar w:fldCharType="separate"/>
        </w:r>
        <w:r w:rsidR="0068597B">
          <w:rPr>
            <w:b w:val="0"/>
            <w:webHidden/>
          </w:rPr>
          <w:t>55</w:t>
        </w:r>
        <w:r w:rsidR="00094745" w:rsidRPr="00C3385E">
          <w:rPr>
            <w:b w:val="0"/>
            <w:webHidden/>
          </w:rPr>
          <w:fldChar w:fldCharType="end"/>
        </w:r>
      </w:hyperlink>
    </w:p>
    <w:p w14:paraId="09AA5EAE" w14:textId="77777777" w:rsidR="00094745" w:rsidRPr="00C3385E" w:rsidRDefault="006A3C26" w:rsidP="00094745">
      <w:pPr>
        <w:pStyle w:val="TOC1"/>
        <w:tabs>
          <w:tab w:val="left" w:pos="1418"/>
          <w:tab w:val="left" w:pos="2160"/>
        </w:tabs>
        <w:rPr>
          <w:rFonts w:asciiTheme="minorHAnsi" w:eastAsiaTheme="minorEastAsia" w:hAnsiTheme="minorHAnsi" w:cstheme="minorBidi"/>
          <w:b w:val="0"/>
          <w:bCs w:val="0"/>
          <w:spacing w:val="0"/>
        </w:rPr>
      </w:pPr>
      <w:hyperlink w:anchor="_Toc461178329" w:history="1">
        <w:r w:rsidR="00094745" w:rsidRPr="00C3385E">
          <w:rPr>
            <w:rStyle w:val="Hyperlink"/>
            <w:b w:val="0"/>
          </w:rPr>
          <w:t>Appendix 6</w:t>
        </w:r>
        <w:r w:rsidR="00094745" w:rsidRPr="00C3385E">
          <w:rPr>
            <w:rFonts w:asciiTheme="minorHAnsi" w:eastAsiaTheme="minorEastAsia" w:hAnsiTheme="minorHAnsi" w:cstheme="minorBidi"/>
            <w:b w:val="0"/>
            <w:bCs w:val="0"/>
            <w:spacing w:val="0"/>
          </w:rPr>
          <w:tab/>
        </w:r>
        <w:r w:rsidR="00094745" w:rsidRPr="00C3385E">
          <w:rPr>
            <w:rStyle w:val="Hyperlink"/>
            <w:b w:val="0"/>
          </w:rPr>
          <w:t>Regulatory burden estimate</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_Toc461178329 \h </w:instrText>
        </w:r>
        <w:r w:rsidR="00094745" w:rsidRPr="00C3385E">
          <w:rPr>
            <w:b w:val="0"/>
            <w:webHidden/>
          </w:rPr>
        </w:r>
        <w:r w:rsidR="00094745" w:rsidRPr="00C3385E">
          <w:rPr>
            <w:b w:val="0"/>
            <w:webHidden/>
          </w:rPr>
          <w:fldChar w:fldCharType="separate"/>
        </w:r>
        <w:r w:rsidR="0068597B">
          <w:rPr>
            <w:b w:val="0"/>
            <w:webHidden/>
          </w:rPr>
          <w:t>59</w:t>
        </w:r>
        <w:r w:rsidR="00094745" w:rsidRPr="00C3385E">
          <w:rPr>
            <w:b w:val="0"/>
            <w:webHidden/>
          </w:rPr>
          <w:fldChar w:fldCharType="end"/>
        </w:r>
      </w:hyperlink>
    </w:p>
    <w:p w14:paraId="67FEE87D" w14:textId="77777777" w:rsidR="00094745" w:rsidRPr="00C3385E" w:rsidRDefault="006A3C26">
      <w:pPr>
        <w:pStyle w:val="TOC1"/>
        <w:rPr>
          <w:rFonts w:asciiTheme="minorHAnsi" w:eastAsiaTheme="minorEastAsia" w:hAnsiTheme="minorHAnsi" w:cstheme="minorBidi"/>
          <w:b w:val="0"/>
          <w:bCs w:val="0"/>
          <w:spacing w:val="0"/>
        </w:rPr>
      </w:pPr>
      <w:hyperlink w:anchor="_Toc461178330" w:history="1">
        <w:r w:rsidR="00094745" w:rsidRPr="00C3385E">
          <w:rPr>
            <w:rStyle w:val="Hyperlink"/>
            <w:b w:val="0"/>
          </w:rPr>
          <w:t>References</w:t>
        </w:r>
        <w:r w:rsidR="00094745" w:rsidRPr="00C3385E">
          <w:rPr>
            <w:b w:val="0"/>
            <w:webHidden/>
          </w:rPr>
          <w:tab/>
        </w:r>
        <w:r w:rsidR="00094745" w:rsidRPr="00C3385E">
          <w:rPr>
            <w:b w:val="0"/>
            <w:webHidden/>
          </w:rPr>
          <w:fldChar w:fldCharType="begin"/>
        </w:r>
        <w:r w:rsidR="00094745" w:rsidRPr="00C3385E">
          <w:rPr>
            <w:b w:val="0"/>
            <w:webHidden/>
          </w:rPr>
          <w:instrText xml:space="preserve"> PAGEREF _Toc461178330 \h </w:instrText>
        </w:r>
        <w:r w:rsidR="00094745" w:rsidRPr="00C3385E">
          <w:rPr>
            <w:b w:val="0"/>
            <w:webHidden/>
          </w:rPr>
        </w:r>
        <w:r w:rsidR="00094745" w:rsidRPr="00C3385E">
          <w:rPr>
            <w:b w:val="0"/>
            <w:webHidden/>
          </w:rPr>
          <w:fldChar w:fldCharType="separate"/>
        </w:r>
        <w:r w:rsidR="0068597B">
          <w:rPr>
            <w:b w:val="0"/>
            <w:webHidden/>
          </w:rPr>
          <w:t>60</w:t>
        </w:r>
        <w:r w:rsidR="00094745" w:rsidRPr="00C3385E">
          <w:rPr>
            <w:b w:val="0"/>
            <w:webHidden/>
          </w:rPr>
          <w:fldChar w:fldCharType="end"/>
        </w:r>
      </w:hyperlink>
    </w:p>
    <w:p w14:paraId="3929F4DA" w14:textId="77777777" w:rsidR="00BC2953" w:rsidRPr="00F04ABB" w:rsidRDefault="00BC2953" w:rsidP="00BC2953">
      <w:pPr>
        <w:pStyle w:val="Normal2"/>
        <w:rPr>
          <w:rStyle w:val="IntenseReference"/>
          <w:b w:val="0"/>
          <w:bCs w:val="0"/>
          <w:i w:val="0"/>
          <w:smallCaps w:val="0"/>
          <w:color w:val="auto"/>
          <w:vertAlign w:val="superscript"/>
        </w:rPr>
      </w:pPr>
      <w:r w:rsidRPr="00C3385E">
        <w:rPr>
          <w:rStyle w:val="IntenseReference"/>
          <w:b w:val="0"/>
          <w:bCs w:val="0"/>
          <w:i w:val="0"/>
          <w:smallCaps w:val="0"/>
          <w:color w:val="auto"/>
          <w:spacing w:val="0"/>
          <w:szCs w:val="24"/>
        </w:rPr>
        <w:fldChar w:fldCharType="end"/>
      </w:r>
    </w:p>
    <w:p w14:paraId="19A32930" w14:textId="77777777" w:rsidR="00BC2953" w:rsidRPr="003C5FC1" w:rsidRDefault="00BC2953" w:rsidP="00BC2953">
      <w:pPr>
        <w:pStyle w:val="Heading1"/>
      </w:pPr>
      <w:bookmarkStart w:id="2" w:name="_Toc461178315"/>
      <w:r w:rsidRPr="003C5FC1">
        <w:t>Executive summary</w:t>
      </w:r>
      <w:bookmarkEnd w:id="2"/>
    </w:p>
    <w:p w14:paraId="236FCFAF" w14:textId="77777777" w:rsidR="00BC2953" w:rsidRPr="0087708C" w:rsidRDefault="00F306E4" w:rsidP="00BC2953">
      <w:pPr>
        <w:pStyle w:val="Normal2"/>
      </w:pPr>
      <w:r>
        <w:t>This D</w:t>
      </w:r>
      <w:r w:rsidR="00BC2953" w:rsidRPr="0087708C">
        <w:t>ecision Regulation Impact Statement (RIS) is the final stage of a consultation process undertaken by the Australian Commission on Safety and Quality in Health Care (the Commission) to review the National Safety and Quality Health Service (NSQHS) Standards.</w:t>
      </w:r>
    </w:p>
    <w:p w14:paraId="137F3DB9" w14:textId="77777777" w:rsidR="00F306E4" w:rsidRPr="00F306E4" w:rsidRDefault="00F306E4" w:rsidP="00BC2953">
      <w:pPr>
        <w:pStyle w:val="Normal2"/>
        <w:rPr>
          <w:b/>
        </w:rPr>
      </w:pPr>
      <w:r w:rsidRPr="00F306E4">
        <w:rPr>
          <w:b/>
        </w:rPr>
        <w:t>Background</w:t>
      </w:r>
    </w:p>
    <w:p w14:paraId="136FB12F" w14:textId="77777777" w:rsidR="00BC2953" w:rsidRPr="0087708C" w:rsidRDefault="00BC2953" w:rsidP="00BC2953">
      <w:pPr>
        <w:pStyle w:val="Normal2"/>
      </w:pPr>
      <w:r w:rsidRPr="0087708C">
        <w:t>The Commission has legislative responsibility to develop and maintain the NSQHS Standards.</w:t>
      </w:r>
      <w:r w:rsidR="00F306E4">
        <w:t xml:space="preserve"> </w:t>
      </w:r>
      <w:r w:rsidRPr="0087708C">
        <w:t xml:space="preserve">The NSQHS Standards were designed to protect the public from harm and to improve the quality of health care for consumers. They are applicable to all health service organisations, and have been used to assess all hospitals and day procedure services since January 2013. </w:t>
      </w:r>
    </w:p>
    <w:p w14:paraId="3EED1CC9" w14:textId="77777777" w:rsidR="00BC2953" w:rsidRPr="0087708C" w:rsidRDefault="00BC2953" w:rsidP="00BC2953">
      <w:pPr>
        <w:pStyle w:val="Normal2"/>
      </w:pPr>
      <w:r w:rsidRPr="0087708C">
        <w:t xml:space="preserve">The introduction of version 1 of the NSQHS Standards was successful. Preliminary evaluation shows a number of high-level impacts, including: </w:t>
      </w:r>
    </w:p>
    <w:p w14:paraId="29761427" w14:textId="77777777" w:rsidR="00BC2953" w:rsidRPr="0087708C" w:rsidRDefault="00BC2953" w:rsidP="00BC2953">
      <w:pPr>
        <w:pStyle w:val="Normal2"/>
        <w:numPr>
          <w:ilvl w:val="0"/>
          <w:numId w:val="14"/>
        </w:numPr>
      </w:pPr>
      <w:r w:rsidRPr="0087708C">
        <w:t xml:space="preserve">a focused </w:t>
      </w:r>
      <w:r>
        <w:t xml:space="preserve">national </w:t>
      </w:r>
      <w:r w:rsidRPr="0087708C">
        <w:t>framework for safety and quality activities</w:t>
      </w:r>
    </w:p>
    <w:p w14:paraId="31EFDA6F" w14:textId="77777777" w:rsidR="00BC2953" w:rsidRPr="0087708C" w:rsidRDefault="00BC2953" w:rsidP="00BC2953">
      <w:pPr>
        <w:pStyle w:val="Normal2"/>
        <w:numPr>
          <w:ilvl w:val="0"/>
          <w:numId w:val="14"/>
        </w:numPr>
      </w:pPr>
      <w:r w:rsidRPr="0087708C">
        <w:t>better management of safety and quality risks by hospital boards nationally</w:t>
      </w:r>
    </w:p>
    <w:p w14:paraId="599BABFD" w14:textId="77777777" w:rsidR="00BC2953" w:rsidRPr="0087708C" w:rsidRDefault="00BC2953" w:rsidP="00BC2953">
      <w:pPr>
        <w:pStyle w:val="Normal2"/>
        <w:numPr>
          <w:ilvl w:val="0"/>
          <w:numId w:val="14"/>
        </w:numPr>
      </w:pPr>
      <w:r w:rsidRPr="0087708C">
        <w:t>increased integration of governance and quality improvement systems nationally</w:t>
      </w:r>
    </w:p>
    <w:p w14:paraId="4421F6AE" w14:textId="77777777" w:rsidR="00BC2953" w:rsidRPr="0087708C" w:rsidRDefault="00BC2953" w:rsidP="00BC2953">
      <w:pPr>
        <w:pStyle w:val="Normal2"/>
        <w:numPr>
          <w:ilvl w:val="0"/>
          <w:numId w:val="14"/>
        </w:numPr>
      </w:pPr>
      <w:r w:rsidRPr="0087708C">
        <w:t>decreased rates of several healthcare-associated infections, nationally including</w:t>
      </w:r>
    </w:p>
    <w:p w14:paraId="66014F05" w14:textId="77777777" w:rsidR="00BC2953" w:rsidRPr="0087708C" w:rsidRDefault="00BC2953" w:rsidP="00BC2953">
      <w:pPr>
        <w:pStyle w:val="Normal2"/>
        <w:numPr>
          <w:ilvl w:val="1"/>
          <w:numId w:val="14"/>
        </w:numPr>
      </w:pPr>
      <w:r w:rsidRPr="0087708C">
        <w:t xml:space="preserve">The </w:t>
      </w:r>
      <w:r w:rsidRPr="003C5FC1">
        <w:rPr>
          <w:rStyle w:val="Emphasis"/>
        </w:rPr>
        <w:t xml:space="preserve">Staphylococcus aureus </w:t>
      </w:r>
      <w:r w:rsidRPr="00F306E4">
        <w:rPr>
          <w:rStyle w:val="Emphasis"/>
          <w:i w:val="0"/>
        </w:rPr>
        <w:t>bacteraemia</w:t>
      </w:r>
      <w:r w:rsidRPr="00F306E4">
        <w:rPr>
          <w:i/>
        </w:rPr>
        <w:t xml:space="preserve"> </w:t>
      </w:r>
      <w:r w:rsidRPr="0087708C">
        <w:t>(SAB) rate per 10</w:t>
      </w:r>
      <w:r w:rsidR="00F306E4">
        <w:t xml:space="preserve"> </w:t>
      </w:r>
      <w:r w:rsidRPr="0087708C">
        <w:t xml:space="preserve">000 patient days under surveillance decreased from 1.1 to 0.87 cases. The yearly number of methicillin-resistant </w:t>
      </w:r>
      <w:r w:rsidRPr="003C5FC1">
        <w:rPr>
          <w:rStyle w:val="Emphasis"/>
        </w:rPr>
        <w:t>Staphylococcus aureus</w:t>
      </w:r>
      <w:r w:rsidRPr="0087708C">
        <w:t xml:space="preserve"> (MRSA) bacteraemia cases decreased from 505 to 389 over this period. </w:t>
      </w:r>
    </w:p>
    <w:p w14:paraId="5B415C8A" w14:textId="77777777" w:rsidR="00BC2953" w:rsidRPr="0087708C" w:rsidRDefault="00BC2953" w:rsidP="00BC2953">
      <w:pPr>
        <w:pStyle w:val="Normal2"/>
        <w:numPr>
          <w:ilvl w:val="1"/>
          <w:numId w:val="14"/>
        </w:numPr>
      </w:pPr>
      <w:r w:rsidRPr="0087708C">
        <w:t>The national rate of central-line associated bloodstream infections (CLABSI) reduced from 1.02 to 0.64 per 1000 line days from 2012-13 to 2013-14.</w:t>
      </w:r>
    </w:p>
    <w:p w14:paraId="7587FF48" w14:textId="77777777" w:rsidR="00BC2953" w:rsidRPr="0087708C" w:rsidRDefault="00BC2953" w:rsidP="00BC2953">
      <w:pPr>
        <w:pStyle w:val="Normal2"/>
        <w:numPr>
          <w:ilvl w:val="0"/>
          <w:numId w:val="14"/>
        </w:numPr>
      </w:pPr>
      <w:r w:rsidRPr="0087708C">
        <w:t>greater prioritisation of antimicrobial stewardship activities in hospitals, nationally</w:t>
      </w:r>
    </w:p>
    <w:p w14:paraId="7D597599" w14:textId="77777777" w:rsidR="00BC2953" w:rsidRPr="0087708C" w:rsidRDefault="00BC2953" w:rsidP="00BC2953">
      <w:pPr>
        <w:pStyle w:val="Normal2"/>
        <w:numPr>
          <w:ilvl w:val="0"/>
          <w:numId w:val="14"/>
        </w:numPr>
      </w:pPr>
      <w:r w:rsidRPr="0087708C">
        <w:t xml:space="preserve">better documentation of adverse drug reactions and medication history, nationally </w:t>
      </w:r>
    </w:p>
    <w:p w14:paraId="6C0165F1" w14:textId="77777777" w:rsidR="00BC2953" w:rsidRPr="0087708C" w:rsidRDefault="00BC2953" w:rsidP="00BC2953">
      <w:pPr>
        <w:pStyle w:val="Normal2"/>
        <w:numPr>
          <w:ilvl w:val="0"/>
          <w:numId w:val="14"/>
        </w:numPr>
      </w:pPr>
      <w:r w:rsidRPr="0087708C">
        <w:t>yearly red blood cell issues noted by the National Blood Authority fell from mid-2010 to mid-2015, from approximately 800</w:t>
      </w:r>
      <w:r w:rsidR="00F306E4">
        <w:t xml:space="preserve"> </w:t>
      </w:r>
      <w:r w:rsidRPr="0087708C">
        <w:t>000 units to 667</w:t>
      </w:r>
      <w:r w:rsidR="00F306E4">
        <w:t xml:space="preserve"> </w:t>
      </w:r>
      <w:r w:rsidRPr="0087708C">
        <w:t>000 units</w:t>
      </w:r>
    </w:p>
    <w:p w14:paraId="0CB0B608" w14:textId="77777777" w:rsidR="00BC2953" w:rsidRPr="0087708C" w:rsidRDefault="00F306E4" w:rsidP="00BC2953">
      <w:pPr>
        <w:pStyle w:val="Normal2"/>
        <w:numPr>
          <w:ilvl w:val="0"/>
          <w:numId w:val="14"/>
        </w:numPr>
      </w:pPr>
      <w:r>
        <w:t xml:space="preserve">a </w:t>
      </w:r>
      <w:r w:rsidRPr="0087708C">
        <w:t xml:space="preserve">continued </w:t>
      </w:r>
      <w:r>
        <w:t xml:space="preserve">reduction </w:t>
      </w:r>
      <w:r w:rsidRPr="0087708C">
        <w:t xml:space="preserve">in Queensland </w:t>
      </w:r>
      <w:r w:rsidR="00BC2953" w:rsidRPr="0087708C">
        <w:t xml:space="preserve">hospital-acquired </w:t>
      </w:r>
      <w:r>
        <w:t xml:space="preserve">and a maintenance of previous improvements in </w:t>
      </w:r>
      <w:r w:rsidR="00BC2953" w:rsidRPr="0087708C">
        <w:t>pressure injuries in W</w:t>
      </w:r>
      <w:r w:rsidR="00BC2953">
        <w:t xml:space="preserve">estern </w:t>
      </w:r>
      <w:r w:rsidR="00BC2953" w:rsidRPr="0087708C">
        <w:t>A</w:t>
      </w:r>
      <w:r w:rsidR="00BC2953">
        <w:t>ustralia</w:t>
      </w:r>
    </w:p>
    <w:p w14:paraId="7243FE89" w14:textId="77777777" w:rsidR="00BC2953" w:rsidRPr="0087708C" w:rsidRDefault="00BC2953" w:rsidP="00BC2953">
      <w:pPr>
        <w:pStyle w:val="Normal2"/>
        <w:numPr>
          <w:ilvl w:val="0"/>
          <w:numId w:val="14"/>
        </w:numPr>
      </w:pPr>
      <w:r w:rsidRPr="0087708C">
        <w:t>declining in-hospital cardiac arrest rates in Victoria and N</w:t>
      </w:r>
      <w:r>
        <w:t xml:space="preserve">ew </w:t>
      </w:r>
      <w:r w:rsidRPr="0087708C">
        <w:t>S</w:t>
      </w:r>
      <w:r>
        <w:t xml:space="preserve">outh </w:t>
      </w:r>
      <w:r w:rsidRPr="0087708C">
        <w:t>W</w:t>
      </w:r>
      <w:r>
        <w:t>ales</w:t>
      </w:r>
      <w:r w:rsidRPr="0087708C">
        <w:t xml:space="preserve">, and </w:t>
      </w:r>
      <w:r w:rsidR="00F306E4">
        <w:t>reduced admissions to i</w:t>
      </w:r>
      <w:r>
        <w:t xml:space="preserve">ntensive </w:t>
      </w:r>
      <w:r w:rsidR="00F306E4">
        <w:t>c</w:t>
      </w:r>
      <w:r>
        <w:t xml:space="preserve">are </w:t>
      </w:r>
      <w:r w:rsidR="00F306E4">
        <w:t>u</w:t>
      </w:r>
      <w:r>
        <w:t>nits</w:t>
      </w:r>
      <w:r w:rsidRPr="0087708C">
        <w:t xml:space="preserve"> admissions data (A</w:t>
      </w:r>
      <w:r>
        <w:t xml:space="preserve">ustralian and </w:t>
      </w:r>
      <w:r w:rsidRPr="0087708C">
        <w:t>N</w:t>
      </w:r>
      <w:r>
        <w:t xml:space="preserve">ew </w:t>
      </w:r>
      <w:r w:rsidRPr="0087708C">
        <w:t>Z</w:t>
      </w:r>
      <w:r>
        <w:t xml:space="preserve">ealand </w:t>
      </w:r>
      <w:r w:rsidRPr="0087708C">
        <w:t>I</w:t>
      </w:r>
      <w:r>
        <w:t xml:space="preserve">ntensive </w:t>
      </w:r>
      <w:r w:rsidRPr="0087708C">
        <w:t>C</w:t>
      </w:r>
      <w:r>
        <w:t xml:space="preserve">are </w:t>
      </w:r>
      <w:r w:rsidRPr="0087708C">
        <w:t>S</w:t>
      </w:r>
      <w:r>
        <w:t>ociety</w:t>
      </w:r>
      <w:r w:rsidRPr="0087708C">
        <w:t xml:space="preserve"> national data)</w:t>
      </w:r>
    </w:p>
    <w:p w14:paraId="3588BF5D" w14:textId="77777777" w:rsidR="00BC2953" w:rsidRPr="0087708C" w:rsidRDefault="00F306E4" w:rsidP="00BC2953">
      <w:pPr>
        <w:pStyle w:val="Normal2"/>
        <w:numPr>
          <w:ilvl w:val="0"/>
          <w:numId w:val="14"/>
        </w:numPr>
      </w:pPr>
      <w:r>
        <w:t xml:space="preserve">a </w:t>
      </w:r>
      <w:r w:rsidR="00BC2953" w:rsidRPr="0087708C">
        <w:t>reduction in extreme harm incidents involving falls in South Australia, where</w:t>
      </w:r>
      <w:r>
        <w:t xml:space="preserve"> clinicians are supported to report serious incidents, with</w:t>
      </w:r>
      <w:r w:rsidR="00BC2953" w:rsidRPr="0087708C">
        <w:t xml:space="preserve"> the proportion of extreme harm (SAC1) incidents involving falls </w:t>
      </w:r>
      <w:r>
        <w:t>declining</w:t>
      </w:r>
      <w:r w:rsidR="00BC2953" w:rsidRPr="0087708C">
        <w:t xml:space="preserve"> by more than 50 per cent since 2011 (from 0.31 per 10</w:t>
      </w:r>
      <w:r>
        <w:t xml:space="preserve"> </w:t>
      </w:r>
      <w:r w:rsidR="00BC2953" w:rsidRPr="0087708C">
        <w:t>000 occupied bed days in 2011-12 to 0.11 per 10</w:t>
      </w:r>
      <w:r>
        <w:t xml:space="preserve"> </w:t>
      </w:r>
      <w:r w:rsidR="00BC2953" w:rsidRPr="0087708C">
        <w:t>000 occupied bed days in 2014-15)</w:t>
      </w:r>
    </w:p>
    <w:p w14:paraId="5A221459" w14:textId="77777777" w:rsidR="00BC2953" w:rsidRPr="0087708C" w:rsidRDefault="00F306E4" w:rsidP="00BC2953">
      <w:pPr>
        <w:pStyle w:val="Normal2"/>
        <w:numPr>
          <w:ilvl w:val="0"/>
          <w:numId w:val="14"/>
        </w:numPr>
      </w:pPr>
      <w:proofErr w:type="gramStart"/>
      <w:r>
        <w:t>the</w:t>
      </w:r>
      <w:proofErr w:type="gramEnd"/>
      <w:r>
        <w:t xml:space="preserve"> NSQHS Standards becoming </w:t>
      </w:r>
      <w:r w:rsidR="00BC2953" w:rsidRPr="0087708C">
        <w:t>a lever and impetus for other safety and quality initiatives.</w:t>
      </w:r>
    </w:p>
    <w:p w14:paraId="687371B2" w14:textId="77777777" w:rsidR="00BC2953" w:rsidRPr="0087708C" w:rsidRDefault="00BC2953" w:rsidP="00BC2953">
      <w:pPr>
        <w:pStyle w:val="Normal2"/>
      </w:pPr>
      <w:r w:rsidRPr="0087708C">
        <w:t xml:space="preserve">A review of the NSQHS Standards was required to ensure that they remain current and consistent with best practice. The NSQHS Standards provide a framework for safety and quality improvements. The review has: </w:t>
      </w:r>
    </w:p>
    <w:p w14:paraId="2FDDB1ED" w14:textId="77777777" w:rsidR="00BC2953" w:rsidRPr="0087708C" w:rsidRDefault="00BC2953" w:rsidP="00BC2953">
      <w:pPr>
        <w:pStyle w:val="Normal2"/>
        <w:numPr>
          <w:ilvl w:val="0"/>
          <w:numId w:val="15"/>
        </w:numPr>
      </w:pPr>
      <w:r w:rsidRPr="0087708C">
        <w:t>addressed implementation issues resulting from the introduction of v</w:t>
      </w:r>
      <w:r w:rsidR="00F306E4">
        <w:t>ersion 1 of the NSQHS Standards</w:t>
      </w:r>
    </w:p>
    <w:p w14:paraId="66FF9907" w14:textId="77777777" w:rsidR="00BC2953" w:rsidRPr="0087708C" w:rsidRDefault="00BC2953" w:rsidP="00BC2953">
      <w:pPr>
        <w:pStyle w:val="Normal2"/>
        <w:numPr>
          <w:ilvl w:val="0"/>
          <w:numId w:val="15"/>
        </w:numPr>
      </w:pPr>
      <w:r w:rsidRPr="0087708C">
        <w:t>addressed safety and quality gaps in version 1 of the NSQHS Standards</w:t>
      </w:r>
    </w:p>
    <w:p w14:paraId="769E89C4" w14:textId="77777777" w:rsidR="00BC2953" w:rsidRPr="0087708C" w:rsidRDefault="00BC2953" w:rsidP="00BC2953">
      <w:pPr>
        <w:pStyle w:val="Normal2"/>
        <w:numPr>
          <w:ilvl w:val="0"/>
          <w:numId w:val="15"/>
        </w:numPr>
      </w:pPr>
      <w:proofErr w:type="gramStart"/>
      <w:r w:rsidRPr="0087708C">
        <w:t>updated</w:t>
      </w:r>
      <w:proofErr w:type="gramEnd"/>
      <w:r w:rsidRPr="0087708C">
        <w:t xml:space="preserve"> the evidence base used.</w:t>
      </w:r>
    </w:p>
    <w:p w14:paraId="3B181772" w14:textId="77777777" w:rsidR="00BC2953" w:rsidRPr="003C5FC1" w:rsidRDefault="00BC2953" w:rsidP="00BC2953">
      <w:pPr>
        <w:pStyle w:val="Subheadingnolevel"/>
      </w:pPr>
      <w:r w:rsidRPr="003C5FC1">
        <w:t>Consultation RIS</w:t>
      </w:r>
    </w:p>
    <w:p w14:paraId="264831FA" w14:textId="77777777" w:rsidR="00BC2953" w:rsidRPr="003C5FC1" w:rsidRDefault="00BC2953" w:rsidP="00BC2953">
      <w:pPr>
        <w:pStyle w:val="Normal2"/>
      </w:pPr>
      <w:r w:rsidRPr="003C5FC1">
        <w:t>In July 2</w:t>
      </w:r>
      <w:r w:rsidR="00F306E4">
        <w:t>016, the Commission released a C</w:t>
      </w:r>
      <w:r w:rsidRPr="003C5FC1">
        <w:t>onsultation RIS, together with the draft version 2 of the NS</w:t>
      </w:r>
      <w:r w:rsidR="00F306E4">
        <w:t>QHS Standards (July 2016). The C</w:t>
      </w:r>
      <w:r w:rsidRPr="003C5FC1">
        <w:t xml:space="preserve">onsultation RIS sought feedback from consumers and the health sector on the costs and benefits of the three options. </w:t>
      </w:r>
    </w:p>
    <w:p w14:paraId="3AB21B30" w14:textId="77777777" w:rsidR="00BC2953" w:rsidRDefault="00BC2953" w:rsidP="00BC2953">
      <w:pPr>
        <w:pStyle w:val="Normal2"/>
      </w:pPr>
      <w:r w:rsidRPr="003C5FC1">
        <w:t>Stakeholders were directed to the Commission’s website to access th</w:t>
      </w:r>
      <w:r w:rsidR="00F306E4">
        <w:t>e C</w:t>
      </w:r>
      <w:r w:rsidRPr="003C5FC1">
        <w:t>onsultation RIS and the draft version 2 of the NSQHS Standards. There were 3419 visits to the site to review the documents</w:t>
      </w:r>
      <w:r w:rsidR="00CB29EE">
        <w:t>;</w:t>
      </w:r>
      <w:r w:rsidRPr="003C5FC1">
        <w:t xml:space="preserve"> 1</w:t>
      </w:r>
      <w:r w:rsidR="00CB29EE">
        <w:t xml:space="preserve"> </w:t>
      </w:r>
      <w:r w:rsidRPr="003C5FC1">
        <w:t>046 copies of the S</w:t>
      </w:r>
      <w:r w:rsidR="00CB29EE">
        <w:t>tandards and 836 copies of the C</w:t>
      </w:r>
      <w:r w:rsidRPr="003C5FC1">
        <w:t xml:space="preserve">onsultation RIS were downloaded during the consultation period. </w:t>
      </w:r>
    </w:p>
    <w:p w14:paraId="5DC9D255" w14:textId="77777777" w:rsidR="00F306E4" w:rsidRPr="0087708C" w:rsidRDefault="00F306E4" w:rsidP="00CB29EE">
      <w:pPr>
        <w:pStyle w:val="Normal2"/>
      </w:pPr>
      <w:r>
        <w:t>The options outlined in the C</w:t>
      </w:r>
      <w:r w:rsidRPr="0087708C">
        <w:t>onsultation RIS included:</w:t>
      </w:r>
    </w:p>
    <w:p w14:paraId="2296F52D" w14:textId="77777777" w:rsidR="00F306E4" w:rsidRPr="0087708C" w:rsidRDefault="00F306E4" w:rsidP="00CB29EE">
      <w:pPr>
        <w:pStyle w:val="Normal2"/>
        <w:ind w:left="1418" w:hanging="1134"/>
      </w:pPr>
      <w:proofErr w:type="gramStart"/>
      <w:r w:rsidRPr="003C5FC1">
        <w:rPr>
          <w:rStyle w:val="Strong"/>
        </w:rPr>
        <w:t>option</w:t>
      </w:r>
      <w:proofErr w:type="gramEnd"/>
      <w:r w:rsidRPr="003C5FC1">
        <w:rPr>
          <w:rStyle w:val="Strong"/>
        </w:rPr>
        <w:t xml:space="preserve"> 1</w:t>
      </w:r>
      <w:r w:rsidRPr="0087708C">
        <w:t xml:space="preserve"> – retain version 1 of the NSQHS Standards for an additional three years</w:t>
      </w:r>
    </w:p>
    <w:p w14:paraId="14488136" w14:textId="77777777" w:rsidR="00F306E4" w:rsidRPr="0087708C" w:rsidRDefault="00F306E4" w:rsidP="00CB29EE">
      <w:pPr>
        <w:pStyle w:val="Normal2"/>
        <w:ind w:left="1418" w:hanging="1134"/>
      </w:pPr>
      <w:proofErr w:type="gramStart"/>
      <w:r w:rsidRPr="003C5FC1">
        <w:rPr>
          <w:rStyle w:val="Strong"/>
        </w:rPr>
        <w:t>option</w:t>
      </w:r>
      <w:proofErr w:type="gramEnd"/>
      <w:r w:rsidRPr="003C5FC1">
        <w:rPr>
          <w:rStyle w:val="Strong"/>
        </w:rPr>
        <w:t xml:space="preserve"> 2</w:t>
      </w:r>
      <w:r w:rsidRPr="0087708C">
        <w:t xml:space="preserve"> – transition to version 2 of the NSQHS Standards from January 2019</w:t>
      </w:r>
    </w:p>
    <w:p w14:paraId="3C91C17F" w14:textId="77777777" w:rsidR="00F306E4" w:rsidRPr="007A7CED" w:rsidRDefault="00F306E4" w:rsidP="00CB29EE">
      <w:pPr>
        <w:pStyle w:val="Normal2"/>
        <w:ind w:left="1418" w:hanging="1134"/>
      </w:pPr>
      <w:proofErr w:type="gramStart"/>
      <w:r w:rsidRPr="003C5FC1">
        <w:rPr>
          <w:rStyle w:val="Strong"/>
        </w:rPr>
        <w:t>option</w:t>
      </w:r>
      <w:proofErr w:type="gramEnd"/>
      <w:r w:rsidRPr="003C5FC1">
        <w:rPr>
          <w:rStyle w:val="Strong"/>
        </w:rPr>
        <w:t xml:space="preserve"> 3</w:t>
      </w:r>
      <w:r w:rsidRPr="0087708C">
        <w:t xml:space="preserve"> – release of a sub-set of Standards from version 2 from January 2019</w:t>
      </w:r>
    </w:p>
    <w:p w14:paraId="3EB8E68D" w14:textId="77777777" w:rsidR="00BC2953" w:rsidRPr="003C5FC1" w:rsidRDefault="00BC2953" w:rsidP="00BC2953">
      <w:pPr>
        <w:pStyle w:val="Subheadingnolevel"/>
      </w:pPr>
      <w:r w:rsidRPr="003C5FC1">
        <w:t>Decision RIS</w:t>
      </w:r>
    </w:p>
    <w:p w14:paraId="567178A7" w14:textId="77777777" w:rsidR="00BC2953" w:rsidRPr="003C5FC1" w:rsidRDefault="00CB29EE" w:rsidP="00BC2953">
      <w:pPr>
        <w:pStyle w:val="Normal2"/>
      </w:pPr>
      <w:r>
        <w:t>Responses to the C</w:t>
      </w:r>
      <w:r w:rsidR="00BC2953" w:rsidRPr="003C5FC1">
        <w:t>onsult</w:t>
      </w:r>
      <w:r w:rsidR="00F306E4">
        <w:t>ation RIS are analysed in this D</w:t>
      </w:r>
      <w:r w:rsidR="00BC2953" w:rsidRPr="003C5FC1">
        <w:t xml:space="preserve">ecision RIS. The key findings from this analysis are: </w:t>
      </w:r>
    </w:p>
    <w:p w14:paraId="5A2E78CE" w14:textId="77777777" w:rsidR="00BC2953" w:rsidRPr="003C5FC1" w:rsidRDefault="00BC2953" w:rsidP="00BC2953">
      <w:pPr>
        <w:pStyle w:val="Normal2"/>
        <w:numPr>
          <w:ilvl w:val="0"/>
          <w:numId w:val="17"/>
        </w:numPr>
      </w:pPr>
      <w:proofErr w:type="gramStart"/>
      <w:r w:rsidRPr="003C5FC1">
        <w:t>eighty-</w:t>
      </w:r>
      <w:proofErr w:type="gramEnd"/>
      <w:r w:rsidRPr="003C5FC1">
        <w:t>three submissions were received: 53 submissions addressed the RIS; 17 addressed the NSQHS Standards; and 13 provided comment on both the RIS and Standards.</w:t>
      </w:r>
    </w:p>
    <w:p w14:paraId="43DD6462" w14:textId="77777777" w:rsidR="00BC2953" w:rsidRPr="003C5FC1" w:rsidRDefault="00BC2953" w:rsidP="00BC2953">
      <w:pPr>
        <w:pStyle w:val="Normal2"/>
        <w:numPr>
          <w:ilvl w:val="0"/>
          <w:numId w:val="17"/>
        </w:numPr>
      </w:pPr>
      <w:r w:rsidRPr="003C5FC1">
        <w:t>Eighty-two per cent of the 66 respondents who noted a preferred option supported option 2</w:t>
      </w:r>
    </w:p>
    <w:p w14:paraId="1F60CC82" w14:textId="77777777" w:rsidR="00BC2953" w:rsidRPr="003C5FC1" w:rsidRDefault="00CB29EE" w:rsidP="00BC2953">
      <w:pPr>
        <w:pStyle w:val="Normal2"/>
        <w:numPr>
          <w:ilvl w:val="0"/>
          <w:numId w:val="17"/>
        </w:numPr>
      </w:pPr>
      <w:r>
        <w:t>the C</w:t>
      </w:r>
      <w:r w:rsidR="00BC2953" w:rsidRPr="003C5FC1">
        <w:t>onsultation RIS underestimated the costs of implementing version 2</w:t>
      </w:r>
    </w:p>
    <w:p w14:paraId="5F9266F3" w14:textId="77777777" w:rsidR="00BC2953" w:rsidRPr="003C5FC1" w:rsidRDefault="00BC2953" w:rsidP="00BC2953">
      <w:pPr>
        <w:pStyle w:val="Normal2"/>
        <w:numPr>
          <w:ilvl w:val="0"/>
          <w:numId w:val="17"/>
        </w:numPr>
      </w:pPr>
      <w:r w:rsidRPr="003C5FC1">
        <w:t>respondents agreed that calculating an accurate cost of implementing version 2 is difficult</w:t>
      </w:r>
    </w:p>
    <w:p w14:paraId="0E845C4F" w14:textId="77777777" w:rsidR="00BC2953" w:rsidRPr="003C5FC1" w:rsidRDefault="00BC2953" w:rsidP="00BC2953">
      <w:pPr>
        <w:pStyle w:val="Normal2"/>
        <w:numPr>
          <w:ilvl w:val="0"/>
          <w:numId w:val="17"/>
        </w:numPr>
      </w:pPr>
      <w:r w:rsidRPr="003C5FC1">
        <w:t>the majority of respondents supported the inclusion of new areas in version 2, including mental health, cognitive impairment, end-of-life care, health literacy and Aboriginal and Torres Strait Islander health care</w:t>
      </w:r>
    </w:p>
    <w:p w14:paraId="06D608FC" w14:textId="77777777" w:rsidR="00BC2953" w:rsidRPr="003C5FC1" w:rsidRDefault="00BC2953" w:rsidP="00BC2953">
      <w:pPr>
        <w:pStyle w:val="Normal2"/>
        <w:numPr>
          <w:ilvl w:val="0"/>
          <w:numId w:val="17"/>
        </w:numPr>
      </w:pPr>
      <w:r w:rsidRPr="003C5FC1">
        <w:t>respondents generally agreed version 2 had reduced the duplication, reduced the audit burden, the language and intent were clearer and there was a greater focus on quality improvement</w:t>
      </w:r>
      <w:r w:rsidR="00CB29EE">
        <w:t>,</w:t>
      </w:r>
      <w:r w:rsidRPr="003C5FC1">
        <w:t xml:space="preserve"> which was welcomed</w:t>
      </w:r>
    </w:p>
    <w:p w14:paraId="5C236D8F" w14:textId="77777777" w:rsidR="00BC2953" w:rsidRPr="003C5FC1" w:rsidRDefault="00BC2953" w:rsidP="00BC2953">
      <w:pPr>
        <w:pStyle w:val="Normal2"/>
        <w:numPr>
          <w:ilvl w:val="0"/>
          <w:numId w:val="17"/>
        </w:numPr>
      </w:pPr>
      <w:proofErr w:type="gramStart"/>
      <w:r w:rsidRPr="003C5FC1">
        <w:t>respondents</w:t>
      </w:r>
      <w:proofErr w:type="gramEnd"/>
      <w:r w:rsidRPr="003C5FC1">
        <w:t xml:space="preserve"> considered version 2 would improve the safety and quality of patient care. </w:t>
      </w:r>
    </w:p>
    <w:p w14:paraId="562EE1C3" w14:textId="77777777" w:rsidR="00BC2953" w:rsidRPr="003C5FC1" w:rsidRDefault="00BC2953" w:rsidP="00BC2953">
      <w:pPr>
        <w:pStyle w:val="Normal2"/>
      </w:pPr>
      <w:r w:rsidRPr="003C5FC1">
        <w:t xml:space="preserve">Calculating an accurate cost of implementing version 2 is difficult, and estimates varied widely. The Commission has used the Commonwealth Regulatory Burden Measure to calculate the average cost of implementing version 2 for hospital and day </w:t>
      </w:r>
      <w:r w:rsidR="00CB29EE">
        <w:t xml:space="preserve">procedure services to be $33 </w:t>
      </w:r>
      <w:r w:rsidRPr="003C5FC1">
        <w:t>000 per organisation.</w:t>
      </w:r>
    </w:p>
    <w:p w14:paraId="5F97D55F" w14:textId="77777777" w:rsidR="00BC2953" w:rsidRPr="003C5FC1" w:rsidRDefault="00BC2953" w:rsidP="00BC2953">
      <w:pPr>
        <w:pStyle w:val="Subheadingnolevel"/>
      </w:pPr>
      <w:r w:rsidRPr="003C5FC1">
        <w:t xml:space="preserve">Recommendation </w:t>
      </w:r>
    </w:p>
    <w:p w14:paraId="2E0ADDFB" w14:textId="77777777" w:rsidR="00BC2953" w:rsidRPr="003C5FC1" w:rsidRDefault="00BC2953" w:rsidP="00BC2953">
      <w:pPr>
        <w:pStyle w:val="Normal2"/>
        <w:sectPr w:rsidR="00BC2953" w:rsidRPr="003C5FC1" w:rsidSect="0032557F">
          <w:headerReference w:type="default" r:id="rId10"/>
          <w:footerReference w:type="default" r:id="rId11"/>
          <w:pgSz w:w="11906" w:h="16838" w:code="9"/>
          <w:pgMar w:top="993" w:right="1440" w:bottom="1134" w:left="1440" w:header="284" w:footer="709" w:gutter="0"/>
          <w:cols w:space="708"/>
          <w:titlePg/>
          <w:docGrid w:linePitch="360"/>
        </w:sectPr>
      </w:pPr>
      <w:r w:rsidRPr="003C5FC1">
        <w:t>The Commission, along with 82 per</w:t>
      </w:r>
      <w:r>
        <w:t xml:space="preserve"> </w:t>
      </w:r>
      <w:r w:rsidRPr="003C5FC1">
        <w:t xml:space="preserve">cent of </w:t>
      </w:r>
      <w:r>
        <w:t xml:space="preserve">RIS </w:t>
      </w:r>
      <w:r w:rsidRPr="003C5FC1">
        <w:t>respondents, recommend</w:t>
      </w:r>
      <w:r w:rsidR="00CB29EE">
        <w:t>s</w:t>
      </w:r>
      <w:r w:rsidRPr="003C5FC1">
        <w:t xml:space="preserve"> the introduction of version 2 of the NSQHS Standards from January 2019, as proposed in option 2.</w:t>
      </w:r>
    </w:p>
    <w:p w14:paraId="71F2BBF9" w14:textId="77777777" w:rsidR="00BC2953" w:rsidRPr="003C5FC1" w:rsidRDefault="00BC2953" w:rsidP="00BC2953">
      <w:pPr>
        <w:pStyle w:val="Heading1"/>
      </w:pPr>
      <w:bookmarkStart w:id="3" w:name="_Toc461178316"/>
      <w:r w:rsidRPr="003C5FC1">
        <w:t>Introduction</w:t>
      </w:r>
      <w:bookmarkEnd w:id="3"/>
      <w:r w:rsidR="00094745">
        <w:tab/>
      </w:r>
    </w:p>
    <w:p w14:paraId="08223ED7" w14:textId="77777777" w:rsidR="00BC2953" w:rsidRPr="003C5FC1" w:rsidRDefault="00F306E4" w:rsidP="00BC2953">
      <w:pPr>
        <w:pStyle w:val="Normal2"/>
      </w:pPr>
      <w:r>
        <w:t>This D</w:t>
      </w:r>
      <w:r w:rsidR="00BC2953" w:rsidRPr="003C5FC1">
        <w:t>ecision Regulation Impact Statement (RIS) is the final report to health ministers following an extensive consultation process undertaken by the Australian Commission on Safety and Quality in Health Care (the Commission) to review the National Safety and Quality Health Service (NSQHS) Standards.</w:t>
      </w:r>
      <w:r w:rsidR="00BC2953" w:rsidRPr="00F04ABB">
        <w:rPr>
          <w:vertAlign w:val="superscript"/>
        </w:rPr>
        <w:t>1</w:t>
      </w:r>
      <w:r>
        <w:t xml:space="preserve"> </w:t>
      </w:r>
      <w:proofErr w:type="gramStart"/>
      <w:r>
        <w:t>The</w:t>
      </w:r>
      <w:proofErr w:type="gramEnd"/>
      <w:r>
        <w:t xml:space="preserve"> D</w:t>
      </w:r>
      <w:r w:rsidR="00BC2953" w:rsidRPr="003C5FC1">
        <w:t xml:space="preserve">ecision RIS analyses the costs and benefits of introducing a revised set of NSQHS Standards. </w:t>
      </w:r>
    </w:p>
    <w:p w14:paraId="24D1697E" w14:textId="77777777" w:rsidR="00BC2953" w:rsidRPr="003C5FC1" w:rsidRDefault="00BC2953" w:rsidP="00BC2953">
      <w:pPr>
        <w:pStyle w:val="Normal2"/>
      </w:pPr>
      <w:r w:rsidRPr="003C5FC1">
        <w:t>The NSQHS Standards were designed to protect the public from harm and to improve the quality of health care for consumers. Version 1 was endorsed by Australian health ministers in 2011 and has been implemented by health service organisations since January 2013.</w:t>
      </w:r>
    </w:p>
    <w:p w14:paraId="10C8C0C5" w14:textId="77777777" w:rsidR="00BC2953" w:rsidRPr="003C5FC1" w:rsidRDefault="00BC2953" w:rsidP="00BC2953">
      <w:pPr>
        <w:pStyle w:val="Subheadingnolevel"/>
      </w:pPr>
      <w:r w:rsidRPr="003C5FC1">
        <w:t xml:space="preserve">Version 1 of the NSQHS Standards </w:t>
      </w:r>
    </w:p>
    <w:p w14:paraId="00980FAD" w14:textId="77777777" w:rsidR="00BC2953" w:rsidRPr="003C5FC1" w:rsidRDefault="00CB29EE" w:rsidP="00BC2953">
      <w:pPr>
        <w:pStyle w:val="Normal2"/>
      </w:pPr>
      <w:r>
        <w:t>The i</w:t>
      </w:r>
      <w:r w:rsidR="00BC2953" w:rsidRPr="003C5FC1">
        <w:t xml:space="preserve">mplementing </w:t>
      </w:r>
      <w:r>
        <w:t xml:space="preserve">of </w:t>
      </w:r>
      <w:r w:rsidR="00BC2953" w:rsidRPr="003C5FC1">
        <w:t xml:space="preserve">version 1 of the NSQHS Standards produced promising results, and generated widespread engagement and support among health service organisations. Preliminary evaluation shows a number of high-level impacts, including: </w:t>
      </w:r>
    </w:p>
    <w:p w14:paraId="649E059C" w14:textId="77777777" w:rsidR="00CB29EE" w:rsidRPr="0087708C" w:rsidRDefault="00CB29EE" w:rsidP="00CB29EE">
      <w:pPr>
        <w:pStyle w:val="Normal2"/>
        <w:numPr>
          <w:ilvl w:val="0"/>
          <w:numId w:val="14"/>
        </w:numPr>
      </w:pPr>
      <w:r w:rsidRPr="0087708C">
        <w:t xml:space="preserve">a focused </w:t>
      </w:r>
      <w:r>
        <w:t xml:space="preserve">national </w:t>
      </w:r>
      <w:r w:rsidRPr="0087708C">
        <w:t>framework for safety and quality activities</w:t>
      </w:r>
    </w:p>
    <w:p w14:paraId="1D4A207F" w14:textId="77777777" w:rsidR="00CB29EE" w:rsidRPr="0087708C" w:rsidRDefault="00CB29EE" w:rsidP="00CB29EE">
      <w:pPr>
        <w:pStyle w:val="Normal2"/>
        <w:numPr>
          <w:ilvl w:val="0"/>
          <w:numId w:val="14"/>
        </w:numPr>
      </w:pPr>
      <w:r w:rsidRPr="0087708C">
        <w:t>better management of safety and quality risks by hospital boards nationally</w:t>
      </w:r>
    </w:p>
    <w:p w14:paraId="3FCD5984" w14:textId="77777777" w:rsidR="00CB29EE" w:rsidRPr="0087708C" w:rsidRDefault="00CB29EE" w:rsidP="00CB29EE">
      <w:pPr>
        <w:pStyle w:val="Normal2"/>
        <w:numPr>
          <w:ilvl w:val="0"/>
          <w:numId w:val="14"/>
        </w:numPr>
      </w:pPr>
      <w:r w:rsidRPr="0087708C">
        <w:t>increased integration of governance and quality improvement systems nationally</w:t>
      </w:r>
    </w:p>
    <w:p w14:paraId="43EFEB54" w14:textId="77777777" w:rsidR="00CB29EE" w:rsidRPr="0087708C" w:rsidRDefault="00CB29EE" w:rsidP="00CB29EE">
      <w:pPr>
        <w:pStyle w:val="Normal2"/>
        <w:numPr>
          <w:ilvl w:val="0"/>
          <w:numId w:val="14"/>
        </w:numPr>
      </w:pPr>
      <w:r w:rsidRPr="0087708C">
        <w:t>decreased rates of several healthcare-associated infections, nationally including</w:t>
      </w:r>
    </w:p>
    <w:p w14:paraId="6623CF34" w14:textId="77777777" w:rsidR="00CB29EE" w:rsidRPr="0087708C" w:rsidRDefault="00CB29EE" w:rsidP="00CB29EE">
      <w:pPr>
        <w:pStyle w:val="Normal2"/>
        <w:numPr>
          <w:ilvl w:val="1"/>
          <w:numId w:val="14"/>
        </w:numPr>
      </w:pPr>
      <w:r w:rsidRPr="0087708C">
        <w:t xml:space="preserve">The </w:t>
      </w:r>
      <w:r w:rsidRPr="003C5FC1">
        <w:rPr>
          <w:rStyle w:val="Emphasis"/>
        </w:rPr>
        <w:t xml:space="preserve">Staphylococcus aureus </w:t>
      </w:r>
      <w:r w:rsidRPr="00F306E4">
        <w:rPr>
          <w:rStyle w:val="Emphasis"/>
          <w:i w:val="0"/>
        </w:rPr>
        <w:t>bacteraemia</w:t>
      </w:r>
      <w:r w:rsidRPr="00F306E4">
        <w:rPr>
          <w:i/>
        </w:rPr>
        <w:t xml:space="preserve"> </w:t>
      </w:r>
      <w:r w:rsidRPr="0087708C">
        <w:t>(SAB) rate per 10</w:t>
      </w:r>
      <w:r>
        <w:t xml:space="preserve"> </w:t>
      </w:r>
      <w:r w:rsidRPr="0087708C">
        <w:t xml:space="preserve">000 patient days under surveillance decreased from 1.1 to 0.87 cases. The yearly number of methicillin-resistant </w:t>
      </w:r>
      <w:r w:rsidRPr="003C5FC1">
        <w:rPr>
          <w:rStyle w:val="Emphasis"/>
        </w:rPr>
        <w:t>Staphylococcus aureus</w:t>
      </w:r>
      <w:r w:rsidRPr="0087708C">
        <w:t xml:space="preserve"> (MRSA) bacteraemia cases decreased from 505 to 389 over this period. </w:t>
      </w:r>
    </w:p>
    <w:p w14:paraId="06D0E7FE" w14:textId="77777777" w:rsidR="00CB29EE" w:rsidRPr="0087708C" w:rsidRDefault="00CB29EE" w:rsidP="00CB29EE">
      <w:pPr>
        <w:pStyle w:val="Normal2"/>
        <w:numPr>
          <w:ilvl w:val="1"/>
          <w:numId w:val="14"/>
        </w:numPr>
      </w:pPr>
      <w:r w:rsidRPr="0087708C">
        <w:t>The national rate of central-line associated bloodstream infections (CLABSI) reduced from 1.02 to 0.64 per 1000 line days from 2012-13 to 2013-14.</w:t>
      </w:r>
    </w:p>
    <w:p w14:paraId="1760B68B" w14:textId="77777777" w:rsidR="00CB29EE" w:rsidRPr="0087708C" w:rsidRDefault="00CB29EE" w:rsidP="00CB29EE">
      <w:pPr>
        <w:pStyle w:val="Normal2"/>
        <w:numPr>
          <w:ilvl w:val="0"/>
          <w:numId w:val="14"/>
        </w:numPr>
      </w:pPr>
      <w:r w:rsidRPr="0087708C">
        <w:t>greater prioritisation of antimicrobial stewardship activities in hospitals, nationally</w:t>
      </w:r>
    </w:p>
    <w:p w14:paraId="7447BFF8" w14:textId="77777777" w:rsidR="00CB29EE" w:rsidRPr="0087708C" w:rsidRDefault="00CB29EE" w:rsidP="00CB29EE">
      <w:pPr>
        <w:pStyle w:val="Normal2"/>
        <w:numPr>
          <w:ilvl w:val="0"/>
          <w:numId w:val="14"/>
        </w:numPr>
      </w:pPr>
      <w:r w:rsidRPr="0087708C">
        <w:t xml:space="preserve">better documentation of adverse drug reactions and medication history, nationally </w:t>
      </w:r>
    </w:p>
    <w:p w14:paraId="7F9C8640" w14:textId="77777777" w:rsidR="00CB29EE" w:rsidRPr="0087708C" w:rsidRDefault="00CB29EE" w:rsidP="00CB29EE">
      <w:pPr>
        <w:pStyle w:val="Normal2"/>
        <w:numPr>
          <w:ilvl w:val="0"/>
          <w:numId w:val="14"/>
        </w:numPr>
      </w:pPr>
      <w:r w:rsidRPr="0087708C">
        <w:t>yearly red blood cell issues noted by the National Blood Authority fell from mid-2010 to mid-2015, from approximately 800</w:t>
      </w:r>
      <w:r>
        <w:t xml:space="preserve"> </w:t>
      </w:r>
      <w:r w:rsidRPr="0087708C">
        <w:t>000 units to 667</w:t>
      </w:r>
      <w:r>
        <w:t xml:space="preserve"> </w:t>
      </w:r>
      <w:r w:rsidRPr="0087708C">
        <w:t>000 units</w:t>
      </w:r>
    </w:p>
    <w:p w14:paraId="32D73A84" w14:textId="77777777" w:rsidR="00CB29EE" w:rsidRPr="0087708C" w:rsidRDefault="00CB29EE" w:rsidP="00CB29EE">
      <w:pPr>
        <w:pStyle w:val="Normal2"/>
        <w:numPr>
          <w:ilvl w:val="0"/>
          <w:numId w:val="14"/>
        </w:numPr>
      </w:pPr>
      <w:r>
        <w:t xml:space="preserve">a </w:t>
      </w:r>
      <w:r w:rsidRPr="0087708C">
        <w:t xml:space="preserve">continued </w:t>
      </w:r>
      <w:r>
        <w:t xml:space="preserve">reduction </w:t>
      </w:r>
      <w:r w:rsidRPr="0087708C">
        <w:t xml:space="preserve">in Queensland hospital-acquired </w:t>
      </w:r>
      <w:r>
        <w:t xml:space="preserve">and a maintenance of previous improvements in </w:t>
      </w:r>
      <w:r w:rsidRPr="0087708C">
        <w:t>pressure injuries in W</w:t>
      </w:r>
      <w:r>
        <w:t xml:space="preserve">estern </w:t>
      </w:r>
      <w:r w:rsidRPr="0087708C">
        <w:t>A</w:t>
      </w:r>
      <w:r>
        <w:t>ustralia</w:t>
      </w:r>
    </w:p>
    <w:p w14:paraId="05EC97C6" w14:textId="77777777" w:rsidR="00CB29EE" w:rsidRPr="0087708C" w:rsidRDefault="00CB29EE" w:rsidP="00CB29EE">
      <w:pPr>
        <w:pStyle w:val="Normal2"/>
        <w:numPr>
          <w:ilvl w:val="0"/>
          <w:numId w:val="14"/>
        </w:numPr>
      </w:pPr>
      <w:r w:rsidRPr="0087708C">
        <w:t>declining in-hospital cardiac arrest rates in Victoria and N</w:t>
      </w:r>
      <w:r>
        <w:t xml:space="preserve">ew </w:t>
      </w:r>
      <w:r w:rsidRPr="0087708C">
        <w:t>S</w:t>
      </w:r>
      <w:r>
        <w:t xml:space="preserve">outh </w:t>
      </w:r>
      <w:r w:rsidRPr="0087708C">
        <w:t>W</w:t>
      </w:r>
      <w:r>
        <w:t>ales</w:t>
      </w:r>
      <w:r w:rsidRPr="0087708C">
        <w:t xml:space="preserve">, and </w:t>
      </w:r>
      <w:r>
        <w:t>reduced admissions to intensive care units</w:t>
      </w:r>
      <w:r w:rsidRPr="0087708C">
        <w:t xml:space="preserve"> admissions data (A</w:t>
      </w:r>
      <w:r>
        <w:t xml:space="preserve">ustralian and </w:t>
      </w:r>
      <w:r w:rsidRPr="0087708C">
        <w:t>N</w:t>
      </w:r>
      <w:r>
        <w:t xml:space="preserve">ew </w:t>
      </w:r>
      <w:r w:rsidRPr="0087708C">
        <w:t>Z</w:t>
      </w:r>
      <w:r>
        <w:t xml:space="preserve">ealand </w:t>
      </w:r>
      <w:r w:rsidRPr="0087708C">
        <w:t>I</w:t>
      </w:r>
      <w:r>
        <w:t xml:space="preserve">ntensive </w:t>
      </w:r>
      <w:r w:rsidRPr="0087708C">
        <w:t>C</w:t>
      </w:r>
      <w:r>
        <w:t xml:space="preserve">are </w:t>
      </w:r>
      <w:r w:rsidRPr="0087708C">
        <w:t>S</w:t>
      </w:r>
      <w:r>
        <w:t>ociety</w:t>
      </w:r>
      <w:r w:rsidRPr="0087708C">
        <w:t xml:space="preserve"> national data)</w:t>
      </w:r>
    </w:p>
    <w:p w14:paraId="608734C9" w14:textId="77777777" w:rsidR="00CB29EE" w:rsidRPr="0087708C" w:rsidRDefault="00CB29EE" w:rsidP="00CB29EE">
      <w:pPr>
        <w:pStyle w:val="Normal2"/>
        <w:numPr>
          <w:ilvl w:val="0"/>
          <w:numId w:val="14"/>
        </w:numPr>
      </w:pPr>
      <w:r>
        <w:t xml:space="preserve">a </w:t>
      </w:r>
      <w:r w:rsidRPr="0087708C">
        <w:t>reduction in extreme harm incidents involving falls in South Australia, where</w:t>
      </w:r>
      <w:r>
        <w:t xml:space="preserve"> clinicians are supported to report serious incidents, with</w:t>
      </w:r>
      <w:r w:rsidRPr="0087708C">
        <w:t xml:space="preserve"> the proportion of extreme harm (SAC1) incidents involving falls </w:t>
      </w:r>
      <w:r>
        <w:t>declining</w:t>
      </w:r>
      <w:r w:rsidRPr="0087708C">
        <w:t xml:space="preserve"> by more than 50 per cent since 2011 (from 0.31 per 10</w:t>
      </w:r>
      <w:r>
        <w:t xml:space="preserve"> </w:t>
      </w:r>
      <w:r w:rsidRPr="0087708C">
        <w:t>000 occupied bed days in 2011-12 to 0.11 per 10</w:t>
      </w:r>
      <w:r>
        <w:t xml:space="preserve"> </w:t>
      </w:r>
      <w:r w:rsidRPr="0087708C">
        <w:t>000 occupied bed days in 2014-15)</w:t>
      </w:r>
    </w:p>
    <w:p w14:paraId="3E00E327" w14:textId="77777777" w:rsidR="00CB29EE" w:rsidRPr="0087708C" w:rsidRDefault="00CB29EE" w:rsidP="00CB29EE">
      <w:pPr>
        <w:pStyle w:val="Normal2"/>
        <w:numPr>
          <w:ilvl w:val="0"/>
          <w:numId w:val="14"/>
        </w:numPr>
      </w:pPr>
      <w:proofErr w:type="gramStart"/>
      <w:r>
        <w:t>the</w:t>
      </w:r>
      <w:proofErr w:type="gramEnd"/>
      <w:r>
        <w:t xml:space="preserve"> NSQHS Standards becoming </w:t>
      </w:r>
      <w:r w:rsidRPr="0087708C">
        <w:t>a lever and impetus for other safety and quality initiatives.</w:t>
      </w:r>
    </w:p>
    <w:p w14:paraId="43172ABB" w14:textId="77777777" w:rsidR="00BC2953" w:rsidRPr="003C5FC1" w:rsidRDefault="00BC2953" w:rsidP="00BC2953">
      <w:pPr>
        <w:pStyle w:val="Normal2"/>
      </w:pPr>
      <w:r w:rsidRPr="003C5FC1">
        <w:t>In implementing the NSQHS Standards, health service organisations put in place safety and quality systems to ensure the described standards of care were met. State and territory health departments contributed significant resources to support health service organisations in implementing the NSQHS Standards, by developing policy updates; and aligning data collections, reports and performance agreements in accordance with the requirements of the NSQHS Standards.</w:t>
      </w:r>
    </w:p>
    <w:p w14:paraId="6ACF206C" w14:textId="77777777" w:rsidR="00BC2953" w:rsidRPr="003C5FC1" w:rsidRDefault="00BC2953" w:rsidP="00BC2953">
      <w:pPr>
        <w:pStyle w:val="Normal2"/>
      </w:pPr>
      <w:r w:rsidRPr="003C5FC1">
        <w:t xml:space="preserve">Version 1 of the NSQHS Standards was drafted between 2008 and 2010. Since then, the evidence base and practice models of care have developed further. In addition, research conducted by the Commission and others has identified a number of emerging safety and quality issues that are not addressed in version 1 of the NSQHS Standards. </w:t>
      </w:r>
    </w:p>
    <w:p w14:paraId="271BBCEE" w14:textId="77777777" w:rsidR="00BC2953" w:rsidRPr="003C5FC1" w:rsidRDefault="00BC2953" w:rsidP="00BC2953">
      <w:pPr>
        <w:pStyle w:val="Subheadingnolevel"/>
      </w:pPr>
      <w:r w:rsidRPr="003C5FC1">
        <w:t>Version 2 of the NSQHS Standards</w:t>
      </w:r>
    </w:p>
    <w:p w14:paraId="6E2BCD4D" w14:textId="77777777" w:rsidR="00BC2953" w:rsidRPr="003C5FC1" w:rsidRDefault="00BC2953" w:rsidP="00BC2953">
      <w:pPr>
        <w:pStyle w:val="Normal2"/>
      </w:pPr>
      <w:r w:rsidRPr="003C5FC1">
        <w:t xml:space="preserve">To continue to drive improvements in the safety and quality of health care, the Commission began a review of the NSQHS Standards in 2015. As part of this review, and following national consultation, the Commission developed a draft version 2 of the NSQHS Standards. The draft version 2 of the NSQHS Standards (July 2016) was refined following piloting and extensive sector-wide consultation. The draft version 2 of the NSQHS Standards </w:t>
      </w:r>
      <w:r>
        <w:t>is</w:t>
      </w:r>
      <w:r w:rsidRPr="003C5FC1">
        <w:t xml:space="preserve"> the subject of this RIS process. </w:t>
      </w:r>
    </w:p>
    <w:p w14:paraId="216FF0D2" w14:textId="77777777" w:rsidR="00BC2953" w:rsidRPr="003C5FC1" w:rsidRDefault="00BC2953" w:rsidP="00BC2953">
      <w:pPr>
        <w:pStyle w:val="Normal2"/>
      </w:pPr>
      <w:r w:rsidRPr="003C5FC1">
        <w:t xml:space="preserve">In version 2, the overall number of </w:t>
      </w:r>
      <w:r w:rsidR="00CB29EE">
        <w:t xml:space="preserve">the NSQHS </w:t>
      </w:r>
      <w:r w:rsidRPr="003C5FC1">
        <w:t xml:space="preserve">Standards has been reduced from 10 to 8, and the number of actions within the </w:t>
      </w:r>
      <w:r w:rsidR="00CB29EE">
        <w:t xml:space="preserve">NSQHS </w:t>
      </w:r>
      <w:r w:rsidRPr="003C5FC1">
        <w:t xml:space="preserve">Standards has been reduced from 256 to 148. </w:t>
      </w:r>
    </w:p>
    <w:p w14:paraId="5E7666DA" w14:textId="77777777" w:rsidR="00BC2953" w:rsidRPr="003C5FC1" w:rsidRDefault="00BC2953" w:rsidP="00BC2953">
      <w:pPr>
        <w:pStyle w:val="Normal2"/>
      </w:pPr>
      <w:r w:rsidRPr="003C5FC1">
        <w:t>The draft version 2 of the NSQHS Standards (July 2016) has been improved by:</w:t>
      </w:r>
    </w:p>
    <w:p w14:paraId="7F54ACBB" w14:textId="77777777" w:rsidR="00BC2953" w:rsidRPr="003C5FC1" w:rsidRDefault="00BC2953" w:rsidP="00BC2953">
      <w:pPr>
        <w:pStyle w:val="Normal2"/>
        <w:numPr>
          <w:ilvl w:val="0"/>
          <w:numId w:val="19"/>
        </w:numPr>
      </w:pPr>
      <w:r w:rsidRPr="003C5FC1">
        <w:t xml:space="preserve">reducing duplication </w:t>
      </w:r>
    </w:p>
    <w:p w14:paraId="6E738595" w14:textId="77777777" w:rsidR="00BC2953" w:rsidRPr="003C5FC1" w:rsidRDefault="00BC2953" w:rsidP="00BC2953">
      <w:pPr>
        <w:pStyle w:val="Normal2"/>
        <w:numPr>
          <w:ilvl w:val="0"/>
          <w:numId w:val="19"/>
        </w:numPr>
      </w:pPr>
      <w:r w:rsidRPr="003C5FC1">
        <w:t>incorporating content relating to new and emerging safety and quality issues</w:t>
      </w:r>
    </w:p>
    <w:p w14:paraId="60D88483" w14:textId="77777777" w:rsidR="00BC2953" w:rsidRDefault="00BC2953" w:rsidP="00BC2953">
      <w:pPr>
        <w:pStyle w:val="Normal2"/>
        <w:numPr>
          <w:ilvl w:val="0"/>
          <w:numId w:val="19"/>
        </w:numPr>
      </w:pPr>
      <w:r w:rsidRPr="003C5FC1">
        <w:t xml:space="preserve">updating the evidence base </w:t>
      </w:r>
    </w:p>
    <w:p w14:paraId="6D607845" w14:textId="77777777" w:rsidR="00CB29EE" w:rsidRDefault="00CB29EE" w:rsidP="00BC2953">
      <w:pPr>
        <w:pStyle w:val="Normal2"/>
        <w:numPr>
          <w:ilvl w:val="0"/>
          <w:numId w:val="19"/>
        </w:numPr>
      </w:pPr>
      <w:r>
        <w:t>removing Standard 5: Patient Identification and Procedure Matching and incorporating a small number key actions into the new Communicating for Safety Standard</w:t>
      </w:r>
    </w:p>
    <w:p w14:paraId="28F2D160" w14:textId="77777777" w:rsidR="00CB29EE" w:rsidRPr="003C5FC1" w:rsidRDefault="00CB29EE" w:rsidP="00BC2953">
      <w:pPr>
        <w:pStyle w:val="Normal2"/>
        <w:numPr>
          <w:ilvl w:val="0"/>
          <w:numId w:val="19"/>
        </w:numPr>
      </w:pPr>
      <w:r>
        <w:t>removing Standard 8: Preventing and Managing Pressure Injuries and Standard 10: Preventing Falls and harm from Fall and incorporating key actions into the Comprehensive Care Standard</w:t>
      </w:r>
    </w:p>
    <w:p w14:paraId="06570F58" w14:textId="77777777" w:rsidR="00BC2953" w:rsidRPr="003C5FC1" w:rsidRDefault="00BC2953" w:rsidP="00BC2953">
      <w:pPr>
        <w:pStyle w:val="Normal2"/>
        <w:numPr>
          <w:ilvl w:val="0"/>
          <w:numId w:val="19"/>
        </w:numPr>
      </w:pPr>
      <w:r w:rsidRPr="003C5FC1">
        <w:t>adapting and clarifying the language to improve the applicability of the Standards to a broader range of health service organisations</w:t>
      </w:r>
    </w:p>
    <w:p w14:paraId="54F450AD" w14:textId="77777777" w:rsidR="00BC2953" w:rsidRPr="003C5FC1" w:rsidRDefault="00BC2953" w:rsidP="00BC2953">
      <w:pPr>
        <w:pStyle w:val="Normal2"/>
        <w:numPr>
          <w:ilvl w:val="0"/>
          <w:numId w:val="19"/>
        </w:numPr>
      </w:pPr>
      <w:r w:rsidRPr="003C5FC1">
        <w:t>identifying who has primary responsibility for implementing each of the actions in the Standards</w:t>
      </w:r>
    </w:p>
    <w:p w14:paraId="3BC7CF0B" w14:textId="77777777" w:rsidR="00BC2953" w:rsidRPr="003C5FC1" w:rsidRDefault="00BC2953" w:rsidP="00BC2953">
      <w:pPr>
        <w:pStyle w:val="Normal2"/>
        <w:numPr>
          <w:ilvl w:val="0"/>
          <w:numId w:val="19"/>
        </w:numPr>
      </w:pPr>
      <w:r w:rsidRPr="003C5FC1">
        <w:t xml:space="preserve">improving </w:t>
      </w:r>
      <w:r w:rsidR="00CB29EE">
        <w:t xml:space="preserve">formatting </w:t>
      </w:r>
      <w:r w:rsidRPr="003C5FC1">
        <w:t xml:space="preserve">of the NSQHS Standards </w:t>
      </w:r>
      <w:r w:rsidR="00CB29EE">
        <w:t xml:space="preserve">to aid navigation of the document </w:t>
      </w:r>
    </w:p>
    <w:p w14:paraId="7B5EBCCC" w14:textId="77777777" w:rsidR="00BC2953" w:rsidRPr="003C5FC1" w:rsidRDefault="00BC2953" w:rsidP="00BC2953">
      <w:pPr>
        <w:pStyle w:val="Normal2"/>
        <w:numPr>
          <w:ilvl w:val="0"/>
          <w:numId w:val="19"/>
        </w:numPr>
      </w:pPr>
      <w:proofErr w:type="gramStart"/>
      <w:r w:rsidRPr="003C5FC1">
        <w:t>addressing</w:t>
      </w:r>
      <w:proofErr w:type="gramEnd"/>
      <w:r w:rsidRPr="003C5FC1">
        <w:t xml:space="preserve"> the implementation issues associated with version 1 of the Standards.</w:t>
      </w:r>
    </w:p>
    <w:p w14:paraId="7C7DDC36" w14:textId="77777777" w:rsidR="00BC2953" w:rsidRPr="003C5FC1" w:rsidRDefault="00BC2953" w:rsidP="00BC2953">
      <w:pPr>
        <w:pStyle w:val="Subheadingnolevel"/>
      </w:pPr>
      <w:r w:rsidRPr="003C5FC1">
        <w:t>Regulatory Impact Assessment Process</w:t>
      </w:r>
    </w:p>
    <w:p w14:paraId="0375F86F" w14:textId="77777777" w:rsidR="00BC2953" w:rsidRPr="003C5FC1" w:rsidRDefault="00BC2953" w:rsidP="00BC2953">
      <w:pPr>
        <w:pStyle w:val="Normal2"/>
      </w:pPr>
      <w:r w:rsidRPr="003C5FC1">
        <w:t>The NSQHS Standards are applicable to all health service organisations. Australian, state and territory governments expect all hospitals and day procedure services to comply with the requirements of the NSQHS Standards. Therefore, any major changes to the NSQHS Standards must be made in accordance with the RIS requirements of the Council of Australian Governments (COAG).</w:t>
      </w:r>
    </w:p>
    <w:p w14:paraId="5FC874B1" w14:textId="77777777" w:rsidR="000113AD" w:rsidRDefault="00BC2953" w:rsidP="00BC2953">
      <w:pPr>
        <w:pStyle w:val="Normal2"/>
      </w:pPr>
      <w:r w:rsidRPr="003C5FC1">
        <w:t>The COAG process for preparing and submitting a RIS comprises two stages. The first stage involve</w:t>
      </w:r>
      <w:r w:rsidR="000113AD">
        <w:t>s</w:t>
      </w:r>
      <w:r w:rsidRPr="003C5FC1">
        <w:t xml:space="preserve"> consultation on the costs and benefits of the proposed changes. </w:t>
      </w:r>
    </w:p>
    <w:p w14:paraId="28319740" w14:textId="77777777" w:rsidR="00BC2953" w:rsidRPr="003C5FC1" w:rsidRDefault="000113AD" w:rsidP="00BC2953">
      <w:pPr>
        <w:pStyle w:val="Normal2"/>
      </w:pPr>
      <w:r>
        <w:t>The second stage of this involves t</w:t>
      </w:r>
      <w:r w:rsidR="00BC2953" w:rsidRPr="003C5FC1">
        <w:t xml:space="preserve">he preparation of </w:t>
      </w:r>
      <w:r w:rsidR="00F306E4">
        <w:t>this recommendation report, or D</w:t>
      </w:r>
      <w:r w:rsidR="00BC2953" w:rsidRPr="003C5FC1">
        <w:t>ecision RIS</w:t>
      </w:r>
      <w:r>
        <w:t>.</w:t>
      </w:r>
    </w:p>
    <w:p w14:paraId="118429C6" w14:textId="77777777" w:rsidR="00BC2953" w:rsidRPr="003C5FC1" w:rsidRDefault="00BC2953" w:rsidP="00BC2953">
      <w:pPr>
        <w:pStyle w:val="Heading1"/>
      </w:pPr>
      <w:bookmarkStart w:id="4" w:name="_Toc461178317"/>
      <w:r w:rsidRPr="003C5FC1">
        <w:t>Section 1</w:t>
      </w:r>
      <w:r w:rsidRPr="003C5FC1">
        <w:tab/>
        <w:t>Statement of the problem</w:t>
      </w:r>
      <w:bookmarkEnd w:id="4"/>
    </w:p>
    <w:p w14:paraId="16435B43" w14:textId="77777777" w:rsidR="00BC2953" w:rsidRPr="003C5FC1" w:rsidRDefault="00BC2953" w:rsidP="00BC2953">
      <w:pPr>
        <w:pStyle w:val="Normal2"/>
        <w:rPr>
          <w:rFonts w:eastAsiaTheme="minorEastAsia"/>
        </w:rPr>
      </w:pPr>
      <w:r w:rsidRPr="003C5FC1">
        <w:rPr>
          <w:rFonts w:eastAsiaTheme="minorEastAsia"/>
        </w:rPr>
        <w:t>Since the introduction of the NSQHS Standards, a number of issues have been identified with version 1, including the following:</w:t>
      </w:r>
    </w:p>
    <w:p w14:paraId="3110D403" w14:textId="77777777" w:rsidR="00BC2953" w:rsidRPr="003C5FC1" w:rsidRDefault="00BC2953" w:rsidP="00BC2953">
      <w:pPr>
        <w:pStyle w:val="Normal2"/>
        <w:numPr>
          <w:ilvl w:val="0"/>
          <w:numId w:val="20"/>
        </w:numPr>
        <w:rPr>
          <w:rFonts w:eastAsiaTheme="minorEastAsia"/>
        </w:rPr>
      </w:pPr>
      <w:r w:rsidRPr="003C5FC1">
        <w:rPr>
          <w:rStyle w:val="Strong"/>
          <w:rFonts w:eastAsiaTheme="minorEastAsia"/>
        </w:rPr>
        <w:t>Duplication of the Standards</w:t>
      </w:r>
      <w:r w:rsidRPr="003C5FC1">
        <w:rPr>
          <w:rFonts w:eastAsiaTheme="minorEastAsia"/>
        </w:rPr>
        <w:t xml:space="preserve"> that adds to the cost and time required to meet the requirements.</w:t>
      </w:r>
    </w:p>
    <w:p w14:paraId="6DA2332E" w14:textId="77777777" w:rsidR="00BC2953" w:rsidRPr="003C5FC1" w:rsidRDefault="00BC2953" w:rsidP="00BC2953">
      <w:pPr>
        <w:pStyle w:val="Normal2"/>
        <w:numPr>
          <w:ilvl w:val="0"/>
          <w:numId w:val="20"/>
        </w:numPr>
        <w:rPr>
          <w:rFonts w:eastAsiaTheme="minorEastAsia"/>
        </w:rPr>
      </w:pPr>
      <w:r w:rsidRPr="003C5FC1">
        <w:rPr>
          <w:rFonts w:eastAsiaTheme="minorEastAsia"/>
        </w:rPr>
        <w:t xml:space="preserve">There has been confusion about </w:t>
      </w:r>
      <w:r w:rsidR="000113AD" w:rsidRPr="000113AD">
        <w:rPr>
          <w:rFonts w:eastAsiaTheme="minorEastAsia"/>
        </w:rPr>
        <w:t>which parts of the</w:t>
      </w:r>
      <w:r w:rsidR="000113AD" w:rsidRPr="000113AD">
        <w:rPr>
          <w:rFonts w:eastAsiaTheme="minorEastAsia"/>
          <w:b/>
        </w:rPr>
        <w:t xml:space="preserve"> clinical workforce </w:t>
      </w:r>
      <w:r w:rsidR="000113AD" w:rsidRPr="000113AD">
        <w:rPr>
          <w:rFonts w:eastAsiaTheme="minorEastAsia"/>
        </w:rPr>
        <w:t>are covered</w:t>
      </w:r>
      <w:r w:rsidR="000113AD">
        <w:rPr>
          <w:rFonts w:eastAsiaTheme="minorEastAsia"/>
        </w:rPr>
        <w:t xml:space="preserve"> </w:t>
      </w:r>
      <w:r w:rsidRPr="003C5FC1">
        <w:rPr>
          <w:rFonts w:eastAsiaTheme="minorEastAsia"/>
        </w:rPr>
        <w:t xml:space="preserve">in the </w:t>
      </w:r>
      <w:r w:rsidR="000113AD">
        <w:rPr>
          <w:rFonts w:eastAsiaTheme="minorEastAsia"/>
        </w:rPr>
        <w:t xml:space="preserve">NSQHS </w:t>
      </w:r>
      <w:r w:rsidRPr="003C5FC1">
        <w:rPr>
          <w:rFonts w:eastAsiaTheme="minorEastAsia"/>
        </w:rPr>
        <w:t>Standards, because the definition was unc</w:t>
      </w:r>
      <w:r w:rsidR="000113AD">
        <w:rPr>
          <w:rFonts w:eastAsiaTheme="minorEastAsia"/>
        </w:rPr>
        <w:t>lear and open to interpretation</w:t>
      </w:r>
    </w:p>
    <w:p w14:paraId="02925F7B" w14:textId="77777777" w:rsidR="00BC2953" w:rsidRPr="003C5FC1" w:rsidRDefault="00BC2953" w:rsidP="00BC2953">
      <w:pPr>
        <w:pStyle w:val="Normal2"/>
        <w:numPr>
          <w:ilvl w:val="0"/>
          <w:numId w:val="20"/>
        </w:numPr>
        <w:rPr>
          <w:rFonts w:eastAsiaTheme="minorEastAsia"/>
        </w:rPr>
      </w:pPr>
      <w:r w:rsidRPr="003C5FC1">
        <w:rPr>
          <w:rFonts w:eastAsiaTheme="minorEastAsia"/>
        </w:rPr>
        <w:t xml:space="preserve">The Standards require significant investment in </w:t>
      </w:r>
      <w:r w:rsidRPr="00857A9E">
        <w:rPr>
          <w:rStyle w:val="Strong"/>
          <w:rFonts w:eastAsiaTheme="minorEastAsia"/>
        </w:rPr>
        <w:t>clinical audit</w:t>
      </w:r>
      <w:r w:rsidRPr="003C5FC1">
        <w:rPr>
          <w:rFonts w:eastAsiaTheme="minorEastAsia"/>
        </w:rPr>
        <w:t>, which ha</w:t>
      </w:r>
      <w:r w:rsidR="000113AD">
        <w:rPr>
          <w:rFonts w:eastAsiaTheme="minorEastAsia"/>
        </w:rPr>
        <w:t>s been criticised as burdensome</w:t>
      </w:r>
    </w:p>
    <w:p w14:paraId="44659739" w14:textId="77777777" w:rsidR="00BC2953" w:rsidRPr="003C5FC1" w:rsidRDefault="00BC2953" w:rsidP="00BC2953">
      <w:pPr>
        <w:pStyle w:val="Normal2"/>
        <w:numPr>
          <w:ilvl w:val="0"/>
          <w:numId w:val="20"/>
        </w:numPr>
        <w:rPr>
          <w:rFonts w:eastAsiaTheme="minorEastAsia"/>
        </w:rPr>
      </w:pPr>
      <w:r w:rsidRPr="003C5FC1">
        <w:rPr>
          <w:rFonts w:eastAsiaTheme="minorEastAsia"/>
        </w:rPr>
        <w:t xml:space="preserve">Some of the </w:t>
      </w:r>
      <w:r w:rsidRPr="00857A9E">
        <w:rPr>
          <w:rStyle w:val="Strong"/>
          <w:rFonts w:eastAsiaTheme="minorEastAsia"/>
        </w:rPr>
        <w:t>evidence base</w:t>
      </w:r>
      <w:r w:rsidRPr="003C5FC1">
        <w:rPr>
          <w:rFonts w:eastAsiaTheme="minorEastAsia"/>
        </w:rPr>
        <w:t xml:space="preserve"> for the</w:t>
      </w:r>
      <w:r w:rsidR="000113AD">
        <w:rPr>
          <w:rFonts w:eastAsiaTheme="minorEastAsia"/>
        </w:rPr>
        <w:t xml:space="preserve"> Standards needed to be updated</w:t>
      </w:r>
    </w:p>
    <w:p w14:paraId="08673FA1" w14:textId="77777777" w:rsidR="00BC2953" w:rsidRPr="003C5FC1" w:rsidRDefault="00BC2953" w:rsidP="00BC2953">
      <w:pPr>
        <w:pStyle w:val="Normal2"/>
        <w:numPr>
          <w:ilvl w:val="0"/>
          <w:numId w:val="20"/>
        </w:numPr>
        <w:rPr>
          <w:rFonts w:eastAsiaTheme="minorEastAsia"/>
        </w:rPr>
      </w:pPr>
      <w:r w:rsidRPr="003C5FC1">
        <w:rPr>
          <w:rFonts w:eastAsiaTheme="minorEastAsia"/>
        </w:rPr>
        <w:t xml:space="preserve">The move by jurisdictions to introduce </w:t>
      </w:r>
      <w:r w:rsidRPr="005F32CB">
        <w:rPr>
          <w:rStyle w:val="Strong"/>
          <w:rFonts w:eastAsiaTheme="minorEastAsia"/>
        </w:rPr>
        <w:t>integrated screening</w:t>
      </w:r>
      <w:r w:rsidRPr="003C5FC1">
        <w:rPr>
          <w:rFonts w:eastAsiaTheme="minorEastAsia"/>
        </w:rPr>
        <w:t xml:space="preserve"> of patient risk is not reflected in the </w:t>
      </w:r>
      <w:r w:rsidR="000113AD">
        <w:rPr>
          <w:rFonts w:eastAsiaTheme="minorEastAsia"/>
        </w:rPr>
        <w:t xml:space="preserve">NSQHS </w:t>
      </w:r>
      <w:r w:rsidRPr="003C5FC1">
        <w:rPr>
          <w:rFonts w:eastAsiaTheme="minorEastAsia"/>
        </w:rPr>
        <w:t>Standards, which have separate screening processes for falls and pressure injuries, and do</w:t>
      </w:r>
      <w:r w:rsidR="000113AD">
        <w:rPr>
          <w:rFonts w:eastAsiaTheme="minorEastAsia"/>
        </w:rPr>
        <w:t xml:space="preserve"> not address comprehensive care</w:t>
      </w:r>
    </w:p>
    <w:p w14:paraId="7C00A667" w14:textId="77777777" w:rsidR="00BC2953" w:rsidRPr="003C5FC1" w:rsidRDefault="00BC2953" w:rsidP="00BC2953">
      <w:pPr>
        <w:pStyle w:val="Normal2"/>
        <w:numPr>
          <w:ilvl w:val="0"/>
          <w:numId w:val="20"/>
        </w:numPr>
        <w:rPr>
          <w:rFonts w:eastAsiaTheme="minorEastAsia"/>
        </w:rPr>
      </w:pPr>
      <w:r w:rsidRPr="005F32CB">
        <w:rPr>
          <w:rStyle w:val="Strong"/>
          <w:rFonts w:eastAsiaTheme="minorEastAsia"/>
        </w:rPr>
        <w:t>Patient identification and procedure matching</w:t>
      </w:r>
      <w:r w:rsidRPr="003C5FC1">
        <w:rPr>
          <w:rFonts w:eastAsiaTheme="minorEastAsia"/>
        </w:rPr>
        <w:t xml:space="preserve"> requirements are detailed and overlapping, placing an unnecessary burden on health service organisati</w:t>
      </w:r>
      <w:r w:rsidR="000113AD">
        <w:rPr>
          <w:rFonts w:eastAsiaTheme="minorEastAsia"/>
        </w:rPr>
        <w:t>ons implementing this Standard</w:t>
      </w:r>
    </w:p>
    <w:p w14:paraId="3FFCAFFC" w14:textId="77777777" w:rsidR="00BC2953" w:rsidRPr="003C5FC1" w:rsidRDefault="00BC2953" w:rsidP="00BC2953">
      <w:pPr>
        <w:pStyle w:val="Normal2"/>
        <w:numPr>
          <w:ilvl w:val="0"/>
          <w:numId w:val="20"/>
        </w:numPr>
        <w:rPr>
          <w:rFonts w:eastAsiaTheme="minorEastAsia"/>
        </w:rPr>
      </w:pPr>
      <w:r w:rsidRPr="005F32CB">
        <w:rPr>
          <w:rStyle w:val="Strong"/>
          <w:rFonts w:eastAsiaTheme="minorEastAsia"/>
        </w:rPr>
        <w:t>Gaps in coverage</w:t>
      </w:r>
      <w:r w:rsidRPr="003C5FC1">
        <w:rPr>
          <w:rFonts w:eastAsiaTheme="minorEastAsia"/>
        </w:rPr>
        <w:t xml:space="preserve"> of safety and quality issues in the </w:t>
      </w:r>
      <w:r w:rsidR="000113AD">
        <w:rPr>
          <w:rFonts w:eastAsiaTheme="minorEastAsia"/>
        </w:rPr>
        <w:t xml:space="preserve">NSQHS </w:t>
      </w:r>
      <w:r w:rsidRPr="003C5FC1">
        <w:rPr>
          <w:rFonts w:eastAsiaTheme="minorEastAsia"/>
        </w:rPr>
        <w:t xml:space="preserve">Standards have been identified in areas that have a significant safety and quality burden, including mental health, cognitive impairment, end-of-life care, health literacy and Aboriginal and Torres Strait Islander health. </w:t>
      </w:r>
    </w:p>
    <w:p w14:paraId="5BF8260B" w14:textId="77777777" w:rsidR="00BC2953" w:rsidRPr="003C5FC1" w:rsidRDefault="00BC2953" w:rsidP="00BC2953">
      <w:pPr>
        <w:pStyle w:val="Normal2"/>
        <w:rPr>
          <w:rFonts w:eastAsiaTheme="minorEastAsia"/>
        </w:rPr>
      </w:pPr>
      <w:r w:rsidRPr="003C5FC1">
        <w:rPr>
          <w:rFonts w:eastAsiaTheme="minorEastAsia"/>
        </w:rPr>
        <w:t>These issues are described in further detail in the following sections.</w:t>
      </w:r>
    </w:p>
    <w:p w14:paraId="59D8697B" w14:textId="77777777" w:rsidR="00BC2953" w:rsidRPr="00A9066F" w:rsidRDefault="00BC2953" w:rsidP="00BC2953">
      <w:pPr>
        <w:pStyle w:val="Heading2"/>
      </w:pPr>
      <w:r w:rsidRPr="00A9066F">
        <w:t>1.1</w:t>
      </w:r>
      <w:r w:rsidRPr="00A9066F">
        <w:tab/>
        <w:t xml:space="preserve">Duplication </w:t>
      </w:r>
    </w:p>
    <w:p w14:paraId="5E538CB1" w14:textId="77777777" w:rsidR="00BC2953" w:rsidRPr="00613535" w:rsidRDefault="00BC2953" w:rsidP="00BC2953">
      <w:pPr>
        <w:pStyle w:val="Normal2"/>
      </w:pPr>
      <w:r w:rsidRPr="00536FFB">
        <w:t xml:space="preserve">Version 1 of the NSQHS Standards required organisations to undertake quality improvement activities for </w:t>
      </w:r>
      <w:r w:rsidR="000113AD">
        <w:t xml:space="preserve">each of the </w:t>
      </w:r>
      <w:r w:rsidRPr="00536FFB">
        <w:t>actions. A majority of the 482 representatives of health service organisations involved in focus groups</w:t>
      </w:r>
      <w:r w:rsidRPr="00613535">
        <w:t xml:space="preserve"> during May and June 2015 reported that, in some instances, these requirements </w:t>
      </w:r>
      <w:r>
        <w:t>are</w:t>
      </w:r>
      <w:r w:rsidRPr="00613535">
        <w:t xml:space="preserve"> prescriptive and did not always focus on the areas of greatest risk</w:t>
      </w:r>
      <w:r>
        <w:t>. As a consequence,</w:t>
      </w:r>
      <w:r w:rsidRPr="00613535">
        <w:t xml:space="preserve"> they divert resources from safety and quality issues that </w:t>
      </w:r>
      <w:r>
        <w:t>are</w:t>
      </w:r>
      <w:r w:rsidRPr="00613535">
        <w:t xml:space="preserve"> of higher priority in their organisations. It was estimated that more than 30 per cent of the actions could be combined to reduce the duplication in the </w:t>
      </w:r>
      <w:r w:rsidR="000113AD">
        <w:t xml:space="preserve">NSQHS </w:t>
      </w:r>
      <w:r w:rsidRPr="00613535">
        <w:t xml:space="preserve">Standards. </w:t>
      </w:r>
    </w:p>
    <w:p w14:paraId="4649498D" w14:textId="77777777" w:rsidR="00BC2953" w:rsidRPr="00A9066F" w:rsidRDefault="00BC2953" w:rsidP="00BC2953">
      <w:pPr>
        <w:pStyle w:val="Heading2"/>
      </w:pPr>
      <w:r w:rsidRPr="00A9066F">
        <w:t>1.2</w:t>
      </w:r>
      <w:r w:rsidRPr="00A9066F">
        <w:tab/>
        <w:t xml:space="preserve">Coverage of the clinical workforce </w:t>
      </w:r>
    </w:p>
    <w:p w14:paraId="04978B9B" w14:textId="77777777" w:rsidR="00BC2953" w:rsidRPr="00613535" w:rsidRDefault="00BC2953" w:rsidP="00BC2953">
      <w:pPr>
        <w:pStyle w:val="Normal2"/>
      </w:pPr>
      <w:r>
        <w:t>Version 1 of t</w:t>
      </w:r>
      <w:r w:rsidRPr="00613535">
        <w:t>he NSQHS Standards define</w:t>
      </w:r>
      <w:r>
        <w:t>s</w:t>
      </w:r>
      <w:r w:rsidRPr="00613535">
        <w:t xml:space="preserve"> three workforce groups: clinicians, non</w:t>
      </w:r>
      <w:r w:rsidR="000113AD">
        <w:t>-</w:t>
      </w:r>
      <w:r w:rsidRPr="00613535">
        <w:t xml:space="preserve">clinical workforce and workforce. These definitions have proven to be problematic, because the inclusion of credentialed practitioners is unclear. </w:t>
      </w:r>
      <w:r w:rsidR="000113AD">
        <w:t xml:space="preserve">In some private sector organisations, credentialed practitioners are included for some actions and not in others. The Commission expects that all </w:t>
      </w:r>
      <w:r w:rsidRPr="00613535">
        <w:t xml:space="preserve">credentialed practitioners are included in implementation of the requirements of the clinical </w:t>
      </w:r>
      <w:r w:rsidR="000113AD">
        <w:t xml:space="preserve">NSQHS </w:t>
      </w:r>
      <w:r w:rsidRPr="00613535">
        <w:t xml:space="preserve">Standards. However, there are difficulties associated with documenting and/or providing access to training for credentialed practitioners. </w:t>
      </w:r>
    </w:p>
    <w:p w14:paraId="44D36391" w14:textId="77777777" w:rsidR="00BC2953" w:rsidRPr="00A9066F" w:rsidRDefault="00BC2953" w:rsidP="00BC2953">
      <w:pPr>
        <w:pStyle w:val="Heading2"/>
      </w:pPr>
      <w:r w:rsidRPr="00A9066F">
        <w:t>1.3</w:t>
      </w:r>
      <w:r w:rsidRPr="00A9066F">
        <w:tab/>
        <w:t>Clinical audit</w:t>
      </w:r>
    </w:p>
    <w:p w14:paraId="7C9F9C98" w14:textId="77777777" w:rsidR="00BC2953" w:rsidRPr="00613535" w:rsidRDefault="00BC2953" w:rsidP="00BC2953">
      <w:pPr>
        <w:pStyle w:val="Normal2"/>
      </w:pPr>
      <w:r w:rsidRPr="00613535">
        <w:t>In version 1 of the NSQHS Standards, each of the</w:t>
      </w:r>
      <w:r w:rsidR="000113AD">
        <w:t xml:space="preserve"> ten NSQHS </w:t>
      </w:r>
      <w:r w:rsidRPr="00613535">
        <w:t xml:space="preserve">Standards include items with </w:t>
      </w:r>
      <w:r w:rsidR="000113AD">
        <w:t xml:space="preserve">three to five </w:t>
      </w:r>
      <w:r w:rsidRPr="00613535">
        <w:t xml:space="preserve">actions that require health service organisations to implement changes to processes, monitor or audit the changes, and evaluate and improve the processes. Thirty-seven actions specifically require audits or monitoring, and jurisdictions have suggested that as many as 143 audits are required to fully meet the requirements of the Standards. </w:t>
      </w:r>
    </w:p>
    <w:p w14:paraId="12477B24" w14:textId="77777777" w:rsidR="00BC2953" w:rsidRPr="00613535" w:rsidRDefault="00BC2953" w:rsidP="00BC2953">
      <w:pPr>
        <w:pStyle w:val="Normal2"/>
      </w:pPr>
      <w:r w:rsidRPr="00613535">
        <w:t xml:space="preserve">Health service organisations have stated that, in some instances, these requirements for clinical auditing are prescriptive and unduly burdensome, and do not allow organisations to consistently focus on areas of greatest risk for their organisation. Stakeholders suggested that future </w:t>
      </w:r>
      <w:r w:rsidR="000113AD">
        <w:t xml:space="preserve">NSQHS </w:t>
      </w:r>
      <w:r w:rsidRPr="00613535">
        <w:t xml:space="preserve">Standards should consolidate the auditing requirements and replace them with a single action. This action would require organisations to have a quality improvement program for each </w:t>
      </w:r>
      <w:r w:rsidR="000113AD">
        <w:t xml:space="preserve">NSQHS </w:t>
      </w:r>
      <w:r w:rsidRPr="00613535">
        <w:t>Standard that addresses priority safety and quality issues relevant to that organisation.</w:t>
      </w:r>
    </w:p>
    <w:p w14:paraId="5B4BDABC" w14:textId="77777777" w:rsidR="00BC2953" w:rsidRPr="00A9066F" w:rsidRDefault="00BC2953" w:rsidP="00BC2953">
      <w:pPr>
        <w:pStyle w:val="Heading2"/>
      </w:pPr>
      <w:r w:rsidRPr="00A9066F">
        <w:t>1.4</w:t>
      </w:r>
      <w:r w:rsidRPr="00A9066F">
        <w:tab/>
        <w:t>Outdated evidence base</w:t>
      </w:r>
    </w:p>
    <w:p w14:paraId="08134327" w14:textId="77777777" w:rsidR="00BC2953" w:rsidRPr="005F32CB" w:rsidRDefault="00BC2953" w:rsidP="00BC2953">
      <w:pPr>
        <w:pStyle w:val="Normal2"/>
      </w:pPr>
      <w:r w:rsidRPr="005F32CB">
        <w:t xml:space="preserve">The </w:t>
      </w:r>
      <w:r w:rsidR="000113AD">
        <w:t xml:space="preserve">NSQHS </w:t>
      </w:r>
      <w:r w:rsidRPr="005F32CB">
        <w:t xml:space="preserve">Standards address areas in which there are: </w:t>
      </w:r>
    </w:p>
    <w:p w14:paraId="6603F560" w14:textId="77777777" w:rsidR="00BC2953" w:rsidRPr="005F32CB" w:rsidRDefault="00BC2953" w:rsidP="00BC2953">
      <w:pPr>
        <w:pStyle w:val="Normal2"/>
        <w:numPr>
          <w:ilvl w:val="0"/>
          <w:numId w:val="21"/>
        </w:numPr>
      </w:pPr>
      <w:r w:rsidRPr="005F32CB">
        <w:t>a large number of patients involved</w:t>
      </w:r>
    </w:p>
    <w:p w14:paraId="40E94548" w14:textId="77777777" w:rsidR="00BC2953" w:rsidRPr="005F32CB" w:rsidRDefault="00BC2953" w:rsidP="00BC2953">
      <w:pPr>
        <w:pStyle w:val="Normal2"/>
        <w:numPr>
          <w:ilvl w:val="0"/>
          <w:numId w:val="21"/>
        </w:numPr>
      </w:pPr>
      <w:r w:rsidRPr="005F32CB">
        <w:t>known gaps between the current care delivery and best-practice outcomes</w:t>
      </w:r>
    </w:p>
    <w:p w14:paraId="5013BA17" w14:textId="77777777" w:rsidR="00BC2953" w:rsidRPr="005F32CB" w:rsidRDefault="00BC2953" w:rsidP="00BC2953">
      <w:pPr>
        <w:pStyle w:val="Normal2"/>
        <w:numPr>
          <w:ilvl w:val="0"/>
          <w:numId w:val="21"/>
        </w:numPr>
      </w:pPr>
      <w:proofErr w:type="gramStart"/>
      <w:r w:rsidRPr="005F32CB">
        <w:t>existing</w:t>
      </w:r>
      <w:proofErr w:type="gramEnd"/>
      <w:r w:rsidRPr="005F32CB">
        <w:t xml:space="preserve"> improveme</w:t>
      </w:r>
      <w:r w:rsidR="000113AD">
        <w:t>nt strategies that are evidence-</w:t>
      </w:r>
      <w:r w:rsidRPr="005F32CB">
        <w:t>based and achievable.</w:t>
      </w:r>
    </w:p>
    <w:p w14:paraId="1FD6E384" w14:textId="77777777" w:rsidR="00BC2953" w:rsidRPr="005F32CB" w:rsidRDefault="00BC2953" w:rsidP="00BC2953">
      <w:pPr>
        <w:pStyle w:val="Normal2"/>
      </w:pPr>
      <w:r w:rsidRPr="005F32CB">
        <w:t>The evidence base for determining which actions are included in the NSQHS Standards comes from a range of sources, including scientific journal articles, project reports, internal research, and feedback from committees, technical advisory groups, clinicians and consumer focus groups.</w:t>
      </w:r>
    </w:p>
    <w:p w14:paraId="11E30CA8" w14:textId="77777777" w:rsidR="00BC2953" w:rsidRPr="005F32CB" w:rsidRDefault="00BC2953" w:rsidP="00BC2953">
      <w:pPr>
        <w:pStyle w:val="Normal2"/>
      </w:pPr>
      <w:r w:rsidRPr="005F32CB">
        <w:t xml:space="preserve">The </w:t>
      </w:r>
      <w:r w:rsidR="000113AD">
        <w:t xml:space="preserve">need to ensure the </w:t>
      </w:r>
      <w:r w:rsidRPr="005F32CB">
        <w:t>credibility of the NSQHS Standards requires that they are based on a strong and current evidence base. The NSQHS Standards were develop</w:t>
      </w:r>
      <w:r w:rsidR="000113AD">
        <w:t>ed in 2009–10, and the evidence-</w:t>
      </w:r>
      <w:r w:rsidRPr="005F32CB">
        <w:t xml:space="preserve">base </w:t>
      </w:r>
      <w:r w:rsidR="000113AD">
        <w:t>has changed since this time</w:t>
      </w:r>
      <w:r w:rsidRPr="005F32CB">
        <w:t>. The strategies and requirements in version 2 of the NSQHS Standards have been appraised either through a review of the literature with technical experts or in collaboration with expert clinicians to agree and describe best practice, based on current evidence.</w:t>
      </w:r>
    </w:p>
    <w:p w14:paraId="4E694A5E" w14:textId="77777777" w:rsidR="00BC2953" w:rsidRPr="00A9066F" w:rsidRDefault="00BC2953" w:rsidP="00BC2953">
      <w:pPr>
        <w:pStyle w:val="Heading2"/>
      </w:pPr>
      <w:r w:rsidRPr="00A9066F">
        <w:t>1.5</w:t>
      </w:r>
      <w:r w:rsidRPr="00A9066F">
        <w:tab/>
        <w:t>Integrated screening and comprehensive care</w:t>
      </w:r>
    </w:p>
    <w:p w14:paraId="3856E0F9" w14:textId="77777777" w:rsidR="00BC2953" w:rsidRPr="005F32CB" w:rsidRDefault="00BC2953" w:rsidP="00BC2953">
      <w:pPr>
        <w:pStyle w:val="Normal2"/>
      </w:pPr>
      <w:r w:rsidRPr="005F32CB">
        <w:t xml:space="preserve">Currently, the NSQHS Standards have separate screening and assessment processes for falls and pressure injuries. If cognitive impairment, mental health and end-of-life care are introduced in version 2 of the Standards, clinicians would need to conduct multiple screening processes on patients at presentation. Jurisdictions have indicated that they are moving to integrate screening processes to ensure that all of an individual’s risks are identified so that comprehensive care plans can be developed to meet these needs. To support these initiatives, the NSQHS Standards could consolidate the screening requirements in the Standards, and link them to a patient-centred comprehensive approach to screening and care. </w:t>
      </w:r>
    </w:p>
    <w:p w14:paraId="78018EB7" w14:textId="77777777" w:rsidR="00BC2953" w:rsidRPr="00A9066F" w:rsidRDefault="00BC2953" w:rsidP="00BC2953">
      <w:pPr>
        <w:pStyle w:val="Heading2"/>
      </w:pPr>
      <w:r w:rsidRPr="00A9066F">
        <w:t>1.6</w:t>
      </w:r>
      <w:r w:rsidRPr="00A9066F">
        <w:tab/>
        <w:t xml:space="preserve">Patient identification and procedure matching requirement </w:t>
      </w:r>
    </w:p>
    <w:p w14:paraId="6ECCEFA6" w14:textId="77777777" w:rsidR="00BC2953" w:rsidRPr="005F32CB" w:rsidRDefault="00BC2953" w:rsidP="00BC2953">
      <w:pPr>
        <w:pStyle w:val="Normal2"/>
      </w:pPr>
      <w:r w:rsidRPr="005F32CB">
        <w:t>Patient identification mechanisms are used in health service organisations to ensure that the correct person is matched with the correct procedure whenever care is provided. Misidentification and the wrong procedure are serious adverse events, occasionally leading to serious harm. Stakeholders have recommended that this Standard be streamlined and simplified, and strongly support combining it with an increased focus on effective and safe clinical communication.</w:t>
      </w:r>
    </w:p>
    <w:p w14:paraId="4712A62B" w14:textId="77777777" w:rsidR="00BC2953" w:rsidRPr="005F32CB" w:rsidRDefault="00BC2953" w:rsidP="00BC2953">
      <w:pPr>
        <w:pStyle w:val="Heading2"/>
      </w:pPr>
      <w:r w:rsidRPr="005F32CB">
        <w:t>1.7</w:t>
      </w:r>
      <w:r w:rsidRPr="005F32CB">
        <w:tab/>
        <w:t>Gaps in coverage</w:t>
      </w:r>
    </w:p>
    <w:p w14:paraId="317DAAFF" w14:textId="77777777" w:rsidR="00BC2953" w:rsidRPr="005F32CB" w:rsidRDefault="00BC2953" w:rsidP="00BC2953">
      <w:pPr>
        <w:pStyle w:val="Normal2"/>
      </w:pPr>
      <w:r w:rsidRPr="005F32CB">
        <w:t>The Commission facilitated 31 focus groups nationally – with more than 470 representatives from health service organisations, consumers, peak bodies and interest groups – to discuss the content and implementation of version 1 of the NSQHS Standards. Participants agreed that there were gaps in the Standards, including in the areas of:</w:t>
      </w:r>
    </w:p>
    <w:p w14:paraId="3D15B747" w14:textId="77777777" w:rsidR="00BC2953" w:rsidRPr="005F32CB" w:rsidRDefault="00BC2953" w:rsidP="00BC2953">
      <w:pPr>
        <w:pStyle w:val="Normal2"/>
        <w:numPr>
          <w:ilvl w:val="0"/>
          <w:numId w:val="22"/>
        </w:numPr>
      </w:pPr>
      <w:r w:rsidRPr="005F32CB">
        <w:t>mental health</w:t>
      </w:r>
    </w:p>
    <w:p w14:paraId="0524F2F1" w14:textId="77777777" w:rsidR="00BC2953" w:rsidRPr="005F32CB" w:rsidRDefault="00BC2953" w:rsidP="00BC2953">
      <w:pPr>
        <w:pStyle w:val="Normal2"/>
        <w:numPr>
          <w:ilvl w:val="0"/>
          <w:numId w:val="22"/>
        </w:numPr>
      </w:pPr>
      <w:r w:rsidRPr="005F32CB">
        <w:t xml:space="preserve">cognitive impairment </w:t>
      </w:r>
    </w:p>
    <w:p w14:paraId="7588BA59" w14:textId="77777777" w:rsidR="00BC2953" w:rsidRPr="005F32CB" w:rsidRDefault="00BC2953" w:rsidP="00BC2953">
      <w:pPr>
        <w:pStyle w:val="Normal2"/>
        <w:numPr>
          <w:ilvl w:val="0"/>
          <w:numId w:val="22"/>
        </w:numPr>
      </w:pPr>
      <w:r w:rsidRPr="005F32CB">
        <w:t xml:space="preserve">end-of-life care </w:t>
      </w:r>
    </w:p>
    <w:p w14:paraId="1961EE62" w14:textId="77777777" w:rsidR="00BC2953" w:rsidRPr="005F32CB" w:rsidRDefault="00BC2953" w:rsidP="00BC2953">
      <w:pPr>
        <w:pStyle w:val="Normal2"/>
        <w:numPr>
          <w:ilvl w:val="0"/>
          <w:numId w:val="22"/>
        </w:numPr>
      </w:pPr>
      <w:r w:rsidRPr="005F32CB">
        <w:t>health literacy</w:t>
      </w:r>
    </w:p>
    <w:p w14:paraId="5D02D76D" w14:textId="77777777" w:rsidR="00BC2953" w:rsidRPr="005F32CB" w:rsidRDefault="00BC2953" w:rsidP="00BC2953">
      <w:pPr>
        <w:pStyle w:val="Normal2"/>
        <w:numPr>
          <w:ilvl w:val="0"/>
          <w:numId w:val="22"/>
        </w:numPr>
      </w:pPr>
      <w:r w:rsidRPr="005F32CB">
        <w:t>Aboriginal and Torres Strait Islander health.</w:t>
      </w:r>
    </w:p>
    <w:p w14:paraId="510F68C8" w14:textId="77777777" w:rsidR="00BC2953" w:rsidRDefault="00BC2953" w:rsidP="00BC2953">
      <w:pPr>
        <w:pStyle w:val="Normal2"/>
        <w:rPr>
          <w:rStyle w:val="IntenseReference"/>
          <w:b w:val="0"/>
          <w:bCs w:val="0"/>
          <w:i w:val="0"/>
          <w:smallCaps w:val="0"/>
          <w:color w:val="000000"/>
          <w:spacing w:val="0"/>
        </w:rPr>
      </w:pPr>
      <w:r w:rsidRPr="005F32CB">
        <w:t>These areas are described in further detail below.</w:t>
      </w:r>
    </w:p>
    <w:p w14:paraId="5733A7FB" w14:textId="77777777" w:rsidR="00BC2953" w:rsidRPr="005F32CB" w:rsidRDefault="00BC2953" w:rsidP="00BC2953">
      <w:pPr>
        <w:pStyle w:val="Heading3"/>
      </w:pPr>
      <w:r w:rsidRPr="005F32CB">
        <w:t>Mental health</w:t>
      </w:r>
    </w:p>
    <w:p w14:paraId="73C03487" w14:textId="77777777" w:rsidR="00BC2953" w:rsidRPr="009A6B6C" w:rsidRDefault="00BC2953" w:rsidP="00BC2953">
      <w:pPr>
        <w:pStyle w:val="Heading4"/>
      </w:pPr>
      <w:r w:rsidRPr="009A6B6C">
        <w:t>Why is it a problem?</w:t>
      </w:r>
    </w:p>
    <w:p w14:paraId="2FAC11E9" w14:textId="77777777" w:rsidR="00BC2953" w:rsidRPr="005F32CB" w:rsidRDefault="00BC2953" w:rsidP="00BC2953">
      <w:pPr>
        <w:pStyle w:val="Normal2"/>
      </w:pPr>
      <w:r w:rsidRPr="005F32CB">
        <w:t>Two set of standards are applicable to mental health services: the National Standards for Mental Health Services and the NSQHS Standards. The National Standards for Mental Health Services do not apply in all settings where patients receive care for their mental illness (e.g. emergency departments), and the NSQHS Standards are not directly applicable in the large and growing community-managed organisations</w:t>
      </w:r>
      <w:r>
        <w:t xml:space="preserve"> sect</w:t>
      </w:r>
      <w:r w:rsidR="000113AD">
        <w:t>o</w:t>
      </w:r>
      <w:r>
        <w:t>r</w:t>
      </w:r>
      <w:r w:rsidRPr="005F32CB">
        <w:t xml:space="preserve">. </w:t>
      </w:r>
    </w:p>
    <w:p w14:paraId="7737DCA7" w14:textId="77777777" w:rsidR="00BC2953" w:rsidRPr="005F32CB" w:rsidRDefault="00BC2953" w:rsidP="00BC2953">
      <w:pPr>
        <w:pStyle w:val="Normal2"/>
      </w:pPr>
      <w:r w:rsidRPr="005F32CB">
        <w:t>There is also large variation in the dispensing of prescriptions commonly used to treat mental health disorders, including psychotropic medicines, antidepressants, and anxiolytic and antipsychotic medications, indicating the potential for inappropriate use or overuse by some patients.</w:t>
      </w:r>
      <w:r w:rsidRPr="00F04ABB">
        <w:rPr>
          <w:vertAlign w:val="superscript"/>
        </w:rPr>
        <w:t>2</w:t>
      </w:r>
    </w:p>
    <w:p w14:paraId="3518D7AC" w14:textId="77777777" w:rsidR="00BC2953" w:rsidRPr="009A6B6C" w:rsidRDefault="00BC2953" w:rsidP="00BC2953">
      <w:pPr>
        <w:pStyle w:val="Heading4"/>
      </w:pPr>
      <w:r w:rsidRPr="009A6B6C">
        <w:t>What are the risks associated with this area?</w:t>
      </w:r>
    </w:p>
    <w:p w14:paraId="1516B5A2" w14:textId="77777777" w:rsidR="00BC2953" w:rsidRPr="005F32CB" w:rsidRDefault="00BC2953" w:rsidP="00BC2953">
      <w:pPr>
        <w:pStyle w:val="Normal2"/>
      </w:pPr>
      <w:r w:rsidRPr="005F32CB">
        <w:t>Mental and behavi</w:t>
      </w:r>
      <w:r w:rsidR="007D16FD">
        <w:t>oural disorders are the second-l</w:t>
      </w:r>
      <w:r w:rsidRPr="005F32CB">
        <w:t>argest contributor to the non</w:t>
      </w:r>
      <w:r w:rsidR="000113AD">
        <w:t>-</w:t>
      </w:r>
      <w:r w:rsidRPr="005F32CB">
        <w:t>fatal burden of disease</w:t>
      </w:r>
      <w:r w:rsidR="000113AD">
        <w:t>,</w:t>
      </w:r>
      <w:r w:rsidRPr="005F32CB">
        <w:t xml:space="preserve"> and account for 13 per cent of the total burden of disease in Australia.</w:t>
      </w:r>
      <w:r w:rsidRPr="00F04ABB">
        <w:rPr>
          <w:vertAlign w:val="superscript"/>
        </w:rPr>
        <w:t>3</w:t>
      </w:r>
      <w:r w:rsidRPr="005F32CB">
        <w:t xml:space="preserve"> </w:t>
      </w:r>
    </w:p>
    <w:p w14:paraId="2342BAA8" w14:textId="77777777" w:rsidR="00BC2953" w:rsidRPr="005F32CB" w:rsidRDefault="00BC2953" w:rsidP="00BC2953">
      <w:pPr>
        <w:pStyle w:val="Normal2"/>
      </w:pPr>
      <w:r w:rsidRPr="005F32CB">
        <w:t>Identified gaps in safety and quality systems have the potential to affect the quality of care provided to people who have lived experience of mental health disorders – in terms of both receiving care in an environment where they feel safe</w:t>
      </w:r>
      <w:r w:rsidR="000113AD">
        <w:t>,</w:t>
      </w:r>
      <w:r w:rsidRPr="005F32CB">
        <w:t xml:space="preserve"> and receiving care that is consistent with best practice.</w:t>
      </w:r>
    </w:p>
    <w:p w14:paraId="51FF785A" w14:textId="77777777" w:rsidR="00BC2953" w:rsidRPr="005F32CB" w:rsidRDefault="00BC2953" w:rsidP="00BC2953">
      <w:pPr>
        <w:pStyle w:val="Normal2"/>
      </w:pPr>
      <w:r w:rsidRPr="005F32CB">
        <w:t xml:space="preserve">These safety and quality risks may lead to poorer health outcomes for patients, which in turn may increase costs of care. </w:t>
      </w:r>
    </w:p>
    <w:p w14:paraId="50B8ECCF" w14:textId="77777777" w:rsidR="00BC2953" w:rsidRPr="005F32CB" w:rsidRDefault="00BC2953" w:rsidP="00BC2953">
      <w:pPr>
        <w:pStyle w:val="Normal2"/>
      </w:pPr>
      <w:r w:rsidRPr="005F32CB">
        <w:t>The impact of mental health disorders is significant for patients, families and other support people, and communities more broadly.</w:t>
      </w:r>
      <w:r w:rsidRPr="005F32CB">
        <w:rPr>
          <w:vertAlign w:val="superscript"/>
        </w:rPr>
        <w:t>3</w:t>
      </w:r>
    </w:p>
    <w:p w14:paraId="6161B26A" w14:textId="77777777" w:rsidR="00BC2953" w:rsidRPr="009A6B6C" w:rsidRDefault="00BC2953" w:rsidP="00BC2953">
      <w:pPr>
        <w:pStyle w:val="Heading4"/>
      </w:pPr>
      <w:r w:rsidRPr="009A6B6C">
        <w:t>What is the outcomes evidence in this area?</w:t>
      </w:r>
    </w:p>
    <w:p w14:paraId="7C0677F4" w14:textId="77777777" w:rsidR="00BC2953" w:rsidRPr="005F32CB" w:rsidRDefault="00BC2953" w:rsidP="00BC2953">
      <w:pPr>
        <w:pStyle w:val="Normal2"/>
      </w:pPr>
      <w:r w:rsidRPr="005F32CB">
        <w:t>The Commission has conducted research to identify issues associated with safe and high-quality care for people with experience of mental health disorders.</w:t>
      </w:r>
    </w:p>
    <w:p w14:paraId="1F34B79D" w14:textId="77777777" w:rsidR="00BC2953" w:rsidRPr="005F32CB" w:rsidRDefault="00BC2953" w:rsidP="00BC2953">
      <w:pPr>
        <w:pStyle w:val="Normal2"/>
      </w:pPr>
      <w:r w:rsidRPr="005F32CB">
        <w:t>The specific safety and quality issues identified include:</w:t>
      </w:r>
    </w:p>
    <w:p w14:paraId="4474D222" w14:textId="77777777" w:rsidR="00BC2953" w:rsidRPr="005F32CB" w:rsidRDefault="00BC2953" w:rsidP="00BC2953">
      <w:pPr>
        <w:pStyle w:val="Normal2"/>
        <w:numPr>
          <w:ilvl w:val="0"/>
          <w:numId w:val="23"/>
        </w:numPr>
      </w:pPr>
      <w:r w:rsidRPr="005F32CB">
        <w:t>seclusion and restraint</w:t>
      </w:r>
    </w:p>
    <w:p w14:paraId="50AE42DC" w14:textId="77777777" w:rsidR="00BC2953" w:rsidRPr="005F32CB" w:rsidRDefault="00BC2953" w:rsidP="00BC2953">
      <w:pPr>
        <w:pStyle w:val="Normal2"/>
        <w:numPr>
          <w:ilvl w:val="0"/>
          <w:numId w:val="23"/>
        </w:numPr>
      </w:pPr>
      <w:r w:rsidRPr="005F32CB">
        <w:t xml:space="preserve">sexual safety </w:t>
      </w:r>
    </w:p>
    <w:p w14:paraId="4847C9F6" w14:textId="77777777" w:rsidR="00BC2953" w:rsidRPr="005F32CB" w:rsidRDefault="00BC2953" w:rsidP="00BC2953">
      <w:pPr>
        <w:pStyle w:val="Normal2"/>
        <w:numPr>
          <w:ilvl w:val="0"/>
          <w:numId w:val="23"/>
        </w:numPr>
      </w:pPr>
      <w:r w:rsidRPr="005F32CB">
        <w:t>psychological deterioration and recovery principles</w:t>
      </w:r>
    </w:p>
    <w:p w14:paraId="051BCC9F" w14:textId="77777777" w:rsidR="00BC2953" w:rsidRPr="005F32CB" w:rsidRDefault="00BC2953" w:rsidP="00BC2953">
      <w:pPr>
        <w:pStyle w:val="Normal2"/>
        <w:numPr>
          <w:ilvl w:val="0"/>
          <w:numId w:val="23"/>
        </w:numPr>
      </w:pPr>
      <w:proofErr w:type="gramStart"/>
      <w:r w:rsidRPr="005F32CB">
        <w:t>delivery</w:t>
      </w:r>
      <w:proofErr w:type="gramEnd"/>
      <w:r w:rsidRPr="005F32CB">
        <w:t xml:space="preserve"> of care in community settings.</w:t>
      </w:r>
    </w:p>
    <w:p w14:paraId="1685929B" w14:textId="77777777" w:rsidR="00BC2953" w:rsidRPr="005F32CB" w:rsidRDefault="00BC2953" w:rsidP="00BC2953">
      <w:pPr>
        <w:pStyle w:val="Normal2"/>
      </w:pPr>
      <w:r w:rsidRPr="005F32CB">
        <w:t xml:space="preserve">More than 40 per cent of survey respondents and many focus group participants agreed that the implementation of standards improved direct service delivery. Service providers particularly noted the increased prominence of recovery principles, and stated that the </w:t>
      </w:r>
      <w:r w:rsidR="000113AD">
        <w:t xml:space="preserve">NSQHS </w:t>
      </w:r>
      <w:r w:rsidRPr="005F32CB">
        <w:t>Standards provide an impetus to focus on good-quality clinical care for each person. Respondents also noted that these improvements were driven by collaboration with service users.</w:t>
      </w:r>
    </w:p>
    <w:p w14:paraId="1D56098B" w14:textId="77777777" w:rsidR="00BC2953" w:rsidRPr="009A6B6C" w:rsidRDefault="00BC2953" w:rsidP="00BC2953">
      <w:pPr>
        <w:pStyle w:val="Heading4"/>
      </w:pPr>
      <w:r w:rsidRPr="009A6B6C">
        <w:t>What is the magnitude of risk?</w:t>
      </w:r>
    </w:p>
    <w:p w14:paraId="08B8ED0B" w14:textId="77777777" w:rsidR="00BC2953" w:rsidRPr="009A6B6C" w:rsidRDefault="00BC2953" w:rsidP="00BC2953">
      <w:pPr>
        <w:pStyle w:val="Normal2"/>
      </w:pPr>
      <w:r w:rsidRPr="009A6B6C">
        <w:t xml:space="preserve">It is estimated that 2–3 per cent of Australians (600 000 people) have severe mental health disorders, as judged by diagnosis, intensity and duration of illness. Another 4–6 per cent (1 million people) </w:t>
      </w:r>
      <w:proofErr w:type="gramStart"/>
      <w:r w:rsidRPr="009A6B6C">
        <w:t>have</w:t>
      </w:r>
      <w:proofErr w:type="gramEnd"/>
      <w:r w:rsidRPr="009A6B6C">
        <w:t xml:space="preserve"> a moderate disorder, and 9–12 per cent have a mild disorder.</w:t>
      </w:r>
    </w:p>
    <w:p w14:paraId="396A86C7" w14:textId="77777777" w:rsidR="00BC2953" w:rsidRPr="009A6B6C" w:rsidRDefault="00BC2953" w:rsidP="00BC2953">
      <w:pPr>
        <w:pStyle w:val="Normal2"/>
      </w:pPr>
      <w:r w:rsidRPr="009A6B6C">
        <w:t>Twenty per cent of adults (3.2 million people) have experienced a mental disorder in the previous 12 months.</w:t>
      </w:r>
      <w:r w:rsidRPr="00F04ABB">
        <w:rPr>
          <w:vertAlign w:val="superscript"/>
        </w:rPr>
        <w:t>4</w:t>
      </w:r>
    </w:p>
    <w:p w14:paraId="46C15A95" w14:textId="77777777" w:rsidR="00BC2953" w:rsidRPr="009A6B6C" w:rsidRDefault="00BC2953" w:rsidP="00BC2953">
      <w:pPr>
        <w:pStyle w:val="Normal2"/>
      </w:pPr>
      <w:r w:rsidRPr="009A6B6C">
        <w:t>This is associated with the following costs:</w:t>
      </w:r>
    </w:p>
    <w:p w14:paraId="02BCDB40" w14:textId="77777777" w:rsidR="00BC2953" w:rsidRPr="009A6B6C" w:rsidRDefault="000113AD" w:rsidP="00BC2953">
      <w:pPr>
        <w:pStyle w:val="Normal2"/>
        <w:numPr>
          <w:ilvl w:val="0"/>
          <w:numId w:val="24"/>
        </w:numPr>
      </w:pPr>
      <w:r>
        <w:t>m</w:t>
      </w:r>
      <w:r w:rsidR="00BC2953" w:rsidRPr="009A6B6C">
        <w:t>ore than $8 billion, or $344 per person, was estimated to be spent on mental health–related services in Australia during 2013–14, an increase from $321 per person (adj</w:t>
      </w:r>
      <w:r>
        <w:t>usted for inflation) in 2009–10</w:t>
      </w:r>
    </w:p>
    <w:p w14:paraId="2233E6EA" w14:textId="77777777" w:rsidR="000113AD" w:rsidRDefault="000113AD" w:rsidP="00BC2953">
      <w:pPr>
        <w:pStyle w:val="Normal2"/>
        <w:numPr>
          <w:ilvl w:val="0"/>
          <w:numId w:val="24"/>
        </w:numPr>
      </w:pPr>
      <w:proofErr w:type="gramStart"/>
      <w:r>
        <w:t>a</w:t>
      </w:r>
      <w:proofErr w:type="gramEnd"/>
      <w:r w:rsidR="00BC2953" w:rsidRPr="009A6B6C">
        <w:t xml:space="preserve"> total of $4.9 billion was spent on state and territory specialised mental health services in 2013–14; there was an average annual increase of 5.8 per cent between 2009–10 and 2013–14. </w:t>
      </w:r>
    </w:p>
    <w:p w14:paraId="3C2E6F7C" w14:textId="77777777" w:rsidR="00BC2953" w:rsidRPr="009A6B6C" w:rsidRDefault="000113AD" w:rsidP="00BC2953">
      <w:pPr>
        <w:pStyle w:val="Normal2"/>
        <w:numPr>
          <w:ilvl w:val="0"/>
          <w:numId w:val="24"/>
        </w:numPr>
      </w:pPr>
      <w:r>
        <w:t>o</w:t>
      </w:r>
      <w:r w:rsidR="00BC2953" w:rsidRPr="009A6B6C">
        <w:t>f the expenditure in 2013–14, most was spent on public hospital services for admitted patients ($2.1 billion), followed by community mental health ca</w:t>
      </w:r>
      <w:r>
        <w:t>re services ($1.9 billion)</w:t>
      </w:r>
    </w:p>
    <w:p w14:paraId="5C77B5AC" w14:textId="77777777" w:rsidR="00BC2953" w:rsidRPr="009A6B6C" w:rsidRDefault="000113AD" w:rsidP="00BC2953">
      <w:pPr>
        <w:pStyle w:val="Normal2"/>
        <w:numPr>
          <w:ilvl w:val="0"/>
          <w:numId w:val="24"/>
        </w:numPr>
      </w:pPr>
      <w:r>
        <w:t>e</w:t>
      </w:r>
      <w:r w:rsidR="00BC2953" w:rsidRPr="009A6B6C">
        <w:t>xpenditure on specialised mental health services in private hospit</w:t>
      </w:r>
      <w:r>
        <w:t>als was $335 million in 2013–14</w:t>
      </w:r>
    </w:p>
    <w:p w14:paraId="77816837" w14:textId="77777777" w:rsidR="00BC2953" w:rsidRPr="009A6B6C" w:rsidRDefault="004B4711" w:rsidP="00BC2953">
      <w:pPr>
        <w:pStyle w:val="Normal2"/>
        <w:numPr>
          <w:ilvl w:val="0"/>
          <w:numId w:val="24"/>
        </w:numPr>
      </w:pPr>
      <w:r>
        <w:t>t</w:t>
      </w:r>
      <w:r w:rsidR="00BC2953" w:rsidRPr="009A6B6C">
        <w:t>he Australian Government spent $753 million, or $32 per person, on subsidised prescriptions under the Pharmaceutical Benefits Scheme (PBS)</w:t>
      </w:r>
      <w:r w:rsidR="000113AD">
        <w:t xml:space="preserve"> and </w:t>
      </w:r>
      <w:r w:rsidR="00BC2953" w:rsidRPr="009A6B6C">
        <w:t>Repatriation Pharmaceutical Benefits Scheme (RPBS) during 2013–14, equating to 8.1 per cent of all PBS/RPBS subsidies.</w:t>
      </w:r>
      <w:r w:rsidR="00BC2953" w:rsidRPr="00F04ABB">
        <w:rPr>
          <w:vertAlign w:val="superscript"/>
        </w:rPr>
        <w:t>5</w:t>
      </w:r>
    </w:p>
    <w:p w14:paraId="3A87F2ED" w14:textId="77777777" w:rsidR="00BC2953" w:rsidRPr="009A6B6C" w:rsidRDefault="00BC2953" w:rsidP="00BC2953">
      <w:pPr>
        <w:pStyle w:val="Heading4"/>
      </w:pPr>
      <w:r w:rsidRPr="009A6B6C">
        <w:t>What other priorities are linked to this issue?</w:t>
      </w:r>
    </w:p>
    <w:p w14:paraId="0C7F4C23" w14:textId="77777777" w:rsidR="00BC2953" w:rsidRPr="009A6B6C" w:rsidRDefault="00BC2953" w:rsidP="00BC2953">
      <w:pPr>
        <w:pStyle w:val="Normal2"/>
        <w:numPr>
          <w:ilvl w:val="0"/>
          <w:numId w:val="25"/>
        </w:numPr>
      </w:pPr>
      <w:r w:rsidRPr="009A6B6C">
        <w:t>National Mental Health Strategy – National Standards for Mental Health Services (Mental Health Standing Committee).</w:t>
      </w:r>
    </w:p>
    <w:p w14:paraId="0A988C9F" w14:textId="77777777" w:rsidR="00BC2953" w:rsidRPr="009A6B6C" w:rsidRDefault="00BC2953" w:rsidP="00BC2953">
      <w:pPr>
        <w:pStyle w:val="Normal2"/>
        <w:numPr>
          <w:ilvl w:val="0"/>
          <w:numId w:val="25"/>
        </w:numPr>
      </w:pPr>
      <w:r w:rsidRPr="009A6B6C">
        <w:t>Recognising and responding to deterioration in mental state: a scoping review (</w:t>
      </w:r>
      <w:r w:rsidR="000055A2">
        <w:t xml:space="preserve">the </w:t>
      </w:r>
      <w:r w:rsidRPr="009A6B6C">
        <w:t>Commission).</w:t>
      </w:r>
    </w:p>
    <w:p w14:paraId="19576231" w14:textId="77777777" w:rsidR="00BC2953" w:rsidRPr="009A6B6C" w:rsidRDefault="00BC2953" w:rsidP="00BC2953">
      <w:pPr>
        <w:pStyle w:val="Heading4"/>
      </w:pPr>
      <w:r w:rsidRPr="009A6B6C">
        <w:t>How can the NSQHS Standards address this problem or reduce the risk?</w:t>
      </w:r>
    </w:p>
    <w:p w14:paraId="485EAEA4" w14:textId="77777777" w:rsidR="00BC2953" w:rsidRPr="009A6B6C" w:rsidRDefault="00BC2953" w:rsidP="00BC2953">
      <w:pPr>
        <w:pStyle w:val="Normal2"/>
      </w:pPr>
      <w:r w:rsidRPr="009A6B6C">
        <w:t>The NSQHS Standards provide a standardised framework for addressing safety issues facing mental health patients in mainstream health service organisations. If these requirements are included in mandatory standards, areas not currently implementing mental health standards will be required to comply.</w:t>
      </w:r>
    </w:p>
    <w:p w14:paraId="735EB64C" w14:textId="77777777" w:rsidR="00BC2953" w:rsidRPr="009A6B6C" w:rsidRDefault="00BC2953" w:rsidP="00BC2953">
      <w:pPr>
        <w:pStyle w:val="Normal2"/>
      </w:pPr>
      <w:r w:rsidRPr="009A6B6C">
        <w:t>The direct and indirect costs of mental ill health are estimated to be up to $28.6 billion per year.</w:t>
      </w:r>
      <w:r w:rsidRPr="00F04ABB">
        <w:rPr>
          <w:vertAlign w:val="superscript"/>
        </w:rPr>
        <w:t>3</w:t>
      </w:r>
      <w:r w:rsidRPr="009A6B6C">
        <w:t xml:space="preserve"> </w:t>
      </w:r>
      <w:proofErr w:type="gramStart"/>
      <w:r w:rsidRPr="009A6B6C">
        <w:t>The</w:t>
      </w:r>
      <w:proofErr w:type="gramEnd"/>
      <w:r w:rsidRPr="009A6B6C">
        <w:t xml:space="preserve"> introduction of mandatory standards that improve care for people with lived experience of mental ill health, even with a small improvement, could save expenditure of hundreds of millions of dollars annually.</w:t>
      </w:r>
    </w:p>
    <w:p w14:paraId="138470F5" w14:textId="77777777" w:rsidR="00BC2953" w:rsidRPr="009A6B6C" w:rsidRDefault="00BC2953" w:rsidP="00BC2953">
      <w:pPr>
        <w:pStyle w:val="Heading3"/>
      </w:pPr>
      <w:r w:rsidRPr="009A6B6C">
        <w:t>Cognitive impairment</w:t>
      </w:r>
    </w:p>
    <w:p w14:paraId="5AEE177B" w14:textId="77777777" w:rsidR="00BC2953" w:rsidRPr="009A6B6C" w:rsidRDefault="00BC2953" w:rsidP="00BC2953">
      <w:pPr>
        <w:pStyle w:val="Heading4"/>
      </w:pPr>
      <w:r w:rsidRPr="009A6B6C">
        <w:t>Why is it a problem?</w:t>
      </w:r>
    </w:p>
    <w:p w14:paraId="7B07B786" w14:textId="77777777" w:rsidR="00BC2953" w:rsidRPr="009A6B6C" w:rsidRDefault="00BC2953" w:rsidP="00BC2953">
      <w:pPr>
        <w:pStyle w:val="Normal2"/>
      </w:pPr>
      <w:r w:rsidRPr="009A6B6C">
        <w:t>Cognitive impairment (such as delirium or dementia) is a common condition experienced by people</w:t>
      </w:r>
      <w:r>
        <w:t xml:space="preserve"> being treated</w:t>
      </w:r>
      <w:r w:rsidRPr="009A6B6C">
        <w:t xml:space="preserve"> in hospitals. It is often not detected, or is overlooked or misdiagnosed. </w:t>
      </w:r>
    </w:p>
    <w:p w14:paraId="72189AD2" w14:textId="77777777" w:rsidR="00BC2953" w:rsidRPr="009A6B6C" w:rsidRDefault="00BC2953" w:rsidP="00BC2953">
      <w:pPr>
        <w:pStyle w:val="Normal2"/>
      </w:pPr>
      <w:r w:rsidRPr="009A6B6C">
        <w:t>Harm can be minimised if cognitive impairment is identified early and risks are addressed.</w:t>
      </w:r>
    </w:p>
    <w:p w14:paraId="34F84FF8" w14:textId="77777777" w:rsidR="00BC2953" w:rsidRPr="009A6B6C" w:rsidRDefault="00BC2953" w:rsidP="00BC2953">
      <w:pPr>
        <w:pStyle w:val="Normal2"/>
      </w:pPr>
      <w:r w:rsidRPr="009A6B6C">
        <w:t>Cognitive impairment is not specifically addressed in</w:t>
      </w:r>
      <w:r>
        <w:t xml:space="preserve"> version 1 of</w:t>
      </w:r>
      <w:r w:rsidRPr="009A6B6C">
        <w:t xml:space="preserve"> the NSQHS Standards. However, the harm that is associated with cognitive impairment, such as pressure injuries and falls are covered in version 1 of the NSQHS Standards. Recognition of cognitive impairment as the underlying cause </w:t>
      </w:r>
      <w:r w:rsidR="007D16FD">
        <w:t xml:space="preserve">allows health services to act to </w:t>
      </w:r>
      <w:r w:rsidRPr="009A6B6C">
        <w:t>further reduce harm to these patients.</w:t>
      </w:r>
    </w:p>
    <w:p w14:paraId="3520A34D" w14:textId="77777777" w:rsidR="00BC2953" w:rsidRPr="009A6B6C" w:rsidRDefault="00BC2953" w:rsidP="00BC2953">
      <w:pPr>
        <w:pStyle w:val="Heading4"/>
      </w:pPr>
      <w:r w:rsidRPr="009A6B6C">
        <w:t>What are the risks associated with this area?</w:t>
      </w:r>
    </w:p>
    <w:p w14:paraId="4025A261" w14:textId="77777777" w:rsidR="00BC2953" w:rsidRPr="009A6B6C" w:rsidRDefault="00BC2953" w:rsidP="00BC2953">
      <w:pPr>
        <w:pStyle w:val="Normal2"/>
      </w:pPr>
      <w:r w:rsidRPr="009A6B6C">
        <w:t xml:space="preserve">People </w:t>
      </w:r>
      <w:r w:rsidR="007D16FD">
        <w:t xml:space="preserve">who experience </w:t>
      </w:r>
      <w:r w:rsidRPr="009A6B6C">
        <w:t>cognitive impairment</w:t>
      </w:r>
      <w:r>
        <w:t xml:space="preserve"> while</w:t>
      </w:r>
      <w:r w:rsidRPr="009A6B6C">
        <w:t xml:space="preserve"> in hospital are at significantly increased risk of adverse events and preventable complications such as falls, pressure injury, accelerated functional decline, longer lengths of stay, premature entry to residential care and increased mortality. </w:t>
      </w:r>
    </w:p>
    <w:p w14:paraId="7ED3422B" w14:textId="77777777" w:rsidR="00BC2953" w:rsidRPr="009A6B6C" w:rsidRDefault="00BC2953" w:rsidP="00BC2953">
      <w:pPr>
        <w:pStyle w:val="Normal2"/>
      </w:pPr>
      <w:r w:rsidRPr="009A6B6C">
        <w:t>People with cognitive impairment are at risk of poorer health outcomes. It is known that there are ways to better prevent and manage these risks.</w:t>
      </w:r>
    </w:p>
    <w:p w14:paraId="099E7126" w14:textId="77777777" w:rsidR="00BC2953" w:rsidRPr="009A6B6C" w:rsidRDefault="00BC2953" w:rsidP="00BC2953">
      <w:pPr>
        <w:pStyle w:val="Heading4"/>
      </w:pPr>
      <w:r w:rsidRPr="009A6B6C">
        <w:t>What is the outcomes evidence in this area?</w:t>
      </w:r>
    </w:p>
    <w:p w14:paraId="1E67664B" w14:textId="77777777" w:rsidR="00BC2953" w:rsidRPr="009A6B6C" w:rsidRDefault="00BC2953" w:rsidP="00BC2953">
      <w:pPr>
        <w:pStyle w:val="Normal2"/>
      </w:pPr>
      <w:r w:rsidRPr="009A6B6C">
        <w:t>Patients with dementia are almost twice as likely to die in hospital as patients without dementia.</w:t>
      </w:r>
      <w:r w:rsidRPr="00F04ABB">
        <w:rPr>
          <w:vertAlign w:val="superscript"/>
        </w:rPr>
        <w:t>8</w:t>
      </w:r>
    </w:p>
    <w:p w14:paraId="7FCC1A84" w14:textId="77777777" w:rsidR="00BC2953" w:rsidRPr="009A6B6C" w:rsidRDefault="00BC2953" w:rsidP="00BC2953">
      <w:pPr>
        <w:pStyle w:val="Normal2"/>
      </w:pPr>
      <w:r w:rsidRPr="009A6B6C">
        <w:t>Mortality rates for hospitalised patients with delirium are high, ranging from 22 per cent to 76 per cent.</w:t>
      </w:r>
      <w:r w:rsidRPr="00F04ABB">
        <w:rPr>
          <w:vertAlign w:val="superscript"/>
        </w:rPr>
        <w:t>8</w:t>
      </w:r>
      <w:r w:rsidRPr="009A6B6C">
        <w:t xml:space="preserve"> </w:t>
      </w:r>
      <w:proofErr w:type="gramStart"/>
      <w:r w:rsidRPr="009A6B6C">
        <w:t>The</w:t>
      </w:r>
      <w:proofErr w:type="gramEnd"/>
      <w:r w:rsidRPr="009A6B6C">
        <w:t xml:space="preserve"> chance of dying in hospital for patients following an episode of delirium is reported to be 2.6 times higher than for patients without delirium.</w:t>
      </w:r>
      <w:r w:rsidRPr="00F04ABB">
        <w:rPr>
          <w:vertAlign w:val="superscript"/>
        </w:rPr>
        <w:t>8</w:t>
      </w:r>
    </w:p>
    <w:p w14:paraId="542240E6" w14:textId="77777777" w:rsidR="00BC2953" w:rsidRPr="009A6B6C" w:rsidRDefault="00BC2953" w:rsidP="00BC2953">
      <w:pPr>
        <w:pStyle w:val="Normal2"/>
      </w:pPr>
      <w:r w:rsidRPr="009A6B6C">
        <w:t>Patients who have a stroke are 4.7 times more likely to die and 4.9 times more likely to have an increased burden of disease if they also have delirium.</w:t>
      </w:r>
      <w:r w:rsidRPr="00F04ABB">
        <w:rPr>
          <w:vertAlign w:val="superscript"/>
        </w:rPr>
        <w:t>8</w:t>
      </w:r>
    </w:p>
    <w:p w14:paraId="412096A4" w14:textId="77777777" w:rsidR="00BC2953" w:rsidRPr="009A6B6C" w:rsidRDefault="00BC2953" w:rsidP="00BC2953">
      <w:pPr>
        <w:pStyle w:val="Normal2"/>
      </w:pPr>
      <w:r w:rsidRPr="009A6B6C">
        <w:t xml:space="preserve">Delirium is 8.3 times more common in older patients in the emergency department, although in 86 per cent of cases it is not detected. The non-detection of delirium in the emergency department </w:t>
      </w:r>
      <w:r w:rsidR="007D16FD">
        <w:t xml:space="preserve">is </w:t>
      </w:r>
      <w:r w:rsidRPr="009A6B6C">
        <w:t>associated with increased mortality within six months following discharge.</w:t>
      </w:r>
      <w:r w:rsidRPr="00F04ABB">
        <w:rPr>
          <w:vertAlign w:val="superscript"/>
        </w:rPr>
        <w:t>8</w:t>
      </w:r>
    </w:p>
    <w:p w14:paraId="1A3FD850" w14:textId="77777777" w:rsidR="00BC2953" w:rsidRPr="009A6B6C" w:rsidRDefault="00BC2953" w:rsidP="00BC2953">
      <w:pPr>
        <w:pStyle w:val="Normal2"/>
      </w:pPr>
      <w:r w:rsidRPr="009A6B6C">
        <w:t>Between 3 per cent and 29 per cent of older patients (65 years and older) develop delirium during a hospital stay, although rates as high as 47–53 per cent in older surgical patients have been reported.</w:t>
      </w:r>
      <w:r w:rsidRPr="00F04ABB">
        <w:rPr>
          <w:vertAlign w:val="superscript"/>
        </w:rPr>
        <w:t>8</w:t>
      </w:r>
    </w:p>
    <w:p w14:paraId="1E5A3A86" w14:textId="77777777" w:rsidR="00BC2953" w:rsidRPr="009A6B6C" w:rsidRDefault="00BC2953" w:rsidP="00BC2953">
      <w:pPr>
        <w:pStyle w:val="Normal2"/>
      </w:pPr>
      <w:r w:rsidRPr="009A6B6C">
        <w:t>Studies suggest that critical illness and intensive care treatment are associated with long-term cognitive impairment in older patients (65 years and older), although the magnitude of the problem is unclear.</w:t>
      </w:r>
      <w:r w:rsidRPr="00F04ABB">
        <w:rPr>
          <w:vertAlign w:val="superscript"/>
        </w:rPr>
        <w:t>8</w:t>
      </w:r>
    </w:p>
    <w:p w14:paraId="0683E8C5" w14:textId="77777777" w:rsidR="00BC2953" w:rsidRPr="009A6B6C" w:rsidRDefault="00BC2953" w:rsidP="00BC2953">
      <w:pPr>
        <w:pStyle w:val="Heading4"/>
      </w:pPr>
      <w:r w:rsidRPr="009A6B6C">
        <w:t>What is the magnitude of risk?</w:t>
      </w:r>
    </w:p>
    <w:p w14:paraId="0D8588FD" w14:textId="77777777" w:rsidR="00BC2953" w:rsidRPr="009A6B6C" w:rsidRDefault="00BC2953" w:rsidP="00BC2953">
      <w:pPr>
        <w:pStyle w:val="Normal2"/>
      </w:pPr>
      <w:r w:rsidRPr="009A6B6C">
        <w:t>One in 10 Australians aged over 65 years and 3 in 10 aged over 85 years have dementia.</w:t>
      </w:r>
    </w:p>
    <w:p w14:paraId="56E506F5" w14:textId="77777777" w:rsidR="00BC2953" w:rsidRPr="009A6B6C" w:rsidRDefault="00BC2953" w:rsidP="00BC2953">
      <w:pPr>
        <w:pStyle w:val="Normal2"/>
      </w:pPr>
      <w:r w:rsidRPr="009A6B6C">
        <w:t>There were 332 000 people living with dementia in Australia in 2014. The number is anticipated to reach 400 000 by 2020, and 900 000 by 2050. This could vary if there are changes in dementia risk, and in the prevention, management and treatment of the condition.</w:t>
      </w:r>
      <w:r w:rsidRPr="00F04ABB">
        <w:rPr>
          <w:vertAlign w:val="superscript"/>
        </w:rPr>
        <w:t>4</w:t>
      </w:r>
    </w:p>
    <w:p w14:paraId="2B48D5EC" w14:textId="77777777" w:rsidR="00BC2953" w:rsidRPr="009A6B6C" w:rsidRDefault="00BC2953" w:rsidP="00BC2953">
      <w:pPr>
        <w:pStyle w:val="Normal2"/>
      </w:pPr>
      <w:r w:rsidRPr="009A6B6C">
        <w:t>The development of delirium in hospital has been shown to increase the length of stay by 7.32 days in the intensive care unit and by 6.53 days in hospital.</w:t>
      </w:r>
      <w:r w:rsidRPr="00F04ABB">
        <w:rPr>
          <w:vertAlign w:val="superscript"/>
        </w:rPr>
        <w:t>8</w:t>
      </w:r>
    </w:p>
    <w:p w14:paraId="24438E4F" w14:textId="77777777" w:rsidR="00BC2953" w:rsidRPr="009A6B6C" w:rsidRDefault="00BC2953" w:rsidP="00BC2953">
      <w:pPr>
        <w:pStyle w:val="Heading4"/>
      </w:pPr>
      <w:r w:rsidRPr="009A6B6C">
        <w:t>What other priorities are linked to this issue?</w:t>
      </w:r>
    </w:p>
    <w:p w14:paraId="4EB742CB" w14:textId="77777777" w:rsidR="00BC2953" w:rsidRPr="009A6B6C" w:rsidRDefault="00BC2953" w:rsidP="00BC2953">
      <w:pPr>
        <w:pStyle w:val="Normal2"/>
        <w:numPr>
          <w:ilvl w:val="0"/>
          <w:numId w:val="26"/>
        </w:numPr>
      </w:pPr>
      <w:r w:rsidRPr="009A6B6C">
        <w:t>Caring for Cognitive Impairment Campaign to improve knowledge and care practices, providing better outcomes for patients with cognitive impairment, hospitals, staff and loved ones, and reducing the risk of harm in hospitals (Australian Commission on Safety and Quality in Health Care)</w:t>
      </w:r>
    </w:p>
    <w:p w14:paraId="678A3445" w14:textId="77777777" w:rsidR="00BC2953" w:rsidRPr="009A6B6C" w:rsidRDefault="00BC2953" w:rsidP="00BC2953">
      <w:pPr>
        <w:pStyle w:val="Normal2"/>
        <w:numPr>
          <w:ilvl w:val="0"/>
          <w:numId w:val="26"/>
        </w:numPr>
      </w:pPr>
      <w:r w:rsidRPr="009A6B6C">
        <w:t>Delirium Clinical Care Standard (Australian Commission on Safety and Quality in Health Care)</w:t>
      </w:r>
    </w:p>
    <w:p w14:paraId="3C0422B1" w14:textId="77777777" w:rsidR="00BC2953" w:rsidRPr="009A6B6C" w:rsidRDefault="00BC2953" w:rsidP="00BC2953">
      <w:pPr>
        <w:pStyle w:val="Heading4"/>
      </w:pPr>
      <w:r w:rsidRPr="009A6B6C">
        <w:t>How can the NSQHS Standards address this problem or reduce the risk?</w:t>
      </w:r>
    </w:p>
    <w:p w14:paraId="05B3C229" w14:textId="77777777" w:rsidR="00BC2953" w:rsidRPr="009A6B6C" w:rsidRDefault="00BC2953" w:rsidP="00BC2953">
      <w:pPr>
        <w:pStyle w:val="Normal2"/>
      </w:pPr>
      <w:r w:rsidRPr="009A6B6C">
        <w:t>Better detection of people with delirium through routine screening</w:t>
      </w:r>
      <w:r w:rsidR="004B4711">
        <w:t>,</w:t>
      </w:r>
      <w:r w:rsidRPr="009A6B6C">
        <w:t xml:space="preserve"> and better management when</w:t>
      </w:r>
      <w:r w:rsidR="004B4711">
        <w:t xml:space="preserve"> the condition is</w:t>
      </w:r>
      <w:r w:rsidRPr="009A6B6C">
        <w:t xml:space="preserve"> identified, can reduce the rate of preventable delirium, and</w:t>
      </w:r>
      <w:r w:rsidR="004B4711">
        <w:t xml:space="preserve"> reduce</w:t>
      </w:r>
      <w:r w:rsidRPr="009A6B6C">
        <w:t xml:space="preserve"> the complications and cost of delirium. </w:t>
      </w:r>
    </w:p>
    <w:p w14:paraId="5C2C5AE9" w14:textId="77777777" w:rsidR="00BC2953" w:rsidRPr="009A6B6C" w:rsidRDefault="00BC2953" w:rsidP="00BC2953">
      <w:pPr>
        <w:pStyle w:val="Normal2"/>
      </w:pPr>
      <w:r w:rsidRPr="009A6B6C">
        <w:t>It is estimated that 30–40 per cent of delirium cases can be prevented with the right care. The introduction of mandatory actions to screen for delirium can result in early detection, reduce length of stay and reduce complications from undetected delirium. Even a small improvement in detection rates can reduce the costs of care by many millions of dollars annually.</w:t>
      </w:r>
    </w:p>
    <w:p w14:paraId="2CA88971" w14:textId="77777777" w:rsidR="00BC2953" w:rsidRPr="00620466" w:rsidRDefault="00BC2953" w:rsidP="00BC2953">
      <w:pPr>
        <w:pStyle w:val="Heading3"/>
      </w:pPr>
      <w:r w:rsidRPr="00620466">
        <w:t>End-of-life care</w:t>
      </w:r>
    </w:p>
    <w:p w14:paraId="58AD8400" w14:textId="77777777" w:rsidR="00BC2953" w:rsidRPr="00620466" w:rsidRDefault="00BC2953" w:rsidP="00BC2953">
      <w:pPr>
        <w:pStyle w:val="Heading4"/>
      </w:pPr>
      <w:r w:rsidRPr="00620466">
        <w:t>Why is it a problem?</w:t>
      </w:r>
    </w:p>
    <w:p w14:paraId="13ADC693" w14:textId="77777777" w:rsidR="00BC2953" w:rsidRPr="00620466" w:rsidRDefault="00BC2953" w:rsidP="00BC2953">
      <w:pPr>
        <w:pStyle w:val="Normal2"/>
      </w:pPr>
      <w:r w:rsidRPr="00620466">
        <w:t xml:space="preserve">Acute hospitals provide end-of-life care to the majority of people who die in Australia. The population is ageing, and, as the proportion of older Australians grows, it is likely that the numbers of people requiring end-of-life care in this setting will rise. </w:t>
      </w:r>
    </w:p>
    <w:p w14:paraId="0CA7AF53" w14:textId="77777777" w:rsidR="00BC2953" w:rsidRPr="00620466" w:rsidRDefault="00BC2953" w:rsidP="00BC2953">
      <w:pPr>
        <w:pStyle w:val="Normal2"/>
      </w:pPr>
      <w:r w:rsidRPr="00620466">
        <w:t>The quality and safety of end-of-life care have important implications not only for the individual patient but also for their family, the people involved in providing care and society as a whole. Potentially preventable physical</w:t>
      </w:r>
      <w:r w:rsidR="004B4711">
        <w:t xml:space="preserve"> and </w:t>
      </w:r>
      <w:r w:rsidRPr="00620466">
        <w:t xml:space="preserve">emotional distress can occur if care is less than optimal, and there are significant cost implications for society if unwanted or inappropriate medical treatments are continued. </w:t>
      </w:r>
    </w:p>
    <w:p w14:paraId="17FDC64A" w14:textId="77777777" w:rsidR="00BC2953" w:rsidRPr="00620466" w:rsidRDefault="00BC2953" w:rsidP="00BC2953">
      <w:pPr>
        <w:pStyle w:val="Normal2"/>
      </w:pPr>
      <w:r w:rsidRPr="00620466">
        <w:t>Even with the considerable investment in palliative care services that already exists, and the implementation of initiatives such as palliative care guidelines, education programs, care pathways and advance care planning programs, persistent gaps remain in the quality and safety of end-of-life care.</w:t>
      </w:r>
      <w:r w:rsidRPr="00F04ABB">
        <w:rPr>
          <w:vertAlign w:val="superscript"/>
        </w:rPr>
        <w:t>10</w:t>
      </w:r>
    </w:p>
    <w:p w14:paraId="7DACD521" w14:textId="77777777" w:rsidR="00BC2953" w:rsidRPr="00620466" w:rsidRDefault="00BC2953" w:rsidP="00BC2953">
      <w:pPr>
        <w:pStyle w:val="Normal2"/>
      </w:pPr>
      <w:r w:rsidRPr="00620466">
        <w:t xml:space="preserve">End-of-life care is not currently specifically addressed in </w:t>
      </w:r>
      <w:r>
        <w:t xml:space="preserve">version 1 of </w:t>
      </w:r>
      <w:r w:rsidRPr="00620466">
        <w:t>the NSQHS Standards. Indeed, until recently, there was no consensus on what was required to provide high-quality end-of-life care.</w:t>
      </w:r>
    </w:p>
    <w:p w14:paraId="6A79416E" w14:textId="77777777" w:rsidR="00BC2953" w:rsidRPr="00620466" w:rsidRDefault="00BC2953" w:rsidP="00BC2953">
      <w:pPr>
        <w:pStyle w:val="Heading4"/>
      </w:pPr>
      <w:r w:rsidRPr="00620466">
        <w:t>What are the risks associated with this area?</w:t>
      </w:r>
    </w:p>
    <w:p w14:paraId="48D00F46" w14:textId="77777777" w:rsidR="00BC2953" w:rsidRPr="00620466" w:rsidRDefault="00BC2953" w:rsidP="00BC2953">
      <w:pPr>
        <w:pStyle w:val="Normal2"/>
      </w:pPr>
      <w:r w:rsidRPr="00620466">
        <w:t>Care provided may be inappropriate and unnecessary when more conservative treatment may better reflect the patient’s health status</w:t>
      </w:r>
      <w:r w:rsidR="007D16FD">
        <w:t xml:space="preserve"> and preferences</w:t>
      </w:r>
      <w:r w:rsidRPr="00620466">
        <w:t>.</w:t>
      </w:r>
    </w:p>
    <w:p w14:paraId="70E6C2FF" w14:textId="77777777" w:rsidR="00BC2953" w:rsidRPr="00620466" w:rsidRDefault="00BC2953" w:rsidP="00BC2953">
      <w:pPr>
        <w:pStyle w:val="Normal2"/>
      </w:pPr>
      <w:r w:rsidRPr="00620466">
        <w:t xml:space="preserve">Resources may not </w:t>
      </w:r>
      <w:r>
        <w:t xml:space="preserve">be </w:t>
      </w:r>
      <w:r w:rsidRPr="00620466">
        <w:t>allocated effectively or in accordance with the patient’s wishes or needs.</w:t>
      </w:r>
    </w:p>
    <w:p w14:paraId="5FD3B748" w14:textId="77777777" w:rsidR="00BC2953" w:rsidRPr="00620466" w:rsidRDefault="00BC2953" w:rsidP="00BC2953">
      <w:pPr>
        <w:pStyle w:val="Heading4"/>
      </w:pPr>
      <w:r w:rsidRPr="00620466">
        <w:t>What is the outcomes evidence in this area?</w:t>
      </w:r>
    </w:p>
    <w:p w14:paraId="582B2EBB" w14:textId="77777777" w:rsidR="00BC2953" w:rsidRPr="00620466" w:rsidRDefault="007D16FD" w:rsidP="00BC2953">
      <w:pPr>
        <w:pStyle w:val="Normal2"/>
      </w:pPr>
      <w:r>
        <w:t>S</w:t>
      </w:r>
      <w:r w:rsidR="00BC2953">
        <w:t>ome health service organisations</w:t>
      </w:r>
      <w:r>
        <w:t xml:space="preserve"> do not see that </w:t>
      </w:r>
      <w:r w:rsidR="00BC2953">
        <w:t>providing e</w:t>
      </w:r>
      <w:r w:rsidR="00BC2953" w:rsidRPr="00620466">
        <w:t xml:space="preserve">nd-of-life care is </w:t>
      </w:r>
      <w:r w:rsidR="00BC2953">
        <w:t>their responsibility</w:t>
      </w:r>
      <w:r w:rsidR="00BC2953" w:rsidRPr="00620466">
        <w:t xml:space="preserve">, and care is outsourced to medical emergency teams, palliative care teams and intensive care teams. For patients, this </w:t>
      </w:r>
      <w:r w:rsidR="004B4711">
        <w:t xml:space="preserve">may </w:t>
      </w:r>
      <w:r w:rsidR="00BC2953" w:rsidRPr="00620466">
        <w:t xml:space="preserve">mean that the care </w:t>
      </w:r>
      <w:r w:rsidR="00BC2953">
        <w:t>they receive is provided because they begin to deteriorate acutely</w:t>
      </w:r>
      <w:r w:rsidR="004B4711">
        <w:t>. It may also mean that</w:t>
      </w:r>
      <w:r w:rsidR="00BC2953" w:rsidRPr="00620466">
        <w:t xml:space="preserve"> </w:t>
      </w:r>
      <w:r w:rsidR="00BC2953">
        <w:t xml:space="preserve">the care is provided </w:t>
      </w:r>
      <w:r w:rsidR="00BC2953" w:rsidRPr="00620466">
        <w:t xml:space="preserve">by strangers, </w:t>
      </w:r>
      <w:r w:rsidR="004B4711">
        <w:t xml:space="preserve">and </w:t>
      </w:r>
      <w:r w:rsidR="00BC2953">
        <w:t xml:space="preserve">is often provided </w:t>
      </w:r>
      <w:r w:rsidR="00BC2953" w:rsidRPr="00620466">
        <w:t xml:space="preserve">after hours and in urgent circumstances. </w:t>
      </w:r>
    </w:p>
    <w:p w14:paraId="0BAC9327" w14:textId="77777777" w:rsidR="00BC2953" w:rsidRPr="00620466" w:rsidRDefault="00BC2953" w:rsidP="00BC2953">
      <w:pPr>
        <w:pStyle w:val="Normal2"/>
      </w:pPr>
      <w:r>
        <w:t>Acute t</w:t>
      </w:r>
      <w:r w:rsidRPr="00620466">
        <w:t>reatment is often continued long after it becomes apparent that a person is at the end of life. A conversation with the</w:t>
      </w:r>
      <w:r>
        <w:t xml:space="preserve"> patient,</w:t>
      </w:r>
      <w:r w:rsidRPr="00620466">
        <w:t xml:space="preserve"> their family and carers may prevent the need for further treatment th</w:t>
      </w:r>
      <w:r>
        <w:t xml:space="preserve">at is likely to be ineffective and provide a better experience of death for all concerned. </w:t>
      </w:r>
    </w:p>
    <w:p w14:paraId="76960320" w14:textId="77777777" w:rsidR="00BC2953" w:rsidRPr="00620466" w:rsidRDefault="00BC2953" w:rsidP="00BC2953">
      <w:pPr>
        <w:pStyle w:val="Heading4"/>
      </w:pPr>
      <w:r w:rsidRPr="00620466">
        <w:t>What is the magnitude of risk?</w:t>
      </w:r>
    </w:p>
    <w:p w14:paraId="7402D929" w14:textId="77777777" w:rsidR="00BC2953" w:rsidRPr="00620466" w:rsidRDefault="00BC2953" w:rsidP="00BC2953">
      <w:pPr>
        <w:pStyle w:val="Normal2"/>
      </w:pPr>
      <w:r>
        <w:t>In 2012–13, 61,</w:t>
      </w:r>
      <w:r w:rsidRPr="00620466">
        <w:t>596 palliative care-related hospitalisations were reported from public and private hospitals in Australia.</w:t>
      </w:r>
    </w:p>
    <w:p w14:paraId="2C51E186" w14:textId="77777777" w:rsidR="00BC2953" w:rsidRPr="00620466" w:rsidRDefault="00BC2953" w:rsidP="00BC2953">
      <w:pPr>
        <w:pStyle w:val="Normal2"/>
      </w:pPr>
      <w:r w:rsidRPr="00620466">
        <w:t>People aged 75 years and over accounted for just over half (51 per cent) of all palliative care-related hospitalisations.</w:t>
      </w:r>
    </w:p>
    <w:p w14:paraId="5C458D3F" w14:textId="77777777" w:rsidR="00BC2953" w:rsidRPr="00620466" w:rsidRDefault="00BC2953" w:rsidP="00BC2953">
      <w:pPr>
        <w:pStyle w:val="Normal2"/>
      </w:pPr>
      <w:r w:rsidRPr="00620466">
        <w:t>There was a 52 per cent increase in palliative care-related hospitalisations from 2003–04 to 2012–13.</w:t>
      </w:r>
    </w:p>
    <w:p w14:paraId="7348933C" w14:textId="77777777" w:rsidR="00BC2953" w:rsidRPr="00620466" w:rsidRDefault="00BC2953" w:rsidP="00BC2953">
      <w:pPr>
        <w:pStyle w:val="Normal2"/>
      </w:pPr>
      <w:r w:rsidRPr="00620466">
        <w:t>In just over 2 in 5 (42 per cent) of hospitalisations where the patient died as an admitted patient, the patient had received palliative care.</w:t>
      </w:r>
    </w:p>
    <w:p w14:paraId="42454D79" w14:textId="77777777" w:rsidR="00BC2953" w:rsidRPr="00620466" w:rsidRDefault="00BC2953" w:rsidP="00BC2953">
      <w:pPr>
        <w:pStyle w:val="Normal2"/>
      </w:pPr>
      <w:r w:rsidRPr="00620466">
        <w:t>In 2011–12, palliative care–related separations accounted for nearly 646 000 patient days, with an average length of stay of 11.2 days – nearly four times as long as the average length of stay of 3.0 days for all separations.</w:t>
      </w:r>
      <w:r w:rsidRPr="00F04ABB">
        <w:rPr>
          <w:vertAlign w:val="superscript"/>
        </w:rPr>
        <w:t>11</w:t>
      </w:r>
    </w:p>
    <w:p w14:paraId="77B9EB5A" w14:textId="77777777" w:rsidR="00BC2953" w:rsidRPr="00620466" w:rsidRDefault="00BC2953" w:rsidP="00BC2953">
      <w:pPr>
        <w:pStyle w:val="Heading4"/>
      </w:pPr>
      <w:r w:rsidRPr="00620466">
        <w:t>What other priorities are linked to this issue?</w:t>
      </w:r>
    </w:p>
    <w:p w14:paraId="3286D814" w14:textId="77777777" w:rsidR="00BC2953" w:rsidRPr="00620466" w:rsidRDefault="00BC2953" w:rsidP="00BC2953">
      <w:pPr>
        <w:pStyle w:val="Normal2"/>
        <w:numPr>
          <w:ilvl w:val="0"/>
          <w:numId w:val="27"/>
        </w:numPr>
      </w:pPr>
      <w:r w:rsidRPr="00620466">
        <w:t>Introduction of the National Consensus Statement on end-of-life care in 2015 (Australian Commission on Saf</w:t>
      </w:r>
      <w:r w:rsidR="004B4711">
        <w:t>ety and Quality in Health Care)</w:t>
      </w:r>
    </w:p>
    <w:p w14:paraId="7A1C3ED2" w14:textId="77777777" w:rsidR="00BC2953" w:rsidRPr="00620466" w:rsidRDefault="00BC2953" w:rsidP="00BC2953">
      <w:pPr>
        <w:pStyle w:val="Normal2"/>
        <w:numPr>
          <w:ilvl w:val="0"/>
          <w:numId w:val="27"/>
        </w:numPr>
      </w:pPr>
      <w:r w:rsidRPr="00620466">
        <w:t>National Palliative Care Strategy 2010: supporting Australians to live well at the end of life. (Palliative Care Australia)</w:t>
      </w:r>
    </w:p>
    <w:p w14:paraId="28A2EA0A" w14:textId="77777777" w:rsidR="00BC2953" w:rsidRPr="00620466" w:rsidRDefault="00BC2953" w:rsidP="00BC2953">
      <w:pPr>
        <w:pStyle w:val="Heading4"/>
      </w:pPr>
      <w:r w:rsidRPr="00620466">
        <w:t>How can the NSQHS Standards address this problem or reduce the risk?</w:t>
      </w:r>
    </w:p>
    <w:p w14:paraId="0CF93CE8" w14:textId="77777777" w:rsidR="00BC2953" w:rsidRPr="00620466" w:rsidRDefault="00BC2953" w:rsidP="00BC2953">
      <w:pPr>
        <w:pStyle w:val="Normal2"/>
      </w:pPr>
      <w:r w:rsidRPr="00620466">
        <w:t>The introduction of mandatory standards that provide greater choice for people at the end of life, even with a small improvement, could reduce length of stay and the cost of unnecessary procedures, which has the potential to save millions of dollars annually.</w:t>
      </w:r>
    </w:p>
    <w:p w14:paraId="50A23765" w14:textId="77777777" w:rsidR="00BC2953" w:rsidRPr="00620466" w:rsidRDefault="00BC2953" w:rsidP="00BC2953">
      <w:pPr>
        <w:pStyle w:val="Heading3"/>
      </w:pPr>
      <w:r w:rsidRPr="00620466">
        <w:t>Health literacy</w:t>
      </w:r>
    </w:p>
    <w:p w14:paraId="7A33F07C" w14:textId="77777777" w:rsidR="00BC2953" w:rsidRPr="00620466" w:rsidRDefault="00BC2953" w:rsidP="00BC2953">
      <w:pPr>
        <w:pStyle w:val="Heading4"/>
      </w:pPr>
      <w:r w:rsidRPr="00620466">
        <w:t>Why is it a problem?</w:t>
      </w:r>
    </w:p>
    <w:p w14:paraId="359DBA3C" w14:textId="77777777" w:rsidR="00BC2953" w:rsidRPr="00620466" w:rsidRDefault="00BC2953" w:rsidP="00BC2953">
      <w:pPr>
        <w:pStyle w:val="Normal2"/>
      </w:pPr>
      <w:r w:rsidRPr="00620466">
        <w:t>Individual health literacy can influence how people undertake a range of tasks, including:</w:t>
      </w:r>
    </w:p>
    <w:p w14:paraId="7EFE6CEE" w14:textId="77777777" w:rsidR="00BC2953" w:rsidRPr="00620466" w:rsidRDefault="00BC2953" w:rsidP="00BC2953">
      <w:pPr>
        <w:pStyle w:val="Normal2"/>
        <w:numPr>
          <w:ilvl w:val="0"/>
          <w:numId w:val="28"/>
        </w:numPr>
      </w:pPr>
      <w:r w:rsidRPr="00620466">
        <w:t>reading, understanding and acting on preventive health messages, healthcare plans, medication instructions and other health information</w:t>
      </w:r>
    </w:p>
    <w:p w14:paraId="01A5DE33" w14:textId="77777777" w:rsidR="00BC2953" w:rsidRPr="00620466" w:rsidRDefault="00BC2953" w:rsidP="00BC2953">
      <w:pPr>
        <w:pStyle w:val="Normal2"/>
        <w:numPr>
          <w:ilvl w:val="0"/>
          <w:numId w:val="28"/>
        </w:numPr>
      </w:pPr>
      <w:r w:rsidRPr="00620466">
        <w:t>completing health and healthcare forms such as consent forms, insurance forms, Medicare claim forms and diagnostic survey tools</w:t>
      </w:r>
    </w:p>
    <w:p w14:paraId="534A0831" w14:textId="77777777" w:rsidR="00BC2953" w:rsidRPr="00620466" w:rsidRDefault="00BC2953" w:rsidP="00BC2953">
      <w:pPr>
        <w:pStyle w:val="Normal2"/>
        <w:numPr>
          <w:ilvl w:val="0"/>
          <w:numId w:val="28"/>
        </w:numPr>
      </w:pPr>
      <w:r w:rsidRPr="00620466">
        <w:t>finding a healthcare provider or service and making an appointment</w:t>
      </w:r>
    </w:p>
    <w:p w14:paraId="5A292C72" w14:textId="77777777" w:rsidR="00BC2953" w:rsidRPr="00620466" w:rsidRDefault="00BC2953" w:rsidP="00BC2953">
      <w:pPr>
        <w:pStyle w:val="Normal2"/>
        <w:numPr>
          <w:ilvl w:val="0"/>
          <w:numId w:val="28"/>
        </w:numPr>
      </w:pPr>
      <w:r w:rsidRPr="00620466">
        <w:t>making informed decisions about health and health care</w:t>
      </w:r>
    </w:p>
    <w:p w14:paraId="789B0540" w14:textId="77777777" w:rsidR="00BC2953" w:rsidRPr="00620466" w:rsidRDefault="00BC2953" w:rsidP="00BC2953">
      <w:pPr>
        <w:pStyle w:val="Normal2"/>
        <w:numPr>
          <w:ilvl w:val="0"/>
          <w:numId w:val="28"/>
        </w:numPr>
      </w:pPr>
      <w:r w:rsidRPr="00620466">
        <w:t>navigating healthcare systems and services</w:t>
      </w:r>
    </w:p>
    <w:p w14:paraId="6E256168" w14:textId="77777777" w:rsidR="00BC2953" w:rsidRPr="00620466" w:rsidRDefault="00BC2953" w:rsidP="00BC2953">
      <w:pPr>
        <w:pStyle w:val="Normal2"/>
        <w:numPr>
          <w:ilvl w:val="0"/>
          <w:numId w:val="28"/>
        </w:numPr>
      </w:pPr>
      <w:r w:rsidRPr="00620466">
        <w:t>understanding signage and way-finding within and between health service organisations.</w:t>
      </w:r>
      <w:r w:rsidRPr="00F04ABB">
        <w:rPr>
          <w:vertAlign w:val="superscript"/>
        </w:rPr>
        <w:t>9</w:t>
      </w:r>
    </w:p>
    <w:p w14:paraId="2B16C80C" w14:textId="77777777" w:rsidR="00BC2953" w:rsidRPr="00620466" w:rsidRDefault="00BC2953" w:rsidP="00BC2953">
      <w:pPr>
        <w:pStyle w:val="Normal2"/>
      </w:pPr>
      <w:r w:rsidRPr="00620466">
        <w:t>Health literacy is linked to health outcomes and can influence:</w:t>
      </w:r>
    </w:p>
    <w:p w14:paraId="2405322D" w14:textId="77777777" w:rsidR="00BC2953" w:rsidRPr="00620466" w:rsidRDefault="00BC2953" w:rsidP="00BC2953">
      <w:pPr>
        <w:pStyle w:val="Normal2"/>
        <w:numPr>
          <w:ilvl w:val="0"/>
          <w:numId w:val="29"/>
        </w:numPr>
      </w:pPr>
      <w:r w:rsidRPr="00620466">
        <w:t>how people access and use healthcare services</w:t>
      </w:r>
    </w:p>
    <w:p w14:paraId="7662BC90" w14:textId="77777777" w:rsidR="00BC2953" w:rsidRPr="00620466" w:rsidRDefault="00BC2953" w:rsidP="00BC2953">
      <w:pPr>
        <w:pStyle w:val="Normal2"/>
        <w:numPr>
          <w:ilvl w:val="0"/>
          <w:numId w:val="29"/>
        </w:numPr>
      </w:pPr>
      <w:r w:rsidRPr="00620466">
        <w:t>interactions between consumers and healthcare providers</w:t>
      </w:r>
    </w:p>
    <w:p w14:paraId="44E8E6CF" w14:textId="77777777" w:rsidR="00BC2953" w:rsidRPr="00620466" w:rsidRDefault="00BC2953" w:rsidP="00BC2953">
      <w:pPr>
        <w:pStyle w:val="Normal2"/>
        <w:numPr>
          <w:ilvl w:val="0"/>
          <w:numId w:val="29"/>
        </w:numPr>
      </w:pPr>
      <w:r w:rsidRPr="00620466">
        <w:t>how people manage their own health</w:t>
      </w:r>
    </w:p>
    <w:p w14:paraId="35EB6ED6" w14:textId="77777777" w:rsidR="00BC2953" w:rsidRPr="00620466" w:rsidRDefault="00BC2953" w:rsidP="00BC2953">
      <w:pPr>
        <w:pStyle w:val="Normal2"/>
        <w:numPr>
          <w:ilvl w:val="0"/>
          <w:numId w:val="29"/>
        </w:numPr>
      </w:pPr>
      <w:r w:rsidRPr="00620466">
        <w:t>how people exert control over the factors that shape their health.</w:t>
      </w:r>
      <w:r w:rsidRPr="00F04ABB">
        <w:rPr>
          <w:vertAlign w:val="superscript"/>
        </w:rPr>
        <w:t>9</w:t>
      </w:r>
    </w:p>
    <w:p w14:paraId="2407E734" w14:textId="77777777" w:rsidR="00BC2953" w:rsidRPr="00620466" w:rsidRDefault="00BC2953" w:rsidP="00BC2953">
      <w:pPr>
        <w:pStyle w:val="Normal2"/>
      </w:pPr>
      <w:r w:rsidRPr="00620466">
        <w:t>Health literacy is linked to a number of health and healthcare concepts, including:</w:t>
      </w:r>
    </w:p>
    <w:p w14:paraId="5E3D791A" w14:textId="77777777" w:rsidR="00BC2953" w:rsidRPr="00620466" w:rsidRDefault="00BC2953" w:rsidP="00BC2953">
      <w:pPr>
        <w:pStyle w:val="Normal2"/>
        <w:numPr>
          <w:ilvl w:val="0"/>
          <w:numId w:val="30"/>
        </w:numPr>
      </w:pPr>
      <w:r w:rsidRPr="00620466">
        <w:t>patient-centred approaches to care</w:t>
      </w:r>
    </w:p>
    <w:p w14:paraId="775BB1A9" w14:textId="77777777" w:rsidR="00BC2953" w:rsidRPr="00620466" w:rsidRDefault="00BC2953" w:rsidP="00BC2953">
      <w:pPr>
        <w:pStyle w:val="Normal2"/>
        <w:numPr>
          <w:ilvl w:val="0"/>
          <w:numId w:val="30"/>
        </w:numPr>
      </w:pPr>
      <w:r w:rsidRPr="00620466">
        <w:t>patient motivation or activation</w:t>
      </w:r>
    </w:p>
    <w:p w14:paraId="13BB8AB9" w14:textId="77777777" w:rsidR="00BC2953" w:rsidRPr="00620466" w:rsidRDefault="00BC2953" w:rsidP="00BC2953">
      <w:pPr>
        <w:pStyle w:val="Normal2"/>
        <w:numPr>
          <w:ilvl w:val="0"/>
          <w:numId w:val="30"/>
        </w:numPr>
      </w:pPr>
      <w:r w:rsidRPr="00620466">
        <w:t>cultural competence</w:t>
      </w:r>
    </w:p>
    <w:p w14:paraId="1CC58518" w14:textId="77777777" w:rsidR="00BC2953" w:rsidRPr="00620466" w:rsidRDefault="00BC2953" w:rsidP="00BC2953">
      <w:pPr>
        <w:pStyle w:val="Normal2"/>
        <w:numPr>
          <w:ilvl w:val="0"/>
          <w:numId w:val="30"/>
        </w:numPr>
      </w:pPr>
      <w:r w:rsidRPr="00620466">
        <w:t>human rights-based approaches to health care</w:t>
      </w:r>
    </w:p>
    <w:p w14:paraId="608FB1CC" w14:textId="77777777" w:rsidR="00BC2953" w:rsidRPr="00620466" w:rsidRDefault="00BC2953" w:rsidP="00BC2953">
      <w:pPr>
        <w:pStyle w:val="Normal2"/>
        <w:numPr>
          <w:ilvl w:val="0"/>
          <w:numId w:val="30"/>
        </w:numPr>
      </w:pPr>
      <w:r w:rsidRPr="00620466">
        <w:t xml:space="preserve">shared decision making </w:t>
      </w:r>
    </w:p>
    <w:p w14:paraId="03A4D546" w14:textId="77777777" w:rsidR="00BC2953" w:rsidRPr="00620466" w:rsidRDefault="00BC2953" w:rsidP="00BC2953">
      <w:pPr>
        <w:pStyle w:val="Normal2"/>
        <w:numPr>
          <w:ilvl w:val="0"/>
          <w:numId w:val="30"/>
        </w:numPr>
      </w:pPr>
      <w:r w:rsidRPr="00620466">
        <w:t>informed consent.</w:t>
      </w:r>
      <w:r w:rsidRPr="00F04ABB">
        <w:rPr>
          <w:vertAlign w:val="superscript"/>
        </w:rPr>
        <w:t>9</w:t>
      </w:r>
    </w:p>
    <w:p w14:paraId="6596A310" w14:textId="77777777" w:rsidR="00BC2953" w:rsidRPr="00620466" w:rsidRDefault="00BC2953" w:rsidP="00BC2953">
      <w:pPr>
        <w:pStyle w:val="Normal2"/>
      </w:pPr>
      <w:r w:rsidRPr="00620466">
        <w:t>Health literacy is not specifically addressed in the current NSQHS Standards, and this is a new area of improvement for many Australian health service organisations.</w:t>
      </w:r>
    </w:p>
    <w:p w14:paraId="5EFA8556" w14:textId="77777777" w:rsidR="00BC2953" w:rsidRPr="00620466" w:rsidRDefault="00BC2953" w:rsidP="00BC2953">
      <w:pPr>
        <w:pStyle w:val="Heading4"/>
      </w:pPr>
      <w:r w:rsidRPr="00620466">
        <w:t>What are the risks associated with this area?</w:t>
      </w:r>
    </w:p>
    <w:p w14:paraId="4BDA1CFE" w14:textId="77777777" w:rsidR="00BC2953" w:rsidRPr="00620466" w:rsidRDefault="00BC2953" w:rsidP="00BC2953">
      <w:pPr>
        <w:pStyle w:val="Normal2"/>
      </w:pPr>
      <w:r w:rsidRPr="00620466">
        <w:t>Low individual health literacy has been found to be associated with:</w:t>
      </w:r>
    </w:p>
    <w:p w14:paraId="09971392" w14:textId="77777777" w:rsidR="00BC2953" w:rsidRPr="00620466" w:rsidRDefault="00BC2953" w:rsidP="00BC2953">
      <w:pPr>
        <w:pStyle w:val="Normal2"/>
        <w:numPr>
          <w:ilvl w:val="0"/>
          <w:numId w:val="31"/>
        </w:numPr>
      </w:pPr>
      <w:r w:rsidRPr="00620466">
        <w:t>increased rates of hospitalisation and greater use of emergency care</w:t>
      </w:r>
    </w:p>
    <w:p w14:paraId="03D66C9C" w14:textId="77777777" w:rsidR="00BC2953" w:rsidRPr="00620466" w:rsidRDefault="00BC2953" w:rsidP="00BC2953">
      <w:pPr>
        <w:pStyle w:val="Normal2"/>
        <w:numPr>
          <w:ilvl w:val="0"/>
          <w:numId w:val="31"/>
        </w:numPr>
      </w:pPr>
      <w:r w:rsidRPr="00620466">
        <w:t>lower use of mammography and lower uptake of the influenza vaccine</w:t>
      </w:r>
    </w:p>
    <w:p w14:paraId="5411425C" w14:textId="77777777" w:rsidR="00BC2953" w:rsidRPr="00620466" w:rsidRDefault="00BC2953" w:rsidP="00BC2953">
      <w:pPr>
        <w:pStyle w:val="Normal2"/>
        <w:numPr>
          <w:ilvl w:val="0"/>
          <w:numId w:val="31"/>
        </w:numPr>
      </w:pPr>
      <w:r w:rsidRPr="00620466">
        <w:t xml:space="preserve">poorer ability to taking medications appropriately </w:t>
      </w:r>
    </w:p>
    <w:p w14:paraId="352BAB46" w14:textId="77777777" w:rsidR="00BC2953" w:rsidRPr="00620466" w:rsidRDefault="00BC2953" w:rsidP="00BC2953">
      <w:pPr>
        <w:pStyle w:val="Normal2"/>
        <w:numPr>
          <w:ilvl w:val="0"/>
          <w:numId w:val="31"/>
        </w:numPr>
      </w:pPr>
      <w:r w:rsidRPr="00620466">
        <w:t>poorer ability to interpret labels and health messages</w:t>
      </w:r>
    </w:p>
    <w:p w14:paraId="67566CD3" w14:textId="77777777" w:rsidR="00BC2953" w:rsidRPr="00620466" w:rsidRDefault="00BC2953" w:rsidP="00BC2953">
      <w:pPr>
        <w:pStyle w:val="Normal2"/>
        <w:numPr>
          <w:ilvl w:val="0"/>
          <w:numId w:val="31"/>
        </w:numPr>
      </w:pPr>
      <w:r w:rsidRPr="00620466">
        <w:t>poorer knowledge among consumers about their own disease or condition</w:t>
      </w:r>
    </w:p>
    <w:p w14:paraId="7999D708" w14:textId="77777777" w:rsidR="00BC2953" w:rsidRPr="00620466" w:rsidRDefault="00BC2953" w:rsidP="00BC2953">
      <w:pPr>
        <w:pStyle w:val="Normal2"/>
        <w:numPr>
          <w:ilvl w:val="0"/>
          <w:numId w:val="31"/>
        </w:numPr>
      </w:pPr>
      <w:r w:rsidRPr="00620466">
        <w:t>poorer overall health status among older people</w:t>
      </w:r>
    </w:p>
    <w:p w14:paraId="1DDB3BD4" w14:textId="77777777" w:rsidR="00BC2953" w:rsidRPr="00620466" w:rsidRDefault="00BC2953" w:rsidP="00BC2953">
      <w:pPr>
        <w:pStyle w:val="Normal2"/>
        <w:numPr>
          <w:ilvl w:val="0"/>
          <w:numId w:val="31"/>
        </w:numPr>
      </w:pPr>
      <w:r w:rsidRPr="00620466">
        <w:t>higher risk of death among older people.</w:t>
      </w:r>
      <w:r w:rsidRPr="00F04ABB">
        <w:rPr>
          <w:vertAlign w:val="superscript"/>
        </w:rPr>
        <w:t>9</w:t>
      </w:r>
    </w:p>
    <w:p w14:paraId="7E92F978" w14:textId="77777777" w:rsidR="00BC2953" w:rsidRPr="00620466" w:rsidRDefault="00BC2953" w:rsidP="00BC2953">
      <w:pPr>
        <w:pStyle w:val="Heading4"/>
      </w:pPr>
      <w:r w:rsidRPr="00620466">
        <w:t>What is the outcomes evidence in this area?</w:t>
      </w:r>
    </w:p>
    <w:p w14:paraId="67797F68" w14:textId="77777777" w:rsidR="00BC2953" w:rsidRPr="00620466" w:rsidRDefault="00BC2953" w:rsidP="00BC2953">
      <w:pPr>
        <w:pStyle w:val="Normal2"/>
      </w:pPr>
      <w:r w:rsidRPr="00620466">
        <w:t xml:space="preserve">Low individual health literacy has been found to be significantly associated with a poorer understanding of medications and medication instructions, and poorer adherence to treatment regimens. </w:t>
      </w:r>
    </w:p>
    <w:p w14:paraId="3B199AB7" w14:textId="77777777" w:rsidR="00BC2953" w:rsidRPr="00620466" w:rsidRDefault="00BC2953" w:rsidP="00BC2953">
      <w:pPr>
        <w:pStyle w:val="Normal2"/>
      </w:pPr>
      <w:r w:rsidRPr="00620466">
        <w:t xml:space="preserve">Studies have estimated that nearly half of </w:t>
      </w:r>
      <w:r w:rsidR="004B4711">
        <w:t xml:space="preserve">the adult </w:t>
      </w:r>
      <w:r>
        <w:t xml:space="preserve">population of Australia </w:t>
      </w:r>
      <w:r w:rsidRPr="00620466">
        <w:t>misunderstand common dosing schedules (e.g. take two tablets by mouth twice daily), and warnings that detail important information to support safe and effective use (e.g. do not chew or crush, swallow whole; for external use only).</w:t>
      </w:r>
    </w:p>
    <w:p w14:paraId="60512177" w14:textId="77777777" w:rsidR="00BC2953" w:rsidRPr="00620466" w:rsidRDefault="00BC2953" w:rsidP="00BC2953">
      <w:pPr>
        <w:pStyle w:val="Normal2"/>
      </w:pPr>
      <w:r w:rsidRPr="00620466">
        <w:t xml:space="preserve">Research about the readability of written information for consumers has often found that documents contain language and complex concepts that would be difficult for the average person to comprehend. Other studies that have looked at the information provided to patients about their condition and treatment, particularly for specific conditions such as cancer, have suggested that healthcare providers may need to pay more attention to providing patient-centred information. </w:t>
      </w:r>
    </w:p>
    <w:p w14:paraId="237DBAE8" w14:textId="77777777" w:rsidR="00BC2953" w:rsidRPr="00620466" w:rsidRDefault="00BC2953" w:rsidP="00BC2953">
      <w:pPr>
        <w:pStyle w:val="Normal2"/>
      </w:pPr>
      <w:r w:rsidRPr="00620466">
        <w:t>Consumers report that their needs regarding information are not always met. People who are provided with appropriate information (based on satisfaction with received information, fulfilled information needs, and high-quality and clear information) report better health-related quality of life, and lower levels of anxiety and depression.</w:t>
      </w:r>
      <w:r w:rsidRPr="00F04ABB">
        <w:rPr>
          <w:vertAlign w:val="superscript"/>
        </w:rPr>
        <w:t>9</w:t>
      </w:r>
    </w:p>
    <w:p w14:paraId="2978269B" w14:textId="77777777" w:rsidR="00BC2953" w:rsidRPr="00620466" w:rsidRDefault="00BC2953" w:rsidP="00BC2953">
      <w:pPr>
        <w:pStyle w:val="Heading4"/>
      </w:pPr>
      <w:r w:rsidRPr="00620466">
        <w:t>What is the magnitude of risk?</w:t>
      </w:r>
    </w:p>
    <w:p w14:paraId="016DD75D" w14:textId="77777777" w:rsidR="00BC2953" w:rsidRPr="00620466" w:rsidRDefault="00BC2953" w:rsidP="00BC2953">
      <w:pPr>
        <w:pStyle w:val="Normal2"/>
      </w:pPr>
      <w:r w:rsidRPr="00620466">
        <w:t>Sixty per cent of adult Australians have low health literacy.</w:t>
      </w:r>
    </w:p>
    <w:p w14:paraId="6DEBB019" w14:textId="77777777" w:rsidR="00BC2953" w:rsidRPr="00620466" w:rsidRDefault="00BC2953" w:rsidP="00BC2953">
      <w:pPr>
        <w:pStyle w:val="Normal2"/>
      </w:pPr>
      <w:r w:rsidRPr="00620466">
        <w:t xml:space="preserve">It is difficult to accurately determine the cost of low individual health literacy to the person, healthcare organisations or the health system as a whole. This is partly due to the difficulty in separating the effects of individual health literacy from other related concepts that influence behaviour. </w:t>
      </w:r>
    </w:p>
    <w:p w14:paraId="05CF9A76" w14:textId="77777777" w:rsidR="00BC2953" w:rsidRPr="00620466" w:rsidRDefault="00BC2953" w:rsidP="00BC2953">
      <w:pPr>
        <w:pStyle w:val="Normal2"/>
      </w:pPr>
      <w:r w:rsidRPr="00620466">
        <w:t>One systematic review in the United States that examined the costs associated with lower individual health literacy found that, at a system level, additional costs due to poor health literacy corresponded to approximately 3–5 per cent of total healthcare spending.</w:t>
      </w:r>
      <w:r w:rsidRPr="00F04ABB">
        <w:rPr>
          <w:vertAlign w:val="superscript"/>
        </w:rPr>
        <w:t>9</w:t>
      </w:r>
      <w:r w:rsidRPr="00620466">
        <w:t xml:space="preserve"> If this proportion were applied to Australian healthcare data, where the total healthcare expenditure for 2011–12 was $140 billion,</w:t>
      </w:r>
      <w:r w:rsidRPr="00F04ABB">
        <w:rPr>
          <w:vertAlign w:val="superscript"/>
        </w:rPr>
        <w:t>4</w:t>
      </w:r>
      <w:r w:rsidRPr="00620466">
        <w:t xml:space="preserve"> the costs associated with lower individual health literacy would be </w:t>
      </w:r>
      <w:r w:rsidR="004B4711">
        <w:t xml:space="preserve">between </w:t>
      </w:r>
      <w:r w:rsidRPr="00620466">
        <w:t>$4.2</w:t>
      </w:r>
      <w:r w:rsidR="004B4711">
        <w:t xml:space="preserve"> billion and $</w:t>
      </w:r>
      <w:r w:rsidRPr="00620466">
        <w:t>7 billion.</w:t>
      </w:r>
    </w:p>
    <w:p w14:paraId="086544C3" w14:textId="77777777" w:rsidR="00BC2953" w:rsidRPr="00620466" w:rsidRDefault="00BC2953" w:rsidP="00BC2953">
      <w:pPr>
        <w:pStyle w:val="Normal2"/>
      </w:pPr>
      <w:r w:rsidRPr="00620466">
        <w:t xml:space="preserve">At an individual level, people with lower health literacy </w:t>
      </w:r>
      <w:r w:rsidR="00137683">
        <w:t xml:space="preserve">spend </w:t>
      </w:r>
      <w:r w:rsidRPr="00620466">
        <w:t>between US$143 and US$7798 more per person per year on health care than people with higher individual health literacy. However, a later systematic review found that the results of cost-impact studies were mixed, and further research was needed to accurately estimate the cost of health literacy and the benefits of applying health literacy strategies.</w:t>
      </w:r>
      <w:r w:rsidRPr="00F04ABB">
        <w:rPr>
          <w:vertAlign w:val="superscript"/>
        </w:rPr>
        <w:t>9</w:t>
      </w:r>
    </w:p>
    <w:p w14:paraId="300BA08B" w14:textId="77777777" w:rsidR="00BC2953" w:rsidRPr="00620466" w:rsidRDefault="00BC2953" w:rsidP="00BC2953">
      <w:pPr>
        <w:pStyle w:val="Heading4"/>
      </w:pPr>
      <w:r w:rsidRPr="00620466">
        <w:t>What other priorities are linked to this issue?</w:t>
      </w:r>
    </w:p>
    <w:p w14:paraId="491AB4B6" w14:textId="77777777" w:rsidR="00BC2953" w:rsidRPr="00620466" w:rsidRDefault="00BC2953" w:rsidP="00BC2953">
      <w:pPr>
        <w:pStyle w:val="Normal2"/>
        <w:numPr>
          <w:ilvl w:val="0"/>
          <w:numId w:val="32"/>
        </w:numPr>
      </w:pPr>
      <w:r w:rsidRPr="00620466">
        <w:t>Health literacy: taking action to improve safety and quality (Australian Commission on Saf</w:t>
      </w:r>
      <w:r w:rsidR="00137683">
        <w:t>ety and Quality in Health Care)</w:t>
      </w:r>
    </w:p>
    <w:p w14:paraId="20937725" w14:textId="77777777" w:rsidR="00BC2953" w:rsidRPr="00620466" w:rsidRDefault="00BC2953" w:rsidP="00BC2953">
      <w:pPr>
        <w:pStyle w:val="Normal2"/>
        <w:numPr>
          <w:ilvl w:val="0"/>
          <w:numId w:val="32"/>
        </w:numPr>
      </w:pPr>
      <w:r w:rsidRPr="00620466">
        <w:t>NSW health literacy program (Australian Commission on Safety and Quality in Health Care)</w:t>
      </w:r>
    </w:p>
    <w:p w14:paraId="544E95CA" w14:textId="77777777" w:rsidR="00BC2953" w:rsidRPr="00620466" w:rsidRDefault="00BC2953" w:rsidP="00BC2953">
      <w:pPr>
        <w:pStyle w:val="Heading4"/>
      </w:pPr>
      <w:r w:rsidRPr="00620466">
        <w:t>How can the NSQHS Standards address this problem or reduce the risk?</w:t>
      </w:r>
    </w:p>
    <w:p w14:paraId="65D54DEF" w14:textId="77777777" w:rsidR="00BC2953" w:rsidRPr="00620466" w:rsidRDefault="00BC2953" w:rsidP="00BC2953">
      <w:pPr>
        <w:pStyle w:val="Normal2"/>
      </w:pPr>
      <w:r w:rsidRPr="00620466">
        <w:t>The introduction of mandatory standards can support people with poor levels of health literacy to achieve better health outcomes. Even with a small improvement in this area, there can be savings of millions of dollars in costs annually.</w:t>
      </w:r>
    </w:p>
    <w:p w14:paraId="431BA4B6" w14:textId="77777777" w:rsidR="00BC2953" w:rsidRPr="00620466" w:rsidRDefault="00BC2953" w:rsidP="00BC2953">
      <w:pPr>
        <w:pStyle w:val="Heading3"/>
      </w:pPr>
      <w:r w:rsidRPr="00620466">
        <w:t xml:space="preserve">Aboriginal and Torres Strait Islander health </w:t>
      </w:r>
    </w:p>
    <w:p w14:paraId="168AC09F" w14:textId="77777777" w:rsidR="00BC2953" w:rsidRPr="00620466" w:rsidRDefault="00BC2953" w:rsidP="00BC2953">
      <w:pPr>
        <w:pStyle w:val="Heading4"/>
      </w:pPr>
      <w:r w:rsidRPr="00620466">
        <w:t>Why is it a problem?</w:t>
      </w:r>
    </w:p>
    <w:p w14:paraId="640C59D1" w14:textId="77777777" w:rsidR="00BC2953" w:rsidRPr="00620466" w:rsidRDefault="00BC2953" w:rsidP="00BC2953">
      <w:pPr>
        <w:pStyle w:val="Normal2"/>
      </w:pPr>
      <w:r w:rsidRPr="00620466">
        <w:t>Despite some improvements, Aboriginal and Torres Strait Islander people still have poorer health outcomes than non-Indigenous Australians. They are more likely to die at younger ages, experience disability and report their health as fair or poor.</w:t>
      </w:r>
      <w:r w:rsidRPr="00F04ABB">
        <w:rPr>
          <w:vertAlign w:val="superscript"/>
        </w:rPr>
        <w:t>4</w:t>
      </w:r>
    </w:p>
    <w:p w14:paraId="48DEA0C2" w14:textId="77777777" w:rsidR="00BC2953" w:rsidRPr="00620466" w:rsidRDefault="00BC2953" w:rsidP="00BC2953">
      <w:pPr>
        <w:pStyle w:val="Normal2"/>
      </w:pPr>
      <w:r w:rsidRPr="00620466">
        <w:t>Research by the Commission has identified the need for targeted strategies that better meet the health needs of Aboriginal and Torres Strait Islander people who access care in mainstream health service organisations.</w:t>
      </w:r>
    </w:p>
    <w:p w14:paraId="1FCA19A8" w14:textId="77777777" w:rsidR="00BC2953" w:rsidRPr="00620466" w:rsidRDefault="00BC2953" w:rsidP="00BC2953">
      <w:pPr>
        <w:pStyle w:val="Normal2"/>
      </w:pPr>
      <w:r w:rsidRPr="00620466">
        <w:t xml:space="preserve">There are currently no safety and quality health service standards that specifically address the needs of Aboriginal and Torres Strait Islander people </w:t>
      </w:r>
      <w:r w:rsidR="007D16FD">
        <w:t>who</w:t>
      </w:r>
      <w:r w:rsidRPr="00620466">
        <w:t xml:space="preserve"> </w:t>
      </w:r>
      <w:r w:rsidR="00137683">
        <w:t xml:space="preserve">seek care from </w:t>
      </w:r>
      <w:r w:rsidRPr="00620466">
        <w:t>mainstream health service organisations. Improvement strategies for health care of Aboriginal and Torres Strait Islander people have typically focused on a location, service or disease. The NSQHS Standards provide a mechanism for implementing systemic change across all health service organisations.</w:t>
      </w:r>
    </w:p>
    <w:p w14:paraId="2746FA14" w14:textId="77777777" w:rsidR="00BC2953" w:rsidRPr="00620466" w:rsidRDefault="00BC2953" w:rsidP="00BC2953">
      <w:pPr>
        <w:pStyle w:val="Heading4"/>
      </w:pPr>
      <w:r w:rsidRPr="00620466">
        <w:t>What are the risks associated with this area?</w:t>
      </w:r>
    </w:p>
    <w:p w14:paraId="68F4A602" w14:textId="77777777" w:rsidR="00BC2953" w:rsidRPr="00620466" w:rsidRDefault="00BC2953" w:rsidP="00BC2953">
      <w:pPr>
        <w:pStyle w:val="Normal2"/>
      </w:pPr>
      <w:r w:rsidRPr="00620466">
        <w:t>The burden of disease suffered by Aboriginal and Torres Strait Islander Australians is estimated to be 2.5 times greater than the burden of disease in the total Australian population.</w:t>
      </w:r>
      <w:r w:rsidRPr="00F04ABB">
        <w:rPr>
          <w:vertAlign w:val="superscript"/>
        </w:rPr>
        <w:t>6</w:t>
      </w:r>
    </w:p>
    <w:p w14:paraId="0C918547" w14:textId="77777777" w:rsidR="00BC2953" w:rsidRPr="00620466" w:rsidRDefault="00BC2953" w:rsidP="00BC2953">
      <w:pPr>
        <w:pStyle w:val="Heading4"/>
      </w:pPr>
      <w:r w:rsidRPr="00620466">
        <w:t>What is the outcomes evidence in this area?</w:t>
      </w:r>
    </w:p>
    <w:p w14:paraId="45B2B382" w14:textId="77777777" w:rsidR="00BC2953" w:rsidRPr="00620466" w:rsidRDefault="00BC2953" w:rsidP="00BC2953">
      <w:pPr>
        <w:pStyle w:val="Normal2"/>
      </w:pPr>
      <w:r w:rsidRPr="00620466">
        <w:t>Compared with non-Indigenous people, Aboriginal and Torres Strait Islander people experience higher incidence rates of:</w:t>
      </w:r>
    </w:p>
    <w:p w14:paraId="739D5D56" w14:textId="77777777" w:rsidR="00BC2953" w:rsidRPr="00620466" w:rsidRDefault="00BC2953" w:rsidP="00BC2953">
      <w:pPr>
        <w:pStyle w:val="Normal2"/>
        <w:numPr>
          <w:ilvl w:val="0"/>
          <w:numId w:val="33"/>
        </w:numPr>
      </w:pPr>
      <w:r w:rsidRPr="00620466">
        <w:t>end-stage kidney diseases (7</w:t>
      </w:r>
      <w:r w:rsidR="00137683">
        <w:t xml:space="preserve"> times higher</w:t>
      </w:r>
      <w:r w:rsidRPr="00620466">
        <w:t>)</w:t>
      </w:r>
    </w:p>
    <w:p w14:paraId="7712A7A5" w14:textId="77777777" w:rsidR="00BC2953" w:rsidRPr="00620466" w:rsidRDefault="00137683" w:rsidP="00BC2953">
      <w:pPr>
        <w:pStyle w:val="Normal2"/>
        <w:numPr>
          <w:ilvl w:val="0"/>
          <w:numId w:val="33"/>
        </w:numPr>
      </w:pPr>
      <w:r>
        <w:t>diabetes (</w:t>
      </w:r>
      <w:r w:rsidR="00BC2953" w:rsidRPr="00620466">
        <w:t>3.3</w:t>
      </w:r>
      <w:r>
        <w:t xml:space="preserve"> times higher</w:t>
      </w:r>
      <w:r w:rsidR="00BC2953" w:rsidRPr="00620466">
        <w:t>)</w:t>
      </w:r>
    </w:p>
    <w:p w14:paraId="21B66B71" w14:textId="77777777" w:rsidR="00BC2953" w:rsidRPr="00620466" w:rsidRDefault="00BC2953" w:rsidP="00BC2953">
      <w:pPr>
        <w:pStyle w:val="Normal2"/>
        <w:numPr>
          <w:ilvl w:val="0"/>
          <w:numId w:val="33"/>
        </w:numPr>
      </w:pPr>
      <w:r w:rsidRPr="00620466">
        <w:t>hospitalisations for respiratory conditions (3</w:t>
      </w:r>
      <w:r w:rsidR="00137683">
        <w:t xml:space="preserve"> times higher</w:t>
      </w:r>
      <w:r w:rsidRPr="00620466">
        <w:t>)</w:t>
      </w:r>
    </w:p>
    <w:p w14:paraId="6E448353" w14:textId="77777777" w:rsidR="00BC2953" w:rsidRPr="00620466" w:rsidRDefault="00137683" w:rsidP="00BC2953">
      <w:pPr>
        <w:pStyle w:val="Normal2"/>
        <w:numPr>
          <w:ilvl w:val="0"/>
          <w:numId w:val="33"/>
        </w:numPr>
      </w:pPr>
      <w:r>
        <w:t>obesity (</w:t>
      </w:r>
      <w:r w:rsidR="00BC2953" w:rsidRPr="00620466">
        <w:t>1.5</w:t>
      </w:r>
      <w:r>
        <w:t xml:space="preserve"> times higher</w:t>
      </w:r>
      <w:r w:rsidR="00BC2953" w:rsidRPr="00620466">
        <w:t>)</w:t>
      </w:r>
    </w:p>
    <w:p w14:paraId="556EE69C" w14:textId="77777777" w:rsidR="00BC2953" w:rsidRPr="00620466" w:rsidRDefault="00BC2953" w:rsidP="00BC2953">
      <w:pPr>
        <w:pStyle w:val="Normal2"/>
        <w:numPr>
          <w:ilvl w:val="0"/>
          <w:numId w:val="33"/>
        </w:numPr>
      </w:pPr>
      <w:r w:rsidRPr="00620466">
        <w:t>death from cancer (1.5</w:t>
      </w:r>
      <w:r w:rsidR="00137683">
        <w:t xml:space="preserve"> times higher</w:t>
      </w:r>
      <w:r w:rsidRPr="00620466">
        <w:t>)</w:t>
      </w:r>
    </w:p>
    <w:p w14:paraId="1A91D866" w14:textId="77777777" w:rsidR="00BC2953" w:rsidRPr="00620466" w:rsidRDefault="00137683" w:rsidP="00BC2953">
      <w:pPr>
        <w:pStyle w:val="Normal2"/>
        <w:numPr>
          <w:ilvl w:val="0"/>
          <w:numId w:val="33"/>
        </w:numPr>
      </w:pPr>
      <w:r>
        <w:t>youth suicide for females (</w:t>
      </w:r>
      <w:r w:rsidR="00BC2953" w:rsidRPr="00620466">
        <w:t>5.9</w:t>
      </w:r>
      <w:r>
        <w:t xml:space="preserve"> times higher) and for males (</w:t>
      </w:r>
      <w:r w:rsidR="00BC2953" w:rsidRPr="00620466">
        <w:t>4.4</w:t>
      </w:r>
      <w:r>
        <w:t xml:space="preserve"> times higher</w:t>
      </w:r>
      <w:r w:rsidR="00BC2953" w:rsidRPr="00620466">
        <w:t>)</w:t>
      </w:r>
      <w:r w:rsidR="00BC2953" w:rsidRPr="00F04ABB">
        <w:rPr>
          <w:vertAlign w:val="superscript"/>
        </w:rPr>
        <w:t>4</w:t>
      </w:r>
    </w:p>
    <w:p w14:paraId="68277FD8" w14:textId="77777777" w:rsidR="00BC2953" w:rsidRPr="00620466" w:rsidRDefault="00BC2953" w:rsidP="00BC2953">
      <w:pPr>
        <w:pStyle w:val="Heading4"/>
      </w:pPr>
      <w:r w:rsidRPr="00620466">
        <w:t>What is the magnitude of risk?</w:t>
      </w:r>
    </w:p>
    <w:p w14:paraId="4E60638D" w14:textId="77777777" w:rsidR="00BC2953" w:rsidRDefault="00BC2953" w:rsidP="00BC2953">
      <w:pPr>
        <w:pStyle w:val="Normal2"/>
        <w:rPr>
          <w:vertAlign w:val="superscript"/>
        </w:rPr>
      </w:pPr>
      <w:r w:rsidRPr="00620466">
        <w:t>In 2010–11, 3.7 per cent of Australia’s total health expenditure, or $4.6 billion, was spent on Aboriginal and Torres Strait Islander people, who make up 2.5 per cent of the Australian population.</w:t>
      </w:r>
      <w:r w:rsidRPr="00F04ABB">
        <w:rPr>
          <w:vertAlign w:val="superscript"/>
        </w:rPr>
        <w:t>7</w:t>
      </w:r>
    </w:p>
    <w:p w14:paraId="62D7E925" w14:textId="77777777" w:rsidR="00BC2953" w:rsidRPr="00620466" w:rsidRDefault="00BC2953" w:rsidP="00BC2953">
      <w:pPr>
        <w:pStyle w:val="Normal2"/>
      </w:pPr>
      <w:r w:rsidRPr="00620466">
        <w:t>The average annual health expenditure on Indigenous Australians is $7995 per person, compared with $5437 for non-Indigenous Australians.</w:t>
      </w:r>
      <w:r w:rsidRPr="00F04ABB">
        <w:rPr>
          <w:vertAlign w:val="superscript"/>
        </w:rPr>
        <w:t>7</w:t>
      </w:r>
    </w:p>
    <w:p w14:paraId="101810E1" w14:textId="77777777" w:rsidR="00BC2953" w:rsidRPr="00620466" w:rsidRDefault="00BC2953" w:rsidP="00BC2953">
      <w:pPr>
        <w:pStyle w:val="Heading4"/>
      </w:pPr>
      <w:r w:rsidRPr="00620466">
        <w:t>What other priorities are linked to this issue?</w:t>
      </w:r>
    </w:p>
    <w:p w14:paraId="064C3274" w14:textId="77777777" w:rsidR="00BC2953" w:rsidRPr="00620466" w:rsidRDefault="00BC2953" w:rsidP="00BC2953">
      <w:pPr>
        <w:pStyle w:val="Normal2"/>
        <w:numPr>
          <w:ilvl w:val="0"/>
          <w:numId w:val="34"/>
        </w:numPr>
      </w:pPr>
      <w:r w:rsidRPr="00620466">
        <w:t>National Partnership Agreement on Closing the Gap in Indigenous Health Outcomes and National Aboriginal and Torres Strait Islander health plan 2013–2023.</w:t>
      </w:r>
    </w:p>
    <w:p w14:paraId="34382DC9" w14:textId="77777777" w:rsidR="00BC2953" w:rsidRPr="00620466" w:rsidRDefault="00BC2953" w:rsidP="00BC2953">
      <w:pPr>
        <w:pStyle w:val="Normal2"/>
        <w:numPr>
          <w:ilvl w:val="0"/>
          <w:numId w:val="34"/>
        </w:numPr>
      </w:pPr>
      <w:r w:rsidRPr="00620466">
        <w:t xml:space="preserve">State, territory and local initiatives that focus on </w:t>
      </w:r>
      <w:proofErr w:type="gramStart"/>
      <w:r w:rsidRPr="00620466">
        <w:t>Closing</w:t>
      </w:r>
      <w:proofErr w:type="gramEnd"/>
      <w:r w:rsidRPr="00620466">
        <w:t xml:space="preserve"> the Gap targets.</w:t>
      </w:r>
    </w:p>
    <w:p w14:paraId="6A4140D9" w14:textId="77777777" w:rsidR="00BC2953" w:rsidRPr="00620466" w:rsidRDefault="00BC2953" w:rsidP="00BC2953">
      <w:pPr>
        <w:pStyle w:val="Heading4"/>
      </w:pPr>
      <w:r w:rsidRPr="00620466">
        <w:t>How can the NSQHS Standards address this problem or reduce the risk?</w:t>
      </w:r>
    </w:p>
    <w:p w14:paraId="6461B3F3" w14:textId="77777777" w:rsidR="00BC2953" w:rsidRPr="00620466" w:rsidRDefault="00BC2953" w:rsidP="00BC2953">
      <w:pPr>
        <w:pStyle w:val="Normal2"/>
      </w:pPr>
      <w:r w:rsidRPr="00620466">
        <w:t>Aboriginal and Torres Strait Islander</w:t>
      </w:r>
      <w:r w:rsidRPr="00620466" w:rsidDel="003F7EC8">
        <w:t xml:space="preserve"> </w:t>
      </w:r>
      <w:r w:rsidRPr="00620466">
        <w:t>people do not always seek the treatment they need in mainstream health service organisations</w:t>
      </w:r>
      <w:r w:rsidR="00137683">
        <w:t>,</w:t>
      </w:r>
      <w:r w:rsidRPr="00620466">
        <w:t xml:space="preserve"> because </w:t>
      </w:r>
      <w:r>
        <w:t>organisation</w:t>
      </w:r>
      <w:r w:rsidR="00137683">
        <w:t>s are not</w:t>
      </w:r>
      <w:r w:rsidRPr="00620466">
        <w:t xml:space="preserve"> set up to recognise or support their cultural beliefs and practices. They are more likely than non-Indigenous people to leave before treatment is conducted or completed. The opportunities to partner in their own care and share decision making are fewer for Aboriginal and Torres Strait Islander people because of language difficulties, and lack of cultural awareness within organisations and the by health workforce</w:t>
      </w:r>
      <w:r w:rsidR="00137683">
        <w:t>. These factors contribute to</w:t>
      </w:r>
      <w:r w:rsidRPr="00620466">
        <w:t xml:space="preserve"> poor health outcomes for Aboriginal and Torres Strait Islander people.</w:t>
      </w:r>
    </w:p>
    <w:p w14:paraId="1341596E" w14:textId="77777777" w:rsidR="00BC2953" w:rsidRPr="00620466" w:rsidRDefault="00BC2953" w:rsidP="00BC2953">
      <w:pPr>
        <w:pStyle w:val="Normal2"/>
      </w:pPr>
      <w:r w:rsidRPr="00620466">
        <w:t>The introduction of mandatory standards that improve health outcomes for Aboriginal and Torres Strait Islander people, even with a small improvement of 1–2 per cent, has the potential to save many millions of dollars in expenditure annually.</w:t>
      </w:r>
      <w:r w:rsidRPr="00F04ABB">
        <w:rPr>
          <w:vertAlign w:val="superscript"/>
        </w:rPr>
        <w:t>7</w:t>
      </w:r>
    </w:p>
    <w:p w14:paraId="4D1096DE" w14:textId="77777777" w:rsidR="00BC2953" w:rsidRPr="00620466" w:rsidRDefault="00BC2953" w:rsidP="00BC2953">
      <w:pPr>
        <w:pStyle w:val="Heading1"/>
      </w:pPr>
      <w:bookmarkStart w:id="5" w:name="_Toc461178318"/>
      <w:r w:rsidRPr="00620466">
        <w:t>Section 2</w:t>
      </w:r>
      <w:r w:rsidRPr="00620466">
        <w:tab/>
        <w:t>Objectives of the NSQHS Standards</w:t>
      </w:r>
      <w:bookmarkEnd w:id="5"/>
    </w:p>
    <w:p w14:paraId="1078AE8C" w14:textId="77777777" w:rsidR="00BC2953" w:rsidRPr="00620466" w:rsidRDefault="00BC2953" w:rsidP="00BC2953">
      <w:pPr>
        <w:pStyle w:val="Normal2"/>
      </w:pPr>
      <w:r w:rsidRPr="00620466">
        <w:t xml:space="preserve">The objectives of the NSQHS Standards are to: </w:t>
      </w:r>
    </w:p>
    <w:p w14:paraId="00CCF9EB" w14:textId="77777777" w:rsidR="00BC2953" w:rsidRPr="00620466" w:rsidRDefault="00BC2953" w:rsidP="00BC2953">
      <w:pPr>
        <w:pStyle w:val="Normal2"/>
        <w:numPr>
          <w:ilvl w:val="0"/>
          <w:numId w:val="35"/>
        </w:numPr>
      </w:pPr>
      <w:r w:rsidRPr="00620466">
        <w:t>protect patients from harm and improve the quality of health care that is delivered</w:t>
      </w:r>
    </w:p>
    <w:p w14:paraId="529C63AB" w14:textId="77777777" w:rsidR="00BC2953" w:rsidRPr="00620466" w:rsidRDefault="00BC2953" w:rsidP="00BC2953">
      <w:pPr>
        <w:pStyle w:val="Normal2"/>
        <w:numPr>
          <w:ilvl w:val="0"/>
          <w:numId w:val="35"/>
        </w:numPr>
      </w:pPr>
      <w:r w:rsidRPr="00620466">
        <w:t>provide evidence-based standards that can maximise the safety and quality of health care for patients</w:t>
      </w:r>
    </w:p>
    <w:p w14:paraId="54A872E9" w14:textId="77777777" w:rsidR="00BC2953" w:rsidRPr="00620466" w:rsidRDefault="00BC2953" w:rsidP="00BC2953">
      <w:pPr>
        <w:pStyle w:val="Normal2"/>
        <w:numPr>
          <w:ilvl w:val="0"/>
          <w:numId w:val="35"/>
        </w:numPr>
      </w:pPr>
      <w:r w:rsidRPr="00620466">
        <w:t>reduce the unnecessary use of healthcare resources by reducing preventable patient harm</w:t>
      </w:r>
    </w:p>
    <w:p w14:paraId="5D4D2724" w14:textId="77777777" w:rsidR="00BC2953" w:rsidRPr="00620466" w:rsidRDefault="00BC2953" w:rsidP="00BC2953">
      <w:pPr>
        <w:pStyle w:val="Normal2"/>
        <w:numPr>
          <w:ilvl w:val="0"/>
          <w:numId w:val="35"/>
        </w:numPr>
      </w:pPr>
      <w:proofErr w:type="gramStart"/>
      <w:r w:rsidRPr="00620466">
        <w:t>ensure</w:t>
      </w:r>
      <w:proofErr w:type="gramEnd"/>
      <w:r w:rsidRPr="00620466">
        <w:t xml:space="preserve"> that safety and quality change is introduced in the most efficient and effective way possible.</w:t>
      </w:r>
    </w:p>
    <w:p w14:paraId="73E36964" w14:textId="77777777" w:rsidR="00BC2953" w:rsidRPr="00620466" w:rsidRDefault="00BC2953" w:rsidP="00BC2953">
      <w:pPr>
        <w:pStyle w:val="Normal2"/>
      </w:pPr>
      <w:r w:rsidRPr="00620466">
        <w:t xml:space="preserve">The objectives of the review of the NSQHS Standards are to: </w:t>
      </w:r>
    </w:p>
    <w:p w14:paraId="764F0EF2" w14:textId="77777777" w:rsidR="00BC2953" w:rsidRPr="00620466" w:rsidRDefault="00BC2953" w:rsidP="00BC2953">
      <w:pPr>
        <w:pStyle w:val="Normal2"/>
        <w:numPr>
          <w:ilvl w:val="0"/>
          <w:numId w:val="36"/>
        </w:numPr>
      </w:pPr>
      <w:r w:rsidRPr="00620466">
        <w:t xml:space="preserve">reduce the duplication of actions across the </w:t>
      </w:r>
      <w:r w:rsidR="00137683">
        <w:t xml:space="preserve">NSQHS </w:t>
      </w:r>
      <w:r w:rsidRPr="00620466">
        <w:t xml:space="preserve">Standards </w:t>
      </w:r>
    </w:p>
    <w:p w14:paraId="51FD503A" w14:textId="77777777" w:rsidR="00BC2953" w:rsidRPr="00620466" w:rsidRDefault="00BC2953" w:rsidP="00BC2953">
      <w:pPr>
        <w:pStyle w:val="Normal2"/>
        <w:numPr>
          <w:ilvl w:val="0"/>
          <w:numId w:val="36"/>
        </w:numPr>
      </w:pPr>
      <w:r w:rsidRPr="00620466">
        <w:t>address the issues of coverage of the clinical workforce</w:t>
      </w:r>
    </w:p>
    <w:p w14:paraId="7DFB93B6" w14:textId="77777777" w:rsidR="00BC2953" w:rsidRPr="00620466" w:rsidRDefault="00BC2953" w:rsidP="00BC2953">
      <w:pPr>
        <w:pStyle w:val="Normal2"/>
        <w:numPr>
          <w:ilvl w:val="0"/>
          <w:numId w:val="36"/>
        </w:numPr>
      </w:pPr>
      <w:r w:rsidRPr="00620466">
        <w:t>redirect effort and resource</w:t>
      </w:r>
      <w:r>
        <w:t>s</w:t>
      </w:r>
      <w:r w:rsidRPr="00620466">
        <w:t xml:space="preserve"> associated with clinical audit to those areas of greatest risk and potential for improvement</w:t>
      </w:r>
    </w:p>
    <w:p w14:paraId="375EBABC" w14:textId="77777777" w:rsidR="00BC2953" w:rsidRPr="00620466" w:rsidRDefault="00BC2953" w:rsidP="00BC2953">
      <w:pPr>
        <w:pStyle w:val="Normal2"/>
        <w:numPr>
          <w:ilvl w:val="0"/>
          <w:numId w:val="36"/>
        </w:numPr>
      </w:pPr>
      <w:r w:rsidRPr="00620466">
        <w:t xml:space="preserve">ensure the evidence base that underpins the </w:t>
      </w:r>
      <w:r w:rsidR="00137683">
        <w:t xml:space="preserve">NSQHS </w:t>
      </w:r>
      <w:r w:rsidRPr="00620466">
        <w:t>Standards is current</w:t>
      </w:r>
    </w:p>
    <w:p w14:paraId="482E7D76" w14:textId="77777777" w:rsidR="00BC2953" w:rsidRPr="00620466" w:rsidRDefault="00BC2953" w:rsidP="00BC2953">
      <w:pPr>
        <w:pStyle w:val="Normal2"/>
        <w:numPr>
          <w:ilvl w:val="0"/>
          <w:numId w:val="36"/>
        </w:numPr>
      </w:pPr>
      <w:r w:rsidRPr="00620466">
        <w:t>support the introduction of integrated screening for patients at risk</w:t>
      </w:r>
    </w:p>
    <w:p w14:paraId="3A8FF66D" w14:textId="77777777" w:rsidR="00BC2953" w:rsidRPr="00620466" w:rsidRDefault="00BC2953" w:rsidP="00BC2953">
      <w:pPr>
        <w:pStyle w:val="Normal2"/>
        <w:numPr>
          <w:ilvl w:val="0"/>
          <w:numId w:val="36"/>
        </w:numPr>
      </w:pPr>
      <w:proofErr w:type="gramStart"/>
      <w:r w:rsidRPr="00620466">
        <w:t>address</w:t>
      </w:r>
      <w:proofErr w:type="gramEnd"/>
      <w:r w:rsidRPr="00620466">
        <w:t xml:space="preserve"> safety and quality gaps in version 1 of the NSQHS Standards.</w:t>
      </w:r>
    </w:p>
    <w:p w14:paraId="3FED9647" w14:textId="77777777" w:rsidR="00BC2953" w:rsidRPr="00620466" w:rsidRDefault="00BC2953" w:rsidP="00BC2953">
      <w:pPr>
        <w:pStyle w:val="Normal2"/>
      </w:pPr>
      <w:r w:rsidRPr="00620466">
        <w:t>The introduction of the Australian Health Service Safety and Quality Accreditation (AHSSQA) Scheme means jurisdictions have an efficient regulatory approach to address safety and quality issues in health service organisations.</w:t>
      </w:r>
    </w:p>
    <w:p w14:paraId="18AB041A" w14:textId="77777777" w:rsidR="00BC2953" w:rsidRPr="00620466" w:rsidRDefault="00BC2953" w:rsidP="00BC2953">
      <w:pPr>
        <w:pStyle w:val="Normal2"/>
      </w:pPr>
      <w:r w:rsidRPr="00620466">
        <w:t xml:space="preserve">The processes for implementing the NSQHS Standards, assessing health service organisations and reporting assessment outcomes by accrediting agencies are well established. Jurisdictions use existing regulatory mechanisms to require health service organisations to implement the NSQHS Standards. These include issuing policy </w:t>
      </w:r>
      <w:r w:rsidR="00137683">
        <w:t>directives in the public sector,</w:t>
      </w:r>
      <w:r w:rsidRPr="00620466">
        <w:t xml:space="preserve"> and applying state and territory private health services licensing legislation in the private sector. </w:t>
      </w:r>
    </w:p>
    <w:p w14:paraId="73C918E8" w14:textId="77777777" w:rsidR="00BC2953" w:rsidRPr="00620466" w:rsidRDefault="00BC2953" w:rsidP="00BC2953">
      <w:pPr>
        <w:pStyle w:val="Normal2"/>
      </w:pPr>
      <w:r w:rsidRPr="00620466">
        <w:t xml:space="preserve">Each jurisdiction has developed a responsive regulatory approach to manage health service organisations that do not meet the requirements of the NSQHS Standards. The regulatory response scale commences with confirming and assessing the impact of the safety and quality issues that are not met and may ultimately lead to the closure of a health service organisation if there are serious safety and quality breaches that are unresolved. </w:t>
      </w:r>
    </w:p>
    <w:p w14:paraId="04CD76B8" w14:textId="77777777" w:rsidR="00BC2953" w:rsidRPr="00620466" w:rsidRDefault="00BC2953" w:rsidP="00BC2953">
      <w:pPr>
        <w:pStyle w:val="Normal2"/>
      </w:pPr>
      <w:r w:rsidRPr="00620466">
        <w:t>The introduction of version 2 of the NSQHS Standards will have no impact on the operation of the AHSSQA Scheme. Continued use of the AHSSQA Scheme will retain national consistency, with a low regulatory impact and high net benefit for the community</w:t>
      </w:r>
      <w:r w:rsidR="00137683">
        <w:t>.</w:t>
      </w:r>
    </w:p>
    <w:p w14:paraId="59501CD3" w14:textId="77777777" w:rsidR="00BC2953" w:rsidRPr="00620466" w:rsidRDefault="00BC2953" w:rsidP="00BC2953">
      <w:pPr>
        <w:pStyle w:val="Heading1"/>
      </w:pPr>
      <w:bookmarkStart w:id="6" w:name="_Toc461178319"/>
      <w:r w:rsidRPr="00620466">
        <w:t>Section 3</w:t>
      </w:r>
      <w:r w:rsidRPr="00620466">
        <w:tab/>
        <w:t>Statement of options</w:t>
      </w:r>
      <w:bookmarkEnd w:id="6"/>
    </w:p>
    <w:p w14:paraId="716EBC64" w14:textId="77777777" w:rsidR="00BC2953" w:rsidRPr="00620466" w:rsidRDefault="00137683" w:rsidP="00BC2953">
      <w:pPr>
        <w:pStyle w:val="Normal2"/>
      </w:pPr>
      <w:r>
        <w:t>The C</w:t>
      </w:r>
      <w:r w:rsidR="00BC2953" w:rsidRPr="00620466">
        <w:t>onsultation RIS describe</w:t>
      </w:r>
      <w:r>
        <w:t>s</w:t>
      </w:r>
      <w:r w:rsidR="00BC2953" w:rsidRPr="00620466">
        <w:t xml:space="preserve"> three options. Option 1 maintains the status quo, and option 2 introduces a revised set of Standards. In line with COAG requirements, a third option was included, and comment sought from stakeholders on </w:t>
      </w:r>
      <w:r>
        <w:t>its</w:t>
      </w:r>
      <w:r w:rsidR="00BC2953" w:rsidRPr="00620466">
        <w:t xml:space="preserve"> feasibility to introduce a subset of Standards from version 2.</w:t>
      </w:r>
    </w:p>
    <w:p w14:paraId="403E3E31" w14:textId="77777777" w:rsidR="00BC2953" w:rsidRPr="00620466" w:rsidRDefault="00BC2953" w:rsidP="00BC2953">
      <w:pPr>
        <w:pStyle w:val="Heading2"/>
      </w:pPr>
      <w:r w:rsidRPr="00620466">
        <w:t>3.1</w:t>
      </w:r>
      <w:r w:rsidRPr="00620466">
        <w:tab/>
        <w:t>Option 1: retain version 1 of the NSQHS Standards for an additional three years</w:t>
      </w:r>
    </w:p>
    <w:p w14:paraId="2EE4AD00" w14:textId="77777777" w:rsidR="00BC2953" w:rsidRPr="00620466" w:rsidRDefault="00BC2953" w:rsidP="00BC2953">
      <w:pPr>
        <w:pStyle w:val="Normal2"/>
      </w:pPr>
      <w:r w:rsidRPr="00620466">
        <w:t>Option 1 proposes health service organisations continue to use version 1 of the NSQHS Standards for a further three years, when a review of the Standards would again be conducted to determine the need for revision. The existing implementation resources would continue to be available to health service organisations, and the processes in place for assessment would remain unchanged.</w:t>
      </w:r>
    </w:p>
    <w:p w14:paraId="15CDB29E" w14:textId="77777777" w:rsidR="00BC2953" w:rsidRPr="00620466" w:rsidRDefault="00BC2953" w:rsidP="00BC2953">
      <w:pPr>
        <w:pStyle w:val="Normal2"/>
      </w:pPr>
      <w:r w:rsidRPr="00620466">
        <w:t xml:space="preserve">Health service organisations are familiar with the current NSQHS Standards, the resources supporting their implementation and the processes for assessing implementation through accreditation. There is likely to be ongoing improvement in systems and outcomes in areas covered by the </w:t>
      </w:r>
      <w:r w:rsidR="00137683">
        <w:t xml:space="preserve">NSQHS </w:t>
      </w:r>
      <w:r w:rsidRPr="00620466">
        <w:t xml:space="preserve">Standards. However, it is unlikely that there would be systematic improvements in the new areas addressed in version 2 of the NSQHS Standards from this option. </w:t>
      </w:r>
    </w:p>
    <w:p w14:paraId="0F4A142B" w14:textId="77777777" w:rsidR="00BC2953" w:rsidRPr="00620466" w:rsidRDefault="00BC2953" w:rsidP="00BC2953">
      <w:pPr>
        <w:pStyle w:val="Heading2"/>
      </w:pPr>
      <w:r w:rsidRPr="00620466">
        <w:t>3.2</w:t>
      </w:r>
      <w:r w:rsidRPr="00620466">
        <w:tab/>
        <w:t>Option 2: transition to version 2 of the NSQHS Standards by 2018–19</w:t>
      </w:r>
    </w:p>
    <w:p w14:paraId="27F47503" w14:textId="77777777" w:rsidR="00BC2953" w:rsidRPr="00620466" w:rsidRDefault="00BC2953" w:rsidP="00BC2953">
      <w:pPr>
        <w:pStyle w:val="Normal2"/>
      </w:pPr>
      <w:r w:rsidRPr="00620466">
        <w:t xml:space="preserve">This option proposes health service organisations implement version 2 of the NSQHS Standards from January 2019 by developing or adapting their safety and quality systems to address all of the actions covered in this version of the NSQHS Standards. </w:t>
      </w:r>
    </w:p>
    <w:p w14:paraId="6839C130" w14:textId="77777777" w:rsidR="00BC2953" w:rsidRPr="00620466" w:rsidRDefault="00BC2953" w:rsidP="00BC2953">
      <w:pPr>
        <w:pStyle w:val="Normal2"/>
      </w:pPr>
      <w:r w:rsidRPr="00620466">
        <w:t xml:space="preserve">Version 2 of the Standards is a revision of version 1. It has 8 Standards and 148 actions, compared with version 1, which has 10 Standards and 256 actions. Approximately 65 per cent of the content is consistent with the requirements of version 1 of the Standards, and 35 per cent is new content. </w:t>
      </w:r>
    </w:p>
    <w:p w14:paraId="0AB54B1F" w14:textId="77777777" w:rsidR="00BC2953" w:rsidRPr="00620466" w:rsidRDefault="00BC2953" w:rsidP="00BC2953">
      <w:pPr>
        <w:pStyle w:val="Normal2"/>
      </w:pPr>
      <w:r w:rsidRPr="00620466">
        <w:t xml:space="preserve">The NSQHS Standards describe the </w:t>
      </w:r>
      <w:r w:rsidR="00137683">
        <w:t xml:space="preserve">expected </w:t>
      </w:r>
      <w:r w:rsidRPr="00620466">
        <w:t xml:space="preserve">level of care to be provided by health service organisations. Many health service organisations across Australia already provide care that exceeds acceptable requirements in most, if not all, of the requirements of the </w:t>
      </w:r>
      <w:r w:rsidR="00137683">
        <w:t xml:space="preserve">NSQHS </w:t>
      </w:r>
      <w:r w:rsidRPr="00620466">
        <w:t xml:space="preserve">Standards. This is known to be the case because 86 per cent of health service organisations currently achieve accreditation when assessed and have no remedial actions that need to be addressed. Since 65 per cent of version 2 is consistent with version 1, it is expected organisations will continue to have the necessary systems in place for safe and good-quality care in these areas and complying with these actions will be a straightforward process. </w:t>
      </w:r>
    </w:p>
    <w:p w14:paraId="680FA153" w14:textId="77777777" w:rsidR="00BC2953" w:rsidRPr="00620466" w:rsidRDefault="00BC2953" w:rsidP="00BC2953">
      <w:pPr>
        <w:pStyle w:val="Normal2"/>
      </w:pPr>
      <w:r w:rsidRPr="00620466">
        <w:t>The Commission will support the implementation of this option by:</w:t>
      </w:r>
    </w:p>
    <w:p w14:paraId="3AACEEC7" w14:textId="77777777" w:rsidR="00BC2953" w:rsidRPr="00620466" w:rsidRDefault="00BC2953" w:rsidP="00BC2953">
      <w:pPr>
        <w:pStyle w:val="Normal2"/>
        <w:numPr>
          <w:ilvl w:val="0"/>
          <w:numId w:val="37"/>
        </w:numPr>
      </w:pPr>
      <w:r w:rsidRPr="00620466">
        <w:t>developing a suite of resources to support the application of version 2 of the NSQHS Standards and accreditation to these Standards</w:t>
      </w:r>
    </w:p>
    <w:p w14:paraId="17512B47" w14:textId="77777777" w:rsidR="00BC2953" w:rsidRPr="00620466" w:rsidRDefault="00BC2953" w:rsidP="00BC2953">
      <w:pPr>
        <w:pStyle w:val="Normal2"/>
        <w:numPr>
          <w:ilvl w:val="0"/>
          <w:numId w:val="37"/>
        </w:numPr>
      </w:pPr>
      <w:r w:rsidRPr="00620466">
        <w:t>providing training for accrediting agencies and the assessor workforce</w:t>
      </w:r>
    </w:p>
    <w:p w14:paraId="1FF5F43F" w14:textId="77777777" w:rsidR="00BC2953" w:rsidRPr="00620466" w:rsidRDefault="00BC2953" w:rsidP="00BC2953">
      <w:pPr>
        <w:pStyle w:val="Normal2"/>
        <w:numPr>
          <w:ilvl w:val="0"/>
          <w:numId w:val="37"/>
        </w:numPr>
      </w:pPr>
      <w:r w:rsidRPr="00620466">
        <w:t>supporting health service organisations through an advice centre and a mediation service</w:t>
      </w:r>
    </w:p>
    <w:p w14:paraId="39A7EA3B" w14:textId="77777777" w:rsidR="00BC2953" w:rsidRPr="00620466" w:rsidRDefault="00BC2953" w:rsidP="00BC2953">
      <w:pPr>
        <w:pStyle w:val="Normal2"/>
        <w:numPr>
          <w:ilvl w:val="0"/>
          <w:numId w:val="37"/>
        </w:numPr>
      </w:pPr>
      <w:proofErr w:type="gramStart"/>
      <w:r w:rsidRPr="00620466">
        <w:t>reviewing</w:t>
      </w:r>
      <w:proofErr w:type="gramEnd"/>
      <w:r w:rsidRPr="00620466">
        <w:t xml:space="preserve"> the AHSSQA Scheme to increase its efficiency and effectiveness. </w:t>
      </w:r>
    </w:p>
    <w:p w14:paraId="79D1AF00" w14:textId="77777777" w:rsidR="00BC2953" w:rsidRPr="00620466" w:rsidRDefault="00BC2953" w:rsidP="00BC2953">
      <w:pPr>
        <w:pStyle w:val="Heading2"/>
      </w:pPr>
      <w:r w:rsidRPr="00620466">
        <w:t>3.3</w:t>
      </w:r>
      <w:r w:rsidRPr="00620466">
        <w:tab/>
        <w:t>Option 3 – release of a subset of NSQHS Standards from version 2 from January 2019</w:t>
      </w:r>
    </w:p>
    <w:p w14:paraId="7C337D78" w14:textId="77777777" w:rsidR="00BC2953" w:rsidRPr="00620466" w:rsidRDefault="00BC2953" w:rsidP="00BC2953">
      <w:pPr>
        <w:pStyle w:val="Normal2"/>
      </w:pPr>
      <w:r w:rsidRPr="00620466">
        <w:t>COAG requires that more than two options be considered as part of a regulatory impact assessment process.</w:t>
      </w:r>
    </w:p>
    <w:p w14:paraId="5E616924" w14:textId="77777777" w:rsidR="00BC2953" w:rsidRPr="00620466" w:rsidRDefault="00BC2953" w:rsidP="00BC2953">
      <w:pPr>
        <w:pStyle w:val="Normal2"/>
      </w:pPr>
      <w:r w:rsidRPr="00620466">
        <w:t xml:space="preserve">This option is a modification of option 2, where six of the eight standards from version 2 of the NSQHS Standards are released. </w:t>
      </w:r>
    </w:p>
    <w:p w14:paraId="5A0B705B" w14:textId="77777777" w:rsidR="00BC2953" w:rsidRPr="00620466" w:rsidRDefault="00137683" w:rsidP="00BC2953">
      <w:pPr>
        <w:pStyle w:val="Normal2"/>
      </w:pPr>
      <w:r>
        <w:t>The option proposed in the C</w:t>
      </w:r>
      <w:r w:rsidR="00BC2953" w:rsidRPr="00620466">
        <w:t xml:space="preserve">onsultation RIS was for the introduction of version 2 of the NSQHS Standards, with </w:t>
      </w:r>
      <w:r w:rsidR="00BC2953">
        <w:t xml:space="preserve">the introduction of </w:t>
      </w:r>
      <w:r w:rsidR="00BC2953" w:rsidRPr="00620466">
        <w:t xml:space="preserve">two Standards, namely the Blood Management and Recognising and Responding to Acute Deterioration Standards, be delayed or omitted. </w:t>
      </w:r>
    </w:p>
    <w:p w14:paraId="03E22A94" w14:textId="77777777" w:rsidR="00BC2953" w:rsidRPr="00620466" w:rsidRDefault="00BC2953" w:rsidP="00BC2953">
      <w:pPr>
        <w:pStyle w:val="Normal2"/>
      </w:pPr>
      <w:r w:rsidRPr="00620466">
        <w:t>The Commission did not consider this option to be feasible. However, stakeholders were invited to provide comment on this option as part of the RIS consultation.</w:t>
      </w:r>
    </w:p>
    <w:p w14:paraId="1688293D" w14:textId="77777777" w:rsidR="00BC2953" w:rsidRPr="00620466" w:rsidRDefault="00BC2953" w:rsidP="00BC2953">
      <w:pPr>
        <w:pStyle w:val="Heading1"/>
      </w:pPr>
      <w:bookmarkStart w:id="7" w:name="_Toc461178320"/>
      <w:r w:rsidRPr="00620466">
        <w:t>Section 4</w:t>
      </w:r>
      <w:r w:rsidRPr="00620466">
        <w:tab/>
        <w:t>RIS consultation</w:t>
      </w:r>
      <w:bookmarkEnd w:id="7"/>
      <w:r w:rsidRPr="00620466">
        <w:t xml:space="preserve"> </w:t>
      </w:r>
    </w:p>
    <w:p w14:paraId="00A2C8DA" w14:textId="77777777" w:rsidR="00BC2953" w:rsidRPr="00620466" w:rsidRDefault="00BC2953" w:rsidP="00BC2953">
      <w:pPr>
        <w:pStyle w:val="Heading2"/>
      </w:pPr>
      <w:r w:rsidRPr="00620466">
        <w:t>4.1 Consultation process</w:t>
      </w:r>
    </w:p>
    <w:p w14:paraId="000015D0" w14:textId="77777777" w:rsidR="00BC2953" w:rsidRPr="00620466" w:rsidRDefault="00BC2953" w:rsidP="00BC2953">
      <w:pPr>
        <w:pStyle w:val="Normal2"/>
      </w:pPr>
      <w:r w:rsidRPr="00620466">
        <w:t xml:space="preserve">The Office of Best </w:t>
      </w:r>
      <w:r w:rsidR="00137683">
        <w:t>Practice Regulation approved a C</w:t>
      </w:r>
      <w:r w:rsidRPr="00620466">
        <w:t>onsultation RIS for release in May 2016. This document was end</w:t>
      </w:r>
      <w:r w:rsidR="00137683">
        <w:t>orsed by the Commission’s Inter-</w:t>
      </w:r>
      <w:r w:rsidRPr="00620466">
        <w:t xml:space="preserve">Jurisdictional, Private Hospital Sector and Primary Care Committees prior to being approved for release by the Chairman on behalf of the </w:t>
      </w:r>
      <w:r>
        <w:t xml:space="preserve">Commission’s </w:t>
      </w:r>
      <w:r w:rsidRPr="00620466">
        <w:t xml:space="preserve">Board. </w:t>
      </w:r>
    </w:p>
    <w:p w14:paraId="1E516C09" w14:textId="77777777" w:rsidR="00BC2953" w:rsidRPr="00620466" w:rsidRDefault="00BC2953" w:rsidP="00BC2953">
      <w:pPr>
        <w:pStyle w:val="Normal2"/>
      </w:pPr>
      <w:r w:rsidRPr="00620466">
        <w:t>The national consultation process was conducted between 7 July and 5 August 2016. Stakeholders were invited to indicate which of the three options they preferred and were then asked to provide feedback on the costs and benefits of option 2.</w:t>
      </w:r>
      <w:r w:rsidRPr="00620466" w:rsidDel="00982504">
        <w:t xml:space="preserve"> </w:t>
      </w:r>
    </w:p>
    <w:p w14:paraId="34AA5F56" w14:textId="77777777" w:rsidR="00BC2953" w:rsidRPr="00620466" w:rsidRDefault="00BC2953" w:rsidP="00BC2953">
      <w:pPr>
        <w:pStyle w:val="Normal2"/>
      </w:pPr>
      <w:r w:rsidRPr="00620466">
        <w:t>Stakeholder</w:t>
      </w:r>
      <w:r>
        <w:t>s</w:t>
      </w:r>
      <w:r w:rsidRPr="00620466">
        <w:t xml:space="preserve"> were notified of the consultation RIS process by direct email, through presentations at various committee meetings and presentations during the preceding months, or from information provided on th</w:t>
      </w:r>
      <w:r w:rsidR="00137683">
        <w:t>e Commission’s web</w:t>
      </w:r>
      <w:r w:rsidRPr="00620466">
        <w:t xml:space="preserve">site. The Commission wrote directly to each health department seeking comment on the consultation RIS. A list of key stakeholders contacted directly is at Appendix 1. Stakeholders were invited to forward the invitation to comment on the consultation RIS to their networks, so the final distribution list is unknown. </w:t>
      </w:r>
    </w:p>
    <w:p w14:paraId="07182D5A" w14:textId="77777777" w:rsidR="00BC2953" w:rsidRPr="00620466" w:rsidRDefault="00BC2953" w:rsidP="00BC2953">
      <w:pPr>
        <w:pStyle w:val="Normal2"/>
      </w:pPr>
      <w:r w:rsidRPr="00620466">
        <w:t>Information provided to stakeholders included a copy of the consultation RIS and the draft version 2 of the NSQHS Standards (July 2016).</w:t>
      </w:r>
    </w:p>
    <w:p w14:paraId="459097A2" w14:textId="77777777" w:rsidR="00BC2953" w:rsidRPr="00620466" w:rsidRDefault="00BC2953" w:rsidP="00BC2953">
      <w:pPr>
        <w:pStyle w:val="Heading2"/>
      </w:pPr>
      <w:r w:rsidRPr="00620466">
        <w:t>4.2</w:t>
      </w:r>
      <w:r w:rsidRPr="00620466">
        <w:tab/>
        <w:t>Consultation questions</w:t>
      </w:r>
    </w:p>
    <w:p w14:paraId="5715F5B2" w14:textId="77777777" w:rsidR="00BC2953" w:rsidRDefault="00BC2953" w:rsidP="00BC2953">
      <w:pPr>
        <w:pStyle w:val="Normal2"/>
      </w:pPr>
      <w:r w:rsidRPr="00620466">
        <w:t>The consultation RIS sought responses to the following questions, but accepted submissions that addressed any matter related to the RIS, the draft NSQHS Standards or the assessment processes. The questions included in the consultation RIS are listed below:</w:t>
      </w:r>
      <w:r>
        <w:br w:type="page"/>
      </w:r>
    </w:p>
    <w:p w14:paraId="007F9153" w14:textId="77777777" w:rsidR="00BC2953" w:rsidRDefault="00BC2953" w:rsidP="00BC2953">
      <w:r>
        <w:rPr>
          <w:noProof/>
        </w:rPr>
        <mc:AlternateContent>
          <mc:Choice Requires="wps">
            <w:drawing>
              <wp:anchor distT="0" distB="0" distL="114300" distR="114300" simplePos="0" relativeHeight="251659264" behindDoc="1" locked="0" layoutInCell="1" allowOverlap="1" wp14:anchorId="7DEC308C" wp14:editId="4F4992A0">
                <wp:simplePos x="0" y="0"/>
                <wp:positionH relativeFrom="column">
                  <wp:posOffset>-103517</wp:posOffset>
                </wp:positionH>
                <wp:positionV relativeFrom="paragraph">
                  <wp:posOffset>-4098</wp:posOffset>
                </wp:positionV>
                <wp:extent cx="5941060" cy="8643668"/>
                <wp:effectExtent l="0" t="0" r="21590" b="24130"/>
                <wp:wrapNone/>
                <wp:docPr id="4" name="Rectangle 4" title="Background element"/>
                <wp:cNvGraphicFramePr/>
                <a:graphic xmlns:a="http://schemas.openxmlformats.org/drawingml/2006/main">
                  <a:graphicData uri="http://schemas.microsoft.com/office/word/2010/wordprocessingShape">
                    <wps:wsp>
                      <wps:cNvSpPr/>
                      <wps:spPr>
                        <a:xfrm>
                          <a:off x="0" y="0"/>
                          <a:ext cx="5941060" cy="8643668"/>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690664" id="Rectangle 4" o:spid="_x0000_s1026" alt="Title: Background element" style="position:absolute;margin-left:-8.15pt;margin-top:-.3pt;width:467.8pt;height:6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" fillcolor="#c6d9f1 [671]" strokecolor="#243f60 [1604]" strokeweight="2pt"/>
            </w:pict>
          </mc:Fallback>
        </mc:AlternateContent>
      </w:r>
    </w:p>
    <w:p w14:paraId="38F6C098" w14:textId="77777777" w:rsidR="00BC2953" w:rsidRPr="00137683" w:rsidRDefault="00BC2953" w:rsidP="00BC2953">
      <w:pPr>
        <w:pStyle w:val="Normal2"/>
        <w:rPr>
          <w:b/>
        </w:rPr>
      </w:pPr>
      <w:r w:rsidRPr="00137683">
        <w:rPr>
          <w:b/>
        </w:rPr>
        <w:t xml:space="preserve">Text Box 1: Extract of questions from the consultation RIS </w:t>
      </w:r>
    </w:p>
    <w:p w14:paraId="6D475DD6" w14:textId="77777777" w:rsidR="00137683" w:rsidRPr="00A9066F" w:rsidRDefault="00137683" w:rsidP="00BC2953">
      <w:pPr>
        <w:pStyle w:val="Normal2"/>
      </w:pPr>
    </w:p>
    <w:p w14:paraId="65E7BF25" w14:textId="77777777" w:rsidR="00BC2953" w:rsidRPr="00A9066F" w:rsidRDefault="00BC2953" w:rsidP="00BC2953">
      <w:pPr>
        <w:pStyle w:val="Normal2"/>
        <w:numPr>
          <w:ilvl w:val="0"/>
          <w:numId w:val="39"/>
        </w:numPr>
      </w:pPr>
      <w:r w:rsidRPr="00A9066F">
        <w:t>Element 3 outlines three options. Which of these options do you believe would be the most effective way of improving safety and quality for patients?</w:t>
      </w:r>
    </w:p>
    <w:p w14:paraId="069CD792" w14:textId="77777777" w:rsidR="00BC2953" w:rsidRPr="00A9066F" w:rsidRDefault="00BC2953" w:rsidP="00BC2953">
      <w:pPr>
        <w:pStyle w:val="Normal2"/>
        <w:numPr>
          <w:ilvl w:val="0"/>
          <w:numId w:val="39"/>
        </w:numPr>
      </w:pPr>
      <w:r w:rsidRPr="00A9066F">
        <w:t>What do you believe are the costs, benefits and other impacts of your preferred option for:</w:t>
      </w:r>
    </w:p>
    <w:p w14:paraId="4A06A972" w14:textId="77777777" w:rsidR="00BC2953" w:rsidRPr="00A9066F" w:rsidRDefault="00BC2953" w:rsidP="00BC2953">
      <w:pPr>
        <w:pStyle w:val="Normal2"/>
        <w:numPr>
          <w:ilvl w:val="1"/>
          <w:numId w:val="39"/>
        </w:numPr>
      </w:pPr>
      <w:proofErr w:type="gramStart"/>
      <w:r w:rsidRPr="00A9066F">
        <w:t>your</w:t>
      </w:r>
      <w:proofErr w:type="gramEnd"/>
      <w:r w:rsidRPr="00A9066F">
        <w:t xml:space="preserve"> organisation?</w:t>
      </w:r>
    </w:p>
    <w:p w14:paraId="7C9F5719" w14:textId="77777777" w:rsidR="00BC2953" w:rsidRPr="00A9066F" w:rsidRDefault="00BC2953" w:rsidP="00BC2953">
      <w:pPr>
        <w:pStyle w:val="Normal2"/>
        <w:numPr>
          <w:ilvl w:val="1"/>
          <w:numId w:val="39"/>
        </w:numPr>
      </w:pPr>
      <w:proofErr w:type="gramStart"/>
      <w:r w:rsidRPr="00A9066F">
        <w:t>consumers</w:t>
      </w:r>
      <w:proofErr w:type="gramEnd"/>
      <w:r w:rsidRPr="00A9066F">
        <w:t>?</w:t>
      </w:r>
    </w:p>
    <w:p w14:paraId="07DD4E60" w14:textId="77777777" w:rsidR="00BC2953" w:rsidRPr="00A9066F" w:rsidRDefault="00BC2953" w:rsidP="00BC2953">
      <w:pPr>
        <w:pStyle w:val="Normal2"/>
        <w:numPr>
          <w:ilvl w:val="1"/>
          <w:numId w:val="39"/>
        </w:numPr>
      </w:pPr>
      <w:proofErr w:type="gramStart"/>
      <w:r w:rsidRPr="00A9066F">
        <w:t>the</w:t>
      </w:r>
      <w:proofErr w:type="gramEnd"/>
      <w:r w:rsidRPr="00A9066F">
        <w:t xml:space="preserve"> health system?</w:t>
      </w:r>
      <w:r>
        <w:br/>
      </w:r>
      <w:r>
        <w:br/>
      </w:r>
      <w:r w:rsidRPr="00A9066F">
        <w:t xml:space="preserve">Please include in your feedback evidence of costs or analysis that has been conducted to quantify and support your position. </w:t>
      </w:r>
    </w:p>
    <w:p w14:paraId="501468C1" w14:textId="77777777" w:rsidR="00BC2953" w:rsidRPr="00A9066F" w:rsidRDefault="00BC2953" w:rsidP="00BC2953">
      <w:pPr>
        <w:pStyle w:val="Normal2"/>
        <w:numPr>
          <w:ilvl w:val="0"/>
          <w:numId w:val="39"/>
        </w:numPr>
      </w:pPr>
      <w:r w:rsidRPr="00A9066F">
        <w:t>Option 3, the release of a limited number of Standards from version 2 is not considered feasible by the Commission. You are invited to comment on the costs and benefits of this option.</w:t>
      </w:r>
      <w:r>
        <w:br/>
      </w:r>
      <w:r>
        <w:br/>
      </w:r>
      <w:r w:rsidRPr="00A9066F">
        <w:t>The Commission is recommending option 2: release of version 2 of the NSQHS Standards.</w:t>
      </w:r>
      <w:r>
        <w:br/>
      </w:r>
      <w:r>
        <w:br/>
      </w:r>
      <w:r w:rsidRPr="00A9066F">
        <w:t>You are invited to provide comment for individual Standards or all of version 2 of the NSQHS Standards on the following questions.</w:t>
      </w:r>
    </w:p>
    <w:p w14:paraId="3A039093" w14:textId="77777777" w:rsidR="00BC2953" w:rsidRPr="00A9066F" w:rsidRDefault="00BC2953" w:rsidP="00BC2953">
      <w:pPr>
        <w:pStyle w:val="Normal2"/>
        <w:numPr>
          <w:ilvl w:val="0"/>
          <w:numId w:val="39"/>
        </w:numPr>
      </w:pPr>
      <w:r w:rsidRPr="00A9066F">
        <w:t>Element 4.6 outlines direct costs for implementing option 2? Are the estimates and assumptions reasonable? What additional costs or benefits should be considered?</w:t>
      </w:r>
    </w:p>
    <w:p w14:paraId="35CE36C9" w14:textId="77777777" w:rsidR="00BC2953" w:rsidRPr="00A9066F" w:rsidRDefault="00BC2953" w:rsidP="00BC2953">
      <w:pPr>
        <w:pStyle w:val="Normal2"/>
        <w:numPr>
          <w:ilvl w:val="0"/>
          <w:numId w:val="39"/>
        </w:numPr>
      </w:pPr>
      <w:r w:rsidRPr="00A9066F">
        <w:t>What direct costs, either one-off or recurrent, do you anticipate from implementing version 2 or specific Standards from version 2?</w:t>
      </w:r>
    </w:p>
    <w:p w14:paraId="43189FA0" w14:textId="77777777" w:rsidR="00BC2953" w:rsidRPr="00A9066F" w:rsidRDefault="00BC2953" w:rsidP="00BC2953">
      <w:pPr>
        <w:pStyle w:val="Normal2"/>
        <w:numPr>
          <w:ilvl w:val="0"/>
          <w:numId w:val="39"/>
        </w:numPr>
      </w:pPr>
      <w:r w:rsidRPr="00A9066F">
        <w:t>What indirect costs or other impacts do you anticipate from implementing version 2 or specific Standards from version 2?</w:t>
      </w:r>
    </w:p>
    <w:p w14:paraId="22B09877" w14:textId="77777777" w:rsidR="00BC2953" w:rsidRPr="00A9066F" w:rsidRDefault="00BC2953" w:rsidP="00BC2953">
      <w:pPr>
        <w:pStyle w:val="Normal2"/>
        <w:numPr>
          <w:ilvl w:val="0"/>
          <w:numId w:val="39"/>
        </w:numPr>
      </w:pPr>
      <w:r w:rsidRPr="00A9066F">
        <w:t>What benefits – financial, improved safety and quality, or other benefits – do you anticipate from implementing version 2 or specific Standards from version 2?</w:t>
      </w:r>
    </w:p>
    <w:p w14:paraId="6BD5D0D0" w14:textId="77777777" w:rsidR="00BC2953" w:rsidRPr="00A9066F" w:rsidRDefault="00BC2953" w:rsidP="00BC2953">
      <w:pPr>
        <w:pStyle w:val="Normal2"/>
        <w:numPr>
          <w:ilvl w:val="0"/>
          <w:numId w:val="39"/>
        </w:numPr>
      </w:pPr>
      <w:r w:rsidRPr="00A9066F">
        <w:t>What increase or savings in costs do you anticipate from the reduction in duplication and clearer statement of requirements in version 2 of the NSQHS Standards?</w:t>
      </w:r>
    </w:p>
    <w:p w14:paraId="04B8B5A0" w14:textId="77777777" w:rsidR="00BC2953" w:rsidRPr="00A9066F" w:rsidRDefault="00BC2953" w:rsidP="00BC2953">
      <w:pPr>
        <w:pStyle w:val="Normal2"/>
        <w:numPr>
          <w:ilvl w:val="0"/>
          <w:numId w:val="39"/>
        </w:numPr>
      </w:pPr>
      <w:r w:rsidRPr="00A9066F">
        <w:t>To what extent do you believe that your organisation is currently meeting the requirements of version 2 of the NSQHS Standards, with respect to:</w:t>
      </w:r>
    </w:p>
    <w:tbl>
      <w:tblPr>
        <w:tblStyle w:val="TableGrid"/>
        <w:tblW w:w="0" w:type="auto"/>
        <w:tblInd w:w="392" w:type="dxa"/>
        <w:tblBorders>
          <w:bottom w:val="none" w:sz="0" w:space="0" w:color="auto"/>
        </w:tblBorders>
        <w:tblLook w:val="04A0" w:firstRow="1" w:lastRow="0" w:firstColumn="1" w:lastColumn="0" w:noHBand="0" w:noVBand="1"/>
        <w:tblCaption w:val="Table of gaps and Standards"/>
      </w:tblPr>
      <w:tblGrid>
        <w:gridCol w:w="2693"/>
        <w:gridCol w:w="3260"/>
        <w:gridCol w:w="2897"/>
      </w:tblGrid>
      <w:tr w:rsidR="00BC2953" w:rsidRPr="00F227EA" w14:paraId="12DABFB2"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2693" w:type="dxa"/>
            <w:vAlign w:val="bottom"/>
          </w:tcPr>
          <w:p w14:paraId="3D1C6A8E" w14:textId="77777777" w:rsidR="00BC2953" w:rsidRPr="00F227EA" w:rsidRDefault="00BC2953" w:rsidP="00030BC1">
            <w:r w:rsidRPr="00F227EA">
              <w:t>Safety and quality gaps</w:t>
            </w:r>
          </w:p>
        </w:tc>
        <w:tc>
          <w:tcPr>
            <w:tcW w:w="6157" w:type="dxa"/>
            <w:gridSpan w:val="2"/>
            <w:vAlign w:val="bottom"/>
          </w:tcPr>
          <w:p w14:paraId="0630A29B" w14:textId="77777777" w:rsidR="00BC2953" w:rsidRPr="00F227EA" w:rsidRDefault="00BC2953" w:rsidP="00030BC1">
            <w:r w:rsidRPr="00F227EA">
              <w:t>Standards</w:t>
            </w:r>
          </w:p>
        </w:tc>
      </w:tr>
      <w:tr w:rsidR="00BC2953" w:rsidRPr="00F227EA" w14:paraId="202D84DA" w14:textId="77777777" w:rsidTr="00030BC1">
        <w:tc>
          <w:tcPr>
            <w:tcW w:w="2693" w:type="dxa"/>
            <w:tcBorders>
              <w:top w:val="single" w:sz="4" w:space="0" w:color="auto"/>
              <w:bottom w:val="single" w:sz="4" w:space="0" w:color="auto"/>
            </w:tcBorders>
          </w:tcPr>
          <w:p w14:paraId="6CF8C9A8" w14:textId="77777777" w:rsidR="00BC2953" w:rsidRPr="00F227EA" w:rsidRDefault="00BC2953" w:rsidP="00030BC1">
            <w:pPr>
              <w:pStyle w:val="ListParagraph"/>
              <w:numPr>
                <w:ilvl w:val="0"/>
                <w:numId w:val="40"/>
              </w:numPr>
            </w:pPr>
            <w:r w:rsidRPr="00F227EA">
              <w:t xml:space="preserve">Mental health </w:t>
            </w:r>
          </w:p>
          <w:p w14:paraId="1F5D2280" w14:textId="77777777" w:rsidR="00BC2953" w:rsidRPr="00F227EA" w:rsidRDefault="00BC2953" w:rsidP="00030BC1">
            <w:pPr>
              <w:pStyle w:val="ListParagraph"/>
              <w:numPr>
                <w:ilvl w:val="0"/>
                <w:numId w:val="40"/>
              </w:numPr>
            </w:pPr>
            <w:r w:rsidRPr="00F227EA">
              <w:t>Cognitive impairment</w:t>
            </w:r>
          </w:p>
          <w:p w14:paraId="530154B4" w14:textId="77777777" w:rsidR="00BC2953" w:rsidRPr="00F227EA" w:rsidRDefault="00BC2953" w:rsidP="00030BC1">
            <w:pPr>
              <w:pStyle w:val="ListParagraph"/>
              <w:numPr>
                <w:ilvl w:val="0"/>
                <w:numId w:val="40"/>
              </w:numPr>
            </w:pPr>
            <w:r w:rsidRPr="00F227EA">
              <w:t>Mental health</w:t>
            </w:r>
          </w:p>
          <w:p w14:paraId="751B4CD0" w14:textId="77777777" w:rsidR="00BC2953" w:rsidRPr="00F227EA" w:rsidRDefault="00BC2953" w:rsidP="00030BC1">
            <w:pPr>
              <w:pStyle w:val="ListParagraph"/>
              <w:numPr>
                <w:ilvl w:val="0"/>
                <w:numId w:val="40"/>
              </w:numPr>
            </w:pPr>
            <w:r w:rsidRPr="00F227EA">
              <w:t>Health literacy</w:t>
            </w:r>
          </w:p>
          <w:p w14:paraId="335EB615" w14:textId="77777777" w:rsidR="00BC2953" w:rsidRPr="00F227EA" w:rsidRDefault="00BC2953" w:rsidP="00030BC1">
            <w:pPr>
              <w:pStyle w:val="ListParagraph"/>
              <w:numPr>
                <w:ilvl w:val="0"/>
                <w:numId w:val="40"/>
              </w:numPr>
            </w:pPr>
            <w:r w:rsidRPr="00F227EA">
              <w:t>End-of-life care</w:t>
            </w:r>
          </w:p>
        </w:tc>
        <w:tc>
          <w:tcPr>
            <w:tcW w:w="3260" w:type="dxa"/>
            <w:tcBorders>
              <w:top w:val="single" w:sz="4" w:space="0" w:color="auto"/>
              <w:bottom w:val="single" w:sz="4" w:space="0" w:color="auto"/>
            </w:tcBorders>
          </w:tcPr>
          <w:p w14:paraId="537C1A78" w14:textId="77777777" w:rsidR="00BC2953" w:rsidRPr="00F227EA" w:rsidRDefault="00BC2953" w:rsidP="00030BC1">
            <w:pPr>
              <w:pStyle w:val="ListParagraph"/>
              <w:numPr>
                <w:ilvl w:val="0"/>
                <w:numId w:val="41"/>
              </w:numPr>
            </w:pPr>
            <w:r w:rsidRPr="00F227EA">
              <w:t>Clinical Governance for Health Service Organisations</w:t>
            </w:r>
          </w:p>
          <w:p w14:paraId="5B105B70" w14:textId="77777777" w:rsidR="00BC2953" w:rsidRPr="00F227EA" w:rsidRDefault="00BC2953" w:rsidP="00030BC1">
            <w:pPr>
              <w:pStyle w:val="ListParagraph"/>
              <w:numPr>
                <w:ilvl w:val="0"/>
                <w:numId w:val="41"/>
              </w:numPr>
            </w:pPr>
            <w:r w:rsidRPr="00F227EA">
              <w:t>Partnering with Consumers</w:t>
            </w:r>
          </w:p>
          <w:p w14:paraId="1D90BC78" w14:textId="77777777" w:rsidR="00BC2953" w:rsidRPr="00F227EA" w:rsidRDefault="00BC2953" w:rsidP="00030BC1">
            <w:pPr>
              <w:pStyle w:val="ListParagraph"/>
              <w:numPr>
                <w:ilvl w:val="0"/>
                <w:numId w:val="41"/>
              </w:numPr>
            </w:pPr>
            <w:r w:rsidRPr="00F227EA">
              <w:t>Preventing and Controlling Healthcare-associated Infections</w:t>
            </w:r>
          </w:p>
        </w:tc>
        <w:tc>
          <w:tcPr>
            <w:tcW w:w="2897" w:type="dxa"/>
            <w:tcBorders>
              <w:top w:val="single" w:sz="4" w:space="0" w:color="auto"/>
              <w:bottom w:val="single" w:sz="4" w:space="0" w:color="auto"/>
            </w:tcBorders>
          </w:tcPr>
          <w:p w14:paraId="549B06D5" w14:textId="77777777" w:rsidR="00BC2953" w:rsidRPr="00F227EA" w:rsidRDefault="00BC2953" w:rsidP="00030BC1">
            <w:pPr>
              <w:pStyle w:val="ListParagraph"/>
              <w:numPr>
                <w:ilvl w:val="0"/>
                <w:numId w:val="42"/>
              </w:numPr>
            </w:pPr>
            <w:r w:rsidRPr="00F227EA">
              <w:t>Medication Safety</w:t>
            </w:r>
          </w:p>
          <w:p w14:paraId="5A61FEE8" w14:textId="77777777" w:rsidR="00BC2953" w:rsidRPr="00F227EA" w:rsidRDefault="00BC2953" w:rsidP="00030BC1">
            <w:pPr>
              <w:pStyle w:val="ListParagraph"/>
              <w:numPr>
                <w:ilvl w:val="0"/>
                <w:numId w:val="42"/>
              </w:numPr>
            </w:pPr>
            <w:r w:rsidRPr="00F227EA">
              <w:t>Comprehensive Care</w:t>
            </w:r>
          </w:p>
          <w:p w14:paraId="7C7CE8D6" w14:textId="77777777" w:rsidR="00BC2953" w:rsidRPr="00F227EA" w:rsidRDefault="00BC2953" w:rsidP="00030BC1">
            <w:pPr>
              <w:pStyle w:val="ListParagraph"/>
              <w:numPr>
                <w:ilvl w:val="0"/>
                <w:numId w:val="42"/>
              </w:numPr>
            </w:pPr>
            <w:r w:rsidRPr="00F227EA">
              <w:t>Communicating for Safety</w:t>
            </w:r>
          </w:p>
          <w:p w14:paraId="5EFD62C9" w14:textId="77777777" w:rsidR="00BC2953" w:rsidRPr="00F227EA" w:rsidRDefault="00BC2953" w:rsidP="00030BC1">
            <w:pPr>
              <w:pStyle w:val="ListParagraph"/>
              <w:numPr>
                <w:ilvl w:val="0"/>
                <w:numId w:val="42"/>
              </w:numPr>
            </w:pPr>
            <w:r w:rsidRPr="00F227EA">
              <w:t>Blood Management</w:t>
            </w:r>
          </w:p>
          <w:p w14:paraId="39C39B67" w14:textId="77777777" w:rsidR="00BC2953" w:rsidRPr="00F227EA" w:rsidRDefault="00BC2953" w:rsidP="00030BC1">
            <w:pPr>
              <w:pStyle w:val="ListParagraph"/>
              <w:numPr>
                <w:ilvl w:val="0"/>
                <w:numId w:val="42"/>
              </w:numPr>
            </w:pPr>
            <w:r w:rsidRPr="00F227EA">
              <w:t xml:space="preserve">Recognising and Responding to Acute Deterioration </w:t>
            </w:r>
          </w:p>
        </w:tc>
      </w:tr>
    </w:tbl>
    <w:p w14:paraId="0D4E6F26" w14:textId="77777777" w:rsidR="00BC2953" w:rsidRPr="00A9066F" w:rsidRDefault="00BC2953" w:rsidP="00BC2953">
      <w:pPr>
        <w:pStyle w:val="Normal2"/>
        <w:numPr>
          <w:ilvl w:val="0"/>
          <w:numId w:val="39"/>
        </w:numPr>
      </w:pPr>
      <w:r w:rsidRPr="00A9066F">
        <w:t>Are there changes to this option that you believe are necessary for implementation to be more effective?</w:t>
      </w:r>
    </w:p>
    <w:p w14:paraId="150AB104" w14:textId="77777777" w:rsidR="00BC2953" w:rsidRPr="00A9066F" w:rsidRDefault="00BC2953" w:rsidP="00BC2953">
      <w:pPr>
        <w:pStyle w:val="Normal2"/>
        <w:numPr>
          <w:ilvl w:val="0"/>
          <w:numId w:val="39"/>
        </w:numPr>
      </w:pPr>
      <w:r w:rsidRPr="00A9066F">
        <w:t>Do you have any general comments in relation to the options proposed?</w:t>
      </w:r>
    </w:p>
    <w:p w14:paraId="5635A05F" w14:textId="77777777" w:rsidR="00BC2953" w:rsidRDefault="00BC2953" w:rsidP="00BC2953">
      <w:pPr>
        <w:pStyle w:val="NumberList"/>
        <w:rPr>
          <w:rStyle w:val="IntenseReference"/>
          <w:b w:val="0"/>
          <w:bCs w:val="0"/>
          <w:i w:val="0"/>
          <w:smallCaps w:val="0"/>
          <w:color w:val="auto"/>
          <w:spacing w:val="0"/>
        </w:rPr>
      </w:pPr>
    </w:p>
    <w:p w14:paraId="62564602" w14:textId="77777777" w:rsidR="00BC2953" w:rsidRDefault="00BC2953" w:rsidP="00BC2953">
      <w:pPr>
        <w:pStyle w:val="NumberList"/>
        <w:rPr>
          <w:rStyle w:val="IntenseReference"/>
          <w:b w:val="0"/>
          <w:bCs w:val="0"/>
          <w:i w:val="0"/>
          <w:smallCaps w:val="0"/>
          <w:color w:val="auto"/>
          <w:spacing w:val="0"/>
        </w:rPr>
        <w:sectPr w:rsidR="00BC2953" w:rsidSect="00340C86">
          <w:pgSz w:w="11906" w:h="16838" w:code="9"/>
          <w:pgMar w:top="1134" w:right="1440" w:bottom="1276" w:left="1440" w:header="284" w:footer="709" w:gutter="0"/>
          <w:cols w:space="708"/>
          <w:docGrid w:linePitch="360"/>
        </w:sectPr>
      </w:pPr>
    </w:p>
    <w:p w14:paraId="22C8B157" w14:textId="77777777" w:rsidR="00BC2953" w:rsidRPr="00F507E2" w:rsidRDefault="00BC2953" w:rsidP="00BC2953">
      <w:pPr>
        <w:pStyle w:val="Heading2"/>
      </w:pPr>
      <w:r w:rsidRPr="00F507E2">
        <w:t>4.3 Results of consultation RIS process</w:t>
      </w:r>
    </w:p>
    <w:p w14:paraId="08481EB1" w14:textId="77777777" w:rsidR="00BC2953" w:rsidRPr="00F507E2" w:rsidRDefault="00137683" w:rsidP="00BC2953">
      <w:pPr>
        <w:pStyle w:val="Normal2"/>
      </w:pPr>
      <w:r>
        <w:t>The C</w:t>
      </w:r>
      <w:r w:rsidR="00BC2953" w:rsidRPr="00F507E2">
        <w:t>onsultation RIS was released in conjunction with the draft version 2 of the NSQHS Standards. Both documents were available to download from the Commission’s web site in PDF or Word format.</w:t>
      </w:r>
    </w:p>
    <w:p w14:paraId="51CE15BC" w14:textId="77777777" w:rsidR="00BC2953" w:rsidRPr="00F507E2" w:rsidRDefault="00BC2953" w:rsidP="00BC2953">
      <w:pPr>
        <w:pStyle w:val="Normal2"/>
      </w:pPr>
      <w:r w:rsidRPr="00F507E2">
        <w:t>Between 7 July and 5 August 2016, there were:</w:t>
      </w:r>
    </w:p>
    <w:p w14:paraId="6A24B84B" w14:textId="77777777" w:rsidR="00BC2953" w:rsidRPr="00F507E2" w:rsidRDefault="00137683" w:rsidP="00BC2953">
      <w:pPr>
        <w:pStyle w:val="Normal2"/>
        <w:numPr>
          <w:ilvl w:val="0"/>
          <w:numId w:val="43"/>
        </w:numPr>
      </w:pPr>
      <w:r>
        <w:t xml:space="preserve">3 419 page views (of which 2 </w:t>
      </w:r>
      <w:r w:rsidR="00BC2953" w:rsidRPr="00F507E2">
        <w:t xml:space="preserve">476 were unique) of the NSQHS Standards consultation landing page on the Commission’s website </w:t>
      </w:r>
    </w:p>
    <w:p w14:paraId="1DBEFDC6" w14:textId="77777777" w:rsidR="00BC2953" w:rsidRPr="00F507E2" w:rsidRDefault="00BC2953" w:rsidP="00BC2953">
      <w:pPr>
        <w:pStyle w:val="Normal2"/>
        <w:numPr>
          <w:ilvl w:val="0"/>
          <w:numId w:val="43"/>
        </w:numPr>
      </w:pPr>
      <w:r w:rsidRPr="00F507E2">
        <w:t>836 downloads of the consultation RIS</w:t>
      </w:r>
    </w:p>
    <w:p w14:paraId="431A5751" w14:textId="77777777" w:rsidR="00BC2953" w:rsidRPr="00F507E2" w:rsidRDefault="00BC2953" w:rsidP="00BC2953">
      <w:pPr>
        <w:pStyle w:val="Normal2"/>
        <w:numPr>
          <w:ilvl w:val="0"/>
          <w:numId w:val="43"/>
        </w:numPr>
      </w:pPr>
      <w:r w:rsidRPr="00F507E2">
        <w:t>1</w:t>
      </w:r>
      <w:r w:rsidR="00137683">
        <w:t xml:space="preserve"> </w:t>
      </w:r>
      <w:r w:rsidRPr="00F507E2">
        <w:t>046 downloads of the draft version 2 of the NSQHS Standards.</w:t>
      </w:r>
    </w:p>
    <w:p w14:paraId="649495B7" w14:textId="77777777" w:rsidR="00BC2953" w:rsidRPr="00F507E2" w:rsidRDefault="00BC2953" w:rsidP="00BC2953">
      <w:pPr>
        <w:pStyle w:val="Normal2"/>
      </w:pPr>
      <w:r w:rsidRPr="00F507E2">
        <w:t>A total of 83 organisations and individuals provided written or verbal submissions in response to the consultation RIS. Table 1 summarises respondents by sector. A list of respondents who provide comment on the RIS is at Appendix 3.</w:t>
      </w:r>
    </w:p>
    <w:p w14:paraId="33407EC6" w14:textId="77777777" w:rsidR="00137683" w:rsidRDefault="00137683" w:rsidP="00BC2953">
      <w:pPr>
        <w:pStyle w:val="Caption"/>
      </w:pPr>
    </w:p>
    <w:p w14:paraId="4C4C3DFB" w14:textId="77777777" w:rsidR="00BC2953" w:rsidRDefault="00BC2953" w:rsidP="00BC2953">
      <w:pPr>
        <w:pStyle w:val="Caption"/>
      </w:pPr>
      <w:r w:rsidRPr="000535AA">
        <w:t xml:space="preserve">Table </w:t>
      </w:r>
      <w:fldSimple w:instr=" SEQ Table \* ARABIC ">
        <w:r w:rsidR="0068597B">
          <w:rPr>
            <w:noProof/>
          </w:rPr>
          <w:t>1</w:t>
        </w:r>
      </w:fldSimple>
      <w:r w:rsidRPr="000535AA">
        <w:t>: Responses by sector type</w:t>
      </w:r>
    </w:p>
    <w:tbl>
      <w:tblPr>
        <w:tblStyle w:val="TableGrid"/>
        <w:tblW w:w="0" w:type="auto"/>
        <w:jc w:val="center"/>
        <w:tblLook w:val="04A0" w:firstRow="1" w:lastRow="0" w:firstColumn="1" w:lastColumn="0" w:noHBand="0" w:noVBand="1"/>
        <w:tblCaption w:val="Responses by sector type"/>
      </w:tblPr>
      <w:tblGrid>
        <w:gridCol w:w="5103"/>
        <w:gridCol w:w="1843"/>
      </w:tblGrid>
      <w:tr w:rsidR="00BC2953" w:rsidRPr="00F507E2" w14:paraId="3F61F924" w14:textId="77777777" w:rsidTr="00030BC1">
        <w:trPr>
          <w:cnfStyle w:val="100000000000" w:firstRow="1" w:lastRow="0" w:firstColumn="0" w:lastColumn="0" w:oddVBand="0" w:evenVBand="0" w:oddHBand="0" w:evenHBand="0" w:firstRowFirstColumn="0" w:firstRowLastColumn="0" w:lastRowFirstColumn="0" w:lastRowLastColumn="0"/>
          <w:tblHeader/>
          <w:jc w:val="center"/>
        </w:trPr>
        <w:tc>
          <w:tcPr>
            <w:tcW w:w="5103" w:type="dxa"/>
          </w:tcPr>
          <w:p w14:paraId="23F2AE09" w14:textId="77777777" w:rsidR="00BC2953" w:rsidRPr="00137683" w:rsidRDefault="00BC2953" w:rsidP="00030BC1">
            <w:pPr>
              <w:rPr>
                <w:rFonts w:ascii="Arial" w:hAnsi="Arial" w:cs="Arial"/>
                <w:sz w:val="20"/>
              </w:rPr>
            </w:pPr>
            <w:r w:rsidRPr="00137683">
              <w:rPr>
                <w:rFonts w:ascii="Arial" w:hAnsi="Arial" w:cs="Arial"/>
                <w:sz w:val="20"/>
              </w:rPr>
              <w:t>Sector category</w:t>
            </w:r>
          </w:p>
        </w:tc>
        <w:tc>
          <w:tcPr>
            <w:tcW w:w="1843" w:type="dxa"/>
          </w:tcPr>
          <w:p w14:paraId="300B5FAB" w14:textId="77777777" w:rsidR="00BC2953" w:rsidRPr="00137683" w:rsidRDefault="00BC2953" w:rsidP="00030BC1">
            <w:pPr>
              <w:rPr>
                <w:rFonts w:ascii="Arial" w:hAnsi="Arial" w:cs="Arial"/>
                <w:sz w:val="20"/>
              </w:rPr>
            </w:pPr>
            <w:r w:rsidRPr="00137683">
              <w:rPr>
                <w:rFonts w:ascii="Arial" w:hAnsi="Arial" w:cs="Arial"/>
                <w:sz w:val="20"/>
              </w:rPr>
              <w:t>Number of submissions</w:t>
            </w:r>
          </w:p>
        </w:tc>
      </w:tr>
      <w:tr w:rsidR="00BC2953" w:rsidRPr="00F507E2" w14:paraId="7F45620F" w14:textId="77777777" w:rsidTr="00030BC1">
        <w:trPr>
          <w:jc w:val="center"/>
        </w:trPr>
        <w:tc>
          <w:tcPr>
            <w:tcW w:w="5103" w:type="dxa"/>
          </w:tcPr>
          <w:p w14:paraId="2C9FA1A3" w14:textId="77777777" w:rsidR="00BC2953" w:rsidRPr="00137683" w:rsidRDefault="00BC2953" w:rsidP="00030BC1">
            <w:pPr>
              <w:rPr>
                <w:rFonts w:ascii="Arial" w:hAnsi="Arial" w:cs="Arial"/>
                <w:sz w:val="20"/>
              </w:rPr>
            </w:pPr>
            <w:r w:rsidRPr="00137683">
              <w:rPr>
                <w:rFonts w:ascii="Arial" w:hAnsi="Arial" w:cs="Arial"/>
                <w:sz w:val="20"/>
              </w:rPr>
              <w:t>Health department or government agency</w:t>
            </w:r>
          </w:p>
        </w:tc>
        <w:tc>
          <w:tcPr>
            <w:tcW w:w="1843" w:type="dxa"/>
          </w:tcPr>
          <w:p w14:paraId="0308AF9A" w14:textId="77777777" w:rsidR="00BC2953" w:rsidRPr="00137683" w:rsidRDefault="00BC2953" w:rsidP="00030BC1">
            <w:pPr>
              <w:rPr>
                <w:rFonts w:ascii="Arial" w:hAnsi="Arial" w:cs="Arial"/>
                <w:sz w:val="20"/>
              </w:rPr>
            </w:pPr>
            <w:r w:rsidRPr="00137683">
              <w:rPr>
                <w:rFonts w:ascii="Arial" w:hAnsi="Arial" w:cs="Arial"/>
                <w:sz w:val="20"/>
              </w:rPr>
              <w:t>18</w:t>
            </w:r>
          </w:p>
        </w:tc>
      </w:tr>
      <w:tr w:rsidR="00BC2953" w:rsidRPr="00F507E2" w14:paraId="6C0DAC8F" w14:textId="77777777" w:rsidTr="00030BC1">
        <w:trPr>
          <w:jc w:val="center"/>
        </w:trPr>
        <w:tc>
          <w:tcPr>
            <w:tcW w:w="5103" w:type="dxa"/>
          </w:tcPr>
          <w:p w14:paraId="23CFE5B8" w14:textId="77777777" w:rsidR="00BC2953" w:rsidRPr="00137683" w:rsidRDefault="00BC2953" w:rsidP="00030BC1">
            <w:pPr>
              <w:rPr>
                <w:rFonts w:ascii="Arial" w:hAnsi="Arial" w:cs="Arial"/>
                <w:sz w:val="20"/>
              </w:rPr>
            </w:pPr>
            <w:r w:rsidRPr="00137683">
              <w:rPr>
                <w:rFonts w:ascii="Arial" w:hAnsi="Arial" w:cs="Arial"/>
                <w:sz w:val="20"/>
              </w:rPr>
              <w:t>Industry or member organisation</w:t>
            </w:r>
          </w:p>
        </w:tc>
        <w:tc>
          <w:tcPr>
            <w:tcW w:w="1843" w:type="dxa"/>
          </w:tcPr>
          <w:p w14:paraId="79AC8F98" w14:textId="77777777" w:rsidR="00BC2953" w:rsidRPr="00137683" w:rsidRDefault="00BC2953" w:rsidP="00030BC1">
            <w:pPr>
              <w:rPr>
                <w:rFonts w:ascii="Arial" w:hAnsi="Arial" w:cs="Arial"/>
                <w:sz w:val="20"/>
              </w:rPr>
            </w:pPr>
            <w:r w:rsidRPr="00137683">
              <w:rPr>
                <w:rFonts w:ascii="Arial" w:hAnsi="Arial" w:cs="Arial"/>
                <w:sz w:val="20"/>
              </w:rPr>
              <w:t>17</w:t>
            </w:r>
          </w:p>
        </w:tc>
      </w:tr>
      <w:tr w:rsidR="00BC2953" w:rsidRPr="00F507E2" w14:paraId="5D83FDD9" w14:textId="77777777" w:rsidTr="00030BC1">
        <w:trPr>
          <w:jc w:val="center"/>
        </w:trPr>
        <w:tc>
          <w:tcPr>
            <w:tcW w:w="5103" w:type="dxa"/>
          </w:tcPr>
          <w:p w14:paraId="63A1CAFB" w14:textId="77777777" w:rsidR="00BC2953" w:rsidRPr="00137683" w:rsidRDefault="00BC2953" w:rsidP="00030BC1">
            <w:pPr>
              <w:rPr>
                <w:rFonts w:ascii="Arial" w:hAnsi="Arial" w:cs="Arial"/>
                <w:sz w:val="20"/>
              </w:rPr>
            </w:pPr>
            <w:r w:rsidRPr="00137683">
              <w:rPr>
                <w:rFonts w:ascii="Arial" w:hAnsi="Arial" w:cs="Arial"/>
                <w:sz w:val="20"/>
              </w:rPr>
              <w:t>Local health network</w:t>
            </w:r>
          </w:p>
        </w:tc>
        <w:tc>
          <w:tcPr>
            <w:tcW w:w="1843" w:type="dxa"/>
          </w:tcPr>
          <w:p w14:paraId="50F4E1B7" w14:textId="77777777" w:rsidR="00BC2953" w:rsidRPr="00137683" w:rsidRDefault="00BC2953" w:rsidP="00030BC1">
            <w:pPr>
              <w:rPr>
                <w:rFonts w:ascii="Arial" w:hAnsi="Arial" w:cs="Arial"/>
                <w:sz w:val="20"/>
              </w:rPr>
            </w:pPr>
            <w:r w:rsidRPr="00137683">
              <w:rPr>
                <w:rFonts w:ascii="Arial" w:hAnsi="Arial" w:cs="Arial"/>
                <w:sz w:val="20"/>
              </w:rPr>
              <w:t>13</w:t>
            </w:r>
          </w:p>
        </w:tc>
      </w:tr>
      <w:tr w:rsidR="00BC2953" w:rsidRPr="00F507E2" w14:paraId="702C7D66" w14:textId="77777777" w:rsidTr="00030BC1">
        <w:trPr>
          <w:jc w:val="center"/>
        </w:trPr>
        <w:tc>
          <w:tcPr>
            <w:tcW w:w="5103" w:type="dxa"/>
          </w:tcPr>
          <w:p w14:paraId="2BAE5BE7" w14:textId="77777777" w:rsidR="00BC2953" w:rsidRPr="00137683" w:rsidRDefault="00BC2953" w:rsidP="00030BC1">
            <w:pPr>
              <w:rPr>
                <w:rFonts w:ascii="Arial" w:hAnsi="Arial" w:cs="Arial"/>
                <w:sz w:val="20"/>
              </w:rPr>
            </w:pPr>
            <w:r w:rsidRPr="00137683">
              <w:rPr>
                <w:rFonts w:ascii="Arial" w:hAnsi="Arial" w:cs="Arial"/>
                <w:sz w:val="20"/>
              </w:rPr>
              <w:t>Public health service organisation</w:t>
            </w:r>
          </w:p>
        </w:tc>
        <w:tc>
          <w:tcPr>
            <w:tcW w:w="1843" w:type="dxa"/>
          </w:tcPr>
          <w:p w14:paraId="5B08803D" w14:textId="77777777" w:rsidR="00BC2953" w:rsidRPr="00137683" w:rsidRDefault="00BC2953" w:rsidP="00030BC1">
            <w:pPr>
              <w:rPr>
                <w:rFonts w:ascii="Arial" w:hAnsi="Arial" w:cs="Arial"/>
                <w:sz w:val="20"/>
              </w:rPr>
            </w:pPr>
            <w:r w:rsidRPr="00137683">
              <w:rPr>
                <w:rFonts w:ascii="Arial" w:hAnsi="Arial" w:cs="Arial"/>
                <w:sz w:val="20"/>
              </w:rPr>
              <w:t>10</w:t>
            </w:r>
          </w:p>
        </w:tc>
      </w:tr>
      <w:tr w:rsidR="00BC2953" w:rsidRPr="00F507E2" w14:paraId="091EEFCC" w14:textId="77777777" w:rsidTr="00030BC1">
        <w:trPr>
          <w:jc w:val="center"/>
        </w:trPr>
        <w:tc>
          <w:tcPr>
            <w:tcW w:w="5103" w:type="dxa"/>
          </w:tcPr>
          <w:p w14:paraId="75D398B4" w14:textId="77777777" w:rsidR="00BC2953" w:rsidRPr="00137683" w:rsidRDefault="00BC2953" w:rsidP="00030BC1">
            <w:pPr>
              <w:rPr>
                <w:rFonts w:ascii="Arial" w:hAnsi="Arial" w:cs="Arial"/>
                <w:sz w:val="20"/>
              </w:rPr>
            </w:pPr>
            <w:r w:rsidRPr="00137683">
              <w:rPr>
                <w:rFonts w:ascii="Arial" w:hAnsi="Arial" w:cs="Arial"/>
                <w:sz w:val="20"/>
              </w:rPr>
              <w:t>Individual clinician</w:t>
            </w:r>
          </w:p>
        </w:tc>
        <w:tc>
          <w:tcPr>
            <w:tcW w:w="1843" w:type="dxa"/>
          </w:tcPr>
          <w:p w14:paraId="51962BE6" w14:textId="77777777" w:rsidR="00BC2953" w:rsidRPr="00137683" w:rsidRDefault="00BC2953" w:rsidP="00030BC1">
            <w:pPr>
              <w:rPr>
                <w:rFonts w:ascii="Arial" w:hAnsi="Arial" w:cs="Arial"/>
                <w:sz w:val="20"/>
              </w:rPr>
            </w:pPr>
            <w:r w:rsidRPr="00137683">
              <w:rPr>
                <w:rFonts w:ascii="Arial" w:hAnsi="Arial" w:cs="Arial"/>
                <w:sz w:val="20"/>
              </w:rPr>
              <w:t>8</w:t>
            </w:r>
          </w:p>
        </w:tc>
      </w:tr>
      <w:tr w:rsidR="00BC2953" w:rsidRPr="00F507E2" w14:paraId="747353F3" w14:textId="77777777" w:rsidTr="00030BC1">
        <w:trPr>
          <w:jc w:val="center"/>
        </w:trPr>
        <w:tc>
          <w:tcPr>
            <w:tcW w:w="5103" w:type="dxa"/>
          </w:tcPr>
          <w:p w14:paraId="02E22567" w14:textId="77777777" w:rsidR="00BC2953" w:rsidRPr="00137683" w:rsidRDefault="00BC2953" w:rsidP="00030BC1">
            <w:pPr>
              <w:rPr>
                <w:rFonts w:ascii="Arial" w:hAnsi="Arial" w:cs="Arial"/>
                <w:sz w:val="20"/>
              </w:rPr>
            </w:pPr>
            <w:r w:rsidRPr="00137683">
              <w:rPr>
                <w:rFonts w:ascii="Arial" w:hAnsi="Arial" w:cs="Arial"/>
                <w:sz w:val="20"/>
              </w:rPr>
              <w:t xml:space="preserve">Private health service organisation </w:t>
            </w:r>
          </w:p>
        </w:tc>
        <w:tc>
          <w:tcPr>
            <w:tcW w:w="1843" w:type="dxa"/>
          </w:tcPr>
          <w:p w14:paraId="38C18E0D" w14:textId="77777777" w:rsidR="00BC2953" w:rsidRPr="00137683" w:rsidRDefault="00BC2953" w:rsidP="00030BC1">
            <w:pPr>
              <w:rPr>
                <w:rFonts w:ascii="Arial" w:hAnsi="Arial" w:cs="Arial"/>
                <w:sz w:val="20"/>
              </w:rPr>
            </w:pPr>
            <w:r w:rsidRPr="00137683">
              <w:rPr>
                <w:rFonts w:ascii="Arial" w:hAnsi="Arial" w:cs="Arial"/>
                <w:sz w:val="20"/>
              </w:rPr>
              <w:t>6</w:t>
            </w:r>
          </w:p>
        </w:tc>
      </w:tr>
      <w:tr w:rsidR="00BC2953" w:rsidRPr="00F507E2" w14:paraId="79744D0C" w14:textId="77777777" w:rsidTr="00030BC1">
        <w:trPr>
          <w:jc w:val="center"/>
        </w:trPr>
        <w:tc>
          <w:tcPr>
            <w:tcW w:w="5103" w:type="dxa"/>
          </w:tcPr>
          <w:p w14:paraId="07689036" w14:textId="77777777" w:rsidR="00BC2953" w:rsidRPr="00137683" w:rsidRDefault="00BC2953" w:rsidP="00030BC1">
            <w:pPr>
              <w:rPr>
                <w:rFonts w:ascii="Arial" w:hAnsi="Arial" w:cs="Arial"/>
                <w:sz w:val="20"/>
              </w:rPr>
            </w:pPr>
            <w:r w:rsidRPr="00137683">
              <w:rPr>
                <w:rFonts w:ascii="Arial" w:hAnsi="Arial" w:cs="Arial"/>
                <w:sz w:val="20"/>
              </w:rPr>
              <w:t>Accrediting agency</w:t>
            </w:r>
          </w:p>
        </w:tc>
        <w:tc>
          <w:tcPr>
            <w:tcW w:w="1843" w:type="dxa"/>
          </w:tcPr>
          <w:p w14:paraId="51710FB4" w14:textId="77777777" w:rsidR="00BC2953" w:rsidRPr="00137683" w:rsidRDefault="00BC2953" w:rsidP="00030BC1">
            <w:pPr>
              <w:rPr>
                <w:rFonts w:ascii="Arial" w:hAnsi="Arial" w:cs="Arial"/>
                <w:sz w:val="20"/>
              </w:rPr>
            </w:pPr>
            <w:r w:rsidRPr="00137683">
              <w:rPr>
                <w:rFonts w:ascii="Arial" w:hAnsi="Arial" w:cs="Arial"/>
                <w:sz w:val="20"/>
              </w:rPr>
              <w:t>5</w:t>
            </w:r>
          </w:p>
        </w:tc>
      </w:tr>
      <w:tr w:rsidR="00BC2953" w:rsidRPr="00F507E2" w14:paraId="5F151526" w14:textId="77777777" w:rsidTr="00030BC1">
        <w:trPr>
          <w:jc w:val="center"/>
        </w:trPr>
        <w:tc>
          <w:tcPr>
            <w:tcW w:w="5103" w:type="dxa"/>
          </w:tcPr>
          <w:p w14:paraId="7DBCAB55" w14:textId="77777777" w:rsidR="00BC2953" w:rsidRPr="00137683" w:rsidRDefault="00BC2953" w:rsidP="00030BC1">
            <w:pPr>
              <w:rPr>
                <w:rFonts w:ascii="Arial" w:hAnsi="Arial" w:cs="Arial"/>
                <w:sz w:val="20"/>
              </w:rPr>
            </w:pPr>
            <w:r w:rsidRPr="00137683">
              <w:rPr>
                <w:rFonts w:ascii="Arial" w:hAnsi="Arial" w:cs="Arial"/>
                <w:sz w:val="20"/>
              </w:rPr>
              <w:t>Consumer</w:t>
            </w:r>
          </w:p>
        </w:tc>
        <w:tc>
          <w:tcPr>
            <w:tcW w:w="1843" w:type="dxa"/>
          </w:tcPr>
          <w:p w14:paraId="4A05E453" w14:textId="77777777" w:rsidR="00BC2953" w:rsidRPr="00137683" w:rsidRDefault="00BC2953" w:rsidP="00030BC1">
            <w:pPr>
              <w:rPr>
                <w:rFonts w:ascii="Arial" w:hAnsi="Arial" w:cs="Arial"/>
                <w:sz w:val="20"/>
              </w:rPr>
            </w:pPr>
            <w:r w:rsidRPr="00137683">
              <w:rPr>
                <w:rFonts w:ascii="Arial" w:hAnsi="Arial" w:cs="Arial"/>
                <w:sz w:val="20"/>
              </w:rPr>
              <w:t>4</w:t>
            </w:r>
          </w:p>
        </w:tc>
      </w:tr>
      <w:tr w:rsidR="00BC2953" w:rsidRPr="00F507E2" w14:paraId="4C3249A2" w14:textId="77777777" w:rsidTr="00030BC1">
        <w:trPr>
          <w:jc w:val="center"/>
        </w:trPr>
        <w:tc>
          <w:tcPr>
            <w:tcW w:w="5103" w:type="dxa"/>
          </w:tcPr>
          <w:p w14:paraId="46D93A35" w14:textId="77777777" w:rsidR="00BC2953" w:rsidRPr="00137683" w:rsidRDefault="00BC2953" w:rsidP="00030BC1">
            <w:pPr>
              <w:rPr>
                <w:rFonts w:ascii="Arial" w:hAnsi="Arial" w:cs="Arial"/>
                <w:sz w:val="20"/>
              </w:rPr>
            </w:pPr>
            <w:r w:rsidRPr="00137683">
              <w:rPr>
                <w:rFonts w:ascii="Arial" w:hAnsi="Arial" w:cs="Arial"/>
                <w:sz w:val="20"/>
              </w:rPr>
              <w:t>Education or research organisation</w:t>
            </w:r>
          </w:p>
        </w:tc>
        <w:tc>
          <w:tcPr>
            <w:tcW w:w="1843" w:type="dxa"/>
          </w:tcPr>
          <w:p w14:paraId="169AD035" w14:textId="77777777" w:rsidR="00BC2953" w:rsidRPr="00137683" w:rsidRDefault="00BC2953" w:rsidP="00030BC1">
            <w:pPr>
              <w:rPr>
                <w:rFonts w:ascii="Arial" w:hAnsi="Arial" w:cs="Arial"/>
                <w:sz w:val="20"/>
              </w:rPr>
            </w:pPr>
            <w:r w:rsidRPr="00137683">
              <w:rPr>
                <w:rFonts w:ascii="Arial" w:hAnsi="Arial" w:cs="Arial"/>
                <w:sz w:val="20"/>
              </w:rPr>
              <w:t>2</w:t>
            </w:r>
          </w:p>
        </w:tc>
      </w:tr>
      <w:tr w:rsidR="00BC2953" w:rsidRPr="00F507E2" w14:paraId="5EA6C3D3" w14:textId="77777777" w:rsidTr="00030BC1">
        <w:trPr>
          <w:jc w:val="center"/>
        </w:trPr>
        <w:tc>
          <w:tcPr>
            <w:tcW w:w="5103" w:type="dxa"/>
          </w:tcPr>
          <w:p w14:paraId="403FB786" w14:textId="77777777" w:rsidR="00BC2953" w:rsidRPr="00137683" w:rsidRDefault="00BC2953" w:rsidP="00030BC1">
            <w:pPr>
              <w:rPr>
                <w:rFonts w:ascii="Arial" w:hAnsi="Arial" w:cs="Arial"/>
                <w:sz w:val="20"/>
              </w:rPr>
            </w:pPr>
            <w:r w:rsidRPr="00137683">
              <w:rPr>
                <w:rFonts w:ascii="Arial" w:hAnsi="Arial" w:cs="Arial"/>
                <w:sz w:val="20"/>
              </w:rPr>
              <w:t>Total</w:t>
            </w:r>
          </w:p>
        </w:tc>
        <w:tc>
          <w:tcPr>
            <w:tcW w:w="1843" w:type="dxa"/>
          </w:tcPr>
          <w:p w14:paraId="67706A31" w14:textId="77777777" w:rsidR="00BC2953" w:rsidRPr="00137683" w:rsidRDefault="00BC2953" w:rsidP="00030BC1">
            <w:pPr>
              <w:rPr>
                <w:rFonts w:ascii="Arial" w:hAnsi="Arial" w:cs="Arial"/>
                <w:sz w:val="20"/>
              </w:rPr>
            </w:pPr>
            <w:r w:rsidRPr="00137683">
              <w:rPr>
                <w:rFonts w:ascii="Arial" w:hAnsi="Arial" w:cs="Arial"/>
                <w:sz w:val="20"/>
              </w:rPr>
              <w:t>83</w:t>
            </w:r>
          </w:p>
        </w:tc>
      </w:tr>
    </w:tbl>
    <w:p w14:paraId="3EB35051" w14:textId="77777777" w:rsidR="00BC2953" w:rsidRDefault="00BC2953" w:rsidP="00BC2953">
      <w:pPr>
        <w:pStyle w:val="Normal2"/>
      </w:pPr>
    </w:p>
    <w:p w14:paraId="001D0507" w14:textId="77777777" w:rsidR="00BC2953" w:rsidRPr="000535AA" w:rsidRDefault="00BC2953" w:rsidP="00BC2953">
      <w:pPr>
        <w:pStyle w:val="Caption"/>
        <w:rPr>
          <w:lang w:eastAsia="en-US"/>
        </w:rPr>
      </w:pPr>
      <w:r w:rsidRPr="000535AA">
        <w:t xml:space="preserve">Table </w:t>
      </w:r>
      <w:fldSimple w:instr=" SEQ Table \* ARABIC ">
        <w:r w:rsidR="0068597B">
          <w:rPr>
            <w:noProof/>
          </w:rPr>
          <w:t>2</w:t>
        </w:r>
      </w:fldSimple>
      <w:r w:rsidRPr="000535AA">
        <w:t>: Number of responses by jurisdiction and type of response</w:t>
      </w:r>
    </w:p>
    <w:tbl>
      <w:tblPr>
        <w:tblStyle w:val="TableGrid"/>
        <w:tblW w:w="0" w:type="auto"/>
        <w:jc w:val="center"/>
        <w:tblLook w:val="04A0" w:firstRow="1" w:lastRow="0" w:firstColumn="1" w:lastColumn="0" w:noHBand="0" w:noVBand="1"/>
        <w:tblCaption w:val="Number of responses by jurisdiction and type of response"/>
      </w:tblPr>
      <w:tblGrid>
        <w:gridCol w:w="1848"/>
        <w:gridCol w:w="1701"/>
        <w:gridCol w:w="1701"/>
        <w:gridCol w:w="1701"/>
        <w:gridCol w:w="1701"/>
      </w:tblGrid>
      <w:tr w:rsidR="00BC2953" w:rsidRPr="00137683" w14:paraId="77627A07" w14:textId="77777777" w:rsidTr="00030BC1">
        <w:trPr>
          <w:cnfStyle w:val="100000000000" w:firstRow="1" w:lastRow="0" w:firstColumn="0" w:lastColumn="0" w:oddVBand="0" w:evenVBand="0" w:oddHBand="0" w:evenHBand="0" w:firstRowFirstColumn="0" w:firstRowLastColumn="0" w:lastRowFirstColumn="0" w:lastRowLastColumn="0"/>
          <w:tblHeader/>
          <w:jc w:val="center"/>
        </w:trPr>
        <w:tc>
          <w:tcPr>
            <w:tcW w:w="1848" w:type="dxa"/>
          </w:tcPr>
          <w:p w14:paraId="74568999" w14:textId="77777777" w:rsidR="00BC2953" w:rsidRPr="00137683" w:rsidRDefault="00BC2953" w:rsidP="00030BC1">
            <w:pPr>
              <w:rPr>
                <w:rFonts w:ascii="Arial" w:hAnsi="Arial" w:cs="Arial"/>
                <w:sz w:val="20"/>
              </w:rPr>
            </w:pPr>
            <w:r w:rsidRPr="00137683">
              <w:rPr>
                <w:rFonts w:ascii="Arial" w:hAnsi="Arial" w:cs="Arial"/>
                <w:sz w:val="20"/>
              </w:rPr>
              <w:t>Jurisdiction</w:t>
            </w:r>
          </w:p>
        </w:tc>
        <w:tc>
          <w:tcPr>
            <w:tcW w:w="1701" w:type="dxa"/>
          </w:tcPr>
          <w:p w14:paraId="36E9AB4B" w14:textId="77777777" w:rsidR="00BC2953" w:rsidRPr="00137683" w:rsidRDefault="00BC2953" w:rsidP="00030BC1">
            <w:pPr>
              <w:rPr>
                <w:rFonts w:ascii="Arial" w:hAnsi="Arial" w:cs="Arial"/>
                <w:sz w:val="20"/>
              </w:rPr>
            </w:pPr>
            <w:r w:rsidRPr="00137683">
              <w:rPr>
                <w:rFonts w:ascii="Arial" w:hAnsi="Arial" w:cs="Arial"/>
                <w:sz w:val="20"/>
              </w:rPr>
              <w:t>RIS only</w:t>
            </w:r>
          </w:p>
        </w:tc>
        <w:tc>
          <w:tcPr>
            <w:tcW w:w="1701" w:type="dxa"/>
          </w:tcPr>
          <w:p w14:paraId="3D5D3616" w14:textId="77777777" w:rsidR="00BC2953" w:rsidRPr="00137683" w:rsidRDefault="00BC2953" w:rsidP="00030BC1">
            <w:pPr>
              <w:rPr>
                <w:rFonts w:ascii="Arial" w:hAnsi="Arial" w:cs="Arial"/>
                <w:sz w:val="20"/>
              </w:rPr>
            </w:pPr>
            <w:r w:rsidRPr="00137683">
              <w:rPr>
                <w:rFonts w:ascii="Arial" w:hAnsi="Arial" w:cs="Arial"/>
                <w:sz w:val="20"/>
              </w:rPr>
              <w:t>Version 2 only</w:t>
            </w:r>
          </w:p>
        </w:tc>
        <w:tc>
          <w:tcPr>
            <w:tcW w:w="1701" w:type="dxa"/>
          </w:tcPr>
          <w:p w14:paraId="3BF0BBAA" w14:textId="77777777" w:rsidR="00BC2953" w:rsidRPr="00137683" w:rsidRDefault="00BC2953" w:rsidP="00030BC1">
            <w:pPr>
              <w:rPr>
                <w:rFonts w:ascii="Arial" w:hAnsi="Arial" w:cs="Arial"/>
                <w:sz w:val="20"/>
              </w:rPr>
            </w:pPr>
            <w:r w:rsidRPr="00137683">
              <w:rPr>
                <w:rFonts w:ascii="Arial" w:hAnsi="Arial" w:cs="Arial"/>
                <w:sz w:val="20"/>
              </w:rPr>
              <w:t>RIS and V2</w:t>
            </w:r>
          </w:p>
        </w:tc>
        <w:tc>
          <w:tcPr>
            <w:tcW w:w="1701" w:type="dxa"/>
          </w:tcPr>
          <w:p w14:paraId="1D5C4226" w14:textId="77777777" w:rsidR="00BC2953" w:rsidRPr="00137683" w:rsidRDefault="00BC2953" w:rsidP="00030BC1">
            <w:pPr>
              <w:rPr>
                <w:rFonts w:ascii="Arial" w:hAnsi="Arial" w:cs="Arial"/>
                <w:sz w:val="20"/>
              </w:rPr>
            </w:pPr>
            <w:r w:rsidRPr="00137683">
              <w:rPr>
                <w:rFonts w:ascii="Arial" w:hAnsi="Arial" w:cs="Arial"/>
                <w:sz w:val="20"/>
              </w:rPr>
              <w:t>Total</w:t>
            </w:r>
          </w:p>
        </w:tc>
      </w:tr>
      <w:tr w:rsidR="00BC2953" w:rsidRPr="00137683" w14:paraId="295E7892" w14:textId="77777777" w:rsidTr="00030BC1">
        <w:trPr>
          <w:jc w:val="center"/>
        </w:trPr>
        <w:tc>
          <w:tcPr>
            <w:tcW w:w="1848" w:type="dxa"/>
          </w:tcPr>
          <w:p w14:paraId="17F050A9" w14:textId="77777777" w:rsidR="00BC2953" w:rsidRPr="00137683" w:rsidRDefault="00BC2953" w:rsidP="00030BC1">
            <w:pPr>
              <w:rPr>
                <w:rFonts w:ascii="Arial" w:hAnsi="Arial" w:cs="Arial"/>
                <w:sz w:val="20"/>
              </w:rPr>
            </w:pPr>
            <w:r w:rsidRPr="00137683">
              <w:rPr>
                <w:rFonts w:ascii="Arial" w:hAnsi="Arial" w:cs="Arial"/>
                <w:sz w:val="20"/>
              </w:rPr>
              <w:t>ACT</w:t>
            </w:r>
          </w:p>
        </w:tc>
        <w:tc>
          <w:tcPr>
            <w:tcW w:w="1701" w:type="dxa"/>
          </w:tcPr>
          <w:p w14:paraId="79532F72"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07501045"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258CD141"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26446835" w14:textId="77777777" w:rsidR="00BC2953" w:rsidRPr="00137683" w:rsidRDefault="00BC2953" w:rsidP="00030BC1">
            <w:pPr>
              <w:rPr>
                <w:rFonts w:ascii="Arial" w:hAnsi="Arial" w:cs="Arial"/>
                <w:sz w:val="20"/>
              </w:rPr>
            </w:pPr>
            <w:r w:rsidRPr="00137683">
              <w:rPr>
                <w:rFonts w:ascii="Arial" w:hAnsi="Arial" w:cs="Arial"/>
                <w:sz w:val="20"/>
              </w:rPr>
              <w:t>0</w:t>
            </w:r>
          </w:p>
        </w:tc>
      </w:tr>
      <w:tr w:rsidR="00BC2953" w:rsidRPr="00137683" w14:paraId="66592EE9" w14:textId="77777777" w:rsidTr="00030BC1">
        <w:trPr>
          <w:jc w:val="center"/>
        </w:trPr>
        <w:tc>
          <w:tcPr>
            <w:tcW w:w="1848" w:type="dxa"/>
          </w:tcPr>
          <w:p w14:paraId="28443F2C" w14:textId="77777777" w:rsidR="00BC2953" w:rsidRPr="00137683" w:rsidRDefault="00BC2953" w:rsidP="00030BC1">
            <w:pPr>
              <w:rPr>
                <w:rFonts w:ascii="Arial" w:hAnsi="Arial" w:cs="Arial"/>
                <w:sz w:val="20"/>
              </w:rPr>
            </w:pPr>
            <w:r w:rsidRPr="00137683">
              <w:rPr>
                <w:rFonts w:ascii="Arial" w:hAnsi="Arial" w:cs="Arial"/>
                <w:sz w:val="20"/>
              </w:rPr>
              <w:t>NSW</w:t>
            </w:r>
          </w:p>
        </w:tc>
        <w:tc>
          <w:tcPr>
            <w:tcW w:w="1701" w:type="dxa"/>
          </w:tcPr>
          <w:p w14:paraId="5D38556C" w14:textId="77777777" w:rsidR="00BC2953" w:rsidRPr="00137683" w:rsidRDefault="00BC2953" w:rsidP="00030BC1">
            <w:pPr>
              <w:rPr>
                <w:rFonts w:ascii="Arial" w:hAnsi="Arial" w:cs="Arial"/>
                <w:sz w:val="20"/>
              </w:rPr>
            </w:pPr>
            <w:r w:rsidRPr="00137683">
              <w:rPr>
                <w:rFonts w:ascii="Arial" w:hAnsi="Arial" w:cs="Arial"/>
                <w:sz w:val="20"/>
              </w:rPr>
              <w:t>8</w:t>
            </w:r>
          </w:p>
        </w:tc>
        <w:tc>
          <w:tcPr>
            <w:tcW w:w="1701" w:type="dxa"/>
          </w:tcPr>
          <w:p w14:paraId="5531F34A" w14:textId="77777777" w:rsidR="00BC2953" w:rsidRPr="00137683" w:rsidRDefault="00BC2953" w:rsidP="00030BC1">
            <w:pPr>
              <w:rPr>
                <w:rFonts w:ascii="Arial" w:hAnsi="Arial" w:cs="Arial"/>
                <w:sz w:val="20"/>
              </w:rPr>
            </w:pPr>
            <w:r w:rsidRPr="00137683">
              <w:rPr>
                <w:rFonts w:ascii="Arial" w:hAnsi="Arial" w:cs="Arial"/>
                <w:sz w:val="20"/>
              </w:rPr>
              <w:t>5</w:t>
            </w:r>
          </w:p>
        </w:tc>
        <w:tc>
          <w:tcPr>
            <w:tcW w:w="1701" w:type="dxa"/>
          </w:tcPr>
          <w:p w14:paraId="784F3CAA"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12D73D59" w14:textId="77777777" w:rsidR="00BC2953" w:rsidRPr="00137683" w:rsidRDefault="00BC2953" w:rsidP="00030BC1">
            <w:pPr>
              <w:rPr>
                <w:rFonts w:ascii="Arial" w:hAnsi="Arial" w:cs="Arial"/>
                <w:sz w:val="20"/>
              </w:rPr>
            </w:pPr>
            <w:r w:rsidRPr="00137683">
              <w:rPr>
                <w:rFonts w:ascii="Arial" w:hAnsi="Arial" w:cs="Arial"/>
                <w:sz w:val="20"/>
              </w:rPr>
              <w:t>14</w:t>
            </w:r>
          </w:p>
        </w:tc>
      </w:tr>
      <w:tr w:rsidR="00BC2953" w:rsidRPr="00137683" w14:paraId="7D28064C" w14:textId="77777777" w:rsidTr="00030BC1">
        <w:trPr>
          <w:jc w:val="center"/>
        </w:trPr>
        <w:tc>
          <w:tcPr>
            <w:tcW w:w="1848" w:type="dxa"/>
          </w:tcPr>
          <w:p w14:paraId="0669879A" w14:textId="77777777" w:rsidR="00BC2953" w:rsidRPr="00137683" w:rsidRDefault="00BC2953" w:rsidP="00030BC1">
            <w:pPr>
              <w:rPr>
                <w:rFonts w:ascii="Arial" w:hAnsi="Arial" w:cs="Arial"/>
                <w:sz w:val="20"/>
              </w:rPr>
            </w:pPr>
            <w:r w:rsidRPr="00137683">
              <w:rPr>
                <w:rFonts w:ascii="Arial" w:hAnsi="Arial" w:cs="Arial"/>
                <w:sz w:val="20"/>
              </w:rPr>
              <w:t>NT</w:t>
            </w:r>
          </w:p>
        </w:tc>
        <w:tc>
          <w:tcPr>
            <w:tcW w:w="1701" w:type="dxa"/>
          </w:tcPr>
          <w:p w14:paraId="1983C217"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6EB9A719"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634C5381"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022C6B96" w14:textId="77777777" w:rsidR="00BC2953" w:rsidRPr="00137683" w:rsidRDefault="00BC2953" w:rsidP="00030BC1">
            <w:pPr>
              <w:rPr>
                <w:rFonts w:ascii="Arial" w:hAnsi="Arial" w:cs="Arial"/>
                <w:sz w:val="20"/>
              </w:rPr>
            </w:pPr>
            <w:r w:rsidRPr="00137683">
              <w:rPr>
                <w:rFonts w:ascii="Arial" w:hAnsi="Arial" w:cs="Arial"/>
                <w:sz w:val="20"/>
              </w:rPr>
              <w:t>1</w:t>
            </w:r>
          </w:p>
        </w:tc>
      </w:tr>
      <w:tr w:rsidR="00BC2953" w:rsidRPr="00137683" w14:paraId="74C944FF" w14:textId="77777777" w:rsidTr="00030BC1">
        <w:trPr>
          <w:jc w:val="center"/>
        </w:trPr>
        <w:tc>
          <w:tcPr>
            <w:tcW w:w="1848" w:type="dxa"/>
          </w:tcPr>
          <w:p w14:paraId="03868348" w14:textId="77777777" w:rsidR="00BC2953" w:rsidRPr="00137683" w:rsidRDefault="00BC2953" w:rsidP="00030BC1">
            <w:pPr>
              <w:rPr>
                <w:rFonts w:ascii="Arial" w:hAnsi="Arial" w:cs="Arial"/>
                <w:sz w:val="20"/>
              </w:rPr>
            </w:pPr>
            <w:r w:rsidRPr="00137683">
              <w:rPr>
                <w:rFonts w:ascii="Arial" w:hAnsi="Arial" w:cs="Arial"/>
                <w:sz w:val="20"/>
              </w:rPr>
              <w:t>QLD</w:t>
            </w:r>
          </w:p>
        </w:tc>
        <w:tc>
          <w:tcPr>
            <w:tcW w:w="1701" w:type="dxa"/>
          </w:tcPr>
          <w:p w14:paraId="5A671A53" w14:textId="77777777" w:rsidR="00BC2953" w:rsidRPr="00137683" w:rsidRDefault="00BC2953" w:rsidP="00030BC1">
            <w:pPr>
              <w:rPr>
                <w:rFonts w:ascii="Arial" w:hAnsi="Arial" w:cs="Arial"/>
                <w:sz w:val="20"/>
              </w:rPr>
            </w:pPr>
            <w:r w:rsidRPr="00137683">
              <w:rPr>
                <w:rFonts w:ascii="Arial" w:hAnsi="Arial" w:cs="Arial"/>
                <w:sz w:val="20"/>
              </w:rPr>
              <w:t>2</w:t>
            </w:r>
          </w:p>
        </w:tc>
        <w:tc>
          <w:tcPr>
            <w:tcW w:w="1701" w:type="dxa"/>
          </w:tcPr>
          <w:p w14:paraId="4069D2B2"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36C4C9C3"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367D022D" w14:textId="77777777" w:rsidR="00BC2953" w:rsidRPr="00137683" w:rsidRDefault="00BC2953" w:rsidP="00030BC1">
            <w:pPr>
              <w:rPr>
                <w:rFonts w:ascii="Arial" w:hAnsi="Arial" w:cs="Arial"/>
                <w:sz w:val="20"/>
              </w:rPr>
            </w:pPr>
            <w:r w:rsidRPr="00137683">
              <w:rPr>
                <w:rFonts w:ascii="Arial" w:hAnsi="Arial" w:cs="Arial"/>
                <w:sz w:val="20"/>
              </w:rPr>
              <w:t>4</w:t>
            </w:r>
          </w:p>
        </w:tc>
      </w:tr>
      <w:tr w:rsidR="00BC2953" w:rsidRPr="00137683" w14:paraId="0830A27E" w14:textId="77777777" w:rsidTr="00030BC1">
        <w:trPr>
          <w:jc w:val="center"/>
        </w:trPr>
        <w:tc>
          <w:tcPr>
            <w:tcW w:w="1848" w:type="dxa"/>
          </w:tcPr>
          <w:p w14:paraId="6868E3DE" w14:textId="77777777" w:rsidR="00BC2953" w:rsidRPr="00137683" w:rsidRDefault="00BC2953" w:rsidP="00030BC1">
            <w:pPr>
              <w:rPr>
                <w:rFonts w:ascii="Arial" w:hAnsi="Arial" w:cs="Arial"/>
                <w:sz w:val="20"/>
              </w:rPr>
            </w:pPr>
            <w:r w:rsidRPr="00137683">
              <w:rPr>
                <w:rFonts w:ascii="Arial" w:hAnsi="Arial" w:cs="Arial"/>
                <w:sz w:val="20"/>
              </w:rPr>
              <w:t>SA</w:t>
            </w:r>
          </w:p>
        </w:tc>
        <w:tc>
          <w:tcPr>
            <w:tcW w:w="1701" w:type="dxa"/>
          </w:tcPr>
          <w:p w14:paraId="1AFAB7F5" w14:textId="77777777" w:rsidR="00BC2953" w:rsidRPr="00137683" w:rsidRDefault="00BC2953" w:rsidP="00030BC1">
            <w:pPr>
              <w:rPr>
                <w:rFonts w:ascii="Arial" w:hAnsi="Arial" w:cs="Arial"/>
                <w:sz w:val="20"/>
              </w:rPr>
            </w:pPr>
            <w:r w:rsidRPr="00137683">
              <w:rPr>
                <w:rFonts w:ascii="Arial" w:hAnsi="Arial" w:cs="Arial"/>
                <w:sz w:val="20"/>
              </w:rPr>
              <w:t>2</w:t>
            </w:r>
          </w:p>
        </w:tc>
        <w:tc>
          <w:tcPr>
            <w:tcW w:w="1701" w:type="dxa"/>
          </w:tcPr>
          <w:p w14:paraId="1F6FF298"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24BA7ABA"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2102EC51" w14:textId="77777777" w:rsidR="00BC2953" w:rsidRPr="00137683" w:rsidRDefault="00BC2953" w:rsidP="00030BC1">
            <w:pPr>
              <w:rPr>
                <w:rFonts w:ascii="Arial" w:hAnsi="Arial" w:cs="Arial"/>
                <w:sz w:val="20"/>
              </w:rPr>
            </w:pPr>
            <w:r w:rsidRPr="00137683">
              <w:rPr>
                <w:rFonts w:ascii="Arial" w:hAnsi="Arial" w:cs="Arial"/>
                <w:sz w:val="20"/>
              </w:rPr>
              <w:t>3</w:t>
            </w:r>
          </w:p>
        </w:tc>
      </w:tr>
      <w:tr w:rsidR="00BC2953" w:rsidRPr="00137683" w14:paraId="56CC30EE" w14:textId="77777777" w:rsidTr="00030BC1">
        <w:trPr>
          <w:jc w:val="center"/>
        </w:trPr>
        <w:tc>
          <w:tcPr>
            <w:tcW w:w="1848" w:type="dxa"/>
          </w:tcPr>
          <w:p w14:paraId="4CD65EB1" w14:textId="77777777" w:rsidR="00BC2953" w:rsidRPr="00137683" w:rsidRDefault="00BC2953" w:rsidP="00030BC1">
            <w:pPr>
              <w:rPr>
                <w:rFonts w:ascii="Arial" w:hAnsi="Arial" w:cs="Arial"/>
                <w:sz w:val="20"/>
              </w:rPr>
            </w:pPr>
            <w:r w:rsidRPr="00137683">
              <w:rPr>
                <w:rFonts w:ascii="Arial" w:hAnsi="Arial" w:cs="Arial"/>
                <w:sz w:val="20"/>
              </w:rPr>
              <w:t>TAS</w:t>
            </w:r>
          </w:p>
        </w:tc>
        <w:tc>
          <w:tcPr>
            <w:tcW w:w="1701" w:type="dxa"/>
          </w:tcPr>
          <w:p w14:paraId="56FB7880"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084ABC4A"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36262B0A"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714DF566" w14:textId="77777777" w:rsidR="00BC2953" w:rsidRPr="00137683" w:rsidRDefault="00BC2953" w:rsidP="00030BC1">
            <w:pPr>
              <w:rPr>
                <w:rFonts w:ascii="Arial" w:hAnsi="Arial" w:cs="Arial"/>
                <w:sz w:val="20"/>
              </w:rPr>
            </w:pPr>
            <w:r w:rsidRPr="00137683">
              <w:rPr>
                <w:rFonts w:ascii="Arial" w:hAnsi="Arial" w:cs="Arial"/>
                <w:sz w:val="20"/>
              </w:rPr>
              <w:t>1</w:t>
            </w:r>
          </w:p>
        </w:tc>
      </w:tr>
      <w:tr w:rsidR="00BC2953" w:rsidRPr="00137683" w14:paraId="15668E63" w14:textId="77777777" w:rsidTr="00030BC1">
        <w:trPr>
          <w:jc w:val="center"/>
        </w:trPr>
        <w:tc>
          <w:tcPr>
            <w:tcW w:w="1848" w:type="dxa"/>
          </w:tcPr>
          <w:p w14:paraId="727E036F" w14:textId="77777777" w:rsidR="00BC2953" w:rsidRPr="00137683" w:rsidRDefault="00BC2953" w:rsidP="00030BC1">
            <w:pPr>
              <w:rPr>
                <w:rFonts w:ascii="Arial" w:hAnsi="Arial" w:cs="Arial"/>
                <w:sz w:val="20"/>
              </w:rPr>
            </w:pPr>
            <w:r w:rsidRPr="00137683">
              <w:rPr>
                <w:rFonts w:ascii="Arial" w:hAnsi="Arial" w:cs="Arial"/>
                <w:sz w:val="20"/>
              </w:rPr>
              <w:t>Victoria</w:t>
            </w:r>
          </w:p>
        </w:tc>
        <w:tc>
          <w:tcPr>
            <w:tcW w:w="1701" w:type="dxa"/>
          </w:tcPr>
          <w:p w14:paraId="6756A585" w14:textId="77777777" w:rsidR="00BC2953" w:rsidRPr="00137683" w:rsidRDefault="00BC2953" w:rsidP="00030BC1">
            <w:pPr>
              <w:rPr>
                <w:rFonts w:ascii="Arial" w:hAnsi="Arial" w:cs="Arial"/>
                <w:sz w:val="20"/>
              </w:rPr>
            </w:pPr>
            <w:r w:rsidRPr="00137683">
              <w:rPr>
                <w:rFonts w:ascii="Arial" w:hAnsi="Arial" w:cs="Arial"/>
                <w:sz w:val="20"/>
              </w:rPr>
              <w:t>11</w:t>
            </w:r>
          </w:p>
        </w:tc>
        <w:tc>
          <w:tcPr>
            <w:tcW w:w="1701" w:type="dxa"/>
          </w:tcPr>
          <w:p w14:paraId="0218C440"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0B2D7211" w14:textId="77777777" w:rsidR="00BC2953" w:rsidRPr="00137683" w:rsidRDefault="00BC2953" w:rsidP="00030BC1">
            <w:pPr>
              <w:rPr>
                <w:rFonts w:ascii="Arial" w:hAnsi="Arial" w:cs="Arial"/>
                <w:sz w:val="20"/>
              </w:rPr>
            </w:pPr>
            <w:r w:rsidRPr="00137683">
              <w:rPr>
                <w:rFonts w:ascii="Arial" w:hAnsi="Arial" w:cs="Arial"/>
                <w:sz w:val="20"/>
              </w:rPr>
              <w:t>2</w:t>
            </w:r>
          </w:p>
        </w:tc>
        <w:tc>
          <w:tcPr>
            <w:tcW w:w="1701" w:type="dxa"/>
          </w:tcPr>
          <w:p w14:paraId="697DAD19" w14:textId="77777777" w:rsidR="00BC2953" w:rsidRPr="00137683" w:rsidRDefault="00BC2953" w:rsidP="00030BC1">
            <w:pPr>
              <w:rPr>
                <w:rFonts w:ascii="Arial" w:hAnsi="Arial" w:cs="Arial"/>
                <w:sz w:val="20"/>
              </w:rPr>
            </w:pPr>
            <w:r w:rsidRPr="00137683">
              <w:rPr>
                <w:rFonts w:ascii="Arial" w:hAnsi="Arial" w:cs="Arial"/>
                <w:sz w:val="20"/>
              </w:rPr>
              <w:t>14</w:t>
            </w:r>
          </w:p>
        </w:tc>
      </w:tr>
      <w:tr w:rsidR="00BC2953" w:rsidRPr="00137683" w14:paraId="2AB6AA2D" w14:textId="77777777" w:rsidTr="00030BC1">
        <w:trPr>
          <w:jc w:val="center"/>
        </w:trPr>
        <w:tc>
          <w:tcPr>
            <w:tcW w:w="1848" w:type="dxa"/>
          </w:tcPr>
          <w:p w14:paraId="1A712F41" w14:textId="77777777" w:rsidR="00BC2953" w:rsidRPr="00137683" w:rsidRDefault="00BC2953" w:rsidP="00030BC1">
            <w:pPr>
              <w:rPr>
                <w:rFonts w:ascii="Arial" w:hAnsi="Arial" w:cs="Arial"/>
                <w:sz w:val="20"/>
              </w:rPr>
            </w:pPr>
            <w:r w:rsidRPr="00137683">
              <w:rPr>
                <w:rFonts w:ascii="Arial" w:hAnsi="Arial" w:cs="Arial"/>
                <w:sz w:val="20"/>
              </w:rPr>
              <w:t>WA</w:t>
            </w:r>
          </w:p>
        </w:tc>
        <w:tc>
          <w:tcPr>
            <w:tcW w:w="1701" w:type="dxa"/>
          </w:tcPr>
          <w:p w14:paraId="032E8870" w14:textId="77777777" w:rsidR="00BC2953" w:rsidRPr="00137683" w:rsidRDefault="00BC2953" w:rsidP="00030BC1">
            <w:pPr>
              <w:rPr>
                <w:rFonts w:ascii="Arial" w:hAnsi="Arial" w:cs="Arial"/>
                <w:sz w:val="20"/>
              </w:rPr>
            </w:pPr>
            <w:r w:rsidRPr="00137683">
              <w:rPr>
                <w:rFonts w:ascii="Arial" w:hAnsi="Arial" w:cs="Arial"/>
                <w:sz w:val="20"/>
              </w:rPr>
              <w:t>6</w:t>
            </w:r>
          </w:p>
        </w:tc>
        <w:tc>
          <w:tcPr>
            <w:tcW w:w="1701" w:type="dxa"/>
          </w:tcPr>
          <w:p w14:paraId="2B34F087" w14:textId="77777777" w:rsidR="00BC2953" w:rsidRPr="00137683" w:rsidRDefault="00BC2953" w:rsidP="00030BC1">
            <w:pPr>
              <w:rPr>
                <w:rFonts w:ascii="Arial" w:hAnsi="Arial" w:cs="Arial"/>
                <w:sz w:val="20"/>
              </w:rPr>
            </w:pPr>
            <w:r w:rsidRPr="00137683">
              <w:rPr>
                <w:rFonts w:ascii="Arial" w:hAnsi="Arial" w:cs="Arial"/>
                <w:sz w:val="20"/>
              </w:rPr>
              <w:t>3</w:t>
            </w:r>
          </w:p>
        </w:tc>
        <w:tc>
          <w:tcPr>
            <w:tcW w:w="1701" w:type="dxa"/>
          </w:tcPr>
          <w:p w14:paraId="28FC3B98"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6F870ACF" w14:textId="77777777" w:rsidR="00BC2953" w:rsidRPr="00137683" w:rsidRDefault="00BC2953" w:rsidP="00030BC1">
            <w:pPr>
              <w:rPr>
                <w:rFonts w:ascii="Arial" w:hAnsi="Arial" w:cs="Arial"/>
                <w:sz w:val="20"/>
              </w:rPr>
            </w:pPr>
            <w:r w:rsidRPr="00137683">
              <w:rPr>
                <w:rFonts w:ascii="Arial" w:hAnsi="Arial" w:cs="Arial"/>
                <w:sz w:val="20"/>
              </w:rPr>
              <w:t>9</w:t>
            </w:r>
          </w:p>
        </w:tc>
      </w:tr>
      <w:tr w:rsidR="00BC2953" w:rsidRPr="00137683" w14:paraId="162FD706" w14:textId="77777777" w:rsidTr="00030BC1">
        <w:trPr>
          <w:jc w:val="center"/>
        </w:trPr>
        <w:tc>
          <w:tcPr>
            <w:tcW w:w="1848" w:type="dxa"/>
          </w:tcPr>
          <w:p w14:paraId="3CAB474E" w14:textId="77777777" w:rsidR="00BC2953" w:rsidRPr="00137683" w:rsidRDefault="00BC2953" w:rsidP="00030BC1">
            <w:pPr>
              <w:rPr>
                <w:rFonts w:ascii="Arial" w:hAnsi="Arial" w:cs="Arial"/>
                <w:sz w:val="20"/>
              </w:rPr>
            </w:pPr>
            <w:r w:rsidRPr="00137683">
              <w:rPr>
                <w:rFonts w:ascii="Arial" w:hAnsi="Arial" w:cs="Arial"/>
                <w:sz w:val="20"/>
              </w:rPr>
              <w:t>Commonwealth</w:t>
            </w:r>
          </w:p>
        </w:tc>
        <w:tc>
          <w:tcPr>
            <w:tcW w:w="1701" w:type="dxa"/>
          </w:tcPr>
          <w:p w14:paraId="11DB55B4" w14:textId="77777777" w:rsidR="00BC2953" w:rsidRPr="00137683" w:rsidRDefault="00BC2953" w:rsidP="00030BC1">
            <w:pPr>
              <w:rPr>
                <w:rFonts w:ascii="Arial" w:hAnsi="Arial" w:cs="Arial"/>
                <w:sz w:val="20"/>
              </w:rPr>
            </w:pPr>
            <w:r w:rsidRPr="00137683">
              <w:rPr>
                <w:rFonts w:ascii="Arial" w:hAnsi="Arial" w:cs="Arial"/>
                <w:sz w:val="20"/>
              </w:rPr>
              <w:t>7</w:t>
            </w:r>
          </w:p>
        </w:tc>
        <w:tc>
          <w:tcPr>
            <w:tcW w:w="1701" w:type="dxa"/>
          </w:tcPr>
          <w:p w14:paraId="2673901E"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3A6C8B71" w14:textId="77777777" w:rsidR="00BC2953" w:rsidRPr="00137683" w:rsidRDefault="00BC2953" w:rsidP="00030BC1">
            <w:pPr>
              <w:rPr>
                <w:rFonts w:ascii="Arial" w:hAnsi="Arial" w:cs="Arial"/>
                <w:sz w:val="20"/>
              </w:rPr>
            </w:pPr>
            <w:r w:rsidRPr="00137683">
              <w:rPr>
                <w:rFonts w:ascii="Arial" w:hAnsi="Arial" w:cs="Arial"/>
                <w:sz w:val="20"/>
              </w:rPr>
              <w:t>0</w:t>
            </w:r>
          </w:p>
        </w:tc>
        <w:tc>
          <w:tcPr>
            <w:tcW w:w="1701" w:type="dxa"/>
          </w:tcPr>
          <w:p w14:paraId="712E3EE5" w14:textId="77777777" w:rsidR="00BC2953" w:rsidRPr="00137683" w:rsidRDefault="00BC2953" w:rsidP="00030BC1">
            <w:pPr>
              <w:rPr>
                <w:rFonts w:ascii="Arial" w:hAnsi="Arial" w:cs="Arial"/>
                <w:sz w:val="20"/>
              </w:rPr>
            </w:pPr>
            <w:r w:rsidRPr="00137683">
              <w:rPr>
                <w:rFonts w:ascii="Arial" w:hAnsi="Arial" w:cs="Arial"/>
                <w:sz w:val="20"/>
              </w:rPr>
              <w:t>7</w:t>
            </w:r>
          </w:p>
        </w:tc>
      </w:tr>
      <w:tr w:rsidR="00BC2953" w:rsidRPr="00137683" w14:paraId="425EE639" w14:textId="77777777" w:rsidTr="00030BC1">
        <w:trPr>
          <w:jc w:val="center"/>
        </w:trPr>
        <w:tc>
          <w:tcPr>
            <w:tcW w:w="1848" w:type="dxa"/>
          </w:tcPr>
          <w:p w14:paraId="4458B029" w14:textId="77777777" w:rsidR="00BC2953" w:rsidRPr="00137683" w:rsidRDefault="00BC2953" w:rsidP="00030BC1">
            <w:pPr>
              <w:rPr>
                <w:rFonts w:ascii="Arial" w:hAnsi="Arial" w:cs="Arial"/>
                <w:sz w:val="20"/>
              </w:rPr>
            </w:pPr>
            <w:r w:rsidRPr="00137683">
              <w:rPr>
                <w:rFonts w:ascii="Arial" w:hAnsi="Arial" w:cs="Arial"/>
                <w:sz w:val="20"/>
              </w:rPr>
              <w:t>National</w:t>
            </w:r>
          </w:p>
        </w:tc>
        <w:tc>
          <w:tcPr>
            <w:tcW w:w="1701" w:type="dxa"/>
          </w:tcPr>
          <w:p w14:paraId="196AEA77" w14:textId="77777777" w:rsidR="00BC2953" w:rsidRPr="00137683" w:rsidRDefault="00BC2953" w:rsidP="00030BC1">
            <w:pPr>
              <w:rPr>
                <w:rFonts w:ascii="Arial" w:hAnsi="Arial" w:cs="Arial"/>
                <w:sz w:val="20"/>
              </w:rPr>
            </w:pPr>
            <w:r w:rsidRPr="00137683">
              <w:rPr>
                <w:rFonts w:ascii="Arial" w:hAnsi="Arial" w:cs="Arial"/>
                <w:sz w:val="20"/>
              </w:rPr>
              <w:t>12</w:t>
            </w:r>
          </w:p>
        </w:tc>
        <w:tc>
          <w:tcPr>
            <w:tcW w:w="1701" w:type="dxa"/>
          </w:tcPr>
          <w:p w14:paraId="35B19B57" w14:textId="77777777" w:rsidR="00BC2953" w:rsidRPr="00137683" w:rsidRDefault="00BC2953" w:rsidP="00030BC1">
            <w:pPr>
              <w:rPr>
                <w:rFonts w:ascii="Arial" w:hAnsi="Arial" w:cs="Arial"/>
                <w:sz w:val="20"/>
              </w:rPr>
            </w:pPr>
            <w:r w:rsidRPr="00137683">
              <w:rPr>
                <w:rFonts w:ascii="Arial" w:hAnsi="Arial" w:cs="Arial"/>
                <w:sz w:val="20"/>
              </w:rPr>
              <w:t>4</w:t>
            </w:r>
          </w:p>
        </w:tc>
        <w:tc>
          <w:tcPr>
            <w:tcW w:w="1701" w:type="dxa"/>
          </w:tcPr>
          <w:p w14:paraId="79A136B6" w14:textId="77777777" w:rsidR="00BC2953" w:rsidRPr="00137683" w:rsidRDefault="00BC2953" w:rsidP="00030BC1">
            <w:pPr>
              <w:rPr>
                <w:rFonts w:ascii="Arial" w:hAnsi="Arial" w:cs="Arial"/>
                <w:sz w:val="20"/>
              </w:rPr>
            </w:pPr>
            <w:r w:rsidRPr="00137683">
              <w:rPr>
                <w:rFonts w:ascii="Arial" w:hAnsi="Arial" w:cs="Arial"/>
                <w:sz w:val="20"/>
              </w:rPr>
              <w:t>7</w:t>
            </w:r>
          </w:p>
        </w:tc>
        <w:tc>
          <w:tcPr>
            <w:tcW w:w="1701" w:type="dxa"/>
          </w:tcPr>
          <w:p w14:paraId="38BCE9B7" w14:textId="77777777" w:rsidR="00BC2953" w:rsidRPr="00137683" w:rsidRDefault="00BC2953" w:rsidP="00030BC1">
            <w:pPr>
              <w:rPr>
                <w:rFonts w:ascii="Arial" w:hAnsi="Arial" w:cs="Arial"/>
                <w:sz w:val="20"/>
              </w:rPr>
            </w:pPr>
            <w:r w:rsidRPr="00137683">
              <w:rPr>
                <w:rFonts w:ascii="Arial" w:hAnsi="Arial" w:cs="Arial"/>
                <w:sz w:val="20"/>
              </w:rPr>
              <w:t>23</w:t>
            </w:r>
          </w:p>
        </w:tc>
      </w:tr>
      <w:tr w:rsidR="00BC2953" w:rsidRPr="00137683" w14:paraId="2E6198C1" w14:textId="77777777" w:rsidTr="00030BC1">
        <w:trPr>
          <w:jc w:val="center"/>
        </w:trPr>
        <w:tc>
          <w:tcPr>
            <w:tcW w:w="1848" w:type="dxa"/>
          </w:tcPr>
          <w:p w14:paraId="4DB30341" w14:textId="77777777" w:rsidR="00BC2953" w:rsidRPr="00137683" w:rsidRDefault="00BC2953" w:rsidP="00030BC1">
            <w:pPr>
              <w:rPr>
                <w:rFonts w:ascii="Arial" w:hAnsi="Arial" w:cs="Arial"/>
                <w:sz w:val="20"/>
              </w:rPr>
            </w:pPr>
            <w:r w:rsidRPr="00137683">
              <w:rPr>
                <w:rFonts w:ascii="Arial" w:hAnsi="Arial" w:cs="Arial"/>
                <w:sz w:val="20"/>
              </w:rPr>
              <w:t>Unknown</w:t>
            </w:r>
          </w:p>
        </w:tc>
        <w:tc>
          <w:tcPr>
            <w:tcW w:w="1701" w:type="dxa"/>
          </w:tcPr>
          <w:p w14:paraId="6790B9B1" w14:textId="77777777" w:rsidR="00BC2953" w:rsidRPr="00137683" w:rsidRDefault="00BC2953" w:rsidP="00030BC1">
            <w:pPr>
              <w:rPr>
                <w:rFonts w:ascii="Arial" w:hAnsi="Arial" w:cs="Arial"/>
                <w:sz w:val="20"/>
              </w:rPr>
            </w:pPr>
            <w:r w:rsidRPr="00137683">
              <w:rPr>
                <w:rFonts w:ascii="Arial" w:hAnsi="Arial" w:cs="Arial"/>
                <w:sz w:val="20"/>
              </w:rPr>
              <w:t>3</w:t>
            </w:r>
          </w:p>
        </w:tc>
        <w:tc>
          <w:tcPr>
            <w:tcW w:w="1701" w:type="dxa"/>
          </w:tcPr>
          <w:p w14:paraId="3630966A" w14:textId="77777777" w:rsidR="00BC2953" w:rsidRPr="00137683" w:rsidRDefault="00BC2953" w:rsidP="00030BC1">
            <w:pPr>
              <w:rPr>
                <w:rFonts w:ascii="Arial" w:hAnsi="Arial" w:cs="Arial"/>
                <w:sz w:val="20"/>
              </w:rPr>
            </w:pPr>
            <w:r w:rsidRPr="00137683">
              <w:rPr>
                <w:rFonts w:ascii="Arial" w:hAnsi="Arial" w:cs="Arial"/>
                <w:sz w:val="20"/>
              </w:rPr>
              <w:t>3</w:t>
            </w:r>
          </w:p>
        </w:tc>
        <w:tc>
          <w:tcPr>
            <w:tcW w:w="1701" w:type="dxa"/>
          </w:tcPr>
          <w:p w14:paraId="0107358E" w14:textId="77777777" w:rsidR="00BC2953" w:rsidRPr="00137683" w:rsidRDefault="00BC2953" w:rsidP="00030BC1">
            <w:pPr>
              <w:rPr>
                <w:rFonts w:ascii="Arial" w:hAnsi="Arial" w:cs="Arial"/>
                <w:sz w:val="20"/>
              </w:rPr>
            </w:pPr>
            <w:r w:rsidRPr="00137683">
              <w:rPr>
                <w:rFonts w:ascii="Arial" w:hAnsi="Arial" w:cs="Arial"/>
                <w:sz w:val="20"/>
              </w:rPr>
              <w:t>1</w:t>
            </w:r>
          </w:p>
        </w:tc>
        <w:tc>
          <w:tcPr>
            <w:tcW w:w="1701" w:type="dxa"/>
          </w:tcPr>
          <w:p w14:paraId="0C9E4249" w14:textId="77777777" w:rsidR="00BC2953" w:rsidRPr="00137683" w:rsidRDefault="00BC2953" w:rsidP="00030BC1">
            <w:pPr>
              <w:rPr>
                <w:rFonts w:ascii="Arial" w:hAnsi="Arial" w:cs="Arial"/>
                <w:sz w:val="20"/>
              </w:rPr>
            </w:pPr>
            <w:r w:rsidRPr="00137683">
              <w:rPr>
                <w:rFonts w:ascii="Arial" w:hAnsi="Arial" w:cs="Arial"/>
                <w:sz w:val="20"/>
              </w:rPr>
              <w:t>7</w:t>
            </w:r>
          </w:p>
        </w:tc>
      </w:tr>
      <w:tr w:rsidR="00BC2953" w:rsidRPr="00137683" w14:paraId="53CCB1C7" w14:textId="77777777" w:rsidTr="00030BC1">
        <w:trPr>
          <w:jc w:val="center"/>
        </w:trPr>
        <w:tc>
          <w:tcPr>
            <w:tcW w:w="1848" w:type="dxa"/>
          </w:tcPr>
          <w:p w14:paraId="712DE5DC" w14:textId="77777777" w:rsidR="00BC2953" w:rsidRPr="00137683" w:rsidRDefault="00BC2953" w:rsidP="00030BC1">
            <w:pPr>
              <w:rPr>
                <w:rFonts w:ascii="Arial" w:hAnsi="Arial" w:cs="Arial"/>
                <w:sz w:val="20"/>
              </w:rPr>
            </w:pPr>
            <w:r w:rsidRPr="00137683">
              <w:rPr>
                <w:rFonts w:ascii="Arial" w:hAnsi="Arial" w:cs="Arial"/>
                <w:sz w:val="20"/>
              </w:rPr>
              <w:t>Total</w:t>
            </w:r>
          </w:p>
        </w:tc>
        <w:tc>
          <w:tcPr>
            <w:tcW w:w="1701" w:type="dxa"/>
          </w:tcPr>
          <w:p w14:paraId="08D824E5" w14:textId="77777777" w:rsidR="00BC2953" w:rsidRPr="00137683" w:rsidRDefault="00BC2953" w:rsidP="00030BC1">
            <w:pPr>
              <w:rPr>
                <w:rFonts w:ascii="Arial" w:hAnsi="Arial" w:cs="Arial"/>
                <w:sz w:val="20"/>
              </w:rPr>
            </w:pPr>
            <w:r w:rsidRPr="00137683">
              <w:rPr>
                <w:rFonts w:ascii="Arial" w:hAnsi="Arial" w:cs="Arial"/>
                <w:sz w:val="20"/>
              </w:rPr>
              <w:t>53</w:t>
            </w:r>
          </w:p>
        </w:tc>
        <w:tc>
          <w:tcPr>
            <w:tcW w:w="1701" w:type="dxa"/>
          </w:tcPr>
          <w:p w14:paraId="670C19B7" w14:textId="77777777" w:rsidR="00BC2953" w:rsidRPr="00137683" w:rsidRDefault="00BC2953" w:rsidP="00030BC1">
            <w:pPr>
              <w:rPr>
                <w:rFonts w:ascii="Arial" w:hAnsi="Arial" w:cs="Arial"/>
                <w:sz w:val="20"/>
              </w:rPr>
            </w:pPr>
            <w:r w:rsidRPr="00137683">
              <w:rPr>
                <w:rFonts w:ascii="Arial" w:hAnsi="Arial" w:cs="Arial"/>
                <w:sz w:val="20"/>
              </w:rPr>
              <w:t>17</w:t>
            </w:r>
          </w:p>
        </w:tc>
        <w:tc>
          <w:tcPr>
            <w:tcW w:w="1701" w:type="dxa"/>
          </w:tcPr>
          <w:p w14:paraId="564367FB" w14:textId="77777777" w:rsidR="00BC2953" w:rsidRPr="00137683" w:rsidRDefault="00BC2953" w:rsidP="00030BC1">
            <w:pPr>
              <w:rPr>
                <w:rFonts w:ascii="Arial" w:hAnsi="Arial" w:cs="Arial"/>
                <w:sz w:val="20"/>
              </w:rPr>
            </w:pPr>
            <w:r w:rsidRPr="00137683">
              <w:rPr>
                <w:rFonts w:ascii="Arial" w:hAnsi="Arial" w:cs="Arial"/>
                <w:sz w:val="20"/>
              </w:rPr>
              <w:t>13</w:t>
            </w:r>
          </w:p>
        </w:tc>
        <w:tc>
          <w:tcPr>
            <w:tcW w:w="1701" w:type="dxa"/>
          </w:tcPr>
          <w:p w14:paraId="72F8F49A" w14:textId="77777777" w:rsidR="00BC2953" w:rsidRPr="00137683" w:rsidRDefault="00BC2953" w:rsidP="00030BC1">
            <w:pPr>
              <w:rPr>
                <w:rFonts w:ascii="Arial" w:hAnsi="Arial" w:cs="Arial"/>
                <w:sz w:val="20"/>
              </w:rPr>
            </w:pPr>
            <w:r w:rsidRPr="00137683">
              <w:rPr>
                <w:rFonts w:ascii="Arial" w:hAnsi="Arial" w:cs="Arial"/>
                <w:sz w:val="20"/>
              </w:rPr>
              <w:t>83</w:t>
            </w:r>
          </w:p>
        </w:tc>
      </w:tr>
    </w:tbl>
    <w:p w14:paraId="6ECD069E" w14:textId="77777777" w:rsidR="00BC2953" w:rsidRPr="00137683" w:rsidRDefault="00BC2953" w:rsidP="00BC2953">
      <w:pPr>
        <w:pStyle w:val="Normal2"/>
        <w:rPr>
          <w:sz w:val="20"/>
          <w:szCs w:val="20"/>
        </w:rPr>
      </w:pPr>
    </w:p>
    <w:p w14:paraId="4A83C7BF" w14:textId="77777777" w:rsidR="00BC2953" w:rsidRPr="00F507E2" w:rsidRDefault="00BC2953" w:rsidP="00BC2953">
      <w:pPr>
        <w:pStyle w:val="Normal2"/>
      </w:pPr>
      <w:r w:rsidRPr="00F507E2">
        <w:t>Not</w:t>
      </w:r>
      <w:r w:rsidR="00137683">
        <w:t xml:space="preserve"> all submissions addressed the C</w:t>
      </w:r>
      <w:r w:rsidRPr="00F507E2">
        <w:t xml:space="preserve">onsultation RIS. Of the 83 responses received: </w:t>
      </w:r>
    </w:p>
    <w:p w14:paraId="3C92B70A" w14:textId="77777777" w:rsidR="00BC2953" w:rsidRPr="00F507E2" w:rsidRDefault="00BC2953" w:rsidP="00BC2953">
      <w:pPr>
        <w:pStyle w:val="Normal2"/>
        <w:numPr>
          <w:ilvl w:val="0"/>
          <w:numId w:val="44"/>
        </w:numPr>
      </w:pPr>
      <w:r w:rsidRPr="00F507E2">
        <w:t>53 submis</w:t>
      </w:r>
      <w:r w:rsidR="00137683">
        <w:t>sions provided feedback on the C</w:t>
      </w:r>
      <w:r w:rsidRPr="00F507E2">
        <w:t xml:space="preserve">onsultation RIS only </w:t>
      </w:r>
    </w:p>
    <w:p w14:paraId="6384CD80" w14:textId="77777777" w:rsidR="00BC2953" w:rsidRPr="00F507E2" w:rsidRDefault="00BC2953" w:rsidP="00BC2953">
      <w:pPr>
        <w:pStyle w:val="Normal2"/>
        <w:numPr>
          <w:ilvl w:val="0"/>
          <w:numId w:val="44"/>
        </w:numPr>
      </w:pPr>
      <w:r w:rsidRPr="00F507E2">
        <w:t xml:space="preserve">17 submissions provided feedback on version 2 of the NSQHS Standards only </w:t>
      </w:r>
    </w:p>
    <w:p w14:paraId="78CCA3A7" w14:textId="77777777" w:rsidR="00BC2953" w:rsidRPr="00F507E2" w:rsidRDefault="00BC2953" w:rsidP="00BC2953">
      <w:pPr>
        <w:pStyle w:val="Normal2"/>
        <w:numPr>
          <w:ilvl w:val="0"/>
          <w:numId w:val="44"/>
        </w:numPr>
      </w:pPr>
      <w:r w:rsidRPr="00F507E2">
        <w:t>13 submissions</w:t>
      </w:r>
      <w:r w:rsidR="00137683">
        <w:t xml:space="preserve"> provided feedback on both the C</w:t>
      </w:r>
      <w:r w:rsidRPr="00F507E2">
        <w:t>onsultation RIS and version 2 of the NSQHS Standards.</w:t>
      </w:r>
    </w:p>
    <w:p w14:paraId="617536B9" w14:textId="5E01C1DE" w:rsidR="00137683" w:rsidRDefault="00BC2953" w:rsidP="00A31774">
      <w:pPr>
        <w:pStyle w:val="Normal2"/>
      </w:pPr>
      <w:r w:rsidRPr="00F507E2">
        <w:t>Table 3 outlines the preferences of the 66 sub</w:t>
      </w:r>
      <w:r w:rsidR="00137683">
        <w:t>missions that commented on the C</w:t>
      </w:r>
      <w:r w:rsidRPr="00F507E2">
        <w:t>onsultation RIS.</w:t>
      </w:r>
    </w:p>
    <w:p w14:paraId="7E1FBAB6" w14:textId="77777777" w:rsidR="00A31774" w:rsidRDefault="00A31774">
      <w:pPr>
        <w:rPr>
          <w:b/>
          <w:bCs/>
          <w:sz w:val="20"/>
          <w:szCs w:val="18"/>
        </w:rPr>
      </w:pPr>
      <w:r>
        <w:br w:type="page"/>
      </w:r>
    </w:p>
    <w:p w14:paraId="04773B7E" w14:textId="77777777" w:rsidR="00A31774" w:rsidRDefault="00A31774" w:rsidP="00A31774">
      <w:pPr>
        <w:pStyle w:val="Caption"/>
      </w:pPr>
    </w:p>
    <w:p w14:paraId="6D31FC14" w14:textId="77777777" w:rsidR="00A31774" w:rsidRPr="00A31774" w:rsidRDefault="00A31774" w:rsidP="00A31774">
      <w:pPr>
        <w:pStyle w:val="Credit"/>
        <w:spacing w:after="0"/>
      </w:pPr>
    </w:p>
    <w:p w14:paraId="68C149B2" w14:textId="1D025912" w:rsidR="00BC2953" w:rsidRPr="00705353" w:rsidRDefault="00BC2953" w:rsidP="00A31774">
      <w:pPr>
        <w:pStyle w:val="Caption"/>
        <w:rPr>
          <w:lang w:eastAsia="en-US"/>
        </w:rPr>
      </w:pPr>
      <w:r w:rsidRPr="00705353">
        <w:t xml:space="preserve">Table </w:t>
      </w:r>
      <w:fldSimple w:instr=" SEQ Table \* ARABIC ">
        <w:r w:rsidR="0068597B">
          <w:rPr>
            <w:noProof/>
          </w:rPr>
          <w:t>3</w:t>
        </w:r>
      </w:fldSimple>
      <w:r w:rsidRPr="00705353">
        <w:t>: Preferred options</w:t>
      </w:r>
      <w:r w:rsidRPr="00705353">
        <w:rPr>
          <w:lang w:eastAsia="en-US"/>
        </w:rPr>
        <w:t xml:space="preserve"> </w:t>
      </w:r>
    </w:p>
    <w:tbl>
      <w:tblPr>
        <w:tblStyle w:val="TableGrid"/>
        <w:tblW w:w="0" w:type="auto"/>
        <w:jc w:val="center"/>
        <w:tblLook w:val="04A0" w:firstRow="1" w:lastRow="0" w:firstColumn="1" w:lastColumn="0" w:noHBand="0" w:noVBand="1"/>
        <w:tblCaption w:val="Preferred options"/>
      </w:tblPr>
      <w:tblGrid>
        <w:gridCol w:w="5495"/>
        <w:gridCol w:w="1276"/>
        <w:gridCol w:w="1295"/>
      </w:tblGrid>
      <w:tr w:rsidR="00BC2953" w:rsidRPr="00F507E2" w14:paraId="2CFDF5E5" w14:textId="77777777" w:rsidTr="00030BC1">
        <w:trPr>
          <w:cnfStyle w:val="100000000000" w:firstRow="1" w:lastRow="0" w:firstColumn="0" w:lastColumn="0" w:oddVBand="0" w:evenVBand="0" w:oddHBand="0" w:evenHBand="0" w:firstRowFirstColumn="0" w:firstRowLastColumn="0" w:lastRowFirstColumn="0" w:lastRowLastColumn="0"/>
          <w:tblHeader/>
          <w:jc w:val="center"/>
        </w:trPr>
        <w:tc>
          <w:tcPr>
            <w:tcW w:w="5495" w:type="dxa"/>
          </w:tcPr>
          <w:p w14:paraId="5A35207B" w14:textId="77777777" w:rsidR="00BC2953" w:rsidRPr="00137683" w:rsidRDefault="00BC2953" w:rsidP="00030BC1">
            <w:pPr>
              <w:rPr>
                <w:rFonts w:ascii="Arial" w:hAnsi="Arial" w:cs="Arial"/>
                <w:sz w:val="20"/>
              </w:rPr>
            </w:pPr>
            <w:r w:rsidRPr="00137683">
              <w:rPr>
                <w:rFonts w:ascii="Arial" w:hAnsi="Arial" w:cs="Arial"/>
                <w:sz w:val="20"/>
              </w:rPr>
              <w:t xml:space="preserve">Preferred option </w:t>
            </w:r>
          </w:p>
        </w:tc>
        <w:tc>
          <w:tcPr>
            <w:tcW w:w="1276" w:type="dxa"/>
          </w:tcPr>
          <w:p w14:paraId="432C0153" w14:textId="77777777" w:rsidR="00BC2953" w:rsidRPr="00137683" w:rsidRDefault="00BC2953" w:rsidP="00030BC1">
            <w:pPr>
              <w:rPr>
                <w:rFonts w:ascii="Arial" w:hAnsi="Arial" w:cs="Arial"/>
                <w:sz w:val="20"/>
              </w:rPr>
            </w:pPr>
            <w:r w:rsidRPr="00137683">
              <w:rPr>
                <w:rFonts w:ascii="Arial" w:hAnsi="Arial" w:cs="Arial"/>
                <w:sz w:val="20"/>
              </w:rPr>
              <w:t>Number</w:t>
            </w:r>
          </w:p>
        </w:tc>
        <w:tc>
          <w:tcPr>
            <w:tcW w:w="1276" w:type="dxa"/>
          </w:tcPr>
          <w:p w14:paraId="0A3BA38C" w14:textId="77777777" w:rsidR="00BC2953" w:rsidRPr="00137683" w:rsidRDefault="00BC2953" w:rsidP="00030BC1">
            <w:pPr>
              <w:rPr>
                <w:rFonts w:ascii="Arial" w:hAnsi="Arial" w:cs="Arial"/>
                <w:sz w:val="20"/>
              </w:rPr>
            </w:pPr>
            <w:r w:rsidRPr="00137683">
              <w:rPr>
                <w:rFonts w:ascii="Arial" w:hAnsi="Arial" w:cs="Arial"/>
                <w:sz w:val="20"/>
              </w:rPr>
              <w:t>Percentage</w:t>
            </w:r>
          </w:p>
        </w:tc>
      </w:tr>
      <w:tr w:rsidR="00BC2953" w:rsidRPr="00F507E2" w14:paraId="217C1076" w14:textId="77777777" w:rsidTr="00030BC1">
        <w:trPr>
          <w:jc w:val="center"/>
        </w:trPr>
        <w:tc>
          <w:tcPr>
            <w:tcW w:w="5495" w:type="dxa"/>
          </w:tcPr>
          <w:p w14:paraId="25CF2956" w14:textId="77777777" w:rsidR="00BC2953" w:rsidRPr="00137683" w:rsidRDefault="00BC2953" w:rsidP="00030BC1">
            <w:pPr>
              <w:rPr>
                <w:rFonts w:ascii="Arial" w:hAnsi="Arial" w:cs="Arial"/>
                <w:sz w:val="20"/>
              </w:rPr>
            </w:pPr>
            <w:r w:rsidRPr="00137683">
              <w:rPr>
                <w:rFonts w:ascii="Arial" w:hAnsi="Arial" w:cs="Arial"/>
                <w:sz w:val="20"/>
              </w:rPr>
              <w:t>Option 1</w:t>
            </w:r>
          </w:p>
        </w:tc>
        <w:tc>
          <w:tcPr>
            <w:tcW w:w="1276" w:type="dxa"/>
          </w:tcPr>
          <w:p w14:paraId="1771853D" w14:textId="77777777" w:rsidR="00BC2953" w:rsidRPr="00137683" w:rsidRDefault="00BC2953" w:rsidP="00030BC1">
            <w:pPr>
              <w:rPr>
                <w:rFonts w:ascii="Arial" w:hAnsi="Arial" w:cs="Arial"/>
                <w:sz w:val="20"/>
              </w:rPr>
            </w:pPr>
            <w:r w:rsidRPr="00137683">
              <w:rPr>
                <w:rFonts w:ascii="Arial" w:hAnsi="Arial" w:cs="Arial"/>
                <w:sz w:val="20"/>
              </w:rPr>
              <w:t>9</w:t>
            </w:r>
          </w:p>
        </w:tc>
        <w:tc>
          <w:tcPr>
            <w:tcW w:w="1276" w:type="dxa"/>
          </w:tcPr>
          <w:p w14:paraId="79112317" w14:textId="77777777" w:rsidR="00BC2953" w:rsidRPr="00137683" w:rsidRDefault="00BC2953" w:rsidP="00030BC1">
            <w:pPr>
              <w:rPr>
                <w:rFonts w:ascii="Arial" w:hAnsi="Arial" w:cs="Arial"/>
                <w:sz w:val="20"/>
              </w:rPr>
            </w:pPr>
            <w:r w:rsidRPr="00137683">
              <w:rPr>
                <w:rFonts w:ascii="Arial" w:hAnsi="Arial" w:cs="Arial"/>
                <w:sz w:val="20"/>
              </w:rPr>
              <w:t>14%</w:t>
            </w:r>
          </w:p>
        </w:tc>
      </w:tr>
      <w:tr w:rsidR="00BC2953" w:rsidRPr="00F507E2" w14:paraId="2050F0D5" w14:textId="77777777" w:rsidTr="00030BC1">
        <w:trPr>
          <w:jc w:val="center"/>
        </w:trPr>
        <w:tc>
          <w:tcPr>
            <w:tcW w:w="5495" w:type="dxa"/>
          </w:tcPr>
          <w:p w14:paraId="2F902FF2" w14:textId="77777777" w:rsidR="00BC2953" w:rsidRPr="00137683" w:rsidRDefault="00BC2953" w:rsidP="00030BC1">
            <w:pPr>
              <w:rPr>
                <w:rFonts w:ascii="Arial" w:hAnsi="Arial" w:cs="Arial"/>
                <w:sz w:val="20"/>
              </w:rPr>
            </w:pPr>
            <w:r w:rsidRPr="00137683">
              <w:rPr>
                <w:rFonts w:ascii="Arial" w:hAnsi="Arial" w:cs="Arial"/>
                <w:sz w:val="20"/>
              </w:rPr>
              <w:t>Option 2</w:t>
            </w:r>
          </w:p>
        </w:tc>
        <w:tc>
          <w:tcPr>
            <w:tcW w:w="1276" w:type="dxa"/>
          </w:tcPr>
          <w:p w14:paraId="498C2FC7" w14:textId="77777777" w:rsidR="00BC2953" w:rsidRPr="00137683" w:rsidRDefault="00BC2953" w:rsidP="00030BC1">
            <w:pPr>
              <w:rPr>
                <w:rFonts w:ascii="Arial" w:hAnsi="Arial" w:cs="Arial"/>
                <w:sz w:val="20"/>
              </w:rPr>
            </w:pPr>
            <w:r w:rsidRPr="00137683">
              <w:rPr>
                <w:rFonts w:ascii="Arial" w:hAnsi="Arial" w:cs="Arial"/>
                <w:sz w:val="20"/>
              </w:rPr>
              <w:t>54</w:t>
            </w:r>
          </w:p>
        </w:tc>
        <w:tc>
          <w:tcPr>
            <w:tcW w:w="1276" w:type="dxa"/>
          </w:tcPr>
          <w:p w14:paraId="2211CF78" w14:textId="77777777" w:rsidR="00BC2953" w:rsidRPr="00137683" w:rsidRDefault="00BC2953" w:rsidP="00030BC1">
            <w:pPr>
              <w:rPr>
                <w:rFonts w:ascii="Arial" w:hAnsi="Arial" w:cs="Arial"/>
                <w:sz w:val="20"/>
              </w:rPr>
            </w:pPr>
            <w:r w:rsidRPr="00137683">
              <w:rPr>
                <w:rFonts w:ascii="Arial" w:hAnsi="Arial" w:cs="Arial"/>
                <w:sz w:val="20"/>
              </w:rPr>
              <w:t>82%</w:t>
            </w:r>
          </w:p>
        </w:tc>
      </w:tr>
      <w:tr w:rsidR="00BC2953" w:rsidRPr="00F507E2" w14:paraId="2257D916" w14:textId="77777777" w:rsidTr="00030BC1">
        <w:trPr>
          <w:jc w:val="center"/>
        </w:trPr>
        <w:tc>
          <w:tcPr>
            <w:tcW w:w="5495" w:type="dxa"/>
          </w:tcPr>
          <w:p w14:paraId="5C33E4BB" w14:textId="77777777" w:rsidR="00BC2953" w:rsidRPr="00137683" w:rsidRDefault="00BC2953" w:rsidP="00030BC1">
            <w:pPr>
              <w:rPr>
                <w:rFonts w:ascii="Arial" w:hAnsi="Arial" w:cs="Arial"/>
                <w:sz w:val="20"/>
              </w:rPr>
            </w:pPr>
            <w:r w:rsidRPr="00137683">
              <w:rPr>
                <w:rFonts w:ascii="Arial" w:hAnsi="Arial" w:cs="Arial"/>
                <w:sz w:val="20"/>
              </w:rPr>
              <w:t xml:space="preserve">Option 3 </w:t>
            </w:r>
          </w:p>
        </w:tc>
        <w:tc>
          <w:tcPr>
            <w:tcW w:w="1276" w:type="dxa"/>
          </w:tcPr>
          <w:p w14:paraId="4DDAD377" w14:textId="77777777" w:rsidR="00BC2953" w:rsidRPr="00137683" w:rsidRDefault="00BC2953" w:rsidP="00030BC1">
            <w:pPr>
              <w:rPr>
                <w:rFonts w:ascii="Arial" w:hAnsi="Arial" w:cs="Arial"/>
                <w:sz w:val="20"/>
              </w:rPr>
            </w:pPr>
            <w:r w:rsidRPr="00137683">
              <w:rPr>
                <w:rFonts w:ascii="Arial" w:hAnsi="Arial" w:cs="Arial"/>
                <w:sz w:val="20"/>
              </w:rPr>
              <w:t>0</w:t>
            </w:r>
          </w:p>
        </w:tc>
        <w:tc>
          <w:tcPr>
            <w:tcW w:w="1276" w:type="dxa"/>
          </w:tcPr>
          <w:p w14:paraId="5EEF6DE5" w14:textId="77777777" w:rsidR="00BC2953" w:rsidRPr="00137683" w:rsidRDefault="00BC2953" w:rsidP="00030BC1">
            <w:pPr>
              <w:rPr>
                <w:rFonts w:ascii="Arial" w:hAnsi="Arial" w:cs="Arial"/>
                <w:sz w:val="20"/>
              </w:rPr>
            </w:pPr>
            <w:r w:rsidRPr="00137683">
              <w:rPr>
                <w:rFonts w:ascii="Arial" w:hAnsi="Arial" w:cs="Arial"/>
                <w:sz w:val="20"/>
              </w:rPr>
              <w:t>0%</w:t>
            </w:r>
          </w:p>
        </w:tc>
      </w:tr>
      <w:tr w:rsidR="00BC2953" w:rsidRPr="00F507E2" w14:paraId="0566F7EC" w14:textId="77777777" w:rsidTr="00030BC1">
        <w:trPr>
          <w:jc w:val="center"/>
        </w:trPr>
        <w:tc>
          <w:tcPr>
            <w:tcW w:w="5495" w:type="dxa"/>
          </w:tcPr>
          <w:p w14:paraId="1F2FF43D" w14:textId="77777777" w:rsidR="00BC2953" w:rsidRPr="00137683" w:rsidRDefault="00BC2953" w:rsidP="00030BC1">
            <w:pPr>
              <w:rPr>
                <w:rFonts w:ascii="Arial" w:hAnsi="Arial" w:cs="Arial"/>
                <w:sz w:val="20"/>
              </w:rPr>
            </w:pPr>
            <w:r w:rsidRPr="00137683">
              <w:rPr>
                <w:rFonts w:ascii="Arial" w:hAnsi="Arial" w:cs="Arial"/>
                <w:sz w:val="20"/>
              </w:rPr>
              <w:t>Other option - release version 2 with some modifications</w:t>
            </w:r>
          </w:p>
        </w:tc>
        <w:tc>
          <w:tcPr>
            <w:tcW w:w="1276" w:type="dxa"/>
          </w:tcPr>
          <w:p w14:paraId="0DB99A6F" w14:textId="77777777" w:rsidR="00BC2953" w:rsidRPr="00137683" w:rsidRDefault="00BC2953" w:rsidP="00030BC1">
            <w:pPr>
              <w:rPr>
                <w:rFonts w:ascii="Arial" w:hAnsi="Arial" w:cs="Arial"/>
                <w:sz w:val="20"/>
              </w:rPr>
            </w:pPr>
            <w:r w:rsidRPr="00137683">
              <w:rPr>
                <w:rFonts w:ascii="Arial" w:hAnsi="Arial" w:cs="Arial"/>
                <w:sz w:val="20"/>
              </w:rPr>
              <w:t>1</w:t>
            </w:r>
          </w:p>
        </w:tc>
        <w:tc>
          <w:tcPr>
            <w:tcW w:w="1276" w:type="dxa"/>
          </w:tcPr>
          <w:p w14:paraId="246658BC" w14:textId="77777777" w:rsidR="00BC2953" w:rsidRPr="00137683" w:rsidRDefault="00BC2953" w:rsidP="00030BC1">
            <w:pPr>
              <w:rPr>
                <w:rFonts w:ascii="Arial" w:hAnsi="Arial" w:cs="Arial"/>
                <w:sz w:val="20"/>
              </w:rPr>
            </w:pPr>
            <w:r w:rsidRPr="00137683">
              <w:rPr>
                <w:rFonts w:ascii="Arial" w:hAnsi="Arial" w:cs="Arial"/>
                <w:sz w:val="20"/>
              </w:rPr>
              <w:t>1%</w:t>
            </w:r>
          </w:p>
        </w:tc>
      </w:tr>
      <w:tr w:rsidR="00BC2953" w:rsidRPr="00F507E2" w14:paraId="71640AA5" w14:textId="77777777" w:rsidTr="00030BC1">
        <w:trPr>
          <w:jc w:val="center"/>
        </w:trPr>
        <w:tc>
          <w:tcPr>
            <w:tcW w:w="5495" w:type="dxa"/>
          </w:tcPr>
          <w:p w14:paraId="5A41C11F" w14:textId="77777777" w:rsidR="00BC2953" w:rsidRPr="00137683" w:rsidRDefault="00BC2953" w:rsidP="00030BC1">
            <w:pPr>
              <w:rPr>
                <w:rFonts w:ascii="Arial" w:hAnsi="Arial" w:cs="Arial"/>
                <w:sz w:val="20"/>
              </w:rPr>
            </w:pPr>
            <w:r w:rsidRPr="00137683">
              <w:rPr>
                <w:rFonts w:ascii="Arial" w:hAnsi="Arial" w:cs="Arial"/>
                <w:sz w:val="20"/>
              </w:rPr>
              <w:t>No preference declared</w:t>
            </w:r>
          </w:p>
        </w:tc>
        <w:tc>
          <w:tcPr>
            <w:tcW w:w="1276" w:type="dxa"/>
          </w:tcPr>
          <w:p w14:paraId="279A986E" w14:textId="77777777" w:rsidR="00BC2953" w:rsidRPr="00137683" w:rsidRDefault="00BC2953" w:rsidP="00030BC1">
            <w:pPr>
              <w:rPr>
                <w:rFonts w:ascii="Arial" w:hAnsi="Arial" w:cs="Arial"/>
                <w:sz w:val="20"/>
              </w:rPr>
            </w:pPr>
            <w:r w:rsidRPr="00137683">
              <w:rPr>
                <w:rFonts w:ascii="Arial" w:hAnsi="Arial" w:cs="Arial"/>
                <w:sz w:val="20"/>
              </w:rPr>
              <w:t>2</w:t>
            </w:r>
          </w:p>
        </w:tc>
        <w:tc>
          <w:tcPr>
            <w:tcW w:w="1276" w:type="dxa"/>
          </w:tcPr>
          <w:p w14:paraId="70D68974" w14:textId="77777777" w:rsidR="00BC2953" w:rsidRPr="00137683" w:rsidRDefault="00BC2953" w:rsidP="00030BC1">
            <w:pPr>
              <w:rPr>
                <w:rFonts w:ascii="Arial" w:hAnsi="Arial" w:cs="Arial"/>
                <w:sz w:val="20"/>
              </w:rPr>
            </w:pPr>
            <w:r w:rsidRPr="00137683">
              <w:rPr>
                <w:rFonts w:ascii="Arial" w:hAnsi="Arial" w:cs="Arial"/>
                <w:sz w:val="20"/>
              </w:rPr>
              <w:t>3%</w:t>
            </w:r>
          </w:p>
        </w:tc>
      </w:tr>
      <w:tr w:rsidR="00BC2953" w:rsidRPr="00F507E2" w14:paraId="5991091B" w14:textId="77777777" w:rsidTr="00030BC1">
        <w:trPr>
          <w:jc w:val="center"/>
        </w:trPr>
        <w:tc>
          <w:tcPr>
            <w:tcW w:w="5495" w:type="dxa"/>
          </w:tcPr>
          <w:p w14:paraId="25F93E2D" w14:textId="77777777" w:rsidR="00BC2953" w:rsidRPr="00137683" w:rsidRDefault="00BC2953" w:rsidP="00030BC1">
            <w:pPr>
              <w:rPr>
                <w:rFonts w:ascii="Arial" w:hAnsi="Arial" w:cs="Arial"/>
                <w:sz w:val="20"/>
              </w:rPr>
            </w:pPr>
            <w:r w:rsidRPr="00137683">
              <w:rPr>
                <w:rFonts w:ascii="Arial" w:hAnsi="Arial" w:cs="Arial"/>
                <w:sz w:val="20"/>
              </w:rPr>
              <w:t>Total</w:t>
            </w:r>
          </w:p>
        </w:tc>
        <w:tc>
          <w:tcPr>
            <w:tcW w:w="1276" w:type="dxa"/>
          </w:tcPr>
          <w:p w14:paraId="65D2FCEB" w14:textId="77777777" w:rsidR="00BC2953" w:rsidRPr="00137683" w:rsidRDefault="00BC2953" w:rsidP="00030BC1">
            <w:pPr>
              <w:rPr>
                <w:rFonts w:ascii="Arial" w:hAnsi="Arial" w:cs="Arial"/>
                <w:sz w:val="20"/>
              </w:rPr>
            </w:pPr>
            <w:r w:rsidRPr="00137683">
              <w:rPr>
                <w:rFonts w:ascii="Arial" w:hAnsi="Arial" w:cs="Arial"/>
                <w:sz w:val="20"/>
              </w:rPr>
              <w:t>66</w:t>
            </w:r>
          </w:p>
        </w:tc>
        <w:tc>
          <w:tcPr>
            <w:tcW w:w="1276" w:type="dxa"/>
          </w:tcPr>
          <w:p w14:paraId="6A3DA287" w14:textId="77777777" w:rsidR="00BC2953" w:rsidRPr="00137683" w:rsidRDefault="00BC2953" w:rsidP="00030BC1">
            <w:pPr>
              <w:rPr>
                <w:rFonts w:ascii="Arial" w:hAnsi="Arial" w:cs="Arial"/>
                <w:sz w:val="20"/>
              </w:rPr>
            </w:pPr>
            <w:r w:rsidRPr="00137683">
              <w:rPr>
                <w:rFonts w:ascii="Arial" w:hAnsi="Arial" w:cs="Arial"/>
                <w:sz w:val="20"/>
              </w:rPr>
              <w:t>100%</w:t>
            </w:r>
          </w:p>
        </w:tc>
      </w:tr>
    </w:tbl>
    <w:p w14:paraId="2C173883" w14:textId="77777777" w:rsidR="00BC2953" w:rsidRPr="00F507E2" w:rsidRDefault="00BC2953" w:rsidP="00BC2953">
      <w:pPr>
        <w:pStyle w:val="Subheadingnolevel"/>
      </w:pPr>
      <w:r w:rsidRPr="00F507E2">
        <w:t>Data limitations</w:t>
      </w:r>
    </w:p>
    <w:p w14:paraId="11DFBC0E" w14:textId="77777777" w:rsidR="00BC2953" w:rsidRPr="00F507E2" w:rsidRDefault="00BC2953" w:rsidP="00BC2953">
      <w:pPr>
        <w:pStyle w:val="Normal2"/>
      </w:pPr>
      <w:r w:rsidRPr="00F507E2">
        <w:t>While the response from the Australian Day Hospitals Association included responses from 26 of its members, the number of responses for some sectors was small. Caution is required when interpreting information these small samples as comments may not be representative of the sector.</w:t>
      </w:r>
    </w:p>
    <w:p w14:paraId="4F3E1CFB" w14:textId="77777777" w:rsidR="00BC2953" w:rsidRPr="00F507E2" w:rsidRDefault="00BC2953" w:rsidP="00BC2953">
      <w:pPr>
        <w:pStyle w:val="Normal2"/>
      </w:pPr>
      <w:r w:rsidRPr="00F507E2">
        <w:t>Few respondents addressed all of the consultation questions. The majority of responses nominated a preferred option and providing a rationale for this choice. Detail on the number of responses for each consultation question is detailed at Appendix 4.</w:t>
      </w:r>
    </w:p>
    <w:p w14:paraId="1CEAB65B" w14:textId="77777777" w:rsidR="00BC2953" w:rsidRPr="00F507E2" w:rsidRDefault="00BC2953" w:rsidP="00BC2953">
      <w:pPr>
        <w:pStyle w:val="Subheadingnolevel"/>
      </w:pPr>
      <w:r w:rsidRPr="00F507E2">
        <w:t>Estimating costs</w:t>
      </w:r>
    </w:p>
    <w:p w14:paraId="73628D7C" w14:textId="77777777" w:rsidR="00BC2953" w:rsidRPr="00F507E2" w:rsidRDefault="00BC2953" w:rsidP="00BC2953">
      <w:pPr>
        <w:pStyle w:val="Normal2"/>
      </w:pPr>
      <w:r w:rsidRPr="00F507E2">
        <w:t>Fifteen respondents provided estimates of the direct costs associated with implementation of version 2 of the NSQHS Standards, however, none provide</w:t>
      </w:r>
      <w:r w:rsidR="00137683">
        <w:t>d</w:t>
      </w:r>
      <w:r w:rsidRPr="00F507E2">
        <w:t xml:space="preserve"> detail of the components of these costs. Indeed, many said the costs could not be </w:t>
      </w:r>
      <w:r w:rsidR="00137683">
        <w:t xml:space="preserve">quantified and provided an </w:t>
      </w:r>
      <w:r w:rsidRPr="00F507E2">
        <w:t xml:space="preserve">estimate. </w:t>
      </w:r>
    </w:p>
    <w:p w14:paraId="26DAB261" w14:textId="77777777" w:rsidR="00BC2953" w:rsidRPr="00DD67AC" w:rsidRDefault="00137683" w:rsidP="00BC2953">
      <w:pPr>
        <w:pStyle w:val="Normal2"/>
      </w:pPr>
      <w:r>
        <w:t>The C</w:t>
      </w:r>
      <w:r w:rsidR="00BC2953" w:rsidRPr="00DD67AC">
        <w:t>onsultation RIS sought feedback on the costs and benefits of implementing option 2, and feedback was receive</w:t>
      </w:r>
      <w:r>
        <w:t>d from the stakeholder groups as</w:t>
      </w:r>
      <w:r w:rsidR="00BC2953" w:rsidRPr="00DD67AC">
        <w:t xml:space="preserve"> outlined in Table 4. </w:t>
      </w:r>
    </w:p>
    <w:p w14:paraId="2EF9EF1B" w14:textId="77777777" w:rsidR="00BC2953" w:rsidRDefault="00BC2953" w:rsidP="00BC2953">
      <w:pPr>
        <w:pStyle w:val="Caption"/>
      </w:pPr>
    </w:p>
    <w:p w14:paraId="4556BDAB" w14:textId="77777777" w:rsidR="00BC2953" w:rsidRDefault="00BC2953" w:rsidP="00BC2953">
      <w:pPr>
        <w:pStyle w:val="Caption"/>
      </w:pPr>
      <w:r w:rsidRPr="00DD67AC">
        <w:t xml:space="preserve">Table </w:t>
      </w:r>
      <w:fldSimple w:instr=" SEQ Table \* ARABIC ">
        <w:r w:rsidR="0068597B">
          <w:rPr>
            <w:noProof/>
          </w:rPr>
          <w:t>4</w:t>
        </w:r>
      </w:fldSimple>
      <w:r w:rsidRPr="00DD67AC">
        <w:t>: Number of responses by stakeholder category</w:t>
      </w:r>
    </w:p>
    <w:tbl>
      <w:tblPr>
        <w:tblStyle w:val="TableGrid"/>
        <w:tblW w:w="0" w:type="auto"/>
        <w:tblInd w:w="679" w:type="dxa"/>
        <w:tblLook w:val="04A0" w:firstRow="1" w:lastRow="0" w:firstColumn="1" w:lastColumn="0" w:noHBand="0" w:noVBand="1"/>
        <w:tblCaption w:val="Number of responeses by stakeholder category"/>
      </w:tblPr>
      <w:tblGrid>
        <w:gridCol w:w="3804"/>
        <w:gridCol w:w="2150"/>
      </w:tblGrid>
      <w:tr w:rsidR="00BC2953" w:rsidRPr="00137683" w14:paraId="46EB846D" w14:textId="77777777" w:rsidTr="00137683">
        <w:trPr>
          <w:cnfStyle w:val="100000000000" w:firstRow="1" w:lastRow="0" w:firstColumn="0" w:lastColumn="0" w:oddVBand="0" w:evenVBand="0" w:oddHBand="0" w:evenHBand="0" w:firstRowFirstColumn="0" w:firstRowLastColumn="0" w:lastRowFirstColumn="0" w:lastRowLastColumn="0"/>
          <w:tblHeader/>
        </w:trPr>
        <w:tc>
          <w:tcPr>
            <w:tcW w:w="3804" w:type="dxa"/>
          </w:tcPr>
          <w:p w14:paraId="2BB72150" w14:textId="77777777" w:rsidR="00BC2953" w:rsidRPr="00137683" w:rsidRDefault="00BC2953" w:rsidP="00030BC1">
            <w:pPr>
              <w:rPr>
                <w:rFonts w:ascii="Arial" w:hAnsi="Arial" w:cs="Arial"/>
                <w:sz w:val="22"/>
                <w:szCs w:val="22"/>
              </w:rPr>
            </w:pPr>
            <w:r w:rsidRPr="00137683">
              <w:rPr>
                <w:rFonts w:ascii="Arial" w:hAnsi="Arial" w:cs="Arial"/>
                <w:sz w:val="22"/>
                <w:szCs w:val="22"/>
              </w:rPr>
              <w:t>Sector category</w:t>
            </w:r>
          </w:p>
        </w:tc>
        <w:tc>
          <w:tcPr>
            <w:tcW w:w="2150" w:type="dxa"/>
          </w:tcPr>
          <w:p w14:paraId="2B85CBE3" w14:textId="77777777" w:rsidR="00BC2953" w:rsidRPr="00137683" w:rsidRDefault="00BC2953" w:rsidP="00030BC1">
            <w:pPr>
              <w:rPr>
                <w:rFonts w:ascii="Arial" w:hAnsi="Arial" w:cs="Arial"/>
                <w:sz w:val="22"/>
                <w:szCs w:val="22"/>
              </w:rPr>
            </w:pPr>
            <w:r w:rsidRPr="00137683">
              <w:rPr>
                <w:rFonts w:ascii="Arial" w:hAnsi="Arial" w:cs="Arial"/>
                <w:sz w:val="22"/>
                <w:szCs w:val="22"/>
              </w:rPr>
              <w:t>No. of submissions</w:t>
            </w:r>
          </w:p>
        </w:tc>
      </w:tr>
      <w:tr w:rsidR="00BC2953" w:rsidRPr="00137683" w14:paraId="53FE3ACE" w14:textId="77777777" w:rsidTr="00137683">
        <w:tc>
          <w:tcPr>
            <w:tcW w:w="3804" w:type="dxa"/>
          </w:tcPr>
          <w:p w14:paraId="544435F1" w14:textId="77777777" w:rsidR="00BC2953" w:rsidRPr="00137683" w:rsidRDefault="00BC2953" w:rsidP="00030BC1">
            <w:pPr>
              <w:rPr>
                <w:rFonts w:ascii="Arial" w:hAnsi="Arial" w:cs="Arial"/>
                <w:sz w:val="22"/>
                <w:szCs w:val="22"/>
              </w:rPr>
            </w:pPr>
            <w:r w:rsidRPr="00137683">
              <w:rPr>
                <w:rFonts w:ascii="Arial" w:hAnsi="Arial" w:cs="Arial"/>
                <w:sz w:val="22"/>
                <w:szCs w:val="22"/>
              </w:rPr>
              <w:t>Health service organisation</w:t>
            </w:r>
          </w:p>
        </w:tc>
        <w:tc>
          <w:tcPr>
            <w:tcW w:w="2150" w:type="dxa"/>
          </w:tcPr>
          <w:p w14:paraId="57D6516A" w14:textId="77777777" w:rsidR="00BC2953" w:rsidRPr="00137683" w:rsidRDefault="00BC2953" w:rsidP="00030BC1">
            <w:pPr>
              <w:rPr>
                <w:rFonts w:ascii="Arial" w:hAnsi="Arial" w:cs="Arial"/>
                <w:sz w:val="22"/>
                <w:szCs w:val="22"/>
              </w:rPr>
            </w:pPr>
            <w:r w:rsidRPr="00137683">
              <w:rPr>
                <w:rFonts w:ascii="Arial" w:hAnsi="Arial" w:cs="Arial"/>
                <w:sz w:val="22"/>
                <w:szCs w:val="22"/>
              </w:rPr>
              <w:t>29</w:t>
            </w:r>
          </w:p>
        </w:tc>
      </w:tr>
      <w:tr w:rsidR="00BC2953" w:rsidRPr="00137683" w14:paraId="4B419195" w14:textId="77777777" w:rsidTr="00137683">
        <w:tc>
          <w:tcPr>
            <w:tcW w:w="3804" w:type="dxa"/>
          </w:tcPr>
          <w:p w14:paraId="5B22CEDF" w14:textId="77777777" w:rsidR="00BC2953" w:rsidRPr="00137683" w:rsidRDefault="00BC2953" w:rsidP="00030BC1">
            <w:pPr>
              <w:rPr>
                <w:rFonts w:ascii="Arial" w:hAnsi="Arial" w:cs="Arial"/>
                <w:sz w:val="22"/>
                <w:szCs w:val="22"/>
              </w:rPr>
            </w:pPr>
            <w:r w:rsidRPr="00137683">
              <w:rPr>
                <w:rFonts w:ascii="Arial" w:hAnsi="Arial" w:cs="Arial"/>
                <w:sz w:val="22"/>
                <w:szCs w:val="22"/>
              </w:rPr>
              <w:t>Health department</w:t>
            </w:r>
          </w:p>
        </w:tc>
        <w:tc>
          <w:tcPr>
            <w:tcW w:w="2150" w:type="dxa"/>
          </w:tcPr>
          <w:p w14:paraId="61671947" w14:textId="77777777" w:rsidR="00BC2953" w:rsidRPr="00137683" w:rsidRDefault="00BC2953" w:rsidP="00030BC1">
            <w:pPr>
              <w:rPr>
                <w:rFonts w:ascii="Arial" w:hAnsi="Arial" w:cs="Arial"/>
                <w:sz w:val="22"/>
                <w:szCs w:val="22"/>
              </w:rPr>
            </w:pPr>
            <w:r w:rsidRPr="00137683">
              <w:rPr>
                <w:rFonts w:ascii="Arial" w:hAnsi="Arial" w:cs="Arial"/>
                <w:sz w:val="22"/>
                <w:szCs w:val="22"/>
              </w:rPr>
              <w:t>11</w:t>
            </w:r>
          </w:p>
        </w:tc>
      </w:tr>
      <w:tr w:rsidR="00BC2953" w:rsidRPr="00137683" w14:paraId="4E5D45ED" w14:textId="77777777" w:rsidTr="00137683">
        <w:tc>
          <w:tcPr>
            <w:tcW w:w="3804" w:type="dxa"/>
          </w:tcPr>
          <w:p w14:paraId="2D7AE456" w14:textId="77777777" w:rsidR="00BC2953" w:rsidRPr="00137683" w:rsidRDefault="00BC2953" w:rsidP="00030BC1">
            <w:pPr>
              <w:rPr>
                <w:rFonts w:ascii="Arial" w:hAnsi="Arial" w:cs="Arial"/>
                <w:sz w:val="22"/>
                <w:szCs w:val="22"/>
              </w:rPr>
            </w:pPr>
            <w:r w:rsidRPr="00137683">
              <w:rPr>
                <w:rFonts w:ascii="Arial" w:hAnsi="Arial" w:cs="Arial"/>
                <w:sz w:val="22"/>
                <w:szCs w:val="22"/>
              </w:rPr>
              <w:t>Accrediting agency</w:t>
            </w:r>
          </w:p>
        </w:tc>
        <w:tc>
          <w:tcPr>
            <w:tcW w:w="2150" w:type="dxa"/>
          </w:tcPr>
          <w:p w14:paraId="5E967D99" w14:textId="77777777" w:rsidR="00BC2953" w:rsidRPr="00137683" w:rsidRDefault="00BC2953" w:rsidP="00030BC1">
            <w:pPr>
              <w:rPr>
                <w:rFonts w:ascii="Arial" w:hAnsi="Arial" w:cs="Arial"/>
                <w:sz w:val="22"/>
                <w:szCs w:val="22"/>
              </w:rPr>
            </w:pPr>
            <w:r w:rsidRPr="00137683">
              <w:rPr>
                <w:rFonts w:ascii="Arial" w:hAnsi="Arial" w:cs="Arial"/>
                <w:sz w:val="22"/>
                <w:szCs w:val="22"/>
              </w:rPr>
              <w:t>5</w:t>
            </w:r>
          </w:p>
        </w:tc>
      </w:tr>
      <w:tr w:rsidR="00BC2953" w:rsidRPr="00137683" w14:paraId="576577E7" w14:textId="77777777" w:rsidTr="00137683">
        <w:tc>
          <w:tcPr>
            <w:tcW w:w="3804" w:type="dxa"/>
          </w:tcPr>
          <w:p w14:paraId="6B506BCA" w14:textId="77777777" w:rsidR="00BC2953" w:rsidRPr="00137683" w:rsidRDefault="00BC2953" w:rsidP="00030BC1">
            <w:pPr>
              <w:rPr>
                <w:rFonts w:ascii="Arial" w:hAnsi="Arial" w:cs="Arial"/>
                <w:sz w:val="22"/>
                <w:szCs w:val="22"/>
              </w:rPr>
            </w:pPr>
            <w:r w:rsidRPr="00137683">
              <w:rPr>
                <w:rFonts w:ascii="Arial" w:hAnsi="Arial" w:cs="Arial"/>
                <w:sz w:val="22"/>
                <w:szCs w:val="22"/>
              </w:rPr>
              <w:t>Consumer</w:t>
            </w:r>
          </w:p>
        </w:tc>
        <w:tc>
          <w:tcPr>
            <w:tcW w:w="2150" w:type="dxa"/>
          </w:tcPr>
          <w:p w14:paraId="0744044B" w14:textId="77777777" w:rsidR="00BC2953" w:rsidRPr="00137683" w:rsidRDefault="00BC2953" w:rsidP="00030BC1">
            <w:pPr>
              <w:rPr>
                <w:rFonts w:ascii="Arial" w:hAnsi="Arial" w:cs="Arial"/>
                <w:sz w:val="22"/>
                <w:szCs w:val="22"/>
              </w:rPr>
            </w:pPr>
            <w:r w:rsidRPr="00137683">
              <w:rPr>
                <w:rFonts w:ascii="Arial" w:hAnsi="Arial" w:cs="Arial"/>
                <w:sz w:val="22"/>
                <w:szCs w:val="22"/>
              </w:rPr>
              <w:t>4</w:t>
            </w:r>
          </w:p>
        </w:tc>
      </w:tr>
      <w:tr w:rsidR="00BC2953" w:rsidRPr="00137683" w14:paraId="3EA3EF1F" w14:textId="77777777" w:rsidTr="00137683">
        <w:tc>
          <w:tcPr>
            <w:tcW w:w="3804" w:type="dxa"/>
            <w:tcBorders>
              <w:bottom w:val="single" w:sz="4" w:space="0" w:color="auto"/>
            </w:tcBorders>
          </w:tcPr>
          <w:p w14:paraId="6AB5BDC5" w14:textId="77777777" w:rsidR="00BC2953" w:rsidRPr="00137683" w:rsidRDefault="00BC2953" w:rsidP="00030BC1">
            <w:pPr>
              <w:rPr>
                <w:rFonts w:ascii="Arial" w:hAnsi="Arial" w:cs="Arial"/>
                <w:sz w:val="22"/>
                <w:szCs w:val="22"/>
              </w:rPr>
            </w:pPr>
            <w:r w:rsidRPr="00137683">
              <w:rPr>
                <w:rFonts w:ascii="Arial" w:hAnsi="Arial" w:cs="Arial"/>
                <w:sz w:val="22"/>
                <w:szCs w:val="22"/>
              </w:rPr>
              <w:t>Primary care service</w:t>
            </w:r>
          </w:p>
        </w:tc>
        <w:tc>
          <w:tcPr>
            <w:tcW w:w="2150" w:type="dxa"/>
            <w:tcBorders>
              <w:bottom w:val="single" w:sz="4" w:space="0" w:color="auto"/>
            </w:tcBorders>
          </w:tcPr>
          <w:p w14:paraId="593E1B23" w14:textId="77777777" w:rsidR="00BC2953" w:rsidRPr="00137683" w:rsidRDefault="00BC2953" w:rsidP="00030BC1">
            <w:pPr>
              <w:rPr>
                <w:rFonts w:ascii="Arial" w:hAnsi="Arial" w:cs="Arial"/>
                <w:sz w:val="22"/>
                <w:szCs w:val="22"/>
              </w:rPr>
            </w:pPr>
            <w:r w:rsidRPr="00137683">
              <w:rPr>
                <w:rFonts w:ascii="Arial" w:hAnsi="Arial" w:cs="Arial"/>
                <w:sz w:val="22"/>
                <w:szCs w:val="22"/>
              </w:rPr>
              <w:t>5</w:t>
            </w:r>
          </w:p>
        </w:tc>
      </w:tr>
      <w:tr w:rsidR="00BC2953" w:rsidRPr="00137683" w14:paraId="6B6D55DA" w14:textId="77777777" w:rsidTr="00137683">
        <w:tc>
          <w:tcPr>
            <w:tcW w:w="3804" w:type="dxa"/>
            <w:tcBorders>
              <w:top w:val="single" w:sz="4" w:space="0" w:color="auto"/>
              <w:bottom w:val="single" w:sz="4" w:space="0" w:color="auto"/>
            </w:tcBorders>
          </w:tcPr>
          <w:p w14:paraId="32195732" w14:textId="77777777" w:rsidR="00BC2953" w:rsidRPr="00137683" w:rsidRDefault="00BC2953" w:rsidP="00030BC1">
            <w:pPr>
              <w:rPr>
                <w:rFonts w:ascii="Arial" w:hAnsi="Arial" w:cs="Arial"/>
                <w:sz w:val="22"/>
                <w:szCs w:val="22"/>
              </w:rPr>
            </w:pPr>
            <w:r w:rsidRPr="00137683">
              <w:rPr>
                <w:rFonts w:ascii="Arial" w:hAnsi="Arial" w:cs="Arial"/>
                <w:sz w:val="22"/>
                <w:szCs w:val="22"/>
              </w:rPr>
              <w:t>Total</w:t>
            </w:r>
          </w:p>
        </w:tc>
        <w:tc>
          <w:tcPr>
            <w:tcW w:w="2150" w:type="dxa"/>
            <w:tcBorders>
              <w:top w:val="single" w:sz="4" w:space="0" w:color="auto"/>
              <w:bottom w:val="single" w:sz="4" w:space="0" w:color="auto"/>
            </w:tcBorders>
          </w:tcPr>
          <w:p w14:paraId="1132F854" w14:textId="77777777" w:rsidR="00BC2953" w:rsidRPr="00137683" w:rsidRDefault="00BC2953" w:rsidP="00030BC1">
            <w:pPr>
              <w:rPr>
                <w:rFonts w:ascii="Arial" w:hAnsi="Arial" w:cs="Arial"/>
                <w:sz w:val="22"/>
                <w:szCs w:val="22"/>
              </w:rPr>
            </w:pPr>
            <w:r w:rsidRPr="00137683">
              <w:rPr>
                <w:rFonts w:ascii="Arial" w:hAnsi="Arial" w:cs="Arial"/>
                <w:sz w:val="22"/>
                <w:szCs w:val="22"/>
              </w:rPr>
              <w:t>54</w:t>
            </w:r>
          </w:p>
        </w:tc>
      </w:tr>
    </w:tbl>
    <w:p w14:paraId="5C8373E5" w14:textId="77777777" w:rsidR="00BC2953" w:rsidRPr="00DD67AC" w:rsidRDefault="00BC2953" w:rsidP="00BC2953">
      <w:pPr>
        <w:pStyle w:val="Heading1"/>
      </w:pPr>
      <w:bookmarkStart w:id="8" w:name="_Toc461178321"/>
      <w:r w:rsidRPr="00DD67AC">
        <w:t>Section 5</w:t>
      </w:r>
      <w:r w:rsidRPr="00DD67AC">
        <w:tab/>
        <w:t>Impact analysis</w:t>
      </w:r>
      <w:bookmarkEnd w:id="8"/>
    </w:p>
    <w:p w14:paraId="3A020104" w14:textId="77777777" w:rsidR="00BC2953" w:rsidRPr="00DD67AC" w:rsidRDefault="00BC2953" w:rsidP="00BC2953">
      <w:pPr>
        <w:pStyle w:val="Normal2"/>
      </w:pPr>
      <w:r w:rsidRPr="00DD67AC">
        <w:t>The impact analysis for the review of the NSQHS Stan</w:t>
      </w:r>
      <w:r w:rsidR="00137683">
        <w:t>dards was undertaken over a two-</w:t>
      </w:r>
      <w:r w:rsidRPr="00DD67AC">
        <w:t>year period and has involved an extensive consultation process.</w:t>
      </w:r>
    </w:p>
    <w:p w14:paraId="79EDD4B6" w14:textId="77777777" w:rsidR="00BC2953" w:rsidRPr="00DD67AC" w:rsidRDefault="00BC2953" w:rsidP="00BC2953">
      <w:pPr>
        <w:pStyle w:val="Normal2"/>
      </w:pPr>
      <w:r w:rsidRPr="00DD67AC">
        <w:t xml:space="preserve">It began with the initial consultation and piloting processes that were undertaken during </w:t>
      </w:r>
      <w:r>
        <w:t xml:space="preserve">the </w:t>
      </w:r>
      <w:r w:rsidRPr="00DD67AC">
        <w:t xml:space="preserve">review of the NSQHS Standards. During this time an extensive range of stakeholders were consulted. Over 980 people participated in various forums organised by the Commission, which included focus groups, piloting, surveys, written submissions and workshops. A summary of these activities and the feedback received is included at Appendix 2. </w:t>
      </w:r>
    </w:p>
    <w:p w14:paraId="3406374A" w14:textId="77777777" w:rsidR="00BC2953" w:rsidRPr="00DD67AC" w:rsidRDefault="00BC2953" w:rsidP="00BC2953">
      <w:pPr>
        <w:pStyle w:val="Normal2"/>
      </w:pPr>
      <w:r w:rsidRPr="00DD67AC">
        <w:t>In addition the Commission attended conferences and meetings during this time reaching an estimated 2,700 people.</w:t>
      </w:r>
    </w:p>
    <w:p w14:paraId="6D83DE62" w14:textId="77777777" w:rsidR="00BC2953" w:rsidRPr="00DD67AC" w:rsidRDefault="00BC2953" w:rsidP="00BC2953">
      <w:pPr>
        <w:pStyle w:val="Normal2"/>
      </w:pPr>
      <w:r w:rsidRPr="00DD67AC">
        <w:t>This section analyses the infor</w:t>
      </w:r>
      <w:r w:rsidR="00137683">
        <w:t>mation from submissions to the C</w:t>
      </w:r>
      <w:r w:rsidRPr="00DD67AC">
        <w:t xml:space="preserve">onsultation RIS and includes analysis of the costs and benefits of each option. </w:t>
      </w:r>
    </w:p>
    <w:p w14:paraId="76F740E5" w14:textId="77777777" w:rsidR="00BC2953" w:rsidRPr="00DD67AC" w:rsidRDefault="00BC2953" w:rsidP="00BC2953">
      <w:pPr>
        <w:pStyle w:val="Heading2"/>
      </w:pPr>
      <w:r w:rsidRPr="00DD67AC">
        <w:t>5.1</w:t>
      </w:r>
      <w:r w:rsidRPr="00DD67AC">
        <w:tab/>
        <w:t xml:space="preserve">Feedback on option 1 </w:t>
      </w:r>
    </w:p>
    <w:p w14:paraId="06819598" w14:textId="6DC0B3A7" w:rsidR="00BC2953" w:rsidRPr="00DD67AC" w:rsidRDefault="00BC2953" w:rsidP="00BC2953">
      <w:pPr>
        <w:pStyle w:val="Normal2"/>
      </w:pPr>
      <w:r w:rsidRPr="00DD67AC">
        <w:t>The consultation RIS provided an</w:t>
      </w:r>
      <w:r w:rsidRPr="00DD67AC">
        <w:rPr>
          <w:rFonts w:eastAsiaTheme="minorEastAsia"/>
        </w:rPr>
        <w:t xml:space="preserve"> analysis of the costs and benefits for each stakeholder group, see </w:t>
      </w:r>
      <w:r w:rsidRPr="00DD67AC">
        <w:rPr>
          <w:rFonts w:eastAsiaTheme="minorEastAsia"/>
        </w:rPr>
        <w:fldChar w:fldCharType="begin"/>
      </w:r>
      <w:r w:rsidRPr="00DD67AC">
        <w:rPr>
          <w:rFonts w:eastAsiaTheme="minorEastAsia"/>
        </w:rPr>
        <w:instrText xml:space="preserve"> REF _Ref459017582 \h  \* MERGEFORMAT </w:instrText>
      </w:r>
      <w:r w:rsidRPr="00DD67AC">
        <w:rPr>
          <w:rFonts w:eastAsiaTheme="minorEastAsia"/>
        </w:rPr>
      </w:r>
      <w:r w:rsidRPr="00DD67AC">
        <w:rPr>
          <w:rFonts w:eastAsiaTheme="minorEastAsia"/>
        </w:rPr>
        <w:fldChar w:fldCharType="separate"/>
      </w:r>
      <w:r w:rsidR="0068597B" w:rsidRPr="00DD67AC">
        <w:t xml:space="preserve">Table </w:t>
      </w:r>
      <w:r w:rsidR="0068597B">
        <w:t>5</w:t>
      </w:r>
      <w:r w:rsidRPr="00DD67AC">
        <w:rPr>
          <w:rFonts w:eastAsiaTheme="minorEastAsia"/>
        </w:rPr>
        <w:fldChar w:fldCharType="end"/>
      </w:r>
      <w:r w:rsidRPr="00DD67AC">
        <w:rPr>
          <w:rFonts w:eastAsiaTheme="minorEastAsia"/>
        </w:rPr>
        <w:t xml:space="preserve">. </w:t>
      </w:r>
      <w:r w:rsidRPr="00DD67AC">
        <w:t xml:space="preserve">Respondents did not provide additional comments on this analysis. </w:t>
      </w:r>
    </w:p>
    <w:p w14:paraId="34549A32" w14:textId="77777777" w:rsidR="00BC2953" w:rsidRPr="00DD67AC" w:rsidRDefault="00BC2953" w:rsidP="00BC2953">
      <w:pPr>
        <w:pStyle w:val="Caption"/>
        <w:rPr>
          <w:rFonts w:eastAsiaTheme="minorEastAsia"/>
        </w:rPr>
      </w:pPr>
      <w:bookmarkStart w:id="9" w:name="_Ref459017582"/>
      <w:r w:rsidRPr="00DD67AC">
        <w:t xml:space="preserve">Table </w:t>
      </w:r>
      <w:fldSimple w:instr=" SEQ Table \* ARABIC ">
        <w:r w:rsidR="0068597B">
          <w:rPr>
            <w:noProof/>
          </w:rPr>
          <w:t>5</w:t>
        </w:r>
      </w:fldSimple>
      <w:bookmarkEnd w:id="9"/>
      <w:r w:rsidRPr="00DD67AC">
        <w:t>: Analysis of costs and benefits of option 1</w:t>
      </w:r>
      <w:r w:rsidRPr="00DD67AC">
        <w:rPr>
          <w:rFonts w:eastAsiaTheme="minorEastAsia"/>
        </w:rPr>
        <w:t xml:space="preserve"> </w:t>
      </w:r>
    </w:p>
    <w:tbl>
      <w:tblPr>
        <w:tblStyle w:val="MediumShading1-Accent1"/>
        <w:tblW w:w="9178"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6A0" w:firstRow="1" w:lastRow="0" w:firstColumn="1" w:lastColumn="0" w:noHBand="1" w:noVBand="1"/>
        <w:tblCaption w:val="Analysis of costs and benefits for option 1"/>
      </w:tblPr>
      <w:tblGrid>
        <w:gridCol w:w="9178"/>
      </w:tblGrid>
      <w:tr w:rsidR="00BC2953" w:rsidRPr="00AD3B6B" w14:paraId="6982EFD1" w14:textId="77777777" w:rsidTr="00775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8" w:type="dxa"/>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2CAC4FED" w14:textId="77777777" w:rsidR="00BC2953" w:rsidRPr="00AD3B6B" w:rsidRDefault="00775FB3" w:rsidP="00775FB3">
            <w:pPr>
              <w:pStyle w:val="Normal2"/>
              <w:spacing w:before="60" w:after="60"/>
            </w:pPr>
            <w:r>
              <w:t>Consumers</w:t>
            </w:r>
          </w:p>
        </w:tc>
      </w:tr>
      <w:tr w:rsidR="00775FB3" w:rsidRPr="00AD3B6B" w14:paraId="5EBB35A3"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vAlign w:val="center"/>
          </w:tcPr>
          <w:p w14:paraId="5F371205" w14:textId="77777777" w:rsidR="00775FB3" w:rsidRPr="00AD3B6B" w:rsidRDefault="00775FB3" w:rsidP="00775FB3">
            <w:pPr>
              <w:pStyle w:val="Normal2"/>
              <w:spacing w:before="60" w:after="60"/>
            </w:pPr>
            <w:r>
              <w:t>Costs</w:t>
            </w:r>
          </w:p>
        </w:tc>
      </w:tr>
      <w:tr w:rsidR="00775FB3" w:rsidRPr="00AD3B6B" w14:paraId="2471D98B"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4F0596AA" w14:textId="77777777" w:rsidR="00775FB3" w:rsidRPr="00AD3B6B" w:rsidRDefault="00775FB3" w:rsidP="00775FB3">
            <w:pPr>
              <w:pStyle w:val="Normal2"/>
              <w:numPr>
                <w:ilvl w:val="0"/>
                <w:numId w:val="76"/>
              </w:numPr>
              <w:spacing w:before="60" w:after="60"/>
              <w:rPr>
                <w:rFonts w:cs="Arial"/>
              </w:rPr>
            </w:pPr>
            <w:proofErr w:type="gramStart"/>
            <w:r w:rsidRPr="00AD3B6B">
              <w:rPr>
                <w:rFonts w:cs="Arial"/>
              </w:rPr>
              <w:t>new</w:t>
            </w:r>
            <w:proofErr w:type="gramEnd"/>
            <w:r w:rsidRPr="00AD3B6B">
              <w:rPr>
                <w:rFonts w:cs="Arial"/>
              </w:rPr>
              <w:t xml:space="preserve"> areas covered in version 2 of the NSQHS Standards not being addressed in a systematic way, and care being provided that does not meet their needs.</w:t>
            </w:r>
          </w:p>
        </w:tc>
      </w:tr>
      <w:tr w:rsidR="00775FB3" w:rsidRPr="00AD3B6B" w14:paraId="023EEB6B"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3EB35E8C" w14:textId="77777777" w:rsidR="00775FB3" w:rsidRPr="00775FB3" w:rsidRDefault="00775FB3" w:rsidP="00775FB3">
            <w:pPr>
              <w:pStyle w:val="Normal2"/>
              <w:spacing w:before="60" w:after="60"/>
              <w:rPr>
                <w:rFonts w:cs="Arial"/>
              </w:rPr>
            </w:pPr>
            <w:r w:rsidRPr="00AD3B6B">
              <w:rPr>
                <w:rFonts w:cs="Arial"/>
              </w:rPr>
              <w:t xml:space="preserve">Benefits include: </w:t>
            </w:r>
          </w:p>
        </w:tc>
      </w:tr>
      <w:tr w:rsidR="00775FB3" w:rsidRPr="00AD3B6B" w14:paraId="79FD26BB"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42DA1115" w14:textId="77777777" w:rsidR="00775FB3" w:rsidRDefault="00775FB3" w:rsidP="00775FB3">
            <w:pPr>
              <w:pStyle w:val="Normal2"/>
              <w:numPr>
                <w:ilvl w:val="0"/>
                <w:numId w:val="76"/>
              </w:numPr>
              <w:spacing w:before="60" w:after="60"/>
              <w:rPr>
                <w:rFonts w:cs="Arial"/>
              </w:rPr>
            </w:pPr>
            <w:r w:rsidRPr="00AD3B6B">
              <w:rPr>
                <w:rFonts w:cs="Arial"/>
              </w:rPr>
              <w:t>further reduction in the risk of harm in the areas covered by version 1</w:t>
            </w:r>
          </w:p>
          <w:p w14:paraId="42CE28B9" w14:textId="77777777" w:rsidR="00775FB3" w:rsidRPr="00775FB3" w:rsidRDefault="00775FB3" w:rsidP="00775FB3">
            <w:pPr>
              <w:pStyle w:val="Normal2"/>
              <w:numPr>
                <w:ilvl w:val="0"/>
                <w:numId w:val="76"/>
              </w:numPr>
              <w:spacing w:before="60" w:after="60"/>
              <w:rPr>
                <w:rFonts w:cs="Arial"/>
              </w:rPr>
            </w:pPr>
            <w:proofErr w:type="gramStart"/>
            <w:r w:rsidRPr="00775FB3">
              <w:rPr>
                <w:rFonts w:cs="Arial"/>
              </w:rPr>
              <w:t>access</w:t>
            </w:r>
            <w:proofErr w:type="gramEnd"/>
            <w:r w:rsidRPr="00775FB3">
              <w:rPr>
                <w:rFonts w:cs="Arial"/>
              </w:rPr>
              <w:t xml:space="preserve"> to comparable information on accredited health service organisations driving improvement strategies at all levels.</w:t>
            </w:r>
          </w:p>
        </w:tc>
      </w:tr>
      <w:tr w:rsidR="00BC2953" w:rsidRPr="00AD3B6B" w14:paraId="17632C64"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244061" w:themeFill="accent1" w:themeFillShade="80"/>
            <w:vAlign w:val="center"/>
          </w:tcPr>
          <w:p w14:paraId="7FC3D8DA" w14:textId="77777777" w:rsidR="00BC2953" w:rsidRPr="00AD3B6B" w:rsidRDefault="00BC2953" w:rsidP="00775FB3">
            <w:pPr>
              <w:pStyle w:val="Normal2"/>
              <w:spacing w:before="60" w:after="60"/>
            </w:pPr>
            <w:r w:rsidRPr="00AD3B6B">
              <w:t>Health service organisations</w:t>
            </w:r>
          </w:p>
        </w:tc>
      </w:tr>
      <w:tr w:rsidR="00775FB3" w:rsidRPr="00AD3B6B" w14:paraId="7BEC28B5"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52AAC248" w14:textId="77777777" w:rsidR="00775FB3" w:rsidRPr="00AD3B6B" w:rsidRDefault="00775FB3" w:rsidP="00775FB3">
            <w:pPr>
              <w:pStyle w:val="Normal2"/>
              <w:spacing w:before="60" w:after="60"/>
              <w:rPr>
                <w:rFonts w:cs="Arial"/>
              </w:rPr>
            </w:pPr>
            <w:r w:rsidRPr="00AD3B6B">
              <w:rPr>
                <w:rFonts w:cs="Arial"/>
              </w:rPr>
              <w:t>Costs</w:t>
            </w:r>
          </w:p>
        </w:tc>
      </w:tr>
      <w:tr w:rsidR="00775FB3" w:rsidRPr="00AD3B6B" w14:paraId="15A91C8B"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2DE29ED1" w14:textId="77777777" w:rsidR="00775FB3" w:rsidRPr="00AD3B6B" w:rsidRDefault="00775FB3" w:rsidP="00775FB3">
            <w:pPr>
              <w:pStyle w:val="Normal2"/>
              <w:numPr>
                <w:ilvl w:val="0"/>
                <w:numId w:val="75"/>
              </w:numPr>
              <w:spacing w:before="60" w:after="60"/>
              <w:rPr>
                <w:rFonts w:cs="Arial"/>
              </w:rPr>
            </w:pPr>
            <w:r w:rsidRPr="00AD3B6B">
              <w:rPr>
                <w:rFonts w:cs="Arial"/>
              </w:rPr>
              <w:t xml:space="preserve">potential continuing or increasing costs from uncoordinated management of areas that are not covered by the NSQHS Standards, but for which there is evidence that safety and quality gaps exist </w:t>
            </w:r>
          </w:p>
          <w:p w14:paraId="69F38387" w14:textId="77777777" w:rsidR="00775FB3" w:rsidRDefault="00775FB3" w:rsidP="00775FB3">
            <w:pPr>
              <w:pStyle w:val="Normal2"/>
              <w:numPr>
                <w:ilvl w:val="0"/>
                <w:numId w:val="75"/>
              </w:numPr>
              <w:spacing w:before="60" w:after="60"/>
              <w:rPr>
                <w:rFonts w:cs="Arial"/>
              </w:rPr>
            </w:pPr>
            <w:r w:rsidRPr="00AD3B6B">
              <w:rPr>
                <w:rFonts w:cs="Arial"/>
              </w:rPr>
              <w:t>ongoing cost of complying with Standards that are known to have unnecessary duplication and high audit requirements</w:t>
            </w:r>
          </w:p>
          <w:p w14:paraId="3E09B673" w14:textId="77777777" w:rsidR="00775FB3" w:rsidRPr="00775FB3" w:rsidRDefault="00775FB3" w:rsidP="00775FB3">
            <w:pPr>
              <w:pStyle w:val="Normal2"/>
              <w:numPr>
                <w:ilvl w:val="0"/>
                <w:numId w:val="75"/>
              </w:numPr>
              <w:spacing w:before="60" w:after="60"/>
              <w:rPr>
                <w:rFonts w:cs="Arial"/>
              </w:rPr>
            </w:pPr>
            <w:proofErr w:type="gramStart"/>
            <w:r w:rsidRPr="00775FB3">
              <w:rPr>
                <w:rFonts w:cs="Arial"/>
              </w:rPr>
              <w:t>implementation</w:t>
            </w:r>
            <w:proofErr w:type="gramEnd"/>
            <w:r w:rsidRPr="00775FB3">
              <w:rPr>
                <w:rFonts w:cs="Arial"/>
              </w:rPr>
              <w:t xml:space="preserve"> issues remaining unresolved and burdensome for health service organisations.</w:t>
            </w:r>
          </w:p>
        </w:tc>
      </w:tr>
      <w:tr w:rsidR="00775FB3" w:rsidRPr="00AD3B6B" w14:paraId="2EF4539B"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13B8ADE8" w14:textId="77777777" w:rsidR="00775FB3" w:rsidRPr="00AD3B6B" w:rsidRDefault="00775FB3" w:rsidP="00775FB3">
            <w:pPr>
              <w:pStyle w:val="Normal2"/>
              <w:spacing w:before="60" w:after="60"/>
            </w:pPr>
            <w:r w:rsidRPr="00AD3B6B">
              <w:rPr>
                <w:rFonts w:cs="Arial"/>
              </w:rPr>
              <w:t>Benefits include</w:t>
            </w:r>
          </w:p>
        </w:tc>
      </w:tr>
      <w:tr w:rsidR="00775FB3" w:rsidRPr="00AD3B6B" w14:paraId="4544472B"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6E382F3B" w14:textId="77777777" w:rsidR="00775FB3" w:rsidRDefault="00775FB3" w:rsidP="00775FB3">
            <w:pPr>
              <w:pStyle w:val="Normal2"/>
              <w:numPr>
                <w:ilvl w:val="0"/>
                <w:numId w:val="75"/>
              </w:numPr>
              <w:spacing w:before="60" w:after="60"/>
              <w:rPr>
                <w:rFonts w:cs="Arial"/>
              </w:rPr>
            </w:pPr>
            <w:r w:rsidRPr="00AD3B6B">
              <w:rPr>
                <w:rFonts w:cs="Arial"/>
              </w:rPr>
              <w:t>systems to meet version 1 are already in place and would continue to apply, with no additional requirements for health service organisations to establish further safety and qu</w:t>
            </w:r>
            <w:r>
              <w:rPr>
                <w:rFonts w:cs="Arial"/>
              </w:rPr>
              <w:t>ality systems</w:t>
            </w:r>
          </w:p>
          <w:p w14:paraId="7C78E709" w14:textId="77777777" w:rsidR="00775FB3" w:rsidRPr="00775FB3" w:rsidRDefault="00775FB3" w:rsidP="00775FB3">
            <w:pPr>
              <w:pStyle w:val="Normal2"/>
              <w:numPr>
                <w:ilvl w:val="0"/>
                <w:numId w:val="75"/>
              </w:numPr>
              <w:spacing w:before="60" w:after="60"/>
              <w:rPr>
                <w:rFonts w:cs="Arial"/>
              </w:rPr>
            </w:pPr>
            <w:proofErr w:type="gramStart"/>
            <w:r w:rsidRPr="00775FB3">
              <w:rPr>
                <w:rFonts w:cs="Arial"/>
              </w:rPr>
              <w:t>provides</w:t>
            </w:r>
            <w:proofErr w:type="gramEnd"/>
            <w:r w:rsidRPr="00775FB3">
              <w:rPr>
                <w:rFonts w:cs="Arial"/>
              </w:rPr>
              <w:t xml:space="preserve"> time for some organisations to fully embed version 1 of the NSQHS Standards.</w:t>
            </w:r>
          </w:p>
        </w:tc>
      </w:tr>
      <w:tr w:rsidR="00BC2953" w:rsidRPr="00AD3B6B" w14:paraId="142C68D1"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244061" w:themeFill="accent1" w:themeFillShade="80"/>
            <w:vAlign w:val="center"/>
          </w:tcPr>
          <w:p w14:paraId="676B230C" w14:textId="77777777" w:rsidR="00BC2953" w:rsidRPr="00AD3B6B" w:rsidRDefault="00BC2953" w:rsidP="00775FB3">
            <w:pPr>
              <w:pStyle w:val="Normal2"/>
              <w:spacing w:before="60" w:after="60"/>
            </w:pPr>
            <w:r w:rsidRPr="00AD3B6B">
              <w:t>Jurisdictions</w:t>
            </w:r>
            <w:r w:rsidRPr="00AD3B6B" w:rsidDel="00E03BB7">
              <w:t xml:space="preserve"> </w:t>
            </w:r>
          </w:p>
        </w:tc>
      </w:tr>
      <w:tr w:rsidR="00775FB3" w:rsidRPr="00AD3B6B" w14:paraId="3A277DF8"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06BDCB28" w14:textId="77777777" w:rsidR="00775FB3" w:rsidRPr="00775FB3" w:rsidRDefault="00775FB3" w:rsidP="00775FB3">
            <w:pPr>
              <w:pStyle w:val="Normal2"/>
              <w:spacing w:before="60" w:after="60"/>
              <w:rPr>
                <w:rFonts w:cs="Arial"/>
              </w:rPr>
            </w:pPr>
            <w:r w:rsidRPr="00AD3B6B">
              <w:rPr>
                <w:rFonts w:cs="Arial"/>
              </w:rPr>
              <w:t xml:space="preserve">Costs include: </w:t>
            </w:r>
          </w:p>
        </w:tc>
      </w:tr>
      <w:tr w:rsidR="00775FB3" w:rsidRPr="00AD3B6B" w14:paraId="44F0EA3E"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18187507" w14:textId="77777777" w:rsidR="00775FB3" w:rsidRPr="00775FB3" w:rsidRDefault="00775FB3" w:rsidP="00775FB3">
            <w:pPr>
              <w:pStyle w:val="Normal2"/>
              <w:numPr>
                <w:ilvl w:val="0"/>
                <w:numId w:val="75"/>
              </w:numPr>
              <w:spacing w:before="60" w:after="60"/>
              <w:rPr>
                <w:rFonts w:cs="Arial"/>
              </w:rPr>
            </w:pPr>
            <w:r>
              <w:rPr>
                <w:rFonts w:cs="Arial"/>
              </w:rPr>
              <w:t>i</w:t>
            </w:r>
            <w:r w:rsidRPr="00AD3B6B">
              <w:rPr>
                <w:rFonts w:cs="Arial"/>
              </w:rPr>
              <w:t>ndividual health service organisations will need to develop and implement evidence-based programs to address safety and quality issues included in the new content of version 2, but not in version 1</w:t>
            </w:r>
          </w:p>
          <w:p w14:paraId="7D4E5087" w14:textId="77777777" w:rsidR="00775FB3" w:rsidRPr="00775FB3" w:rsidRDefault="00775FB3" w:rsidP="00775FB3">
            <w:pPr>
              <w:pStyle w:val="Normal2"/>
              <w:numPr>
                <w:ilvl w:val="0"/>
                <w:numId w:val="75"/>
              </w:numPr>
              <w:spacing w:before="60" w:after="60"/>
              <w:rPr>
                <w:rFonts w:cs="Arial"/>
              </w:rPr>
            </w:pPr>
            <w:proofErr w:type="gramStart"/>
            <w:r w:rsidRPr="00775FB3">
              <w:rPr>
                <w:rFonts w:cs="Arial"/>
              </w:rPr>
              <w:t>negative</w:t>
            </w:r>
            <w:proofErr w:type="gramEnd"/>
            <w:r w:rsidRPr="00775FB3">
              <w:rPr>
                <w:rFonts w:cs="Arial"/>
              </w:rPr>
              <w:t xml:space="preserve"> patient health outcomes or opportunity costs for their populations.</w:t>
            </w:r>
          </w:p>
          <w:p w14:paraId="407433B8" w14:textId="77777777" w:rsidR="00775FB3" w:rsidRPr="00775FB3" w:rsidRDefault="00775FB3" w:rsidP="00775FB3">
            <w:pPr>
              <w:pStyle w:val="Normal2"/>
              <w:numPr>
                <w:ilvl w:val="0"/>
                <w:numId w:val="75"/>
              </w:numPr>
              <w:spacing w:before="60" w:after="60"/>
              <w:rPr>
                <w:rFonts w:cs="Arial"/>
                <w:bCs w:val="0"/>
              </w:rPr>
            </w:pPr>
            <w:proofErr w:type="gramStart"/>
            <w:r w:rsidRPr="00AD3B6B">
              <w:rPr>
                <w:rFonts w:cs="Arial"/>
              </w:rPr>
              <w:t>increased</w:t>
            </w:r>
            <w:proofErr w:type="gramEnd"/>
            <w:r w:rsidRPr="00AD3B6B">
              <w:rPr>
                <w:rFonts w:cs="Arial"/>
              </w:rPr>
              <w:t xml:space="preserve"> costs associated with unwarranted procedures and care. </w:t>
            </w:r>
          </w:p>
        </w:tc>
      </w:tr>
      <w:tr w:rsidR="00775FB3" w:rsidRPr="00AD3B6B" w14:paraId="4ED4F60D"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6957228A" w14:textId="77777777" w:rsidR="00775FB3" w:rsidRPr="00AD3B6B" w:rsidRDefault="00775FB3" w:rsidP="00775FB3">
            <w:pPr>
              <w:pStyle w:val="Normal2"/>
              <w:spacing w:before="60" w:after="60"/>
            </w:pPr>
            <w:r w:rsidRPr="00AD3B6B">
              <w:rPr>
                <w:rFonts w:cs="Arial"/>
              </w:rPr>
              <w:t>Benefits</w:t>
            </w:r>
          </w:p>
        </w:tc>
      </w:tr>
      <w:tr w:rsidR="00775FB3" w:rsidRPr="00AD3B6B" w14:paraId="4D4CA913"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5AF03C78" w14:textId="77777777" w:rsidR="00775FB3" w:rsidRPr="00AD3B6B" w:rsidRDefault="00775FB3" w:rsidP="00775FB3">
            <w:pPr>
              <w:pStyle w:val="Normal2"/>
              <w:numPr>
                <w:ilvl w:val="0"/>
                <w:numId w:val="77"/>
              </w:numPr>
              <w:spacing w:before="60" w:after="60"/>
            </w:pPr>
            <w:r w:rsidRPr="00AD3B6B">
              <w:rPr>
                <w:rFonts w:cs="Arial"/>
              </w:rPr>
              <w:t>continuous improvements in safety and quality as systems become more embedded across the areas covered by version 1</w:t>
            </w:r>
          </w:p>
        </w:tc>
      </w:tr>
      <w:tr w:rsidR="00BC2953" w:rsidRPr="00AD3B6B" w14:paraId="270D70E0"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244061" w:themeFill="accent1" w:themeFillShade="80"/>
            <w:vAlign w:val="center"/>
          </w:tcPr>
          <w:p w14:paraId="10FF23CF" w14:textId="77777777" w:rsidR="00BC2953" w:rsidRPr="00AD3B6B" w:rsidRDefault="00BC2953" w:rsidP="00775FB3">
            <w:pPr>
              <w:pStyle w:val="Normal2"/>
              <w:spacing w:before="60" w:after="60"/>
            </w:pPr>
            <w:r w:rsidRPr="00AD3B6B">
              <w:t>Accrediting agencies</w:t>
            </w:r>
          </w:p>
        </w:tc>
      </w:tr>
      <w:tr w:rsidR="00775FB3" w:rsidRPr="00AD3B6B" w14:paraId="024D92F6"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49B00F73" w14:textId="77777777" w:rsidR="00775FB3" w:rsidRPr="00AD3B6B" w:rsidRDefault="00775FB3" w:rsidP="00775FB3">
            <w:pPr>
              <w:pStyle w:val="Normal2"/>
              <w:spacing w:before="60" w:after="60"/>
              <w:rPr>
                <w:rFonts w:cs="Arial"/>
              </w:rPr>
            </w:pPr>
            <w:r w:rsidRPr="00AD3B6B">
              <w:rPr>
                <w:rFonts w:cs="Arial"/>
              </w:rPr>
              <w:t>Costs</w:t>
            </w:r>
          </w:p>
        </w:tc>
      </w:tr>
      <w:tr w:rsidR="00775FB3" w:rsidRPr="00AD3B6B" w14:paraId="3DC9A9AC"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750B9538" w14:textId="77777777" w:rsidR="00775FB3" w:rsidRDefault="00775FB3" w:rsidP="00775FB3">
            <w:pPr>
              <w:pStyle w:val="Normal2"/>
              <w:numPr>
                <w:ilvl w:val="0"/>
                <w:numId w:val="79"/>
              </w:numPr>
              <w:spacing w:before="60" w:after="60"/>
              <w:rPr>
                <w:rFonts w:cs="Arial"/>
              </w:rPr>
            </w:pPr>
            <w:r w:rsidRPr="00AD3B6B">
              <w:rPr>
                <w:rFonts w:cs="Arial"/>
              </w:rPr>
              <w:t>ongoing training of surveyors in the assessment of health service organisations using the NSQHS Standards</w:t>
            </w:r>
          </w:p>
          <w:p w14:paraId="58688BD7" w14:textId="77777777" w:rsidR="00775FB3" w:rsidRPr="00775FB3" w:rsidRDefault="00775FB3" w:rsidP="00775FB3">
            <w:pPr>
              <w:pStyle w:val="Normal2"/>
              <w:numPr>
                <w:ilvl w:val="0"/>
                <w:numId w:val="79"/>
              </w:numPr>
              <w:spacing w:before="60" w:after="60"/>
              <w:rPr>
                <w:rFonts w:cs="Arial"/>
              </w:rPr>
            </w:pPr>
            <w:proofErr w:type="gramStart"/>
            <w:r w:rsidRPr="00775FB3">
              <w:rPr>
                <w:rFonts w:cs="Arial"/>
              </w:rPr>
              <w:t>maintaining</w:t>
            </w:r>
            <w:proofErr w:type="gramEnd"/>
            <w:r w:rsidRPr="00775FB3">
              <w:rPr>
                <w:rFonts w:cs="Arial"/>
              </w:rPr>
              <w:t xml:space="preserve"> assessment systems to comply with reporting requirements.</w:t>
            </w:r>
          </w:p>
        </w:tc>
      </w:tr>
      <w:tr w:rsidR="00775FB3" w:rsidRPr="00AD3B6B" w14:paraId="2E6C84CD" w14:textId="77777777" w:rsidTr="00775FB3">
        <w:tc>
          <w:tcPr>
            <w:cnfStyle w:val="001000000000" w:firstRow="0" w:lastRow="0" w:firstColumn="1" w:lastColumn="0" w:oddVBand="0" w:evenVBand="0" w:oddHBand="0" w:evenHBand="0" w:firstRowFirstColumn="0" w:firstRowLastColumn="0" w:lastRowFirstColumn="0" w:lastRowLastColumn="0"/>
            <w:tcW w:w="9178" w:type="dxa"/>
            <w:shd w:val="clear" w:color="auto" w:fill="DBE5F1" w:themeFill="accent1" w:themeFillTint="33"/>
          </w:tcPr>
          <w:p w14:paraId="7C7EFAE8" w14:textId="77777777" w:rsidR="00775FB3" w:rsidRPr="00AD3B6B" w:rsidRDefault="00775FB3" w:rsidP="00775FB3">
            <w:pPr>
              <w:pStyle w:val="Normal2"/>
              <w:spacing w:before="60" w:after="60"/>
            </w:pPr>
            <w:r w:rsidRPr="00AD3B6B">
              <w:rPr>
                <w:rFonts w:cs="Arial"/>
              </w:rPr>
              <w:t>Benefits</w:t>
            </w:r>
          </w:p>
        </w:tc>
      </w:tr>
      <w:tr w:rsidR="00775FB3" w:rsidRPr="00AD3B6B" w14:paraId="7DCD81E7" w14:textId="77777777" w:rsidTr="00256607">
        <w:tc>
          <w:tcPr>
            <w:cnfStyle w:val="001000000000" w:firstRow="0" w:lastRow="0" w:firstColumn="1" w:lastColumn="0" w:oddVBand="0" w:evenVBand="0" w:oddHBand="0" w:evenHBand="0" w:firstRowFirstColumn="0" w:firstRowLastColumn="0" w:lastRowFirstColumn="0" w:lastRowLastColumn="0"/>
            <w:tcW w:w="9178" w:type="dxa"/>
            <w:shd w:val="clear" w:color="auto" w:fill="auto"/>
          </w:tcPr>
          <w:p w14:paraId="142F8351" w14:textId="77777777" w:rsidR="00775FB3" w:rsidRPr="00775FB3" w:rsidRDefault="00775FB3" w:rsidP="00775FB3">
            <w:pPr>
              <w:pStyle w:val="Normal2"/>
              <w:numPr>
                <w:ilvl w:val="0"/>
                <w:numId w:val="80"/>
              </w:numPr>
              <w:spacing w:before="60" w:after="60"/>
              <w:rPr>
                <w:rFonts w:cs="Arial"/>
              </w:rPr>
            </w:pPr>
            <w:proofErr w:type="gramStart"/>
            <w:r w:rsidRPr="00AD3B6B">
              <w:rPr>
                <w:rFonts w:cs="Arial"/>
              </w:rPr>
              <w:t>an</w:t>
            </w:r>
            <w:proofErr w:type="gramEnd"/>
            <w:r w:rsidRPr="00AD3B6B">
              <w:rPr>
                <w:rFonts w:cs="Arial"/>
              </w:rPr>
              <w:t xml:space="preserve"> increase in the client base of health service organisations that voluntarily seek assessment to version 1 because they address their safety and quality issues.</w:t>
            </w:r>
          </w:p>
        </w:tc>
      </w:tr>
    </w:tbl>
    <w:p w14:paraId="4FFD860F" w14:textId="77777777" w:rsidR="00BC2953" w:rsidRPr="00DD67AC" w:rsidRDefault="00BC2953" w:rsidP="00BC2953">
      <w:pPr>
        <w:pStyle w:val="Subheadingnolevel"/>
      </w:pPr>
      <w:r w:rsidRPr="00DD67AC">
        <w:t>RIS feedback on the costs and benefits of option 1</w:t>
      </w:r>
    </w:p>
    <w:p w14:paraId="4C0CD320" w14:textId="77777777" w:rsidR="00BC2953" w:rsidRPr="00DD67AC" w:rsidRDefault="00BC2953" w:rsidP="00BC2953">
      <w:pPr>
        <w:pStyle w:val="Normal2"/>
      </w:pPr>
      <w:r w:rsidRPr="00DD67AC">
        <w:t xml:space="preserve">While nine respondents (14 per cent) preferred option 1, some acknowledged version 2 of the NSQHS Standards contained positive changes that would improve patient safety and quality. Two respondents indicated they would support option 2 if the transition time was extended by 12 to 18 months. </w:t>
      </w:r>
    </w:p>
    <w:p w14:paraId="230C5F20" w14:textId="77777777" w:rsidR="00BC2953" w:rsidRPr="00DD67AC" w:rsidRDefault="00BC2953" w:rsidP="00BC2953">
      <w:pPr>
        <w:pStyle w:val="Normal2"/>
      </w:pPr>
      <w:r w:rsidRPr="00DD67AC">
        <w:t xml:space="preserve">Two respondents commented on costs for consumers, both indicating the safety and quality risks for patients would be </w:t>
      </w:r>
      <w:r>
        <w:t xml:space="preserve">reduced </w:t>
      </w:r>
      <w:r w:rsidRPr="00DD67AC">
        <w:t>with the implementation of version 2 of the NSQHS Standards. One respondent indicated they supported option 1 because version 2 of the NSQHS Standards did not make a big enough change to warrant the transition.</w:t>
      </w:r>
    </w:p>
    <w:p w14:paraId="2CAA02B4" w14:textId="77777777" w:rsidR="00BC2953" w:rsidRPr="00DD67AC" w:rsidRDefault="00BC2953" w:rsidP="00BC2953">
      <w:pPr>
        <w:pStyle w:val="Normal2"/>
      </w:pPr>
      <w:r w:rsidRPr="00DD67AC">
        <w:t xml:space="preserve">The most common reason for supporting option 1 by this group of respondents was that they had only completed one full cycle of assessment to </w:t>
      </w:r>
      <w:r>
        <w:t xml:space="preserve">version 1 of </w:t>
      </w:r>
      <w:r w:rsidRPr="00DD67AC">
        <w:t xml:space="preserve">the NSQHS Standards and they had not had long enough to fully embed the </w:t>
      </w:r>
      <w:r w:rsidR="00775FB3">
        <w:t xml:space="preserve">NSQHS </w:t>
      </w:r>
      <w:r w:rsidRPr="00DD67AC">
        <w:t>Standards into routine practice.</w:t>
      </w:r>
    </w:p>
    <w:p w14:paraId="11367016" w14:textId="77777777" w:rsidR="00BC2953" w:rsidRPr="00DD67AC" w:rsidRDefault="00BC2953" w:rsidP="00BC2953">
      <w:pPr>
        <w:pStyle w:val="Normal2"/>
      </w:pPr>
      <w:r w:rsidRPr="00DD67AC">
        <w:t>Respondent justified their preference for option 1 by raising their concerns with option 2, including:</w:t>
      </w:r>
    </w:p>
    <w:p w14:paraId="7076B469" w14:textId="77777777" w:rsidR="00BC2953" w:rsidRPr="00DD67AC" w:rsidRDefault="00BC2953" w:rsidP="00BC2953">
      <w:pPr>
        <w:pStyle w:val="Normal2"/>
        <w:numPr>
          <w:ilvl w:val="0"/>
          <w:numId w:val="45"/>
        </w:numPr>
      </w:pPr>
      <w:r w:rsidRPr="00DD67AC">
        <w:t>the costs of transition arrangements from version 1 to version 2 of the NSQHS Standards</w:t>
      </w:r>
      <w:r w:rsidR="00775FB3">
        <w:t>,</w:t>
      </w:r>
      <w:r w:rsidRPr="00DD67AC">
        <w:t xml:space="preserve"> which are currently unclear</w:t>
      </w:r>
    </w:p>
    <w:p w14:paraId="14F417BC" w14:textId="77777777" w:rsidR="00BC2953" w:rsidRPr="00DD67AC" w:rsidRDefault="00BC2953" w:rsidP="00BC2953">
      <w:pPr>
        <w:pStyle w:val="Normal2"/>
        <w:numPr>
          <w:ilvl w:val="0"/>
          <w:numId w:val="45"/>
        </w:numPr>
      </w:pPr>
      <w:r w:rsidRPr="00DD67AC">
        <w:t>the audit burden in version 2 remaining high and some respondents considered this was still the same as in version 1</w:t>
      </w:r>
    </w:p>
    <w:p w14:paraId="733F36E0" w14:textId="77777777" w:rsidR="00BC2953" w:rsidRPr="00DD67AC" w:rsidRDefault="00BC2953" w:rsidP="00BC2953">
      <w:pPr>
        <w:pStyle w:val="Normal2"/>
        <w:numPr>
          <w:ilvl w:val="0"/>
          <w:numId w:val="45"/>
        </w:numPr>
      </w:pPr>
      <w:r w:rsidRPr="00DD67AC">
        <w:t>the n</w:t>
      </w:r>
      <w:r w:rsidRPr="00DD67AC">
        <w:rPr>
          <w:rFonts w:eastAsiaTheme="minorEastAsia"/>
        </w:rPr>
        <w:t>eed to adapt version 2 to make the requirements more relevant to primary care settings</w:t>
      </w:r>
    </w:p>
    <w:p w14:paraId="5B291653" w14:textId="77777777" w:rsidR="00BC2953" w:rsidRPr="00DD67AC" w:rsidRDefault="00BC2953" w:rsidP="00BC2953">
      <w:pPr>
        <w:pStyle w:val="Normal2"/>
      </w:pPr>
      <w:r w:rsidRPr="00DD67AC">
        <w:t>Further, respondents were unable to determine costs of introducing version 2 because:</w:t>
      </w:r>
    </w:p>
    <w:p w14:paraId="524A5E2B" w14:textId="77777777" w:rsidR="00BC2953" w:rsidRPr="00DD67AC" w:rsidRDefault="00BC2953" w:rsidP="00BC2953">
      <w:pPr>
        <w:pStyle w:val="Normal2"/>
        <w:numPr>
          <w:ilvl w:val="0"/>
          <w:numId w:val="46"/>
        </w:numPr>
      </w:pPr>
      <w:r w:rsidRPr="00DD67AC">
        <w:t>the resources to support implementation of version 2 of the NSQHS Standards are not yet available</w:t>
      </w:r>
    </w:p>
    <w:p w14:paraId="0A0B86AB" w14:textId="77777777" w:rsidR="00BC2953" w:rsidRPr="00DD67AC" w:rsidRDefault="00BC2953" w:rsidP="00BC2953">
      <w:pPr>
        <w:pStyle w:val="Normal2"/>
        <w:numPr>
          <w:ilvl w:val="0"/>
          <w:numId w:val="46"/>
        </w:numPr>
        <w:rPr>
          <w:rFonts w:eastAsiaTheme="minorEastAsia"/>
        </w:rPr>
      </w:pPr>
      <w:proofErr w:type="gramStart"/>
      <w:r w:rsidRPr="00DD67AC">
        <w:t>some</w:t>
      </w:r>
      <w:proofErr w:type="gramEnd"/>
      <w:r w:rsidRPr="00DD67AC">
        <w:t xml:space="preserve"> of the requirements for implementation are set by health departments, for example</w:t>
      </w:r>
      <w:r w:rsidRPr="00DD67AC">
        <w:rPr>
          <w:rFonts w:eastAsiaTheme="minorEastAsia"/>
        </w:rPr>
        <w:t xml:space="preserve"> the My Health Records and facility design, and these requirements are not yet known.</w:t>
      </w:r>
    </w:p>
    <w:p w14:paraId="773A08F0" w14:textId="77777777" w:rsidR="00BC2953" w:rsidRPr="00DD67AC" w:rsidRDefault="00BC2953" w:rsidP="00BC2953">
      <w:pPr>
        <w:pStyle w:val="Normal2"/>
      </w:pPr>
      <w:r w:rsidRPr="00DD67AC">
        <w:t>In response to these issues, the Commission notes:</w:t>
      </w:r>
    </w:p>
    <w:p w14:paraId="0875CF95" w14:textId="77777777" w:rsidR="00BC2953" w:rsidRPr="00DD67AC" w:rsidRDefault="00BC2953" w:rsidP="00BC2953">
      <w:pPr>
        <w:pStyle w:val="Normal2"/>
        <w:numPr>
          <w:ilvl w:val="0"/>
          <w:numId w:val="47"/>
        </w:numPr>
      </w:pPr>
      <w:r w:rsidRPr="00DD67AC">
        <w:t xml:space="preserve">work with jurisdictions, health service organisation and accrediting agencies is underway to </w:t>
      </w:r>
      <w:r>
        <w:t xml:space="preserve">determine </w:t>
      </w:r>
      <w:r w:rsidRPr="00DD67AC">
        <w:t>transition arrangements</w:t>
      </w:r>
    </w:p>
    <w:p w14:paraId="2AA94C4A" w14:textId="77777777" w:rsidR="00BC2953" w:rsidRPr="00DD67AC" w:rsidRDefault="00BC2953" w:rsidP="00BC2953">
      <w:pPr>
        <w:pStyle w:val="Normal2"/>
        <w:numPr>
          <w:ilvl w:val="0"/>
          <w:numId w:val="47"/>
        </w:numPr>
      </w:pPr>
      <w:r w:rsidRPr="00DD67AC">
        <w:t xml:space="preserve">a comprehensive suite of resources are being developed to support the implementation of version 2 </w:t>
      </w:r>
    </w:p>
    <w:p w14:paraId="3BE07F76" w14:textId="77777777" w:rsidR="00BC2953" w:rsidRPr="00DD67AC" w:rsidRDefault="00BC2953" w:rsidP="00BC2953">
      <w:pPr>
        <w:pStyle w:val="Normal2"/>
        <w:numPr>
          <w:ilvl w:val="0"/>
          <w:numId w:val="47"/>
        </w:numPr>
      </w:pPr>
      <w:r w:rsidRPr="00DD67AC">
        <w:t>the audit requirements are determined by individual health service organisations, not the NSQHS Standards</w:t>
      </w:r>
      <w:r w:rsidR="00EC002E">
        <w:t>,</w:t>
      </w:r>
      <w:r w:rsidRPr="00DD67AC">
        <w:t xml:space="preserve"> and version 2 had specifically reduced the nominated audit requirements </w:t>
      </w:r>
    </w:p>
    <w:p w14:paraId="2E869DC5" w14:textId="77777777" w:rsidR="00BC2953" w:rsidRPr="00DD67AC" w:rsidRDefault="00BC2953" w:rsidP="00BC2953">
      <w:pPr>
        <w:pStyle w:val="Normal2"/>
        <w:numPr>
          <w:ilvl w:val="0"/>
          <w:numId w:val="47"/>
        </w:numPr>
      </w:pPr>
      <w:r w:rsidRPr="00DD67AC">
        <w:t>work is underway to adapt the NSQHS Standards to the primary care sector and this should be available during 2017</w:t>
      </w:r>
    </w:p>
    <w:p w14:paraId="7D5F687A" w14:textId="77777777" w:rsidR="00BC2953" w:rsidRPr="00DD67AC" w:rsidRDefault="00BC2953" w:rsidP="00BC2953">
      <w:pPr>
        <w:pStyle w:val="Normal2"/>
        <w:numPr>
          <w:ilvl w:val="0"/>
          <w:numId w:val="47"/>
        </w:numPr>
      </w:pPr>
      <w:proofErr w:type="gramStart"/>
      <w:r w:rsidRPr="00DD67AC">
        <w:t>requirements</w:t>
      </w:r>
      <w:proofErr w:type="gramEnd"/>
      <w:r w:rsidRPr="00DD67AC">
        <w:t xml:space="preserve"> set by health departments are outside of the scope of this review. </w:t>
      </w:r>
    </w:p>
    <w:p w14:paraId="50380F53" w14:textId="77777777" w:rsidR="00BC2953" w:rsidRPr="00DD67AC" w:rsidRDefault="00BC2953" w:rsidP="00BC2953">
      <w:pPr>
        <w:pStyle w:val="Subheadingnolevel"/>
      </w:pPr>
      <w:r w:rsidRPr="00DD67AC">
        <w:t>Recommendation</w:t>
      </w:r>
    </w:p>
    <w:p w14:paraId="11B0B880" w14:textId="77777777" w:rsidR="00BC2953" w:rsidRPr="00DD67AC" w:rsidRDefault="00BC2953" w:rsidP="00BC2953">
      <w:pPr>
        <w:pStyle w:val="Normal2"/>
      </w:pPr>
      <w:r w:rsidRPr="00DD67AC">
        <w:t>The Commission does not recommend option 1.</w:t>
      </w:r>
    </w:p>
    <w:p w14:paraId="43A2B5B4" w14:textId="77777777" w:rsidR="00BC2953" w:rsidRDefault="00BC2953" w:rsidP="00BC2953">
      <w:pPr>
        <w:pStyle w:val="Normal2"/>
        <w:sectPr w:rsidR="00BC2953" w:rsidSect="00340C86">
          <w:pgSz w:w="11906" w:h="16838" w:code="9"/>
          <w:pgMar w:top="1134" w:right="1440" w:bottom="1276" w:left="1440" w:header="284" w:footer="709" w:gutter="0"/>
          <w:cols w:space="708"/>
          <w:docGrid w:linePitch="360"/>
        </w:sectPr>
      </w:pPr>
    </w:p>
    <w:p w14:paraId="5421A4DD" w14:textId="77777777" w:rsidR="00BC2953" w:rsidRPr="00DD67AC" w:rsidRDefault="00BC2953" w:rsidP="00BC2953">
      <w:pPr>
        <w:pStyle w:val="Heading2"/>
      </w:pPr>
      <w:r w:rsidRPr="00DD67AC">
        <w:t>5.2</w:t>
      </w:r>
      <w:r w:rsidRPr="00DD67AC">
        <w:tab/>
        <w:t xml:space="preserve">Impact of option 2 </w:t>
      </w:r>
    </w:p>
    <w:p w14:paraId="29BE9066" w14:textId="77777777" w:rsidR="00BC2953" w:rsidRPr="00DD67AC" w:rsidRDefault="00EC002E" w:rsidP="00BC2953">
      <w:pPr>
        <w:pStyle w:val="Normal2"/>
        <w:rPr>
          <w:rFonts w:eastAsiaTheme="minorEastAsia"/>
        </w:rPr>
      </w:pPr>
      <w:r>
        <w:t>Responses to the C</w:t>
      </w:r>
      <w:r w:rsidR="00BC2953" w:rsidRPr="00DD67AC">
        <w:t xml:space="preserve">onsultation RIS have been </w:t>
      </w:r>
      <w:r w:rsidR="00BC2953" w:rsidRPr="00DD67AC">
        <w:rPr>
          <w:rFonts w:eastAsiaTheme="minorEastAsia"/>
        </w:rPr>
        <w:t xml:space="preserve">analysed and the costs and benefits for stakeholder groups from option 2 identified in the following tables. </w:t>
      </w:r>
    </w:p>
    <w:p w14:paraId="0EB651EE" w14:textId="77777777" w:rsidR="00BC2953" w:rsidRPr="00DD67AC" w:rsidRDefault="00BC2953" w:rsidP="00BC2953">
      <w:pPr>
        <w:pStyle w:val="Normal2"/>
      </w:pPr>
      <w:r w:rsidRPr="00DD67AC">
        <w:t xml:space="preserve">The costs and benefits of option 2 are considered against option 1, which is the status quo have been identified for each of the stakeholder groups.  </w:t>
      </w:r>
    </w:p>
    <w:p w14:paraId="0371C5C5" w14:textId="77777777" w:rsidR="00BC2953" w:rsidRPr="00DD67AC" w:rsidRDefault="00BC2953" w:rsidP="00BC2953">
      <w:pPr>
        <w:pStyle w:val="Caption"/>
      </w:pPr>
      <w:r w:rsidRPr="00DD67AC">
        <w:t xml:space="preserve">Table </w:t>
      </w:r>
      <w:fldSimple w:instr=" SEQ Table \* ARABIC ">
        <w:r w:rsidR="0068597B">
          <w:rPr>
            <w:noProof/>
          </w:rPr>
          <w:t>6</w:t>
        </w:r>
      </w:fldSimple>
      <w:r w:rsidRPr="00DD67AC">
        <w:t>: Analysis of costs and benefits of option 2 for Consumers</w:t>
      </w: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Analysis of costs and benefits of option 2 for Consumers"/>
      </w:tblPr>
      <w:tblGrid>
        <w:gridCol w:w="9242"/>
      </w:tblGrid>
      <w:tr w:rsidR="00BC2953" w:rsidRPr="00AD3B6B" w14:paraId="6D1588DA"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hideMark/>
          </w:tcPr>
          <w:p w14:paraId="3EBCD3C9" w14:textId="77777777" w:rsidR="00BC2953" w:rsidRPr="00AD3B6B" w:rsidRDefault="00BC2953" w:rsidP="00EC002E">
            <w:pPr>
              <w:spacing w:before="60" w:after="60"/>
              <w:rPr>
                <w:sz w:val="20"/>
                <w:szCs w:val="20"/>
              </w:rPr>
            </w:pPr>
            <w:r w:rsidRPr="00AD3B6B">
              <w:rPr>
                <w:sz w:val="20"/>
                <w:szCs w:val="20"/>
              </w:rPr>
              <w:t>Consumers</w:t>
            </w:r>
          </w:p>
        </w:tc>
      </w:tr>
      <w:tr w:rsidR="00BC2953" w:rsidRPr="00AD3B6B" w14:paraId="45878040" w14:textId="77777777" w:rsidTr="00EC002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6E30144B" w14:textId="77777777" w:rsidR="00BC2953" w:rsidRPr="00AD3B6B" w:rsidRDefault="00BC2953" w:rsidP="00EC002E">
            <w:pPr>
              <w:spacing w:before="60" w:after="60"/>
              <w:rPr>
                <w:b w:val="0"/>
                <w:sz w:val="20"/>
                <w:szCs w:val="20"/>
              </w:rPr>
            </w:pPr>
            <w:r w:rsidRPr="00AD3B6B">
              <w:rPr>
                <w:b w:val="0"/>
                <w:sz w:val="20"/>
                <w:szCs w:val="20"/>
              </w:rPr>
              <w:t>Costs</w:t>
            </w:r>
          </w:p>
        </w:tc>
      </w:tr>
      <w:tr w:rsidR="00BC2953" w:rsidRPr="00AD3B6B" w14:paraId="5E3F01A4" w14:textId="77777777" w:rsidTr="00EC002E">
        <w:trPr>
          <w:trHeight w:val="1236"/>
        </w:trPr>
        <w:tc>
          <w:tcPr>
            <w:cnfStyle w:val="001000000000" w:firstRow="0" w:lastRow="0" w:firstColumn="1" w:lastColumn="0" w:oddVBand="0" w:evenVBand="0" w:oddHBand="0" w:evenHBand="0" w:firstRowFirstColumn="0" w:firstRowLastColumn="0" w:lastRowFirstColumn="0" w:lastRowLastColumn="0"/>
            <w:tcW w:w="9576" w:type="dxa"/>
          </w:tcPr>
          <w:p w14:paraId="7A4FEC97" w14:textId="77777777" w:rsidR="00BC2953" w:rsidRPr="00AD3B6B" w:rsidRDefault="00BC2953" w:rsidP="00EC002E">
            <w:pPr>
              <w:pStyle w:val="Normal2"/>
              <w:numPr>
                <w:ilvl w:val="0"/>
                <w:numId w:val="81"/>
              </w:numPr>
              <w:spacing w:before="60" w:after="60"/>
              <w:rPr>
                <w:b w:val="0"/>
                <w:sz w:val="20"/>
                <w:szCs w:val="20"/>
              </w:rPr>
            </w:pPr>
            <w:r w:rsidRPr="00AD3B6B">
              <w:rPr>
                <w:b w:val="0"/>
                <w:sz w:val="20"/>
                <w:szCs w:val="20"/>
              </w:rPr>
              <w:t>No direct costs for consumers from the revised standards</w:t>
            </w:r>
          </w:p>
          <w:p w14:paraId="673458C9" w14:textId="77777777" w:rsidR="00BC2953" w:rsidRPr="00AD3B6B" w:rsidRDefault="00BC2953" w:rsidP="00EC002E">
            <w:pPr>
              <w:pStyle w:val="Normal2"/>
              <w:numPr>
                <w:ilvl w:val="0"/>
                <w:numId w:val="81"/>
              </w:numPr>
              <w:spacing w:before="60" w:after="60"/>
              <w:rPr>
                <w:b w:val="0"/>
                <w:sz w:val="20"/>
                <w:szCs w:val="20"/>
              </w:rPr>
            </w:pPr>
            <w:r w:rsidRPr="00AD3B6B">
              <w:rPr>
                <w:b w:val="0"/>
                <w:sz w:val="20"/>
                <w:szCs w:val="20"/>
              </w:rPr>
              <w:t>Part of the</w:t>
            </w:r>
            <w:r w:rsidR="007D16FD">
              <w:rPr>
                <w:b w:val="0"/>
                <w:sz w:val="20"/>
                <w:szCs w:val="20"/>
              </w:rPr>
              <w:t xml:space="preserve"> perceived</w:t>
            </w:r>
            <w:r w:rsidRPr="00AD3B6B">
              <w:rPr>
                <w:b w:val="0"/>
                <w:sz w:val="20"/>
                <w:szCs w:val="20"/>
              </w:rPr>
              <w:t xml:space="preserve"> additional costs for private health service organisations complying with the new standards could eventually be</w:t>
            </w:r>
            <w:r>
              <w:rPr>
                <w:b w:val="0"/>
                <w:sz w:val="20"/>
                <w:szCs w:val="20"/>
              </w:rPr>
              <w:t xml:space="preserve"> passed on to</w:t>
            </w:r>
            <w:r w:rsidRPr="00AD3B6B">
              <w:rPr>
                <w:b w:val="0"/>
                <w:sz w:val="20"/>
                <w:szCs w:val="20"/>
              </w:rPr>
              <w:t xml:space="preserve"> consumers through higher private hospital and day surgery fees.  </w:t>
            </w:r>
          </w:p>
        </w:tc>
      </w:tr>
      <w:tr w:rsidR="00BC2953" w:rsidRPr="00AD3B6B" w14:paraId="4AD2BD1E" w14:textId="77777777" w:rsidTr="00EC002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322EDCA0" w14:textId="77777777" w:rsidR="00BC2953" w:rsidRPr="00AD3B6B" w:rsidRDefault="00BC2953" w:rsidP="00EC002E">
            <w:pPr>
              <w:spacing w:before="60" w:after="60"/>
              <w:rPr>
                <w:b w:val="0"/>
                <w:sz w:val="20"/>
                <w:szCs w:val="20"/>
              </w:rPr>
            </w:pPr>
            <w:r w:rsidRPr="00AD3B6B">
              <w:rPr>
                <w:b w:val="0"/>
                <w:sz w:val="20"/>
                <w:szCs w:val="20"/>
              </w:rPr>
              <w:t xml:space="preserve">Benefits </w:t>
            </w:r>
          </w:p>
        </w:tc>
      </w:tr>
      <w:tr w:rsidR="00BC2953" w:rsidRPr="00AD3B6B" w14:paraId="5D81AE0D" w14:textId="77777777" w:rsidTr="00EC002E">
        <w:trPr>
          <w:trHeight w:val="54"/>
        </w:trPr>
        <w:tc>
          <w:tcPr>
            <w:cnfStyle w:val="001000000000" w:firstRow="0" w:lastRow="0" w:firstColumn="1" w:lastColumn="0" w:oddVBand="0" w:evenVBand="0" w:oddHBand="0" w:evenHBand="0" w:firstRowFirstColumn="0" w:firstRowLastColumn="0" w:lastRowFirstColumn="0" w:lastRowLastColumn="0"/>
            <w:tcW w:w="9576" w:type="dxa"/>
          </w:tcPr>
          <w:p w14:paraId="11ADFD52"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Likely incremental improvements in patient safety and quality of care from:</w:t>
            </w:r>
          </w:p>
          <w:p w14:paraId="5ADBE8F6"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organisations establishing systems and increasing their focus on: </w:t>
            </w:r>
          </w:p>
          <w:p w14:paraId="41850BB8" w14:textId="77777777" w:rsidR="00BC2953" w:rsidRPr="00B710A0" w:rsidRDefault="00BC2953" w:rsidP="00EC002E">
            <w:pPr>
              <w:pStyle w:val="Normal2"/>
              <w:numPr>
                <w:ilvl w:val="2"/>
                <w:numId w:val="81"/>
              </w:numPr>
              <w:spacing w:before="60" w:after="60"/>
              <w:rPr>
                <w:b w:val="0"/>
                <w:sz w:val="20"/>
                <w:szCs w:val="20"/>
              </w:rPr>
            </w:pPr>
            <w:proofErr w:type="gramStart"/>
            <w:r w:rsidRPr="00B710A0">
              <w:rPr>
                <w:b w:val="0"/>
                <w:sz w:val="20"/>
                <w:szCs w:val="20"/>
              </w:rPr>
              <w:t>clinical</w:t>
            </w:r>
            <w:proofErr w:type="gramEnd"/>
            <w:r w:rsidRPr="00B710A0">
              <w:rPr>
                <w:b w:val="0"/>
                <w:sz w:val="20"/>
                <w:szCs w:val="20"/>
              </w:rPr>
              <w:t xml:space="preserve"> governance systems and leadership that will improve care by promoting a culture and  framework for driving  safety and quality improvements.</w:t>
            </w:r>
          </w:p>
          <w:p w14:paraId="281F7055"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comprehensive care strategies that address cross-cutting issues that are often present in patients with acute care needs or those with chronic illness</w:t>
            </w:r>
          </w:p>
          <w:p w14:paraId="5925223A"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better management of adverse events and safer clinical communication</w:t>
            </w:r>
          </w:p>
          <w:p w14:paraId="009EF180"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focusing blood management on the conserva</w:t>
            </w:r>
            <w:r w:rsidR="00EC002E">
              <w:rPr>
                <w:b w:val="0"/>
                <w:sz w:val="20"/>
                <w:szCs w:val="20"/>
              </w:rPr>
              <w:t>tion of the patient’s own blood</w:t>
            </w:r>
            <w:r w:rsidRPr="00B710A0">
              <w:rPr>
                <w:b w:val="0"/>
                <w:sz w:val="20"/>
                <w:szCs w:val="20"/>
              </w:rPr>
              <w:t> </w:t>
            </w:r>
          </w:p>
          <w:p w14:paraId="6CA37A96"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improved recognition of acute deterioration and better processes for managing critical clinical communication</w:t>
            </w:r>
          </w:p>
          <w:p w14:paraId="56A2CA72"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the application of current, evidence-based strategies that are critical to identifying safety and quality gaps and for improving the safety and quality of care for patients</w:t>
            </w:r>
          </w:p>
          <w:p w14:paraId="3E3D69D4"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 xml:space="preserve">the workforce using safety and quality systems to promote learning and identify ways to provide better care for patients </w:t>
            </w:r>
          </w:p>
          <w:p w14:paraId="5511D1DE" w14:textId="77777777" w:rsidR="00BC2953" w:rsidRPr="00B710A0" w:rsidRDefault="00BC2953" w:rsidP="00EC002E">
            <w:pPr>
              <w:pStyle w:val="Normal2"/>
              <w:numPr>
                <w:ilvl w:val="2"/>
                <w:numId w:val="81"/>
              </w:numPr>
              <w:spacing w:before="60" w:after="60"/>
              <w:rPr>
                <w:b w:val="0"/>
                <w:sz w:val="20"/>
                <w:szCs w:val="20"/>
              </w:rPr>
            </w:pPr>
            <w:r w:rsidRPr="00B710A0">
              <w:rPr>
                <w:b w:val="0"/>
                <w:sz w:val="20"/>
                <w:szCs w:val="20"/>
              </w:rPr>
              <w:t>the increased availability of tools and resources, such as i</w:t>
            </w:r>
            <w:r>
              <w:rPr>
                <w:b w:val="0"/>
                <w:sz w:val="20"/>
                <w:szCs w:val="20"/>
              </w:rPr>
              <w:t>ntegrated screening tools,</w:t>
            </w:r>
            <w:r w:rsidRPr="00B710A0">
              <w:rPr>
                <w:b w:val="0"/>
                <w:sz w:val="20"/>
                <w:szCs w:val="20"/>
              </w:rPr>
              <w:t xml:space="preserve"> to assist clinicians </w:t>
            </w:r>
            <w:r>
              <w:rPr>
                <w:b w:val="0"/>
                <w:sz w:val="20"/>
                <w:szCs w:val="20"/>
              </w:rPr>
              <w:t xml:space="preserve">in </w:t>
            </w:r>
            <w:r w:rsidRPr="00B710A0">
              <w:rPr>
                <w:b w:val="0"/>
                <w:sz w:val="20"/>
                <w:szCs w:val="20"/>
              </w:rPr>
              <w:t>provid</w:t>
            </w:r>
            <w:r>
              <w:rPr>
                <w:b w:val="0"/>
                <w:sz w:val="20"/>
                <w:szCs w:val="20"/>
              </w:rPr>
              <w:t>ing</w:t>
            </w:r>
            <w:r w:rsidRPr="00B710A0">
              <w:rPr>
                <w:b w:val="0"/>
                <w:sz w:val="20"/>
                <w:szCs w:val="20"/>
              </w:rPr>
              <w:t xml:space="preserve"> better care for consumers </w:t>
            </w:r>
          </w:p>
          <w:p w14:paraId="27AD020C"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Likely reduction of inappropriate care for patients receiving care at the end-of-life</w:t>
            </w:r>
          </w:p>
          <w:p w14:paraId="33345C61"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Likely improvements in health outcomes for: </w:t>
            </w:r>
          </w:p>
          <w:p w14:paraId="7AC8BCCB"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patients with low levels of health literacy through organisations providing information that is appropriate for the need of consumers and supporting effective partnerships between patien</w:t>
            </w:r>
            <w:r w:rsidR="00EC002E">
              <w:rPr>
                <w:b w:val="0"/>
                <w:sz w:val="20"/>
                <w:szCs w:val="20"/>
              </w:rPr>
              <w:t>ts and healthcare providers</w:t>
            </w:r>
          </w:p>
          <w:p w14:paraId="01FFA37F"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patients with mental health disorders from the coordinated use of screening and assessment tools, recognition and response to deterioration in mental state, use of advance care directives as a tool in planning treatment and reducing restraints and seclusion for pa</w:t>
            </w:r>
            <w:r w:rsidR="00EC002E">
              <w:rPr>
                <w:b w:val="0"/>
                <w:sz w:val="20"/>
                <w:szCs w:val="20"/>
              </w:rPr>
              <w:t>tients with mental ill-health</w:t>
            </w:r>
          </w:p>
          <w:p w14:paraId="472FFA68"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patients with cognitive impairment due to coordinated use of screening and assessment tools detecting delirium earlier so treatment can be commenced, recognition and response to deterioration in cognitive state, </w:t>
            </w:r>
            <w:r>
              <w:rPr>
                <w:b w:val="0"/>
                <w:sz w:val="20"/>
                <w:szCs w:val="20"/>
              </w:rPr>
              <w:t xml:space="preserve">and </w:t>
            </w:r>
            <w:r w:rsidRPr="00B710A0">
              <w:rPr>
                <w:b w:val="0"/>
                <w:sz w:val="20"/>
                <w:szCs w:val="20"/>
              </w:rPr>
              <w:t>use of evidence based strategies for providing quality care</w:t>
            </w:r>
          </w:p>
          <w:p w14:paraId="16A63543"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Aboriginal and Torres Strait Islander patients from the introduction of targeted, systemic strategies to make health service organisations more culturally aware and culturally competent.</w:t>
            </w:r>
          </w:p>
          <w:p w14:paraId="01560EC8" w14:textId="77777777" w:rsidR="00BC2953" w:rsidRPr="00B710A0" w:rsidRDefault="00BC2953" w:rsidP="00EC002E">
            <w:pPr>
              <w:pStyle w:val="Normal2"/>
              <w:spacing w:before="60" w:after="60"/>
              <w:rPr>
                <w:b w:val="0"/>
                <w:sz w:val="20"/>
                <w:szCs w:val="20"/>
              </w:rPr>
            </w:pPr>
            <w:r w:rsidRPr="00B710A0">
              <w:rPr>
                <w:b w:val="0"/>
                <w:sz w:val="20"/>
                <w:szCs w:val="20"/>
              </w:rPr>
              <w:t>The size of the benefits for consumer</w:t>
            </w:r>
            <w:r w:rsidR="00EC002E">
              <w:rPr>
                <w:b w:val="0"/>
                <w:sz w:val="20"/>
                <w:szCs w:val="20"/>
              </w:rPr>
              <w:t>s</w:t>
            </w:r>
            <w:r w:rsidRPr="00B710A0">
              <w:rPr>
                <w:b w:val="0"/>
                <w:sz w:val="20"/>
                <w:szCs w:val="20"/>
              </w:rPr>
              <w:t xml:space="preserve"> is difficult to quantify, but are associated with</w:t>
            </w:r>
            <w:r>
              <w:rPr>
                <w:b w:val="0"/>
                <w:sz w:val="20"/>
                <w:szCs w:val="20"/>
              </w:rPr>
              <w:t>:</w:t>
            </w:r>
            <w:r w:rsidRPr="00B710A0">
              <w:rPr>
                <w:b w:val="0"/>
                <w:sz w:val="20"/>
                <w:szCs w:val="20"/>
              </w:rPr>
              <w:t xml:space="preserve"> </w:t>
            </w:r>
            <w:r>
              <w:rPr>
                <w:b w:val="0"/>
                <w:sz w:val="20"/>
                <w:szCs w:val="20"/>
              </w:rPr>
              <w:t>reaching optimum health sooner;</w:t>
            </w:r>
            <w:r w:rsidRPr="00B710A0">
              <w:rPr>
                <w:b w:val="0"/>
                <w:sz w:val="20"/>
                <w:szCs w:val="20"/>
              </w:rPr>
              <w:t xml:space="preserve"> patients returning to normal daily activities sooner</w:t>
            </w:r>
            <w:r>
              <w:rPr>
                <w:b w:val="0"/>
                <w:sz w:val="20"/>
                <w:szCs w:val="20"/>
              </w:rPr>
              <w:t>;</w:t>
            </w:r>
            <w:r w:rsidRPr="00B710A0">
              <w:rPr>
                <w:b w:val="0"/>
                <w:sz w:val="20"/>
                <w:szCs w:val="20"/>
              </w:rPr>
              <w:t xml:space="preserve"> reducing payments of extended care from errors</w:t>
            </w:r>
            <w:r>
              <w:rPr>
                <w:b w:val="0"/>
                <w:sz w:val="20"/>
                <w:szCs w:val="20"/>
              </w:rPr>
              <w:t>;</w:t>
            </w:r>
            <w:r w:rsidRPr="00B710A0">
              <w:rPr>
                <w:b w:val="0"/>
                <w:sz w:val="20"/>
                <w:szCs w:val="20"/>
              </w:rPr>
              <w:t xml:space="preserve"> adverse events</w:t>
            </w:r>
            <w:r w:rsidR="00EC002E">
              <w:rPr>
                <w:b w:val="0"/>
                <w:sz w:val="20"/>
                <w:szCs w:val="20"/>
              </w:rPr>
              <w:t>;</w:t>
            </w:r>
            <w:r w:rsidRPr="00B710A0">
              <w:rPr>
                <w:b w:val="0"/>
                <w:sz w:val="20"/>
                <w:szCs w:val="20"/>
              </w:rPr>
              <w:t xml:space="preserve"> un</w:t>
            </w:r>
            <w:r>
              <w:rPr>
                <w:b w:val="0"/>
                <w:sz w:val="20"/>
                <w:szCs w:val="20"/>
              </w:rPr>
              <w:t xml:space="preserve">safe or poor quality care; and </w:t>
            </w:r>
            <w:r w:rsidRPr="00B710A0">
              <w:rPr>
                <w:b w:val="0"/>
                <w:sz w:val="20"/>
                <w:szCs w:val="20"/>
              </w:rPr>
              <w:t>better health outcome</w:t>
            </w:r>
            <w:r w:rsidR="00EC002E">
              <w:rPr>
                <w:b w:val="0"/>
                <w:sz w:val="20"/>
                <w:szCs w:val="20"/>
              </w:rPr>
              <w:t>s</w:t>
            </w:r>
            <w:r w:rsidRPr="00B710A0">
              <w:rPr>
                <w:b w:val="0"/>
                <w:sz w:val="20"/>
                <w:szCs w:val="20"/>
              </w:rPr>
              <w:t xml:space="preserve">.  </w:t>
            </w:r>
          </w:p>
        </w:tc>
      </w:tr>
    </w:tbl>
    <w:p w14:paraId="52FF06AF" w14:textId="77777777" w:rsidR="00BC2953" w:rsidRDefault="00BC2953" w:rsidP="00BC2953">
      <w:pPr>
        <w:rPr>
          <w:rFonts w:eastAsiaTheme="minorHAnsi"/>
          <w:lang w:eastAsia="en-US"/>
        </w:rPr>
        <w:sectPr w:rsidR="00BC2953" w:rsidSect="00D83A55">
          <w:pgSz w:w="11906" w:h="16838" w:code="9"/>
          <w:pgMar w:top="993" w:right="1440" w:bottom="1276" w:left="1440" w:header="284" w:footer="709" w:gutter="0"/>
          <w:cols w:space="708"/>
          <w:docGrid w:linePitch="360"/>
        </w:sectPr>
      </w:pP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Health service organisations (includes both private and publicly owned)"/>
      </w:tblPr>
      <w:tblGrid>
        <w:gridCol w:w="9242"/>
      </w:tblGrid>
      <w:tr w:rsidR="00BC2953" w:rsidRPr="00B710A0" w14:paraId="313A6C23"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hideMark/>
          </w:tcPr>
          <w:p w14:paraId="1CB04457" w14:textId="77777777" w:rsidR="00BC2953" w:rsidRPr="00B710A0" w:rsidRDefault="00BC2953" w:rsidP="00EC002E">
            <w:pPr>
              <w:spacing w:before="60" w:after="60"/>
              <w:rPr>
                <w:rFonts w:eastAsiaTheme="minorHAnsi"/>
                <w:sz w:val="20"/>
                <w:szCs w:val="20"/>
              </w:rPr>
            </w:pPr>
            <w:r w:rsidRPr="00B710A0">
              <w:rPr>
                <w:sz w:val="20"/>
                <w:szCs w:val="20"/>
              </w:rPr>
              <w:t>Health Service Organisations (includes both private and publicly owned)</w:t>
            </w:r>
          </w:p>
        </w:tc>
      </w:tr>
      <w:tr w:rsidR="00BC2953" w:rsidRPr="00B710A0" w14:paraId="7BB78A93" w14:textId="77777777" w:rsidTr="00EC00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29534CD7" w14:textId="77777777" w:rsidR="00BC2953" w:rsidRPr="00B710A0" w:rsidRDefault="00BC2953" w:rsidP="00EC002E">
            <w:pPr>
              <w:spacing w:before="60" w:after="60"/>
              <w:rPr>
                <w:b w:val="0"/>
                <w:sz w:val="20"/>
                <w:szCs w:val="20"/>
              </w:rPr>
            </w:pPr>
            <w:r w:rsidRPr="00B710A0">
              <w:rPr>
                <w:b w:val="0"/>
                <w:sz w:val="20"/>
                <w:szCs w:val="20"/>
              </w:rPr>
              <w:t>Costs</w:t>
            </w:r>
          </w:p>
        </w:tc>
      </w:tr>
      <w:tr w:rsidR="00BC2953" w:rsidRPr="00B710A0" w14:paraId="0454370A" w14:textId="77777777" w:rsidTr="00EC002E">
        <w:trPr>
          <w:trHeight w:val="2970"/>
        </w:trPr>
        <w:tc>
          <w:tcPr>
            <w:cnfStyle w:val="001000000000" w:firstRow="0" w:lastRow="0" w:firstColumn="1" w:lastColumn="0" w:oddVBand="0" w:evenVBand="0" w:oddHBand="0" w:evenHBand="0" w:firstRowFirstColumn="0" w:firstRowLastColumn="0" w:lastRowFirstColumn="0" w:lastRowLastColumn="0"/>
            <w:tcW w:w="9242" w:type="dxa"/>
          </w:tcPr>
          <w:p w14:paraId="4B4C2BA1"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Initial costs of updating or </w:t>
            </w:r>
            <w:r>
              <w:rPr>
                <w:b w:val="0"/>
                <w:sz w:val="20"/>
                <w:szCs w:val="20"/>
              </w:rPr>
              <w:t>establishing compliance systems:</w:t>
            </w:r>
          </w:p>
          <w:p w14:paraId="44328DA3"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to align existing policies, processes and reporting requirements to the revised numbering for existing </w:t>
            </w:r>
            <w:r w:rsidR="00EC002E">
              <w:rPr>
                <w:b w:val="0"/>
                <w:sz w:val="20"/>
                <w:szCs w:val="20"/>
              </w:rPr>
              <w:t xml:space="preserve">NSQHS </w:t>
            </w:r>
            <w:r w:rsidRPr="00B710A0">
              <w:rPr>
                <w:b w:val="0"/>
                <w:sz w:val="20"/>
                <w:szCs w:val="20"/>
              </w:rPr>
              <w:t>Standards content</w:t>
            </w:r>
          </w:p>
          <w:p w14:paraId="6270915C"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to create policies, procedures and reporting systems for new content in the revised </w:t>
            </w:r>
            <w:r w:rsidR="00EC002E">
              <w:rPr>
                <w:b w:val="0"/>
                <w:sz w:val="20"/>
                <w:szCs w:val="20"/>
              </w:rPr>
              <w:t xml:space="preserve">NSQHS </w:t>
            </w:r>
            <w:r w:rsidRPr="00B710A0">
              <w:rPr>
                <w:b w:val="0"/>
                <w:sz w:val="20"/>
                <w:szCs w:val="20"/>
              </w:rPr>
              <w:t>Standards</w:t>
            </w:r>
          </w:p>
          <w:p w14:paraId="13856CE3"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make structural changes to committees and individual roles and responsibilities to align to the Standards</w:t>
            </w:r>
          </w:p>
          <w:p w14:paraId="00AEFA9D"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Initial cost of updating o</w:t>
            </w:r>
            <w:r>
              <w:rPr>
                <w:b w:val="0"/>
                <w:sz w:val="20"/>
                <w:szCs w:val="20"/>
              </w:rPr>
              <w:t>r establishing training systems:</w:t>
            </w:r>
          </w:p>
          <w:p w14:paraId="53D10AB6"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to address requirements in existing </w:t>
            </w:r>
            <w:r w:rsidR="00EC002E">
              <w:rPr>
                <w:b w:val="0"/>
                <w:sz w:val="20"/>
                <w:szCs w:val="20"/>
              </w:rPr>
              <w:t xml:space="preserve">NSQHS </w:t>
            </w:r>
            <w:r w:rsidRPr="00B710A0">
              <w:rPr>
                <w:b w:val="0"/>
                <w:sz w:val="20"/>
                <w:szCs w:val="20"/>
              </w:rPr>
              <w:t>Standards content</w:t>
            </w:r>
          </w:p>
          <w:p w14:paraId="1594D25F"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to address new content in the </w:t>
            </w:r>
            <w:r w:rsidR="00EC002E">
              <w:rPr>
                <w:b w:val="0"/>
                <w:sz w:val="20"/>
                <w:szCs w:val="20"/>
              </w:rPr>
              <w:t>NSQHS</w:t>
            </w:r>
            <w:r w:rsidR="007D16FD">
              <w:rPr>
                <w:b w:val="0"/>
                <w:sz w:val="20"/>
                <w:szCs w:val="20"/>
              </w:rPr>
              <w:t xml:space="preserve"> </w:t>
            </w:r>
            <w:r w:rsidRPr="00B710A0">
              <w:rPr>
                <w:b w:val="0"/>
                <w:sz w:val="20"/>
                <w:szCs w:val="20"/>
              </w:rPr>
              <w:t>Standards</w:t>
            </w:r>
          </w:p>
          <w:p w14:paraId="095734D2" w14:textId="77777777" w:rsidR="00BC2953" w:rsidRPr="00B710A0" w:rsidRDefault="00BC2953" w:rsidP="00EC002E">
            <w:pPr>
              <w:pStyle w:val="Normal2"/>
              <w:spacing w:before="60" w:after="60"/>
              <w:rPr>
                <w:b w:val="0"/>
                <w:sz w:val="20"/>
                <w:szCs w:val="20"/>
              </w:rPr>
            </w:pPr>
            <w:r w:rsidRPr="00B710A0">
              <w:rPr>
                <w:b w:val="0"/>
                <w:sz w:val="20"/>
                <w:szCs w:val="20"/>
              </w:rPr>
              <w:t>These one-off costs are estimated to be of the order of:</w:t>
            </w:r>
          </w:p>
          <w:p w14:paraId="71921981" w14:textId="77777777" w:rsidR="00BC2953" w:rsidRPr="00B710A0" w:rsidRDefault="00EC002E" w:rsidP="00EC002E">
            <w:pPr>
              <w:pStyle w:val="Normal2"/>
              <w:numPr>
                <w:ilvl w:val="0"/>
                <w:numId w:val="81"/>
              </w:numPr>
              <w:spacing w:before="60" w:after="60"/>
              <w:rPr>
                <w:b w:val="0"/>
                <w:sz w:val="20"/>
                <w:szCs w:val="20"/>
              </w:rPr>
            </w:pPr>
            <w:r>
              <w:rPr>
                <w:b w:val="0"/>
                <w:sz w:val="20"/>
                <w:szCs w:val="20"/>
              </w:rPr>
              <w:t xml:space="preserve">$2 </w:t>
            </w:r>
            <w:r w:rsidR="00BC2953" w:rsidRPr="00B710A0">
              <w:rPr>
                <w:b w:val="0"/>
                <w:sz w:val="20"/>
                <w:szCs w:val="20"/>
              </w:rPr>
              <w:t>842 for small public hospitals less than 50 beds</w:t>
            </w:r>
          </w:p>
          <w:p w14:paraId="0CE95311" w14:textId="77777777" w:rsidR="00BC2953" w:rsidRPr="00B710A0" w:rsidRDefault="00EC002E" w:rsidP="00EC002E">
            <w:pPr>
              <w:pStyle w:val="Normal2"/>
              <w:numPr>
                <w:ilvl w:val="0"/>
                <w:numId w:val="81"/>
              </w:numPr>
              <w:spacing w:before="60" w:after="60"/>
              <w:rPr>
                <w:b w:val="0"/>
                <w:sz w:val="20"/>
                <w:szCs w:val="20"/>
              </w:rPr>
            </w:pPr>
            <w:r>
              <w:rPr>
                <w:b w:val="0"/>
                <w:sz w:val="20"/>
                <w:szCs w:val="20"/>
              </w:rPr>
              <w:t xml:space="preserve">$6 </w:t>
            </w:r>
            <w:r w:rsidR="00BC2953" w:rsidRPr="00B710A0">
              <w:rPr>
                <w:b w:val="0"/>
                <w:sz w:val="20"/>
                <w:szCs w:val="20"/>
              </w:rPr>
              <w:t>088 for day procedure services</w:t>
            </w:r>
          </w:p>
          <w:p w14:paraId="6E24678C" w14:textId="77777777" w:rsidR="00BC2953" w:rsidRPr="00B710A0" w:rsidRDefault="00EC002E" w:rsidP="00EC002E">
            <w:pPr>
              <w:pStyle w:val="Normal2"/>
              <w:numPr>
                <w:ilvl w:val="0"/>
                <w:numId w:val="81"/>
              </w:numPr>
              <w:spacing w:before="60" w:after="60"/>
              <w:rPr>
                <w:b w:val="0"/>
                <w:sz w:val="20"/>
                <w:szCs w:val="20"/>
              </w:rPr>
            </w:pPr>
            <w:r>
              <w:rPr>
                <w:b w:val="0"/>
                <w:sz w:val="20"/>
                <w:szCs w:val="20"/>
              </w:rPr>
              <w:t xml:space="preserve">$84 </w:t>
            </w:r>
            <w:r w:rsidR="00BC2953" w:rsidRPr="00B710A0">
              <w:rPr>
                <w:b w:val="0"/>
                <w:sz w:val="20"/>
                <w:szCs w:val="20"/>
              </w:rPr>
              <w:t>960 for public hospitals with more than 50 beds</w:t>
            </w:r>
          </w:p>
          <w:p w14:paraId="05A564CB" w14:textId="77777777" w:rsidR="00BC2953" w:rsidRPr="00B710A0" w:rsidRDefault="00EC002E" w:rsidP="00EC002E">
            <w:pPr>
              <w:pStyle w:val="Normal2"/>
              <w:numPr>
                <w:ilvl w:val="0"/>
                <w:numId w:val="81"/>
              </w:numPr>
              <w:spacing w:before="60" w:after="60"/>
              <w:rPr>
                <w:b w:val="0"/>
                <w:sz w:val="20"/>
                <w:szCs w:val="20"/>
              </w:rPr>
            </w:pPr>
            <w:r>
              <w:rPr>
                <w:b w:val="0"/>
                <w:sz w:val="20"/>
                <w:szCs w:val="20"/>
              </w:rPr>
              <w:t xml:space="preserve">$85 </w:t>
            </w:r>
            <w:r w:rsidR="00BC2953" w:rsidRPr="00B710A0">
              <w:rPr>
                <w:b w:val="0"/>
                <w:sz w:val="20"/>
                <w:szCs w:val="20"/>
              </w:rPr>
              <w:t>263 for private hospitals</w:t>
            </w:r>
          </w:p>
          <w:p w14:paraId="351867D5" w14:textId="77777777" w:rsidR="00BC2953" w:rsidRPr="00B710A0" w:rsidRDefault="00BC2953" w:rsidP="00EC002E">
            <w:pPr>
              <w:pStyle w:val="Normal2"/>
              <w:spacing w:before="60" w:after="60"/>
              <w:rPr>
                <w:b w:val="0"/>
                <w:sz w:val="20"/>
                <w:szCs w:val="20"/>
              </w:rPr>
            </w:pPr>
            <w:r w:rsidRPr="00B710A0">
              <w:rPr>
                <w:b w:val="0"/>
                <w:sz w:val="20"/>
                <w:szCs w:val="20"/>
              </w:rPr>
              <w:t>Ongoing compliance/regulatory costs are expected to be similar to Option 1, the status quo.</w:t>
            </w:r>
          </w:p>
        </w:tc>
      </w:tr>
      <w:tr w:rsidR="00BC2953" w:rsidRPr="00B710A0" w14:paraId="285764E5" w14:textId="77777777" w:rsidTr="00EC00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2DD03A40" w14:textId="77777777" w:rsidR="00BC2953" w:rsidRPr="00B710A0" w:rsidRDefault="00BC2953" w:rsidP="00EC002E">
            <w:pPr>
              <w:spacing w:before="60" w:after="60"/>
              <w:rPr>
                <w:b w:val="0"/>
                <w:sz w:val="20"/>
                <w:szCs w:val="20"/>
              </w:rPr>
            </w:pPr>
            <w:r w:rsidRPr="00B710A0">
              <w:rPr>
                <w:b w:val="0"/>
                <w:sz w:val="20"/>
                <w:szCs w:val="20"/>
              </w:rPr>
              <w:t>Benefits</w:t>
            </w:r>
          </w:p>
        </w:tc>
      </w:tr>
      <w:tr w:rsidR="00BC2953" w:rsidRPr="00B710A0" w14:paraId="5636F34E" w14:textId="77777777" w:rsidTr="00EC002E">
        <w:trPr>
          <w:trHeight w:val="418"/>
        </w:trPr>
        <w:tc>
          <w:tcPr>
            <w:cnfStyle w:val="001000000000" w:firstRow="0" w:lastRow="0" w:firstColumn="1" w:lastColumn="0" w:oddVBand="0" w:evenVBand="0" w:oddHBand="0" w:evenHBand="0" w:firstRowFirstColumn="0" w:firstRowLastColumn="0" w:lastRowFirstColumn="0" w:lastRowLastColumn="0"/>
            <w:tcW w:w="9242" w:type="dxa"/>
          </w:tcPr>
          <w:p w14:paraId="3BC66F25"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Potential reduction in costs </w:t>
            </w:r>
            <w:r>
              <w:rPr>
                <w:b w:val="0"/>
                <w:sz w:val="20"/>
                <w:szCs w:val="20"/>
              </w:rPr>
              <w:t xml:space="preserve">associated with </w:t>
            </w:r>
            <w:r w:rsidRPr="00B710A0">
              <w:rPr>
                <w:b w:val="0"/>
                <w:sz w:val="20"/>
                <w:szCs w:val="20"/>
              </w:rPr>
              <w:t xml:space="preserve">compensation, insurance and legal </w:t>
            </w:r>
            <w:r>
              <w:rPr>
                <w:b w:val="0"/>
                <w:sz w:val="20"/>
                <w:szCs w:val="20"/>
              </w:rPr>
              <w:t xml:space="preserve">action </w:t>
            </w:r>
            <w:r w:rsidRPr="00B710A0">
              <w:rPr>
                <w:b w:val="0"/>
                <w:sz w:val="20"/>
                <w:szCs w:val="20"/>
              </w:rPr>
              <w:t xml:space="preserve">due to fewer adverse events </w:t>
            </w:r>
            <w:r>
              <w:rPr>
                <w:b w:val="0"/>
                <w:sz w:val="20"/>
                <w:szCs w:val="20"/>
              </w:rPr>
              <w:t xml:space="preserve">and </w:t>
            </w:r>
            <w:r w:rsidRPr="00B710A0">
              <w:rPr>
                <w:b w:val="0"/>
                <w:sz w:val="20"/>
                <w:szCs w:val="20"/>
              </w:rPr>
              <w:t>safer and better quality of care</w:t>
            </w:r>
          </w:p>
          <w:p w14:paraId="46A2C2FF"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Potential for reduction of costs through: </w:t>
            </w:r>
          </w:p>
          <w:p w14:paraId="6D1F8155"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reduction in length of stay and less follow-u</w:t>
            </w:r>
            <w:r w:rsidR="00EC002E">
              <w:rPr>
                <w:b w:val="0"/>
                <w:sz w:val="20"/>
                <w:szCs w:val="20"/>
              </w:rPr>
              <w:t>p care from the use of evidence-</w:t>
            </w:r>
            <w:r w:rsidRPr="00B710A0">
              <w:rPr>
                <w:b w:val="0"/>
                <w:sz w:val="20"/>
                <w:szCs w:val="20"/>
              </w:rPr>
              <w:t xml:space="preserve">based care </w:t>
            </w:r>
          </w:p>
          <w:p w14:paraId="6CB18BC4"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decreas</w:t>
            </w:r>
            <w:r>
              <w:rPr>
                <w:b w:val="0"/>
                <w:sz w:val="20"/>
                <w:szCs w:val="20"/>
              </w:rPr>
              <w:t>ing the</w:t>
            </w:r>
            <w:r w:rsidRPr="00B710A0">
              <w:rPr>
                <w:b w:val="0"/>
                <w:sz w:val="20"/>
                <w:szCs w:val="20"/>
              </w:rPr>
              <w:t xml:space="preserve"> length of stay of patients through improvements in the assessment and coordination of an individual’s care and discharge planning at the commencement of care</w:t>
            </w:r>
          </w:p>
          <w:p w14:paraId="724BE200"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early identification and management of safety and quality risks, accurate identification and prioritisation of areas for improvement and closer monitoring and evaluation of performance from improved oversight of clinical governance by the governing body, executive and clinical leaders </w:t>
            </w:r>
          </w:p>
          <w:p w14:paraId="642A0752"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focus</w:t>
            </w:r>
            <w:r>
              <w:rPr>
                <w:b w:val="0"/>
                <w:sz w:val="20"/>
                <w:szCs w:val="20"/>
              </w:rPr>
              <w:t>ing</w:t>
            </w:r>
            <w:r w:rsidR="00EC002E">
              <w:rPr>
                <w:b w:val="0"/>
                <w:sz w:val="20"/>
                <w:szCs w:val="20"/>
              </w:rPr>
              <w:t xml:space="preserve"> resources on high-</w:t>
            </w:r>
            <w:r w:rsidRPr="00B710A0">
              <w:rPr>
                <w:b w:val="0"/>
                <w:sz w:val="20"/>
                <w:szCs w:val="20"/>
              </w:rPr>
              <w:t>priority safety and quality issues that affect large numbers of patients and have a high impact on costs, and where small improvements can increase the capacity to manage demand and reduce costs</w:t>
            </w:r>
          </w:p>
          <w:p w14:paraId="3B67AF3A"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reduc</w:t>
            </w:r>
            <w:r>
              <w:rPr>
                <w:b w:val="0"/>
                <w:sz w:val="20"/>
                <w:szCs w:val="20"/>
              </w:rPr>
              <w:t xml:space="preserve">ing </w:t>
            </w:r>
            <w:r w:rsidRPr="00B710A0">
              <w:rPr>
                <w:b w:val="0"/>
                <w:sz w:val="20"/>
                <w:szCs w:val="20"/>
              </w:rPr>
              <w:t>time spent finding and managing clinical records, through the use of electronic health records systems</w:t>
            </w:r>
          </w:p>
          <w:p w14:paraId="13BA2721"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reduc</w:t>
            </w:r>
            <w:r>
              <w:rPr>
                <w:b w:val="0"/>
                <w:sz w:val="20"/>
                <w:szCs w:val="20"/>
              </w:rPr>
              <w:t xml:space="preserve">ing </w:t>
            </w:r>
            <w:r w:rsidRPr="00B710A0">
              <w:rPr>
                <w:b w:val="0"/>
                <w:sz w:val="20"/>
                <w:szCs w:val="20"/>
              </w:rPr>
              <w:t>the number of repeated tests, hospitalisations and readmissions through access to electronic health records</w:t>
            </w:r>
          </w:p>
          <w:p w14:paraId="677BD568"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greater engagement of consumers in governance and their own care reduc</w:t>
            </w:r>
            <w:r>
              <w:rPr>
                <w:b w:val="0"/>
                <w:sz w:val="20"/>
                <w:szCs w:val="20"/>
              </w:rPr>
              <w:t>ing</w:t>
            </w:r>
            <w:r w:rsidR="00EC002E">
              <w:rPr>
                <w:b w:val="0"/>
                <w:sz w:val="20"/>
                <w:szCs w:val="20"/>
              </w:rPr>
              <w:t xml:space="preserve"> follow-</w:t>
            </w:r>
            <w:r w:rsidRPr="00B710A0">
              <w:rPr>
                <w:b w:val="0"/>
                <w:sz w:val="20"/>
                <w:szCs w:val="20"/>
              </w:rPr>
              <w:t>up care and cost of providing more co</w:t>
            </w:r>
            <w:r w:rsidR="00EC002E">
              <w:rPr>
                <w:b w:val="0"/>
                <w:sz w:val="20"/>
                <w:szCs w:val="20"/>
              </w:rPr>
              <w:t xml:space="preserve">mplex services to patients </w:t>
            </w:r>
            <w:r w:rsidRPr="00B710A0">
              <w:rPr>
                <w:b w:val="0"/>
                <w:sz w:val="20"/>
                <w:szCs w:val="20"/>
              </w:rPr>
              <w:t>who don’t follow treatment plans</w:t>
            </w:r>
          </w:p>
          <w:p w14:paraId="14B6EE5F" w14:textId="77777777" w:rsidR="00BC2953" w:rsidRPr="00B710A0" w:rsidRDefault="00BC2953" w:rsidP="00EC002E">
            <w:pPr>
              <w:pStyle w:val="Normal2"/>
              <w:numPr>
                <w:ilvl w:val="1"/>
                <w:numId w:val="81"/>
              </w:numPr>
              <w:spacing w:before="60" w:after="60"/>
              <w:rPr>
                <w:b w:val="0"/>
                <w:sz w:val="20"/>
                <w:szCs w:val="20"/>
              </w:rPr>
            </w:pPr>
            <w:proofErr w:type="gramStart"/>
            <w:r w:rsidRPr="00B710A0">
              <w:rPr>
                <w:b w:val="0"/>
                <w:sz w:val="20"/>
                <w:szCs w:val="20"/>
              </w:rPr>
              <w:t>providing</w:t>
            </w:r>
            <w:proofErr w:type="gramEnd"/>
            <w:r w:rsidRPr="00B710A0">
              <w:rPr>
                <w:b w:val="0"/>
                <w:sz w:val="20"/>
                <w:szCs w:val="20"/>
              </w:rPr>
              <w:t xml:space="preserve"> a greater choice for people at the end of life, reducing length of stay and the cost of unnecessary procedures</w:t>
            </w:r>
            <w:r>
              <w:rPr>
                <w:b w:val="0"/>
                <w:sz w:val="20"/>
                <w:szCs w:val="20"/>
              </w:rPr>
              <w:t>.</w:t>
            </w:r>
          </w:p>
          <w:p w14:paraId="48E36217" w14:textId="77777777" w:rsidR="00BC2953" w:rsidRPr="00B710A0" w:rsidRDefault="00BC2953" w:rsidP="00EC002E">
            <w:pPr>
              <w:pStyle w:val="Normal2"/>
              <w:spacing w:before="60" w:after="60"/>
              <w:rPr>
                <w:b w:val="0"/>
                <w:sz w:val="20"/>
                <w:szCs w:val="20"/>
              </w:rPr>
            </w:pPr>
            <w:r w:rsidRPr="00B710A0">
              <w:rPr>
                <w:b w:val="0"/>
                <w:sz w:val="20"/>
                <w:szCs w:val="20"/>
              </w:rPr>
              <w:t xml:space="preserve">The size of these cost savings cannot be reliably quantified, but across the sector the existing costs are of the order </w:t>
            </w:r>
            <w:r>
              <w:rPr>
                <w:b w:val="0"/>
                <w:sz w:val="20"/>
                <w:szCs w:val="20"/>
              </w:rPr>
              <w:t xml:space="preserve">of </w:t>
            </w:r>
            <w:r w:rsidRPr="00B710A0">
              <w:rPr>
                <w:b w:val="0"/>
                <w:sz w:val="20"/>
                <w:szCs w:val="20"/>
              </w:rPr>
              <w:t>hundreds of millions of dollars annually, by</w:t>
            </w:r>
            <w:r>
              <w:rPr>
                <w:b w:val="0"/>
                <w:sz w:val="20"/>
                <w:szCs w:val="20"/>
              </w:rPr>
              <w:t xml:space="preserve"> </w:t>
            </w:r>
            <w:r w:rsidRPr="00B710A0">
              <w:rPr>
                <w:b w:val="0"/>
                <w:sz w:val="20"/>
                <w:szCs w:val="20"/>
              </w:rPr>
              <w:t>reducing complications and length of stay from undetected delirium through early detection. Delirium can be prevented in 30–40 per cent of cases, and if undetected increase</w:t>
            </w:r>
            <w:r w:rsidR="00EC002E">
              <w:rPr>
                <w:b w:val="0"/>
                <w:sz w:val="20"/>
                <w:szCs w:val="20"/>
              </w:rPr>
              <w:t>s</w:t>
            </w:r>
            <w:r w:rsidRPr="00B710A0">
              <w:rPr>
                <w:b w:val="0"/>
                <w:sz w:val="20"/>
                <w:szCs w:val="20"/>
              </w:rPr>
              <w:t xml:space="preserve"> the length of stay by 7.32 days in the intensive care un</w:t>
            </w:r>
            <w:r w:rsidR="00EC002E">
              <w:rPr>
                <w:b w:val="0"/>
                <w:sz w:val="20"/>
                <w:szCs w:val="20"/>
              </w:rPr>
              <w:t>it and by 6.53 days in hospital.</w:t>
            </w:r>
          </w:p>
        </w:tc>
      </w:tr>
    </w:tbl>
    <w:p w14:paraId="1520E735" w14:textId="77777777" w:rsidR="00BC2953" w:rsidRDefault="00BC2953" w:rsidP="00BC2953">
      <w:pPr>
        <w:pStyle w:val="PlainText"/>
        <w:rPr>
          <w:rFonts w:ascii="Arial" w:hAnsi="Arial"/>
        </w:rPr>
      </w:pPr>
    </w:p>
    <w:p w14:paraId="2A529700" w14:textId="77777777" w:rsidR="00BC2953" w:rsidRDefault="00BC2953" w:rsidP="00BC2953">
      <w:pPr>
        <w:pStyle w:val="PlainText"/>
        <w:rPr>
          <w:rFonts w:ascii="Arial" w:hAnsi="Arial"/>
        </w:rPr>
      </w:pP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Government (exclusive of direct impacts for publicly-owned health service organisations)"/>
      </w:tblPr>
      <w:tblGrid>
        <w:gridCol w:w="9242"/>
      </w:tblGrid>
      <w:tr w:rsidR="00BC2953" w:rsidRPr="00B710A0" w14:paraId="30F79518"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hideMark/>
          </w:tcPr>
          <w:p w14:paraId="3D779E10" w14:textId="77777777" w:rsidR="00BC2953" w:rsidRPr="00B710A0" w:rsidRDefault="00BC2953" w:rsidP="00EC002E">
            <w:pPr>
              <w:pStyle w:val="Normal2"/>
              <w:pageBreakBefore/>
              <w:spacing w:before="60" w:after="60"/>
              <w:rPr>
                <w:rFonts w:eastAsiaTheme="minorHAnsi"/>
                <w:sz w:val="20"/>
                <w:szCs w:val="20"/>
              </w:rPr>
            </w:pPr>
            <w:r w:rsidRPr="00B710A0">
              <w:rPr>
                <w:sz w:val="20"/>
                <w:szCs w:val="20"/>
              </w:rPr>
              <w:t>Government (exclusive of direct impacts for publicly-owned health service organisations)</w:t>
            </w:r>
          </w:p>
        </w:tc>
      </w:tr>
      <w:tr w:rsidR="00BC2953" w:rsidRPr="00B710A0" w14:paraId="45617E29" w14:textId="77777777" w:rsidTr="00EC00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251F85EC" w14:textId="77777777" w:rsidR="00BC2953" w:rsidRPr="00B710A0" w:rsidRDefault="00BC2953" w:rsidP="00EC002E">
            <w:pPr>
              <w:spacing w:before="60" w:after="60"/>
              <w:rPr>
                <w:b w:val="0"/>
                <w:sz w:val="20"/>
                <w:szCs w:val="20"/>
              </w:rPr>
            </w:pPr>
            <w:r w:rsidRPr="00B710A0">
              <w:rPr>
                <w:b w:val="0"/>
                <w:sz w:val="20"/>
                <w:szCs w:val="20"/>
              </w:rPr>
              <w:t>Costs</w:t>
            </w:r>
          </w:p>
        </w:tc>
      </w:tr>
      <w:tr w:rsidR="00BC2953" w:rsidRPr="00B710A0" w14:paraId="1057051A" w14:textId="77777777" w:rsidTr="00EC002E">
        <w:tc>
          <w:tcPr>
            <w:cnfStyle w:val="001000000000" w:firstRow="0" w:lastRow="0" w:firstColumn="1" w:lastColumn="0" w:oddVBand="0" w:evenVBand="0" w:oddHBand="0" w:evenHBand="0" w:firstRowFirstColumn="0" w:firstRowLastColumn="0" w:lastRowFirstColumn="0" w:lastRowLastColumn="0"/>
            <w:tcW w:w="9242" w:type="dxa"/>
          </w:tcPr>
          <w:p w14:paraId="4831B30D"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Initial cost of establishing or updating jurisdictional regulation, policies, education modules, tools and resources</w:t>
            </w:r>
          </w:p>
          <w:p w14:paraId="35AED07E"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Initial cost of updating data collection and reporting system in line with the revised </w:t>
            </w:r>
            <w:r w:rsidR="00EC002E">
              <w:rPr>
                <w:b w:val="0"/>
                <w:sz w:val="20"/>
                <w:szCs w:val="20"/>
              </w:rPr>
              <w:t xml:space="preserve">NSQHS </w:t>
            </w:r>
            <w:r w:rsidRPr="00B710A0">
              <w:rPr>
                <w:b w:val="0"/>
                <w:sz w:val="20"/>
                <w:szCs w:val="20"/>
              </w:rPr>
              <w:t>Standards</w:t>
            </w:r>
          </w:p>
          <w:p w14:paraId="0E81324A"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Initial cost of promulgating new standards among the workforce in health service organisations</w:t>
            </w:r>
          </w:p>
          <w:p w14:paraId="0D73036C"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No ongoing costs anticipated</w:t>
            </w:r>
          </w:p>
        </w:tc>
      </w:tr>
      <w:tr w:rsidR="00BC2953" w:rsidRPr="00B710A0" w14:paraId="3712DA27" w14:textId="77777777" w:rsidTr="00EC00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756B7921" w14:textId="77777777" w:rsidR="00BC2953" w:rsidRPr="00B710A0" w:rsidRDefault="00BC2953" w:rsidP="00EC002E">
            <w:pPr>
              <w:spacing w:before="60" w:after="60"/>
              <w:rPr>
                <w:b w:val="0"/>
                <w:sz w:val="20"/>
                <w:szCs w:val="20"/>
              </w:rPr>
            </w:pPr>
            <w:r w:rsidRPr="00B710A0">
              <w:rPr>
                <w:b w:val="0"/>
                <w:sz w:val="20"/>
                <w:szCs w:val="20"/>
              </w:rPr>
              <w:t>Benefits</w:t>
            </w:r>
          </w:p>
        </w:tc>
      </w:tr>
      <w:tr w:rsidR="00BC2953" w:rsidRPr="00B710A0" w14:paraId="7D4A2976" w14:textId="77777777" w:rsidTr="00EC002E">
        <w:trPr>
          <w:trHeight w:val="285"/>
        </w:trPr>
        <w:tc>
          <w:tcPr>
            <w:cnfStyle w:val="001000000000" w:firstRow="0" w:lastRow="0" w:firstColumn="1" w:lastColumn="0" w:oddVBand="0" w:evenVBand="0" w:oddHBand="0" w:evenHBand="0" w:firstRowFirstColumn="0" w:firstRowLastColumn="0" w:lastRowFirstColumn="0" w:lastRowLastColumn="0"/>
            <w:tcW w:w="9242" w:type="dxa"/>
            <w:hideMark/>
          </w:tcPr>
          <w:p w14:paraId="6947EB0C" w14:textId="77777777" w:rsidR="00BC2953" w:rsidRPr="00B710A0" w:rsidRDefault="00BC2953" w:rsidP="00EC002E">
            <w:pPr>
              <w:pStyle w:val="Normal2"/>
              <w:spacing w:before="60" w:after="60"/>
              <w:rPr>
                <w:b w:val="0"/>
                <w:sz w:val="20"/>
                <w:szCs w:val="20"/>
              </w:rPr>
            </w:pPr>
            <w:r w:rsidRPr="00B710A0">
              <w:rPr>
                <w:b w:val="0"/>
                <w:sz w:val="20"/>
                <w:szCs w:val="20"/>
              </w:rPr>
              <w:t xml:space="preserve">Government benefits are from decreased costs associated with providing safe care and from improvements in population health and a more productive population. </w:t>
            </w:r>
          </w:p>
          <w:p w14:paraId="0711263F" w14:textId="77777777" w:rsidR="00BC2953" w:rsidRPr="00B710A0" w:rsidRDefault="00BC2953" w:rsidP="00EC002E">
            <w:pPr>
              <w:pStyle w:val="Normal2"/>
              <w:spacing w:before="60" w:after="60"/>
              <w:rPr>
                <w:b w:val="0"/>
                <w:sz w:val="20"/>
                <w:szCs w:val="20"/>
              </w:rPr>
            </w:pPr>
            <w:r w:rsidRPr="00B710A0">
              <w:rPr>
                <w:b w:val="0"/>
                <w:sz w:val="20"/>
                <w:szCs w:val="20"/>
              </w:rPr>
              <w:t xml:space="preserve">Specifically benefits are derived from: </w:t>
            </w:r>
          </w:p>
          <w:p w14:paraId="37F4EE2B" w14:textId="77777777" w:rsidR="00BC2953" w:rsidRPr="00B710A0" w:rsidRDefault="00BC2953" w:rsidP="00EC002E">
            <w:pPr>
              <w:pStyle w:val="Normal2"/>
              <w:numPr>
                <w:ilvl w:val="0"/>
                <w:numId w:val="81"/>
              </w:numPr>
              <w:spacing w:before="60" w:after="60"/>
              <w:rPr>
                <w:b w:val="0"/>
                <w:sz w:val="20"/>
                <w:szCs w:val="20"/>
              </w:rPr>
            </w:pPr>
            <w:r>
              <w:rPr>
                <w:b w:val="0"/>
                <w:sz w:val="20"/>
                <w:szCs w:val="20"/>
              </w:rPr>
              <w:t>n</w:t>
            </w:r>
            <w:r w:rsidRPr="00B710A0">
              <w:rPr>
                <w:b w:val="0"/>
                <w:sz w:val="20"/>
                <w:szCs w:val="20"/>
              </w:rPr>
              <w:t>ational consistency of safety and quality requirements leading to safer health service organisations and allowing clinicians to more seamlessly transition between health service organisations</w:t>
            </w:r>
          </w:p>
          <w:p w14:paraId="4A61B2B3" w14:textId="77777777" w:rsidR="00BC2953" w:rsidRPr="00B710A0" w:rsidRDefault="00BC2953" w:rsidP="00EC002E">
            <w:pPr>
              <w:pStyle w:val="Normal2"/>
              <w:numPr>
                <w:ilvl w:val="0"/>
                <w:numId w:val="81"/>
              </w:numPr>
              <w:spacing w:before="60" w:after="60"/>
              <w:rPr>
                <w:b w:val="0"/>
                <w:sz w:val="20"/>
                <w:szCs w:val="20"/>
              </w:rPr>
            </w:pPr>
            <w:r>
              <w:rPr>
                <w:b w:val="0"/>
                <w:sz w:val="20"/>
                <w:szCs w:val="20"/>
              </w:rPr>
              <w:t>f</w:t>
            </w:r>
            <w:r w:rsidRPr="00B710A0">
              <w:rPr>
                <w:b w:val="0"/>
                <w:sz w:val="20"/>
                <w:szCs w:val="20"/>
              </w:rPr>
              <w:t>ocusing activity in health service organisations on high priority safety and quality issues that affect large numbers of patients and have a high impact, and where small improvements can result in significant cost savings to State and Territory health budgets</w:t>
            </w:r>
          </w:p>
          <w:p w14:paraId="21115705" w14:textId="77777777" w:rsidR="00BC2953" w:rsidRPr="00B710A0" w:rsidRDefault="00BC2953" w:rsidP="00EC002E">
            <w:pPr>
              <w:pStyle w:val="Normal2"/>
              <w:numPr>
                <w:ilvl w:val="0"/>
                <w:numId w:val="81"/>
              </w:numPr>
              <w:spacing w:before="60" w:after="60"/>
              <w:rPr>
                <w:b w:val="0"/>
                <w:sz w:val="20"/>
                <w:szCs w:val="20"/>
              </w:rPr>
            </w:pPr>
            <w:r>
              <w:rPr>
                <w:b w:val="0"/>
                <w:sz w:val="20"/>
                <w:szCs w:val="20"/>
              </w:rPr>
              <w:t>i</w:t>
            </w:r>
            <w:r w:rsidRPr="00B710A0">
              <w:rPr>
                <w:b w:val="0"/>
                <w:sz w:val="20"/>
                <w:szCs w:val="20"/>
              </w:rPr>
              <w:t>ncreased efficiency of the overall health system from</w:t>
            </w:r>
          </w:p>
          <w:p w14:paraId="31441410"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fewer resources being used to rectify avoidable patient harm</w:t>
            </w:r>
          </w:p>
          <w:p w14:paraId="1BC27AF6" w14:textId="77777777" w:rsidR="00BC2953" w:rsidRPr="00B710A0" w:rsidRDefault="00BC2953" w:rsidP="00EC002E">
            <w:pPr>
              <w:pStyle w:val="Normal2"/>
              <w:numPr>
                <w:ilvl w:val="1"/>
                <w:numId w:val="81"/>
              </w:numPr>
              <w:spacing w:before="60" w:after="60"/>
              <w:rPr>
                <w:b w:val="0"/>
                <w:sz w:val="20"/>
                <w:szCs w:val="20"/>
              </w:rPr>
            </w:pPr>
            <w:r w:rsidRPr="00B710A0">
              <w:rPr>
                <w:b w:val="0"/>
                <w:sz w:val="20"/>
                <w:szCs w:val="20"/>
              </w:rPr>
              <w:t xml:space="preserve">timely care that reduces the need for future complex secondary or tertiary care </w:t>
            </w:r>
          </w:p>
          <w:p w14:paraId="0EF3FE58" w14:textId="77777777" w:rsidR="00BC2953" w:rsidRPr="00B710A0" w:rsidRDefault="00BC2953" w:rsidP="00EC002E">
            <w:pPr>
              <w:pStyle w:val="Normal2"/>
              <w:numPr>
                <w:ilvl w:val="0"/>
                <w:numId w:val="81"/>
              </w:numPr>
              <w:spacing w:before="60" w:after="60"/>
              <w:rPr>
                <w:b w:val="0"/>
                <w:sz w:val="20"/>
                <w:szCs w:val="20"/>
              </w:rPr>
            </w:pPr>
            <w:r>
              <w:rPr>
                <w:b w:val="0"/>
                <w:sz w:val="20"/>
                <w:szCs w:val="20"/>
              </w:rPr>
              <w:t>l</w:t>
            </w:r>
            <w:r w:rsidRPr="00B710A0">
              <w:rPr>
                <w:b w:val="0"/>
                <w:sz w:val="20"/>
                <w:szCs w:val="20"/>
              </w:rPr>
              <w:t>ikely reduction in readmissions within the public health system</w:t>
            </w:r>
          </w:p>
          <w:p w14:paraId="41713AAE" w14:textId="77777777" w:rsidR="00BC2953" w:rsidRPr="00B710A0" w:rsidRDefault="00BC2953" w:rsidP="00EC002E">
            <w:pPr>
              <w:pStyle w:val="Normal2"/>
              <w:numPr>
                <w:ilvl w:val="0"/>
                <w:numId w:val="81"/>
              </w:numPr>
              <w:spacing w:before="60" w:after="60"/>
              <w:rPr>
                <w:b w:val="0"/>
                <w:sz w:val="20"/>
                <w:szCs w:val="20"/>
              </w:rPr>
            </w:pPr>
            <w:r>
              <w:rPr>
                <w:b w:val="0"/>
                <w:sz w:val="20"/>
                <w:szCs w:val="20"/>
              </w:rPr>
              <w:t>r</w:t>
            </w:r>
            <w:r w:rsidRPr="00B710A0">
              <w:rPr>
                <w:b w:val="0"/>
                <w:sz w:val="20"/>
                <w:szCs w:val="20"/>
              </w:rPr>
              <w:t>eduction in the number of patients that require remedial treatment in the public health system as a result of poor quality care in the private sector</w:t>
            </w:r>
          </w:p>
          <w:p w14:paraId="2FE4EE58" w14:textId="77777777" w:rsidR="00EC002E" w:rsidRDefault="00BC2953" w:rsidP="00EC002E">
            <w:pPr>
              <w:pStyle w:val="Normal2"/>
              <w:spacing w:before="60" w:after="60"/>
              <w:rPr>
                <w:b w:val="0"/>
                <w:sz w:val="20"/>
                <w:szCs w:val="20"/>
              </w:rPr>
            </w:pPr>
            <w:r w:rsidRPr="00B710A0">
              <w:rPr>
                <w:b w:val="0"/>
                <w:sz w:val="20"/>
                <w:szCs w:val="20"/>
              </w:rPr>
              <w:t>The size of these cost savings cannot be reliably quantified</w:t>
            </w:r>
            <w:r>
              <w:rPr>
                <w:b w:val="0"/>
                <w:sz w:val="20"/>
                <w:szCs w:val="20"/>
              </w:rPr>
              <w:t>. G</w:t>
            </w:r>
            <w:r w:rsidRPr="00B710A0">
              <w:rPr>
                <w:b w:val="0"/>
                <w:sz w:val="20"/>
                <w:szCs w:val="20"/>
              </w:rPr>
              <w:t xml:space="preserve">overnment costs are </w:t>
            </w:r>
            <w:r w:rsidR="00EC002E">
              <w:rPr>
                <w:b w:val="0"/>
                <w:sz w:val="20"/>
                <w:szCs w:val="20"/>
              </w:rPr>
              <w:t xml:space="preserve">currently in the </w:t>
            </w:r>
            <w:r w:rsidRPr="00B710A0">
              <w:rPr>
                <w:b w:val="0"/>
                <w:sz w:val="20"/>
                <w:szCs w:val="20"/>
              </w:rPr>
              <w:t xml:space="preserve">order </w:t>
            </w:r>
            <w:r w:rsidR="00EC002E">
              <w:rPr>
                <w:b w:val="0"/>
                <w:sz w:val="20"/>
                <w:szCs w:val="20"/>
              </w:rPr>
              <w:t xml:space="preserve">of </w:t>
            </w:r>
            <w:r w:rsidR="00EC002E" w:rsidRPr="00B710A0">
              <w:rPr>
                <w:b w:val="0"/>
                <w:sz w:val="20"/>
                <w:szCs w:val="20"/>
              </w:rPr>
              <w:t>$28.6 billion per year</w:t>
            </w:r>
            <w:r w:rsidR="00EC002E">
              <w:rPr>
                <w:b w:val="0"/>
                <w:sz w:val="20"/>
                <w:szCs w:val="20"/>
              </w:rPr>
              <w:t xml:space="preserve">. Even a small improvement in care can lead to significant reductions in cost.  </w:t>
            </w:r>
          </w:p>
          <w:p w14:paraId="7C98643B" w14:textId="77777777" w:rsidR="00BC2953" w:rsidRPr="00B710A0" w:rsidRDefault="00BC2953" w:rsidP="00EC002E">
            <w:pPr>
              <w:pStyle w:val="Normal2"/>
              <w:spacing w:before="60" w:after="60"/>
              <w:rPr>
                <w:b w:val="0"/>
                <w:sz w:val="20"/>
                <w:szCs w:val="20"/>
              </w:rPr>
            </w:pPr>
            <w:r w:rsidRPr="00B710A0">
              <w:rPr>
                <w:b w:val="0"/>
                <w:sz w:val="20"/>
                <w:szCs w:val="20"/>
              </w:rPr>
              <w:t>Similarly, providing appropriate health care and as a result improving health outcomes for Aboriginal and Torres Strait Islander people Average annual health expenditure for Aboriginal and Torres Strait Islander people is $7</w:t>
            </w:r>
            <w:r w:rsidR="00EC002E">
              <w:rPr>
                <w:b w:val="0"/>
                <w:sz w:val="20"/>
                <w:szCs w:val="20"/>
              </w:rPr>
              <w:t xml:space="preserve"> </w:t>
            </w:r>
            <w:r w:rsidRPr="00B710A0">
              <w:rPr>
                <w:b w:val="0"/>
                <w:sz w:val="20"/>
                <w:szCs w:val="20"/>
              </w:rPr>
              <w:t>995 per person, compared with $5</w:t>
            </w:r>
            <w:r w:rsidR="00EC002E">
              <w:rPr>
                <w:b w:val="0"/>
                <w:sz w:val="20"/>
                <w:szCs w:val="20"/>
              </w:rPr>
              <w:t xml:space="preserve"> </w:t>
            </w:r>
            <w:r w:rsidRPr="00B710A0">
              <w:rPr>
                <w:b w:val="0"/>
                <w:sz w:val="20"/>
                <w:szCs w:val="20"/>
              </w:rPr>
              <w:t>437 for non-Indigenous Australians.</w:t>
            </w:r>
          </w:p>
        </w:tc>
      </w:tr>
    </w:tbl>
    <w:p w14:paraId="212581CA" w14:textId="77777777" w:rsidR="00BC2953" w:rsidRDefault="00BC2953" w:rsidP="00BC2953">
      <w:pPr>
        <w:rPr>
          <w:rStyle w:val="IntenseReference"/>
          <w:b w:val="0"/>
          <w:bCs w:val="0"/>
          <w:i w:val="0"/>
          <w:smallCaps w:val="0"/>
          <w:color w:val="auto"/>
          <w:spacing w:val="0"/>
        </w:rPr>
      </w:pP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Accrediting agencies"/>
      </w:tblPr>
      <w:tblGrid>
        <w:gridCol w:w="9242"/>
      </w:tblGrid>
      <w:tr w:rsidR="00BC2953" w:rsidRPr="00B710A0" w14:paraId="52FB0B8E"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hideMark/>
          </w:tcPr>
          <w:p w14:paraId="36F0E7D8" w14:textId="77777777" w:rsidR="00BC2953" w:rsidRPr="00B710A0" w:rsidRDefault="00BC2953" w:rsidP="00EC002E">
            <w:pPr>
              <w:spacing w:before="60" w:after="60"/>
              <w:rPr>
                <w:rFonts w:eastAsiaTheme="minorHAnsi"/>
                <w:sz w:val="20"/>
                <w:szCs w:val="20"/>
              </w:rPr>
            </w:pPr>
            <w:r w:rsidRPr="00B710A0">
              <w:rPr>
                <w:sz w:val="20"/>
                <w:szCs w:val="20"/>
              </w:rPr>
              <w:t>Accrediting agencies</w:t>
            </w:r>
          </w:p>
        </w:tc>
      </w:tr>
      <w:tr w:rsidR="00BC2953" w:rsidRPr="00B710A0" w14:paraId="3BD47990"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03F7285F" w14:textId="77777777" w:rsidR="00BC2953" w:rsidRPr="00B710A0" w:rsidRDefault="00BC2953" w:rsidP="00EC002E">
            <w:pPr>
              <w:spacing w:before="60" w:after="60"/>
              <w:rPr>
                <w:b w:val="0"/>
                <w:sz w:val="20"/>
                <w:szCs w:val="20"/>
              </w:rPr>
            </w:pPr>
            <w:r w:rsidRPr="00B710A0">
              <w:rPr>
                <w:b w:val="0"/>
                <w:sz w:val="20"/>
                <w:szCs w:val="20"/>
              </w:rPr>
              <w:t>Costs</w:t>
            </w:r>
          </w:p>
        </w:tc>
      </w:tr>
      <w:tr w:rsidR="00BC2953" w:rsidRPr="00B710A0" w14:paraId="3662BA00" w14:textId="77777777" w:rsidTr="00EC002E">
        <w:trPr>
          <w:trHeight w:val="1046"/>
        </w:trPr>
        <w:tc>
          <w:tcPr>
            <w:cnfStyle w:val="001000000000" w:firstRow="0" w:lastRow="0" w:firstColumn="1" w:lastColumn="0" w:oddVBand="0" w:evenVBand="0" w:oddHBand="0" w:evenHBand="0" w:firstRowFirstColumn="0" w:firstRowLastColumn="0" w:lastRowFirstColumn="0" w:lastRowLastColumn="0"/>
            <w:tcW w:w="9576" w:type="dxa"/>
          </w:tcPr>
          <w:p w14:paraId="614853DD"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Initial cost of updating reporting templates</w:t>
            </w:r>
          </w:p>
          <w:p w14:paraId="2EC63B39"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Initial costs of developing or adapting assessment tools and processes, and information technology systems for </w:t>
            </w:r>
            <w:r w:rsidR="00EC002E">
              <w:rPr>
                <w:b w:val="0"/>
                <w:sz w:val="20"/>
                <w:szCs w:val="20"/>
              </w:rPr>
              <w:t xml:space="preserve">NSQHS </w:t>
            </w:r>
            <w:r w:rsidRPr="00B710A0">
              <w:rPr>
                <w:b w:val="0"/>
                <w:sz w:val="20"/>
                <w:szCs w:val="20"/>
              </w:rPr>
              <w:t xml:space="preserve">Standards </w:t>
            </w:r>
          </w:p>
          <w:p w14:paraId="05DACFCE" w14:textId="77777777" w:rsidR="00BC2953" w:rsidRPr="00B710A0" w:rsidRDefault="00BC2953" w:rsidP="00EC002E">
            <w:pPr>
              <w:pStyle w:val="Normal2"/>
              <w:numPr>
                <w:ilvl w:val="0"/>
                <w:numId w:val="81"/>
              </w:numPr>
              <w:spacing w:before="60" w:after="60"/>
              <w:rPr>
                <w:b w:val="0"/>
                <w:sz w:val="20"/>
                <w:szCs w:val="20"/>
              </w:rPr>
            </w:pPr>
            <w:r w:rsidRPr="00B710A0">
              <w:rPr>
                <w:b w:val="0"/>
                <w:sz w:val="20"/>
                <w:szCs w:val="20"/>
              </w:rPr>
              <w:t xml:space="preserve">Rearranging accreditation assessments to allow assessors to attend training provided by the Commission on the </w:t>
            </w:r>
            <w:r w:rsidR="00EC002E">
              <w:rPr>
                <w:b w:val="0"/>
                <w:sz w:val="20"/>
                <w:szCs w:val="20"/>
              </w:rPr>
              <w:t xml:space="preserve">NSQHS </w:t>
            </w:r>
            <w:r w:rsidRPr="00B710A0">
              <w:rPr>
                <w:b w:val="0"/>
                <w:sz w:val="20"/>
                <w:szCs w:val="20"/>
              </w:rPr>
              <w:t xml:space="preserve">Standards </w:t>
            </w:r>
          </w:p>
        </w:tc>
      </w:tr>
      <w:tr w:rsidR="00BC2953" w:rsidRPr="00B710A0" w14:paraId="30351333" w14:textId="77777777" w:rsidTr="00EC00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04865344" w14:textId="77777777" w:rsidR="00BC2953" w:rsidRPr="00B710A0" w:rsidRDefault="00BC2953" w:rsidP="00EC002E">
            <w:pPr>
              <w:spacing w:before="60" w:after="60"/>
              <w:rPr>
                <w:b w:val="0"/>
                <w:sz w:val="20"/>
                <w:szCs w:val="20"/>
              </w:rPr>
            </w:pPr>
            <w:r w:rsidRPr="00B710A0">
              <w:rPr>
                <w:b w:val="0"/>
                <w:sz w:val="20"/>
                <w:szCs w:val="20"/>
              </w:rPr>
              <w:t>Benefits</w:t>
            </w:r>
          </w:p>
        </w:tc>
      </w:tr>
      <w:tr w:rsidR="00BC2953" w:rsidRPr="00B710A0" w14:paraId="2D7B8C4B" w14:textId="77777777" w:rsidTr="00EC002E">
        <w:trPr>
          <w:trHeight w:val="503"/>
        </w:trPr>
        <w:tc>
          <w:tcPr>
            <w:cnfStyle w:val="001000000000" w:firstRow="0" w:lastRow="0" w:firstColumn="1" w:lastColumn="0" w:oddVBand="0" w:evenVBand="0" w:oddHBand="0" w:evenHBand="0" w:firstRowFirstColumn="0" w:firstRowLastColumn="0" w:lastRowFirstColumn="0" w:lastRowLastColumn="0"/>
            <w:tcW w:w="9576" w:type="dxa"/>
          </w:tcPr>
          <w:p w14:paraId="7F2E478B" w14:textId="77777777" w:rsidR="00BC2953" w:rsidRPr="00B710A0" w:rsidRDefault="002C3984" w:rsidP="00EC002E">
            <w:pPr>
              <w:pStyle w:val="Normal2"/>
              <w:numPr>
                <w:ilvl w:val="0"/>
                <w:numId w:val="81"/>
              </w:numPr>
              <w:spacing w:before="60" w:after="60"/>
              <w:rPr>
                <w:b w:val="0"/>
                <w:sz w:val="20"/>
                <w:szCs w:val="20"/>
              </w:rPr>
            </w:pPr>
            <w:r>
              <w:rPr>
                <w:b w:val="0"/>
                <w:sz w:val="20"/>
                <w:szCs w:val="20"/>
              </w:rPr>
              <w:t>Not</w:t>
            </w:r>
            <w:r w:rsidR="00BC2953" w:rsidRPr="00B710A0">
              <w:rPr>
                <w:b w:val="0"/>
                <w:sz w:val="20"/>
                <w:szCs w:val="20"/>
              </w:rPr>
              <w:t xml:space="preserve"> significant</w:t>
            </w:r>
          </w:p>
        </w:tc>
      </w:tr>
    </w:tbl>
    <w:p w14:paraId="77C1E931" w14:textId="77777777" w:rsidR="00BC2953" w:rsidRPr="00DD67AC" w:rsidRDefault="00BC2953" w:rsidP="00BC2953">
      <w:pPr>
        <w:pStyle w:val="Normal2"/>
      </w:pPr>
    </w:p>
    <w:p w14:paraId="651BF5BC" w14:textId="77777777" w:rsidR="00EC002E" w:rsidRDefault="00EC002E">
      <w:r>
        <w:br w:type="page"/>
      </w:r>
    </w:p>
    <w:p w14:paraId="7CAF0DBA" w14:textId="77777777" w:rsidR="00BC2953" w:rsidRPr="00DD67AC" w:rsidRDefault="00BC2953" w:rsidP="00BC2953">
      <w:pPr>
        <w:pStyle w:val="Normal2"/>
      </w:pPr>
      <w:r w:rsidRPr="00DD67AC">
        <w:t>Section 1 identifies the policy problems that exist with the current requirements.  An analysis of the extent to which these problems are addressed by options 1 and 2 is summarised in Table 10.</w:t>
      </w:r>
    </w:p>
    <w:p w14:paraId="62AE9001" w14:textId="77777777" w:rsidR="00BC2953" w:rsidRPr="00DD67AC" w:rsidRDefault="00BC2953" w:rsidP="00BC2953">
      <w:pPr>
        <w:pStyle w:val="Caption"/>
      </w:pPr>
      <w:r w:rsidRPr="00DD67AC">
        <w:t>Table 10: Analysis of policy problems being address</w:t>
      </w:r>
    </w:p>
    <w:tbl>
      <w:tblPr>
        <w:tblStyle w:val="LightList-Accent1"/>
        <w:tblW w:w="85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Analysis of policy problems being addressed"/>
      </w:tblPr>
      <w:tblGrid>
        <w:gridCol w:w="1789"/>
        <w:gridCol w:w="3744"/>
        <w:gridCol w:w="1643"/>
        <w:gridCol w:w="1346"/>
      </w:tblGrid>
      <w:tr w:rsidR="00BC2953" w:rsidRPr="00B710A0" w14:paraId="7B2CE493"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365F91" w:themeFill="accent1" w:themeFillShade="BF"/>
            <w:vAlign w:val="center"/>
          </w:tcPr>
          <w:p w14:paraId="5DD764E2" w14:textId="77777777" w:rsidR="00BC2953" w:rsidRPr="00B710A0" w:rsidRDefault="00BC2953" w:rsidP="00EC002E">
            <w:pPr>
              <w:pStyle w:val="Normal2"/>
              <w:jc w:val="center"/>
              <w:rPr>
                <w:sz w:val="20"/>
                <w:szCs w:val="20"/>
              </w:rPr>
            </w:pPr>
            <w:r w:rsidRPr="00B710A0">
              <w:rPr>
                <w:sz w:val="20"/>
                <w:szCs w:val="20"/>
              </w:rPr>
              <w:t>Policy problems</w:t>
            </w:r>
          </w:p>
        </w:tc>
        <w:tc>
          <w:tcPr>
            <w:tcW w:w="3848" w:type="dxa"/>
            <w:vMerge w:val="restart"/>
            <w:shd w:val="clear" w:color="auto" w:fill="365F91" w:themeFill="accent1" w:themeFillShade="BF"/>
            <w:vAlign w:val="center"/>
          </w:tcPr>
          <w:p w14:paraId="2B4608DF" w14:textId="77777777" w:rsidR="00BC2953" w:rsidRPr="00B710A0" w:rsidRDefault="00BC2953" w:rsidP="00EC002E">
            <w:pPr>
              <w:pStyle w:val="Normal2"/>
              <w:jc w:val="center"/>
              <w:cnfStyle w:val="100000000000" w:firstRow="1"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What </w:t>
            </w:r>
            <w:proofErr w:type="gramStart"/>
            <w:r w:rsidRPr="00B710A0">
              <w:rPr>
                <w:sz w:val="20"/>
                <w:szCs w:val="20"/>
              </w:rPr>
              <w:t>is</w:t>
            </w:r>
            <w:proofErr w:type="gramEnd"/>
            <w:r w:rsidRPr="00B710A0">
              <w:rPr>
                <w:sz w:val="20"/>
                <w:szCs w:val="20"/>
              </w:rPr>
              <w:t xml:space="preserve"> the cost / benefit?</w:t>
            </w:r>
          </w:p>
        </w:tc>
        <w:tc>
          <w:tcPr>
            <w:tcW w:w="2865" w:type="dxa"/>
            <w:gridSpan w:val="2"/>
            <w:shd w:val="clear" w:color="auto" w:fill="365F91" w:themeFill="accent1" w:themeFillShade="BF"/>
            <w:vAlign w:val="center"/>
          </w:tcPr>
          <w:p w14:paraId="38CF1387" w14:textId="77777777" w:rsidR="00BC2953" w:rsidRPr="00B710A0" w:rsidRDefault="00BC2953" w:rsidP="00EC002E">
            <w:pPr>
              <w:pStyle w:val="Normal2"/>
              <w:jc w:val="center"/>
              <w:cnfStyle w:val="100000000000" w:firstRow="1" w:lastRow="0" w:firstColumn="0" w:lastColumn="0" w:oddVBand="0" w:evenVBand="0" w:oddHBand="0" w:evenHBand="0" w:firstRowFirstColumn="0" w:firstRowLastColumn="0" w:lastRowFirstColumn="0" w:lastRowLastColumn="0"/>
              <w:rPr>
                <w:sz w:val="20"/>
                <w:szCs w:val="20"/>
              </w:rPr>
            </w:pPr>
            <w:r w:rsidRPr="00B710A0">
              <w:rPr>
                <w:sz w:val="20"/>
                <w:szCs w:val="20"/>
              </w:rPr>
              <w:t>Will this policy problem be addressed by implementing?</w:t>
            </w:r>
          </w:p>
        </w:tc>
      </w:tr>
      <w:tr w:rsidR="00BC2953" w:rsidRPr="00B710A0" w14:paraId="13A82589" w14:textId="77777777" w:rsidTr="00EC0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365F91" w:themeFill="accent1" w:themeFillShade="BF"/>
            <w:vAlign w:val="center"/>
          </w:tcPr>
          <w:p w14:paraId="0449E6FF" w14:textId="77777777" w:rsidR="00BC2953" w:rsidRPr="00B710A0" w:rsidRDefault="00BC2953" w:rsidP="00EC002E">
            <w:pPr>
              <w:pStyle w:val="Normal2"/>
              <w:jc w:val="center"/>
              <w:rPr>
                <w:sz w:val="20"/>
                <w:szCs w:val="20"/>
              </w:rPr>
            </w:pPr>
          </w:p>
        </w:tc>
        <w:tc>
          <w:tcPr>
            <w:tcW w:w="3848" w:type="dxa"/>
            <w:vMerge/>
            <w:shd w:val="clear" w:color="auto" w:fill="365F91" w:themeFill="accent1" w:themeFillShade="BF"/>
            <w:vAlign w:val="center"/>
          </w:tcPr>
          <w:p w14:paraId="222F8766" w14:textId="77777777" w:rsidR="00BC2953" w:rsidRPr="00B710A0" w:rsidRDefault="00BC2953" w:rsidP="00EC002E">
            <w:pPr>
              <w:pStyle w:val="Normal2"/>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496" w:type="dxa"/>
            <w:shd w:val="clear" w:color="auto" w:fill="365F91" w:themeFill="accent1" w:themeFillShade="BF"/>
            <w:vAlign w:val="center"/>
          </w:tcPr>
          <w:p w14:paraId="146A27D4" w14:textId="77777777" w:rsidR="00BC2953" w:rsidRPr="00B710A0" w:rsidRDefault="00BC2953" w:rsidP="00EC002E">
            <w:pPr>
              <w:pStyle w:val="Normal2"/>
              <w:jc w:val="center"/>
              <w:cnfStyle w:val="100000000000" w:firstRow="1" w:lastRow="0" w:firstColumn="0" w:lastColumn="0" w:oddVBand="0" w:evenVBand="0" w:oddHBand="0" w:evenHBand="0" w:firstRowFirstColumn="0" w:firstRowLastColumn="0" w:lastRowFirstColumn="0" w:lastRowLastColumn="0"/>
              <w:rPr>
                <w:sz w:val="20"/>
                <w:szCs w:val="20"/>
              </w:rPr>
            </w:pPr>
            <w:r w:rsidRPr="00B710A0">
              <w:rPr>
                <w:sz w:val="20"/>
                <w:szCs w:val="20"/>
              </w:rPr>
              <w:t>Option 1</w:t>
            </w:r>
          </w:p>
        </w:tc>
        <w:tc>
          <w:tcPr>
            <w:tcW w:w="1369" w:type="dxa"/>
            <w:shd w:val="clear" w:color="auto" w:fill="365F91" w:themeFill="accent1" w:themeFillShade="BF"/>
            <w:vAlign w:val="center"/>
          </w:tcPr>
          <w:p w14:paraId="4786A657" w14:textId="77777777" w:rsidR="00BC2953" w:rsidRPr="00B710A0" w:rsidRDefault="00BC2953" w:rsidP="00EC002E">
            <w:pPr>
              <w:pStyle w:val="Normal2"/>
              <w:jc w:val="center"/>
              <w:cnfStyle w:val="100000000000" w:firstRow="1" w:lastRow="0" w:firstColumn="0" w:lastColumn="0" w:oddVBand="0" w:evenVBand="0" w:oddHBand="0" w:evenHBand="0" w:firstRowFirstColumn="0" w:firstRowLastColumn="0" w:lastRowFirstColumn="0" w:lastRowLastColumn="0"/>
              <w:rPr>
                <w:sz w:val="20"/>
                <w:szCs w:val="20"/>
              </w:rPr>
            </w:pPr>
            <w:r w:rsidRPr="00B710A0">
              <w:rPr>
                <w:sz w:val="20"/>
                <w:szCs w:val="20"/>
              </w:rPr>
              <w:t>Option 2</w:t>
            </w:r>
          </w:p>
        </w:tc>
      </w:tr>
      <w:tr w:rsidR="00BC2953" w:rsidRPr="00B710A0" w14:paraId="55C323D2"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single" w:sz="4" w:space="0" w:color="auto"/>
            </w:tcBorders>
          </w:tcPr>
          <w:p w14:paraId="34B4A8A6" w14:textId="77777777" w:rsidR="00BC2953" w:rsidRPr="00B710A0" w:rsidRDefault="00BC2953" w:rsidP="00030BC1">
            <w:pPr>
              <w:pStyle w:val="Normal2"/>
              <w:rPr>
                <w:b w:val="0"/>
                <w:sz w:val="20"/>
                <w:szCs w:val="20"/>
              </w:rPr>
            </w:pPr>
            <w:r w:rsidRPr="00B710A0">
              <w:rPr>
                <w:b w:val="0"/>
                <w:sz w:val="20"/>
                <w:szCs w:val="20"/>
              </w:rPr>
              <w:t xml:space="preserve">Duplication </w:t>
            </w:r>
          </w:p>
        </w:tc>
        <w:tc>
          <w:tcPr>
            <w:tcW w:w="3848" w:type="dxa"/>
            <w:tcBorders>
              <w:top w:val="none" w:sz="0" w:space="0" w:color="auto"/>
              <w:bottom w:val="single" w:sz="4" w:space="0" w:color="auto"/>
            </w:tcBorders>
          </w:tcPr>
          <w:p w14:paraId="11B6C4C5"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All RIS respondents identified this as an issue with the current </w:t>
            </w:r>
            <w:r w:rsidR="00EC002E">
              <w:rPr>
                <w:sz w:val="20"/>
                <w:szCs w:val="20"/>
              </w:rPr>
              <w:t xml:space="preserve">NSQHS </w:t>
            </w:r>
            <w:r w:rsidRPr="00B710A0">
              <w:rPr>
                <w:sz w:val="20"/>
                <w:szCs w:val="20"/>
              </w:rPr>
              <w:t xml:space="preserve">Standards. There was concern that some duplication remained in version 2.  </w:t>
            </w:r>
          </w:p>
          <w:p w14:paraId="2BA77297"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There are costs associated with producing evidence to meet the requirements of accreditation. </w:t>
            </w:r>
          </w:p>
        </w:tc>
        <w:tc>
          <w:tcPr>
            <w:tcW w:w="1496" w:type="dxa"/>
            <w:tcBorders>
              <w:top w:val="none" w:sz="0" w:space="0" w:color="auto"/>
              <w:bottom w:val="single" w:sz="4" w:space="0" w:color="auto"/>
            </w:tcBorders>
          </w:tcPr>
          <w:p w14:paraId="51E3C719"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No</w:t>
            </w:r>
          </w:p>
        </w:tc>
        <w:tc>
          <w:tcPr>
            <w:tcW w:w="1369" w:type="dxa"/>
            <w:tcBorders>
              <w:top w:val="none" w:sz="0" w:space="0" w:color="auto"/>
              <w:bottom w:val="single" w:sz="4" w:space="0" w:color="auto"/>
              <w:right w:val="none" w:sz="0" w:space="0" w:color="auto"/>
            </w:tcBorders>
          </w:tcPr>
          <w:p w14:paraId="2A59E56C"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Yes</w:t>
            </w:r>
          </w:p>
        </w:tc>
      </w:tr>
      <w:tr w:rsidR="00BC2953" w:rsidRPr="00B710A0" w14:paraId="2FE4F5F8" w14:textId="77777777" w:rsidTr="00EC002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tcPr>
          <w:p w14:paraId="3A4202FC" w14:textId="77777777" w:rsidR="00BC2953" w:rsidRPr="00B710A0" w:rsidRDefault="00BC2953" w:rsidP="00030BC1">
            <w:pPr>
              <w:pStyle w:val="Normal2"/>
              <w:rPr>
                <w:b w:val="0"/>
                <w:sz w:val="20"/>
                <w:szCs w:val="20"/>
              </w:rPr>
            </w:pPr>
            <w:r w:rsidRPr="00B710A0">
              <w:rPr>
                <w:b w:val="0"/>
                <w:sz w:val="20"/>
                <w:szCs w:val="20"/>
              </w:rPr>
              <w:t>Coverage of the clinical workforce</w:t>
            </w:r>
          </w:p>
        </w:tc>
        <w:tc>
          <w:tcPr>
            <w:tcW w:w="3848" w:type="dxa"/>
            <w:tcBorders>
              <w:top w:val="single" w:sz="4" w:space="0" w:color="auto"/>
              <w:bottom w:val="single" w:sz="4" w:space="0" w:color="auto"/>
            </w:tcBorders>
          </w:tcPr>
          <w:p w14:paraId="11795345"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The definitions remain unchanged in option 1 but have been addressed in option 2.  </w:t>
            </w:r>
          </w:p>
          <w:p w14:paraId="767C29BF"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There </w:t>
            </w:r>
            <w:proofErr w:type="gramStart"/>
            <w:r w:rsidRPr="00B710A0">
              <w:rPr>
                <w:sz w:val="20"/>
                <w:szCs w:val="20"/>
              </w:rPr>
              <w:t>are</w:t>
            </w:r>
            <w:proofErr w:type="gramEnd"/>
            <w:r w:rsidRPr="00B710A0">
              <w:rPr>
                <w:sz w:val="20"/>
                <w:szCs w:val="20"/>
              </w:rPr>
              <w:t xml:space="preserve"> no cost implications associated with this item. </w:t>
            </w:r>
          </w:p>
        </w:tc>
        <w:tc>
          <w:tcPr>
            <w:tcW w:w="1496" w:type="dxa"/>
            <w:tcBorders>
              <w:top w:val="single" w:sz="4" w:space="0" w:color="auto"/>
              <w:bottom w:val="single" w:sz="4" w:space="0" w:color="auto"/>
            </w:tcBorders>
          </w:tcPr>
          <w:p w14:paraId="145A809F"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No</w:t>
            </w:r>
          </w:p>
        </w:tc>
        <w:tc>
          <w:tcPr>
            <w:tcW w:w="1369" w:type="dxa"/>
            <w:tcBorders>
              <w:top w:val="single" w:sz="4" w:space="0" w:color="auto"/>
              <w:bottom w:val="single" w:sz="4" w:space="0" w:color="auto"/>
            </w:tcBorders>
          </w:tcPr>
          <w:p w14:paraId="6F050D87"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Yes</w:t>
            </w:r>
          </w:p>
        </w:tc>
      </w:tr>
      <w:tr w:rsidR="00BC2953" w:rsidRPr="00B710A0" w14:paraId="1D490D0F"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none" w:sz="0" w:space="0" w:color="auto"/>
              <w:bottom w:val="single" w:sz="4" w:space="0" w:color="auto"/>
            </w:tcBorders>
          </w:tcPr>
          <w:p w14:paraId="7DBD03BB" w14:textId="77777777" w:rsidR="00BC2953" w:rsidRPr="00B710A0" w:rsidRDefault="00BC2953" w:rsidP="00030BC1">
            <w:pPr>
              <w:pStyle w:val="Normal2"/>
              <w:rPr>
                <w:b w:val="0"/>
                <w:sz w:val="20"/>
                <w:szCs w:val="20"/>
              </w:rPr>
            </w:pPr>
            <w:r w:rsidRPr="00B710A0">
              <w:rPr>
                <w:b w:val="0"/>
                <w:sz w:val="20"/>
                <w:szCs w:val="20"/>
              </w:rPr>
              <w:t>Clinical audit</w:t>
            </w:r>
          </w:p>
        </w:tc>
        <w:tc>
          <w:tcPr>
            <w:tcW w:w="3848" w:type="dxa"/>
            <w:tcBorders>
              <w:top w:val="single" w:sz="4" w:space="0" w:color="auto"/>
              <w:bottom w:val="single" w:sz="4" w:space="0" w:color="auto"/>
            </w:tcBorders>
          </w:tcPr>
          <w:p w14:paraId="57451890"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RIS respondents identified this as an issue and clinical audit was commonly given as the reason for respondents supporting version 2.  </w:t>
            </w:r>
          </w:p>
          <w:p w14:paraId="10CC416E"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The extent of the clinical audits required is not specified in the </w:t>
            </w:r>
            <w:r w:rsidR="00EC002E">
              <w:rPr>
                <w:sz w:val="20"/>
                <w:szCs w:val="20"/>
              </w:rPr>
              <w:t xml:space="preserve">NSQHS </w:t>
            </w:r>
            <w:r w:rsidRPr="00B710A0">
              <w:rPr>
                <w:sz w:val="20"/>
                <w:szCs w:val="20"/>
              </w:rPr>
              <w:t xml:space="preserve">Standards. </w:t>
            </w:r>
          </w:p>
          <w:p w14:paraId="06F6C8C5"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In option 1 the areas to be audited </w:t>
            </w:r>
            <w:proofErr w:type="gramStart"/>
            <w:r w:rsidRPr="00B710A0">
              <w:rPr>
                <w:sz w:val="20"/>
                <w:szCs w:val="20"/>
              </w:rPr>
              <w:t>are  specified</w:t>
            </w:r>
            <w:proofErr w:type="gramEnd"/>
            <w:r w:rsidRPr="00B710A0">
              <w:rPr>
                <w:sz w:val="20"/>
                <w:szCs w:val="20"/>
              </w:rPr>
              <w:t xml:space="preserve">.  In version 2 the organisation is required to have a quality improvement program for each of the </w:t>
            </w:r>
            <w:r w:rsidR="00EC002E">
              <w:rPr>
                <w:sz w:val="20"/>
                <w:szCs w:val="20"/>
              </w:rPr>
              <w:t xml:space="preserve">NSQHS </w:t>
            </w:r>
            <w:r w:rsidRPr="00B710A0">
              <w:rPr>
                <w:sz w:val="20"/>
                <w:szCs w:val="20"/>
              </w:rPr>
              <w:t xml:space="preserve">Standards, and auditing is in the areas of greatest risk. </w:t>
            </w:r>
          </w:p>
          <w:p w14:paraId="4480DCB2"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The costs of auditing will be organisation specific. </w:t>
            </w:r>
          </w:p>
        </w:tc>
        <w:tc>
          <w:tcPr>
            <w:tcW w:w="1496" w:type="dxa"/>
            <w:tcBorders>
              <w:top w:val="single" w:sz="4" w:space="0" w:color="auto"/>
              <w:bottom w:val="single" w:sz="4" w:space="0" w:color="auto"/>
            </w:tcBorders>
          </w:tcPr>
          <w:p w14:paraId="1E9F7C2C" w14:textId="77777777" w:rsidR="00BC2953" w:rsidRPr="00B710A0" w:rsidRDefault="00EC002E"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Partially </w:t>
            </w:r>
            <w:r w:rsidR="00BC2953" w:rsidRPr="00B710A0">
              <w:rPr>
                <w:sz w:val="20"/>
                <w:szCs w:val="20"/>
              </w:rPr>
              <w:t>education and an extended implementation period will be</w:t>
            </w:r>
            <w:r>
              <w:rPr>
                <w:sz w:val="20"/>
                <w:szCs w:val="20"/>
              </w:rPr>
              <w:t xml:space="preserve"> required before health service</w:t>
            </w:r>
            <w:r w:rsidR="00BC2953" w:rsidRPr="00B710A0">
              <w:rPr>
                <w:sz w:val="20"/>
                <w:szCs w:val="20"/>
              </w:rPr>
              <w:t xml:space="preserve"> organisations establish an audit program that meets its safety and quality requirements and the requirements of the </w:t>
            </w:r>
            <w:r>
              <w:rPr>
                <w:sz w:val="20"/>
                <w:szCs w:val="20"/>
              </w:rPr>
              <w:t xml:space="preserve">NSQHS </w:t>
            </w:r>
            <w:r w:rsidR="00BC2953" w:rsidRPr="00B710A0">
              <w:rPr>
                <w:sz w:val="20"/>
                <w:szCs w:val="20"/>
              </w:rPr>
              <w:t>Standards.</w:t>
            </w:r>
          </w:p>
        </w:tc>
        <w:tc>
          <w:tcPr>
            <w:tcW w:w="1369" w:type="dxa"/>
            <w:tcBorders>
              <w:top w:val="single" w:sz="4" w:space="0" w:color="auto"/>
              <w:bottom w:val="single" w:sz="4" w:space="0" w:color="auto"/>
              <w:right w:val="none" w:sz="0" w:space="0" w:color="auto"/>
            </w:tcBorders>
          </w:tcPr>
          <w:p w14:paraId="676B5FDA"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Yes </w:t>
            </w:r>
          </w:p>
        </w:tc>
      </w:tr>
      <w:tr w:rsidR="00BC2953" w:rsidRPr="00B710A0" w14:paraId="6D976B78" w14:textId="77777777" w:rsidTr="00EC002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tcPr>
          <w:p w14:paraId="1686AA48" w14:textId="77777777" w:rsidR="00BC2953" w:rsidRPr="00B710A0" w:rsidRDefault="00BC2953" w:rsidP="00030BC1">
            <w:pPr>
              <w:pStyle w:val="Normal2"/>
              <w:rPr>
                <w:b w:val="0"/>
                <w:sz w:val="20"/>
                <w:szCs w:val="20"/>
              </w:rPr>
            </w:pPr>
            <w:r w:rsidRPr="00B710A0">
              <w:rPr>
                <w:b w:val="0"/>
                <w:sz w:val="20"/>
                <w:szCs w:val="20"/>
              </w:rPr>
              <w:t>Evidence base</w:t>
            </w:r>
          </w:p>
        </w:tc>
        <w:tc>
          <w:tcPr>
            <w:tcW w:w="3848" w:type="dxa"/>
            <w:tcBorders>
              <w:top w:val="single" w:sz="4" w:space="0" w:color="auto"/>
              <w:bottom w:val="single" w:sz="4" w:space="0" w:color="auto"/>
            </w:tcBorders>
          </w:tcPr>
          <w:p w14:paraId="473F379D"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Without revising the </w:t>
            </w:r>
            <w:r w:rsidR="00EC002E">
              <w:rPr>
                <w:sz w:val="20"/>
                <w:szCs w:val="20"/>
              </w:rPr>
              <w:t xml:space="preserve">NSQHS </w:t>
            </w:r>
            <w:r w:rsidRPr="00B710A0">
              <w:rPr>
                <w:sz w:val="20"/>
                <w:szCs w:val="20"/>
              </w:rPr>
              <w:t xml:space="preserve">Standards, the evidence base cannot be updated. This issue was not raised by RIS respondents. </w:t>
            </w:r>
          </w:p>
          <w:p w14:paraId="5F45695C"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The costs associated with this relate to the opportunity costs from improved care based on current evidence and wasted effort continuing to implement actions that are now known to be less effective. </w:t>
            </w:r>
          </w:p>
        </w:tc>
        <w:tc>
          <w:tcPr>
            <w:tcW w:w="1496" w:type="dxa"/>
            <w:tcBorders>
              <w:top w:val="single" w:sz="4" w:space="0" w:color="auto"/>
              <w:bottom w:val="single" w:sz="4" w:space="0" w:color="auto"/>
            </w:tcBorders>
          </w:tcPr>
          <w:p w14:paraId="04E7DAC6"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No</w:t>
            </w:r>
          </w:p>
        </w:tc>
        <w:tc>
          <w:tcPr>
            <w:tcW w:w="1369" w:type="dxa"/>
            <w:tcBorders>
              <w:top w:val="single" w:sz="4" w:space="0" w:color="auto"/>
              <w:bottom w:val="single" w:sz="4" w:space="0" w:color="auto"/>
            </w:tcBorders>
          </w:tcPr>
          <w:p w14:paraId="4DC08411"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Yes</w:t>
            </w:r>
          </w:p>
        </w:tc>
      </w:tr>
      <w:tr w:rsidR="00BC2953" w:rsidRPr="00B710A0" w14:paraId="5955CDFE"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none" w:sz="0" w:space="0" w:color="auto"/>
              <w:bottom w:val="single" w:sz="4" w:space="0" w:color="auto"/>
            </w:tcBorders>
          </w:tcPr>
          <w:p w14:paraId="6502DEFD" w14:textId="77777777" w:rsidR="00BC2953" w:rsidRPr="00B710A0" w:rsidRDefault="00BC2953" w:rsidP="00030BC1">
            <w:pPr>
              <w:pStyle w:val="Normal2"/>
              <w:rPr>
                <w:b w:val="0"/>
                <w:sz w:val="20"/>
                <w:szCs w:val="20"/>
              </w:rPr>
            </w:pPr>
            <w:r w:rsidRPr="00B710A0">
              <w:rPr>
                <w:b w:val="0"/>
                <w:sz w:val="20"/>
                <w:szCs w:val="20"/>
              </w:rPr>
              <w:t xml:space="preserve">Integrated screening </w:t>
            </w:r>
          </w:p>
        </w:tc>
        <w:tc>
          <w:tcPr>
            <w:tcW w:w="3848" w:type="dxa"/>
            <w:tcBorders>
              <w:top w:val="single" w:sz="4" w:space="0" w:color="auto"/>
              <w:bottom w:val="single" w:sz="4" w:space="0" w:color="auto"/>
            </w:tcBorders>
          </w:tcPr>
          <w:p w14:paraId="3A318E9D"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Jurisdictions and health service organisations are developing integrated screening tools.  The application of these will</w:t>
            </w:r>
            <w:r>
              <w:rPr>
                <w:sz w:val="20"/>
                <w:szCs w:val="20"/>
              </w:rPr>
              <w:t>,</w:t>
            </w:r>
            <w:r w:rsidRPr="00B710A0">
              <w:rPr>
                <w:sz w:val="20"/>
                <w:szCs w:val="20"/>
              </w:rPr>
              <w:t xml:space="preserve"> however</w:t>
            </w:r>
            <w:r>
              <w:rPr>
                <w:sz w:val="20"/>
                <w:szCs w:val="20"/>
              </w:rPr>
              <w:t>,</w:t>
            </w:r>
            <w:r w:rsidRPr="00B710A0">
              <w:rPr>
                <w:sz w:val="20"/>
                <w:szCs w:val="20"/>
              </w:rPr>
              <w:t xml:space="preserve"> be uncoordinated without a mechanism to drive consistency and implementation. This issue was not raised by RIS respondents. </w:t>
            </w:r>
          </w:p>
          <w:p w14:paraId="1A38FCCC"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The development of these tools has been complex and difficult.  The cost implications of this policy problem are related to this process being repeated by individual organisations and achieving variable results.</w:t>
            </w:r>
          </w:p>
        </w:tc>
        <w:tc>
          <w:tcPr>
            <w:tcW w:w="1496" w:type="dxa"/>
            <w:tcBorders>
              <w:top w:val="single" w:sz="4" w:space="0" w:color="auto"/>
              <w:bottom w:val="single" w:sz="4" w:space="0" w:color="auto"/>
            </w:tcBorders>
          </w:tcPr>
          <w:p w14:paraId="1746D6D5"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Partial – high performing organisations with the resources to develop these tools will achieve effective integrated screening, other organisations will not.</w:t>
            </w:r>
          </w:p>
        </w:tc>
        <w:tc>
          <w:tcPr>
            <w:tcW w:w="1369" w:type="dxa"/>
            <w:tcBorders>
              <w:top w:val="single" w:sz="4" w:space="0" w:color="auto"/>
              <w:bottom w:val="single" w:sz="4" w:space="0" w:color="auto"/>
              <w:right w:val="none" w:sz="0" w:space="0" w:color="auto"/>
            </w:tcBorders>
          </w:tcPr>
          <w:p w14:paraId="13AC701D"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Yes </w:t>
            </w:r>
          </w:p>
        </w:tc>
      </w:tr>
      <w:tr w:rsidR="00BC2953" w:rsidRPr="00B710A0" w14:paraId="02F7F99D" w14:textId="77777777" w:rsidTr="00EC002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tcPr>
          <w:p w14:paraId="4BCC71B9" w14:textId="77777777" w:rsidR="00BC2953" w:rsidRPr="00B710A0" w:rsidRDefault="00BC2953" w:rsidP="00030BC1">
            <w:pPr>
              <w:pStyle w:val="Normal2"/>
              <w:rPr>
                <w:b w:val="0"/>
                <w:sz w:val="20"/>
                <w:szCs w:val="20"/>
              </w:rPr>
            </w:pPr>
            <w:r w:rsidRPr="00B710A0">
              <w:rPr>
                <w:b w:val="0"/>
                <w:sz w:val="20"/>
                <w:szCs w:val="20"/>
              </w:rPr>
              <w:t xml:space="preserve">Patient identification and procedure matching </w:t>
            </w:r>
          </w:p>
        </w:tc>
        <w:tc>
          <w:tcPr>
            <w:tcW w:w="3848" w:type="dxa"/>
            <w:tcBorders>
              <w:top w:val="single" w:sz="4" w:space="0" w:color="auto"/>
              <w:bottom w:val="single" w:sz="4" w:space="0" w:color="auto"/>
            </w:tcBorders>
          </w:tcPr>
          <w:p w14:paraId="7D33A7FC"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There are a large number of duplicated and detailed actions in the Patient Identification and Procedure Matching Standard that are unnecessary, and there is widespread compliance with this Standard. RIS respondents supported the key actions from this Standard being included in the Communication for Safety Standard. </w:t>
            </w:r>
          </w:p>
          <w:p w14:paraId="41C07053"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The costs are associated with producing evidence to meet the requirements of accreditation.</w:t>
            </w:r>
          </w:p>
        </w:tc>
        <w:tc>
          <w:tcPr>
            <w:tcW w:w="1496" w:type="dxa"/>
            <w:tcBorders>
              <w:top w:val="single" w:sz="4" w:space="0" w:color="auto"/>
              <w:bottom w:val="single" w:sz="4" w:space="0" w:color="auto"/>
            </w:tcBorders>
          </w:tcPr>
          <w:p w14:paraId="0EA1EAB6"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No</w:t>
            </w:r>
          </w:p>
        </w:tc>
        <w:tc>
          <w:tcPr>
            <w:tcW w:w="1369" w:type="dxa"/>
            <w:tcBorders>
              <w:top w:val="single" w:sz="4" w:space="0" w:color="auto"/>
              <w:bottom w:val="single" w:sz="4" w:space="0" w:color="auto"/>
            </w:tcBorders>
          </w:tcPr>
          <w:p w14:paraId="74B5F153"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Yes</w:t>
            </w:r>
          </w:p>
        </w:tc>
      </w:tr>
      <w:tr w:rsidR="00BC2953" w:rsidRPr="00B710A0" w14:paraId="4E5506C5"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none" w:sz="0" w:space="0" w:color="auto"/>
              <w:bottom w:val="single" w:sz="4" w:space="0" w:color="auto"/>
            </w:tcBorders>
          </w:tcPr>
          <w:p w14:paraId="7E2FA445" w14:textId="77777777" w:rsidR="00BC2953" w:rsidRPr="00B710A0" w:rsidRDefault="00BC2953" w:rsidP="00030BC1">
            <w:pPr>
              <w:pStyle w:val="Normal2"/>
              <w:rPr>
                <w:b w:val="0"/>
                <w:sz w:val="20"/>
                <w:szCs w:val="20"/>
              </w:rPr>
            </w:pPr>
            <w:r w:rsidRPr="00B710A0">
              <w:rPr>
                <w:b w:val="0"/>
                <w:sz w:val="20"/>
                <w:szCs w:val="20"/>
              </w:rPr>
              <w:t xml:space="preserve">Gaps in mental health </w:t>
            </w:r>
          </w:p>
        </w:tc>
        <w:tc>
          <w:tcPr>
            <w:tcW w:w="3848" w:type="dxa"/>
            <w:tcBorders>
              <w:top w:val="single" w:sz="4" w:space="0" w:color="auto"/>
              <w:bottom w:val="single" w:sz="4" w:space="0" w:color="auto"/>
            </w:tcBorders>
          </w:tcPr>
          <w:p w14:paraId="04BDD9AB"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Mental health is a national priority area that is not addressed in version 1 of the NSQHS Standards.  The National Standards for Mental Health Services are not mandatory nationally and are not used in many sectors where mental health care is provided, such as emergency departments. There was strong support for the inclusion of the mental health actions in version 2. </w:t>
            </w:r>
          </w:p>
          <w:p w14:paraId="02541D36"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The costs associated with this policy gap relate to the opportunity costs from failing to improve care for patients with mental health. </w:t>
            </w:r>
          </w:p>
        </w:tc>
        <w:tc>
          <w:tcPr>
            <w:tcW w:w="1496" w:type="dxa"/>
            <w:tcBorders>
              <w:top w:val="single" w:sz="4" w:space="0" w:color="auto"/>
              <w:bottom w:val="single" w:sz="4" w:space="0" w:color="auto"/>
            </w:tcBorders>
          </w:tcPr>
          <w:p w14:paraId="6FF15AE9"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No</w:t>
            </w:r>
          </w:p>
        </w:tc>
        <w:tc>
          <w:tcPr>
            <w:tcW w:w="1369" w:type="dxa"/>
            <w:tcBorders>
              <w:top w:val="single" w:sz="4" w:space="0" w:color="auto"/>
              <w:bottom w:val="single" w:sz="4" w:space="0" w:color="auto"/>
              <w:right w:val="none" w:sz="0" w:space="0" w:color="auto"/>
            </w:tcBorders>
          </w:tcPr>
          <w:p w14:paraId="193982A1"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Yes</w:t>
            </w:r>
          </w:p>
        </w:tc>
      </w:tr>
      <w:tr w:rsidR="00BC2953" w:rsidRPr="00B710A0" w14:paraId="6AD8B30C" w14:textId="77777777" w:rsidTr="00EC002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tcPr>
          <w:p w14:paraId="2EF19AD2" w14:textId="77777777" w:rsidR="00BC2953" w:rsidRPr="00B710A0" w:rsidRDefault="00BC2953" w:rsidP="00030BC1">
            <w:pPr>
              <w:pStyle w:val="Normal2"/>
              <w:rPr>
                <w:b w:val="0"/>
                <w:sz w:val="20"/>
                <w:szCs w:val="20"/>
              </w:rPr>
            </w:pPr>
            <w:r w:rsidRPr="00B710A0">
              <w:rPr>
                <w:b w:val="0"/>
                <w:sz w:val="20"/>
                <w:szCs w:val="20"/>
              </w:rPr>
              <w:t>Gaps in cognitive impairment</w:t>
            </w:r>
          </w:p>
        </w:tc>
        <w:tc>
          <w:tcPr>
            <w:tcW w:w="3848" w:type="dxa"/>
            <w:tcBorders>
              <w:top w:val="single" w:sz="4" w:space="0" w:color="auto"/>
              <w:bottom w:val="single" w:sz="4" w:space="0" w:color="auto"/>
            </w:tcBorders>
          </w:tcPr>
          <w:p w14:paraId="05CD294F"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Cognitive impairment is a significant and growing issue for health service organisations.  Even with small improvements, ther</w:t>
            </w:r>
            <w:r>
              <w:rPr>
                <w:sz w:val="20"/>
                <w:szCs w:val="20"/>
              </w:rPr>
              <w:t>e are significant cost savings.</w:t>
            </w:r>
            <w:r w:rsidRPr="00B710A0">
              <w:rPr>
                <w:sz w:val="20"/>
                <w:szCs w:val="20"/>
              </w:rPr>
              <w:t xml:space="preserve"> RIS respondents supported the inclusion of cognitive impairment in the NSQHS Standards. </w:t>
            </w:r>
          </w:p>
          <w:p w14:paraId="2AB665F6"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The costs associated with this policy gap relate to the opportunity costs of prevention, better diagnosis and improved care for patients with cognitive impairment.</w:t>
            </w:r>
          </w:p>
          <w:p w14:paraId="327252ED"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p>
        </w:tc>
        <w:tc>
          <w:tcPr>
            <w:tcW w:w="1496" w:type="dxa"/>
            <w:tcBorders>
              <w:top w:val="single" w:sz="4" w:space="0" w:color="auto"/>
              <w:bottom w:val="single" w:sz="4" w:space="0" w:color="auto"/>
            </w:tcBorders>
          </w:tcPr>
          <w:p w14:paraId="66E42FA7"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Partial – there are no specific actions dealing with this issue, but a general requirement for organisations to identify patients at risk.</w:t>
            </w:r>
          </w:p>
        </w:tc>
        <w:tc>
          <w:tcPr>
            <w:tcW w:w="1369" w:type="dxa"/>
            <w:tcBorders>
              <w:top w:val="single" w:sz="4" w:space="0" w:color="auto"/>
              <w:bottom w:val="single" w:sz="4" w:space="0" w:color="auto"/>
            </w:tcBorders>
          </w:tcPr>
          <w:p w14:paraId="5B05068A"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Yes </w:t>
            </w:r>
          </w:p>
        </w:tc>
      </w:tr>
      <w:tr w:rsidR="00BC2953" w:rsidRPr="00B710A0" w14:paraId="18074D62"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none" w:sz="0" w:space="0" w:color="auto"/>
              <w:bottom w:val="single" w:sz="4" w:space="0" w:color="auto"/>
            </w:tcBorders>
          </w:tcPr>
          <w:p w14:paraId="1659C82D" w14:textId="77777777" w:rsidR="00BC2953" w:rsidRPr="00B710A0" w:rsidRDefault="00BC2953" w:rsidP="00030BC1">
            <w:pPr>
              <w:pStyle w:val="Normal2"/>
              <w:rPr>
                <w:b w:val="0"/>
                <w:sz w:val="20"/>
                <w:szCs w:val="20"/>
              </w:rPr>
            </w:pPr>
            <w:r w:rsidRPr="00B710A0">
              <w:rPr>
                <w:b w:val="0"/>
                <w:sz w:val="20"/>
                <w:szCs w:val="20"/>
              </w:rPr>
              <w:t>Gaps in end-of-life care</w:t>
            </w:r>
          </w:p>
        </w:tc>
        <w:tc>
          <w:tcPr>
            <w:tcW w:w="3848" w:type="dxa"/>
            <w:tcBorders>
              <w:top w:val="single" w:sz="4" w:space="0" w:color="auto"/>
              <w:bottom w:val="single" w:sz="4" w:space="0" w:color="auto"/>
            </w:tcBorders>
          </w:tcPr>
          <w:p w14:paraId="0D6120B8"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 respondents supported</w:t>
            </w:r>
            <w:r w:rsidRPr="00B710A0">
              <w:rPr>
                <w:sz w:val="20"/>
                <w:szCs w:val="20"/>
              </w:rPr>
              <w:t xml:space="preserve"> the inclusion of </w:t>
            </w:r>
            <w:r>
              <w:rPr>
                <w:sz w:val="20"/>
                <w:szCs w:val="20"/>
              </w:rPr>
              <w:t xml:space="preserve">end-of-life care </w:t>
            </w:r>
            <w:r w:rsidRPr="00B710A0">
              <w:rPr>
                <w:sz w:val="20"/>
                <w:szCs w:val="20"/>
              </w:rPr>
              <w:t xml:space="preserve">in version 2. </w:t>
            </w:r>
          </w:p>
          <w:p w14:paraId="6230F96D"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The costs associated with this policy gap relate to the provision of unnecessary and ineffective treatment when a person is nearing the end of their life. </w:t>
            </w:r>
          </w:p>
          <w:p w14:paraId="0BDDA87C"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p>
        </w:tc>
        <w:tc>
          <w:tcPr>
            <w:tcW w:w="1496" w:type="dxa"/>
            <w:tcBorders>
              <w:top w:val="single" w:sz="4" w:space="0" w:color="auto"/>
              <w:bottom w:val="single" w:sz="4" w:space="0" w:color="auto"/>
            </w:tcBorders>
          </w:tcPr>
          <w:p w14:paraId="51956760"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Partial – there are no specific actions dealing with this issue, but a general requirement for organisations to identify patients at risk.</w:t>
            </w:r>
          </w:p>
          <w:p w14:paraId="6BABAEE8"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p>
          <w:p w14:paraId="3461DCBD"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p>
        </w:tc>
        <w:tc>
          <w:tcPr>
            <w:tcW w:w="1369" w:type="dxa"/>
            <w:tcBorders>
              <w:top w:val="single" w:sz="4" w:space="0" w:color="auto"/>
              <w:bottom w:val="single" w:sz="4" w:space="0" w:color="auto"/>
              <w:right w:val="none" w:sz="0" w:space="0" w:color="auto"/>
            </w:tcBorders>
          </w:tcPr>
          <w:p w14:paraId="295E0C36"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Yes</w:t>
            </w:r>
          </w:p>
        </w:tc>
      </w:tr>
      <w:tr w:rsidR="00BC2953" w:rsidRPr="00B710A0" w14:paraId="3FE0F615" w14:textId="77777777" w:rsidTr="00EC002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tcPr>
          <w:p w14:paraId="6B30734E" w14:textId="77777777" w:rsidR="00BC2953" w:rsidRPr="00B710A0" w:rsidRDefault="00BC2953" w:rsidP="00030BC1">
            <w:pPr>
              <w:pStyle w:val="Normal2"/>
              <w:rPr>
                <w:b w:val="0"/>
                <w:sz w:val="20"/>
                <w:szCs w:val="20"/>
              </w:rPr>
            </w:pPr>
            <w:r w:rsidRPr="00B710A0">
              <w:rPr>
                <w:b w:val="0"/>
                <w:sz w:val="20"/>
                <w:szCs w:val="20"/>
              </w:rPr>
              <w:t>Gaps in health literacy</w:t>
            </w:r>
          </w:p>
        </w:tc>
        <w:tc>
          <w:tcPr>
            <w:tcW w:w="3848" w:type="dxa"/>
            <w:tcBorders>
              <w:top w:val="single" w:sz="4" w:space="0" w:color="auto"/>
              <w:bottom w:val="single" w:sz="4" w:space="0" w:color="auto"/>
            </w:tcBorders>
          </w:tcPr>
          <w:p w14:paraId="3CC454D9"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This is a significant problem as more than 60 per cent of Australian adults have poor levels of health literacy. It affects their capacity to understand treatment options, participate in shared decision making and comply with treatment plans.  RIS respondents supported the inclusion of this policy gap in version 2. </w:t>
            </w:r>
          </w:p>
          <w:p w14:paraId="52F7D6AF"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 xml:space="preserve">The costs associated with this policy problem area </w:t>
            </w:r>
            <w:r>
              <w:rPr>
                <w:sz w:val="20"/>
                <w:szCs w:val="20"/>
              </w:rPr>
              <w:t xml:space="preserve">result from </w:t>
            </w:r>
            <w:r w:rsidRPr="00B710A0">
              <w:rPr>
                <w:sz w:val="20"/>
                <w:szCs w:val="20"/>
              </w:rPr>
              <w:t xml:space="preserve">the adaption of tools and development of resources to support shared decision making. </w:t>
            </w:r>
          </w:p>
          <w:p w14:paraId="08F3C6DA"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p>
        </w:tc>
        <w:tc>
          <w:tcPr>
            <w:tcW w:w="1496" w:type="dxa"/>
            <w:tcBorders>
              <w:top w:val="single" w:sz="4" w:space="0" w:color="auto"/>
              <w:bottom w:val="single" w:sz="4" w:space="0" w:color="auto"/>
            </w:tcBorders>
          </w:tcPr>
          <w:p w14:paraId="0B20536B"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No</w:t>
            </w:r>
          </w:p>
        </w:tc>
        <w:tc>
          <w:tcPr>
            <w:tcW w:w="1369" w:type="dxa"/>
            <w:tcBorders>
              <w:top w:val="single" w:sz="4" w:space="0" w:color="auto"/>
              <w:bottom w:val="single" w:sz="4" w:space="0" w:color="auto"/>
            </w:tcBorders>
          </w:tcPr>
          <w:p w14:paraId="722CE884" w14:textId="77777777" w:rsidR="00BC2953" w:rsidRPr="00B710A0"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szCs w:val="20"/>
              </w:rPr>
            </w:pPr>
            <w:r w:rsidRPr="00B710A0">
              <w:rPr>
                <w:sz w:val="20"/>
                <w:szCs w:val="20"/>
              </w:rPr>
              <w:t>Yes</w:t>
            </w:r>
          </w:p>
        </w:tc>
      </w:tr>
      <w:tr w:rsidR="00BC2953" w:rsidRPr="00B710A0" w14:paraId="02E72950" w14:textId="77777777" w:rsidTr="00EC0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none" w:sz="0" w:space="0" w:color="auto"/>
              <w:bottom w:val="single" w:sz="4" w:space="0" w:color="auto"/>
            </w:tcBorders>
          </w:tcPr>
          <w:p w14:paraId="344D4D49" w14:textId="77777777" w:rsidR="00BC2953" w:rsidRPr="00B710A0" w:rsidRDefault="00BC2953" w:rsidP="00030BC1">
            <w:pPr>
              <w:pStyle w:val="Normal2"/>
              <w:rPr>
                <w:b w:val="0"/>
                <w:sz w:val="20"/>
                <w:szCs w:val="20"/>
              </w:rPr>
            </w:pPr>
            <w:r w:rsidRPr="00B710A0">
              <w:rPr>
                <w:b w:val="0"/>
                <w:sz w:val="20"/>
                <w:szCs w:val="20"/>
              </w:rPr>
              <w:t xml:space="preserve">Gaps in Aboriginal and Torres Strait Islander people </w:t>
            </w:r>
          </w:p>
        </w:tc>
        <w:tc>
          <w:tcPr>
            <w:tcW w:w="3848" w:type="dxa"/>
            <w:tcBorders>
              <w:top w:val="single" w:sz="4" w:space="0" w:color="auto"/>
              <w:bottom w:val="single" w:sz="4" w:space="0" w:color="auto"/>
            </w:tcBorders>
          </w:tcPr>
          <w:p w14:paraId="149AB234"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 xml:space="preserve">This is a national priority area for all areas of government. RIS respondents supported the inclusion of this policy gap in version 2, although there was also concern that other vulnerable groups were not identified. </w:t>
            </w:r>
          </w:p>
          <w:p w14:paraId="0DB32FB6"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The costs associated with this policy gap relate to the opportunity costs from failing to improve care for Aboriginal and Torres Strait Islander patients.</w:t>
            </w:r>
          </w:p>
        </w:tc>
        <w:tc>
          <w:tcPr>
            <w:tcW w:w="1496" w:type="dxa"/>
            <w:tcBorders>
              <w:top w:val="single" w:sz="4" w:space="0" w:color="auto"/>
              <w:bottom w:val="single" w:sz="4" w:space="0" w:color="auto"/>
            </w:tcBorders>
          </w:tcPr>
          <w:p w14:paraId="2E3A2326"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Partial – there are no specific actions dealing with this issue, but a general requirement for organisations to identify patients at risk.</w:t>
            </w:r>
          </w:p>
        </w:tc>
        <w:tc>
          <w:tcPr>
            <w:tcW w:w="1369" w:type="dxa"/>
            <w:tcBorders>
              <w:top w:val="single" w:sz="4" w:space="0" w:color="auto"/>
              <w:bottom w:val="single" w:sz="4" w:space="0" w:color="auto"/>
              <w:right w:val="none" w:sz="0" w:space="0" w:color="auto"/>
            </w:tcBorders>
          </w:tcPr>
          <w:p w14:paraId="07632DF8" w14:textId="77777777" w:rsidR="00BC2953" w:rsidRPr="00B710A0" w:rsidRDefault="00BC2953" w:rsidP="00030BC1">
            <w:pPr>
              <w:pStyle w:val="Normal2"/>
              <w:cnfStyle w:val="000000100000" w:firstRow="0" w:lastRow="0" w:firstColumn="0" w:lastColumn="0" w:oddVBand="0" w:evenVBand="0" w:oddHBand="1" w:evenHBand="0" w:firstRowFirstColumn="0" w:firstRowLastColumn="0" w:lastRowFirstColumn="0" w:lastRowLastColumn="0"/>
              <w:rPr>
                <w:sz w:val="20"/>
                <w:szCs w:val="20"/>
              </w:rPr>
            </w:pPr>
            <w:r w:rsidRPr="00B710A0">
              <w:rPr>
                <w:sz w:val="20"/>
                <w:szCs w:val="20"/>
              </w:rPr>
              <w:t>Yes</w:t>
            </w:r>
          </w:p>
        </w:tc>
      </w:tr>
    </w:tbl>
    <w:p w14:paraId="79288799" w14:textId="77777777" w:rsidR="00BC2953" w:rsidRPr="00376727" w:rsidRDefault="00BC2953" w:rsidP="00BC2953">
      <w:pPr>
        <w:pStyle w:val="Subheadingnolevel"/>
      </w:pPr>
      <w:r w:rsidRPr="00376727">
        <w:t>RIS feedback on the costs and benefits of option 2</w:t>
      </w:r>
    </w:p>
    <w:p w14:paraId="22E6F8DD" w14:textId="77777777" w:rsidR="00BC2953" w:rsidRPr="00376727" w:rsidRDefault="00EC002E" w:rsidP="00BC2953">
      <w:pPr>
        <w:pStyle w:val="Normal2"/>
      </w:pPr>
      <w:r>
        <w:t>Option 2 was preferred by 54</w:t>
      </w:r>
      <w:r w:rsidR="00BC2953" w:rsidRPr="00376727">
        <w:t xml:space="preserve"> respondents</w:t>
      </w:r>
      <w:r>
        <w:t xml:space="preserve"> </w:t>
      </w:r>
      <w:r w:rsidRPr="00376727">
        <w:t>(82 per cent)</w:t>
      </w:r>
      <w:r w:rsidR="00BC2953" w:rsidRPr="00376727">
        <w:t xml:space="preserve">. Across all stakeholder groups, there was strong support for the new content in version 2. The majority of respondents agreed that version 2 would reduce the duplication of requirements found in version 1, reduce the auditing requirements, enable health service organisations to focus on the specific risks facing their health service organisation and potentially reduce compliance costs because of the smaller number of actions. </w:t>
      </w:r>
    </w:p>
    <w:p w14:paraId="11E5FFA5" w14:textId="77777777" w:rsidR="00BC2953" w:rsidRPr="00376727" w:rsidRDefault="00BC2953" w:rsidP="00BC2953">
      <w:pPr>
        <w:pStyle w:val="Normal2"/>
      </w:pPr>
      <w:r w:rsidRPr="00376727">
        <w:t xml:space="preserve">The overall benefits they identified came from: </w:t>
      </w:r>
    </w:p>
    <w:p w14:paraId="3F8D09C0" w14:textId="77777777" w:rsidR="00BC2953" w:rsidRPr="00376727" w:rsidRDefault="00BC2953" w:rsidP="00BC2953">
      <w:pPr>
        <w:pStyle w:val="Normal2"/>
        <w:numPr>
          <w:ilvl w:val="0"/>
          <w:numId w:val="48"/>
        </w:numPr>
      </w:pPr>
      <w:r>
        <w:t>i</w:t>
      </w:r>
      <w:r w:rsidRPr="00376727">
        <w:t>mprovements in patient-care and consumer engagement</w:t>
      </w:r>
    </w:p>
    <w:p w14:paraId="20BBD60E" w14:textId="77777777" w:rsidR="00BC2953" w:rsidRPr="00376727" w:rsidRDefault="00BC2953" w:rsidP="00BC2953">
      <w:pPr>
        <w:pStyle w:val="Normal2"/>
        <w:numPr>
          <w:ilvl w:val="0"/>
          <w:numId w:val="48"/>
        </w:numPr>
      </w:pPr>
      <w:r>
        <w:t>i</w:t>
      </w:r>
      <w:r w:rsidRPr="00376727">
        <w:t>mprovements in the workforce safety and quality culture</w:t>
      </w:r>
    </w:p>
    <w:p w14:paraId="610F9F9D" w14:textId="77777777" w:rsidR="00BC2953" w:rsidRPr="00376727" w:rsidRDefault="00BC2953" w:rsidP="00BC2953">
      <w:pPr>
        <w:pStyle w:val="Normal2"/>
        <w:numPr>
          <w:ilvl w:val="0"/>
          <w:numId w:val="48"/>
        </w:numPr>
      </w:pPr>
      <w:r>
        <w:t>c</w:t>
      </w:r>
      <w:r w:rsidRPr="00376727">
        <w:t>are focused on Aboriginal and Torres Strait Islander health needs</w:t>
      </w:r>
    </w:p>
    <w:p w14:paraId="2F6B43A5" w14:textId="77777777" w:rsidR="00BC2953" w:rsidRPr="00376727" w:rsidRDefault="00BC2953" w:rsidP="00BC2953">
      <w:pPr>
        <w:pStyle w:val="Normal2"/>
        <w:numPr>
          <w:ilvl w:val="0"/>
          <w:numId w:val="48"/>
        </w:numPr>
      </w:pPr>
      <w:r>
        <w:t>r</w:t>
      </w:r>
      <w:r w:rsidRPr="00376727">
        <w:t xml:space="preserve">eduction in adverse events </w:t>
      </w:r>
    </w:p>
    <w:p w14:paraId="410EE337" w14:textId="77777777" w:rsidR="00BC2953" w:rsidRPr="00376727" w:rsidRDefault="00BC2953" w:rsidP="00BC2953">
      <w:pPr>
        <w:pStyle w:val="Normal2"/>
        <w:numPr>
          <w:ilvl w:val="0"/>
          <w:numId w:val="48"/>
        </w:numPr>
      </w:pPr>
      <w:r>
        <w:t>u</w:t>
      </w:r>
      <w:r w:rsidRPr="00376727">
        <w:t>se of electronic health records to improve the effectiveness and efficiency of care for consumers</w:t>
      </w:r>
    </w:p>
    <w:p w14:paraId="732F7963" w14:textId="77777777" w:rsidR="00BC2953" w:rsidRPr="00376727" w:rsidRDefault="00BC2953" w:rsidP="00BC2953">
      <w:pPr>
        <w:pStyle w:val="Normal2"/>
        <w:numPr>
          <w:ilvl w:val="0"/>
          <w:numId w:val="48"/>
        </w:numPr>
      </w:pPr>
      <w:r>
        <w:t>u</w:t>
      </w:r>
      <w:r w:rsidRPr="00376727">
        <w:t>se of integrated screening tools that identify risks of harm for patients earlier in the care process and for the patient as a whole</w:t>
      </w:r>
    </w:p>
    <w:p w14:paraId="7F50C4F2" w14:textId="77777777" w:rsidR="00BC2953" w:rsidRPr="00376727" w:rsidRDefault="00BC2953" w:rsidP="00BC2953">
      <w:pPr>
        <w:pStyle w:val="Normal2"/>
        <w:numPr>
          <w:ilvl w:val="0"/>
          <w:numId w:val="48"/>
        </w:numPr>
      </w:pPr>
      <w:r>
        <w:t>r</w:t>
      </w:r>
      <w:r w:rsidRPr="00376727">
        <w:t xml:space="preserve">eduction in prolonged inappropriate treatment at the end of life that can reduce pain and distress </w:t>
      </w:r>
    </w:p>
    <w:p w14:paraId="58A06D07" w14:textId="77777777" w:rsidR="00BC2953" w:rsidRPr="00376727" w:rsidRDefault="00BC2953" w:rsidP="00BC2953">
      <w:pPr>
        <w:pStyle w:val="Normal2"/>
        <w:numPr>
          <w:ilvl w:val="0"/>
          <w:numId w:val="48"/>
        </w:numPr>
      </w:pPr>
      <w:r>
        <w:t>d</w:t>
      </w:r>
      <w:r w:rsidRPr="00376727">
        <w:t xml:space="preserve">ecreased length of stay </w:t>
      </w:r>
      <w:r>
        <w:t>due to sa</w:t>
      </w:r>
      <w:r w:rsidRPr="00376727">
        <w:t>fer care, and the associated benefits of reduced risks of infection or harm from other treatment related causes</w:t>
      </w:r>
    </w:p>
    <w:p w14:paraId="1D837BCA" w14:textId="77777777" w:rsidR="00BC2953" w:rsidRPr="00376727" w:rsidRDefault="00BC2953" w:rsidP="00BC2953">
      <w:pPr>
        <w:pStyle w:val="Normal2"/>
        <w:numPr>
          <w:ilvl w:val="0"/>
          <w:numId w:val="48"/>
        </w:numPr>
      </w:pPr>
      <w:r>
        <w:t>r</w:t>
      </w:r>
      <w:r w:rsidRPr="00376727">
        <w:t>eduction in the use of blood products and associated cost savings</w:t>
      </w:r>
    </w:p>
    <w:p w14:paraId="5830AA7B" w14:textId="77777777" w:rsidR="00BC2953" w:rsidRPr="00376727" w:rsidRDefault="00BC2953" w:rsidP="00BC2953">
      <w:pPr>
        <w:pStyle w:val="Normal2"/>
        <w:numPr>
          <w:ilvl w:val="0"/>
          <w:numId w:val="48"/>
        </w:numPr>
      </w:pPr>
      <w:proofErr w:type="gramStart"/>
      <w:r>
        <w:t>r</w:t>
      </w:r>
      <w:r w:rsidRPr="00376727">
        <w:t>eduction</w:t>
      </w:r>
      <w:proofErr w:type="gramEnd"/>
      <w:r w:rsidRPr="00376727">
        <w:t xml:space="preserve"> in antimicrobial resistance and the associated cost savings.</w:t>
      </w:r>
    </w:p>
    <w:p w14:paraId="5E091011" w14:textId="77777777" w:rsidR="00BC2953" w:rsidRPr="00376727" w:rsidRDefault="00BC2953" w:rsidP="00BC2953">
      <w:pPr>
        <w:pStyle w:val="Normal2"/>
      </w:pPr>
      <w:r w:rsidRPr="00376727">
        <w:t>Feedback from these respondents indicates:</w:t>
      </w:r>
    </w:p>
    <w:p w14:paraId="1CBA3EC9" w14:textId="77777777" w:rsidR="00BC2953" w:rsidRPr="00376727" w:rsidRDefault="00BC2953" w:rsidP="00BC2953">
      <w:pPr>
        <w:pStyle w:val="Normal2"/>
        <w:numPr>
          <w:ilvl w:val="0"/>
          <w:numId w:val="49"/>
        </w:numPr>
        <w:rPr>
          <w:rFonts w:eastAsiaTheme="minorEastAsia"/>
        </w:rPr>
      </w:pPr>
      <w:r w:rsidRPr="00376727">
        <w:rPr>
          <w:rFonts w:eastAsiaTheme="minorEastAsia"/>
        </w:rPr>
        <w:t xml:space="preserve">Two </w:t>
      </w:r>
      <w:r w:rsidRPr="00376727">
        <w:rPr>
          <w:rStyle w:val="Strong"/>
          <w:rFonts w:eastAsiaTheme="minorEastAsia"/>
        </w:rPr>
        <w:t>consumers</w:t>
      </w:r>
      <w:r w:rsidR="00EC002E">
        <w:rPr>
          <w:rFonts w:eastAsiaTheme="minorEastAsia"/>
        </w:rPr>
        <w:t xml:space="preserve"> commented on the C</w:t>
      </w:r>
      <w:r w:rsidRPr="00376727">
        <w:rPr>
          <w:rFonts w:eastAsiaTheme="minorEastAsia"/>
        </w:rPr>
        <w:t>onsultation RIS. Both supported Option 2, noting it had the greatest potential to improve health outcomes for consumers. No consumers provided information in re</w:t>
      </w:r>
      <w:r w:rsidR="00EC002E">
        <w:rPr>
          <w:rFonts w:eastAsiaTheme="minorEastAsia"/>
        </w:rPr>
        <w:t>lation to the costs of Option 2</w:t>
      </w:r>
      <w:r w:rsidRPr="00376727">
        <w:rPr>
          <w:rFonts w:eastAsiaTheme="minorEastAsia"/>
        </w:rPr>
        <w:t xml:space="preserve"> </w:t>
      </w:r>
    </w:p>
    <w:p w14:paraId="300759FF" w14:textId="77777777" w:rsidR="00BC2953" w:rsidRPr="00376727" w:rsidRDefault="00BC2953" w:rsidP="00BC2953">
      <w:pPr>
        <w:pStyle w:val="Normal2"/>
        <w:numPr>
          <w:ilvl w:val="0"/>
          <w:numId w:val="49"/>
        </w:numPr>
        <w:rPr>
          <w:rFonts w:eastAsiaTheme="minorEastAsia"/>
        </w:rPr>
      </w:pPr>
      <w:r w:rsidRPr="00376727">
        <w:rPr>
          <w:rFonts w:eastAsiaTheme="minorEastAsia"/>
        </w:rPr>
        <w:t xml:space="preserve">Consumer respondents noted option 2 provides coordination of some existing processes, such as streamlining reporting requirements and also has the potential for improved care from the introduction of the Comprehensive Care Standard. Consumers also reported that option 2 provided greater opportunity for engagement of consumers and their </w:t>
      </w:r>
      <w:proofErr w:type="spellStart"/>
      <w:r w:rsidRPr="00376727">
        <w:rPr>
          <w:rFonts w:eastAsiaTheme="minorEastAsia"/>
        </w:rPr>
        <w:t>carers</w:t>
      </w:r>
      <w:proofErr w:type="spellEnd"/>
      <w:r w:rsidRPr="00376727">
        <w:rPr>
          <w:rFonts w:eastAsiaTheme="minorEastAsia"/>
        </w:rPr>
        <w:t xml:space="preserve"> i</w:t>
      </w:r>
      <w:r w:rsidR="00EC002E">
        <w:rPr>
          <w:rFonts w:eastAsiaTheme="minorEastAsia"/>
        </w:rPr>
        <w:t>n the organisation and in care</w:t>
      </w:r>
    </w:p>
    <w:p w14:paraId="25144F39" w14:textId="77777777" w:rsidR="00BC2953" w:rsidRPr="00376727" w:rsidRDefault="00BC2953" w:rsidP="00BC2953">
      <w:pPr>
        <w:pStyle w:val="Normal2"/>
        <w:numPr>
          <w:ilvl w:val="0"/>
          <w:numId w:val="50"/>
        </w:numPr>
        <w:rPr>
          <w:rFonts w:eastAsiaTheme="minorEastAsia"/>
        </w:rPr>
      </w:pPr>
      <w:r w:rsidRPr="00376727">
        <w:rPr>
          <w:rFonts w:eastAsiaTheme="minorEastAsia"/>
        </w:rPr>
        <w:t xml:space="preserve">Eight </w:t>
      </w:r>
      <w:r w:rsidRPr="00376727">
        <w:rPr>
          <w:rStyle w:val="Strong"/>
          <w:rFonts w:eastAsiaTheme="minorEastAsia"/>
        </w:rPr>
        <w:t>jurisdictions</w:t>
      </w:r>
      <w:r w:rsidRPr="00376727">
        <w:rPr>
          <w:rFonts w:eastAsiaTheme="minorEastAsia"/>
        </w:rPr>
        <w:t xml:space="preserve"> preferred Option 2, noting:</w:t>
      </w:r>
    </w:p>
    <w:p w14:paraId="17301168" w14:textId="77777777" w:rsidR="00BC2953" w:rsidRPr="00376727" w:rsidRDefault="00BC2953" w:rsidP="00BC2953">
      <w:pPr>
        <w:pStyle w:val="Normal2"/>
        <w:numPr>
          <w:ilvl w:val="1"/>
          <w:numId w:val="50"/>
        </w:numPr>
        <w:rPr>
          <w:rFonts w:eastAsiaTheme="minorEastAsia"/>
        </w:rPr>
      </w:pPr>
      <w:proofErr w:type="gramStart"/>
      <w:r w:rsidRPr="00376727">
        <w:rPr>
          <w:rFonts w:eastAsiaTheme="minorEastAsia"/>
        </w:rPr>
        <w:t>version</w:t>
      </w:r>
      <w:proofErr w:type="gramEnd"/>
      <w:r w:rsidRPr="00376727">
        <w:rPr>
          <w:rFonts w:eastAsiaTheme="minorEastAsia"/>
        </w:rPr>
        <w:t xml:space="preserve"> 2 of the NSQHS Standards was applicable across a broader range of settings and had a stronger quality improvement focus. Version 2 focuses on areas and populations at greatest risk of harm in the new elements added </w:t>
      </w:r>
    </w:p>
    <w:p w14:paraId="2A187223" w14:textId="77777777" w:rsidR="00BC2953" w:rsidRPr="00376727" w:rsidRDefault="00BC2953" w:rsidP="00BC2953">
      <w:pPr>
        <w:pStyle w:val="Normal2"/>
        <w:numPr>
          <w:ilvl w:val="1"/>
          <w:numId w:val="50"/>
        </w:numPr>
        <w:rPr>
          <w:rFonts w:eastAsiaTheme="minorEastAsia"/>
        </w:rPr>
      </w:pPr>
      <w:r w:rsidRPr="00376727">
        <w:rPr>
          <w:rFonts w:eastAsiaTheme="minorEastAsia"/>
        </w:rPr>
        <w:t xml:space="preserve">option 2 builds on previous work undertaken when implementing version 1 of the NSQHS Standards, and facilitates evidence-informed improvement, by focusing action on areas of greatest risk </w:t>
      </w:r>
    </w:p>
    <w:p w14:paraId="06DF7AC4" w14:textId="77777777" w:rsidR="00BC2953" w:rsidRPr="00376727" w:rsidRDefault="00BC2953" w:rsidP="00BC2953">
      <w:pPr>
        <w:pStyle w:val="Normal2"/>
        <w:numPr>
          <w:ilvl w:val="1"/>
          <w:numId w:val="50"/>
        </w:numPr>
        <w:rPr>
          <w:rFonts w:eastAsiaTheme="minorEastAsia"/>
        </w:rPr>
      </w:pPr>
      <w:r w:rsidRPr="00376727">
        <w:rPr>
          <w:rFonts w:eastAsiaTheme="minorEastAsia"/>
        </w:rPr>
        <w:t>some respondents, while supporting option 2, felt that health service organisations should complete two cycles of accreditation to version 1 before transitioning to version 2</w:t>
      </w:r>
    </w:p>
    <w:p w14:paraId="467560B5" w14:textId="77777777" w:rsidR="00BC2953" w:rsidRPr="00376727" w:rsidRDefault="00BC2953" w:rsidP="00BC2953">
      <w:pPr>
        <w:pStyle w:val="Normal2"/>
        <w:numPr>
          <w:ilvl w:val="1"/>
          <w:numId w:val="50"/>
        </w:numPr>
        <w:rPr>
          <w:rFonts w:eastAsiaTheme="minorEastAsia"/>
        </w:rPr>
      </w:pPr>
      <w:proofErr w:type="gramStart"/>
      <w:r w:rsidRPr="00376727">
        <w:rPr>
          <w:rFonts w:eastAsiaTheme="minorEastAsia"/>
        </w:rPr>
        <w:t>the</w:t>
      </w:r>
      <w:proofErr w:type="gramEnd"/>
      <w:r w:rsidRPr="00376727">
        <w:rPr>
          <w:rFonts w:eastAsiaTheme="minorEastAsia"/>
        </w:rPr>
        <w:t xml:space="preserve"> greatest cost for jurisdictions would be in mapping the current policy and legislative frameworks to version 2, and the development of resources to support version 2. It was suggested the cost of implementing version 2 of the NSQHS Standards would be significantly smaller than the cost of implementing version 1.</w:t>
      </w:r>
    </w:p>
    <w:p w14:paraId="200BDFBD" w14:textId="77777777" w:rsidR="00BC2953" w:rsidRPr="00376727" w:rsidRDefault="00BC2953" w:rsidP="00BC2953">
      <w:pPr>
        <w:pStyle w:val="Normal2"/>
        <w:numPr>
          <w:ilvl w:val="0"/>
          <w:numId w:val="51"/>
        </w:numPr>
        <w:rPr>
          <w:rFonts w:eastAsiaTheme="minorEastAsia"/>
        </w:rPr>
      </w:pPr>
      <w:r w:rsidRPr="00376727">
        <w:rPr>
          <w:rFonts w:eastAsiaTheme="minorEastAsia"/>
        </w:rPr>
        <w:t xml:space="preserve">Twenty </w:t>
      </w:r>
      <w:r w:rsidRPr="00376727">
        <w:rPr>
          <w:rStyle w:val="Strong"/>
          <w:rFonts w:eastAsiaTheme="minorEastAsia"/>
        </w:rPr>
        <w:t>health service organisations</w:t>
      </w:r>
      <w:r w:rsidRPr="00376727">
        <w:rPr>
          <w:rFonts w:eastAsiaTheme="minorEastAsia"/>
        </w:rPr>
        <w:t xml:space="preserve"> supported option 2 and noted the benefits of this option were:</w:t>
      </w:r>
    </w:p>
    <w:p w14:paraId="0293234A" w14:textId="77777777" w:rsidR="00BC2953" w:rsidRPr="00376727" w:rsidRDefault="00BC2953" w:rsidP="00BC2953">
      <w:pPr>
        <w:pStyle w:val="Normal2"/>
        <w:numPr>
          <w:ilvl w:val="1"/>
          <w:numId w:val="51"/>
        </w:numPr>
        <w:rPr>
          <w:rFonts w:eastAsiaTheme="minorEastAsia"/>
        </w:rPr>
      </w:pPr>
      <w:r w:rsidRPr="00376727">
        <w:rPr>
          <w:rFonts w:eastAsiaTheme="minorEastAsia"/>
        </w:rPr>
        <w:t>the inclusion of new content in version 2 of the NSQHS Standards, which provided the greatest potential net benefit for consumers</w:t>
      </w:r>
    </w:p>
    <w:p w14:paraId="61BD8840" w14:textId="77777777" w:rsidR="00BC2953" w:rsidRPr="00376727" w:rsidRDefault="00BC2953" w:rsidP="00BC2953">
      <w:pPr>
        <w:pStyle w:val="Normal2"/>
        <w:numPr>
          <w:ilvl w:val="1"/>
          <w:numId w:val="51"/>
        </w:numPr>
        <w:rPr>
          <w:rFonts w:eastAsiaTheme="minorEastAsia"/>
        </w:rPr>
      </w:pPr>
      <w:proofErr w:type="gramStart"/>
      <w:r w:rsidRPr="00376727">
        <w:rPr>
          <w:rFonts w:eastAsiaTheme="minorEastAsia"/>
        </w:rPr>
        <w:t>potential</w:t>
      </w:r>
      <w:proofErr w:type="gramEnd"/>
      <w:r w:rsidRPr="00376727">
        <w:rPr>
          <w:rFonts w:eastAsiaTheme="minorEastAsia"/>
        </w:rPr>
        <w:t xml:space="preserve"> cost savings from improvements in safety and quality of care, health outcomes and health service delivery.</w:t>
      </w:r>
    </w:p>
    <w:p w14:paraId="3F20EC33" w14:textId="77777777" w:rsidR="00BC2953" w:rsidRPr="00376727" w:rsidRDefault="00BC2953" w:rsidP="00BC2953">
      <w:pPr>
        <w:pStyle w:val="Normal2"/>
        <w:numPr>
          <w:ilvl w:val="0"/>
          <w:numId w:val="52"/>
        </w:numPr>
        <w:rPr>
          <w:rFonts w:eastAsiaTheme="minorEastAsia"/>
        </w:rPr>
      </w:pPr>
      <w:r w:rsidRPr="00376727">
        <w:rPr>
          <w:rStyle w:val="Strong"/>
          <w:rFonts w:eastAsiaTheme="minorEastAsia"/>
        </w:rPr>
        <w:t>Health service organisations</w:t>
      </w:r>
      <w:r w:rsidRPr="00376727">
        <w:rPr>
          <w:rFonts w:eastAsiaTheme="minorEastAsia"/>
        </w:rPr>
        <w:t xml:space="preserve"> also noted the costs of option 2 were associated with:</w:t>
      </w:r>
    </w:p>
    <w:p w14:paraId="6D122F0D" w14:textId="77777777" w:rsidR="00BC2953" w:rsidRPr="00376727" w:rsidRDefault="00BC2953" w:rsidP="00BC2953">
      <w:pPr>
        <w:pStyle w:val="Normal2"/>
        <w:numPr>
          <w:ilvl w:val="1"/>
          <w:numId w:val="52"/>
        </w:numPr>
        <w:rPr>
          <w:rFonts w:eastAsiaTheme="minorEastAsia"/>
        </w:rPr>
      </w:pPr>
      <w:r w:rsidRPr="00376727">
        <w:rPr>
          <w:rFonts w:eastAsiaTheme="minorEastAsia"/>
        </w:rPr>
        <w:t xml:space="preserve">informing and training staff </w:t>
      </w:r>
    </w:p>
    <w:p w14:paraId="6DA3ED59" w14:textId="77777777" w:rsidR="00BC2953" w:rsidRPr="00376727" w:rsidRDefault="00BC2953" w:rsidP="00BC2953">
      <w:pPr>
        <w:pStyle w:val="Normal2"/>
        <w:numPr>
          <w:ilvl w:val="1"/>
          <w:numId w:val="52"/>
        </w:numPr>
        <w:rPr>
          <w:rFonts w:eastAsiaTheme="minorEastAsia"/>
        </w:rPr>
      </w:pPr>
      <w:r w:rsidRPr="00376727">
        <w:rPr>
          <w:rFonts w:eastAsiaTheme="minorEastAsia"/>
        </w:rPr>
        <w:t xml:space="preserve">updating documentation and resources </w:t>
      </w:r>
    </w:p>
    <w:p w14:paraId="44D55143" w14:textId="77777777" w:rsidR="00BC2953" w:rsidRPr="00376727" w:rsidRDefault="00BC2953" w:rsidP="00BC2953">
      <w:pPr>
        <w:pStyle w:val="Normal2"/>
        <w:numPr>
          <w:ilvl w:val="1"/>
          <w:numId w:val="52"/>
        </w:numPr>
        <w:rPr>
          <w:rFonts w:eastAsiaTheme="minorEastAsia"/>
        </w:rPr>
      </w:pPr>
      <w:r w:rsidRPr="00376727">
        <w:rPr>
          <w:rFonts w:eastAsiaTheme="minorEastAsia"/>
        </w:rPr>
        <w:t>the application of clinical care standards in some services</w:t>
      </w:r>
    </w:p>
    <w:p w14:paraId="469B60C4" w14:textId="77777777" w:rsidR="00BC2953" w:rsidRPr="00376727" w:rsidRDefault="00BC2953" w:rsidP="00BC2953">
      <w:pPr>
        <w:pStyle w:val="Normal2"/>
        <w:numPr>
          <w:ilvl w:val="1"/>
          <w:numId w:val="52"/>
        </w:numPr>
        <w:rPr>
          <w:rFonts w:eastAsiaTheme="minorEastAsia"/>
        </w:rPr>
      </w:pPr>
      <w:r w:rsidRPr="00376727">
        <w:rPr>
          <w:rFonts w:eastAsiaTheme="minorEastAsia"/>
        </w:rPr>
        <w:t xml:space="preserve">developing tools and processes for auditing, monitoring and reporting </w:t>
      </w:r>
    </w:p>
    <w:p w14:paraId="51DC087B" w14:textId="77777777" w:rsidR="00BC2953" w:rsidRPr="00376727" w:rsidRDefault="00BC2953" w:rsidP="00BC2953">
      <w:pPr>
        <w:pStyle w:val="Normal2"/>
        <w:numPr>
          <w:ilvl w:val="1"/>
          <w:numId w:val="52"/>
        </w:numPr>
        <w:rPr>
          <w:rFonts w:eastAsiaTheme="minorEastAsia"/>
        </w:rPr>
      </w:pPr>
      <w:r w:rsidRPr="00376727">
        <w:rPr>
          <w:rFonts w:eastAsiaTheme="minorEastAsia"/>
        </w:rPr>
        <w:t>increased staffing levels</w:t>
      </w:r>
    </w:p>
    <w:p w14:paraId="013E4941" w14:textId="77777777" w:rsidR="00BC2953" w:rsidRPr="00376727" w:rsidRDefault="00BC2953" w:rsidP="00BC2953">
      <w:pPr>
        <w:pStyle w:val="Normal2"/>
        <w:numPr>
          <w:ilvl w:val="1"/>
          <w:numId w:val="52"/>
        </w:numPr>
        <w:rPr>
          <w:rFonts w:eastAsiaTheme="minorEastAsia"/>
        </w:rPr>
      </w:pPr>
      <w:r w:rsidRPr="00376727">
        <w:rPr>
          <w:rFonts w:eastAsiaTheme="minorEastAsia"/>
        </w:rPr>
        <w:t xml:space="preserve">redeveloping facilities and buildings </w:t>
      </w:r>
    </w:p>
    <w:p w14:paraId="4D8CEBAC" w14:textId="77777777" w:rsidR="00BC2953" w:rsidRPr="00376727" w:rsidRDefault="00BC2953" w:rsidP="00BC2953">
      <w:pPr>
        <w:pStyle w:val="Normal2"/>
        <w:numPr>
          <w:ilvl w:val="1"/>
          <w:numId w:val="52"/>
        </w:numPr>
        <w:rPr>
          <w:rFonts w:eastAsiaTheme="minorEastAsia"/>
        </w:rPr>
      </w:pPr>
      <w:r w:rsidRPr="00376727">
        <w:rPr>
          <w:rFonts w:eastAsiaTheme="minorEastAsia"/>
        </w:rPr>
        <w:t>developing and using auditing tools for new content areas</w:t>
      </w:r>
    </w:p>
    <w:p w14:paraId="323A1402" w14:textId="77777777" w:rsidR="00BC2953" w:rsidRPr="00376727" w:rsidRDefault="00BC2953" w:rsidP="00BC2953">
      <w:pPr>
        <w:pStyle w:val="Normal2"/>
        <w:numPr>
          <w:ilvl w:val="1"/>
          <w:numId w:val="52"/>
        </w:numPr>
        <w:rPr>
          <w:rFonts w:eastAsiaTheme="minorEastAsia"/>
        </w:rPr>
      </w:pPr>
      <w:r w:rsidRPr="00376727">
        <w:rPr>
          <w:rFonts w:eastAsiaTheme="minorEastAsia"/>
        </w:rPr>
        <w:t>updating information technology infrastructure, including introducing My Health Records</w:t>
      </w:r>
    </w:p>
    <w:p w14:paraId="791E4C97" w14:textId="77777777" w:rsidR="00BC2953" w:rsidRPr="00376727" w:rsidRDefault="00BC2953" w:rsidP="00BC2953">
      <w:pPr>
        <w:pStyle w:val="Normal2"/>
        <w:numPr>
          <w:ilvl w:val="1"/>
          <w:numId w:val="52"/>
        </w:numPr>
        <w:rPr>
          <w:rFonts w:eastAsiaTheme="minorEastAsia"/>
        </w:rPr>
      </w:pPr>
      <w:r w:rsidRPr="00376727">
        <w:rPr>
          <w:rFonts w:eastAsiaTheme="minorEastAsia"/>
        </w:rPr>
        <w:t>implementing strategies to comply with the new content</w:t>
      </w:r>
    </w:p>
    <w:p w14:paraId="1A6D4215" w14:textId="77777777" w:rsidR="00BC2953" w:rsidRPr="00376727" w:rsidRDefault="00BC2953" w:rsidP="00BC2953">
      <w:pPr>
        <w:pStyle w:val="Normal2"/>
        <w:numPr>
          <w:ilvl w:val="1"/>
          <w:numId w:val="52"/>
        </w:numPr>
        <w:rPr>
          <w:rFonts w:eastAsiaTheme="minorEastAsia"/>
        </w:rPr>
      </w:pPr>
      <w:r w:rsidRPr="00376727">
        <w:rPr>
          <w:rFonts w:eastAsiaTheme="minorEastAsia"/>
        </w:rPr>
        <w:t xml:space="preserve">increasing/new auditing requirements because of the new content in version 2 </w:t>
      </w:r>
    </w:p>
    <w:p w14:paraId="6C8CD19B" w14:textId="77777777" w:rsidR="00BC2953" w:rsidRPr="00376727" w:rsidRDefault="00BC2953" w:rsidP="00BC2953">
      <w:pPr>
        <w:pStyle w:val="Normal2"/>
        <w:numPr>
          <w:ilvl w:val="1"/>
          <w:numId w:val="52"/>
        </w:numPr>
        <w:rPr>
          <w:rFonts w:eastAsiaTheme="minorEastAsia"/>
        </w:rPr>
      </w:pPr>
      <w:proofErr w:type="gramStart"/>
      <w:r w:rsidRPr="00376727">
        <w:rPr>
          <w:rFonts w:eastAsiaTheme="minorEastAsia"/>
        </w:rPr>
        <w:t>assessment</w:t>
      </w:r>
      <w:proofErr w:type="gramEnd"/>
      <w:r w:rsidRPr="00376727">
        <w:rPr>
          <w:rFonts w:eastAsiaTheme="minorEastAsia"/>
        </w:rPr>
        <w:t xml:space="preserve"> costs to undertake a gap analysis of current compliance with version 2 requirements.</w:t>
      </w:r>
    </w:p>
    <w:p w14:paraId="71520710" w14:textId="77777777" w:rsidR="00BC2953" w:rsidRPr="00376727" w:rsidRDefault="00BC2953" w:rsidP="00BC2953">
      <w:pPr>
        <w:pStyle w:val="Normal2"/>
        <w:rPr>
          <w:rFonts w:eastAsiaTheme="minorEastAsia"/>
        </w:rPr>
      </w:pPr>
      <w:r w:rsidRPr="00376727">
        <w:rPr>
          <w:rFonts w:eastAsiaTheme="minorEastAsia"/>
        </w:rPr>
        <w:t>An estimate of the qua</w:t>
      </w:r>
      <w:r w:rsidR="00D5644C">
        <w:rPr>
          <w:rFonts w:eastAsiaTheme="minorEastAsia"/>
        </w:rPr>
        <w:t>ntum of the costs varied widely</w:t>
      </w:r>
      <w:r w:rsidRPr="00376727">
        <w:rPr>
          <w:rFonts w:eastAsiaTheme="minorEastAsia"/>
        </w:rPr>
        <w:t xml:space="preserve"> however</w:t>
      </w:r>
      <w:r w:rsidR="00D5644C">
        <w:rPr>
          <w:rFonts w:eastAsiaTheme="minorEastAsia"/>
        </w:rPr>
        <w:t>,</w:t>
      </w:r>
      <w:r w:rsidRPr="00376727">
        <w:rPr>
          <w:rFonts w:eastAsiaTheme="minorEastAsia"/>
        </w:rPr>
        <w:t xml:space="preserve"> respondents largely agreed the benefits outweighed the costs. They also agreed the Commission had underestimated the costs of implementing version 2</w:t>
      </w:r>
      <w:r w:rsidR="00D5644C">
        <w:rPr>
          <w:rFonts w:eastAsiaTheme="minorEastAsia"/>
        </w:rPr>
        <w:t xml:space="preserve"> of the NSQHS Standards in the C</w:t>
      </w:r>
      <w:r w:rsidRPr="00376727">
        <w:rPr>
          <w:rFonts w:eastAsiaTheme="minorEastAsia"/>
        </w:rPr>
        <w:t xml:space="preserve">onsultation RIS. </w:t>
      </w:r>
    </w:p>
    <w:p w14:paraId="72E5F668" w14:textId="77777777" w:rsidR="00BC2953" w:rsidRPr="00376727" w:rsidRDefault="00BC2953" w:rsidP="00BC2953">
      <w:pPr>
        <w:pStyle w:val="Normal2"/>
        <w:rPr>
          <w:rFonts w:eastAsiaTheme="minorEastAsia"/>
        </w:rPr>
      </w:pPr>
      <w:r w:rsidRPr="00376727">
        <w:rPr>
          <w:rFonts w:eastAsiaTheme="minorEastAsia"/>
        </w:rPr>
        <w:t xml:space="preserve">Detail was provided on the factors that would need to be considered when costing training. They included developing education material, staff salaries to attend training, and online hosting costs for training. </w:t>
      </w:r>
    </w:p>
    <w:p w14:paraId="7B2AEEE3" w14:textId="77777777" w:rsidR="00BC2953" w:rsidRPr="00376727" w:rsidRDefault="00BC2953" w:rsidP="00BC2953">
      <w:pPr>
        <w:pStyle w:val="Normal2"/>
        <w:numPr>
          <w:ilvl w:val="0"/>
          <w:numId w:val="53"/>
        </w:numPr>
        <w:rPr>
          <w:rFonts w:eastAsiaTheme="minorEastAsia"/>
        </w:rPr>
      </w:pPr>
      <w:r w:rsidRPr="00376727">
        <w:rPr>
          <w:rFonts w:eastAsiaTheme="minorEastAsia"/>
        </w:rPr>
        <w:t xml:space="preserve">Three </w:t>
      </w:r>
      <w:r w:rsidRPr="00376727">
        <w:rPr>
          <w:rStyle w:val="Strong"/>
          <w:rFonts w:eastAsiaTheme="minorEastAsia"/>
        </w:rPr>
        <w:t>accrediting agencies</w:t>
      </w:r>
      <w:r w:rsidRPr="00376727">
        <w:rPr>
          <w:rFonts w:eastAsiaTheme="minorEastAsia"/>
        </w:rPr>
        <w:t xml:space="preserve"> preferred Option 2, and noted the following benefits of this option:</w:t>
      </w:r>
    </w:p>
    <w:p w14:paraId="391B6517" w14:textId="77777777" w:rsidR="00BC2953" w:rsidRPr="00376727" w:rsidRDefault="00BC2953" w:rsidP="00BC2953">
      <w:pPr>
        <w:pStyle w:val="Normal2"/>
        <w:numPr>
          <w:ilvl w:val="1"/>
          <w:numId w:val="53"/>
        </w:numPr>
        <w:rPr>
          <w:rFonts w:eastAsiaTheme="minorEastAsia"/>
        </w:rPr>
      </w:pPr>
      <w:r w:rsidRPr="00376727">
        <w:rPr>
          <w:rFonts w:eastAsiaTheme="minorEastAsia"/>
        </w:rPr>
        <w:t>version 2 is more broadly applicable in community health, primary care and other health service organisations</w:t>
      </w:r>
    </w:p>
    <w:p w14:paraId="6B01E91D" w14:textId="77777777" w:rsidR="00BC2953" w:rsidRPr="00376727" w:rsidRDefault="00BC2953" w:rsidP="00BC2953">
      <w:pPr>
        <w:pStyle w:val="Normal2"/>
        <w:numPr>
          <w:ilvl w:val="1"/>
          <w:numId w:val="53"/>
        </w:numPr>
        <w:rPr>
          <w:rFonts w:eastAsiaTheme="minorEastAsia"/>
        </w:rPr>
      </w:pPr>
      <w:r w:rsidRPr="00376727">
        <w:rPr>
          <w:rFonts w:eastAsiaTheme="minorEastAsia"/>
        </w:rPr>
        <w:t xml:space="preserve">there is the potential to reduce assessment costs as the </w:t>
      </w:r>
      <w:r w:rsidR="00D5644C">
        <w:rPr>
          <w:rFonts w:eastAsiaTheme="minorEastAsia"/>
        </w:rPr>
        <w:t xml:space="preserve">NSQHS </w:t>
      </w:r>
      <w:r w:rsidRPr="00376727">
        <w:rPr>
          <w:rFonts w:eastAsiaTheme="minorEastAsia"/>
        </w:rPr>
        <w:t>Standards are more applicable across settings and do not require administrative processes associated with version 1 such as reviewing non-applicable actions.</w:t>
      </w:r>
    </w:p>
    <w:p w14:paraId="4358DB7F" w14:textId="77777777" w:rsidR="00BC2953" w:rsidRPr="00376727" w:rsidRDefault="00BC2953" w:rsidP="00BC2953">
      <w:pPr>
        <w:pStyle w:val="Normal2"/>
        <w:numPr>
          <w:ilvl w:val="0"/>
          <w:numId w:val="53"/>
        </w:numPr>
        <w:rPr>
          <w:rFonts w:eastAsiaTheme="minorEastAsia"/>
        </w:rPr>
      </w:pPr>
      <w:r w:rsidRPr="00C47447">
        <w:rPr>
          <w:rFonts w:eastAsiaTheme="minorEastAsia"/>
          <w:b/>
        </w:rPr>
        <w:t>Accrediting agencies</w:t>
      </w:r>
      <w:r w:rsidRPr="00376727">
        <w:rPr>
          <w:rFonts w:eastAsiaTheme="minorEastAsia"/>
        </w:rPr>
        <w:t xml:space="preserve"> also noted the costs of this option were:</w:t>
      </w:r>
    </w:p>
    <w:p w14:paraId="42E96895" w14:textId="77777777" w:rsidR="00BC2953" w:rsidRPr="00376727" w:rsidRDefault="00BC2953" w:rsidP="00BC2953">
      <w:pPr>
        <w:pStyle w:val="Normal2"/>
        <w:numPr>
          <w:ilvl w:val="1"/>
          <w:numId w:val="53"/>
        </w:numPr>
        <w:rPr>
          <w:rFonts w:eastAsiaTheme="minorEastAsia"/>
        </w:rPr>
      </w:pPr>
      <w:r w:rsidRPr="00376727">
        <w:rPr>
          <w:rFonts w:eastAsiaTheme="minorEastAsia"/>
        </w:rPr>
        <w:t>increased assessment time and assessment costs</w:t>
      </w:r>
    </w:p>
    <w:p w14:paraId="0F5E06FB" w14:textId="77777777" w:rsidR="00BC2953" w:rsidRPr="00376727" w:rsidRDefault="00BC2953" w:rsidP="00BC2953">
      <w:pPr>
        <w:pStyle w:val="Normal2"/>
        <w:numPr>
          <w:ilvl w:val="1"/>
          <w:numId w:val="53"/>
        </w:numPr>
        <w:rPr>
          <w:rFonts w:eastAsiaTheme="minorEastAsia"/>
        </w:rPr>
      </w:pPr>
      <w:r w:rsidRPr="00376727">
        <w:rPr>
          <w:rFonts w:eastAsiaTheme="minorEastAsia"/>
        </w:rPr>
        <w:t>training of assessors</w:t>
      </w:r>
    </w:p>
    <w:p w14:paraId="253E7F69" w14:textId="77777777" w:rsidR="00BC2953" w:rsidRPr="00376727" w:rsidRDefault="00BC2953" w:rsidP="00BC2953">
      <w:pPr>
        <w:pStyle w:val="Normal2"/>
        <w:numPr>
          <w:ilvl w:val="1"/>
          <w:numId w:val="53"/>
        </w:numPr>
        <w:rPr>
          <w:rFonts w:eastAsiaTheme="minorEastAsia"/>
        </w:rPr>
      </w:pPr>
      <w:r w:rsidRPr="00376727">
        <w:rPr>
          <w:rFonts w:eastAsiaTheme="minorEastAsia"/>
        </w:rPr>
        <w:t>developing education materials</w:t>
      </w:r>
    </w:p>
    <w:p w14:paraId="69AAA9C5" w14:textId="77777777" w:rsidR="00BC2953" w:rsidRPr="00376727" w:rsidRDefault="00BC2953" w:rsidP="00BC2953">
      <w:pPr>
        <w:pStyle w:val="Normal2"/>
        <w:numPr>
          <w:ilvl w:val="1"/>
          <w:numId w:val="53"/>
        </w:numPr>
        <w:rPr>
          <w:rFonts w:eastAsiaTheme="minorEastAsia"/>
        </w:rPr>
      </w:pPr>
      <w:r w:rsidRPr="00376727">
        <w:rPr>
          <w:rFonts w:eastAsiaTheme="minorEastAsia"/>
        </w:rPr>
        <w:t xml:space="preserve">one agency noted that </w:t>
      </w:r>
      <w:r w:rsidR="00D5644C">
        <w:rPr>
          <w:rFonts w:eastAsiaTheme="minorEastAsia"/>
        </w:rPr>
        <w:t xml:space="preserve">the </w:t>
      </w:r>
      <w:r w:rsidRPr="00376727">
        <w:rPr>
          <w:rFonts w:eastAsiaTheme="minorEastAsia"/>
        </w:rPr>
        <w:t>content in version 2 of the NSQHS Standard</w:t>
      </w:r>
      <w:r w:rsidR="00D5644C">
        <w:rPr>
          <w:rFonts w:eastAsiaTheme="minorEastAsia"/>
        </w:rPr>
        <w:t>s</w:t>
      </w:r>
      <w:r w:rsidRPr="00376727">
        <w:rPr>
          <w:rFonts w:eastAsiaTheme="minorEastAsia"/>
        </w:rPr>
        <w:t xml:space="preserve"> overlaps with content in</w:t>
      </w:r>
      <w:r w:rsidR="00D5644C">
        <w:rPr>
          <w:rFonts w:eastAsiaTheme="minorEastAsia"/>
        </w:rPr>
        <w:t xml:space="preserve"> a</w:t>
      </w:r>
      <w:r w:rsidRPr="00376727">
        <w:rPr>
          <w:rFonts w:eastAsiaTheme="minorEastAsia"/>
        </w:rPr>
        <w:t xml:space="preserve"> standards product they </w:t>
      </w:r>
      <w:r w:rsidR="00D5644C">
        <w:rPr>
          <w:rFonts w:eastAsiaTheme="minorEastAsia"/>
        </w:rPr>
        <w:t xml:space="preserve">have developed and </w:t>
      </w:r>
      <w:r w:rsidRPr="00376727">
        <w:rPr>
          <w:rFonts w:eastAsiaTheme="minorEastAsia"/>
        </w:rPr>
        <w:t>offer</w:t>
      </w:r>
      <w:r w:rsidR="00D5644C">
        <w:rPr>
          <w:rFonts w:eastAsiaTheme="minorEastAsia"/>
        </w:rPr>
        <w:t xml:space="preserve"> to health service organisation</w:t>
      </w:r>
      <w:r w:rsidRPr="00376727">
        <w:rPr>
          <w:rFonts w:eastAsiaTheme="minorEastAsia"/>
        </w:rPr>
        <w:t xml:space="preserve">, and removing </w:t>
      </w:r>
      <w:r w:rsidR="00D5644C">
        <w:rPr>
          <w:rFonts w:eastAsiaTheme="minorEastAsia"/>
        </w:rPr>
        <w:t xml:space="preserve">the overlap </w:t>
      </w:r>
      <w:r w:rsidRPr="00376727">
        <w:rPr>
          <w:rFonts w:eastAsiaTheme="minorEastAsia"/>
        </w:rPr>
        <w:t>from their standards will impact on their revenue</w:t>
      </w:r>
    </w:p>
    <w:p w14:paraId="533FE779" w14:textId="77777777" w:rsidR="00BC2953" w:rsidRPr="00376727" w:rsidRDefault="00BC2953" w:rsidP="00BC2953">
      <w:pPr>
        <w:pStyle w:val="Normal2"/>
        <w:numPr>
          <w:ilvl w:val="0"/>
          <w:numId w:val="53"/>
        </w:numPr>
        <w:rPr>
          <w:rFonts w:eastAsiaTheme="minorEastAsia"/>
        </w:rPr>
      </w:pPr>
      <w:r w:rsidRPr="00376727">
        <w:rPr>
          <w:rFonts w:eastAsiaTheme="minorEastAsia"/>
        </w:rPr>
        <w:t>Respondents noted that most of the cost</w:t>
      </w:r>
      <w:r w:rsidR="00D5644C">
        <w:rPr>
          <w:rFonts w:eastAsiaTheme="minorEastAsia"/>
        </w:rPr>
        <w:t>s of this option related to one-</w:t>
      </w:r>
      <w:r w:rsidRPr="00376727">
        <w:rPr>
          <w:rFonts w:eastAsiaTheme="minorEastAsia"/>
        </w:rPr>
        <w:t>off, initial costs and that once implemented the ongoing costs of this option were likely to be less tha</w:t>
      </w:r>
      <w:r>
        <w:rPr>
          <w:rFonts w:eastAsiaTheme="minorEastAsia"/>
        </w:rPr>
        <w:t>n</w:t>
      </w:r>
      <w:r w:rsidRPr="00376727">
        <w:rPr>
          <w:rFonts w:eastAsiaTheme="minorEastAsia"/>
        </w:rPr>
        <w:t xml:space="preserve"> option 1, because of the reduction in duplica</w:t>
      </w:r>
      <w:r w:rsidR="00D5644C">
        <w:rPr>
          <w:rFonts w:eastAsiaTheme="minorEastAsia"/>
        </w:rPr>
        <w:t>tion and auditing requirements</w:t>
      </w:r>
    </w:p>
    <w:p w14:paraId="559FDEED" w14:textId="77777777" w:rsidR="00BC2953" w:rsidRPr="00376727" w:rsidRDefault="00BC2953" w:rsidP="00BC2953">
      <w:pPr>
        <w:pStyle w:val="Normal2"/>
        <w:numPr>
          <w:ilvl w:val="0"/>
          <w:numId w:val="53"/>
        </w:numPr>
        <w:rPr>
          <w:rFonts w:eastAsiaTheme="minorEastAsia"/>
        </w:rPr>
      </w:pPr>
      <w:r w:rsidRPr="00376727">
        <w:rPr>
          <w:rFonts w:eastAsiaTheme="minorEastAsia"/>
        </w:rPr>
        <w:t>One respondent from the primary care sector supported option 2. They considered the benefits of this option to come from the i</w:t>
      </w:r>
      <w:r w:rsidR="00D5644C">
        <w:rPr>
          <w:rFonts w:eastAsiaTheme="minorEastAsia"/>
        </w:rPr>
        <w:t>ntroduction of the new content</w:t>
      </w:r>
    </w:p>
    <w:p w14:paraId="71381F5C" w14:textId="77777777" w:rsidR="00BC2953" w:rsidRPr="00376727" w:rsidRDefault="00BC2953" w:rsidP="00BC2953">
      <w:pPr>
        <w:pStyle w:val="Normal2"/>
        <w:numPr>
          <w:ilvl w:val="0"/>
          <w:numId w:val="53"/>
        </w:numPr>
        <w:rPr>
          <w:rFonts w:eastAsiaTheme="minorEastAsia"/>
        </w:rPr>
      </w:pPr>
      <w:r w:rsidRPr="00376727">
        <w:rPr>
          <w:rFonts w:eastAsiaTheme="minorEastAsia"/>
        </w:rPr>
        <w:t>This primary care respondent considered the costs were primarily associated with assessment costs that are proporti</w:t>
      </w:r>
      <w:r w:rsidR="00D5644C">
        <w:rPr>
          <w:rFonts w:eastAsiaTheme="minorEastAsia"/>
        </w:rPr>
        <w:t>onately high for small services</w:t>
      </w:r>
    </w:p>
    <w:p w14:paraId="1117F087" w14:textId="77777777" w:rsidR="00BC2953" w:rsidRPr="00376727" w:rsidRDefault="00BC2953" w:rsidP="00BC2953">
      <w:pPr>
        <w:pStyle w:val="Normal2"/>
        <w:numPr>
          <w:ilvl w:val="0"/>
          <w:numId w:val="53"/>
        </w:numPr>
        <w:rPr>
          <w:rFonts w:eastAsiaTheme="minorEastAsia"/>
        </w:rPr>
      </w:pPr>
      <w:r w:rsidRPr="00376727">
        <w:rPr>
          <w:rFonts w:eastAsiaTheme="minorEastAsia"/>
        </w:rPr>
        <w:t xml:space="preserve">Other concerns that may have cost implications were raised, including </w:t>
      </w:r>
    </w:p>
    <w:p w14:paraId="5E73384B" w14:textId="77777777" w:rsidR="00BC2953" w:rsidRPr="00376727" w:rsidRDefault="00BC2953" w:rsidP="00BC2953">
      <w:pPr>
        <w:pStyle w:val="Normal2"/>
        <w:numPr>
          <w:ilvl w:val="1"/>
          <w:numId w:val="53"/>
        </w:numPr>
        <w:rPr>
          <w:rFonts w:eastAsiaTheme="minorEastAsia"/>
        </w:rPr>
      </w:pPr>
      <w:r w:rsidRPr="00376727">
        <w:rPr>
          <w:rFonts w:eastAsiaTheme="minorEastAsia"/>
        </w:rPr>
        <w:t>the need for additional time before transitioning to version 2 for small primary care services</w:t>
      </w:r>
    </w:p>
    <w:p w14:paraId="05437981" w14:textId="77777777" w:rsidR="00BC2953" w:rsidRPr="00376727" w:rsidRDefault="00BC2953" w:rsidP="00BC2953">
      <w:pPr>
        <w:pStyle w:val="Normal2"/>
        <w:numPr>
          <w:ilvl w:val="1"/>
          <w:numId w:val="53"/>
        </w:numPr>
        <w:rPr>
          <w:rFonts w:eastAsiaTheme="minorEastAsia"/>
        </w:rPr>
      </w:pPr>
      <w:r w:rsidRPr="00376727">
        <w:rPr>
          <w:rFonts w:eastAsiaTheme="minorEastAsia"/>
        </w:rPr>
        <w:t>the availability of support, tools and resources to implement version 2</w:t>
      </w:r>
    </w:p>
    <w:p w14:paraId="0898FEB1" w14:textId="77777777" w:rsidR="00BC2953" w:rsidRPr="00376727" w:rsidRDefault="00BC2953" w:rsidP="00BC2953">
      <w:pPr>
        <w:pStyle w:val="Normal2"/>
        <w:numPr>
          <w:ilvl w:val="1"/>
          <w:numId w:val="53"/>
        </w:numPr>
        <w:rPr>
          <w:rFonts w:eastAsiaTheme="minorEastAsia"/>
        </w:rPr>
      </w:pPr>
      <w:r w:rsidRPr="00376727">
        <w:rPr>
          <w:rFonts w:eastAsiaTheme="minorEastAsia"/>
        </w:rPr>
        <w:t xml:space="preserve">the skills and experience of assessors testing compliance with the </w:t>
      </w:r>
      <w:r w:rsidR="00D5644C">
        <w:rPr>
          <w:rFonts w:eastAsiaTheme="minorEastAsia"/>
        </w:rPr>
        <w:t xml:space="preserve">NSQHS </w:t>
      </w:r>
      <w:r w:rsidRPr="00376727">
        <w:rPr>
          <w:rFonts w:eastAsiaTheme="minorEastAsia"/>
        </w:rPr>
        <w:t>Standards</w:t>
      </w:r>
    </w:p>
    <w:p w14:paraId="706F81F2" w14:textId="77777777" w:rsidR="00BC2953" w:rsidRPr="00376727" w:rsidRDefault="00BC2953" w:rsidP="00BC2953">
      <w:pPr>
        <w:pStyle w:val="Normal2"/>
        <w:numPr>
          <w:ilvl w:val="1"/>
          <w:numId w:val="53"/>
        </w:numPr>
        <w:rPr>
          <w:rFonts w:eastAsiaTheme="minorEastAsia"/>
        </w:rPr>
      </w:pPr>
      <w:proofErr w:type="gramStart"/>
      <w:r w:rsidRPr="00376727">
        <w:rPr>
          <w:rFonts w:eastAsiaTheme="minorEastAsia"/>
        </w:rPr>
        <w:t>the</w:t>
      </w:r>
      <w:proofErr w:type="gramEnd"/>
      <w:r w:rsidRPr="00376727">
        <w:rPr>
          <w:rFonts w:eastAsiaTheme="minorEastAsia"/>
        </w:rPr>
        <w:t xml:space="preserve"> application of some standards in primary care settings. </w:t>
      </w:r>
    </w:p>
    <w:p w14:paraId="00D92338" w14:textId="77777777" w:rsidR="00BC2953" w:rsidRPr="00376727" w:rsidRDefault="00BC2953" w:rsidP="00BC2953">
      <w:pPr>
        <w:pStyle w:val="Subheadingnolevel"/>
      </w:pPr>
      <w:r w:rsidRPr="00376727">
        <w:t xml:space="preserve">In response to these issues, the Commission notes: </w:t>
      </w:r>
    </w:p>
    <w:p w14:paraId="2528CA07" w14:textId="77777777" w:rsidR="00BC2953" w:rsidRPr="00376727" w:rsidRDefault="00BC2953" w:rsidP="00BC2953">
      <w:pPr>
        <w:pStyle w:val="Normal2"/>
        <w:numPr>
          <w:ilvl w:val="0"/>
          <w:numId w:val="55"/>
        </w:numPr>
        <w:rPr>
          <w:rFonts w:eastAsiaTheme="minorEastAsia"/>
        </w:rPr>
      </w:pPr>
      <w:proofErr w:type="gramStart"/>
      <w:r w:rsidRPr="00376727">
        <w:rPr>
          <w:rFonts w:eastAsiaTheme="minorEastAsia"/>
        </w:rPr>
        <w:t>version</w:t>
      </w:r>
      <w:proofErr w:type="gramEnd"/>
      <w:r w:rsidRPr="00376727">
        <w:rPr>
          <w:rFonts w:eastAsiaTheme="minorEastAsia"/>
        </w:rPr>
        <w:t xml:space="preserve"> 1 of the NSQHS Standards states the areas where audits </w:t>
      </w:r>
      <w:r>
        <w:rPr>
          <w:rFonts w:eastAsiaTheme="minorEastAsia"/>
        </w:rPr>
        <w:t xml:space="preserve">are </w:t>
      </w:r>
      <w:r w:rsidRPr="00376727">
        <w:rPr>
          <w:rFonts w:eastAsiaTheme="minorEastAsia"/>
        </w:rPr>
        <w:t>required, but did not specify the frequency, format, focus or length of audits that were required.  As a result</w:t>
      </w:r>
      <w:r w:rsidR="00D5644C">
        <w:rPr>
          <w:rFonts w:eastAsiaTheme="minorEastAsia"/>
        </w:rPr>
        <w:t>,</w:t>
      </w:r>
      <w:r w:rsidRPr="00376727">
        <w:rPr>
          <w:rFonts w:eastAsiaTheme="minorEastAsia"/>
        </w:rPr>
        <w:t xml:space="preserve"> health service organisations have significantly increased the scope and frequency of auditing, sometimes in areas that </w:t>
      </w:r>
      <w:r w:rsidR="00D5644C">
        <w:rPr>
          <w:rFonts w:eastAsiaTheme="minorEastAsia"/>
        </w:rPr>
        <w:t>did not involve a high risk of harm</w:t>
      </w:r>
      <w:r w:rsidRPr="00376727">
        <w:rPr>
          <w:rFonts w:eastAsiaTheme="minorEastAsia"/>
        </w:rPr>
        <w:t>.  Version 2 links audit to quality improvement and requires health service organisations to use a risk management approach so effort is concentrated in areas where the greatest harm occurs</w:t>
      </w:r>
    </w:p>
    <w:p w14:paraId="28DB283E" w14:textId="77777777" w:rsidR="00BC2953" w:rsidRPr="00376727" w:rsidRDefault="00BC2953" w:rsidP="00BC2953">
      <w:pPr>
        <w:pStyle w:val="Normal2"/>
        <w:numPr>
          <w:ilvl w:val="0"/>
          <w:numId w:val="55"/>
        </w:numPr>
        <w:rPr>
          <w:rFonts w:eastAsiaTheme="minorEastAsia"/>
        </w:rPr>
      </w:pPr>
      <w:proofErr w:type="gramStart"/>
      <w:r w:rsidRPr="00376727">
        <w:rPr>
          <w:rFonts w:eastAsiaTheme="minorEastAsia"/>
        </w:rPr>
        <w:t>similarly</w:t>
      </w:r>
      <w:proofErr w:type="gramEnd"/>
      <w:r w:rsidRPr="00376727">
        <w:rPr>
          <w:rFonts w:eastAsiaTheme="minorEastAsia"/>
        </w:rPr>
        <w:t xml:space="preserve"> </w:t>
      </w:r>
      <w:r w:rsidR="00D5644C">
        <w:rPr>
          <w:rFonts w:eastAsiaTheme="minorEastAsia"/>
        </w:rPr>
        <w:t xml:space="preserve">regarding </w:t>
      </w:r>
      <w:r w:rsidRPr="00376727">
        <w:rPr>
          <w:rFonts w:eastAsiaTheme="minorEastAsia"/>
        </w:rPr>
        <w:t xml:space="preserve">training health service organisations are required to provide, the </w:t>
      </w:r>
      <w:r w:rsidR="00D5644C">
        <w:rPr>
          <w:rFonts w:eastAsiaTheme="minorEastAsia"/>
        </w:rPr>
        <w:t xml:space="preserve">NSQHS </w:t>
      </w:r>
      <w:r w:rsidRPr="00376727">
        <w:rPr>
          <w:rFonts w:eastAsiaTheme="minorEastAsia"/>
        </w:rPr>
        <w:t xml:space="preserve">Standards specify a small number of areas where training is required but not the frequency or content of that training. Organisations need to adopt a risk management approach to setting priorities and implementing training to reduce harm </w:t>
      </w:r>
    </w:p>
    <w:p w14:paraId="7AA38C41" w14:textId="77777777" w:rsidR="00BC2953" w:rsidRPr="00376727" w:rsidRDefault="00BC2953" w:rsidP="00BC2953">
      <w:pPr>
        <w:pStyle w:val="Normal2"/>
        <w:numPr>
          <w:ilvl w:val="0"/>
          <w:numId w:val="55"/>
        </w:numPr>
        <w:rPr>
          <w:rFonts w:eastAsiaTheme="minorEastAsia"/>
        </w:rPr>
      </w:pPr>
      <w:r w:rsidRPr="00376727">
        <w:rPr>
          <w:rFonts w:eastAsiaTheme="minorEastAsia"/>
        </w:rPr>
        <w:t>65 per cent of version 2 is consistent with version 1</w:t>
      </w:r>
      <w:r w:rsidR="00D5644C">
        <w:rPr>
          <w:rFonts w:eastAsiaTheme="minorEastAsia"/>
        </w:rPr>
        <w:t>,</w:t>
      </w:r>
      <w:r w:rsidRPr="00376727">
        <w:rPr>
          <w:rFonts w:eastAsiaTheme="minorEastAsia"/>
        </w:rPr>
        <w:t xml:space="preserve"> which is familiar to health service organisations</w:t>
      </w:r>
    </w:p>
    <w:p w14:paraId="6F4884DF" w14:textId="77777777" w:rsidR="00BC2953" w:rsidRPr="00376727" w:rsidRDefault="00BC2953" w:rsidP="00BC2953">
      <w:pPr>
        <w:pStyle w:val="Normal2"/>
        <w:numPr>
          <w:ilvl w:val="0"/>
          <w:numId w:val="55"/>
        </w:numPr>
        <w:rPr>
          <w:rFonts w:eastAsiaTheme="minorEastAsia"/>
        </w:rPr>
      </w:pPr>
      <w:r w:rsidRPr="00376727">
        <w:rPr>
          <w:rFonts w:eastAsiaTheme="minorEastAsia"/>
        </w:rPr>
        <w:t>the Commission has in place or is developing a range of tools, resources and support processes to assist health service organisations</w:t>
      </w:r>
      <w:r>
        <w:rPr>
          <w:rFonts w:eastAsiaTheme="minorEastAsia"/>
        </w:rPr>
        <w:t xml:space="preserve"> to</w:t>
      </w:r>
      <w:r w:rsidRPr="00376727">
        <w:rPr>
          <w:rFonts w:eastAsiaTheme="minorEastAsia"/>
        </w:rPr>
        <w:t xml:space="preserve"> implement version 2 </w:t>
      </w:r>
    </w:p>
    <w:p w14:paraId="4C1E4CC8" w14:textId="77777777" w:rsidR="00BC2953" w:rsidRPr="00376727" w:rsidRDefault="00D5644C" w:rsidP="00BC2953">
      <w:pPr>
        <w:pStyle w:val="Normal2"/>
        <w:numPr>
          <w:ilvl w:val="0"/>
          <w:numId w:val="55"/>
        </w:numPr>
        <w:rPr>
          <w:rFonts w:eastAsiaTheme="minorEastAsia"/>
        </w:rPr>
      </w:pPr>
      <w:r>
        <w:rPr>
          <w:rFonts w:eastAsiaTheme="minorEastAsia"/>
        </w:rPr>
        <w:t>a suite of resources is</w:t>
      </w:r>
      <w:r w:rsidR="00BC2953" w:rsidRPr="00376727">
        <w:rPr>
          <w:rFonts w:eastAsiaTheme="minorEastAsia"/>
        </w:rPr>
        <w:t xml:space="preserve"> being dev</w:t>
      </w:r>
      <w:r>
        <w:rPr>
          <w:rFonts w:eastAsiaTheme="minorEastAsia"/>
        </w:rPr>
        <w:t>eloped in paper-</w:t>
      </w:r>
      <w:r w:rsidR="00BC2953" w:rsidRPr="00376727">
        <w:rPr>
          <w:rFonts w:eastAsiaTheme="minorEastAsia"/>
        </w:rPr>
        <w:t>based and electronic formats to support groups of health professionals and different health service sectors to implement version 2</w:t>
      </w:r>
    </w:p>
    <w:p w14:paraId="4174728B" w14:textId="77777777" w:rsidR="00BC2953" w:rsidRPr="00376727" w:rsidRDefault="00BC2953" w:rsidP="00BC2953">
      <w:pPr>
        <w:pStyle w:val="Normal2"/>
        <w:numPr>
          <w:ilvl w:val="0"/>
          <w:numId w:val="55"/>
        </w:numPr>
        <w:rPr>
          <w:rFonts w:eastAsiaTheme="minorEastAsia"/>
        </w:rPr>
      </w:pPr>
      <w:r w:rsidRPr="00376727">
        <w:rPr>
          <w:rFonts w:eastAsiaTheme="minorEastAsia"/>
        </w:rPr>
        <w:t>training and education packages are being developed for assessors and health service organisations to train the workforce on version 2 of the NSQHS Standards</w:t>
      </w:r>
    </w:p>
    <w:p w14:paraId="2B5B08D4" w14:textId="77777777" w:rsidR="00BC2953" w:rsidRPr="00376727" w:rsidRDefault="00BC2953" w:rsidP="00BC2953">
      <w:pPr>
        <w:pStyle w:val="Normal2"/>
        <w:numPr>
          <w:ilvl w:val="0"/>
          <w:numId w:val="55"/>
        </w:numPr>
        <w:rPr>
          <w:rFonts w:eastAsiaTheme="minorEastAsia"/>
        </w:rPr>
      </w:pPr>
      <w:r w:rsidRPr="00376727">
        <w:rPr>
          <w:rFonts w:eastAsiaTheme="minorEastAsia"/>
        </w:rPr>
        <w:t xml:space="preserve">work has commenced with the education sector to better prepare health practitioners to implement the </w:t>
      </w:r>
      <w:r w:rsidR="00D5644C">
        <w:rPr>
          <w:rFonts w:eastAsiaTheme="minorEastAsia"/>
        </w:rPr>
        <w:t xml:space="preserve">NSQHS </w:t>
      </w:r>
      <w:r w:rsidRPr="00376727">
        <w:rPr>
          <w:rFonts w:eastAsiaTheme="minorEastAsia"/>
        </w:rPr>
        <w:t>Standards</w:t>
      </w:r>
    </w:p>
    <w:p w14:paraId="5E6E67AF" w14:textId="77777777" w:rsidR="00BC2953" w:rsidRPr="00376727" w:rsidRDefault="00BC2953" w:rsidP="00BC2953">
      <w:pPr>
        <w:pStyle w:val="Normal2"/>
        <w:numPr>
          <w:ilvl w:val="0"/>
          <w:numId w:val="55"/>
        </w:numPr>
        <w:rPr>
          <w:rFonts w:eastAsiaTheme="minorEastAsia"/>
        </w:rPr>
      </w:pPr>
      <w:r w:rsidRPr="00376727">
        <w:rPr>
          <w:rFonts w:eastAsiaTheme="minorEastAsia"/>
        </w:rPr>
        <w:t xml:space="preserve">the processes of assessment are being reviewed with the aim of making them more robust, efficient and effective </w:t>
      </w:r>
    </w:p>
    <w:p w14:paraId="4C8C8708" w14:textId="77777777" w:rsidR="007D16FD" w:rsidRDefault="00BC2953" w:rsidP="00BC2953">
      <w:pPr>
        <w:pStyle w:val="Normal2"/>
        <w:numPr>
          <w:ilvl w:val="0"/>
          <w:numId w:val="55"/>
        </w:numPr>
      </w:pPr>
      <w:r w:rsidRPr="00376727">
        <w:t>work is underway to adapt version 2 to different sectors, including primary care</w:t>
      </w:r>
    </w:p>
    <w:p w14:paraId="46250B4F" w14:textId="004A1CC2" w:rsidR="00BC2953" w:rsidRPr="00376727" w:rsidRDefault="007D16FD" w:rsidP="00BC2953">
      <w:pPr>
        <w:pStyle w:val="Normal2"/>
        <w:numPr>
          <w:ilvl w:val="0"/>
          <w:numId w:val="55"/>
        </w:numPr>
      </w:pPr>
      <w:proofErr w:type="gramStart"/>
      <w:r>
        <w:t>the</w:t>
      </w:r>
      <w:proofErr w:type="gramEnd"/>
      <w:r>
        <w:t xml:space="preserve"> cost burden regulation measure has been updated to address comments that the estimates of costs in the Consultation RIS were too low</w:t>
      </w:r>
      <w:r w:rsidR="00BC2953" w:rsidRPr="00376727">
        <w:t>.</w:t>
      </w:r>
    </w:p>
    <w:p w14:paraId="162FA188" w14:textId="77777777" w:rsidR="00BC2953" w:rsidRPr="00376727" w:rsidRDefault="00BC2953" w:rsidP="00BC2953">
      <w:pPr>
        <w:pStyle w:val="Subheadingnolevel"/>
      </w:pPr>
      <w:r w:rsidRPr="00376727">
        <w:t>Recommendation</w:t>
      </w:r>
    </w:p>
    <w:p w14:paraId="3C548AFD" w14:textId="77777777" w:rsidR="00BC2953" w:rsidRDefault="00BC2953" w:rsidP="00BC2953">
      <w:pPr>
        <w:pStyle w:val="Normal2"/>
      </w:pPr>
      <w:r w:rsidRPr="00376727">
        <w:t>That health ministers endorse option 2, for version 2 of the NSQHS Standards to be implemented in health service organisation</w:t>
      </w:r>
      <w:r w:rsidR="00D5644C">
        <w:t>s</w:t>
      </w:r>
      <w:r w:rsidRPr="00376727">
        <w:t xml:space="preserve"> from January 2019</w:t>
      </w:r>
      <w:r w:rsidR="00D5644C">
        <w:t>.</w:t>
      </w:r>
    </w:p>
    <w:p w14:paraId="1264E8AD" w14:textId="77777777" w:rsidR="00BC2953" w:rsidRPr="00376727" w:rsidRDefault="00BC2953" w:rsidP="00BC2953">
      <w:pPr>
        <w:pStyle w:val="Normal2"/>
      </w:pPr>
    </w:p>
    <w:p w14:paraId="443EE361" w14:textId="77777777" w:rsidR="00BC2953" w:rsidRPr="003721E6" w:rsidRDefault="00BC2953" w:rsidP="00BC2953">
      <w:pPr>
        <w:pStyle w:val="Heading2"/>
      </w:pPr>
      <w:r w:rsidRPr="003721E6">
        <w:t>5.3</w:t>
      </w:r>
      <w:r w:rsidRPr="003721E6">
        <w:tab/>
        <w:t xml:space="preserve">Feedback on option 3 </w:t>
      </w:r>
    </w:p>
    <w:p w14:paraId="3BA5D25C" w14:textId="77777777" w:rsidR="00BC2953" w:rsidRPr="003721E6" w:rsidRDefault="00BC2953" w:rsidP="00BC2953">
      <w:pPr>
        <w:pStyle w:val="Normal2"/>
        <w:rPr>
          <w:rFonts w:eastAsiaTheme="minorEastAsia"/>
        </w:rPr>
      </w:pPr>
      <w:r w:rsidRPr="003721E6">
        <w:rPr>
          <w:rFonts w:eastAsiaTheme="minorEastAsia"/>
        </w:rPr>
        <w:t xml:space="preserve">Option 3 represents an intermediate option that offers some change but not as great as option two. None of the respondents selected this option and three respondents </w:t>
      </w:r>
      <w:r w:rsidR="00D5644C">
        <w:rPr>
          <w:rFonts w:eastAsiaTheme="minorEastAsia"/>
        </w:rPr>
        <w:t xml:space="preserve">said </w:t>
      </w:r>
      <w:r w:rsidRPr="003721E6">
        <w:rPr>
          <w:rFonts w:eastAsiaTheme="minorEastAsia"/>
        </w:rPr>
        <w:t xml:space="preserve">this option was confusing. Twenty-three respondents stated this option was not feasible. </w:t>
      </w:r>
    </w:p>
    <w:p w14:paraId="6383F042" w14:textId="77777777" w:rsidR="00BC2953" w:rsidRPr="003721E6" w:rsidRDefault="00BC2953" w:rsidP="00BC2953">
      <w:pPr>
        <w:pStyle w:val="Normal2"/>
        <w:rPr>
          <w:rFonts w:eastAsiaTheme="minorEastAsia"/>
        </w:rPr>
      </w:pPr>
      <w:r w:rsidRPr="003721E6">
        <w:t>Twenty respondents provided reasons for not supporting this option 3, including:</w:t>
      </w:r>
    </w:p>
    <w:p w14:paraId="57A4EFD6" w14:textId="77777777" w:rsidR="00BC2953" w:rsidRPr="003721E6" w:rsidRDefault="00D5644C" w:rsidP="00BC2953">
      <w:pPr>
        <w:pStyle w:val="Normal2"/>
        <w:numPr>
          <w:ilvl w:val="0"/>
          <w:numId w:val="56"/>
        </w:numPr>
        <w:rPr>
          <w:rFonts w:eastAsiaTheme="minorEastAsia"/>
        </w:rPr>
      </w:pPr>
      <w:r>
        <w:rPr>
          <w:rFonts w:eastAsiaTheme="minorEastAsia"/>
        </w:rPr>
        <w:t>removing two standards (Blood Management and R</w:t>
      </w:r>
      <w:r w:rsidR="00BC2953" w:rsidRPr="003721E6">
        <w:rPr>
          <w:rFonts w:eastAsiaTheme="minorEastAsia"/>
        </w:rPr>
        <w:t xml:space="preserve">ecognising and </w:t>
      </w:r>
      <w:r>
        <w:rPr>
          <w:rFonts w:eastAsiaTheme="minorEastAsia"/>
        </w:rPr>
        <w:t>R</w:t>
      </w:r>
      <w:r w:rsidR="00BC2953" w:rsidRPr="003721E6">
        <w:rPr>
          <w:rFonts w:eastAsiaTheme="minorEastAsia"/>
        </w:rPr>
        <w:t xml:space="preserve">esponding </w:t>
      </w:r>
      <w:r>
        <w:rPr>
          <w:rFonts w:eastAsiaTheme="minorEastAsia"/>
        </w:rPr>
        <w:t xml:space="preserve">to Acute Deterioration Standards) </w:t>
      </w:r>
      <w:r w:rsidR="00BC2953" w:rsidRPr="003721E6">
        <w:rPr>
          <w:rFonts w:eastAsiaTheme="minorEastAsia"/>
        </w:rPr>
        <w:t>ignored evidence from the evaluation of version 1 that demonstrated the improvement to patient outcomes and reduction in costs from a reduction in cardiac arrests in wards a</w:t>
      </w:r>
      <w:r>
        <w:rPr>
          <w:rFonts w:eastAsiaTheme="minorEastAsia"/>
        </w:rPr>
        <w:t>nd reductions in ICU admissions</w:t>
      </w:r>
    </w:p>
    <w:p w14:paraId="6D91D91A" w14:textId="77777777" w:rsidR="00BC2953" w:rsidRPr="003721E6" w:rsidRDefault="00BC2953" w:rsidP="00BC2953">
      <w:pPr>
        <w:pStyle w:val="Normal2"/>
        <w:numPr>
          <w:ilvl w:val="0"/>
          <w:numId w:val="56"/>
        </w:numPr>
        <w:rPr>
          <w:rFonts w:eastAsiaTheme="minorEastAsia"/>
        </w:rPr>
      </w:pPr>
      <w:proofErr w:type="gramStart"/>
      <w:r w:rsidRPr="003721E6">
        <w:rPr>
          <w:rFonts w:eastAsiaTheme="minorEastAsia"/>
        </w:rPr>
        <w:t>substitute</w:t>
      </w:r>
      <w:proofErr w:type="gramEnd"/>
      <w:r w:rsidRPr="003721E6">
        <w:rPr>
          <w:rFonts w:eastAsiaTheme="minorEastAsia"/>
        </w:rPr>
        <w:t xml:space="preserve"> resources would need to be developed by individual health service organisations for the recognising and responding and blood standards to address these issues locally.</w:t>
      </w:r>
    </w:p>
    <w:p w14:paraId="0F42BE06" w14:textId="77777777" w:rsidR="00BC2953" w:rsidRPr="003721E6" w:rsidRDefault="00BC2953" w:rsidP="00BC2953">
      <w:pPr>
        <w:pStyle w:val="Normal2"/>
        <w:numPr>
          <w:ilvl w:val="0"/>
          <w:numId w:val="56"/>
        </w:numPr>
      </w:pPr>
      <w:proofErr w:type="gramStart"/>
      <w:r>
        <w:rPr>
          <w:rFonts w:eastAsiaTheme="minorEastAsia"/>
        </w:rPr>
        <w:t>a</w:t>
      </w:r>
      <w:proofErr w:type="gramEnd"/>
      <w:r>
        <w:rPr>
          <w:rFonts w:eastAsiaTheme="minorEastAsia"/>
        </w:rPr>
        <w:t xml:space="preserve"> consumer organisation </w:t>
      </w:r>
      <w:r w:rsidRPr="003721E6">
        <w:rPr>
          <w:rFonts w:eastAsiaTheme="minorEastAsia"/>
        </w:rPr>
        <w:t>noted that implementing option 3 would mean that potential benefits</w:t>
      </w:r>
      <w:r w:rsidRPr="003721E6">
        <w:t xml:space="preserve"> from option 2 would not be realised and that this approach would greatly compromise the quality and safet</w:t>
      </w:r>
      <w:r w:rsidR="00D5644C">
        <w:t>y of care.</w:t>
      </w:r>
    </w:p>
    <w:p w14:paraId="0E809E29" w14:textId="77777777" w:rsidR="00BC2953" w:rsidRPr="003721E6" w:rsidRDefault="00BC2953" w:rsidP="00BC2953">
      <w:pPr>
        <w:pStyle w:val="Subheadingnolevel"/>
        <w:rPr>
          <w:rFonts w:eastAsiaTheme="minorEastAsia"/>
        </w:rPr>
      </w:pPr>
      <w:r w:rsidRPr="003721E6">
        <w:rPr>
          <w:rFonts w:eastAsiaTheme="minorEastAsia"/>
        </w:rPr>
        <w:t xml:space="preserve">Recommendation </w:t>
      </w:r>
    </w:p>
    <w:p w14:paraId="77404449" w14:textId="77777777" w:rsidR="00D5644C" w:rsidRDefault="00BC2953" w:rsidP="00BC2953">
      <w:pPr>
        <w:pStyle w:val="Normal2"/>
        <w:rPr>
          <w:rFonts w:eastAsiaTheme="minorEastAsia"/>
        </w:rPr>
      </w:pPr>
      <w:r w:rsidRPr="003721E6">
        <w:rPr>
          <w:rFonts w:eastAsiaTheme="minorEastAsia"/>
        </w:rPr>
        <w:t xml:space="preserve">There was no support from the system for this option. This option is not recommended. </w:t>
      </w:r>
    </w:p>
    <w:p w14:paraId="7788A9F7" w14:textId="77777777" w:rsidR="00D5644C" w:rsidRDefault="00D5644C" w:rsidP="00BC2953">
      <w:pPr>
        <w:pStyle w:val="Normal2"/>
        <w:rPr>
          <w:rFonts w:eastAsiaTheme="minorEastAsia"/>
        </w:rPr>
      </w:pPr>
    </w:p>
    <w:p w14:paraId="50ED55E6" w14:textId="77777777" w:rsidR="00BC2953" w:rsidRPr="00BB2C4F" w:rsidRDefault="00BC2953" w:rsidP="00BC2953">
      <w:pPr>
        <w:pStyle w:val="Normal2"/>
      </w:pPr>
      <w:r>
        <w:br w:type="page"/>
      </w:r>
    </w:p>
    <w:p w14:paraId="3C054B6C" w14:textId="77777777" w:rsidR="00BC2953" w:rsidRPr="003721E6" w:rsidRDefault="00BC2953" w:rsidP="00BC2953">
      <w:pPr>
        <w:pStyle w:val="Heading2"/>
      </w:pPr>
      <w:r w:rsidRPr="003721E6">
        <w:t>5.4</w:t>
      </w:r>
      <w:r w:rsidRPr="003721E6">
        <w:tab/>
        <w:t>Feedback on other options</w:t>
      </w:r>
    </w:p>
    <w:p w14:paraId="322B332B" w14:textId="77777777" w:rsidR="00BC2953" w:rsidRPr="003721E6" w:rsidRDefault="00D5644C" w:rsidP="00BC2953">
      <w:pPr>
        <w:pStyle w:val="Normal2"/>
        <w:rPr>
          <w:rFonts w:eastAsiaTheme="minorEastAsia"/>
        </w:rPr>
      </w:pPr>
      <w:r>
        <w:rPr>
          <w:rFonts w:eastAsiaTheme="minorEastAsia"/>
        </w:rPr>
        <w:t>A member-</w:t>
      </w:r>
      <w:r w:rsidR="00BC2953" w:rsidRPr="003721E6">
        <w:rPr>
          <w:rFonts w:eastAsiaTheme="minorEastAsia"/>
        </w:rPr>
        <w:t>based industry organisation supported an</w:t>
      </w:r>
      <w:r w:rsidR="00BC2953">
        <w:rPr>
          <w:rFonts w:eastAsiaTheme="minorEastAsia"/>
        </w:rPr>
        <w:t xml:space="preserve"> alternative</w:t>
      </w:r>
      <w:r w:rsidR="00BC2953" w:rsidRPr="003721E6">
        <w:rPr>
          <w:rFonts w:eastAsiaTheme="minorEastAsia"/>
        </w:rPr>
        <w:t xml:space="preserve"> option that involved implementation of version 2 of the NSQHS Standards, with some modifications. This response noted version 2 of the NSQHS Standards was more refined </w:t>
      </w:r>
      <w:r>
        <w:rPr>
          <w:rFonts w:eastAsiaTheme="minorEastAsia"/>
        </w:rPr>
        <w:t xml:space="preserve">in </w:t>
      </w:r>
      <w:r w:rsidR="00BC2953">
        <w:rPr>
          <w:rFonts w:eastAsiaTheme="minorEastAsia"/>
        </w:rPr>
        <w:t xml:space="preserve">version 1 </w:t>
      </w:r>
      <w:r w:rsidR="00BC2953" w:rsidRPr="003721E6">
        <w:rPr>
          <w:rFonts w:eastAsiaTheme="minorEastAsia"/>
        </w:rPr>
        <w:t>and comprehensively covered a wide</w:t>
      </w:r>
      <w:r w:rsidR="00BC2953">
        <w:rPr>
          <w:rFonts w:eastAsiaTheme="minorEastAsia"/>
        </w:rPr>
        <w:t>r</w:t>
      </w:r>
      <w:r w:rsidR="00BC2953" w:rsidRPr="003721E6">
        <w:rPr>
          <w:rFonts w:eastAsiaTheme="minorEastAsia"/>
        </w:rPr>
        <w:t xml:space="preserve"> range of </w:t>
      </w:r>
      <w:r w:rsidR="00BC2953">
        <w:rPr>
          <w:rFonts w:eastAsiaTheme="minorEastAsia"/>
        </w:rPr>
        <w:t xml:space="preserve">safety issues present in </w:t>
      </w:r>
      <w:r w:rsidR="00BC2953" w:rsidRPr="003721E6">
        <w:rPr>
          <w:rFonts w:eastAsiaTheme="minorEastAsia"/>
        </w:rPr>
        <w:t xml:space="preserve">clinical </w:t>
      </w:r>
      <w:proofErr w:type="gramStart"/>
      <w:r w:rsidR="00BC2953" w:rsidRPr="003721E6">
        <w:rPr>
          <w:rFonts w:eastAsiaTheme="minorEastAsia"/>
        </w:rPr>
        <w:t>practice</w:t>
      </w:r>
      <w:r w:rsidR="00BC2953">
        <w:rPr>
          <w:rFonts w:eastAsiaTheme="minorEastAsia"/>
        </w:rPr>
        <w:t>,</w:t>
      </w:r>
      <w:proofErr w:type="gramEnd"/>
      <w:r w:rsidR="00BC2953">
        <w:rPr>
          <w:rFonts w:eastAsiaTheme="minorEastAsia"/>
        </w:rPr>
        <w:t xml:space="preserve"> they supported the new content areas and the </w:t>
      </w:r>
      <w:r w:rsidR="00BC2953" w:rsidRPr="003721E6">
        <w:rPr>
          <w:rFonts w:eastAsiaTheme="minorEastAsia"/>
        </w:rPr>
        <w:t xml:space="preserve">streamlining of the </w:t>
      </w:r>
      <w:r>
        <w:rPr>
          <w:rFonts w:eastAsiaTheme="minorEastAsia"/>
        </w:rPr>
        <w:t xml:space="preserve">NSQHS </w:t>
      </w:r>
      <w:r w:rsidR="00BC2953" w:rsidRPr="003721E6">
        <w:rPr>
          <w:rFonts w:eastAsiaTheme="minorEastAsia"/>
        </w:rPr>
        <w:t>Standards</w:t>
      </w:r>
      <w:r w:rsidR="00BC2953">
        <w:rPr>
          <w:rFonts w:eastAsiaTheme="minorEastAsia"/>
        </w:rPr>
        <w:t>,</w:t>
      </w:r>
      <w:r w:rsidR="00BC2953" w:rsidRPr="005C6262">
        <w:rPr>
          <w:rFonts w:eastAsiaTheme="minorEastAsia"/>
        </w:rPr>
        <w:t xml:space="preserve"> </w:t>
      </w:r>
      <w:r w:rsidR="00BC2953" w:rsidRPr="003721E6">
        <w:rPr>
          <w:rFonts w:eastAsiaTheme="minorEastAsia"/>
        </w:rPr>
        <w:t xml:space="preserve">particularly blood management. </w:t>
      </w:r>
    </w:p>
    <w:p w14:paraId="3E56D6A8" w14:textId="77777777" w:rsidR="00BC2953" w:rsidRPr="003721E6" w:rsidRDefault="00BC2953" w:rsidP="00BC2953">
      <w:pPr>
        <w:pStyle w:val="Normal2"/>
        <w:rPr>
          <w:rFonts w:eastAsiaTheme="minorEastAsia"/>
        </w:rPr>
      </w:pPr>
      <w:r w:rsidRPr="003721E6">
        <w:rPr>
          <w:rFonts w:eastAsiaTheme="minorEastAsia"/>
        </w:rPr>
        <w:t>However, this respondent propos</w:t>
      </w:r>
      <w:r>
        <w:rPr>
          <w:rFonts w:eastAsiaTheme="minorEastAsia"/>
        </w:rPr>
        <w:t>ed</w:t>
      </w:r>
      <w:r w:rsidRPr="003721E6">
        <w:rPr>
          <w:rFonts w:eastAsiaTheme="minorEastAsia"/>
        </w:rPr>
        <w:t xml:space="preserve"> an alternative option</w:t>
      </w:r>
      <w:r>
        <w:rPr>
          <w:rFonts w:eastAsiaTheme="minorEastAsia"/>
        </w:rPr>
        <w:t xml:space="preserve"> would be</w:t>
      </w:r>
      <w:r w:rsidRPr="003721E6">
        <w:rPr>
          <w:rFonts w:eastAsiaTheme="minorEastAsia"/>
        </w:rPr>
        <w:t xml:space="preserve"> to implement two or three new clinical care standards every year instead of revis</w:t>
      </w:r>
      <w:r>
        <w:rPr>
          <w:rFonts w:eastAsiaTheme="minorEastAsia"/>
        </w:rPr>
        <w:t xml:space="preserve">ing the NSQHS </w:t>
      </w:r>
      <w:r w:rsidRPr="003721E6">
        <w:rPr>
          <w:rFonts w:eastAsiaTheme="minorEastAsia"/>
        </w:rPr>
        <w:t xml:space="preserve">Standards. They claimed the bulk of improvements in safety and quality over the long term have arisen from an adequately resourced, highly trained and fully credentialed health and medical workforce and this should be the focus of the </w:t>
      </w:r>
      <w:r w:rsidR="00D5644C">
        <w:rPr>
          <w:rFonts w:eastAsiaTheme="minorEastAsia"/>
        </w:rPr>
        <w:t xml:space="preserve">NSQHS </w:t>
      </w:r>
      <w:r w:rsidRPr="003721E6">
        <w:rPr>
          <w:rFonts w:eastAsiaTheme="minorEastAsia"/>
        </w:rPr>
        <w:t xml:space="preserve">Standards. </w:t>
      </w:r>
      <w:r>
        <w:rPr>
          <w:rFonts w:eastAsiaTheme="minorEastAsia"/>
        </w:rPr>
        <w:t>If version 2 is to be introduced, the</w:t>
      </w:r>
      <w:r w:rsidRPr="003721E6">
        <w:rPr>
          <w:rFonts w:eastAsiaTheme="minorEastAsia"/>
        </w:rPr>
        <w:t xml:space="preserve">y recommended a staged introduction commencing with actions for Aboriginal and Torres Strait Islander people, infection prevention and control, medication safety, comprehensive care, communicating for safety and blood management.  </w:t>
      </w:r>
    </w:p>
    <w:p w14:paraId="2475C34C" w14:textId="77777777" w:rsidR="00BC2953" w:rsidRPr="003721E6" w:rsidRDefault="00BC2953" w:rsidP="00BC2953">
      <w:pPr>
        <w:pStyle w:val="Normal2"/>
        <w:rPr>
          <w:rFonts w:eastAsiaTheme="minorEastAsia"/>
        </w:rPr>
      </w:pPr>
      <w:r w:rsidRPr="003721E6">
        <w:rPr>
          <w:rFonts w:eastAsiaTheme="minorEastAsia"/>
        </w:rPr>
        <w:t xml:space="preserve">In response to these issues, the Commission notes: </w:t>
      </w:r>
    </w:p>
    <w:p w14:paraId="54D21366" w14:textId="77777777" w:rsidR="00BC2953" w:rsidRPr="003721E6" w:rsidRDefault="00BC2953" w:rsidP="00BC2953">
      <w:pPr>
        <w:pStyle w:val="Normal2"/>
        <w:numPr>
          <w:ilvl w:val="0"/>
          <w:numId w:val="57"/>
        </w:numPr>
        <w:rPr>
          <w:rFonts w:eastAsiaTheme="minorEastAsia"/>
        </w:rPr>
      </w:pPr>
      <w:r w:rsidRPr="003721E6">
        <w:rPr>
          <w:rFonts w:eastAsiaTheme="minorEastAsia"/>
        </w:rPr>
        <w:t>a</w:t>
      </w:r>
      <w:r>
        <w:rPr>
          <w:rFonts w:eastAsiaTheme="minorEastAsia"/>
        </w:rPr>
        <w:t xml:space="preserve"> well-</w:t>
      </w:r>
      <w:r w:rsidRPr="003721E6">
        <w:rPr>
          <w:rFonts w:eastAsiaTheme="minorEastAsia"/>
        </w:rPr>
        <w:t>trained and supported workforce is essential to the safety and quality of health service organisation</w:t>
      </w:r>
      <w:r w:rsidR="00D5644C">
        <w:rPr>
          <w:rFonts w:eastAsiaTheme="minorEastAsia"/>
        </w:rPr>
        <w:t>s</w:t>
      </w:r>
      <w:r w:rsidRPr="003721E6">
        <w:rPr>
          <w:rFonts w:eastAsiaTheme="minorEastAsia"/>
        </w:rPr>
        <w:t xml:space="preserve">, and </w:t>
      </w:r>
      <w:r w:rsidR="00D5644C">
        <w:rPr>
          <w:rFonts w:eastAsiaTheme="minorEastAsia"/>
        </w:rPr>
        <w:t xml:space="preserve">it </w:t>
      </w:r>
      <w:r w:rsidRPr="003721E6">
        <w:rPr>
          <w:rFonts w:eastAsiaTheme="minorEastAsia"/>
        </w:rPr>
        <w:t xml:space="preserve">is not the remit of the Commission or the NSQHS Standards to provide guidance on workforce mix or levels </w:t>
      </w:r>
    </w:p>
    <w:p w14:paraId="1A3F1343" w14:textId="77777777" w:rsidR="00BC2953" w:rsidRPr="003721E6" w:rsidRDefault="00BC2953" w:rsidP="00BC2953">
      <w:pPr>
        <w:pStyle w:val="Normal2"/>
        <w:numPr>
          <w:ilvl w:val="0"/>
          <w:numId w:val="57"/>
        </w:numPr>
        <w:rPr>
          <w:rFonts w:eastAsiaTheme="minorEastAsia"/>
        </w:rPr>
      </w:pPr>
      <w:r w:rsidRPr="003721E6">
        <w:rPr>
          <w:rFonts w:eastAsiaTheme="minorEastAsia"/>
        </w:rPr>
        <w:t>as the NSQHS Standards are interrelated it would be difficult to separate the actions that relate specifically to Aboriginal and Torres Strait Islander health</w:t>
      </w:r>
    </w:p>
    <w:p w14:paraId="00D2B7B4" w14:textId="77777777" w:rsidR="00BC2953" w:rsidRPr="003721E6" w:rsidRDefault="00BC2953" w:rsidP="00BC2953">
      <w:pPr>
        <w:pStyle w:val="Normal2"/>
        <w:numPr>
          <w:ilvl w:val="0"/>
          <w:numId w:val="57"/>
        </w:numPr>
        <w:rPr>
          <w:rFonts w:eastAsiaTheme="minorEastAsia"/>
        </w:rPr>
      </w:pPr>
      <w:r w:rsidRPr="003721E6">
        <w:rPr>
          <w:rFonts w:eastAsiaTheme="minorEastAsia"/>
        </w:rPr>
        <w:t xml:space="preserve">excluding comprehensive care would mean that the cross-cutting issues that are routinely identified in adverse events are not addressed through the introduction of version 2 of the NSQHS Standards </w:t>
      </w:r>
    </w:p>
    <w:p w14:paraId="2EDE1702" w14:textId="77777777" w:rsidR="00BC2953" w:rsidRPr="003721E6" w:rsidRDefault="00BC2953" w:rsidP="00BC2953">
      <w:pPr>
        <w:pStyle w:val="Normal2"/>
        <w:numPr>
          <w:ilvl w:val="0"/>
          <w:numId w:val="57"/>
        </w:numPr>
        <w:rPr>
          <w:rFonts w:eastAsiaTheme="minorEastAsia"/>
        </w:rPr>
      </w:pPr>
      <w:r w:rsidRPr="003721E6">
        <w:rPr>
          <w:rFonts w:eastAsiaTheme="minorEastAsia"/>
        </w:rPr>
        <w:t>there is strong evidence of the need to update the NS</w:t>
      </w:r>
      <w:r w:rsidR="00D5644C">
        <w:rPr>
          <w:rFonts w:eastAsiaTheme="minorEastAsia"/>
        </w:rPr>
        <w:t>QHS Standards, outlined in the C</w:t>
      </w:r>
      <w:r w:rsidRPr="003721E6">
        <w:rPr>
          <w:rFonts w:eastAsiaTheme="minorEastAsia"/>
        </w:rPr>
        <w:t>onsultation RIS and draft version 2 of the NSQHS Standards document</w:t>
      </w:r>
    </w:p>
    <w:p w14:paraId="19257E6C" w14:textId="77777777" w:rsidR="00BC2953" w:rsidRPr="003721E6" w:rsidRDefault="00BC2953" w:rsidP="00BC2953">
      <w:pPr>
        <w:pStyle w:val="Normal2"/>
        <w:numPr>
          <w:ilvl w:val="0"/>
          <w:numId w:val="57"/>
        </w:numPr>
        <w:rPr>
          <w:rFonts w:eastAsiaTheme="minorEastAsia"/>
        </w:rPr>
      </w:pPr>
      <w:r w:rsidRPr="003721E6">
        <w:rPr>
          <w:rFonts w:eastAsiaTheme="minorEastAsia"/>
        </w:rPr>
        <w:t xml:space="preserve">work is underway on education, tools and resources to support the introduction of version 2 </w:t>
      </w:r>
    </w:p>
    <w:p w14:paraId="4E6FBA48" w14:textId="77777777" w:rsidR="00BC2953" w:rsidRPr="003721E6" w:rsidRDefault="00BC2953" w:rsidP="00BC2953">
      <w:pPr>
        <w:pStyle w:val="Normal2"/>
        <w:numPr>
          <w:ilvl w:val="0"/>
          <w:numId w:val="57"/>
        </w:numPr>
        <w:rPr>
          <w:rFonts w:eastAsiaTheme="minorEastAsia"/>
        </w:rPr>
      </w:pPr>
      <w:r w:rsidRPr="003721E6">
        <w:rPr>
          <w:rFonts w:eastAsiaTheme="minorEastAsia"/>
        </w:rPr>
        <w:t xml:space="preserve">implementation of the new areas in the </w:t>
      </w:r>
      <w:r w:rsidR="00D5644C">
        <w:rPr>
          <w:rFonts w:eastAsiaTheme="minorEastAsia"/>
        </w:rPr>
        <w:t xml:space="preserve">NSQHS </w:t>
      </w:r>
      <w:r w:rsidRPr="003721E6">
        <w:rPr>
          <w:rFonts w:eastAsiaTheme="minorEastAsia"/>
        </w:rPr>
        <w:t>Standards is not currently consistent nationally and version 2 provides a consistent framework for improvement across all health service organisations</w:t>
      </w:r>
    </w:p>
    <w:p w14:paraId="2F4A3177" w14:textId="77777777" w:rsidR="00BC2953" w:rsidRPr="003721E6" w:rsidRDefault="00BC2953" w:rsidP="00BC2953">
      <w:pPr>
        <w:pStyle w:val="Normal2"/>
        <w:numPr>
          <w:ilvl w:val="0"/>
          <w:numId w:val="57"/>
        </w:numPr>
        <w:rPr>
          <w:rFonts w:eastAsiaTheme="minorEastAsia"/>
        </w:rPr>
      </w:pPr>
      <w:proofErr w:type="gramStart"/>
      <w:r w:rsidRPr="003721E6">
        <w:rPr>
          <w:rFonts w:eastAsiaTheme="minorEastAsia"/>
        </w:rPr>
        <w:t>a</w:t>
      </w:r>
      <w:proofErr w:type="gramEnd"/>
      <w:r w:rsidRPr="003721E6">
        <w:rPr>
          <w:rFonts w:eastAsiaTheme="minorEastAsia"/>
        </w:rPr>
        <w:t xml:space="preserve"> set o</w:t>
      </w:r>
      <w:r w:rsidR="00D5644C">
        <w:rPr>
          <w:rFonts w:eastAsiaTheme="minorEastAsia"/>
        </w:rPr>
        <w:t>f safety and quality measures is</w:t>
      </w:r>
      <w:r w:rsidRPr="003721E6">
        <w:rPr>
          <w:rFonts w:eastAsiaTheme="minorEastAsia"/>
        </w:rPr>
        <w:t xml:space="preserve"> being identified that can be used to measure improvement. These measures will be released with version 2 in late 2017. </w:t>
      </w:r>
    </w:p>
    <w:p w14:paraId="4C58612B" w14:textId="77777777" w:rsidR="00BC2953" w:rsidRPr="003721E6" w:rsidRDefault="00BC2953" w:rsidP="00BC2953">
      <w:pPr>
        <w:pStyle w:val="Subheadingnolevel"/>
      </w:pPr>
      <w:r w:rsidRPr="003721E6">
        <w:t>Recommendation</w:t>
      </w:r>
    </w:p>
    <w:p w14:paraId="75949EA3" w14:textId="77777777" w:rsidR="00BC2953" w:rsidRPr="003721E6" w:rsidRDefault="00BC2953" w:rsidP="00BC2953">
      <w:pPr>
        <w:pStyle w:val="Normal2"/>
      </w:pPr>
      <w:r w:rsidRPr="003721E6">
        <w:t xml:space="preserve">This option is not considered feasible and is not recommended. </w:t>
      </w:r>
    </w:p>
    <w:p w14:paraId="6196C242" w14:textId="77777777" w:rsidR="00BC2953" w:rsidRPr="00BB2C4F" w:rsidRDefault="00BC2953" w:rsidP="00BC2953">
      <w:pPr>
        <w:pStyle w:val="Normal2"/>
      </w:pPr>
      <w:r>
        <w:br w:type="page"/>
      </w:r>
    </w:p>
    <w:p w14:paraId="6FA73F4E" w14:textId="77777777" w:rsidR="00BC2953" w:rsidRPr="003721E6" w:rsidRDefault="00BC2953" w:rsidP="00BC2953">
      <w:pPr>
        <w:pStyle w:val="Heading2"/>
      </w:pPr>
      <w:r w:rsidRPr="003721E6">
        <w:t>5.5</w:t>
      </w:r>
      <w:r w:rsidRPr="003721E6">
        <w:tab/>
        <w:t>Impact of individual Standards in version 2</w:t>
      </w:r>
    </w:p>
    <w:p w14:paraId="7E3491A9" w14:textId="77777777" w:rsidR="00BC2953" w:rsidRPr="003721E6" w:rsidRDefault="00D5644C" w:rsidP="00BC2953">
      <w:pPr>
        <w:pStyle w:val="Normal2"/>
        <w:rPr>
          <w:rFonts w:eastAsiaTheme="minorEastAsia"/>
        </w:rPr>
      </w:pPr>
      <w:r>
        <w:rPr>
          <w:rFonts w:eastAsiaTheme="minorEastAsia"/>
        </w:rPr>
        <w:t>The C</w:t>
      </w:r>
      <w:r w:rsidR="00BC2953" w:rsidRPr="003721E6">
        <w:rPr>
          <w:rFonts w:eastAsiaTheme="minorEastAsia"/>
        </w:rPr>
        <w:t xml:space="preserve">onsultation RIS provided an analysis of the costs and benefits of each of the eight Standards in the NSQHS Standards, see Appendix 5. Respondents did not provide any additional comments or challenge the content of this table. </w:t>
      </w:r>
    </w:p>
    <w:p w14:paraId="41C50A30" w14:textId="77777777" w:rsidR="00BC2953" w:rsidRPr="003721E6" w:rsidRDefault="00BC2953" w:rsidP="00BC2953">
      <w:pPr>
        <w:pStyle w:val="Subheadingnolevel"/>
      </w:pPr>
      <w:r w:rsidRPr="003721E6">
        <w:t>RIS feedback on the costs and benefits of individual standards</w:t>
      </w:r>
    </w:p>
    <w:p w14:paraId="3F24AEC7" w14:textId="77777777" w:rsidR="00BC2953" w:rsidRPr="003721E6" w:rsidRDefault="00BC2953" w:rsidP="00BC2953">
      <w:pPr>
        <w:pStyle w:val="Normal2"/>
      </w:pPr>
      <w:r w:rsidRPr="003721E6">
        <w:t xml:space="preserve">Eleven respondents provided information on specific Standards. They identified the following benefits associated with the </w:t>
      </w:r>
      <w:r w:rsidR="00D5644C">
        <w:t xml:space="preserve">NSQHS </w:t>
      </w:r>
      <w:r w:rsidRPr="003721E6">
        <w:t>Standards in version 2:</w:t>
      </w:r>
    </w:p>
    <w:p w14:paraId="7D51CBE0" w14:textId="77777777" w:rsidR="00BC2953" w:rsidRPr="003721E6" w:rsidRDefault="00BC2953" w:rsidP="00BC2953">
      <w:pPr>
        <w:pStyle w:val="Normal2"/>
        <w:numPr>
          <w:ilvl w:val="0"/>
          <w:numId w:val="58"/>
        </w:numPr>
        <w:rPr>
          <w:rFonts w:eastAsiaTheme="minorEastAsia"/>
        </w:rPr>
      </w:pPr>
      <w:r w:rsidRPr="003721E6">
        <w:rPr>
          <w:rFonts w:eastAsiaTheme="minorEastAsia"/>
        </w:rPr>
        <w:t>Respondents supported the new content in version 2, specifically mental health; Aboriginal and Torres Strait Islander health; health literacy; communicating for safety; cognitive impairment; end-of-li</w:t>
      </w:r>
      <w:r w:rsidR="00D5644C">
        <w:rPr>
          <w:rFonts w:eastAsiaTheme="minorEastAsia"/>
        </w:rPr>
        <w:t>fe care; and comprehensive care</w:t>
      </w:r>
    </w:p>
    <w:p w14:paraId="46074A6F" w14:textId="77777777" w:rsidR="00BC2953" w:rsidRPr="003721E6" w:rsidRDefault="00BC2953" w:rsidP="00BC2953">
      <w:pPr>
        <w:pStyle w:val="Normal2"/>
        <w:numPr>
          <w:ilvl w:val="0"/>
          <w:numId w:val="58"/>
        </w:numPr>
        <w:rPr>
          <w:rFonts w:eastAsiaTheme="minorEastAsia"/>
        </w:rPr>
      </w:pPr>
      <w:r w:rsidRPr="003721E6">
        <w:rPr>
          <w:rFonts w:eastAsiaTheme="minorEastAsia"/>
        </w:rPr>
        <w:t>The National Mental Health Commission (NMHC) noted the new actions with specific reference to mental health in relation to Governance for Safety and Quality, Partnering with Consumers and Recognising and Responding to Acute Deterioration, will provide greater certainty for people with a mental illness and their families, in being able to receive the care they need and participate in shared d</w:t>
      </w:r>
      <w:r w:rsidR="00D5644C">
        <w:rPr>
          <w:rFonts w:eastAsiaTheme="minorEastAsia"/>
        </w:rPr>
        <w:t>ecision making about their care</w:t>
      </w:r>
    </w:p>
    <w:p w14:paraId="20BF5A1F" w14:textId="77777777" w:rsidR="00BC2953" w:rsidRPr="003721E6" w:rsidRDefault="00BC2953" w:rsidP="00BC2953">
      <w:pPr>
        <w:pStyle w:val="Normal2"/>
        <w:numPr>
          <w:ilvl w:val="0"/>
          <w:numId w:val="58"/>
        </w:numPr>
        <w:rPr>
          <w:rFonts w:eastAsiaTheme="minorEastAsia"/>
        </w:rPr>
      </w:pPr>
      <w:r w:rsidRPr="003721E6">
        <w:rPr>
          <w:rFonts w:eastAsiaTheme="minorEastAsia"/>
        </w:rPr>
        <w:t xml:space="preserve">The Australian Digital Health Agency noted that </w:t>
      </w:r>
      <w:r w:rsidR="00D5644C">
        <w:rPr>
          <w:rFonts w:eastAsiaTheme="minorEastAsia"/>
        </w:rPr>
        <w:t xml:space="preserve">the </w:t>
      </w:r>
      <w:r w:rsidRPr="003721E6">
        <w:rPr>
          <w:rFonts w:eastAsiaTheme="minorEastAsia"/>
        </w:rPr>
        <w:t>Clinical Governance Standard supports the national introduction of My Health Record, by requiring health service organisations to work towards use of standard national terminologies and identifiers. The benefit of this initiative is wider use of patient-centred electronic clinical information systems for sharing information between health services providers that can d</w:t>
      </w:r>
      <w:r w:rsidR="00D5644C">
        <w:rPr>
          <w:rFonts w:eastAsiaTheme="minorEastAsia"/>
        </w:rPr>
        <w:t>rive improved quality, efficiency and effectiveness of care</w:t>
      </w:r>
    </w:p>
    <w:p w14:paraId="67F109E9" w14:textId="77777777" w:rsidR="00BC2953" w:rsidRPr="003721E6" w:rsidRDefault="00D5644C" w:rsidP="00BC2953">
      <w:pPr>
        <w:pStyle w:val="Normal2"/>
        <w:numPr>
          <w:ilvl w:val="0"/>
          <w:numId w:val="58"/>
        </w:numPr>
        <w:rPr>
          <w:rFonts w:eastAsiaTheme="minorEastAsia"/>
        </w:rPr>
      </w:pPr>
      <w:r>
        <w:rPr>
          <w:rFonts w:eastAsiaTheme="minorEastAsia"/>
        </w:rPr>
        <w:t>A member-</w:t>
      </w:r>
      <w:r w:rsidR="00BC2953" w:rsidRPr="003721E6">
        <w:rPr>
          <w:rFonts w:eastAsiaTheme="minorEastAsia"/>
        </w:rPr>
        <w:t>based organisation stated changes in language, content and structure in the Medication Safety Standard would improve patient outcomes through redu</w:t>
      </w:r>
      <w:r>
        <w:rPr>
          <w:rFonts w:eastAsiaTheme="minorEastAsia"/>
        </w:rPr>
        <w:t>ctions in medication errors</w:t>
      </w:r>
    </w:p>
    <w:p w14:paraId="251627C2" w14:textId="77777777" w:rsidR="00BC2953" w:rsidRPr="003721E6" w:rsidRDefault="00BC2953" w:rsidP="00BC2953">
      <w:pPr>
        <w:pStyle w:val="Normal2"/>
        <w:numPr>
          <w:ilvl w:val="0"/>
          <w:numId w:val="58"/>
        </w:numPr>
        <w:rPr>
          <w:rFonts w:eastAsiaTheme="minorEastAsia"/>
        </w:rPr>
      </w:pPr>
      <w:r w:rsidRPr="003721E6">
        <w:rPr>
          <w:rFonts w:eastAsiaTheme="minorEastAsia"/>
        </w:rPr>
        <w:t>Five respondents commented specifically on the Comprehensive Care Standard</w:t>
      </w:r>
      <w:r w:rsidR="00D5644C">
        <w:rPr>
          <w:rFonts w:eastAsiaTheme="minorEastAsia"/>
        </w:rPr>
        <w:t>,</w:t>
      </w:r>
      <w:r w:rsidRPr="003721E6">
        <w:rPr>
          <w:rFonts w:eastAsiaTheme="minorEastAsia"/>
        </w:rPr>
        <w:t xml:space="preserve"> not</w:t>
      </w:r>
      <w:r w:rsidR="00D5644C">
        <w:rPr>
          <w:rFonts w:eastAsiaTheme="minorEastAsia"/>
        </w:rPr>
        <w:t>ing</w:t>
      </w:r>
      <w:r w:rsidRPr="003721E6">
        <w:rPr>
          <w:rFonts w:eastAsiaTheme="minorEastAsia"/>
        </w:rPr>
        <w:t xml:space="preserve">: </w:t>
      </w:r>
    </w:p>
    <w:p w14:paraId="5DFFF778" w14:textId="77777777" w:rsidR="00BC2953" w:rsidRPr="003721E6" w:rsidRDefault="00BC2953" w:rsidP="00BC2953">
      <w:pPr>
        <w:pStyle w:val="Normal2"/>
        <w:numPr>
          <w:ilvl w:val="1"/>
          <w:numId w:val="58"/>
        </w:numPr>
        <w:rPr>
          <w:rFonts w:eastAsiaTheme="minorEastAsia"/>
        </w:rPr>
      </w:pPr>
      <w:r w:rsidRPr="003721E6">
        <w:t>the integrated screening and assessment requirements would benefit both patients and the workforce</w:t>
      </w:r>
    </w:p>
    <w:p w14:paraId="3FC5A710" w14:textId="77777777" w:rsidR="00BC2953" w:rsidRPr="003721E6" w:rsidRDefault="00BC2953" w:rsidP="00BC2953">
      <w:pPr>
        <w:pStyle w:val="Normal2"/>
        <w:numPr>
          <w:ilvl w:val="1"/>
          <w:numId w:val="58"/>
        </w:numPr>
        <w:rPr>
          <w:rFonts w:eastAsiaTheme="minorEastAsia"/>
        </w:rPr>
      </w:pPr>
      <w:r w:rsidRPr="003721E6">
        <w:t>the actions in this Standard align with NMH</w:t>
      </w:r>
      <w:r>
        <w:t>C</w:t>
      </w:r>
      <w:r w:rsidRPr="003721E6">
        <w:t xml:space="preserve"> work on a National Consensus Statement on improving the physical health of people living with a mental illness and will help build and improve a system that enables clinicians to identify a consumer’s health care needs</w:t>
      </w:r>
    </w:p>
    <w:p w14:paraId="1CA6DCF1" w14:textId="77777777" w:rsidR="00BC2953" w:rsidRPr="003721E6" w:rsidRDefault="00BC2953" w:rsidP="00BC2953">
      <w:pPr>
        <w:pStyle w:val="Normal2"/>
        <w:numPr>
          <w:ilvl w:val="1"/>
          <w:numId w:val="58"/>
        </w:numPr>
      </w:pPr>
      <w:proofErr w:type="gramStart"/>
      <w:r w:rsidRPr="003721E6">
        <w:t>this</w:t>
      </w:r>
      <w:proofErr w:type="gramEnd"/>
      <w:r w:rsidRPr="003721E6">
        <w:t xml:space="preserve"> Standard addresses critical gaps from version 1 by addressing mental health, end-of-life care, health literacy and Aboriginal and Torres Strait Islander health, which have the potential for significant improvements in care.</w:t>
      </w:r>
    </w:p>
    <w:p w14:paraId="4876D202" w14:textId="77777777" w:rsidR="00BC2953" w:rsidRPr="003721E6" w:rsidRDefault="00BC2953" w:rsidP="00BC2953">
      <w:pPr>
        <w:pStyle w:val="Normal2"/>
        <w:numPr>
          <w:ilvl w:val="0"/>
          <w:numId w:val="58"/>
        </w:numPr>
      </w:pPr>
      <w:r w:rsidRPr="003721E6">
        <w:t>The Blood Management Standard provides an evidence-based approach to patient blood management, which can improve patient outcomes by ensuring that the focus of the patient’s medical and surgical management is on optimising and conserving the patient’s own blood. As a consequence of better management, patients usually require fewer transfusions of donated blood components, thus avoiding trans</w:t>
      </w:r>
      <w:r w:rsidR="00D5644C">
        <w:t>fusion-associated complications</w:t>
      </w:r>
    </w:p>
    <w:p w14:paraId="11636302" w14:textId="77777777" w:rsidR="00BC2953" w:rsidRPr="003721E6" w:rsidRDefault="00BC2953" w:rsidP="00BC2953">
      <w:pPr>
        <w:pStyle w:val="Normal2"/>
        <w:numPr>
          <w:ilvl w:val="0"/>
          <w:numId w:val="58"/>
        </w:numPr>
      </w:pPr>
      <w:r w:rsidRPr="003721E6">
        <w:t>The National Blood Authority (NBA) noted they had delivered a saving of $355.8 milli</w:t>
      </w:r>
      <w:r w:rsidR="00D5644C">
        <w:t>on for governments in the three-</w:t>
      </w:r>
      <w:r w:rsidRPr="003721E6">
        <w:t xml:space="preserve">year period </w:t>
      </w:r>
      <w:r w:rsidR="00D5644C">
        <w:t xml:space="preserve">from </w:t>
      </w:r>
      <w:r w:rsidRPr="003721E6">
        <w:t xml:space="preserve">2012 to 2015. They noted the introduction of the NSQHS Standard 7 contributed to this achievement. </w:t>
      </w:r>
    </w:p>
    <w:p w14:paraId="2CD9F3C2" w14:textId="77777777" w:rsidR="00BC2953" w:rsidRPr="003721E6" w:rsidRDefault="00D5644C" w:rsidP="00BC2953">
      <w:pPr>
        <w:pStyle w:val="Normal2"/>
        <w:numPr>
          <w:ilvl w:val="0"/>
          <w:numId w:val="58"/>
        </w:numPr>
      </w:pPr>
      <w:r>
        <w:t>From 2012</w:t>
      </w:r>
      <w:r>
        <w:noBreakHyphen/>
        <w:t>13 to 2014</w:t>
      </w:r>
      <w:r>
        <w:noBreakHyphen/>
      </w:r>
      <w:r w:rsidR="00BC2953" w:rsidRPr="003721E6">
        <w:t xml:space="preserve">15, governments have seen a total reduction in red blood cell demand of 18 per cent, leading to significant improvements in patient outcomes and realising financial savings in excess of $78 million. They note the cost </w:t>
      </w:r>
      <w:r w:rsidR="00BC2953">
        <w:t xml:space="preserve">to </w:t>
      </w:r>
      <w:r w:rsidR="00BC2953" w:rsidRPr="003721E6">
        <w:t xml:space="preserve">the health system </w:t>
      </w:r>
      <w:r w:rsidR="00BC2953">
        <w:t xml:space="preserve">of </w:t>
      </w:r>
      <w:r w:rsidR="00BC2953" w:rsidRPr="003721E6">
        <w:t>the implementation of the current blood standard has been more than offset by the considerable cost saving for all governments.</w:t>
      </w:r>
    </w:p>
    <w:p w14:paraId="40691D83" w14:textId="77777777" w:rsidR="00BC2953" w:rsidRPr="003721E6" w:rsidRDefault="00BC2953" w:rsidP="00BC2953">
      <w:pPr>
        <w:pStyle w:val="Normal2"/>
      </w:pPr>
      <w:r w:rsidRPr="003721E6">
        <w:t>The following costs were identified with specific Standards in version 2:</w:t>
      </w:r>
    </w:p>
    <w:p w14:paraId="1B9E01BC" w14:textId="77777777" w:rsidR="00BC2953" w:rsidRPr="003721E6" w:rsidRDefault="00BC2953" w:rsidP="00BC2953">
      <w:pPr>
        <w:pStyle w:val="Normal2"/>
        <w:numPr>
          <w:ilvl w:val="0"/>
          <w:numId w:val="59"/>
        </w:numPr>
      </w:pPr>
      <w:r>
        <w:rPr>
          <w:rFonts w:eastAsiaTheme="minorEastAsia"/>
        </w:rPr>
        <w:t>i</w:t>
      </w:r>
      <w:r w:rsidRPr="003721E6">
        <w:rPr>
          <w:rFonts w:eastAsiaTheme="minorEastAsia"/>
        </w:rPr>
        <w:t xml:space="preserve">n </w:t>
      </w:r>
      <w:r w:rsidRPr="003721E6">
        <w:t xml:space="preserve">the Clinical Governance for Health Service Organisations Standard, the training costs specifically for health literacy were seen as being a major contributor to </w:t>
      </w:r>
      <w:r w:rsidR="00D5644C">
        <w:t xml:space="preserve">the </w:t>
      </w:r>
      <w:r w:rsidRPr="003721E6">
        <w:t>cost of training</w:t>
      </w:r>
      <w:r w:rsidR="00D5644C">
        <w:t>,</w:t>
      </w:r>
      <w:r w:rsidRPr="003721E6">
        <w:t xml:space="preserve"> and the introduction of systems to support My Health Re</w:t>
      </w:r>
      <w:r w:rsidR="00D5644C">
        <w:t>cords were thought to be costly</w:t>
      </w:r>
      <w:r w:rsidRPr="003721E6">
        <w:t xml:space="preserve"> </w:t>
      </w:r>
    </w:p>
    <w:p w14:paraId="17B5464B" w14:textId="77777777" w:rsidR="00BC2953" w:rsidRPr="003721E6" w:rsidRDefault="00D5644C" w:rsidP="00BC2953">
      <w:pPr>
        <w:pStyle w:val="Normal2"/>
        <w:numPr>
          <w:ilvl w:val="0"/>
          <w:numId w:val="59"/>
        </w:numPr>
      </w:pPr>
      <w:r w:rsidRPr="003721E6">
        <w:t>complying with national standards for reprocessing of reusable medical devices (AS/NZS4187:2014)</w:t>
      </w:r>
      <w:r>
        <w:t xml:space="preserve"> required in the </w:t>
      </w:r>
      <w:r w:rsidR="00BC2953" w:rsidRPr="003721E6">
        <w:t>Preven</w:t>
      </w:r>
      <w:r>
        <w:t>ting and Controlling Healthcare-</w:t>
      </w:r>
      <w:r w:rsidR="00256607">
        <w:t>Associated Infections Standard</w:t>
      </w:r>
      <w:r w:rsidR="00BC2953" w:rsidRPr="003721E6">
        <w:t xml:space="preserve"> were thought to be consid</w:t>
      </w:r>
      <w:r>
        <w:t>erable</w:t>
      </w:r>
    </w:p>
    <w:p w14:paraId="2056592E" w14:textId="77777777" w:rsidR="00BC2953" w:rsidRPr="003721E6" w:rsidRDefault="00BC2953" w:rsidP="00BC2953">
      <w:pPr>
        <w:pStyle w:val="Normal2"/>
        <w:numPr>
          <w:ilvl w:val="0"/>
          <w:numId w:val="59"/>
        </w:numPr>
        <w:rPr>
          <w:rFonts w:eastAsiaTheme="minorEastAsia"/>
        </w:rPr>
      </w:pPr>
      <w:proofErr w:type="gramStart"/>
      <w:r>
        <w:t>t</w:t>
      </w:r>
      <w:r w:rsidRPr="003721E6">
        <w:t>he</w:t>
      </w:r>
      <w:proofErr w:type="gramEnd"/>
      <w:r w:rsidRPr="003721E6">
        <w:t xml:space="preserve"> meaningful</w:t>
      </w:r>
      <w:r w:rsidRPr="003721E6">
        <w:rPr>
          <w:rFonts w:eastAsiaTheme="minorEastAsia"/>
        </w:rPr>
        <w:t xml:space="preserve"> engagement of the medical workforce in implementing the Comprehensive Care Standard was thought to require significant resources. </w:t>
      </w:r>
    </w:p>
    <w:p w14:paraId="2BA7FA73" w14:textId="77777777" w:rsidR="00BC2953" w:rsidRPr="003721E6" w:rsidRDefault="00BC2953" w:rsidP="00BC2953">
      <w:pPr>
        <w:pStyle w:val="Normal2"/>
        <w:rPr>
          <w:rFonts w:eastAsiaTheme="minorEastAsia"/>
        </w:rPr>
      </w:pPr>
      <w:r w:rsidRPr="003721E6">
        <w:rPr>
          <w:rFonts w:eastAsiaTheme="minorEastAsia"/>
        </w:rPr>
        <w:t>In response to these</w:t>
      </w:r>
      <w:r w:rsidR="00D5644C">
        <w:rPr>
          <w:rFonts w:eastAsiaTheme="minorEastAsia"/>
        </w:rPr>
        <w:t xml:space="preserve"> comments, the Commission notes:</w:t>
      </w:r>
    </w:p>
    <w:p w14:paraId="663FE537" w14:textId="77777777" w:rsidR="00BC2953" w:rsidRPr="003721E6" w:rsidRDefault="00D5644C" w:rsidP="00BC2953">
      <w:pPr>
        <w:pStyle w:val="Normal2"/>
        <w:numPr>
          <w:ilvl w:val="0"/>
          <w:numId w:val="60"/>
        </w:numPr>
      </w:pPr>
      <w:r>
        <w:t>t</w:t>
      </w:r>
      <w:r w:rsidR="00BC2953" w:rsidRPr="003721E6">
        <w:t>he Commission is developing a range of tools and supports to assist health service organisations address requirements for health literacy, including training tools</w:t>
      </w:r>
    </w:p>
    <w:p w14:paraId="3C496E36" w14:textId="77777777" w:rsidR="00BC2953" w:rsidRPr="003721E6" w:rsidRDefault="00D5644C" w:rsidP="00BC2953">
      <w:pPr>
        <w:pStyle w:val="Normal2"/>
        <w:numPr>
          <w:ilvl w:val="0"/>
          <w:numId w:val="60"/>
        </w:numPr>
      </w:pPr>
      <w:proofErr w:type="gramStart"/>
      <w:r>
        <w:t>w</w:t>
      </w:r>
      <w:r w:rsidR="00BC2953" w:rsidRPr="003721E6">
        <w:t>ork</w:t>
      </w:r>
      <w:proofErr w:type="gramEnd"/>
      <w:r w:rsidR="00BC2953" w:rsidRPr="003721E6">
        <w:t xml:space="preserve"> is underway to support the appropriate implementation of strategies to </w:t>
      </w:r>
      <w:r w:rsidR="00BC2953" w:rsidRPr="003721E6">
        <w:rPr>
          <w:rFonts w:eastAsiaTheme="minorEastAsia"/>
        </w:rPr>
        <w:t>reprocess reusable medical devices (AS/NZS4187:2014)</w:t>
      </w:r>
      <w:r>
        <w:rPr>
          <w:rFonts w:eastAsiaTheme="minorEastAsia"/>
        </w:rPr>
        <w:t>.</w:t>
      </w:r>
    </w:p>
    <w:p w14:paraId="6815D16D" w14:textId="77777777" w:rsidR="00BC2953" w:rsidRPr="00BB2C4F" w:rsidRDefault="00BC2953" w:rsidP="00BC2953">
      <w:pPr>
        <w:pStyle w:val="Normal2"/>
      </w:pPr>
      <w:r>
        <w:br w:type="page"/>
      </w:r>
    </w:p>
    <w:p w14:paraId="28102B33" w14:textId="77777777" w:rsidR="00BC2953" w:rsidRPr="00DF63FE" w:rsidRDefault="00BC2953" w:rsidP="00BC2953">
      <w:pPr>
        <w:pStyle w:val="Heading2"/>
      </w:pPr>
      <w:r w:rsidRPr="00DF63FE">
        <w:t>5.6</w:t>
      </w:r>
      <w:r w:rsidRPr="00DF63FE">
        <w:tab/>
        <w:t>Calculation of costs</w:t>
      </w:r>
    </w:p>
    <w:p w14:paraId="0F560CE3" w14:textId="77777777" w:rsidR="00BC2953" w:rsidRPr="00DF63FE" w:rsidRDefault="00BC2953" w:rsidP="00BC2953">
      <w:pPr>
        <w:pStyle w:val="Normal2"/>
        <w:rPr>
          <w:rFonts w:eastAsiaTheme="minorEastAsia"/>
        </w:rPr>
      </w:pPr>
      <w:r w:rsidRPr="00DF63FE">
        <w:rPr>
          <w:rFonts w:eastAsiaTheme="minorEastAsia"/>
        </w:rPr>
        <w:t xml:space="preserve">Preliminary cost estimates were developed using the Office of Best Practice Regulation compliance costing tool. This tool provides an automated and standard process for quantifying regulatory costs on business, community organisations and individuals, using an activity-based costing methodology. </w:t>
      </w:r>
    </w:p>
    <w:p w14:paraId="73390D45" w14:textId="77777777" w:rsidR="00BC2953" w:rsidRPr="00DF63FE" w:rsidRDefault="00BC2953" w:rsidP="00BC2953">
      <w:pPr>
        <w:pStyle w:val="Normal2"/>
        <w:rPr>
          <w:rFonts w:eastAsiaTheme="minorEastAsia"/>
        </w:rPr>
      </w:pPr>
      <w:r w:rsidRPr="00DF63FE">
        <w:rPr>
          <w:rFonts w:eastAsiaTheme="minorEastAsia"/>
        </w:rPr>
        <w:t xml:space="preserve">This method calculated an average annual regulatory cost to </w:t>
      </w:r>
      <w:r>
        <w:rPr>
          <w:rFonts w:eastAsiaTheme="minorEastAsia"/>
        </w:rPr>
        <w:t xml:space="preserve">health service organisations </w:t>
      </w:r>
      <w:r w:rsidRPr="00DF63FE">
        <w:rPr>
          <w:rFonts w:eastAsiaTheme="minorEastAsia"/>
        </w:rPr>
        <w:t>of implementing option 2 at $</w:t>
      </w:r>
      <w:r w:rsidR="00256607">
        <w:rPr>
          <w:rFonts w:eastAsiaTheme="minorEastAsia"/>
        </w:rPr>
        <w:t xml:space="preserve">346 </w:t>
      </w:r>
      <w:r>
        <w:rPr>
          <w:rFonts w:eastAsiaTheme="minorEastAsia"/>
        </w:rPr>
        <w:t>000 over 10 years</w:t>
      </w:r>
      <w:r w:rsidRPr="00DF63FE">
        <w:rPr>
          <w:rFonts w:eastAsiaTheme="minorEastAsia"/>
        </w:rPr>
        <w:t>. Many respondents indicated these costs were too low and the Commission had not fully justified the costs it used.</w:t>
      </w:r>
    </w:p>
    <w:p w14:paraId="6EBF01BB" w14:textId="77777777" w:rsidR="00BC2953" w:rsidRPr="00DF63FE" w:rsidRDefault="00BC2953" w:rsidP="00BC2953">
      <w:pPr>
        <w:pStyle w:val="Normal2"/>
        <w:rPr>
          <w:rFonts w:eastAsiaTheme="minorEastAsia"/>
        </w:rPr>
      </w:pPr>
      <w:r w:rsidRPr="00DF63FE">
        <w:rPr>
          <w:rFonts w:eastAsiaTheme="minorEastAsia"/>
        </w:rPr>
        <w:t>Respondents noted that the costs of implementing option 2 are difficult to calculate. However</w:t>
      </w:r>
      <w:proofErr w:type="gramStart"/>
      <w:r w:rsidRPr="00DF63FE">
        <w:rPr>
          <w:rFonts w:eastAsiaTheme="minorEastAsia"/>
        </w:rPr>
        <w:t>,</w:t>
      </w:r>
      <w:r w:rsidR="00256607">
        <w:rPr>
          <w:rFonts w:eastAsiaTheme="minorEastAsia"/>
        </w:rPr>
        <w:t>15</w:t>
      </w:r>
      <w:proofErr w:type="gramEnd"/>
      <w:r w:rsidRPr="00DF63FE">
        <w:rPr>
          <w:rFonts w:eastAsiaTheme="minorEastAsia"/>
        </w:rPr>
        <w:t xml:space="preserve"> respondents stated that the Commission had underestimated the costs of implementing option 2 in </w:t>
      </w:r>
      <w:r w:rsidR="00256607">
        <w:rPr>
          <w:rFonts w:eastAsiaTheme="minorEastAsia"/>
        </w:rPr>
        <w:t>the C</w:t>
      </w:r>
      <w:r w:rsidRPr="00DF63FE">
        <w:rPr>
          <w:rFonts w:eastAsiaTheme="minorEastAsia"/>
        </w:rPr>
        <w:t>onsultation RIS. Respondents did not agree on the size of the underestimate.</w:t>
      </w:r>
    </w:p>
    <w:p w14:paraId="30B251E7" w14:textId="77777777" w:rsidR="00BC2953" w:rsidRPr="00DF63FE" w:rsidRDefault="00BC2953" w:rsidP="00BC2953">
      <w:pPr>
        <w:pStyle w:val="Normal2"/>
        <w:rPr>
          <w:rFonts w:eastAsiaTheme="minorEastAsia"/>
        </w:rPr>
      </w:pPr>
      <w:r w:rsidRPr="00DF63FE">
        <w:rPr>
          <w:rFonts w:eastAsiaTheme="minorEastAsia"/>
        </w:rPr>
        <w:t xml:space="preserve">Where respondents provided a dollar amount it varied widely, and included: </w:t>
      </w:r>
    </w:p>
    <w:p w14:paraId="43FCE535" w14:textId="77777777" w:rsidR="00BC2953" w:rsidRPr="00DD67AC" w:rsidRDefault="00BC2953" w:rsidP="00BC2953">
      <w:pPr>
        <w:pStyle w:val="Caption"/>
      </w:pPr>
      <w:r w:rsidRPr="00DD67AC">
        <w:t xml:space="preserve">Table </w:t>
      </w:r>
      <w:fldSimple w:instr=" SEQ Table \* ARABIC ">
        <w:r w:rsidR="0068597B">
          <w:rPr>
            <w:noProof/>
          </w:rPr>
          <w:t>7</w:t>
        </w:r>
      </w:fldSimple>
      <w:r w:rsidRPr="00DD67AC">
        <w:t>: Respondents’ estimated costs of implementing option 2</w:t>
      </w:r>
    </w:p>
    <w:tbl>
      <w:tblPr>
        <w:tblStyle w:val="TableGrid"/>
        <w:tblW w:w="0" w:type="auto"/>
        <w:tblLook w:val="04A0" w:firstRow="1" w:lastRow="0" w:firstColumn="1" w:lastColumn="0" w:noHBand="0" w:noVBand="1"/>
        <w:tblCaption w:val="Respondents' estimated costs of implementing option 2"/>
      </w:tblPr>
      <w:tblGrid>
        <w:gridCol w:w="2518"/>
        <w:gridCol w:w="2977"/>
        <w:gridCol w:w="3747"/>
      </w:tblGrid>
      <w:tr w:rsidR="00BC2953" w:rsidRPr="00256607" w14:paraId="32DA2B72"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2518" w:type="dxa"/>
          </w:tcPr>
          <w:p w14:paraId="57F1F75F"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Stakeholder group</w:t>
            </w:r>
          </w:p>
        </w:tc>
        <w:tc>
          <w:tcPr>
            <w:tcW w:w="2977" w:type="dxa"/>
          </w:tcPr>
          <w:p w14:paraId="78ABDE89"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Estimated cost</w:t>
            </w:r>
          </w:p>
        </w:tc>
        <w:tc>
          <w:tcPr>
            <w:tcW w:w="3747" w:type="dxa"/>
          </w:tcPr>
          <w:p w14:paraId="7485249A"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Activity </w:t>
            </w:r>
          </w:p>
        </w:tc>
      </w:tr>
      <w:tr w:rsidR="00BC2953" w:rsidRPr="00256607" w14:paraId="394D73FA" w14:textId="77777777" w:rsidTr="00030BC1">
        <w:tc>
          <w:tcPr>
            <w:tcW w:w="2518" w:type="dxa"/>
          </w:tcPr>
          <w:p w14:paraId="76C185DC"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Health department</w:t>
            </w:r>
          </w:p>
        </w:tc>
        <w:tc>
          <w:tcPr>
            <w:tcW w:w="2977" w:type="dxa"/>
          </w:tcPr>
          <w:p w14:paraId="793933C4"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$47/hour multiplied by workforce number</w:t>
            </w:r>
          </w:p>
        </w:tc>
        <w:tc>
          <w:tcPr>
            <w:tcW w:w="3747" w:type="dxa"/>
          </w:tcPr>
          <w:p w14:paraId="2283E74F"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Covers the cost of presenter, but needs to be include all participants </w:t>
            </w:r>
          </w:p>
        </w:tc>
      </w:tr>
      <w:tr w:rsidR="00BC2953" w:rsidRPr="00256607" w14:paraId="1CCB7D7B" w14:textId="77777777" w:rsidTr="00030BC1">
        <w:tc>
          <w:tcPr>
            <w:tcW w:w="2518" w:type="dxa"/>
          </w:tcPr>
          <w:p w14:paraId="6B671316"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Health department </w:t>
            </w:r>
          </w:p>
        </w:tc>
        <w:tc>
          <w:tcPr>
            <w:tcW w:w="2977" w:type="dxa"/>
          </w:tcPr>
          <w:p w14:paraId="6C5427F4"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$150 </w:t>
            </w:r>
            <w:r w:rsidR="00BC2953" w:rsidRPr="00256607">
              <w:rPr>
                <w:rFonts w:ascii="Arial" w:eastAsiaTheme="minorEastAsia" w:hAnsi="Arial" w:cs="Arial"/>
                <w:sz w:val="20"/>
              </w:rPr>
              <w:t>000</w:t>
            </w:r>
          </w:p>
        </w:tc>
        <w:tc>
          <w:tcPr>
            <w:tcW w:w="3747" w:type="dxa"/>
          </w:tcPr>
          <w:p w14:paraId="738DAA4F"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Development of online tools and resources, but could be done in collaboration with the Commission</w:t>
            </w:r>
          </w:p>
        </w:tc>
      </w:tr>
      <w:tr w:rsidR="00BC2953" w:rsidRPr="00256607" w14:paraId="3CAF312E" w14:textId="77777777" w:rsidTr="00030BC1">
        <w:tc>
          <w:tcPr>
            <w:tcW w:w="2518" w:type="dxa"/>
          </w:tcPr>
          <w:p w14:paraId="459996FF"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Local health network</w:t>
            </w:r>
          </w:p>
        </w:tc>
        <w:tc>
          <w:tcPr>
            <w:tcW w:w="2977" w:type="dxa"/>
          </w:tcPr>
          <w:p w14:paraId="3042A122"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$4 </w:t>
            </w:r>
            <w:r w:rsidR="00BC2953" w:rsidRPr="00256607">
              <w:rPr>
                <w:rFonts w:ascii="Arial" w:eastAsiaTheme="minorEastAsia" w:hAnsi="Arial" w:cs="Arial"/>
                <w:sz w:val="20"/>
              </w:rPr>
              <w:t>000</w:t>
            </w:r>
          </w:p>
          <w:p w14:paraId="072C6FCB"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$6 </w:t>
            </w:r>
            <w:r w:rsidR="00BC2953" w:rsidRPr="00256607">
              <w:rPr>
                <w:rFonts w:ascii="Arial" w:eastAsiaTheme="minorEastAsia" w:hAnsi="Arial" w:cs="Arial"/>
                <w:sz w:val="20"/>
              </w:rPr>
              <w:t>000</w:t>
            </w:r>
          </w:p>
        </w:tc>
        <w:tc>
          <w:tcPr>
            <w:tcW w:w="3747" w:type="dxa"/>
          </w:tcPr>
          <w:p w14:paraId="4EC97B70"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Training of the workforce </w:t>
            </w:r>
          </w:p>
          <w:p w14:paraId="22915679"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Resources to support implementation</w:t>
            </w:r>
          </w:p>
        </w:tc>
      </w:tr>
      <w:tr w:rsidR="00BC2953" w:rsidRPr="00256607" w14:paraId="70E2D2CF" w14:textId="77777777" w:rsidTr="00030BC1">
        <w:tc>
          <w:tcPr>
            <w:tcW w:w="2518" w:type="dxa"/>
          </w:tcPr>
          <w:p w14:paraId="27FE87A8"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Local health network</w:t>
            </w:r>
          </w:p>
        </w:tc>
        <w:tc>
          <w:tcPr>
            <w:tcW w:w="2977" w:type="dxa"/>
          </w:tcPr>
          <w:p w14:paraId="6AA6F89E"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$47/hour multiplied by a factor of 10</w:t>
            </w:r>
          </w:p>
        </w:tc>
        <w:tc>
          <w:tcPr>
            <w:tcW w:w="3747" w:type="dxa"/>
          </w:tcPr>
          <w:p w14:paraId="229CB545"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Cost of workforce participating on committees to update policies and procedures</w:t>
            </w:r>
          </w:p>
        </w:tc>
      </w:tr>
      <w:tr w:rsidR="00BC2953" w:rsidRPr="00256607" w14:paraId="39796CDD" w14:textId="77777777" w:rsidTr="00030BC1">
        <w:tc>
          <w:tcPr>
            <w:tcW w:w="2518" w:type="dxa"/>
          </w:tcPr>
          <w:p w14:paraId="48BE38A0"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Local health network</w:t>
            </w:r>
          </w:p>
        </w:tc>
        <w:tc>
          <w:tcPr>
            <w:tcW w:w="2977" w:type="dxa"/>
          </w:tcPr>
          <w:p w14:paraId="448F1B7B"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$4 </w:t>
            </w:r>
            <w:r w:rsidR="00BC2953" w:rsidRPr="00256607">
              <w:rPr>
                <w:rFonts w:ascii="Arial" w:eastAsiaTheme="minorEastAsia" w:hAnsi="Arial" w:cs="Arial"/>
                <w:sz w:val="20"/>
              </w:rPr>
              <w:t>152</w:t>
            </w:r>
          </w:p>
        </w:tc>
        <w:tc>
          <w:tcPr>
            <w:tcW w:w="3747" w:type="dxa"/>
          </w:tcPr>
          <w:p w14:paraId="411E10DB"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Implementation support</w:t>
            </w:r>
          </w:p>
        </w:tc>
      </w:tr>
      <w:tr w:rsidR="00BC2953" w:rsidRPr="00256607" w14:paraId="1704F864" w14:textId="77777777" w:rsidTr="00030BC1">
        <w:tc>
          <w:tcPr>
            <w:tcW w:w="2518" w:type="dxa"/>
          </w:tcPr>
          <w:p w14:paraId="025222D2"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Hospital</w:t>
            </w:r>
          </w:p>
        </w:tc>
        <w:tc>
          <w:tcPr>
            <w:tcW w:w="2977" w:type="dxa"/>
          </w:tcPr>
          <w:p w14:paraId="240E7F2C"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$47/hour multiplied by 140 hours </w:t>
            </w:r>
          </w:p>
        </w:tc>
        <w:tc>
          <w:tcPr>
            <w:tcW w:w="3747" w:type="dxa"/>
          </w:tcPr>
          <w:p w14:paraId="5B318D42"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For one staff member to update policies and procedures</w:t>
            </w:r>
          </w:p>
        </w:tc>
      </w:tr>
      <w:tr w:rsidR="00BC2953" w:rsidRPr="00256607" w14:paraId="50819113" w14:textId="77777777" w:rsidTr="00030BC1">
        <w:tc>
          <w:tcPr>
            <w:tcW w:w="2518" w:type="dxa"/>
          </w:tcPr>
          <w:p w14:paraId="34B9DEE2"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Day procedure service </w:t>
            </w:r>
          </w:p>
        </w:tc>
        <w:tc>
          <w:tcPr>
            <w:tcW w:w="2977" w:type="dxa"/>
          </w:tcPr>
          <w:p w14:paraId="59A853AD"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$12 </w:t>
            </w:r>
            <w:r w:rsidR="00BC2953" w:rsidRPr="00256607">
              <w:rPr>
                <w:rFonts w:ascii="Arial" w:eastAsiaTheme="minorEastAsia" w:hAnsi="Arial" w:cs="Arial"/>
                <w:sz w:val="20"/>
              </w:rPr>
              <w:t>000/year</w:t>
            </w:r>
          </w:p>
        </w:tc>
        <w:tc>
          <w:tcPr>
            <w:tcW w:w="3747" w:type="dxa"/>
          </w:tcPr>
          <w:p w14:paraId="299EE9F1"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Consulting costs to support implementation</w:t>
            </w:r>
          </w:p>
        </w:tc>
      </w:tr>
      <w:tr w:rsidR="00BC2953" w:rsidRPr="00256607" w14:paraId="35B22F9F" w14:textId="77777777" w:rsidTr="00030BC1">
        <w:tc>
          <w:tcPr>
            <w:tcW w:w="2518" w:type="dxa"/>
          </w:tcPr>
          <w:p w14:paraId="15A76D88"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Day procedure service</w:t>
            </w:r>
          </w:p>
        </w:tc>
        <w:tc>
          <w:tcPr>
            <w:tcW w:w="2977" w:type="dxa"/>
          </w:tcPr>
          <w:p w14:paraId="5321B5E6"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$100 </w:t>
            </w:r>
            <w:r w:rsidR="00BC2953" w:rsidRPr="00256607">
              <w:rPr>
                <w:rFonts w:ascii="Arial" w:eastAsiaTheme="minorEastAsia" w:hAnsi="Arial" w:cs="Arial"/>
                <w:sz w:val="20"/>
              </w:rPr>
              <w:t>000 over 2 years</w:t>
            </w:r>
          </w:p>
        </w:tc>
        <w:tc>
          <w:tcPr>
            <w:tcW w:w="3747" w:type="dxa"/>
          </w:tcPr>
          <w:p w14:paraId="4F4C1AEF"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Implementation support</w:t>
            </w:r>
          </w:p>
        </w:tc>
      </w:tr>
      <w:tr w:rsidR="00BC2953" w:rsidRPr="00256607" w14:paraId="077AF3D9" w14:textId="77777777" w:rsidTr="00030BC1">
        <w:tc>
          <w:tcPr>
            <w:tcW w:w="2518" w:type="dxa"/>
          </w:tcPr>
          <w:p w14:paraId="0FD9B6B7"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Day procedure service</w:t>
            </w:r>
          </w:p>
        </w:tc>
        <w:tc>
          <w:tcPr>
            <w:tcW w:w="2977" w:type="dxa"/>
          </w:tcPr>
          <w:p w14:paraId="2E4336B1"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$200 </w:t>
            </w:r>
            <w:r w:rsidR="00BC2953" w:rsidRPr="00256607">
              <w:rPr>
                <w:rFonts w:ascii="Arial" w:eastAsiaTheme="minorEastAsia" w:hAnsi="Arial" w:cs="Arial"/>
                <w:sz w:val="20"/>
              </w:rPr>
              <w:t>000 over 3 years</w:t>
            </w:r>
          </w:p>
        </w:tc>
        <w:tc>
          <w:tcPr>
            <w:tcW w:w="3747" w:type="dxa"/>
          </w:tcPr>
          <w:p w14:paraId="6395DE38"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Audit costs </w:t>
            </w:r>
          </w:p>
        </w:tc>
      </w:tr>
      <w:tr w:rsidR="00BC2953" w:rsidRPr="00256607" w14:paraId="1C275631" w14:textId="77777777" w:rsidTr="00030BC1">
        <w:tc>
          <w:tcPr>
            <w:tcW w:w="2518" w:type="dxa"/>
          </w:tcPr>
          <w:p w14:paraId="12E975B8"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Day procedure service</w:t>
            </w:r>
          </w:p>
        </w:tc>
        <w:tc>
          <w:tcPr>
            <w:tcW w:w="2977" w:type="dxa"/>
          </w:tcPr>
          <w:p w14:paraId="2155DBED"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$7 </w:t>
            </w:r>
            <w:r w:rsidR="00BC2953" w:rsidRPr="00256607">
              <w:rPr>
                <w:rFonts w:ascii="Arial" w:eastAsiaTheme="minorEastAsia" w:hAnsi="Arial" w:cs="Arial"/>
                <w:sz w:val="20"/>
              </w:rPr>
              <w:t>000</w:t>
            </w:r>
          </w:p>
        </w:tc>
        <w:tc>
          <w:tcPr>
            <w:tcW w:w="3747" w:type="dxa"/>
          </w:tcPr>
          <w:p w14:paraId="75E2E2E5"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Implementation support</w:t>
            </w:r>
          </w:p>
        </w:tc>
      </w:tr>
      <w:tr w:rsidR="00BC2953" w:rsidRPr="00256607" w14:paraId="3C0A89BB" w14:textId="77777777" w:rsidTr="00030BC1">
        <w:tc>
          <w:tcPr>
            <w:tcW w:w="2518" w:type="dxa"/>
          </w:tcPr>
          <w:p w14:paraId="2C2257F7"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Day procedure service</w:t>
            </w:r>
          </w:p>
        </w:tc>
        <w:tc>
          <w:tcPr>
            <w:tcW w:w="2977" w:type="dxa"/>
          </w:tcPr>
          <w:p w14:paraId="3C95611E"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$15 </w:t>
            </w:r>
            <w:r w:rsidR="00BC2953" w:rsidRPr="00256607">
              <w:rPr>
                <w:rFonts w:ascii="Arial" w:eastAsiaTheme="minorEastAsia" w:hAnsi="Arial" w:cs="Arial"/>
                <w:sz w:val="20"/>
              </w:rPr>
              <w:t>000</w:t>
            </w:r>
          </w:p>
        </w:tc>
        <w:tc>
          <w:tcPr>
            <w:tcW w:w="3747" w:type="dxa"/>
          </w:tcPr>
          <w:p w14:paraId="49BB9331"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Staff training and introduction of version 2</w:t>
            </w:r>
          </w:p>
        </w:tc>
      </w:tr>
      <w:tr w:rsidR="00BC2953" w:rsidRPr="00256607" w14:paraId="07E33DE7" w14:textId="77777777" w:rsidTr="00030BC1">
        <w:tc>
          <w:tcPr>
            <w:tcW w:w="2518" w:type="dxa"/>
          </w:tcPr>
          <w:p w14:paraId="7B5296FC"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 xml:space="preserve">Accrediting agency </w:t>
            </w:r>
          </w:p>
        </w:tc>
        <w:tc>
          <w:tcPr>
            <w:tcW w:w="2977" w:type="dxa"/>
          </w:tcPr>
          <w:p w14:paraId="2A772966" w14:textId="77777777" w:rsidR="00BC2953" w:rsidRPr="00256607" w:rsidRDefault="00256607" w:rsidP="00256607">
            <w:pPr>
              <w:spacing w:before="40" w:after="40"/>
              <w:rPr>
                <w:rFonts w:ascii="Arial" w:eastAsiaTheme="minorEastAsia" w:hAnsi="Arial" w:cs="Arial"/>
                <w:sz w:val="20"/>
              </w:rPr>
            </w:pPr>
            <w:r w:rsidRPr="00256607">
              <w:rPr>
                <w:rFonts w:ascii="Arial" w:eastAsiaTheme="minorEastAsia" w:hAnsi="Arial" w:cs="Arial"/>
                <w:sz w:val="20"/>
              </w:rPr>
              <w:t xml:space="preserve">$57 </w:t>
            </w:r>
            <w:r w:rsidR="00BC2953" w:rsidRPr="00256607">
              <w:rPr>
                <w:rFonts w:ascii="Arial" w:eastAsiaTheme="minorEastAsia" w:hAnsi="Arial" w:cs="Arial"/>
                <w:sz w:val="20"/>
              </w:rPr>
              <w:t>335</w:t>
            </w:r>
          </w:p>
        </w:tc>
        <w:tc>
          <w:tcPr>
            <w:tcW w:w="3747" w:type="dxa"/>
          </w:tcPr>
          <w:p w14:paraId="387BFE9A" w14:textId="77777777" w:rsidR="00BC2953" w:rsidRPr="00256607" w:rsidRDefault="00BC2953" w:rsidP="00256607">
            <w:pPr>
              <w:spacing w:before="40" w:after="40"/>
              <w:rPr>
                <w:rFonts w:ascii="Arial" w:eastAsiaTheme="minorEastAsia" w:hAnsi="Arial" w:cs="Arial"/>
                <w:sz w:val="20"/>
              </w:rPr>
            </w:pPr>
            <w:r w:rsidRPr="00256607">
              <w:rPr>
                <w:rFonts w:ascii="Arial" w:eastAsiaTheme="minorEastAsia" w:hAnsi="Arial" w:cs="Arial"/>
                <w:sz w:val="20"/>
              </w:rPr>
              <w:t>Training materials for assessors, internal staff, client liaison officers and decision makers</w:t>
            </w:r>
          </w:p>
        </w:tc>
      </w:tr>
    </w:tbl>
    <w:p w14:paraId="33CA863C" w14:textId="77777777" w:rsidR="00BC2953" w:rsidRPr="00DF63FE" w:rsidRDefault="00BC2953" w:rsidP="00BC2953">
      <w:pPr>
        <w:pStyle w:val="Normal2"/>
        <w:rPr>
          <w:rFonts w:eastAsiaTheme="minorEastAsia"/>
        </w:rPr>
      </w:pPr>
      <w:r w:rsidRPr="00DF63FE">
        <w:rPr>
          <w:rFonts w:eastAsiaTheme="minorEastAsia"/>
        </w:rPr>
        <w:t>Note: None of the respondents provided a detailed breakdown of how these costs were reached.</w:t>
      </w:r>
    </w:p>
    <w:p w14:paraId="7B8C71ED" w14:textId="77777777" w:rsidR="00256607" w:rsidRDefault="00256607" w:rsidP="00BC2953">
      <w:pPr>
        <w:pStyle w:val="Normal2"/>
        <w:rPr>
          <w:rFonts w:eastAsiaTheme="minorEastAsia"/>
        </w:rPr>
      </w:pPr>
    </w:p>
    <w:p w14:paraId="55FB91E6" w14:textId="77777777" w:rsidR="00BC2953" w:rsidRPr="00DF63FE" w:rsidRDefault="00BC2953" w:rsidP="00BC2953">
      <w:pPr>
        <w:pStyle w:val="Normal2"/>
        <w:rPr>
          <w:rFonts w:eastAsiaTheme="minorEastAsia"/>
        </w:rPr>
      </w:pPr>
      <w:r w:rsidRPr="00DF63FE">
        <w:rPr>
          <w:rFonts w:eastAsiaTheme="minorEastAsia"/>
        </w:rPr>
        <w:t>These costs were recalculated, taking note of the additional costs associated with:</w:t>
      </w:r>
    </w:p>
    <w:p w14:paraId="2F1907B0" w14:textId="77777777" w:rsidR="00BC2953" w:rsidRPr="00DF63FE" w:rsidRDefault="00BC2953" w:rsidP="00BC2953">
      <w:pPr>
        <w:pStyle w:val="Normal2"/>
        <w:numPr>
          <w:ilvl w:val="0"/>
          <w:numId w:val="61"/>
        </w:numPr>
        <w:rPr>
          <w:rFonts w:eastAsiaTheme="minorEastAsia"/>
        </w:rPr>
      </w:pPr>
      <w:r w:rsidRPr="00DF63FE">
        <w:rPr>
          <w:rFonts w:eastAsiaTheme="minorEastAsia"/>
        </w:rPr>
        <w:t>Salary costs of staff participating in training as well as the cost of trainers</w:t>
      </w:r>
    </w:p>
    <w:p w14:paraId="6E48AA53" w14:textId="77777777" w:rsidR="00BC2953" w:rsidRPr="00DF63FE" w:rsidRDefault="00BC2953" w:rsidP="00BC2953">
      <w:pPr>
        <w:pStyle w:val="Normal2"/>
        <w:numPr>
          <w:ilvl w:val="0"/>
          <w:numId w:val="61"/>
        </w:numPr>
        <w:rPr>
          <w:rFonts w:eastAsiaTheme="minorEastAsia"/>
        </w:rPr>
      </w:pPr>
      <w:r w:rsidRPr="00DF63FE">
        <w:rPr>
          <w:rFonts w:eastAsiaTheme="minorEastAsia"/>
        </w:rPr>
        <w:t>Recognition of the difference between small and large health service organisations</w:t>
      </w:r>
    </w:p>
    <w:p w14:paraId="74BB259D" w14:textId="77777777" w:rsidR="00BC2953" w:rsidRPr="00DF63FE" w:rsidRDefault="00BC2953" w:rsidP="00BC2953">
      <w:pPr>
        <w:pStyle w:val="Normal2"/>
        <w:numPr>
          <w:ilvl w:val="0"/>
          <w:numId w:val="61"/>
        </w:numPr>
        <w:rPr>
          <w:rFonts w:eastAsiaTheme="minorEastAsia"/>
        </w:rPr>
      </w:pPr>
      <w:r w:rsidRPr="00DF63FE">
        <w:rPr>
          <w:rFonts w:eastAsiaTheme="minorEastAsia"/>
        </w:rPr>
        <w:t>Administrative costs associated with updating documentation, committee structures, audit tools and reporting schedules</w:t>
      </w:r>
    </w:p>
    <w:p w14:paraId="4A9EF4CA" w14:textId="77777777" w:rsidR="00BC2953" w:rsidRPr="00DF63FE" w:rsidRDefault="00BC2953" w:rsidP="00BC2953">
      <w:pPr>
        <w:pStyle w:val="Normal2"/>
        <w:numPr>
          <w:ilvl w:val="0"/>
          <w:numId w:val="61"/>
        </w:numPr>
        <w:rPr>
          <w:rFonts w:eastAsiaTheme="minorEastAsia"/>
        </w:rPr>
      </w:pPr>
      <w:r w:rsidRPr="00DF63FE">
        <w:rPr>
          <w:rFonts w:eastAsiaTheme="minorEastAsia"/>
        </w:rPr>
        <w:t>Renumerating consumers for participation in engagement activities</w:t>
      </w:r>
    </w:p>
    <w:p w14:paraId="4F21D3DB" w14:textId="77777777" w:rsidR="00BC2953" w:rsidRPr="00DF63FE" w:rsidRDefault="00BC2953" w:rsidP="00BC2953">
      <w:pPr>
        <w:pStyle w:val="Normal2"/>
        <w:rPr>
          <w:rFonts w:eastAsiaTheme="minorEastAsia"/>
        </w:rPr>
      </w:pPr>
      <w:r w:rsidRPr="00DF63FE">
        <w:rPr>
          <w:rFonts w:eastAsiaTheme="minorEastAsia"/>
        </w:rPr>
        <w:t>These costs were calculated using the following parameters</w:t>
      </w:r>
      <w:r w:rsidR="00256607">
        <w:rPr>
          <w:rFonts w:eastAsiaTheme="minorEastAsia"/>
        </w:rPr>
        <w:t>:</w:t>
      </w:r>
      <w:r w:rsidRPr="00DF63FE">
        <w:rPr>
          <w:rFonts w:eastAsiaTheme="minorEastAsia"/>
        </w:rPr>
        <w:t xml:space="preserve"> </w:t>
      </w:r>
    </w:p>
    <w:p w14:paraId="5FC956AB" w14:textId="77777777" w:rsidR="00BC2953" w:rsidRPr="00DF63FE" w:rsidRDefault="00BC2953" w:rsidP="00BC2953">
      <w:pPr>
        <w:pStyle w:val="Normal2"/>
        <w:numPr>
          <w:ilvl w:val="0"/>
          <w:numId w:val="62"/>
        </w:numPr>
        <w:rPr>
          <w:rFonts w:eastAsiaTheme="minorEastAsia"/>
        </w:rPr>
      </w:pPr>
      <w:r w:rsidRPr="00DF63FE">
        <w:rPr>
          <w:rFonts w:eastAsiaTheme="minorEastAsia"/>
        </w:rPr>
        <w:t>1</w:t>
      </w:r>
      <w:r w:rsidR="00256607">
        <w:rPr>
          <w:rFonts w:eastAsiaTheme="minorEastAsia"/>
        </w:rPr>
        <w:t xml:space="preserve"> </w:t>
      </w:r>
      <w:r w:rsidRPr="00DF63FE">
        <w:rPr>
          <w:rFonts w:eastAsiaTheme="minorEastAsia"/>
        </w:rPr>
        <w:t xml:space="preserve">400 health service organisations are required to meet the NSQHS Standards.  </w:t>
      </w:r>
      <w:proofErr w:type="gramStart"/>
      <w:r w:rsidR="00256607">
        <w:rPr>
          <w:rFonts w:eastAsiaTheme="minorEastAsia"/>
        </w:rPr>
        <w:t>of</w:t>
      </w:r>
      <w:proofErr w:type="gramEnd"/>
      <w:r w:rsidR="00256607">
        <w:rPr>
          <w:rFonts w:eastAsiaTheme="minorEastAsia"/>
        </w:rPr>
        <w:t xml:space="preserve"> these, </w:t>
      </w:r>
      <w:r w:rsidRPr="00DF63FE">
        <w:rPr>
          <w:rFonts w:eastAsiaTheme="minorEastAsia"/>
        </w:rPr>
        <w:t>599 of these organisations are in the private sector, this includes</w:t>
      </w:r>
      <w:r>
        <w:rPr>
          <w:rFonts w:eastAsiaTheme="minorEastAsia"/>
        </w:rPr>
        <w:t>:</w:t>
      </w:r>
      <w:r w:rsidRPr="00DF63FE">
        <w:rPr>
          <w:rFonts w:eastAsiaTheme="minorEastAsia"/>
        </w:rPr>
        <w:t xml:space="preserve"> 306 day procedure services and 293 private hospitals. There</w:t>
      </w:r>
      <w:r>
        <w:rPr>
          <w:rFonts w:eastAsiaTheme="minorEastAsia"/>
        </w:rPr>
        <w:t xml:space="preserve"> are 801 public sector services:</w:t>
      </w:r>
      <w:r w:rsidRPr="00DF63FE">
        <w:rPr>
          <w:rFonts w:eastAsiaTheme="minorEastAsia"/>
        </w:rPr>
        <w:t xml:space="preserve"> 578 small he</w:t>
      </w:r>
      <w:r>
        <w:rPr>
          <w:rFonts w:eastAsiaTheme="minorEastAsia"/>
        </w:rPr>
        <w:t>alth services and 223 hospitals</w:t>
      </w:r>
    </w:p>
    <w:p w14:paraId="4A0EBD5B" w14:textId="77777777" w:rsidR="00BC2953" w:rsidRPr="00DF63FE" w:rsidRDefault="00256607" w:rsidP="00BC2953">
      <w:pPr>
        <w:pStyle w:val="Normal2"/>
        <w:numPr>
          <w:ilvl w:val="0"/>
          <w:numId w:val="62"/>
        </w:numPr>
        <w:rPr>
          <w:rFonts w:eastAsiaTheme="minorEastAsia"/>
        </w:rPr>
      </w:pPr>
      <w:proofErr w:type="gramStart"/>
      <w:r>
        <w:rPr>
          <w:rFonts w:eastAsiaTheme="minorEastAsia"/>
        </w:rPr>
        <w:t>c</w:t>
      </w:r>
      <w:r w:rsidR="00BC2953" w:rsidRPr="00DF63FE">
        <w:rPr>
          <w:rFonts w:eastAsiaTheme="minorEastAsia"/>
        </w:rPr>
        <w:t>osts</w:t>
      </w:r>
      <w:proofErr w:type="gramEnd"/>
      <w:r w:rsidR="00BC2953" w:rsidRPr="00DF63FE">
        <w:rPr>
          <w:rFonts w:eastAsiaTheme="minorEastAsia"/>
        </w:rPr>
        <w:t xml:space="preserve"> have been calculated using the Regulatory Burden Measure. This shows an average total cost fo</w:t>
      </w:r>
      <w:r>
        <w:rPr>
          <w:rFonts w:eastAsiaTheme="minorEastAsia"/>
        </w:rPr>
        <w:t xml:space="preserve">r an organisation to be $33 </w:t>
      </w:r>
      <w:r w:rsidR="00BC2953">
        <w:rPr>
          <w:rFonts w:eastAsiaTheme="minorEastAsia"/>
        </w:rPr>
        <w:t>000</w:t>
      </w:r>
      <w:r w:rsidR="00BC2953" w:rsidRPr="00DF63FE">
        <w:rPr>
          <w:rFonts w:eastAsiaTheme="minorEastAsia"/>
        </w:rPr>
        <w:t xml:space="preserve">  </w:t>
      </w:r>
    </w:p>
    <w:p w14:paraId="328320BB" w14:textId="77777777" w:rsidR="00BC2953" w:rsidRPr="00DF63FE" w:rsidRDefault="00256607" w:rsidP="00BC2953">
      <w:pPr>
        <w:pStyle w:val="Normal2"/>
        <w:numPr>
          <w:ilvl w:val="0"/>
          <w:numId w:val="62"/>
        </w:numPr>
        <w:rPr>
          <w:rFonts w:eastAsiaTheme="minorEastAsia"/>
        </w:rPr>
      </w:pPr>
      <w:r>
        <w:rPr>
          <w:rFonts w:eastAsiaTheme="minorEastAsia"/>
        </w:rPr>
        <w:t>c</w:t>
      </w:r>
      <w:r w:rsidR="00BC2953" w:rsidRPr="00DF63FE">
        <w:rPr>
          <w:rFonts w:eastAsiaTheme="minorEastAsia"/>
        </w:rPr>
        <w:t>osts to health service organisations relate to informing the workforce about the changes in the NSQHS Standards, and updating policies and procedures in line with the</w:t>
      </w:r>
      <w:r>
        <w:rPr>
          <w:rFonts w:eastAsiaTheme="minorEastAsia"/>
        </w:rPr>
        <w:t xml:space="preserve"> NSQHS</w:t>
      </w:r>
      <w:r w:rsidR="00BC2953" w:rsidRPr="00DF63FE">
        <w:rPr>
          <w:rFonts w:eastAsiaTheme="minorEastAsia"/>
        </w:rPr>
        <w:t xml:space="preserve"> Standards </w:t>
      </w:r>
    </w:p>
    <w:p w14:paraId="6B8B6326" w14:textId="77777777" w:rsidR="00256607" w:rsidRDefault="00256607" w:rsidP="00256607">
      <w:pPr>
        <w:pStyle w:val="Normal2"/>
        <w:rPr>
          <w:rFonts w:eastAsiaTheme="minorEastAsia"/>
        </w:rPr>
      </w:pPr>
    </w:p>
    <w:p w14:paraId="5D679201" w14:textId="77777777" w:rsidR="00BC2953" w:rsidRPr="00DF63FE" w:rsidRDefault="00BC2953" w:rsidP="00256607">
      <w:pPr>
        <w:pStyle w:val="Normal2"/>
        <w:rPr>
          <w:rFonts w:eastAsiaTheme="minorEastAsia"/>
        </w:rPr>
      </w:pPr>
      <w:r w:rsidRPr="00DF63FE">
        <w:rPr>
          <w:rFonts w:eastAsiaTheme="minorEastAsia"/>
        </w:rPr>
        <w:t>For day procedure services and small public health service organisations these costs are made up of:</w:t>
      </w:r>
    </w:p>
    <w:p w14:paraId="69590B19" w14:textId="77777777" w:rsidR="00BC2953" w:rsidRPr="00256607" w:rsidRDefault="00BC2953" w:rsidP="00256607">
      <w:pPr>
        <w:pStyle w:val="Normal2"/>
        <w:numPr>
          <w:ilvl w:val="0"/>
          <w:numId w:val="62"/>
        </w:numPr>
        <w:rPr>
          <w:rFonts w:eastAsiaTheme="minorEastAsia"/>
        </w:rPr>
      </w:pPr>
      <w:r w:rsidRPr="00256607">
        <w:rPr>
          <w:rFonts w:eastAsiaTheme="minorEastAsia"/>
        </w:rPr>
        <w:t xml:space="preserve">informing the workforce of changes to the </w:t>
      </w:r>
      <w:r w:rsidR="00256607" w:rsidRPr="00256607">
        <w:rPr>
          <w:rFonts w:eastAsiaTheme="minorEastAsia"/>
        </w:rPr>
        <w:t xml:space="preserve">NSQHS </w:t>
      </w:r>
      <w:r w:rsidRPr="00256607">
        <w:rPr>
          <w:rFonts w:eastAsiaTheme="minorEastAsia"/>
        </w:rPr>
        <w:t xml:space="preserve">Standards, calculated using an average two staff </w:t>
      </w:r>
      <w:r w:rsidR="00256607" w:rsidRPr="00256607">
        <w:rPr>
          <w:rFonts w:eastAsiaTheme="minorEastAsia"/>
        </w:rPr>
        <w:t>members per organisations, for eight</w:t>
      </w:r>
      <w:r w:rsidRPr="00256607">
        <w:rPr>
          <w:rFonts w:eastAsiaTheme="minorEastAsia"/>
        </w:rPr>
        <w:t xml:space="preserve"> hours at a cost of $50.75 per hour in 306 day procedure services and 578 public small health service organisations. </w:t>
      </w:r>
    </w:p>
    <w:p w14:paraId="180BBD03" w14:textId="77777777" w:rsidR="00BC2953" w:rsidRPr="00256607" w:rsidRDefault="00BC2953" w:rsidP="00256607">
      <w:pPr>
        <w:pStyle w:val="Normal2"/>
        <w:numPr>
          <w:ilvl w:val="0"/>
          <w:numId w:val="62"/>
        </w:numPr>
        <w:rPr>
          <w:rFonts w:eastAsiaTheme="minorEastAsia"/>
        </w:rPr>
      </w:pPr>
      <w:proofErr w:type="gramStart"/>
      <w:r w:rsidRPr="00256607">
        <w:rPr>
          <w:rFonts w:eastAsiaTheme="minorEastAsia"/>
        </w:rPr>
        <w:t>updating</w:t>
      </w:r>
      <w:proofErr w:type="gramEnd"/>
      <w:r w:rsidRPr="00256607">
        <w:rPr>
          <w:rFonts w:eastAsiaTheme="minorEastAsia"/>
        </w:rPr>
        <w:t xml:space="preserve"> policies and procedures to align to version 2 Standards, </w:t>
      </w:r>
      <w:r w:rsidR="00256607" w:rsidRPr="00256607">
        <w:rPr>
          <w:rFonts w:eastAsiaTheme="minorEastAsia"/>
        </w:rPr>
        <w:t>calculated using an average of one</w:t>
      </w:r>
      <w:r w:rsidRPr="00256607">
        <w:rPr>
          <w:rFonts w:eastAsiaTheme="minorEastAsia"/>
        </w:rPr>
        <w:t xml:space="preserve"> staff member, for 35 hours at a cost of $50.75 per hour in 306 day procedure services and 578 public small health service organisations</w:t>
      </w:r>
      <w:r w:rsidR="00256607" w:rsidRPr="00256607">
        <w:rPr>
          <w:rFonts w:eastAsiaTheme="minorEastAsia"/>
        </w:rPr>
        <w:t>.</w:t>
      </w:r>
    </w:p>
    <w:p w14:paraId="155EEA65" w14:textId="77777777" w:rsidR="00256607" w:rsidRDefault="00256607" w:rsidP="00256607">
      <w:pPr>
        <w:pStyle w:val="Normal2"/>
        <w:rPr>
          <w:rFonts w:eastAsiaTheme="minorEastAsia"/>
        </w:rPr>
      </w:pPr>
    </w:p>
    <w:p w14:paraId="7552D10C" w14:textId="77777777" w:rsidR="00BC2953" w:rsidRPr="00DF63FE" w:rsidRDefault="00BC2953" w:rsidP="00256607">
      <w:pPr>
        <w:pStyle w:val="Normal2"/>
        <w:rPr>
          <w:rFonts w:eastAsiaTheme="minorEastAsia"/>
        </w:rPr>
      </w:pPr>
      <w:r w:rsidRPr="00DF63FE">
        <w:rPr>
          <w:rFonts w:eastAsiaTheme="minorEastAsia"/>
        </w:rPr>
        <w:t>For private hospitals and large public health service organisations these costs are made up of:</w:t>
      </w:r>
    </w:p>
    <w:p w14:paraId="052AA795" w14:textId="77777777" w:rsidR="00BC2953" w:rsidRPr="00256607" w:rsidRDefault="00BC2953" w:rsidP="00256607">
      <w:pPr>
        <w:pStyle w:val="Normal2"/>
        <w:numPr>
          <w:ilvl w:val="0"/>
          <w:numId w:val="62"/>
        </w:numPr>
        <w:rPr>
          <w:rFonts w:eastAsiaTheme="minorEastAsia"/>
        </w:rPr>
      </w:pPr>
      <w:r w:rsidRPr="00256607">
        <w:rPr>
          <w:rFonts w:eastAsiaTheme="minorEastAsia"/>
        </w:rPr>
        <w:t xml:space="preserve">informing the workforce of changes to the </w:t>
      </w:r>
      <w:r w:rsidR="00256607">
        <w:rPr>
          <w:rFonts w:eastAsiaTheme="minorEastAsia"/>
        </w:rPr>
        <w:t xml:space="preserve">NSQHS </w:t>
      </w:r>
      <w:r w:rsidRPr="00256607">
        <w:rPr>
          <w:rFonts w:eastAsiaTheme="minorEastAsia"/>
        </w:rPr>
        <w:t>Standards, calculated using an average two staff members per organisation, for 40 hours at a cost of $50.75  per hour in 293 private and 223 publ</w:t>
      </w:r>
      <w:r w:rsidR="00256607">
        <w:rPr>
          <w:rFonts w:eastAsiaTheme="minorEastAsia"/>
        </w:rPr>
        <w:t>ic health service organisations</w:t>
      </w:r>
      <w:r w:rsidRPr="00256607">
        <w:rPr>
          <w:rFonts w:eastAsiaTheme="minorEastAsia"/>
        </w:rPr>
        <w:t xml:space="preserve"> </w:t>
      </w:r>
    </w:p>
    <w:p w14:paraId="506BBA19" w14:textId="77777777" w:rsidR="00BC2953" w:rsidRPr="00256607" w:rsidRDefault="00BC2953" w:rsidP="00256607">
      <w:pPr>
        <w:pStyle w:val="Normal2"/>
        <w:numPr>
          <w:ilvl w:val="0"/>
          <w:numId w:val="62"/>
        </w:numPr>
        <w:rPr>
          <w:rFonts w:eastAsiaTheme="minorEastAsia"/>
        </w:rPr>
      </w:pPr>
      <w:r w:rsidRPr="00256607">
        <w:rPr>
          <w:rFonts w:eastAsiaTheme="minorEastAsia"/>
        </w:rPr>
        <w:t xml:space="preserve">updating policies and procedures to align to version 2 </w:t>
      </w:r>
      <w:r w:rsidR="00256607">
        <w:rPr>
          <w:rFonts w:eastAsiaTheme="minorEastAsia"/>
        </w:rPr>
        <w:t xml:space="preserve">of the NSQHS </w:t>
      </w:r>
      <w:r w:rsidRPr="00256607">
        <w:rPr>
          <w:rFonts w:eastAsiaTheme="minorEastAsia"/>
        </w:rPr>
        <w:t>Standards, calculated using an average of 10 staff members, for 80 hours at a cost of $50.75  per hour in 293 private and 223 public health service organisations</w:t>
      </w:r>
    </w:p>
    <w:p w14:paraId="4FCF290C" w14:textId="77777777" w:rsidR="00BC2953" w:rsidRPr="00256607" w:rsidRDefault="00256607" w:rsidP="00256607">
      <w:pPr>
        <w:pStyle w:val="Normal2"/>
        <w:numPr>
          <w:ilvl w:val="0"/>
          <w:numId w:val="62"/>
        </w:numPr>
        <w:rPr>
          <w:rFonts w:eastAsiaTheme="minorEastAsia"/>
        </w:rPr>
      </w:pPr>
      <w:r>
        <w:rPr>
          <w:rFonts w:eastAsiaTheme="minorEastAsia"/>
        </w:rPr>
        <w:t xml:space="preserve">cost to update </w:t>
      </w:r>
      <w:r w:rsidR="00BC2953" w:rsidRPr="00256607">
        <w:rPr>
          <w:rFonts w:eastAsiaTheme="minorEastAsia"/>
        </w:rPr>
        <w:t xml:space="preserve">administrative processes </w:t>
      </w:r>
      <w:r>
        <w:rPr>
          <w:rFonts w:eastAsiaTheme="minorEastAsia"/>
        </w:rPr>
        <w:t xml:space="preserve">such as </w:t>
      </w:r>
      <w:r w:rsidR="00BC2953" w:rsidRPr="00256607">
        <w:rPr>
          <w:rFonts w:eastAsiaTheme="minorEastAsia"/>
        </w:rPr>
        <w:t>committee structures, reporting schedules, auditing tools using an average of two staff for 70 hours at a cost of $50.75  per hour in 293 private and 223 public health service organisations</w:t>
      </w:r>
    </w:p>
    <w:p w14:paraId="596694A3" w14:textId="77777777" w:rsidR="00256607" w:rsidRDefault="00256607" w:rsidP="00BC2953">
      <w:pPr>
        <w:pStyle w:val="Normal2"/>
        <w:ind w:left="284"/>
        <w:rPr>
          <w:rFonts w:eastAsiaTheme="minorEastAsia"/>
        </w:rPr>
      </w:pPr>
    </w:p>
    <w:p w14:paraId="4F6124E7" w14:textId="77777777" w:rsidR="00BC2953" w:rsidRPr="00DF63FE" w:rsidRDefault="00BC2953" w:rsidP="00256607">
      <w:pPr>
        <w:pStyle w:val="Normal2"/>
        <w:rPr>
          <w:rFonts w:eastAsiaTheme="minorEastAsia"/>
        </w:rPr>
      </w:pPr>
      <w:r>
        <w:rPr>
          <w:rFonts w:eastAsiaTheme="minorEastAsia"/>
        </w:rPr>
        <w:t>A</w:t>
      </w:r>
      <w:r w:rsidRPr="00DF63FE">
        <w:rPr>
          <w:rFonts w:eastAsiaTheme="minorEastAsia"/>
        </w:rPr>
        <w:t xml:space="preserve">ccrediting agencies </w:t>
      </w:r>
      <w:r>
        <w:rPr>
          <w:rFonts w:eastAsiaTheme="minorEastAsia"/>
        </w:rPr>
        <w:t xml:space="preserve">costs are </w:t>
      </w:r>
      <w:r w:rsidR="00256607">
        <w:rPr>
          <w:rFonts w:eastAsiaTheme="minorEastAsia"/>
        </w:rPr>
        <w:t xml:space="preserve">associated with updating </w:t>
      </w:r>
      <w:r w:rsidRPr="00DF63FE">
        <w:rPr>
          <w:rFonts w:eastAsiaTheme="minorEastAsia"/>
        </w:rPr>
        <w:t>reporting</w:t>
      </w:r>
      <w:r>
        <w:rPr>
          <w:rFonts w:eastAsiaTheme="minorEastAsia"/>
        </w:rPr>
        <w:t xml:space="preserve">, </w:t>
      </w:r>
      <w:r w:rsidRPr="00DF63FE">
        <w:rPr>
          <w:rFonts w:eastAsiaTheme="minorEastAsia"/>
        </w:rPr>
        <w:t>business processes and templates</w:t>
      </w:r>
      <w:r>
        <w:rPr>
          <w:rFonts w:eastAsiaTheme="minorEastAsia"/>
        </w:rPr>
        <w:t xml:space="preserve"> to align these with version 2 of </w:t>
      </w:r>
      <w:r w:rsidRPr="00DF63FE">
        <w:rPr>
          <w:rFonts w:eastAsiaTheme="minorEastAsia"/>
        </w:rPr>
        <w:t xml:space="preserve">the NSQHS Standards. These costs are made up of: </w:t>
      </w:r>
    </w:p>
    <w:p w14:paraId="5CD19D24" w14:textId="77777777" w:rsidR="00BC2953" w:rsidRPr="00DF63FE" w:rsidRDefault="00BC2953" w:rsidP="00BC2953">
      <w:pPr>
        <w:pStyle w:val="Normal2"/>
        <w:numPr>
          <w:ilvl w:val="1"/>
          <w:numId w:val="62"/>
        </w:numPr>
      </w:pPr>
      <w:r>
        <w:t>a</w:t>
      </w:r>
      <w:r w:rsidRPr="00DF63FE">
        <w:t xml:space="preserve">ligning reporting requirements to version 2 of the NSQHS Standards, calculated using an average of one staff member, for 16 hours at $59.45 per hour in </w:t>
      </w:r>
      <w:r>
        <w:t>nine</w:t>
      </w:r>
      <w:r w:rsidR="00256607">
        <w:t xml:space="preserve"> accrediting agencies</w:t>
      </w:r>
    </w:p>
    <w:p w14:paraId="70864524" w14:textId="77777777" w:rsidR="00BC2953" w:rsidRPr="00DF63FE" w:rsidRDefault="00BC2953" w:rsidP="00BC2953">
      <w:pPr>
        <w:pStyle w:val="Normal2"/>
        <w:numPr>
          <w:ilvl w:val="1"/>
          <w:numId w:val="62"/>
        </w:numPr>
      </w:pPr>
      <w:r>
        <w:t>u</w:t>
      </w:r>
      <w:r w:rsidRPr="00DF63FE">
        <w:t>pdating assessment tools and process, calculated using an average of one staff member, for 16 hours, at $59.45</w:t>
      </w:r>
      <w:r>
        <w:t xml:space="preserve"> per hour in nine</w:t>
      </w:r>
      <w:r w:rsidR="00256607">
        <w:t xml:space="preserve"> accrediting agencies</w:t>
      </w:r>
      <w:r w:rsidRPr="00DF63FE">
        <w:t xml:space="preserve"> </w:t>
      </w:r>
    </w:p>
    <w:p w14:paraId="6A1778D3" w14:textId="77777777" w:rsidR="00BC2953" w:rsidRPr="00DF63FE" w:rsidRDefault="00BC2953" w:rsidP="00BC2953">
      <w:pPr>
        <w:pStyle w:val="Normal2"/>
        <w:numPr>
          <w:ilvl w:val="1"/>
          <w:numId w:val="62"/>
        </w:numPr>
        <w:rPr>
          <w:rFonts w:eastAsiaTheme="minorEastAsia"/>
        </w:rPr>
      </w:pPr>
      <w:proofErr w:type="gramStart"/>
      <w:r>
        <w:t>i</w:t>
      </w:r>
      <w:r w:rsidRPr="00DF63FE">
        <w:t>nforming</w:t>
      </w:r>
      <w:proofErr w:type="gramEnd"/>
      <w:r w:rsidRPr="00DF63FE">
        <w:t xml:space="preserve"> staff of changes to the </w:t>
      </w:r>
      <w:r w:rsidR="00256607">
        <w:t xml:space="preserve">NSQHS </w:t>
      </w:r>
      <w:r w:rsidRPr="00DF63FE">
        <w:t>Standards, calculated using an average of two staff members per organisation</w:t>
      </w:r>
      <w:r w:rsidRPr="00DF63FE">
        <w:rPr>
          <w:rFonts w:eastAsiaTheme="minorEastAsia"/>
        </w:rPr>
        <w:t>, for 16 hours at a cost of $</w:t>
      </w:r>
      <w:r w:rsidRPr="00DF63FE">
        <w:t xml:space="preserve">50.75 </w:t>
      </w:r>
      <w:r w:rsidRPr="00DF63FE">
        <w:rPr>
          <w:rFonts w:eastAsiaTheme="minorEastAsia"/>
        </w:rPr>
        <w:t xml:space="preserve"> per hour in nine accrediting agencies. </w:t>
      </w:r>
    </w:p>
    <w:p w14:paraId="21833582" w14:textId="77777777" w:rsidR="00BC2953" w:rsidRPr="00DF63FE" w:rsidRDefault="00BC2953" w:rsidP="00BC2953">
      <w:pPr>
        <w:pStyle w:val="Normal2"/>
        <w:rPr>
          <w:rFonts w:eastAsiaTheme="minorEastAsia"/>
        </w:rPr>
      </w:pPr>
      <w:r w:rsidRPr="00DF63FE">
        <w:rPr>
          <w:rFonts w:eastAsiaTheme="minorEastAsia"/>
        </w:rPr>
        <w:t>These calculations resul</w:t>
      </w:r>
      <w:r w:rsidR="00256607">
        <w:rPr>
          <w:rFonts w:eastAsiaTheme="minorEastAsia"/>
        </w:rPr>
        <w:t xml:space="preserve">t in costs of approximately $33 </w:t>
      </w:r>
      <w:r w:rsidRPr="00DF63FE">
        <w:rPr>
          <w:rFonts w:eastAsiaTheme="minorEastAsia"/>
        </w:rPr>
        <w:t xml:space="preserve">000 per organisation associated with implementing version 2 of the NSQHS Standards or $4.78 million per year for 10 years across the health care system. </w:t>
      </w:r>
    </w:p>
    <w:p w14:paraId="41A8838F" w14:textId="77777777" w:rsidR="00BC2953" w:rsidRPr="00DF63FE" w:rsidRDefault="00BC2953" w:rsidP="00BC2953">
      <w:pPr>
        <w:pStyle w:val="Normal2"/>
      </w:pPr>
      <w:r w:rsidRPr="00DF63FE">
        <w:rPr>
          <w:rFonts w:eastAsiaTheme="minorEastAsia"/>
        </w:rPr>
        <w:t xml:space="preserve">These costs do not take into account the savings that can be achieved from safer care, a reduction in adverse events and better patient outcomes. </w:t>
      </w:r>
      <w:r w:rsidRPr="00DF63FE">
        <w:t xml:space="preserve">Even minor improvements in the new areas in version 2, through the implementation of a mandatory set of </w:t>
      </w:r>
      <w:r w:rsidR="00256607">
        <w:t xml:space="preserve">NSQHS </w:t>
      </w:r>
      <w:r w:rsidRPr="00DF63FE">
        <w:t>Standards, have the potential to save hundreds of millions of dollars annually, by:</w:t>
      </w:r>
    </w:p>
    <w:p w14:paraId="78CBDBCA" w14:textId="77777777" w:rsidR="00BC2953" w:rsidRPr="00DF63FE" w:rsidRDefault="00BC2953" w:rsidP="00BC2953">
      <w:pPr>
        <w:pStyle w:val="Normal2"/>
        <w:numPr>
          <w:ilvl w:val="0"/>
          <w:numId w:val="63"/>
        </w:numPr>
      </w:pPr>
      <w:r w:rsidRPr="00DF63FE">
        <w:t>reducing the direct and indirect costs of mental ill health, which are estimated to be up to $28.6 billion per year</w:t>
      </w:r>
    </w:p>
    <w:p w14:paraId="3FBBC23A" w14:textId="77777777" w:rsidR="00BC2953" w:rsidRPr="00DF63FE" w:rsidRDefault="00BC2953" w:rsidP="00BC2953">
      <w:pPr>
        <w:pStyle w:val="Normal2"/>
        <w:numPr>
          <w:ilvl w:val="0"/>
          <w:numId w:val="63"/>
        </w:numPr>
      </w:pPr>
      <w:proofErr w:type="gramStart"/>
      <w:r w:rsidRPr="00DF63FE">
        <w:t>reducing</w:t>
      </w:r>
      <w:proofErr w:type="gramEnd"/>
      <w:r w:rsidRPr="00DF63FE">
        <w:t xml:space="preserve"> complications and length of stay from undetected delirium through early detection. Delirium can be prevented in 30–40 per cent of cases, and if undetected </w:t>
      </w:r>
      <w:r w:rsidR="00256607">
        <w:t xml:space="preserve">can </w:t>
      </w:r>
      <w:r w:rsidRPr="00DF63FE">
        <w:t xml:space="preserve">increase the length of stay by </w:t>
      </w:r>
      <w:r w:rsidR="00256607">
        <w:t xml:space="preserve">an average of </w:t>
      </w:r>
      <w:r w:rsidRPr="00DF63FE">
        <w:t xml:space="preserve">7.32 days in the intensive care unit and by 6.53 days in hospital </w:t>
      </w:r>
    </w:p>
    <w:p w14:paraId="21171000" w14:textId="77777777" w:rsidR="00BC2953" w:rsidRPr="00DF63FE" w:rsidRDefault="00BC2953" w:rsidP="00BC2953">
      <w:pPr>
        <w:pStyle w:val="Normal2"/>
        <w:numPr>
          <w:ilvl w:val="0"/>
          <w:numId w:val="63"/>
        </w:numPr>
      </w:pPr>
      <w:r w:rsidRPr="00DF63FE">
        <w:t>providing a greater choice for people at the end of life, reducing length of stay and the cost of unnecessary procedures</w:t>
      </w:r>
    </w:p>
    <w:p w14:paraId="0CCD9D2E" w14:textId="77777777" w:rsidR="00BC2953" w:rsidRPr="00DF63FE" w:rsidRDefault="00BC2953" w:rsidP="00BC2953">
      <w:pPr>
        <w:pStyle w:val="Normal2"/>
        <w:numPr>
          <w:ilvl w:val="0"/>
          <w:numId w:val="63"/>
        </w:numPr>
      </w:pPr>
      <w:proofErr w:type="gramStart"/>
      <w:r w:rsidRPr="00DF63FE">
        <w:t>providing</w:t>
      </w:r>
      <w:proofErr w:type="gramEnd"/>
      <w:r w:rsidRPr="00DF63FE">
        <w:t xml:space="preserve"> appropriate health care and as a result improving health outcomes for Aboriginal and Torres Strait Islander people. Average annual health expenditure for Aboriginal and Torres Strait Islander people is $7</w:t>
      </w:r>
      <w:r w:rsidR="00256607">
        <w:t xml:space="preserve"> </w:t>
      </w:r>
      <w:r w:rsidRPr="00DF63FE">
        <w:t>995 per person, compared with $5</w:t>
      </w:r>
      <w:r w:rsidR="00256607">
        <w:t xml:space="preserve"> </w:t>
      </w:r>
      <w:r w:rsidRPr="00DF63FE">
        <w:t>437 for non-Indigenous Australians.</w:t>
      </w:r>
    </w:p>
    <w:p w14:paraId="4713A4A2" w14:textId="77777777" w:rsidR="00256607" w:rsidRDefault="00256607" w:rsidP="00BC2953">
      <w:pPr>
        <w:pStyle w:val="Normal2"/>
        <w:rPr>
          <w:rFonts w:eastAsiaTheme="minorEastAsia"/>
        </w:rPr>
      </w:pPr>
    </w:p>
    <w:p w14:paraId="579FBA29" w14:textId="77777777" w:rsidR="00BC2953" w:rsidRPr="00DF63FE" w:rsidRDefault="00BC2953" w:rsidP="00BC2953">
      <w:pPr>
        <w:pStyle w:val="Normal2"/>
        <w:rPr>
          <w:rFonts w:eastAsiaTheme="minorEastAsia"/>
        </w:rPr>
      </w:pPr>
      <w:r w:rsidRPr="00DF63FE">
        <w:rPr>
          <w:rFonts w:eastAsiaTheme="minorEastAsia"/>
        </w:rPr>
        <w:t>The costs associated with the workforce reading and being informed about the revised Standards is not included in these costs.  The workforce are informed of the changes in Standards through routine processes such as policy, procedure and protocol updates, safety and quality training, team meetings and routine feedback to the workforce. It is n</w:t>
      </w:r>
      <w:r w:rsidR="00256607">
        <w:rPr>
          <w:rFonts w:eastAsiaTheme="minorEastAsia"/>
        </w:rPr>
        <w:t>ot possible to separate the day-to-</w:t>
      </w:r>
      <w:r w:rsidRPr="00DF63FE">
        <w:rPr>
          <w:rFonts w:eastAsiaTheme="minorEastAsia"/>
        </w:rPr>
        <w:t>day c</w:t>
      </w:r>
      <w:r w:rsidR="00256607">
        <w:rPr>
          <w:rFonts w:eastAsiaTheme="minorEastAsia"/>
        </w:rPr>
        <w:t>osts of providing safe and good-</w:t>
      </w:r>
      <w:r w:rsidRPr="00DF63FE">
        <w:rPr>
          <w:rFonts w:eastAsiaTheme="minorEastAsia"/>
        </w:rPr>
        <w:t>quality care from the incremental costs associated with the NSQHS Standards.</w:t>
      </w:r>
    </w:p>
    <w:p w14:paraId="25B59289" w14:textId="77777777" w:rsidR="00BC2953" w:rsidRPr="00881392" w:rsidRDefault="00BC2953" w:rsidP="00BC2953">
      <w:pPr>
        <w:pStyle w:val="Heading1"/>
      </w:pPr>
      <w:bookmarkStart w:id="10" w:name="_Toc461178322"/>
      <w:r w:rsidRPr="00881392">
        <w:t>Section 6</w:t>
      </w:r>
      <w:r w:rsidRPr="00881392">
        <w:tab/>
        <w:t>Implementation</w:t>
      </w:r>
      <w:bookmarkEnd w:id="10"/>
      <w:r w:rsidRPr="00881392">
        <w:t xml:space="preserve"> </w:t>
      </w:r>
    </w:p>
    <w:p w14:paraId="41C34ADD" w14:textId="77777777" w:rsidR="00BC2953" w:rsidRPr="00881392" w:rsidRDefault="00BC2953" w:rsidP="00BC2953">
      <w:pPr>
        <w:pStyle w:val="Normal2"/>
      </w:pPr>
      <w:r w:rsidRPr="00881392">
        <w:t xml:space="preserve">Section 9 of the </w:t>
      </w:r>
      <w:r w:rsidRPr="00881392">
        <w:rPr>
          <w:rStyle w:val="Emphasis"/>
        </w:rPr>
        <w:t>National Health Reform Act 2011</w:t>
      </w:r>
      <w:r w:rsidRPr="00881392">
        <w:t xml:space="preserve"> states the Commission has responsibility for developing and coordinating na</w:t>
      </w:r>
      <w:r>
        <w:t>tional models of accreditation.</w:t>
      </w:r>
    </w:p>
    <w:p w14:paraId="7C1BE9DB" w14:textId="77777777" w:rsidR="00BC2953" w:rsidRPr="00881392" w:rsidRDefault="00BC2953" w:rsidP="00BC2953">
      <w:pPr>
        <w:pStyle w:val="Normal2"/>
      </w:pPr>
      <w:r w:rsidRPr="00881392">
        <w:t xml:space="preserve">The implementation of the NSQHS Standards </w:t>
      </w:r>
      <w:r w:rsidR="00256607">
        <w:t>is</w:t>
      </w:r>
      <w:r w:rsidRPr="00881392">
        <w:t xml:space="preserve"> managed through the Australian Health Service Safety and Quality Accreditation (AHSSQA) Scheme.  The Scheme describes the roles and responsibilities of the organisations involved with the NSQHS Standards, including: health ministers who endorse</w:t>
      </w:r>
      <w:r w:rsidR="00256607">
        <w:t xml:space="preserve"> the NSQHS</w:t>
      </w:r>
      <w:r w:rsidRPr="00881392">
        <w:t xml:space="preserve"> Standards; health departments as regulators of the use of the </w:t>
      </w:r>
      <w:r w:rsidR="00256607">
        <w:t xml:space="preserve">NSQHS </w:t>
      </w:r>
      <w:r w:rsidRPr="00881392">
        <w:t xml:space="preserve">Standards; health service organisations that </w:t>
      </w:r>
      <w:r w:rsidR="00256607">
        <w:t xml:space="preserve">implement </w:t>
      </w:r>
      <w:r w:rsidRPr="00881392">
        <w:t xml:space="preserve">the </w:t>
      </w:r>
      <w:r w:rsidR="00256607">
        <w:t xml:space="preserve">NSQHS </w:t>
      </w:r>
      <w:r w:rsidRPr="00881392">
        <w:t xml:space="preserve">Standards; accrediting agencies that assess to the </w:t>
      </w:r>
      <w:r w:rsidR="00256607">
        <w:t xml:space="preserve">NSQHS </w:t>
      </w:r>
      <w:r w:rsidRPr="00881392">
        <w:t>Standards and the Commission that develop</w:t>
      </w:r>
      <w:r w:rsidR="00256607">
        <w:t>s</w:t>
      </w:r>
      <w:r w:rsidRPr="00881392">
        <w:t xml:space="preserve"> and maintain</w:t>
      </w:r>
      <w:r w:rsidR="00256607">
        <w:t>s</w:t>
      </w:r>
      <w:r w:rsidRPr="00881392">
        <w:t xml:space="preserve"> the </w:t>
      </w:r>
      <w:r w:rsidR="00256607">
        <w:t xml:space="preserve">NSQHS </w:t>
      </w:r>
      <w:r w:rsidRPr="00881392">
        <w:t>Standards and</w:t>
      </w:r>
      <w:r>
        <w:t xml:space="preserve"> support</w:t>
      </w:r>
      <w:r w:rsidR="00256607">
        <w:t>s</w:t>
      </w:r>
      <w:r>
        <w:t xml:space="preserve"> and monitor</w:t>
      </w:r>
      <w:r w:rsidR="00256607">
        <w:t>s</w:t>
      </w:r>
      <w:r>
        <w:t xml:space="preserve"> their use.</w:t>
      </w:r>
    </w:p>
    <w:p w14:paraId="55E77423" w14:textId="77777777" w:rsidR="00BC2953" w:rsidRPr="00881392" w:rsidRDefault="00BC2953" w:rsidP="00BC2953">
      <w:pPr>
        <w:pStyle w:val="Normal2"/>
      </w:pPr>
      <w:r w:rsidRPr="00881392">
        <w:t xml:space="preserve">The Commission will commence a review of the Scheme in September 2016, which will involve extensive consultation with stakeholders.  This process will clarify </w:t>
      </w:r>
      <w:r>
        <w:t xml:space="preserve">the </w:t>
      </w:r>
      <w:r w:rsidRPr="00881392">
        <w:t xml:space="preserve">transition format, timelines and any issues for health service organisations such as the rating scale, notifying regulators of a significant risk if </w:t>
      </w:r>
      <w:r w:rsidR="00D037A4">
        <w:t>one</w:t>
      </w:r>
      <w:r w:rsidRPr="00881392">
        <w:t xml:space="preserve"> is id</w:t>
      </w:r>
      <w:r>
        <w:t>entified and the assessment format.</w:t>
      </w:r>
    </w:p>
    <w:p w14:paraId="2B5F4D0A" w14:textId="77777777" w:rsidR="00BC2953" w:rsidRPr="00881392" w:rsidRDefault="00BC2953" w:rsidP="00BC2953">
      <w:pPr>
        <w:pStyle w:val="Heading1"/>
      </w:pPr>
      <w:bookmarkStart w:id="11" w:name="_Toc461178323"/>
      <w:r w:rsidRPr="00881392">
        <w:t>Section 7</w:t>
      </w:r>
      <w:r w:rsidRPr="00881392">
        <w:tab/>
        <w:t>Conclusion</w:t>
      </w:r>
      <w:bookmarkEnd w:id="11"/>
      <w:r w:rsidRPr="00881392">
        <w:t xml:space="preserve"> </w:t>
      </w:r>
    </w:p>
    <w:p w14:paraId="021B48CF" w14:textId="77777777" w:rsidR="00BC2953" w:rsidRPr="00881392" w:rsidRDefault="00BC2953" w:rsidP="00BC2953">
      <w:pPr>
        <w:pStyle w:val="Normal2"/>
      </w:pPr>
      <w:r w:rsidRPr="00881392">
        <w:t>The Commission submitted three op</w:t>
      </w:r>
      <w:r w:rsidR="00D037A4">
        <w:t>tions for consideration in the C</w:t>
      </w:r>
      <w:r w:rsidRPr="00881392">
        <w:t xml:space="preserve">onsultation RIS.  </w:t>
      </w:r>
    </w:p>
    <w:p w14:paraId="6BC4EE4F" w14:textId="4D9118E4" w:rsidR="00BC2953" w:rsidRPr="00881392" w:rsidRDefault="00BC2953" w:rsidP="00BC2953">
      <w:pPr>
        <w:pStyle w:val="Normal2"/>
      </w:pPr>
      <w:r w:rsidRPr="00881392">
        <w:t xml:space="preserve">The first option was to retain version 1 of the NSQHS Standards for an additional three years.  This would allow health service organisations to fully embed the requirements of the </w:t>
      </w:r>
      <w:r w:rsidR="00D037A4">
        <w:t xml:space="preserve">NSQHS </w:t>
      </w:r>
      <w:r w:rsidRPr="00881392">
        <w:t>Standards into day</w:t>
      </w:r>
      <w:r w:rsidR="00D037A4">
        <w:t>-</w:t>
      </w:r>
      <w:r w:rsidRPr="00881392">
        <w:t>to</w:t>
      </w:r>
      <w:r w:rsidR="00D037A4">
        <w:t>-</w:t>
      </w:r>
      <w:r w:rsidRPr="00881392">
        <w:t xml:space="preserve">day operations.  This </w:t>
      </w:r>
      <w:proofErr w:type="gramStart"/>
      <w:r w:rsidR="009828DD">
        <w:t>options</w:t>
      </w:r>
      <w:proofErr w:type="gramEnd"/>
      <w:r w:rsidR="009828DD">
        <w:t xml:space="preserve"> requires little if any new expenditure for health service organisations,</w:t>
      </w:r>
      <w:r w:rsidRPr="00881392">
        <w:t xml:space="preserve"> but </w:t>
      </w:r>
      <w:r w:rsidR="009828DD">
        <w:t xml:space="preserve">is likely to </w:t>
      </w:r>
      <w:r w:rsidRPr="00881392">
        <w:t>provide</w:t>
      </w:r>
      <w:r w:rsidR="009828DD">
        <w:t xml:space="preserve"> </w:t>
      </w:r>
      <w:r w:rsidRPr="00881392">
        <w:t xml:space="preserve">the least overall </w:t>
      </w:r>
      <w:r w:rsidR="009828DD">
        <w:t>improvement in safety and quality for consumers</w:t>
      </w:r>
      <w:r w:rsidRPr="00881392">
        <w:t xml:space="preserve">.  Only 14 per cent of respondents supported this option. A majority of these respondents recognised the potential benefits to patients of version 2 but wanted to delay its introduction until they had fully implemented version 1. </w:t>
      </w:r>
    </w:p>
    <w:p w14:paraId="7CF746FB" w14:textId="77777777" w:rsidR="00BC2953" w:rsidRPr="00881392" w:rsidRDefault="00BC2953" w:rsidP="00BC2953">
      <w:pPr>
        <w:pStyle w:val="Normal2"/>
      </w:pPr>
      <w:r w:rsidRPr="00881392">
        <w:t>The costs of Option 1 for health service organisations related to:</w:t>
      </w:r>
    </w:p>
    <w:p w14:paraId="356B0CE3" w14:textId="77777777" w:rsidR="00BC2953" w:rsidRPr="00881392" w:rsidRDefault="00BC2953" w:rsidP="00BC2953">
      <w:pPr>
        <w:pStyle w:val="Normal2"/>
        <w:numPr>
          <w:ilvl w:val="0"/>
          <w:numId w:val="64"/>
        </w:numPr>
      </w:pPr>
      <w:r w:rsidRPr="00881392">
        <w:t xml:space="preserve">increased risk associated with safety and quality gaps </w:t>
      </w:r>
    </w:p>
    <w:p w14:paraId="66DA2420" w14:textId="77777777" w:rsidR="00BC2953" w:rsidRPr="00881392" w:rsidRDefault="00BC2953" w:rsidP="00BC2953">
      <w:pPr>
        <w:pStyle w:val="Normal2"/>
        <w:numPr>
          <w:ilvl w:val="0"/>
          <w:numId w:val="64"/>
        </w:numPr>
      </w:pPr>
      <w:proofErr w:type="gramStart"/>
      <w:r w:rsidRPr="00881392">
        <w:t>missed</w:t>
      </w:r>
      <w:proofErr w:type="gramEnd"/>
      <w:r w:rsidRPr="00881392">
        <w:t xml:space="preserve"> opportunity costs associated with reduced safety and quality risks.</w:t>
      </w:r>
    </w:p>
    <w:p w14:paraId="59A8BA49" w14:textId="77777777" w:rsidR="00BC2953" w:rsidRPr="00881392" w:rsidRDefault="00BC2953" w:rsidP="00BC2953">
      <w:pPr>
        <w:pStyle w:val="Normal2"/>
      </w:pPr>
      <w:r w:rsidRPr="00881392">
        <w:t>There is likely to be a significant cost to consumers who will not benefit from improved health outcomes associated with improvements resulting from:</w:t>
      </w:r>
    </w:p>
    <w:p w14:paraId="38FF7A7B" w14:textId="77777777" w:rsidR="00BC2953" w:rsidRPr="00881392" w:rsidRDefault="00BC2953" w:rsidP="00BC2953">
      <w:pPr>
        <w:pStyle w:val="Normal2"/>
        <w:numPr>
          <w:ilvl w:val="0"/>
          <w:numId w:val="65"/>
        </w:numPr>
      </w:pPr>
      <w:r w:rsidRPr="00881392">
        <w:t xml:space="preserve">updating the evidence base </w:t>
      </w:r>
    </w:p>
    <w:p w14:paraId="3C0A931B" w14:textId="77777777" w:rsidR="00BC2953" w:rsidRPr="00881392" w:rsidRDefault="00BC2953" w:rsidP="00BC2953">
      <w:pPr>
        <w:pStyle w:val="Normal2"/>
        <w:numPr>
          <w:ilvl w:val="0"/>
          <w:numId w:val="65"/>
        </w:numPr>
      </w:pPr>
      <w:proofErr w:type="gramStart"/>
      <w:r w:rsidRPr="00881392">
        <w:t>addressing</w:t>
      </w:r>
      <w:proofErr w:type="gramEnd"/>
      <w:r w:rsidRPr="00881392">
        <w:t xml:space="preserve"> safety and quality gaps.</w:t>
      </w:r>
    </w:p>
    <w:p w14:paraId="7CBA4527" w14:textId="638C8475" w:rsidR="00BC2953" w:rsidRPr="00881392" w:rsidRDefault="00BC2953" w:rsidP="00BC2953">
      <w:pPr>
        <w:pStyle w:val="Normal2"/>
      </w:pPr>
      <w:r w:rsidRPr="00881392">
        <w:t>The direct costs of</w:t>
      </w:r>
      <w:r w:rsidR="009828DD">
        <w:t xml:space="preserve"> implementation</w:t>
      </w:r>
      <w:r w:rsidRPr="00881392">
        <w:t xml:space="preserve"> this option </w:t>
      </w:r>
      <w:r w:rsidR="009828DD">
        <w:t xml:space="preserve">are </w:t>
      </w:r>
      <w:r w:rsidRPr="00881392">
        <w:t>smaller</w:t>
      </w:r>
      <w:r w:rsidR="009828DD">
        <w:t xml:space="preserve"> than other options</w:t>
      </w:r>
      <w:r w:rsidRPr="00881392">
        <w:t xml:space="preserve">, but </w:t>
      </w:r>
      <w:r w:rsidR="009828DD">
        <w:t xml:space="preserve">are unlikely to reduce preventable </w:t>
      </w:r>
      <w:r w:rsidRPr="00881392">
        <w:t>patient harm</w:t>
      </w:r>
      <w:r w:rsidR="009828DD">
        <w:t>. Therefore,</w:t>
      </w:r>
      <w:r w:rsidRPr="00881392">
        <w:t xml:space="preserve"> the overall benefit of this option is</w:t>
      </w:r>
      <w:r w:rsidR="009828DD">
        <w:t xml:space="preserve"> less</w:t>
      </w:r>
      <w:proofErr w:type="gramStart"/>
      <w:r w:rsidR="009828DD">
        <w:t>.</w:t>
      </w:r>
      <w:r w:rsidRPr="00881392">
        <w:t>.</w:t>
      </w:r>
      <w:proofErr w:type="gramEnd"/>
      <w:r w:rsidRPr="00881392">
        <w:t xml:space="preserve"> </w:t>
      </w:r>
    </w:p>
    <w:p w14:paraId="10FBDAEA" w14:textId="20C276DD" w:rsidR="00BC2953" w:rsidRPr="00881392" w:rsidRDefault="00BC2953" w:rsidP="00BC2953">
      <w:pPr>
        <w:pStyle w:val="Normal2"/>
      </w:pPr>
      <w:r w:rsidRPr="00881392">
        <w:t xml:space="preserve">The second option recommended the introduction of version 2 of the NSQHS Standards from 2019.  This option presented the </w:t>
      </w:r>
      <w:r w:rsidR="009828DD">
        <w:t xml:space="preserve">greatest likelihood of improving safety and quality and reducing costs of care </w:t>
      </w:r>
      <w:r w:rsidRPr="00881392">
        <w:t xml:space="preserve">for </w:t>
      </w:r>
      <w:r w:rsidR="009828DD">
        <w:t xml:space="preserve">health service organisations and </w:t>
      </w:r>
      <w:r w:rsidRPr="00881392">
        <w:t>consumers who will benefit from improved health outcomes associated with:</w:t>
      </w:r>
    </w:p>
    <w:p w14:paraId="2909EC4C" w14:textId="77777777" w:rsidR="00BC2953" w:rsidRPr="00881392" w:rsidRDefault="00BC2953" w:rsidP="00BC2953">
      <w:pPr>
        <w:pStyle w:val="Normal2"/>
        <w:numPr>
          <w:ilvl w:val="0"/>
          <w:numId w:val="66"/>
        </w:numPr>
      </w:pPr>
      <w:r w:rsidRPr="00881392">
        <w:t>addressing safety and quality gaps</w:t>
      </w:r>
    </w:p>
    <w:p w14:paraId="7CBAD64E" w14:textId="77777777" w:rsidR="00BC2953" w:rsidRPr="00881392" w:rsidRDefault="00BC2953" w:rsidP="00BC2953">
      <w:pPr>
        <w:pStyle w:val="Normal2"/>
        <w:numPr>
          <w:ilvl w:val="0"/>
          <w:numId w:val="66"/>
        </w:numPr>
      </w:pPr>
      <w:proofErr w:type="gramStart"/>
      <w:r w:rsidRPr="00881392">
        <w:t>updating</w:t>
      </w:r>
      <w:proofErr w:type="gramEnd"/>
      <w:r w:rsidRPr="00881392">
        <w:t xml:space="preserve"> the evidence base.</w:t>
      </w:r>
    </w:p>
    <w:p w14:paraId="26BC5F1B" w14:textId="77777777" w:rsidR="00BC2953" w:rsidRPr="00881392" w:rsidRDefault="00BC2953" w:rsidP="00BC2953">
      <w:pPr>
        <w:pStyle w:val="Normal2"/>
      </w:pPr>
      <w:r w:rsidRPr="00881392">
        <w:t>Health service organisations will also be able to realise cost savings through:</w:t>
      </w:r>
    </w:p>
    <w:p w14:paraId="23995086" w14:textId="77777777" w:rsidR="00BC2953" w:rsidRPr="00881392" w:rsidRDefault="00BC2953" w:rsidP="00BC2953">
      <w:pPr>
        <w:pStyle w:val="Normal2"/>
        <w:numPr>
          <w:ilvl w:val="0"/>
          <w:numId w:val="67"/>
        </w:numPr>
      </w:pPr>
      <w:r w:rsidRPr="00881392">
        <w:t xml:space="preserve">addressing the risks associated with safety and quality gaps </w:t>
      </w:r>
    </w:p>
    <w:p w14:paraId="4BB2E39E" w14:textId="77777777" w:rsidR="00BC2953" w:rsidRPr="00881392" w:rsidRDefault="00BC2953" w:rsidP="00BC2953">
      <w:pPr>
        <w:pStyle w:val="Normal2"/>
        <w:numPr>
          <w:ilvl w:val="0"/>
          <w:numId w:val="67"/>
        </w:numPr>
      </w:pPr>
      <w:proofErr w:type="gramStart"/>
      <w:r w:rsidRPr="00881392">
        <w:t>opportunity</w:t>
      </w:r>
      <w:proofErr w:type="gramEnd"/>
      <w:r w:rsidRPr="00881392">
        <w:t xml:space="preserve"> costs associated with reduced safety and quality risk.</w:t>
      </w:r>
    </w:p>
    <w:p w14:paraId="28D3146B" w14:textId="77777777" w:rsidR="00BC2953" w:rsidRPr="00881392" w:rsidRDefault="00BC2953" w:rsidP="00BC2953">
      <w:pPr>
        <w:pStyle w:val="Normal2"/>
      </w:pPr>
      <w:r w:rsidRPr="00881392">
        <w:t>Although it is not possible to quantify costs savings that are directly attributable to implementing version 2 of the of the NSQHS Standards, the</w:t>
      </w:r>
      <w:r w:rsidR="009828DD">
        <w:t xml:space="preserve"> estimated</w:t>
      </w:r>
      <w:r w:rsidRPr="00881392">
        <w:t xml:space="preserve"> costs of these safety and quality gaps are of a such a  magnitude that even small improvements are likely to have significant monetary impacts.</w:t>
      </w:r>
    </w:p>
    <w:p w14:paraId="44C3158D" w14:textId="77777777" w:rsidR="00BC2953" w:rsidRPr="00881392" w:rsidRDefault="00BC2953" w:rsidP="00BC2953">
      <w:pPr>
        <w:pStyle w:val="Normal2"/>
      </w:pPr>
      <w:r w:rsidRPr="00881392">
        <w:t>Feedback from the consultation processes conducted by the Commission indicate</w:t>
      </w:r>
      <w:r w:rsidR="00D037A4">
        <w:t>s</w:t>
      </w:r>
      <w:r w:rsidRPr="00881392">
        <w:t xml:space="preserve"> widespread support across the healthcare sector for version 2 of the NSQHS Standards, with 82 per cent of respondents supporting this option. </w:t>
      </w:r>
    </w:p>
    <w:p w14:paraId="0B1EA369" w14:textId="77777777" w:rsidR="00BC2953" w:rsidRPr="00881392" w:rsidRDefault="00BC2953" w:rsidP="00BC2953">
      <w:pPr>
        <w:pStyle w:val="Normal2"/>
      </w:pPr>
      <w:r w:rsidRPr="00881392">
        <w:t>There are additional costs associated with Option 2 for health service organisations related to:</w:t>
      </w:r>
    </w:p>
    <w:p w14:paraId="316F96D0" w14:textId="77777777" w:rsidR="00BC2953" w:rsidRPr="00881392" w:rsidRDefault="00BC2953" w:rsidP="00BC2953">
      <w:pPr>
        <w:pStyle w:val="Normal2"/>
        <w:numPr>
          <w:ilvl w:val="0"/>
          <w:numId w:val="68"/>
        </w:numPr>
      </w:pPr>
      <w:r w:rsidRPr="00881392">
        <w:t>aligning systems to version 2 of the NSQHS Standards</w:t>
      </w:r>
    </w:p>
    <w:p w14:paraId="20F96EB9" w14:textId="77777777" w:rsidR="00BC2953" w:rsidRPr="00881392" w:rsidRDefault="00BC2953" w:rsidP="00BC2953">
      <w:pPr>
        <w:pStyle w:val="Normal2"/>
        <w:numPr>
          <w:ilvl w:val="0"/>
          <w:numId w:val="68"/>
        </w:numPr>
      </w:pPr>
      <w:proofErr w:type="gramStart"/>
      <w:r w:rsidRPr="00881392">
        <w:t>training</w:t>
      </w:r>
      <w:proofErr w:type="gramEnd"/>
      <w:r w:rsidRPr="00881392">
        <w:t xml:space="preserve"> of the clinical workforce.</w:t>
      </w:r>
    </w:p>
    <w:p w14:paraId="1C197BC9" w14:textId="1F30D485" w:rsidR="00BC2953" w:rsidRPr="00881392" w:rsidRDefault="00BC2953" w:rsidP="00BC2953">
      <w:pPr>
        <w:pStyle w:val="Normal2"/>
      </w:pPr>
      <w:r w:rsidRPr="00881392">
        <w:t>There was no support for option 3, so no costs or benefits were identified. One respondent proposed an alternative option be explored.  However, the submission contained no detail about the proposal, so it was</w:t>
      </w:r>
      <w:r w:rsidR="00D037A4">
        <w:t xml:space="preserve"> not possible to </w:t>
      </w:r>
      <w:r w:rsidR="009828DD">
        <w:t xml:space="preserve">calculate the potential reductions in harm, or the savings from this option. </w:t>
      </w:r>
    </w:p>
    <w:p w14:paraId="18AE99ED" w14:textId="77777777" w:rsidR="00BC2953" w:rsidRPr="00881392" w:rsidRDefault="00BC2953" w:rsidP="00BC2953">
      <w:pPr>
        <w:pStyle w:val="Subheadingnolevel"/>
      </w:pPr>
      <w:r w:rsidRPr="00881392">
        <w:t>Recommendation</w:t>
      </w:r>
    </w:p>
    <w:p w14:paraId="7D53CCA5" w14:textId="036752B1" w:rsidR="00BC2953" w:rsidRPr="00881392" w:rsidRDefault="00BC2953" w:rsidP="00BC2953">
      <w:pPr>
        <w:pStyle w:val="Normal2"/>
      </w:pPr>
      <w:r w:rsidRPr="00881392">
        <w:t>To generate the greate</w:t>
      </w:r>
      <w:r w:rsidR="00D037A4">
        <w:t xml:space="preserve">st </w:t>
      </w:r>
      <w:r w:rsidR="009828DD">
        <w:t xml:space="preserve">reduction in harm </w:t>
      </w:r>
      <w:r w:rsidR="00D037A4">
        <w:t>for patients, and</w:t>
      </w:r>
      <w:r w:rsidRPr="00881392">
        <w:t xml:space="preserve"> community and health service organisations, the Commission is recommending option 2</w:t>
      </w:r>
      <w:r w:rsidR="00D037A4">
        <w:t>:</w:t>
      </w:r>
      <w:r w:rsidRPr="00881392">
        <w:t xml:space="preserve"> that version 2 of the NSQHS Standards </w:t>
      </w:r>
      <w:proofErr w:type="gramStart"/>
      <w:r w:rsidRPr="00881392">
        <w:t>be</w:t>
      </w:r>
      <w:proofErr w:type="gramEnd"/>
      <w:r w:rsidRPr="00881392">
        <w:t xml:space="preserve"> implemented from January 2019, where:</w:t>
      </w:r>
    </w:p>
    <w:p w14:paraId="12DED4F3" w14:textId="77777777" w:rsidR="00BC2953" w:rsidRPr="00881392" w:rsidRDefault="00BC2953" w:rsidP="00BC2953">
      <w:pPr>
        <w:pStyle w:val="Normal2"/>
        <w:numPr>
          <w:ilvl w:val="0"/>
          <w:numId w:val="69"/>
        </w:numPr>
      </w:pPr>
      <w:r w:rsidRPr="00881392">
        <w:t>version 2 of the NSQHS Standards is endorsed by health ministers</w:t>
      </w:r>
    </w:p>
    <w:p w14:paraId="099C1D43" w14:textId="77777777" w:rsidR="00BC2953" w:rsidRPr="00881392" w:rsidRDefault="00BC2953" w:rsidP="00BC2953">
      <w:pPr>
        <w:pStyle w:val="Normal2"/>
        <w:numPr>
          <w:ilvl w:val="0"/>
          <w:numId w:val="69"/>
        </w:numPr>
      </w:pPr>
      <w:proofErr w:type="gramStart"/>
      <w:r w:rsidRPr="00881392">
        <w:t>version</w:t>
      </w:r>
      <w:proofErr w:type="gramEnd"/>
      <w:r w:rsidRPr="00881392">
        <w:t xml:space="preserve"> 2 of the NSQHS Standards is used as a framework for safety and quality improvement activities, and for the purposes of assessment.</w:t>
      </w:r>
    </w:p>
    <w:p w14:paraId="451B428B" w14:textId="77777777" w:rsidR="00BC2953" w:rsidRPr="00881392" w:rsidRDefault="00BC2953" w:rsidP="00BC2953">
      <w:pPr>
        <w:pStyle w:val="Normal2"/>
      </w:pPr>
      <w:r w:rsidRPr="00881392">
        <w:t>This option:</w:t>
      </w:r>
    </w:p>
    <w:p w14:paraId="41D4B8F8" w14:textId="77777777" w:rsidR="00BC2953" w:rsidRPr="00881392" w:rsidRDefault="00BC2953" w:rsidP="00BC2953">
      <w:pPr>
        <w:pStyle w:val="Normal2"/>
        <w:numPr>
          <w:ilvl w:val="0"/>
          <w:numId w:val="70"/>
        </w:numPr>
      </w:pPr>
      <w:r w:rsidRPr="00881392">
        <w:t xml:space="preserve">resolves the implementation issues that all health service organisations currently encounter in implementing version 1 of the NSQHS Standards, reducing the resource burden associated with duplication in the </w:t>
      </w:r>
      <w:r w:rsidR="00D037A4">
        <w:t xml:space="preserve">NSQHS </w:t>
      </w:r>
      <w:r w:rsidRPr="00881392">
        <w:t>Standards</w:t>
      </w:r>
    </w:p>
    <w:p w14:paraId="18C8E035" w14:textId="77777777" w:rsidR="00BC2953" w:rsidRPr="00881392" w:rsidRDefault="00BC2953" w:rsidP="00BC2953">
      <w:pPr>
        <w:pStyle w:val="Normal2"/>
        <w:numPr>
          <w:ilvl w:val="0"/>
          <w:numId w:val="70"/>
        </w:numPr>
      </w:pPr>
      <w:r w:rsidRPr="00881392">
        <w:t>clarifies which members of the workforce are covered by version 2</w:t>
      </w:r>
    </w:p>
    <w:p w14:paraId="6D4E0A1F" w14:textId="77777777" w:rsidR="00BC2953" w:rsidRPr="00881392" w:rsidRDefault="00BC2953" w:rsidP="00BC2953">
      <w:pPr>
        <w:pStyle w:val="Normal2"/>
        <w:numPr>
          <w:ilvl w:val="0"/>
          <w:numId w:val="70"/>
        </w:numPr>
      </w:pPr>
      <w:r w:rsidRPr="00881392">
        <w:t>focuses clinical auditing and monitoring of performance on areas of greatest risk within an organisation, rather than in areas prescribed by version 1, where the risks may be minimal</w:t>
      </w:r>
    </w:p>
    <w:p w14:paraId="65E7424B" w14:textId="77777777" w:rsidR="00BC2953" w:rsidRPr="00881392" w:rsidRDefault="00BC2953" w:rsidP="00BC2953">
      <w:pPr>
        <w:pStyle w:val="Normal2"/>
        <w:numPr>
          <w:ilvl w:val="0"/>
          <w:numId w:val="70"/>
        </w:numPr>
      </w:pPr>
      <w:r w:rsidRPr="00881392">
        <w:t xml:space="preserve">ensures that the evidence base on which the </w:t>
      </w:r>
      <w:r w:rsidR="00D037A4">
        <w:t xml:space="preserve">NSQHS </w:t>
      </w:r>
      <w:r w:rsidRPr="00881392">
        <w:t>Standards rely is current and focuses effort in areas that will provide the greatest improvements in care</w:t>
      </w:r>
    </w:p>
    <w:p w14:paraId="73E71AF9" w14:textId="77777777" w:rsidR="00BC2953" w:rsidRPr="00881392" w:rsidRDefault="00BC2953" w:rsidP="00BC2953">
      <w:pPr>
        <w:pStyle w:val="Normal2"/>
        <w:numPr>
          <w:ilvl w:val="0"/>
          <w:numId w:val="70"/>
        </w:numPr>
      </w:pPr>
      <w:proofErr w:type="gramStart"/>
      <w:r w:rsidRPr="00881392">
        <w:t>ensures</w:t>
      </w:r>
      <w:proofErr w:type="gramEnd"/>
      <w:r w:rsidRPr="00881392">
        <w:t xml:space="preserve"> that action is taken nationally to address five major safety and quality areas in a systematic way in organisations where improvement efforts in these areas have not commenced; for health service organisations where strategies for these areas are in place, it can drive national consistency and coordination of effort. </w:t>
      </w:r>
    </w:p>
    <w:p w14:paraId="0402B999" w14:textId="77777777" w:rsidR="00BC2953" w:rsidRPr="00881392" w:rsidRDefault="00BC2953" w:rsidP="00BC2953">
      <w:pPr>
        <w:pStyle w:val="Normal2"/>
      </w:pPr>
      <w:r w:rsidRPr="00881392">
        <w:t>The extent of the cost of poor care is such that even small improvements in safety and quality have the potential for significant benefits, including reduced costs of services, reduced lost productivity for the community and reduced harm to patients.</w:t>
      </w:r>
    </w:p>
    <w:p w14:paraId="7796CEDD" w14:textId="77777777" w:rsidR="00BC2953" w:rsidRPr="00881392" w:rsidRDefault="00BC2953" w:rsidP="00BC2953">
      <w:pPr>
        <w:pStyle w:val="Heading1"/>
      </w:pPr>
      <w:bookmarkStart w:id="12" w:name="_Toc461178324"/>
      <w:r w:rsidRPr="00881392">
        <w:t>Appendix 1</w:t>
      </w:r>
      <w:r w:rsidR="00D037A4">
        <w:tab/>
        <w:t>Stakeholder distribution list</w:t>
      </w:r>
      <w:bookmarkEnd w:id="12"/>
    </w:p>
    <w:p w14:paraId="6F8ADB89" w14:textId="77777777" w:rsidR="00BC2953" w:rsidRPr="00DD67AC" w:rsidRDefault="00BC2953" w:rsidP="00D037A4">
      <w:pPr>
        <w:pStyle w:val="Caption"/>
        <w:ind w:firstLine="720"/>
      </w:pPr>
      <w:r w:rsidRPr="00DD67AC">
        <w:t xml:space="preserve">Table </w:t>
      </w:r>
      <w:fldSimple w:instr=" SEQ Table \* ARABIC ">
        <w:r w:rsidR="0068597B">
          <w:rPr>
            <w:noProof/>
          </w:rPr>
          <w:t>8</w:t>
        </w:r>
      </w:fldSimple>
      <w:r w:rsidRPr="00DD67AC">
        <w:t xml:space="preserve">: </w:t>
      </w:r>
    </w:p>
    <w:tbl>
      <w:tblPr>
        <w:tblStyle w:val="TableGrid"/>
        <w:tblW w:w="7386" w:type="dxa"/>
        <w:jc w:val="center"/>
        <w:tblLook w:val="04A0" w:firstRow="1" w:lastRow="0" w:firstColumn="1" w:lastColumn="0" w:noHBand="0" w:noVBand="1"/>
        <w:tblCaption w:val="Stakeholders distribution list"/>
      </w:tblPr>
      <w:tblGrid>
        <w:gridCol w:w="4680"/>
        <w:gridCol w:w="2706"/>
      </w:tblGrid>
      <w:tr w:rsidR="00BC2953" w:rsidRPr="00D037A4" w14:paraId="04380A2D" w14:textId="77777777" w:rsidTr="00030BC1">
        <w:trPr>
          <w:cnfStyle w:val="100000000000" w:firstRow="1" w:lastRow="0" w:firstColumn="0" w:lastColumn="0" w:oddVBand="0" w:evenVBand="0" w:oddHBand="0" w:evenHBand="0" w:firstRowFirstColumn="0" w:firstRowLastColumn="0" w:lastRowFirstColumn="0" w:lastRowLastColumn="0"/>
          <w:trHeight w:val="255"/>
          <w:tblHeader/>
          <w:jc w:val="center"/>
        </w:trPr>
        <w:tc>
          <w:tcPr>
            <w:tcW w:w="4680" w:type="dxa"/>
            <w:noWrap/>
          </w:tcPr>
          <w:p w14:paraId="3D14FC4C" w14:textId="77777777" w:rsidR="00BC2953" w:rsidRPr="00D037A4" w:rsidRDefault="00BC2953" w:rsidP="00D037A4">
            <w:pPr>
              <w:spacing w:before="40" w:after="40"/>
              <w:rPr>
                <w:rFonts w:ascii="Arial" w:hAnsi="Arial" w:cs="Arial"/>
                <w:sz w:val="20"/>
              </w:rPr>
            </w:pPr>
            <w:r w:rsidRPr="00D037A4">
              <w:rPr>
                <w:rFonts w:ascii="Arial" w:hAnsi="Arial" w:cs="Arial"/>
                <w:sz w:val="20"/>
              </w:rPr>
              <w:t>Organisation category</w:t>
            </w:r>
          </w:p>
        </w:tc>
        <w:tc>
          <w:tcPr>
            <w:tcW w:w="2706" w:type="dxa"/>
            <w:noWrap/>
          </w:tcPr>
          <w:p w14:paraId="691FCE3E" w14:textId="77777777" w:rsidR="00BC2953" w:rsidRPr="00D037A4" w:rsidRDefault="00BC2953" w:rsidP="00D037A4">
            <w:pPr>
              <w:spacing w:before="40" w:after="40"/>
              <w:rPr>
                <w:rFonts w:ascii="Arial" w:hAnsi="Arial" w:cs="Arial"/>
                <w:sz w:val="20"/>
              </w:rPr>
            </w:pPr>
            <w:r w:rsidRPr="00D037A4">
              <w:rPr>
                <w:rFonts w:ascii="Arial" w:hAnsi="Arial" w:cs="Arial"/>
                <w:sz w:val="20"/>
              </w:rPr>
              <w:t>No of unique addresses</w:t>
            </w:r>
          </w:p>
        </w:tc>
      </w:tr>
      <w:tr w:rsidR="00BC2953" w:rsidRPr="00D037A4" w14:paraId="156AE234" w14:textId="77777777" w:rsidTr="00030BC1">
        <w:trPr>
          <w:trHeight w:val="255"/>
          <w:jc w:val="center"/>
        </w:trPr>
        <w:tc>
          <w:tcPr>
            <w:tcW w:w="4680" w:type="dxa"/>
            <w:noWrap/>
          </w:tcPr>
          <w:p w14:paraId="74EB182B" w14:textId="77777777" w:rsidR="00BC2953" w:rsidRPr="00D037A4" w:rsidRDefault="00BC2953" w:rsidP="00D037A4">
            <w:pPr>
              <w:spacing w:before="40" w:after="40"/>
              <w:rPr>
                <w:rFonts w:ascii="Arial" w:hAnsi="Arial" w:cs="Arial"/>
                <w:sz w:val="20"/>
              </w:rPr>
            </w:pPr>
            <w:r w:rsidRPr="00D037A4">
              <w:rPr>
                <w:rFonts w:ascii="Arial" w:hAnsi="Arial" w:cs="Arial"/>
                <w:sz w:val="20"/>
              </w:rPr>
              <w:t>Aboriginal and Torres Strait Islander Working Group</w:t>
            </w:r>
          </w:p>
        </w:tc>
        <w:tc>
          <w:tcPr>
            <w:tcW w:w="2706" w:type="dxa"/>
            <w:noWrap/>
          </w:tcPr>
          <w:p w14:paraId="7A0B0FD2" w14:textId="77777777" w:rsidR="00BC2953" w:rsidRPr="00D037A4" w:rsidRDefault="00BC2953" w:rsidP="00D037A4">
            <w:pPr>
              <w:spacing w:before="40" w:after="40"/>
              <w:rPr>
                <w:rFonts w:ascii="Arial" w:hAnsi="Arial" w:cs="Arial"/>
                <w:sz w:val="20"/>
              </w:rPr>
            </w:pPr>
            <w:r w:rsidRPr="00D037A4">
              <w:rPr>
                <w:rFonts w:ascii="Arial" w:hAnsi="Arial" w:cs="Arial"/>
                <w:sz w:val="20"/>
              </w:rPr>
              <w:t>7</w:t>
            </w:r>
          </w:p>
        </w:tc>
      </w:tr>
      <w:tr w:rsidR="00BC2953" w:rsidRPr="00D037A4" w14:paraId="1F67D5D0" w14:textId="77777777" w:rsidTr="00030BC1">
        <w:trPr>
          <w:trHeight w:val="255"/>
          <w:jc w:val="center"/>
        </w:trPr>
        <w:tc>
          <w:tcPr>
            <w:tcW w:w="4680" w:type="dxa"/>
            <w:noWrap/>
            <w:hideMark/>
          </w:tcPr>
          <w:p w14:paraId="4074A28F" w14:textId="77777777" w:rsidR="00BC2953" w:rsidRPr="00D037A4" w:rsidRDefault="00BC2953" w:rsidP="00D037A4">
            <w:pPr>
              <w:spacing w:before="40" w:after="40"/>
              <w:rPr>
                <w:rFonts w:ascii="Arial" w:hAnsi="Arial" w:cs="Arial"/>
                <w:sz w:val="20"/>
              </w:rPr>
            </w:pPr>
            <w:r w:rsidRPr="00D037A4">
              <w:rPr>
                <w:rFonts w:ascii="Arial" w:hAnsi="Arial" w:cs="Arial"/>
                <w:sz w:val="20"/>
              </w:rPr>
              <w:t>Accrediting Agencies Working Group</w:t>
            </w:r>
          </w:p>
        </w:tc>
        <w:tc>
          <w:tcPr>
            <w:tcW w:w="2706" w:type="dxa"/>
            <w:noWrap/>
            <w:hideMark/>
          </w:tcPr>
          <w:p w14:paraId="558D0E3B" w14:textId="77777777" w:rsidR="00BC2953" w:rsidRPr="00D037A4" w:rsidRDefault="00BC2953" w:rsidP="00D037A4">
            <w:pPr>
              <w:spacing w:before="40" w:after="40"/>
              <w:rPr>
                <w:rFonts w:ascii="Arial" w:hAnsi="Arial" w:cs="Arial"/>
                <w:sz w:val="20"/>
              </w:rPr>
            </w:pPr>
            <w:r w:rsidRPr="00D037A4">
              <w:rPr>
                <w:rFonts w:ascii="Arial" w:hAnsi="Arial" w:cs="Arial"/>
                <w:sz w:val="20"/>
              </w:rPr>
              <w:t>17</w:t>
            </w:r>
          </w:p>
        </w:tc>
      </w:tr>
      <w:tr w:rsidR="00BC2953" w:rsidRPr="00D037A4" w14:paraId="0D699762" w14:textId="77777777" w:rsidTr="00030BC1">
        <w:trPr>
          <w:trHeight w:val="255"/>
          <w:jc w:val="center"/>
        </w:trPr>
        <w:tc>
          <w:tcPr>
            <w:tcW w:w="4680" w:type="dxa"/>
            <w:noWrap/>
            <w:hideMark/>
          </w:tcPr>
          <w:p w14:paraId="6D824103" w14:textId="77777777" w:rsidR="00BC2953" w:rsidRPr="00D037A4" w:rsidRDefault="00BC2953" w:rsidP="00D037A4">
            <w:pPr>
              <w:spacing w:before="40" w:after="40"/>
              <w:rPr>
                <w:rFonts w:ascii="Arial" w:hAnsi="Arial" w:cs="Arial"/>
                <w:sz w:val="20"/>
              </w:rPr>
            </w:pPr>
            <w:r w:rsidRPr="00D037A4">
              <w:rPr>
                <w:rFonts w:ascii="Arial" w:hAnsi="Arial" w:cs="Arial"/>
                <w:sz w:val="20"/>
              </w:rPr>
              <w:t>Allied Health Professionals Association</w:t>
            </w:r>
          </w:p>
        </w:tc>
        <w:tc>
          <w:tcPr>
            <w:tcW w:w="2706" w:type="dxa"/>
            <w:noWrap/>
            <w:hideMark/>
          </w:tcPr>
          <w:p w14:paraId="3904EFA0"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27424C40" w14:textId="77777777" w:rsidTr="00030BC1">
        <w:trPr>
          <w:trHeight w:val="255"/>
          <w:jc w:val="center"/>
        </w:trPr>
        <w:tc>
          <w:tcPr>
            <w:tcW w:w="4680" w:type="dxa"/>
            <w:noWrap/>
            <w:hideMark/>
          </w:tcPr>
          <w:p w14:paraId="26E13E4E" w14:textId="77777777" w:rsidR="00BC2953" w:rsidRPr="00D037A4" w:rsidRDefault="00BC2953" w:rsidP="00D037A4">
            <w:pPr>
              <w:spacing w:before="40" w:after="40"/>
              <w:rPr>
                <w:rFonts w:ascii="Arial" w:hAnsi="Arial" w:cs="Arial"/>
                <w:sz w:val="20"/>
              </w:rPr>
            </w:pPr>
            <w:r w:rsidRPr="00D037A4">
              <w:rPr>
                <w:rFonts w:ascii="Arial" w:hAnsi="Arial" w:cs="Arial"/>
                <w:sz w:val="20"/>
              </w:rPr>
              <w:t>Ambulance services nationally</w:t>
            </w:r>
          </w:p>
        </w:tc>
        <w:tc>
          <w:tcPr>
            <w:tcW w:w="2706" w:type="dxa"/>
            <w:noWrap/>
            <w:hideMark/>
          </w:tcPr>
          <w:p w14:paraId="2A1FF68D" w14:textId="77777777" w:rsidR="00BC2953" w:rsidRPr="00D037A4" w:rsidRDefault="00BC2953" w:rsidP="00D037A4">
            <w:pPr>
              <w:spacing w:before="40" w:after="40"/>
              <w:rPr>
                <w:rFonts w:ascii="Arial" w:hAnsi="Arial" w:cs="Arial"/>
                <w:sz w:val="20"/>
              </w:rPr>
            </w:pPr>
            <w:r w:rsidRPr="00D037A4">
              <w:rPr>
                <w:rFonts w:ascii="Arial" w:hAnsi="Arial" w:cs="Arial"/>
                <w:sz w:val="20"/>
              </w:rPr>
              <w:t>10</w:t>
            </w:r>
          </w:p>
        </w:tc>
      </w:tr>
      <w:tr w:rsidR="00BC2953" w:rsidRPr="00D037A4" w14:paraId="6443E63D" w14:textId="77777777" w:rsidTr="00030BC1">
        <w:trPr>
          <w:trHeight w:val="255"/>
          <w:jc w:val="center"/>
        </w:trPr>
        <w:tc>
          <w:tcPr>
            <w:tcW w:w="4680" w:type="dxa"/>
            <w:noWrap/>
            <w:hideMark/>
          </w:tcPr>
          <w:p w14:paraId="3574029A" w14:textId="77777777" w:rsidR="00BC2953" w:rsidRPr="00D037A4" w:rsidRDefault="00BC2953" w:rsidP="00D037A4">
            <w:pPr>
              <w:spacing w:before="40" w:after="40"/>
              <w:rPr>
                <w:rFonts w:ascii="Arial" w:hAnsi="Arial" w:cs="Arial"/>
                <w:sz w:val="20"/>
              </w:rPr>
            </w:pPr>
            <w:r w:rsidRPr="00D037A4">
              <w:rPr>
                <w:rFonts w:ascii="Arial" w:hAnsi="Arial" w:cs="Arial"/>
                <w:sz w:val="20"/>
              </w:rPr>
              <w:t>Australian College of Health Informatics</w:t>
            </w:r>
          </w:p>
        </w:tc>
        <w:tc>
          <w:tcPr>
            <w:tcW w:w="2706" w:type="dxa"/>
            <w:noWrap/>
            <w:hideMark/>
          </w:tcPr>
          <w:p w14:paraId="3E948F22"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381E6066" w14:textId="77777777" w:rsidTr="00030BC1">
        <w:trPr>
          <w:trHeight w:val="255"/>
          <w:jc w:val="center"/>
        </w:trPr>
        <w:tc>
          <w:tcPr>
            <w:tcW w:w="4680" w:type="dxa"/>
            <w:noWrap/>
            <w:hideMark/>
          </w:tcPr>
          <w:p w14:paraId="1BE498AA" w14:textId="77777777" w:rsidR="00BC2953" w:rsidRPr="00D037A4" w:rsidRDefault="00BC2953" w:rsidP="00D037A4">
            <w:pPr>
              <w:spacing w:before="40" w:after="40"/>
              <w:rPr>
                <w:rFonts w:ascii="Arial" w:hAnsi="Arial" w:cs="Arial"/>
                <w:sz w:val="20"/>
              </w:rPr>
            </w:pPr>
            <w:r w:rsidRPr="00D037A4">
              <w:rPr>
                <w:rFonts w:ascii="Arial" w:hAnsi="Arial" w:cs="Arial"/>
                <w:sz w:val="20"/>
              </w:rPr>
              <w:t>Australian Day Hospital Association</w:t>
            </w:r>
          </w:p>
        </w:tc>
        <w:tc>
          <w:tcPr>
            <w:tcW w:w="2706" w:type="dxa"/>
            <w:noWrap/>
            <w:hideMark/>
          </w:tcPr>
          <w:p w14:paraId="2BC177D1"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7A43BC31" w14:textId="77777777" w:rsidTr="00030BC1">
        <w:trPr>
          <w:trHeight w:val="255"/>
          <w:jc w:val="center"/>
        </w:trPr>
        <w:tc>
          <w:tcPr>
            <w:tcW w:w="4680" w:type="dxa"/>
            <w:noWrap/>
            <w:hideMark/>
          </w:tcPr>
          <w:p w14:paraId="0064E9DF" w14:textId="77777777" w:rsidR="00BC2953" w:rsidRPr="00D037A4" w:rsidRDefault="00BC2953" w:rsidP="00D037A4">
            <w:pPr>
              <w:spacing w:before="40" w:after="40"/>
              <w:rPr>
                <w:rFonts w:ascii="Arial" w:hAnsi="Arial" w:cs="Arial"/>
                <w:sz w:val="20"/>
              </w:rPr>
            </w:pPr>
            <w:r w:rsidRPr="00D037A4">
              <w:rPr>
                <w:rFonts w:ascii="Arial" w:hAnsi="Arial" w:cs="Arial"/>
                <w:sz w:val="20"/>
              </w:rPr>
              <w:t>Australian Dental Association</w:t>
            </w:r>
          </w:p>
        </w:tc>
        <w:tc>
          <w:tcPr>
            <w:tcW w:w="2706" w:type="dxa"/>
            <w:noWrap/>
            <w:hideMark/>
          </w:tcPr>
          <w:p w14:paraId="3A6CC80F" w14:textId="77777777" w:rsidR="00BC2953" w:rsidRPr="00D037A4" w:rsidRDefault="00BC2953" w:rsidP="00D037A4">
            <w:pPr>
              <w:spacing w:before="40" w:after="40"/>
              <w:rPr>
                <w:rFonts w:ascii="Arial" w:hAnsi="Arial" w:cs="Arial"/>
                <w:sz w:val="20"/>
              </w:rPr>
            </w:pPr>
            <w:r w:rsidRPr="00D037A4">
              <w:rPr>
                <w:rFonts w:ascii="Arial" w:hAnsi="Arial" w:cs="Arial"/>
                <w:sz w:val="20"/>
              </w:rPr>
              <w:t>3</w:t>
            </w:r>
          </w:p>
        </w:tc>
      </w:tr>
      <w:tr w:rsidR="00BC2953" w:rsidRPr="00D037A4" w14:paraId="450FAF02" w14:textId="77777777" w:rsidTr="00030BC1">
        <w:trPr>
          <w:trHeight w:val="255"/>
          <w:jc w:val="center"/>
        </w:trPr>
        <w:tc>
          <w:tcPr>
            <w:tcW w:w="4680" w:type="dxa"/>
            <w:noWrap/>
            <w:hideMark/>
          </w:tcPr>
          <w:p w14:paraId="13979CBD" w14:textId="77777777" w:rsidR="00BC2953" w:rsidRPr="00D037A4" w:rsidRDefault="00BC2953" w:rsidP="00D037A4">
            <w:pPr>
              <w:spacing w:before="40" w:after="40"/>
              <w:rPr>
                <w:rFonts w:ascii="Arial" w:hAnsi="Arial" w:cs="Arial"/>
                <w:sz w:val="20"/>
              </w:rPr>
            </w:pPr>
            <w:r w:rsidRPr="00D037A4">
              <w:rPr>
                <w:rFonts w:ascii="Arial" w:hAnsi="Arial" w:cs="Arial"/>
                <w:sz w:val="20"/>
              </w:rPr>
              <w:t>Australian Private Hospitals Association</w:t>
            </w:r>
          </w:p>
        </w:tc>
        <w:tc>
          <w:tcPr>
            <w:tcW w:w="2706" w:type="dxa"/>
            <w:noWrap/>
            <w:hideMark/>
          </w:tcPr>
          <w:p w14:paraId="3A64B8BB"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355FDABF" w14:textId="77777777" w:rsidTr="00030BC1">
        <w:trPr>
          <w:trHeight w:val="255"/>
          <w:jc w:val="center"/>
        </w:trPr>
        <w:tc>
          <w:tcPr>
            <w:tcW w:w="4680" w:type="dxa"/>
            <w:noWrap/>
            <w:hideMark/>
          </w:tcPr>
          <w:p w14:paraId="05B9A7BD" w14:textId="77777777" w:rsidR="00BC2953" w:rsidRPr="00D037A4" w:rsidRDefault="00BC2953" w:rsidP="00D037A4">
            <w:pPr>
              <w:spacing w:before="40" w:after="40"/>
              <w:rPr>
                <w:rFonts w:ascii="Arial" w:hAnsi="Arial" w:cs="Arial"/>
                <w:sz w:val="20"/>
              </w:rPr>
            </w:pPr>
            <w:r w:rsidRPr="00D037A4">
              <w:rPr>
                <w:rFonts w:ascii="Arial" w:hAnsi="Arial" w:cs="Arial"/>
                <w:sz w:val="20"/>
              </w:rPr>
              <w:t>Catholic Health Australia</w:t>
            </w:r>
          </w:p>
        </w:tc>
        <w:tc>
          <w:tcPr>
            <w:tcW w:w="2706" w:type="dxa"/>
            <w:noWrap/>
            <w:hideMark/>
          </w:tcPr>
          <w:p w14:paraId="3E64A021"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310F0883" w14:textId="77777777" w:rsidTr="00030BC1">
        <w:trPr>
          <w:trHeight w:val="255"/>
          <w:jc w:val="center"/>
        </w:trPr>
        <w:tc>
          <w:tcPr>
            <w:tcW w:w="4680" w:type="dxa"/>
            <w:noWrap/>
            <w:hideMark/>
          </w:tcPr>
          <w:p w14:paraId="3957932D" w14:textId="77777777" w:rsidR="00BC2953" w:rsidRPr="00D037A4" w:rsidRDefault="00BC2953" w:rsidP="00D037A4">
            <w:pPr>
              <w:spacing w:before="40" w:after="40"/>
              <w:rPr>
                <w:rFonts w:ascii="Arial" w:hAnsi="Arial" w:cs="Arial"/>
                <w:sz w:val="20"/>
              </w:rPr>
            </w:pPr>
            <w:r w:rsidRPr="00D037A4">
              <w:rPr>
                <w:rFonts w:ascii="Arial" w:hAnsi="Arial" w:cs="Arial"/>
                <w:sz w:val="20"/>
              </w:rPr>
              <w:t>Consumer organisations</w:t>
            </w:r>
          </w:p>
        </w:tc>
        <w:tc>
          <w:tcPr>
            <w:tcW w:w="2706" w:type="dxa"/>
            <w:noWrap/>
            <w:hideMark/>
          </w:tcPr>
          <w:p w14:paraId="6FB5EB41" w14:textId="77777777" w:rsidR="00BC2953" w:rsidRPr="00D037A4" w:rsidRDefault="00BC2953" w:rsidP="00D037A4">
            <w:pPr>
              <w:spacing w:before="40" w:after="40"/>
              <w:rPr>
                <w:rFonts w:ascii="Arial" w:hAnsi="Arial" w:cs="Arial"/>
                <w:sz w:val="20"/>
              </w:rPr>
            </w:pPr>
            <w:r w:rsidRPr="00D037A4">
              <w:rPr>
                <w:rFonts w:ascii="Arial" w:hAnsi="Arial" w:cs="Arial"/>
                <w:sz w:val="20"/>
              </w:rPr>
              <w:t>8</w:t>
            </w:r>
          </w:p>
        </w:tc>
      </w:tr>
      <w:tr w:rsidR="00BC2953" w:rsidRPr="00D037A4" w14:paraId="28762CBC" w14:textId="77777777" w:rsidTr="00030BC1">
        <w:trPr>
          <w:trHeight w:val="255"/>
          <w:jc w:val="center"/>
        </w:trPr>
        <w:tc>
          <w:tcPr>
            <w:tcW w:w="4680" w:type="dxa"/>
            <w:noWrap/>
            <w:hideMark/>
          </w:tcPr>
          <w:p w14:paraId="28C652A6" w14:textId="77777777" w:rsidR="00BC2953" w:rsidRPr="00D037A4" w:rsidRDefault="00BC2953" w:rsidP="00D037A4">
            <w:pPr>
              <w:spacing w:before="40" w:after="40"/>
              <w:rPr>
                <w:rFonts w:ascii="Arial" w:hAnsi="Arial" w:cs="Arial"/>
                <w:sz w:val="20"/>
              </w:rPr>
            </w:pPr>
            <w:proofErr w:type="spellStart"/>
            <w:r w:rsidRPr="00D037A4">
              <w:rPr>
                <w:rFonts w:ascii="Arial" w:hAnsi="Arial" w:cs="Arial"/>
                <w:sz w:val="20"/>
              </w:rPr>
              <w:t>CRANAPlus</w:t>
            </w:r>
            <w:proofErr w:type="spellEnd"/>
          </w:p>
        </w:tc>
        <w:tc>
          <w:tcPr>
            <w:tcW w:w="2706" w:type="dxa"/>
            <w:noWrap/>
            <w:hideMark/>
          </w:tcPr>
          <w:p w14:paraId="5B5D619A"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r>
      <w:tr w:rsidR="00BC2953" w:rsidRPr="00D037A4" w14:paraId="77543ECB" w14:textId="77777777" w:rsidTr="00030BC1">
        <w:trPr>
          <w:trHeight w:val="255"/>
          <w:jc w:val="center"/>
        </w:trPr>
        <w:tc>
          <w:tcPr>
            <w:tcW w:w="4680" w:type="dxa"/>
            <w:noWrap/>
            <w:hideMark/>
          </w:tcPr>
          <w:p w14:paraId="589EEF54" w14:textId="77777777" w:rsidR="00BC2953" w:rsidRPr="00D037A4" w:rsidRDefault="00BC2953" w:rsidP="00D037A4">
            <w:pPr>
              <w:spacing w:before="40" w:after="40"/>
              <w:rPr>
                <w:rFonts w:ascii="Arial" w:hAnsi="Arial" w:cs="Arial"/>
                <w:sz w:val="20"/>
              </w:rPr>
            </w:pPr>
            <w:r w:rsidRPr="00D037A4">
              <w:rPr>
                <w:rFonts w:ascii="Arial" w:hAnsi="Arial" w:cs="Arial"/>
                <w:sz w:val="20"/>
              </w:rPr>
              <w:t>Department of Veterans Affairs</w:t>
            </w:r>
          </w:p>
        </w:tc>
        <w:tc>
          <w:tcPr>
            <w:tcW w:w="2706" w:type="dxa"/>
            <w:noWrap/>
            <w:hideMark/>
          </w:tcPr>
          <w:p w14:paraId="64504AD8" w14:textId="77777777" w:rsidR="00BC2953" w:rsidRPr="00D037A4" w:rsidRDefault="00BC2953" w:rsidP="00D037A4">
            <w:pPr>
              <w:spacing w:before="40" w:after="40"/>
              <w:rPr>
                <w:rFonts w:ascii="Arial" w:hAnsi="Arial" w:cs="Arial"/>
                <w:sz w:val="20"/>
              </w:rPr>
            </w:pPr>
            <w:r w:rsidRPr="00D037A4">
              <w:rPr>
                <w:rFonts w:ascii="Arial" w:hAnsi="Arial" w:cs="Arial"/>
                <w:sz w:val="20"/>
              </w:rPr>
              <w:t>3</w:t>
            </w:r>
          </w:p>
        </w:tc>
      </w:tr>
      <w:tr w:rsidR="00BC2953" w:rsidRPr="00D037A4" w14:paraId="08ABE9D7" w14:textId="77777777" w:rsidTr="00030BC1">
        <w:trPr>
          <w:trHeight w:val="255"/>
          <w:jc w:val="center"/>
        </w:trPr>
        <w:tc>
          <w:tcPr>
            <w:tcW w:w="4680" w:type="dxa"/>
            <w:noWrap/>
            <w:hideMark/>
          </w:tcPr>
          <w:p w14:paraId="75F9FB63" w14:textId="77777777" w:rsidR="00BC2953" w:rsidRPr="00D037A4" w:rsidRDefault="00BC2953" w:rsidP="00D037A4">
            <w:pPr>
              <w:spacing w:before="40" w:after="40"/>
              <w:rPr>
                <w:rFonts w:ascii="Arial" w:hAnsi="Arial" w:cs="Arial"/>
                <w:sz w:val="20"/>
              </w:rPr>
            </w:pPr>
            <w:r w:rsidRPr="00D037A4">
              <w:rPr>
                <w:rFonts w:ascii="Arial" w:hAnsi="Arial" w:cs="Arial"/>
                <w:sz w:val="20"/>
              </w:rPr>
              <w:t xml:space="preserve">Falls working group </w:t>
            </w:r>
          </w:p>
        </w:tc>
        <w:tc>
          <w:tcPr>
            <w:tcW w:w="2706" w:type="dxa"/>
            <w:noWrap/>
            <w:hideMark/>
          </w:tcPr>
          <w:p w14:paraId="122DF8BB" w14:textId="77777777" w:rsidR="00BC2953" w:rsidRPr="00D037A4" w:rsidRDefault="00BC2953" w:rsidP="00D037A4">
            <w:pPr>
              <w:spacing w:before="40" w:after="40"/>
              <w:rPr>
                <w:rFonts w:ascii="Arial" w:hAnsi="Arial" w:cs="Arial"/>
                <w:sz w:val="20"/>
              </w:rPr>
            </w:pPr>
            <w:r w:rsidRPr="00D037A4">
              <w:rPr>
                <w:rFonts w:ascii="Arial" w:hAnsi="Arial" w:cs="Arial"/>
                <w:sz w:val="20"/>
              </w:rPr>
              <w:t>17</w:t>
            </w:r>
          </w:p>
        </w:tc>
      </w:tr>
      <w:tr w:rsidR="00BC2953" w:rsidRPr="00D037A4" w14:paraId="75DB7CC0" w14:textId="77777777" w:rsidTr="00030BC1">
        <w:trPr>
          <w:trHeight w:val="255"/>
          <w:jc w:val="center"/>
        </w:trPr>
        <w:tc>
          <w:tcPr>
            <w:tcW w:w="4680" w:type="dxa"/>
            <w:noWrap/>
            <w:hideMark/>
          </w:tcPr>
          <w:p w14:paraId="463690A8" w14:textId="77777777" w:rsidR="00BC2953" w:rsidRPr="00D037A4" w:rsidRDefault="00BC2953" w:rsidP="00D037A4">
            <w:pPr>
              <w:spacing w:before="40" w:after="40"/>
              <w:rPr>
                <w:rFonts w:ascii="Arial" w:hAnsi="Arial" w:cs="Arial"/>
                <w:sz w:val="20"/>
              </w:rPr>
            </w:pPr>
            <w:r w:rsidRPr="00D037A4">
              <w:rPr>
                <w:rFonts w:ascii="Arial" w:hAnsi="Arial" w:cs="Arial"/>
                <w:sz w:val="20"/>
              </w:rPr>
              <w:t>Multipurpose Services Project Advisory Committee</w:t>
            </w:r>
          </w:p>
        </w:tc>
        <w:tc>
          <w:tcPr>
            <w:tcW w:w="2706" w:type="dxa"/>
            <w:noWrap/>
            <w:hideMark/>
          </w:tcPr>
          <w:p w14:paraId="365855AC" w14:textId="77777777" w:rsidR="00BC2953" w:rsidRPr="00D037A4" w:rsidRDefault="00BC2953" w:rsidP="00D037A4">
            <w:pPr>
              <w:spacing w:before="40" w:after="40"/>
              <w:rPr>
                <w:rFonts w:ascii="Arial" w:hAnsi="Arial" w:cs="Arial"/>
                <w:sz w:val="20"/>
              </w:rPr>
            </w:pPr>
            <w:r w:rsidRPr="00D037A4">
              <w:rPr>
                <w:rFonts w:ascii="Arial" w:hAnsi="Arial" w:cs="Arial"/>
                <w:sz w:val="20"/>
              </w:rPr>
              <w:t>14</w:t>
            </w:r>
          </w:p>
        </w:tc>
      </w:tr>
      <w:tr w:rsidR="00BC2953" w:rsidRPr="00D037A4" w14:paraId="52BC5DB9" w14:textId="77777777" w:rsidTr="00030BC1">
        <w:trPr>
          <w:trHeight w:val="255"/>
          <w:jc w:val="center"/>
        </w:trPr>
        <w:tc>
          <w:tcPr>
            <w:tcW w:w="4680" w:type="dxa"/>
            <w:noWrap/>
            <w:hideMark/>
          </w:tcPr>
          <w:p w14:paraId="004DC6B8" w14:textId="77777777" w:rsidR="00BC2953" w:rsidRPr="00D037A4" w:rsidRDefault="00BC2953" w:rsidP="00D037A4">
            <w:pPr>
              <w:spacing w:before="40" w:after="40"/>
              <w:rPr>
                <w:rFonts w:ascii="Arial" w:hAnsi="Arial" w:cs="Arial"/>
                <w:sz w:val="20"/>
              </w:rPr>
            </w:pPr>
            <w:r w:rsidRPr="00D037A4">
              <w:rPr>
                <w:rFonts w:ascii="Arial" w:hAnsi="Arial" w:cs="Arial"/>
                <w:sz w:val="20"/>
              </w:rPr>
              <w:t>National Blood Authority</w:t>
            </w:r>
          </w:p>
        </w:tc>
        <w:tc>
          <w:tcPr>
            <w:tcW w:w="2706" w:type="dxa"/>
            <w:noWrap/>
            <w:hideMark/>
          </w:tcPr>
          <w:p w14:paraId="42CD22C9"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42F3924E" w14:textId="77777777" w:rsidTr="00030BC1">
        <w:trPr>
          <w:trHeight w:val="255"/>
          <w:jc w:val="center"/>
        </w:trPr>
        <w:tc>
          <w:tcPr>
            <w:tcW w:w="4680" w:type="dxa"/>
            <w:noWrap/>
            <w:hideMark/>
          </w:tcPr>
          <w:p w14:paraId="1F646F3B" w14:textId="77777777" w:rsidR="00BC2953" w:rsidRPr="00D037A4" w:rsidRDefault="00BC2953" w:rsidP="00D037A4">
            <w:pPr>
              <w:spacing w:before="40" w:after="40"/>
              <w:rPr>
                <w:rFonts w:ascii="Arial" w:hAnsi="Arial" w:cs="Arial"/>
                <w:sz w:val="20"/>
              </w:rPr>
            </w:pPr>
            <w:r w:rsidRPr="00D037A4">
              <w:rPr>
                <w:rFonts w:ascii="Arial" w:hAnsi="Arial" w:cs="Arial"/>
                <w:sz w:val="20"/>
              </w:rPr>
              <w:t>National Centre for Cultural Competency</w:t>
            </w:r>
          </w:p>
        </w:tc>
        <w:tc>
          <w:tcPr>
            <w:tcW w:w="2706" w:type="dxa"/>
            <w:noWrap/>
            <w:hideMark/>
          </w:tcPr>
          <w:p w14:paraId="6B0BE8EC"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118F4E0F" w14:textId="77777777" w:rsidTr="00030BC1">
        <w:trPr>
          <w:trHeight w:val="255"/>
          <w:jc w:val="center"/>
        </w:trPr>
        <w:tc>
          <w:tcPr>
            <w:tcW w:w="4680" w:type="dxa"/>
            <w:noWrap/>
            <w:hideMark/>
          </w:tcPr>
          <w:p w14:paraId="15409BD2" w14:textId="77777777" w:rsidR="00BC2953" w:rsidRPr="00D037A4" w:rsidRDefault="00BC2953" w:rsidP="00D037A4">
            <w:pPr>
              <w:spacing w:before="40" w:after="40"/>
              <w:rPr>
                <w:rFonts w:ascii="Arial" w:hAnsi="Arial" w:cs="Arial"/>
                <w:sz w:val="20"/>
              </w:rPr>
            </w:pPr>
            <w:r w:rsidRPr="00D037A4">
              <w:rPr>
                <w:rFonts w:ascii="Arial" w:hAnsi="Arial" w:cs="Arial"/>
                <w:sz w:val="20"/>
              </w:rPr>
              <w:t>National Aboriginal and Torres Strait Islander Health Standing Committee secretariat</w:t>
            </w:r>
          </w:p>
        </w:tc>
        <w:tc>
          <w:tcPr>
            <w:tcW w:w="2706" w:type="dxa"/>
            <w:noWrap/>
            <w:hideMark/>
          </w:tcPr>
          <w:p w14:paraId="6AA686D3"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734AD71E" w14:textId="77777777" w:rsidTr="00030BC1">
        <w:trPr>
          <w:trHeight w:val="255"/>
          <w:jc w:val="center"/>
        </w:trPr>
        <w:tc>
          <w:tcPr>
            <w:tcW w:w="4680" w:type="dxa"/>
            <w:noWrap/>
            <w:hideMark/>
          </w:tcPr>
          <w:p w14:paraId="41B23D29" w14:textId="77777777" w:rsidR="00BC2953" w:rsidRPr="00D037A4" w:rsidRDefault="00BC2953" w:rsidP="00D037A4">
            <w:pPr>
              <w:spacing w:before="40" w:after="40"/>
              <w:rPr>
                <w:rFonts w:ascii="Arial" w:hAnsi="Arial" w:cs="Arial"/>
                <w:sz w:val="20"/>
              </w:rPr>
            </w:pPr>
            <w:r w:rsidRPr="00D037A4">
              <w:rPr>
                <w:rFonts w:ascii="Arial" w:hAnsi="Arial" w:cs="Arial"/>
                <w:sz w:val="20"/>
              </w:rPr>
              <w:t>NSQHS Standards Steering Committee</w:t>
            </w:r>
          </w:p>
        </w:tc>
        <w:tc>
          <w:tcPr>
            <w:tcW w:w="2706" w:type="dxa"/>
            <w:noWrap/>
            <w:hideMark/>
          </w:tcPr>
          <w:p w14:paraId="6DE13212" w14:textId="77777777" w:rsidR="00BC2953" w:rsidRPr="00D037A4" w:rsidRDefault="00BC2953" w:rsidP="00D037A4">
            <w:pPr>
              <w:spacing w:before="40" w:after="40"/>
              <w:rPr>
                <w:rFonts w:ascii="Arial" w:hAnsi="Arial" w:cs="Arial"/>
                <w:sz w:val="20"/>
              </w:rPr>
            </w:pPr>
            <w:r w:rsidRPr="00D037A4">
              <w:rPr>
                <w:rFonts w:ascii="Arial" w:hAnsi="Arial" w:cs="Arial"/>
                <w:sz w:val="20"/>
              </w:rPr>
              <w:t>17</w:t>
            </w:r>
          </w:p>
        </w:tc>
      </w:tr>
      <w:tr w:rsidR="00BC2953" w:rsidRPr="00D037A4" w14:paraId="74595BF9" w14:textId="77777777" w:rsidTr="00030BC1">
        <w:trPr>
          <w:trHeight w:val="255"/>
          <w:jc w:val="center"/>
        </w:trPr>
        <w:tc>
          <w:tcPr>
            <w:tcW w:w="4680" w:type="dxa"/>
            <w:noWrap/>
            <w:hideMark/>
          </w:tcPr>
          <w:p w14:paraId="192BA066" w14:textId="77777777" w:rsidR="00BC2953" w:rsidRPr="00D037A4" w:rsidRDefault="00BC2953" w:rsidP="00D037A4">
            <w:pPr>
              <w:spacing w:before="40" w:after="40"/>
              <w:rPr>
                <w:rFonts w:ascii="Arial" w:hAnsi="Arial" w:cs="Arial"/>
                <w:sz w:val="20"/>
              </w:rPr>
            </w:pPr>
            <w:r w:rsidRPr="00D037A4">
              <w:rPr>
                <w:rFonts w:ascii="Arial" w:hAnsi="Arial" w:cs="Arial"/>
                <w:sz w:val="20"/>
              </w:rPr>
              <w:t>NSQHS Standards pilot sites</w:t>
            </w:r>
          </w:p>
        </w:tc>
        <w:tc>
          <w:tcPr>
            <w:tcW w:w="2706" w:type="dxa"/>
            <w:noWrap/>
            <w:hideMark/>
          </w:tcPr>
          <w:p w14:paraId="39B51E54" w14:textId="77777777" w:rsidR="00BC2953" w:rsidRPr="00D037A4" w:rsidRDefault="00BC2953" w:rsidP="00D037A4">
            <w:pPr>
              <w:spacing w:before="40" w:after="40"/>
              <w:rPr>
                <w:rFonts w:ascii="Arial" w:hAnsi="Arial" w:cs="Arial"/>
                <w:sz w:val="20"/>
              </w:rPr>
            </w:pPr>
            <w:r w:rsidRPr="00D037A4">
              <w:rPr>
                <w:rFonts w:ascii="Arial" w:hAnsi="Arial" w:cs="Arial"/>
                <w:sz w:val="20"/>
              </w:rPr>
              <w:t>150</w:t>
            </w:r>
          </w:p>
        </w:tc>
      </w:tr>
      <w:tr w:rsidR="00BC2953" w:rsidRPr="00D037A4" w14:paraId="4FC26274" w14:textId="77777777" w:rsidTr="00030BC1">
        <w:trPr>
          <w:trHeight w:val="255"/>
          <w:jc w:val="center"/>
        </w:trPr>
        <w:tc>
          <w:tcPr>
            <w:tcW w:w="4680" w:type="dxa"/>
            <w:noWrap/>
            <w:hideMark/>
          </w:tcPr>
          <w:p w14:paraId="232A4908" w14:textId="77777777" w:rsidR="00BC2953" w:rsidRPr="00D037A4" w:rsidRDefault="00BC2953" w:rsidP="00D037A4">
            <w:pPr>
              <w:spacing w:before="40" w:after="40"/>
              <w:rPr>
                <w:rFonts w:ascii="Arial" w:hAnsi="Arial" w:cs="Arial"/>
                <w:sz w:val="20"/>
              </w:rPr>
            </w:pPr>
            <w:r w:rsidRPr="00D037A4">
              <w:rPr>
                <w:rFonts w:ascii="Arial" w:hAnsi="Arial" w:cs="Arial"/>
                <w:sz w:val="20"/>
              </w:rPr>
              <w:t>Pressure injuries working group</w:t>
            </w:r>
          </w:p>
        </w:tc>
        <w:tc>
          <w:tcPr>
            <w:tcW w:w="2706" w:type="dxa"/>
            <w:noWrap/>
            <w:hideMark/>
          </w:tcPr>
          <w:p w14:paraId="28408F33" w14:textId="77777777" w:rsidR="00BC2953" w:rsidRPr="00D037A4" w:rsidRDefault="00BC2953" w:rsidP="00D037A4">
            <w:pPr>
              <w:spacing w:before="40" w:after="40"/>
              <w:rPr>
                <w:rFonts w:ascii="Arial" w:hAnsi="Arial" w:cs="Arial"/>
                <w:sz w:val="20"/>
              </w:rPr>
            </w:pPr>
            <w:r w:rsidRPr="00D037A4">
              <w:rPr>
                <w:rFonts w:ascii="Arial" w:hAnsi="Arial" w:cs="Arial"/>
                <w:sz w:val="20"/>
              </w:rPr>
              <w:t>22</w:t>
            </w:r>
          </w:p>
        </w:tc>
      </w:tr>
      <w:tr w:rsidR="00BC2953" w:rsidRPr="00D037A4" w14:paraId="15B28A3D" w14:textId="77777777" w:rsidTr="00030BC1">
        <w:trPr>
          <w:trHeight w:val="255"/>
          <w:jc w:val="center"/>
        </w:trPr>
        <w:tc>
          <w:tcPr>
            <w:tcW w:w="4680" w:type="dxa"/>
            <w:noWrap/>
            <w:hideMark/>
          </w:tcPr>
          <w:p w14:paraId="6F47EE8E" w14:textId="77777777" w:rsidR="00BC2953" w:rsidRPr="00D037A4" w:rsidRDefault="00BC2953" w:rsidP="00D037A4">
            <w:pPr>
              <w:spacing w:before="40" w:after="40"/>
              <w:rPr>
                <w:rFonts w:ascii="Arial" w:hAnsi="Arial" w:cs="Arial"/>
                <w:sz w:val="20"/>
              </w:rPr>
            </w:pPr>
            <w:r w:rsidRPr="00D037A4">
              <w:rPr>
                <w:rFonts w:ascii="Arial" w:hAnsi="Arial" w:cs="Arial"/>
                <w:sz w:val="20"/>
              </w:rPr>
              <w:t>Regulators Working Group</w:t>
            </w:r>
          </w:p>
        </w:tc>
        <w:tc>
          <w:tcPr>
            <w:tcW w:w="2706" w:type="dxa"/>
            <w:noWrap/>
            <w:hideMark/>
          </w:tcPr>
          <w:p w14:paraId="3597A570" w14:textId="77777777" w:rsidR="00BC2953" w:rsidRPr="00D037A4" w:rsidRDefault="00BC2953" w:rsidP="00D037A4">
            <w:pPr>
              <w:spacing w:before="40" w:after="40"/>
              <w:rPr>
                <w:rFonts w:ascii="Arial" w:hAnsi="Arial" w:cs="Arial"/>
                <w:sz w:val="20"/>
              </w:rPr>
            </w:pPr>
            <w:r w:rsidRPr="00D037A4">
              <w:rPr>
                <w:rFonts w:ascii="Arial" w:hAnsi="Arial" w:cs="Arial"/>
                <w:sz w:val="20"/>
              </w:rPr>
              <w:t>22</w:t>
            </w:r>
          </w:p>
        </w:tc>
      </w:tr>
      <w:tr w:rsidR="00BC2953" w:rsidRPr="00D037A4" w14:paraId="1939BC2C" w14:textId="77777777" w:rsidTr="00030BC1">
        <w:trPr>
          <w:trHeight w:val="255"/>
          <w:jc w:val="center"/>
        </w:trPr>
        <w:tc>
          <w:tcPr>
            <w:tcW w:w="4680" w:type="dxa"/>
            <w:noWrap/>
            <w:hideMark/>
          </w:tcPr>
          <w:p w14:paraId="7D6E03BF" w14:textId="77777777" w:rsidR="00BC2953" w:rsidRPr="00D037A4" w:rsidRDefault="00BC2953" w:rsidP="00D037A4">
            <w:pPr>
              <w:spacing w:before="40" w:after="40"/>
              <w:rPr>
                <w:rFonts w:ascii="Arial" w:hAnsi="Arial" w:cs="Arial"/>
                <w:sz w:val="20"/>
              </w:rPr>
            </w:pPr>
            <w:r w:rsidRPr="00D037A4">
              <w:rPr>
                <w:rFonts w:ascii="Arial" w:hAnsi="Arial" w:cs="Arial"/>
                <w:sz w:val="20"/>
              </w:rPr>
              <w:t>Royal Flying Doctor Service</w:t>
            </w:r>
          </w:p>
        </w:tc>
        <w:tc>
          <w:tcPr>
            <w:tcW w:w="2706" w:type="dxa"/>
            <w:noWrap/>
            <w:hideMark/>
          </w:tcPr>
          <w:p w14:paraId="0092C26F"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023C99AB" w14:textId="77777777" w:rsidTr="00030BC1">
        <w:trPr>
          <w:trHeight w:val="255"/>
          <w:jc w:val="center"/>
        </w:trPr>
        <w:tc>
          <w:tcPr>
            <w:tcW w:w="4680" w:type="dxa"/>
            <w:noWrap/>
            <w:hideMark/>
          </w:tcPr>
          <w:p w14:paraId="56F49F07" w14:textId="77777777" w:rsidR="00BC2953" w:rsidRPr="00D037A4" w:rsidRDefault="00BC2953" w:rsidP="00D037A4">
            <w:pPr>
              <w:spacing w:before="40" w:after="40"/>
              <w:rPr>
                <w:rFonts w:ascii="Arial" w:hAnsi="Arial" w:cs="Arial"/>
                <w:sz w:val="20"/>
              </w:rPr>
            </w:pPr>
            <w:r w:rsidRPr="00D037A4">
              <w:rPr>
                <w:rFonts w:ascii="Arial" w:hAnsi="Arial" w:cs="Arial"/>
                <w:sz w:val="20"/>
              </w:rPr>
              <w:t xml:space="preserve">South Australian Health and Medical Research Institute </w:t>
            </w:r>
          </w:p>
        </w:tc>
        <w:tc>
          <w:tcPr>
            <w:tcW w:w="2706" w:type="dxa"/>
            <w:noWrap/>
            <w:hideMark/>
          </w:tcPr>
          <w:p w14:paraId="0185B9FC"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3263AB39" w14:textId="77777777" w:rsidTr="00030BC1">
        <w:trPr>
          <w:trHeight w:val="255"/>
          <w:jc w:val="center"/>
        </w:trPr>
        <w:tc>
          <w:tcPr>
            <w:tcW w:w="4680" w:type="dxa"/>
            <w:noWrap/>
            <w:hideMark/>
          </w:tcPr>
          <w:p w14:paraId="69DFF389" w14:textId="77777777" w:rsidR="00BC2953" w:rsidRPr="00D037A4" w:rsidRDefault="00BC2953" w:rsidP="00D037A4">
            <w:pPr>
              <w:spacing w:before="40" w:after="40"/>
              <w:rPr>
                <w:rFonts w:ascii="Arial" w:hAnsi="Arial" w:cs="Arial"/>
                <w:sz w:val="20"/>
              </w:rPr>
            </w:pPr>
            <w:r w:rsidRPr="00D037A4">
              <w:rPr>
                <w:rFonts w:ascii="Arial" w:hAnsi="Arial" w:cs="Arial"/>
                <w:sz w:val="20"/>
              </w:rPr>
              <w:t>Women's &amp; Children's Healthcare Australasia</w:t>
            </w:r>
          </w:p>
        </w:tc>
        <w:tc>
          <w:tcPr>
            <w:tcW w:w="2706" w:type="dxa"/>
            <w:noWrap/>
            <w:hideMark/>
          </w:tcPr>
          <w:p w14:paraId="4F8EBFDF"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5259EBFB" w14:textId="77777777" w:rsidTr="00030BC1">
        <w:trPr>
          <w:trHeight w:val="255"/>
          <w:jc w:val="center"/>
        </w:trPr>
        <w:tc>
          <w:tcPr>
            <w:tcW w:w="4680" w:type="dxa"/>
            <w:noWrap/>
          </w:tcPr>
          <w:p w14:paraId="34AC820C" w14:textId="77777777" w:rsidR="00BC2953" w:rsidRPr="00D037A4" w:rsidRDefault="00BC2953" w:rsidP="00D037A4">
            <w:pPr>
              <w:spacing w:before="40" w:after="40"/>
              <w:rPr>
                <w:rFonts w:ascii="Arial" w:hAnsi="Arial" w:cs="Arial"/>
                <w:sz w:val="20"/>
              </w:rPr>
            </w:pPr>
            <w:r w:rsidRPr="00D037A4">
              <w:rPr>
                <w:rFonts w:ascii="Arial" w:hAnsi="Arial" w:cs="Arial"/>
                <w:sz w:val="20"/>
              </w:rPr>
              <w:t>Secretariat for program and technical committee convened by the Commission</w:t>
            </w:r>
          </w:p>
        </w:tc>
        <w:tc>
          <w:tcPr>
            <w:tcW w:w="2706" w:type="dxa"/>
            <w:noWrap/>
          </w:tcPr>
          <w:p w14:paraId="5905E61E" w14:textId="77777777" w:rsidR="00BC2953" w:rsidRPr="00D037A4" w:rsidRDefault="00BC2953" w:rsidP="00D037A4">
            <w:pPr>
              <w:spacing w:before="40" w:after="40"/>
              <w:rPr>
                <w:rFonts w:ascii="Arial" w:hAnsi="Arial" w:cs="Arial"/>
                <w:sz w:val="20"/>
              </w:rPr>
            </w:pPr>
            <w:r w:rsidRPr="00D037A4">
              <w:rPr>
                <w:rFonts w:ascii="Arial" w:hAnsi="Arial" w:cs="Arial"/>
                <w:sz w:val="20"/>
              </w:rPr>
              <w:t>12</w:t>
            </w:r>
          </w:p>
        </w:tc>
      </w:tr>
      <w:tr w:rsidR="00BC2953" w:rsidRPr="00D037A4" w14:paraId="1ED7537D" w14:textId="77777777" w:rsidTr="00030BC1">
        <w:trPr>
          <w:trHeight w:val="255"/>
          <w:jc w:val="center"/>
        </w:trPr>
        <w:tc>
          <w:tcPr>
            <w:tcW w:w="4680" w:type="dxa"/>
            <w:noWrap/>
          </w:tcPr>
          <w:p w14:paraId="5EBEE947" w14:textId="77777777" w:rsidR="00BC2953" w:rsidRPr="00D037A4" w:rsidRDefault="00BC2953" w:rsidP="00D037A4">
            <w:pPr>
              <w:spacing w:before="40" w:after="40"/>
              <w:rPr>
                <w:rFonts w:ascii="Arial" w:hAnsi="Arial" w:cs="Arial"/>
                <w:sz w:val="20"/>
              </w:rPr>
            </w:pPr>
            <w:r w:rsidRPr="00D037A4">
              <w:rPr>
                <w:rFonts w:ascii="Arial" w:hAnsi="Arial" w:cs="Arial"/>
                <w:sz w:val="20"/>
              </w:rPr>
              <w:t>Commission Standing Committees</w:t>
            </w:r>
          </w:p>
        </w:tc>
        <w:tc>
          <w:tcPr>
            <w:tcW w:w="2706" w:type="dxa"/>
            <w:noWrap/>
          </w:tcPr>
          <w:p w14:paraId="5D08349D" w14:textId="77777777" w:rsidR="00BC2953" w:rsidRPr="00D037A4" w:rsidRDefault="00BC2953" w:rsidP="00D037A4">
            <w:pPr>
              <w:spacing w:before="40" w:after="40"/>
              <w:rPr>
                <w:rFonts w:ascii="Arial" w:hAnsi="Arial" w:cs="Arial"/>
                <w:sz w:val="20"/>
              </w:rPr>
            </w:pPr>
            <w:r w:rsidRPr="00D037A4">
              <w:rPr>
                <w:rFonts w:ascii="Arial" w:hAnsi="Arial" w:cs="Arial"/>
                <w:sz w:val="20"/>
              </w:rPr>
              <w:t>36</w:t>
            </w:r>
          </w:p>
        </w:tc>
      </w:tr>
      <w:tr w:rsidR="00BC2953" w:rsidRPr="00D037A4" w14:paraId="65F1AB83" w14:textId="77777777" w:rsidTr="00030BC1">
        <w:trPr>
          <w:trHeight w:val="255"/>
          <w:jc w:val="center"/>
        </w:trPr>
        <w:tc>
          <w:tcPr>
            <w:tcW w:w="4680" w:type="dxa"/>
            <w:noWrap/>
          </w:tcPr>
          <w:p w14:paraId="45AA9DD4" w14:textId="77777777" w:rsidR="00BC2953" w:rsidRPr="00D037A4" w:rsidRDefault="00BC2953" w:rsidP="00D037A4">
            <w:pPr>
              <w:spacing w:before="40" w:after="40"/>
              <w:rPr>
                <w:rFonts w:ascii="Arial" w:hAnsi="Arial" w:cs="Arial"/>
                <w:sz w:val="20"/>
              </w:rPr>
            </w:pPr>
            <w:r w:rsidRPr="00D037A4">
              <w:rPr>
                <w:rFonts w:ascii="Arial" w:hAnsi="Arial" w:cs="Arial"/>
                <w:sz w:val="20"/>
              </w:rPr>
              <w:t xml:space="preserve">Secretaries of health departments </w:t>
            </w:r>
          </w:p>
        </w:tc>
        <w:tc>
          <w:tcPr>
            <w:tcW w:w="2706" w:type="dxa"/>
            <w:noWrap/>
          </w:tcPr>
          <w:p w14:paraId="3D75A96E"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r>
      <w:tr w:rsidR="00BC2953" w:rsidRPr="00D037A4" w14:paraId="1FFD203F" w14:textId="77777777" w:rsidTr="00030BC1">
        <w:trPr>
          <w:trHeight w:val="255"/>
          <w:jc w:val="center"/>
        </w:trPr>
        <w:tc>
          <w:tcPr>
            <w:tcW w:w="4680" w:type="dxa"/>
            <w:noWrap/>
          </w:tcPr>
          <w:p w14:paraId="034DB688" w14:textId="77777777" w:rsidR="00BC2953" w:rsidRPr="00D037A4" w:rsidRDefault="00BC2953" w:rsidP="00D037A4">
            <w:pPr>
              <w:spacing w:before="40" w:after="40"/>
              <w:rPr>
                <w:rFonts w:ascii="Arial" w:hAnsi="Arial" w:cs="Arial"/>
                <w:sz w:val="20"/>
              </w:rPr>
            </w:pPr>
            <w:r w:rsidRPr="00D037A4">
              <w:rPr>
                <w:rFonts w:ascii="Arial" w:hAnsi="Arial" w:cs="Arial"/>
                <w:sz w:val="20"/>
              </w:rPr>
              <w:t xml:space="preserve">Commission contact stakeholder list </w:t>
            </w:r>
          </w:p>
        </w:tc>
        <w:tc>
          <w:tcPr>
            <w:tcW w:w="2706" w:type="dxa"/>
            <w:noWrap/>
          </w:tcPr>
          <w:p w14:paraId="57602F22" w14:textId="77777777" w:rsidR="00BC2953" w:rsidRPr="00D037A4" w:rsidRDefault="00BC2953" w:rsidP="00D037A4">
            <w:pPr>
              <w:spacing w:before="40" w:after="40"/>
              <w:rPr>
                <w:rFonts w:ascii="Arial" w:hAnsi="Arial" w:cs="Arial"/>
                <w:sz w:val="20"/>
              </w:rPr>
            </w:pPr>
            <w:r w:rsidRPr="00D037A4">
              <w:rPr>
                <w:rFonts w:ascii="Arial" w:hAnsi="Arial" w:cs="Arial"/>
                <w:sz w:val="20"/>
              </w:rPr>
              <w:t>5079</w:t>
            </w:r>
          </w:p>
        </w:tc>
      </w:tr>
      <w:tr w:rsidR="00BC2953" w:rsidRPr="00D037A4" w14:paraId="1A9DB331" w14:textId="77777777" w:rsidTr="00030BC1">
        <w:trPr>
          <w:trHeight w:val="255"/>
          <w:jc w:val="center"/>
        </w:trPr>
        <w:tc>
          <w:tcPr>
            <w:tcW w:w="4680" w:type="dxa"/>
            <w:noWrap/>
          </w:tcPr>
          <w:p w14:paraId="4CCAC2CA" w14:textId="77777777" w:rsidR="00BC2953" w:rsidRPr="00D037A4" w:rsidRDefault="00BC2953" w:rsidP="00D037A4">
            <w:pPr>
              <w:spacing w:before="40" w:after="40"/>
              <w:rPr>
                <w:rFonts w:ascii="Arial" w:hAnsi="Arial" w:cs="Arial"/>
                <w:sz w:val="20"/>
              </w:rPr>
            </w:pPr>
            <w:r w:rsidRPr="00D037A4">
              <w:rPr>
                <w:rFonts w:ascii="Arial" w:hAnsi="Arial" w:cs="Arial"/>
                <w:sz w:val="20"/>
              </w:rPr>
              <w:t>Coroners offices nationally</w:t>
            </w:r>
          </w:p>
        </w:tc>
        <w:tc>
          <w:tcPr>
            <w:tcW w:w="2706" w:type="dxa"/>
            <w:noWrap/>
          </w:tcPr>
          <w:p w14:paraId="199F982D"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r>
      <w:tr w:rsidR="00BC2953" w:rsidRPr="00D037A4" w14:paraId="011A8E12" w14:textId="77777777" w:rsidTr="00030BC1">
        <w:trPr>
          <w:trHeight w:val="255"/>
          <w:jc w:val="center"/>
        </w:trPr>
        <w:tc>
          <w:tcPr>
            <w:tcW w:w="4680" w:type="dxa"/>
            <w:noWrap/>
          </w:tcPr>
          <w:p w14:paraId="2EF02529" w14:textId="77777777" w:rsidR="00BC2953" w:rsidRPr="00D037A4" w:rsidRDefault="00BC2953" w:rsidP="00D037A4">
            <w:pPr>
              <w:spacing w:before="40" w:after="40"/>
              <w:rPr>
                <w:rFonts w:ascii="Arial" w:hAnsi="Arial" w:cs="Arial"/>
                <w:sz w:val="20"/>
              </w:rPr>
            </w:pPr>
            <w:r w:rsidRPr="00D037A4">
              <w:rPr>
                <w:rFonts w:ascii="Arial" w:hAnsi="Arial" w:cs="Arial"/>
                <w:sz w:val="20"/>
              </w:rPr>
              <w:t xml:space="preserve">Health care complaints commissioners nationally </w:t>
            </w:r>
          </w:p>
        </w:tc>
        <w:tc>
          <w:tcPr>
            <w:tcW w:w="2706" w:type="dxa"/>
            <w:noWrap/>
          </w:tcPr>
          <w:p w14:paraId="4DCE5EE0" w14:textId="77777777" w:rsidR="00BC2953" w:rsidRPr="00D037A4" w:rsidRDefault="00BC2953" w:rsidP="00D037A4">
            <w:pPr>
              <w:spacing w:before="40" w:after="40"/>
              <w:rPr>
                <w:rFonts w:ascii="Arial" w:hAnsi="Arial" w:cs="Arial"/>
                <w:sz w:val="20"/>
              </w:rPr>
            </w:pPr>
            <w:r w:rsidRPr="00D037A4">
              <w:rPr>
                <w:rFonts w:ascii="Arial" w:hAnsi="Arial" w:cs="Arial"/>
                <w:sz w:val="20"/>
              </w:rPr>
              <w:t>8</w:t>
            </w:r>
          </w:p>
        </w:tc>
      </w:tr>
      <w:tr w:rsidR="00BC2953" w:rsidRPr="00D037A4" w14:paraId="56F4ECC5" w14:textId="77777777" w:rsidTr="00030BC1">
        <w:trPr>
          <w:trHeight w:val="255"/>
          <w:jc w:val="center"/>
        </w:trPr>
        <w:tc>
          <w:tcPr>
            <w:tcW w:w="4680" w:type="dxa"/>
            <w:noWrap/>
          </w:tcPr>
          <w:p w14:paraId="72C90215" w14:textId="77777777" w:rsidR="00BC2953" w:rsidRPr="00D037A4" w:rsidRDefault="00BC2953" w:rsidP="00D037A4">
            <w:pPr>
              <w:spacing w:before="40" w:after="40"/>
              <w:rPr>
                <w:rFonts w:ascii="Arial" w:hAnsi="Arial" w:cs="Arial"/>
                <w:sz w:val="20"/>
              </w:rPr>
            </w:pPr>
            <w:r w:rsidRPr="00D037A4">
              <w:rPr>
                <w:rFonts w:ascii="Arial" w:hAnsi="Arial" w:cs="Arial"/>
                <w:sz w:val="20"/>
              </w:rPr>
              <w:t>TOTAL</w:t>
            </w:r>
          </w:p>
        </w:tc>
        <w:tc>
          <w:tcPr>
            <w:tcW w:w="2706" w:type="dxa"/>
            <w:noWrap/>
          </w:tcPr>
          <w:p w14:paraId="2461CCA7" w14:textId="77777777" w:rsidR="00BC2953" w:rsidRPr="00D037A4" w:rsidRDefault="00D037A4" w:rsidP="00D037A4">
            <w:pPr>
              <w:spacing w:before="40" w:after="40"/>
              <w:rPr>
                <w:rFonts w:ascii="Arial" w:hAnsi="Arial" w:cs="Arial"/>
                <w:sz w:val="20"/>
              </w:rPr>
            </w:pPr>
            <w:r>
              <w:rPr>
                <w:rFonts w:ascii="Arial" w:hAnsi="Arial" w:cs="Arial"/>
                <w:sz w:val="20"/>
              </w:rPr>
              <w:t xml:space="preserve">5 </w:t>
            </w:r>
            <w:r w:rsidR="00BC2953" w:rsidRPr="00D037A4">
              <w:rPr>
                <w:rFonts w:ascii="Arial" w:hAnsi="Arial" w:cs="Arial"/>
                <w:sz w:val="20"/>
              </w:rPr>
              <w:t>452</w:t>
            </w:r>
          </w:p>
        </w:tc>
      </w:tr>
    </w:tbl>
    <w:p w14:paraId="0D2C340F" w14:textId="77777777" w:rsidR="00BC2953" w:rsidRPr="00302110" w:rsidRDefault="00BC2953" w:rsidP="00BC2953">
      <w:pPr>
        <w:pStyle w:val="Credit"/>
      </w:pPr>
    </w:p>
    <w:p w14:paraId="73D5EBE7" w14:textId="77777777" w:rsidR="00BC2953" w:rsidRPr="00BF24F6" w:rsidRDefault="00BC2953" w:rsidP="00094745">
      <w:pPr>
        <w:pStyle w:val="Heading1"/>
      </w:pPr>
      <w:bookmarkStart w:id="13" w:name="_Toc461178325"/>
      <w:r w:rsidRPr="00094745">
        <w:rPr>
          <w:bCs w:val="0"/>
        </w:rPr>
        <w:t>Appendix 2</w:t>
      </w:r>
      <w:r w:rsidR="00D037A4">
        <w:tab/>
      </w:r>
      <w:r w:rsidRPr="00BF24F6">
        <w:t>Development of Version 2 of the NSQHS Standards</w:t>
      </w:r>
      <w:bookmarkEnd w:id="13"/>
    </w:p>
    <w:p w14:paraId="70C7EF8E" w14:textId="77777777" w:rsidR="00BC2953" w:rsidRPr="00BE42BC" w:rsidRDefault="00BC2953" w:rsidP="00BC2953">
      <w:pPr>
        <w:pStyle w:val="Normal2"/>
      </w:pPr>
      <w:r w:rsidRPr="00BE42BC">
        <w:t xml:space="preserve">The development of version 2 of the NSQHS Standards has involved extensive consultation. </w:t>
      </w:r>
    </w:p>
    <w:p w14:paraId="413E177E" w14:textId="77777777" w:rsidR="00BC2953" w:rsidRPr="00BE42BC" w:rsidRDefault="00BC2953" w:rsidP="00BC2953">
      <w:pPr>
        <w:pStyle w:val="Heading2"/>
      </w:pPr>
      <w:r w:rsidRPr="00BE42BC">
        <w:t>Consultation process</w:t>
      </w:r>
    </w:p>
    <w:p w14:paraId="06180ED3" w14:textId="77777777" w:rsidR="00BC2953" w:rsidRPr="00BE42BC" w:rsidRDefault="00BC2953" w:rsidP="00BC2953">
      <w:pPr>
        <w:pStyle w:val="Normal2"/>
      </w:pPr>
      <w:r w:rsidRPr="00BE42BC">
        <w:t>The following consultation processes were u</w:t>
      </w:r>
      <w:r w:rsidR="00D037A4">
        <w:t>ndertaken:</w:t>
      </w:r>
    </w:p>
    <w:p w14:paraId="63FD6428" w14:textId="77777777" w:rsidR="00BC2953" w:rsidRPr="00BE42BC" w:rsidRDefault="00BC2953" w:rsidP="00BC2953">
      <w:pPr>
        <w:pStyle w:val="Heading3"/>
      </w:pPr>
      <w:r w:rsidRPr="00BE42BC">
        <w:t>Phase 1</w:t>
      </w:r>
    </w:p>
    <w:p w14:paraId="0AF83285" w14:textId="77777777" w:rsidR="00BC2953" w:rsidRPr="00BE42BC" w:rsidRDefault="00D037A4" w:rsidP="00BC2953">
      <w:pPr>
        <w:pStyle w:val="Normal2"/>
        <w:numPr>
          <w:ilvl w:val="0"/>
          <w:numId w:val="71"/>
        </w:numPr>
      </w:pPr>
      <w:r>
        <w:t>a</w:t>
      </w:r>
      <w:r w:rsidR="00BC2953" w:rsidRPr="00BE42BC">
        <w:t xml:space="preserve">nalysis of data collected on accreditation assessments, and enquiries to the Commission on implementation of the </w:t>
      </w:r>
      <w:r>
        <w:t xml:space="preserve">NSQHS </w:t>
      </w:r>
      <w:r w:rsidR="00BC2953" w:rsidRPr="00BE42BC">
        <w:t>Standa</w:t>
      </w:r>
      <w:r>
        <w:t>rds and accreditation processes</w:t>
      </w:r>
    </w:p>
    <w:p w14:paraId="6EB6BF94" w14:textId="77777777" w:rsidR="00BC2953" w:rsidRPr="00BE42BC" w:rsidRDefault="00D037A4" w:rsidP="00BC2953">
      <w:pPr>
        <w:pStyle w:val="Normal2"/>
        <w:numPr>
          <w:ilvl w:val="0"/>
          <w:numId w:val="71"/>
        </w:numPr>
      </w:pPr>
      <w:r>
        <w:t>n</w:t>
      </w:r>
      <w:r w:rsidR="00BC2953" w:rsidRPr="00BE42BC">
        <w:t>ational focus groups of health service provid</w:t>
      </w:r>
      <w:r>
        <w:t>ers and special interest groups</w:t>
      </w:r>
    </w:p>
    <w:p w14:paraId="73E0717F" w14:textId="77777777" w:rsidR="00BC2953" w:rsidRPr="00BE42BC" w:rsidRDefault="00D037A4" w:rsidP="00BC2953">
      <w:pPr>
        <w:pStyle w:val="Normal2"/>
        <w:numPr>
          <w:ilvl w:val="0"/>
          <w:numId w:val="71"/>
        </w:numPr>
      </w:pPr>
      <w:r>
        <w:t>t</w:t>
      </w:r>
      <w:r w:rsidR="00BC2953" w:rsidRPr="00BE42BC">
        <w:t xml:space="preserve">echnical and expert committees from clinical areas in the </w:t>
      </w:r>
      <w:r>
        <w:t xml:space="preserve">NSQHS </w:t>
      </w:r>
      <w:r w:rsidR="00BC2953" w:rsidRPr="00BE42BC">
        <w:t>Standards</w:t>
      </w:r>
    </w:p>
    <w:p w14:paraId="046F0229" w14:textId="77777777" w:rsidR="00BC2953" w:rsidRPr="00BE42BC" w:rsidRDefault="00D037A4" w:rsidP="00BC2953">
      <w:pPr>
        <w:pStyle w:val="Normal2"/>
        <w:numPr>
          <w:ilvl w:val="0"/>
          <w:numId w:val="71"/>
        </w:numPr>
      </w:pPr>
      <w:r>
        <w:t>r</w:t>
      </w:r>
      <w:r w:rsidR="00BC2953" w:rsidRPr="00BE42BC">
        <w:t>esearch into specific gaps in version 1, including mental health, end-of-life care, health literacy, cognitive impairment, and health care for Aboriginal an</w:t>
      </w:r>
      <w:r>
        <w:t>d Torres Strait Islander people</w:t>
      </w:r>
    </w:p>
    <w:p w14:paraId="31B29D76" w14:textId="77777777" w:rsidR="00BC2953" w:rsidRPr="00BE42BC" w:rsidRDefault="00D037A4" w:rsidP="00BC2953">
      <w:pPr>
        <w:pStyle w:val="Normal2"/>
        <w:numPr>
          <w:ilvl w:val="0"/>
          <w:numId w:val="71"/>
        </w:numPr>
      </w:pPr>
      <w:proofErr w:type="gramStart"/>
      <w:r>
        <w:t>r</w:t>
      </w:r>
      <w:r w:rsidR="00BC2953" w:rsidRPr="00BE42BC">
        <w:t>esearch</w:t>
      </w:r>
      <w:proofErr w:type="gramEnd"/>
      <w:r w:rsidR="00BC2953" w:rsidRPr="00BE42BC">
        <w:t xml:space="preserve"> into actions and implementation issues for version 1, including partnering with consumers, patient identification bands and training for clinicians in basic life support.</w:t>
      </w:r>
    </w:p>
    <w:p w14:paraId="2C4F850B" w14:textId="77777777" w:rsidR="00BC2953" w:rsidRPr="00BE42BC" w:rsidRDefault="00BC2953" w:rsidP="00BC2953">
      <w:pPr>
        <w:pStyle w:val="Heading3"/>
      </w:pPr>
      <w:r w:rsidRPr="00BE42BC">
        <w:t>Phase 2</w:t>
      </w:r>
    </w:p>
    <w:p w14:paraId="01AFD449" w14:textId="77777777" w:rsidR="00BC2953" w:rsidRPr="00BE42BC" w:rsidRDefault="00D037A4" w:rsidP="00BC2953">
      <w:pPr>
        <w:pStyle w:val="Normal2"/>
        <w:numPr>
          <w:ilvl w:val="0"/>
          <w:numId w:val="72"/>
        </w:numPr>
      </w:pPr>
      <w:proofErr w:type="gramStart"/>
      <w:r>
        <w:t>n</w:t>
      </w:r>
      <w:r w:rsidR="00BC2953" w:rsidRPr="00BE42BC">
        <w:t>ational</w:t>
      </w:r>
      <w:proofErr w:type="gramEnd"/>
      <w:r w:rsidR="00BC2953" w:rsidRPr="00BE42BC">
        <w:t xml:space="preserve"> focus groups on the content of version 2 of the NSQHS Standards.</w:t>
      </w:r>
    </w:p>
    <w:p w14:paraId="516FAD77" w14:textId="77777777" w:rsidR="00BC2953" w:rsidRPr="00BE42BC" w:rsidRDefault="00D037A4" w:rsidP="00BC2953">
      <w:pPr>
        <w:pStyle w:val="Normal2"/>
        <w:numPr>
          <w:ilvl w:val="0"/>
          <w:numId w:val="72"/>
        </w:numPr>
      </w:pPr>
      <w:r>
        <w:t>c</w:t>
      </w:r>
      <w:r w:rsidR="00BC2953" w:rsidRPr="00BE42BC">
        <w:t>all for w</w:t>
      </w:r>
      <w:r>
        <w:t>ritten submissions on version 2</w:t>
      </w:r>
    </w:p>
    <w:p w14:paraId="445E89DF" w14:textId="77777777" w:rsidR="00BC2953" w:rsidRPr="00BE42BC" w:rsidRDefault="00D037A4" w:rsidP="00BC2953">
      <w:pPr>
        <w:pStyle w:val="Normal2"/>
        <w:numPr>
          <w:ilvl w:val="0"/>
          <w:numId w:val="72"/>
        </w:numPr>
      </w:pPr>
      <w:r>
        <w:t>s</w:t>
      </w:r>
      <w:r w:rsidR="00BC2953" w:rsidRPr="00BE42BC">
        <w:t xml:space="preserve">urvey of representatives of health service organisations on the content </w:t>
      </w:r>
      <w:r>
        <w:t>and implementation of version 2</w:t>
      </w:r>
    </w:p>
    <w:p w14:paraId="79DC001B" w14:textId="77777777" w:rsidR="00BC2953" w:rsidRPr="00BE42BC" w:rsidRDefault="00D037A4" w:rsidP="00BC2953">
      <w:pPr>
        <w:pStyle w:val="Normal2"/>
        <w:numPr>
          <w:ilvl w:val="0"/>
          <w:numId w:val="72"/>
        </w:numPr>
      </w:pPr>
      <w:r>
        <w:t>s</w:t>
      </w:r>
      <w:r w:rsidR="00BC2953" w:rsidRPr="00BE42BC">
        <w:t>urvey of consumers on the content and engag</w:t>
      </w:r>
      <w:r>
        <w:t>ement of consumers in version 2</w:t>
      </w:r>
    </w:p>
    <w:p w14:paraId="07FD12AF" w14:textId="77777777" w:rsidR="00BC2953" w:rsidRPr="00BE42BC" w:rsidRDefault="00D037A4" w:rsidP="00BC2953">
      <w:pPr>
        <w:pStyle w:val="Normal2"/>
        <w:numPr>
          <w:ilvl w:val="0"/>
          <w:numId w:val="72"/>
        </w:numPr>
      </w:pPr>
      <w:r>
        <w:t>p</w:t>
      </w:r>
      <w:r w:rsidR="00BC2953" w:rsidRPr="00BE42BC">
        <w:t>iloting version 2 with health service organisations, which involved health service organisations from all jurisdictions, the public and private sectors, different servic</w:t>
      </w:r>
      <w:r>
        <w:t>e types and different locations</w:t>
      </w:r>
    </w:p>
    <w:p w14:paraId="12C27541" w14:textId="77777777" w:rsidR="00BC2953" w:rsidRPr="00BE42BC" w:rsidRDefault="00D037A4" w:rsidP="00BC2953">
      <w:pPr>
        <w:pStyle w:val="Normal2"/>
        <w:numPr>
          <w:ilvl w:val="0"/>
          <w:numId w:val="72"/>
        </w:numPr>
      </w:pPr>
      <w:proofErr w:type="gramStart"/>
      <w:r>
        <w:t>p</w:t>
      </w:r>
      <w:r w:rsidR="00BC2953" w:rsidRPr="00BE42BC">
        <w:t>iloting</w:t>
      </w:r>
      <w:proofErr w:type="gramEnd"/>
      <w:r w:rsidR="00BC2953" w:rsidRPr="00BE42BC">
        <w:t xml:space="preserve"> version 2 with accrediting agencies to assess the measurability of the Standards. </w:t>
      </w:r>
    </w:p>
    <w:p w14:paraId="49190280" w14:textId="77777777" w:rsidR="00BC2953" w:rsidRPr="00BE42BC" w:rsidRDefault="00BC2953" w:rsidP="00BC2953">
      <w:pPr>
        <w:pStyle w:val="Heading3"/>
      </w:pPr>
      <w:r w:rsidRPr="00BE42BC">
        <w:t>Phase 3</w:t>
      </w:r>
    </w:p>
    <w:p w14:paraId="5F81B1B4" w14:textId="77777777" w:rsidR="00BC2953" w:rsidRPr="00BE42BC" w:rsidRDefault="00D037A4" w:rsidP="00BC2953">
      <w:pPr>
        <w:pStyle w:val="Normal2"/>
        <w:numPr>
          <w:ilvl w:val="0"/>
          <w:numId w:val="72"/>
        </w:numPr>
      </w:pPr>
      <w:r>
        <w:t>a</w:t>
      </w:r>
      <w:r w:rsidR="00BC2953" w:rsidRPr="00BE42BC">
        <w:t>nalysis of feedback received from eac</w:t>
      </w:r>
      <w:r>
        <w:t>h of the consultation processes</w:t>
      </w:r>
    </w:p>
    <w:p w14:paraId="0D8B31FE" w14:textId="77777777" w:rsidR="00BC2953" w:rsidRPr="00BE42BC" w:rsidRDefault="00D037A4" w:rsidP="00BC2953">
      <w:pPr>
        <w:pStyle w:val="Normal2"/>
        <w:numPr>
          <w:ilvl w:val="0"/>
          <w:numId w:val="72"/>
        </w:numPr>
      </w:pPr>
      <w:r>
        <w:t>r</w:t>
      </w:r>
      <w:r w:rsidR="00BC2953" w:rsidRPr="00BE42BC">
        <w:t xml:space="preserve">edrafting version 2 of the NSQHS Standards in collaboration with </w:t>
      </w:r>
      <w:r>
        <w:t>technical and expert committees</w:t>
      </w:r>
    </w:p>
    <w:p w14:paraId="30098A75" w14:textId="77777777" w:rsidR="00BC2953" w:rsidRPr="00BE42BC" w:rsidRDefault="00D037A4" w:rsidP="00BC2953">
      <w:pPr>
        <w:pStyle w:val="Normal2"/>
        <w:numPr>
          <w:ilvl w:val="0"/>
          <w:numId w:val="72"/>
        </w:numPr>
      </w:pPr>
      <w:r>
        <w:t>r</w:t>
      </w:r>
      <w:r w:rsidR="00BC2953" w:rsidRPr="00BE42BC">
        <w:t xml:space="preserve">eview of the amended </w:t>
      </w:r>
      <w:r>
        <w:t>NSQHS</w:t>
      </w:r>
      <w:r w:rsidR="00BC2953" w:rsidRPr="00BE42BC">
        <w:t>Standards by an industry steering committe</w:t>
      </w:r>
      <w:r>
        <w:t>e</w:t>
      </w:r>
    </w:p>
    <w:p w14:paraId="79117248" w14:textId="77777777" w:rsidR="00BC2953" w:rsidRPr="00BE42BC" w:rsidRDefault="00D037A4" w:rsidP="00BC2953">
      <w:pPr>
        <w:pStyle w:val="Normal2"/>
        <w:numPr>
          <w:ilvl w:val="0"/>
          <w:numId w:val="72"/>
        </w:numPr>
      </w:pPr>
      <w:r>
        <w:t>c</w:t>
      </w:r>
      <w:r w:rsidR="00BC2953" w:rsidRPr="00BE42BC">
        <w:t xml:space="preserve">onsultation with critical friends groups and special interest groups to test the </w:t>
      </w:r>
    </w:p>
    <w:p w14:paraId="2D5A34CF" w14:textId="77777777" w:rsidR="00BC2953" w:rsidRPr="00BE42BC" w:rsidRDefault="00D037A4" w:rsidP="00BC2953">
      <w:pPr>
        <w:pStyle w:val="Normal2"/>
        <w:numPr>
          <w:ilvl w:val="0"/>
          <w:numId w:val="72"/>
        </w:numPr>
      </w:pPr>
      <w:r>
        <w:t>i</w:t>
      </w:r>
      <w:r w:rsidR="00BC2953" w:rsidRPr="00BE42BC">
        <w:t xml:space="preserve">ntent and scope of specific requirements in the </w:t>
      </w:r>
      <w:r>
        <w:t>NSQHS Standards</w:t>
      </w:r>
    </w:p>
    <w:p w14:paraId="78A8BE64" w14:textId="77777777" w:rsidR="00BC2953" w:rsidRPr="00BE42BC" w:rsidRDefault="00D037A4" w:rsidP="00BC2953">
      <w:pPr>
        <w:pStyle w:val="Normal2"/>
        <w:numPr>
          <w:ilvl w:val="0"/>
          <w:numId w:val="72"/>
        </w:numPr>
      </w:pPr>
      <w:r>
        <w:t>r</w:t>
      </w:r>
      <w:r w:rsidR="00BC2953" w:rsidRPr="00BE42BC">
        <w:t>eview of the amended Standards by the Commission’s public, private and primary care standing committees to obtain</w:t>
      </w:r>
      <w:r>
        <w:t xml:space="preserve"> endorsement from these sectors</w:t>
      </w:r>
    </w:p>
    <w:p w14:paraId="7C9CF052" w14:textId="77777777" w:rsidR="00BC2953" w:rsidRPr="00BE42BC" w:rsidRDefault="00D037A4" w:rsidP="00BC2953">
      <w:pPr>
        <w:pStyle w:val="Normal2"/>
        <w:numPr>
          <w:ilvl w:val="0"/>
          <w:numId w:val="72"/>
        </w:numPr>
      </w:pPr>
      <w:proofErr w:type="gramStart"/>
      <w:r>
        <w:t>s</w:t>
      </w:r>
      <w:r w:rsidR="00BC2953" w:rsidRPr="00BE42BC">
        <w:t>ubmission</w:t>
      </w:r>
      <w:proofErr w:type="gramEnd"/>
      <w:r w:rsidR="00BC2953" w:rsidRPr="00BE42BC">
        <w:t xml:space="preserve"> of the amended Standards to the Commission Board for endorsement. </w:t>
      </w:r>
    </w:p>
    <w:p w14:paraId="2BBC6C81" w14:textId="77777777" w:rsidR="00BC2953" w:rsidRPr="00BE42BC" w:rsidRDefault="00BC2953" w:rsidP="00BC2953">
      <w:pPr>
        <w:pStyle w:val="Heading3"/>
      </w:pPr>
      <w:r w:rsidRPr="00BE42BC">
        <w:t>Phase 4</w:t>
      </w:r>
    </w:p>
    <w:p w14:paraId="769B6E4C" w14:textId="77777777" w:rsidR="00BC2953" w:rsidRPr="00BE42BC" w:rsidRDefault="00BC2953" w:rsidP="00BC2953">
      <w:pPr>
        <w:pStyle w:val="Normal2"/>
        <w:numPr>
          <w:ilvl w:val="0"/>
          <w:numId w:val="73"/>
        </w:numPr>
      </w:pPr>
      <w:r w:rsidRPr="00BE42BC">
        <w:t>Consultation RIS</w:t>
      </w:r>
    </w:p>
    <w:p w14:paraId="43E346DB" w14:textId="77777777" w:rsidR="00BC2953" w:rsidRPr="00BE42BC" w:rsidRDefault="00BC2953" w:rsidP="00BC2953">
      <w:pPr>
        <w:pStyle w:val="Normal2"/>
      </w:pPr>
      <w:r w:rsidRPr="00BE42BC">
        <w:t xml:space="preserve">With each consultation process, the </w:t>
      </w:r>
      <w:r w:rsidR="00D037A4">
        <w:t xml:space="preserve">NSQHS </w:t>
      </w:r>
      <w:r w:rsidRPr="00BE42BC">
        <w:t xml:space="preserve">Standards were amended and refined to incorporate the feedback that was received. </w:t>
      </w:r>
    </w:p>
    <w:p w14:paraId="0122131C" w14:textId="77777777" w:rsidR="00BC2953" w:rsidRPr="00BE42BC" w:rsidRDefault="00BC2953" w:rsidP="00BC2953">
      <w:pPr>
        <w:pStyle w:val="Heading2"/>
      </w:pPr>
      <w:r w:rsidRPr="00BE42BC">
        <w:t>Summary of participation</w:t>
      </w:r>
    </w:p>
    <w:p w14:paraId="1343BA98" w14:textId="77777777" w:rsidR="00BC2953" w:rsidRPr="00E02609" w:rsidRDefault="00BC2953" w:rsidP="00BC2953">
      <w:pPr>
        <w:pStyle w:val="Heading3"/>
      </w:pPr>
      <w:r w:rsidRPr="00E02609">
        <w:t>Focus groups</w:t>
      </w:r>
    </w:p>
    <w:p w14:paraId="285A0D26" w14:textId="77777777" w:rsidR="00BC2953" w:rsidRPr="00BE42BC" w:rsidRDefault="00BC2953" w:rsidP="00BC2953">
      <w:pPr>
        <w:pStyle w:val="Normal2"/>
      </w:pPr>
      <w:r w:rsidRPr="00BE42BC">
        <w:t>In May–July 2015, the Commission facilitated 37 focus groups with approximately 480 clinicians in all Australian capital cities and a select number of regional centres. These focus groups discussed the applicability, challenges and strengths of version 1 of the NSQHS Standards. The broad concepts of version 2 were also discussed during these sessions.</w:t>
      </w:r>
    </w:p>
    <w:p w14:paraId="21B72510" w14:textId="77777777" w:rsidR="00BC2953" w:rsidRPr="00E02609" w:rsidRDefault="00BC2953" w:rsidP="00BC2953">
      <w:pPr>
        <w:pStyle w:val="Heading3"/>
      </w:pPr>
      <w:r w:rsidRPr="00E02609">
        <w:t xml:space="preserve">Consultation and piloting processes </w:t>
      </w:r>
    </w:p>
    <w:p w14:paraId="0A15A621" w14:textId="77777777" w:rsidR="00BC2953" w:rsidRPr="00BE42BC" w:rsidRDefault="00BC2953" w:rsidP="00BC2953">
      <w:pPr>
        <w:pStyle w:val="Normal2"/>
      </w:pPr>
      <w:r w:rsidRPr="00BE42BC">
        <w:t>The piloting and public consultation processes for the draft version 2 of the NSQHS Standards ran from 27 August to 30 October 2015. These processes included surveys, written responses, self-assessments and gap analyses.</w:t>
      </w:r>
    </w:p>
    <w:p w14:paraId="7B92EA82" w14:textId="77777777" w:rsidR="00BC2953" w:rsidRPr="00BE42BC" w:rsidRDefault="00BC2953" w:rsidP="00BC2953">
      <w:pPr>
        <w:pStyle w:val="Normal2"/>
      </w:pPr>
      <w:r w:rsidRPr="00BE42BC">
        <w:t xml:space="preserve">As at 10 March 2016, 162 written responses had been received: 43 per cent (70) from the public sector, 42 per cent (68) from the private sector and 15 per cent (24) from others. Responses by jurisdiction are shown in </w:t>
      </w:r>
      <w:r w:rsidRPr="00BE42BC">
        <w:fldChar w:fldCharType="begin"/>
      </w:r>
      <w:r w:rsidRPr="00BE42BC">
        <w:instrText xml:space="preserve"> REF _Ref459017671 \h  \* MERGEFORMAT </w:instrText>
      </w:r>
      <w:r w:rsidRPr="00BE42BC">
        <w:fldChar w:fldCharType="separate"/>
      </w:r>
      <w:r w:rsidR="0068597B" w:rsidRPr="0068597B">
        <w:t>Table 9</w:t>
      </w:r>
      <w:r w:rsidRPr="00BE42BC">
        <w:fldChar w:fldCharType="end"/>
      </w:r>
      <w:r w:rsidRPr="00BE42BC">
        <w:t>.</w:t>
      </w:r>
    </w:p>
    <w:p w14:paraId="4E3B6D5B" w14:textId="77777777" w:rsidR="00BC2953" w:rsidRPr="00D037A4" w:rsidRDefault="00BC2953" w:rsidP="00D037A4">
      <w:pPr>
        <w:pStyle w:val="Caption"/>
        <w:spacing w:before="40"/>
        <w:rPr>
          <w:szCs w:val="20"/>
        </w:rPr>
      </w:pPr>
      <w:bookmarkStart w:id="14" w:name="_Ref459017671"/>
      <w:r w:rsidRPr="00D037A4">
        <w:rPr>
          <w:szCs w:val="20"/>
        </w:rPr>
        <w:t xml:space="preserve">Table </w:t>
      </w:r>
      <w:r w:rsidRPr="00D037A4">
        <w:rPr>
          <w:szCs w:val="20"/>
        </w:rPr>
        <w:fldChar w:fldCharType="begin"/>
      </w:r>
      <w:r w:rsidRPr="00D037A4">
        <w:rPr>
          <w:szCs w:val="20"/>
        </w:rPr>
        <w:instrText xml:space="preserve"> SEQ Table \* ARABIC </w:instrText>
      </w:r>
      <w:r w:rsidRPr="00D037A4">
        <w:rPr>
          <w:szCs w:val="20"/>
        </w:rPr>
        <w:fldChar w:fldCharType="separate"/>
      </w:r>
      <w:r w:rsidR="0068597B">
        <w:rPr>
          <w:noProof/>
          <w:szCs w:val="20"/>
        </w:rPr>
        <w:t>9</w:t>
      </w:r>
      <w:r w:rsidRPr="00D037A4">
        <w:rPr>
          <w:szCs w:val="20"/>
        </w:rPr>
        <w:fldChar w:fldCharType="end"/>
      </w:r>
      <w:bookmarkEnd w:id="14"/>
      <w:r w:rsidRPr="00D037A4">
        <w:rPr>
          <w:szCs w:val="20"/>
        </w:rPr>
        <w:t>: Written submissions received, by jurisdiction</w:t>
      </w:r>
    </w:p>
    <w:tbl>
      <w:tblPr>
        <w:tblStyle w:val="TableGrid"/>
        <w:tblW w:w="0" w:type="auto"/>
        <w:tblLook w:val="04A0" w:firstRow="1" w:lastRow="0" w:firstColumn="1" w:lastColumn="0" w:noHBand="0" w:noVBand="1"/>
        <w:tblCaption w:val="Written submission received by jurisdiction"/>
      </w:tblPr>
      <w:tblGrid>
        <w:gridCol w:w="839"/>
        <w:gridCol w:w="791"/>
        <w:gridCol w:w="805"/>
        <w:gridCol w:w="787"/>
        <w:gridCol w:w="762"/>
        <w:gridCol w:w="785"/>
        <w:gridCol w:w="774"/>
        <w:gridCol w:w="774"/>
        <w:gridCol w:w="1005"/>
        <w:gridCol w:w="1116"/>
        <w:gridCol w:w="804"/>
      </w:tblGrid>
      <w:tr w:rsidR="00BC2953" w:rsidRPr="00D037A4" w14:paraId="14558D74"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840" w:type="dxa"/>
          </w:tcPr>
          <w:p w14:paraId="58DF227C" w14:textId="77777777" w:rsidR="00BC2953" w:rsidRPr="00D037A4" w:rsidRDefault="00BC2953" w:rsidP="00D037A4">
            <w:pPr>
              <w:spacing w:before="40" w:after="40"/>
              <w:rPr>
                <w:rFonts w:ascii="Arial" w:hAnsi="Arial" w:cs="Arial"/>
                <w:sz w:val="20"/>
              </w:rPr>
            </w:pPr>
            <w:r w:rsidRPr="00D037A4">
              <w:rPr>
                <w:rFonts w:ascii="Arial" w:hAnsi="Arial" w:cs="Arial"/>
                <w:sz w:val="20"/>
              </w:rPr>
              <w:t>Sector</w:t>
            </w:r>
          </w:p>
        </w:tc>
        <w:tc>
          <w:tcPr>
            <w:tcW w:w="803" w:type="dxa"/>
          </w:tcPr>
          <w:p w14:paraId="033AD481" w14:textId="77777777" w:rsidR="00BC2953" w:rsidRPr="00D037A4" w:rsidRDefault="00BC2953" w:rsidP="00D037A4">
            <w:pPr>
              <w:spacing w:before="40" w:after="40"/>
              <w:rPr>
                <w:rFonts w:ascii="Arial" w:hAnsi="Arial" w:cs="Arial"/>
                <w:sz w:val="20"/>
              </w:rPr>
            </w:pPr>
            <w:r w:rsidRPr="00D037A4">
              <w:rPr>
                <w:rFonts w:ascii="Arial" w:hAnsi="Arial" w:cs="Arial"/>
                <w:sz w:val="20"/>
              </w:rPr>
              <w:t>ACT</w:t>
            </w:r>
          </w:p>
        </w:tc>
        <w:tc>
          <w:tcPr>
            <w:tcW w:w="814" w:type="dxa"/>
          </w:tcPr>
          <w:p w14:paraId="02F70A18" w14:textId="77777777" w:rsidR="00BC2953" w:rsidRPr="00D037A4" w:rsidRDefault="00BC2953" w:rsidP="00D037A4">
            <w:pPr>
              <w:spacing w:before="40" w:after="40"/>
              <w:rPr>
                <w:rFonts w:ascii="Arial" w:hAnsi="Arial" w:cs="Arial"/>
                <w:sz w:val="20"/>
              </w:rPr>
            </w:pPr>
            <w:r w:rsidRPr="00D037A4">
              <w:rPr>
                <w:rFonts w:ascii="Arial" w:hAnsi="Arial" w:cs="Arial"/>
                <w:sz w:val="20"/>
              </w:rPr>
              <w:t>NSW</w:t>
            </w:r>
          </w:p>
        </w:tc>
        <w:tc>
          <w:tcPr>
            <w:tcW w:w="805" w:type="dxa"/>
          </w:tcPr>
          <w:p w14:paraId="5A4AFB28" w14:textId="77777777" w:rsidR="00BC2953" w:rsidRPr="00D037A4" w:rsidRDefault="00BC2953" w:rsidP="00D037A4">
            <w:pPr>
              <w:spacing w:before="40" w:after="40"/>
              <w:rPr>
                <w:rFonts w:ascii="Arial" w:hAnsi="Arial" w:cs="Arial"/>
                <w:sz w:val="20"/>
              </w:rPr>
            </w:pPr>
            <w:r w:rsidRPr="00D037A4">
              <w:rPr>
                <w:rFonts w:ascii="Arial" w:hAnsi="Arial" w:cs="Arial"/>
                <w:sz w:val="20"/>
              </w:rPr>
              <w:t>Qld</w:t>
            </w:r>
          </w:p>
        </w:tc>
        <w:tc>
          <w:tcPr>
            <w:tcW w:w="782" w:type="dxa"/>
          </w:tcPr>
          <w:p w14:paraId="09922677" w14:textId="77777777" w:rsidR="00BC2953" w:rsidRPr="00D037A4" w:rsidRDefault="00BC2953" w:rsidP="00D037A4">
            <w:pPr>
              <w:spacing w:before="40" w:after="40"/>
              <w:rPr>
                <w:rFonts w:ascii="Arial" w:hAnsi="Arial" w:cs="Arial"/>
                <w:sz w:val="20"/>
              </w:rPr>
            </w:pPr>
            <w:r w:rsidRPr="00D037A4">
              <w:rPr>
                <w:rFonts w:ascii="Arial" w:hAnsi="Arial" w:cs="Arial"/>
                <w:sz w:val="20"/>
              </w:rPr>
              <w:t>SA</w:t>
            </w:r>
          </w:p>
        </w:tc>
        <w:tc>
          <w:tcPr>
            <w:tcW w:w="802" w:type="dxa"/>
          </w:tcPr>
          <w:p w14:paraId="46DA5582" w14:textId="77777777" w:rsidR="00BC2953" w:rsidRPr="00D037A4" w:rsidRDefault="00BC2953" w:rsidP="00D037A4">
            <w:pPr>
              <w:spacing w:before="40" w:after="40"/>
              <w:rPr>
                <w:rFonts w:ascii="Arial" w:hAnsi="Arial" w:cs="Arial"/>
                <w:sz w:val="20"/>
              </w:rPr>
            </w:pPr>
            <w:r w:rsidRPr="00D037A4">
              <w:rPr>
                <w:rFonts w:ascii="Arial" w:hAnsi="Arial" w:cs="Arial"/>
                <w:sz w:val="20"/>
              </w:rPr>
              <w:t>Tas</w:t>
            </w:r>
          </w:p>
        </w:tc>
        <w:tc>
          <w:tcPr>
            <w:tcW w:w="793" w:type="dxa"/>
          </w:tcPr>
          <w:p w14:paraId="410F317F" w14:textId="77777777" w:rsidR="00BC2953" w:rsidRPr="00D037A4" w:rsidRDefault="00BC2953" w:rsidP="00D037A4">
            <w:pPr>
              <w:spacing w:before="40" w:after="40"/>
              <w:rPr>
                <w:rFonts w:ascii="Arial" w:hAnsi="Arial" w:cs="Arial"/>
                <w:sz w:val="20"/>
              </w:rPr>
            </w:pPr>
            <w:r w:rsidRPr="00D037A4">
              <w:rPr>
                <w:rFonts w:ascii="Arial" w:hAnsi="Arial" w:cs="Arial"/>
                <w:sz w:val="20"/>
              </w:rPr>
              <w:t>Vic</w:t>
            </w:r>
          </w:p>
        </w:tc>
        <w:tc>
          <w:tcPr>
            <w:tcW w:w="791" w:type="dxa"/>
          </w:tcPr>
          <w:p w14:paraId="7EEAA3BC" w14:textId="77777777" w:rsidR="00BC2953" w:rsidRPr="00D037A4" w:rsidRDefault="00BC2953" w:rsidP="00D037A4">
            <w:pPr>
              <w:spacing w:before="40" w:after="40"/>
              <w:rPr>
                <w:rFonts w:ascii="Arial" w:hAnsi="Arial" w:cs="Arial"/>
                <w:sz w:val="20"/>
              </w:rPr>
            </w:pPr>
            <w:r w:rsidRPr="00D037A4">
              <w:rPr>
                <w:rFonts w:ascii="Arial" w:hAnsi="Arial" w:cs="Arial"/>
                <w:sz w:val="20"/>
              </w:rPr>
              <w:t>WA</w:t>
            </w:r>
          </w:p>
        </w:tc>
        <w:tc>
          <w:tcPr>
            <w:tcW w:w="950" w:type="dxa"/>
          </w:tcPr>
          <w:p w14:paraId="0A9851E5" w14:textId="77777777" w:rsidR="00BC2953" w:rsidRPr="00D037A4" w:rsidRDefault="00BC2953" w:rsidP="00D037A4">
            <w:pPr>
              <w:spacing w:before="40" w:after="40"/>
              <w:rPr>
                <w:rFonts w:ascii="Arial" w:hAnsi="Arial" w:cs="Arial"/>
                <w:sz w:val="20"/>
              </w:rPr>
            </w:pPr>
            <w:r w:rsidRPr="00D037A4">
              <w:rPr>
                <w:rFonts w:ascii="Arial" w:hAnsi="Arial" w:cs="Arial"/>
                <w:sz w:val="20"/>
              </w:rPr>
              <w:t>National</w:t>
            </w:r>
          </w:p>
        </w:tc>
        <w:tc>
          <w:tcPr>
            <w:tcW w:w="1050" w:type="dxa"/>
          </w:tcPr>
          <w:p w14:paraId="108A7591" w14:textId="77777777" w:rsidR="00BC2953" w:rsidRPr="00D037A4" w:rsidRDefault="00BC2953" w:rsidP="00D037A4">
            <w:pPr>
              <w:spacing w:before="40" w:after="40"/>
              <w:rPr>
                <w:rFonts w:ascii="Arial" w:hAnsi="Arial" w:cs="Arial"/>
                <w:sz w:val="20"/>
              </w:rPr>
            </w:pPr>
            <w:r w:rsidRPr="00D037A4">
              <w:rPr>
                <w:rFonts w:ascii="Arial" w:hAnsi="Arial" w:cs="Arial"/>
                <w:sz w:val="20"/>
              </w:rPr>
              <w:t>Unknown</w:t>
            </w:r>
          </w:p>
        </w:tc>
        <w:tc>
          <w:tcPr>
            <w:tcW w:w="812" w:type="dxa"/>
          </w:tcPr>
          <w:p w14:paraId="2ACCF812" w14:textId="77777777" w:rsidR="00BC2953" w:rsidRPr="00D037A4" w:rsidRDefault="00BC2953" w:rsidP="00D037A4">
            <w:pPr>
              <w:spacing w:before="40" w:after="40"/>
              <w:rPr>
                <w:rFonts w:ascii="Arial" w:hAnsi="Arial" w:cs="Arial"/>
                <w:sz w:val="20"/>
              </w:rPr>
            </w:pPr>
            <w:r w:rsidRPr="00D037A4">
              <w:rPr>
                <w:rFonts w:ascii="Arial" w:hAnsi="Arial" w:cs="Arial"/>
                <w:sz w:val="20"/>
              </w:rPr>
              <w:t>Total</w:t>
            </w:r>
          </w:p>
        </w:tc>
      </w:tr>
      <w:tr w:rsidR="00BC2953" w:rsidRPr="00D037A4" w14:paraId="321AF4B4" w14:textId="77777777" w:rsidTr="00030BC1">
        <w:tc>
          <w:tcPr>
            <w:tcW w:w="840" w:type="dxa"/>
          </w:tcPr>
          <w:p w14:paraId="3120567C" w14:textId="77777777" w:rsidR="00BC2953" w:rsidRPr="00D037A4" w:rsidRDefault="00BC2953" w:rsidP="00D037A4">
            <w:pPr>
              <w:spacing w:before="40" w:after="40"/>
              <w:rPr>
                <w:rFonts w:ascii="Arial" w:hAnsi="Arial" w:cs="Arial"/>
                <w:sz w:val="20"/>
              </w:rPr>
            </w:pPr>
            <w:r w:rsidRPr="00D037A4">
              <w:rPr>
                <w:rFonts w:ascii="Arial" w:hAnsi="Arial" w:cs="Arial"/>
                <w:sz w:val="20"/>
              </w:rPr>
              <w:t>Public</w:t>
            </w:r>
          </w:p>
        </w:tc>
        <w:tc>
          <w:tcPr>
            <w:tcW w:w="803" w:type="dxa"/>
          </w:tcPr>
          <w:p w14:paraId="40A2A77E" w14:textId="77777777" w:rsidR="00BC2953" w:rsidRPr="00D037A4" w:rsidRDefault="00BC2953" w:rsidP="00D037A4">
            <w:pPr>
              <w:spacing w:before="40" w:after="40"/>
              <w:rPr>
                <w:rFonts w:ascii="Arial" w:hAnsi="Arial" w:cs="Arial"/>
                <w:sz w:val="20"/>
              </w:rPr>
            </w:pPr>
            <w:r w:rsidRPr="00D037A4">
              <w:rPr>
                <w:rFonts w:ascii="Arial" w:hAnsi="Arial" w:cs="Arial"/>
                <w:sz w:val="20"/>
              </w:rPr>
              <w:t>3</w:t>
            </w:r>
          </w:p>
        </w:tc>
        <w:tc>
          <w:tcPr>
            <w:tcW w:w="814" w:type="dxa"/>
          </w:tcPr>
          <w:p w14:paraId="3B005B73" w14:textId="77777777" w:rsidR="00BC2953" w:rsidRPr="00D037A4" w:rsidRDefault="00BC2953" w:rsidP="00D037A4">
            <w:pPr>
              <w:spacing w:before="40" w:after="40"/>
              <w:rPr>
                <w:rFonts w:ascii="Arial" w:hAnsi="Arial" w:cs="Arial"/>
                <w:sz w:val="20"/>
              </w:rPr>
            </w:pPr>
            <w:r w:rsidRPr="00D037A4">
              <w:rPr>
                <w:rFonts w:ascii="Arial" w:hAnsi="Arial" w:cs="Arial"/>
                <w:sz w:val="20"/>
              </w:rPr>
              <w:t>23</w:t>
            </w:r>
          </w:p>
        </w:tc>
        <w:tc>
          <w:tcPr>
            <w:tcW w:w="805" w:type="dxa"/>
          </w:tcPr>
          <w:p w14:paraId="17C119FB" w14:textId="77777777" w:rsidR="00BC2953" w:rsidRPr="00D037A4" w:rsidRDefault="00BC2953" w:rsidP="00D037A4">
            <w:pPr>
              <w:spacing w:before="40" w:after="40"/>
              <w:rPr>
                <w:rFonts w:ascii="Arial" w:hAnsi="Arial" w:cs="Arial"/>
                <w:sz w:val="20"/>
              </w:rPr>
            </w:pPr>
            <w:r w:rsidRPr="00D037A4">
              <w:rPr>
                <w:rFonts w:ascii="Arial" w:hAnsi="Arial" w:cs="Arial"/>
                <w:sz w:val="20"/>
              </w:rPr>
              <w:t>10</w:t>
            </w:r>
          </w:p>
        </w:tc>
        <w:tc>
          <w:tcPr>
            <w:tcW w:w="782" w:type="dxa"/>
          </w:tcPr>
          <w:p w14:paraId="660E656F" w14:textId="77777777" w:rsidR="00BC2953" w:rsidRPr="00D037A4" w:rsidRDefault="00BC2953" w:rsidP="00D037A4">
            <w:pPr>
              <w:spacing w:before="40" w:after="40"/>
              <w:rPr>
                <w:rFonts w:ascii="Arial" w:hAnsi="Arial" w:cs="Arial"/>
                <w:sz w:val="20"/>
              </w:rPr>
            </w:pPr>
            <w:r w:rsidRPr="00D037A4">
              <w:rPr>
                <w:rFonts w:ascii="Arial" w:hAnsi="Arial" w:cs="Arial"/>
                <w:sz w:val="20"/>
              </w:rPr>
              <w:t>6</w:t>
            </w:r>
          </w:p>
        </w:tc>
        <w:tc>
          <w:tcPr>
            <w:tcW w:w="802" w:type="dxa"/>
          </w:tcPr>
          <w:p w14:paraId="51563674"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793" w:type="dxa"/>
          </w:tcPr>
          <w:p w14:paraId="7373E5E4" w14:textId="77777777" w:rsidR="00BC2953" w:rsidRPr="00D037A4" w:rsidRDefault="00BC2953" w:rsidP="00D037A4">
            <w:pPr>
              <w:spacing w:before="40" w:after="40"/>
              <w:rPr>
                <w:rFonts w:ascii="Arial" w:hAnsi="Arial" w:cs="Arial"/>
                <w:sz w:val="20"/>
              </w:rPr>
            </w:pPr>
            <w:r w:rsidRPr="00D037A4">
              <w:rPr>
                <w:rFonts w:ascii="Arial" w:hAnsi="Arial" w:cs="Arial"/>
                <w:sz w:val="20"/>
              </w:rPr>
              <w:t>12</w:t>
            </w:r>
          </w:p>
        </w:tc>
        <w:tc>
          <w:tcPr>
            <w:tcW w:w="791" w:type="dxa"/>
          </w:tcPr>
          <w:p w14:paraId="40474F4B" w14:textId="77777777" w:rsidR="00BC2953" w:rsidRPr="00D037A4" w:rsidRDefault="00BC2953" w:rsidP="00D037A4">
            <w:pPr>
              <w:spacing w:before="40" w:after="40"/>
              <w:rPr>
                <w:rFonts w:ascii="Arial" w:hAnsi="Arial" w:cs="Arial"/>
                <w:sz w:val="20"/>
              </w:rPr>
            </w:pPr>
            <w:r w:rsidRPr="00D037A4">
              <w:rPr>
                <w:rFonts w:ascii="Arial" w:hAnsi="Arial" w:cs="Arial"/>
                <w:sz w:val="20"/>
              </w:rPr>
              <w:t>7</w:t>
            </w:r>
          </w:p>
        </w:tc>
        <w:tc>
          <w:tcPr>
            <w:tcW w:w="950" w:type="dxa"/>
          </w:tcPr>
          <w:p w14:paraId="0AB9C6A4" w14:textId="77777777" w:rsidR="00BC2953" w:rsidRPr="00D037A4" w:rsidRDefault="00BC2953" w:rsidP="00D037A4">
            <w:pPr>
              <w:spacing w:before="40" w:after="40"/>
              <w:rPr>
                <w:rFonts w:ascii="Arial" w:hAnsi="Arial" w:cs="Arial"/>
                <w:sz w:val="20"/>
              </w:rPr>
            </w:pPr>
            <w:r w:rsidRPr="00D037A4">
              <w:rPr>
                <w:rFonts w:ascii="Arial" w:hAnsi="Arial" w:cs="Arial"/>
                <w:sz w:val="20"/>
              </w:rPr>
              <w:t>8</w:t>
            </w:r>
          </w:p>
        </w:tc>
        <w:tc>
          <w:tcPr>
            <w:tcW w:w="1050" w:type="dxa"/>
          </w:tcPr>
          <w:p w14:paraId="1406459E" w14:textId="77777777" w:rsidR="00BC2953" w:rsidRPr="00D037A4" w:rsidRDefault="00BC2953" w:rsidP="00D037A4">
            <w:pPr>
              <w:spacing w:before="40" w:after="40"/>
              <w:rPr>
                <w:rFonts w:ascii="Arial" w:hAnsi="Arial" w:cs="Arial"/>
                <w:sz w:val="20"/>
              </w:rPr>
            </w:pPr>
            <w:r w:rsidRPr="00D037A4">
              <w:rPr>
                <w:rFonts w:ascii="Arial" w:hAnsi="Arial" w:cs="Arial"/>
                <w:sz w:val="20"/>
              </w:rPr>
              <w:t>0</w:t>
            </w:r>
          </w:p>
        </w:tc>
        <w:tc>
          <w:tcPr>
            <w:tcW w:w="812" w:type="dxa"/>
          </w:tcPr>
          <w:p w14:paraId="4FA96F2D" w14:textId="77777777" w:rsidR="00BC2953" w:rsidRPr="00D037A4" w:rsidRDefault="00BC2953" w:rsidP="00D037A4">
            <w:pPr>
              <w:spacing w:before="40" w:after="40"/>
              <w:rPr>
                <w:rFonts w:ascii="Arial" w:hAnsi="Arial" w:cs="Arial"/>
                <w:sz w:val="20"/>
              </w:rPr>
            </w:pPr>
            <w:r w:rsidRPr="00D037A4">
              <w:rPr>
                <w:rFonts w:ascii="Arial" w:hAnsi="Arial" w:cs="Arial"/>
                <w:sz w:val="20"/>
              </w:rPr>
              <w:t>70</w:t>
            </w:r>
          </w:p>
        </w:tc>
      </w:tr>
      <w:tr w:rsidR="00BC2953" w:rsidRPr="00D037A4" w14:paraId="079E95C6" w14:textId="77777777" w:rsidTr="00030BC1">
        <w:tc>
          <w:tcPr>
            <w:tcW w:w="840" w:type="dxa"/>
          </w:tcPr>
          <w:p w14:paraId="4F2A71AF" w14:textId="77777777" w:rsidR="00BC2953" w:rsidRPr="00D037A4" w:rsidRDefault="00BC2953" w:rsidP="00D037A4">
            <w:pPr>
              <w:spacing w:before="40" w:after="40"/>
              <w:rPr>
                <w:rFonts w:ascii="Arial" w:hAnsi="Arial" w:cs="Arial"/>
                <w:sz w:val="20"/>
              </w:rPr>
            </w:pPr>
            <w:r w:rsidRPr="00D037A4">
              <w:rPr>
                <w:rFonts w:ascii="Arial" w:hAnsi="Arial" w:cs="Arial"/>
                <w:sz w:val="20"/>
              </w:rPr>
              <w:t>Private</w:t>
            </w:r>
          </w:p>
        </w:tc>
        <w:tc>
          <w:tcPr>
            <w:tcW w:w="803" w:type="dxa"/>
          </w:tcPr>
          <w:p w14:paraId="2A582DAD"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814" w:type="dxa"/>
          </w:tcPr>
          <w:p w14:paraId="13DD1D4B"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805" w:type="dxa"/>
          </w:tcPr>
          <w:p w14:paraId="24B978C0" w14:textId="77777777" w:rsidR="00BC2953" w:rsidRPr="00D037A4" w:rsidRDefault="00BC2953" w:rsidP="00D037A4">
            <w:pPr>
              <w:spacing w:before="40" w:after="40"/>
              <w:rPr>
                <w:rFonts w:ascii="Arial" w:hAnsi="Arial" w:cs="Arial"/>
                <w:sz w:val="20"/>
              </w:rPr>
            </w:pPr>
            <w:r w:rsidRPr="00D037A4">
              <w:rPr>
                <w:rFonts w:ascii="Arial" w:hAnsi="Arial" w:cs="Arial"/>
                <w:sz w:val="20"/>
              </w:rPr>
              <w:t>8</w:t>
            </w:r>
          </w:p>
        </w:tc>
        <w:tc>
          <w:tcPr>
            <w:tcW w:w="782" w:type="dxa"/>
          </w:tcPr>
          <w:p w14:paraId="7A5A218F" w14:textId="77777777" w:rsidR="00BC2953" w:rsidRPr="00D037A4" w:rsidRDefault="00BC2953" w:rsidP="00D037A4">
            <w:pPr>
              <w:spacing w:before="40" w:after="40"/>
              <w:rPr>
                <w:rFonts w:ascii="Arial" w:hAnsi="Arial" w:cs="Arial"/>
                <w:sz w:val="20"/>
              </w:rPr>
            </w:pPr>
            <w:r w:rsidRPr="00D037A4">
              <w:rPr>
                <w:rFonts w:ascii="Arial" w:hAnsi="Arial" w:cs="Arial"/>
                <w:sz w:val="20"/>
              </w:rPr>
              <w:t>3</w:t>
            </w:r>
          </w:p>
        </w:tc>
        <w:tc>
          <w:tcPr>
            <w:tcW w:w="802" w:type="dxa"/>
          </w:tcPr>
          <w:p w14:paraId="6EC6538C" w14:textId="77777777" w:rsidR="00BC2953" w:rsidRPr="00D037A4" w:rsidRDefault="00BC2953" w:rsidP="00D037A4">
            <w:pPr>
              <w:spacing w:before="40" w:after="40"/>
              <w:rPr>
                <w:rFonts w:ascii="Arial" w:hAnsi="Arial" w:cs="Arial"/>
                <w:sz w:val="20"/>
              </w:rPr>
            </w:pPr>
            <w:r w:rsidRPr="00D037A4">
              <w:rPr>
                <w:rFonts w:ascii="Arial" w:hAnsi="Arial" w:cs="Arial"/>
                <w:sz w:val="20"/>
              </w:rPr>
              <w:t>0</w:t>
            </w:r>
          </w:p>
        </w:tc>
        <w:tc>
          <w:tcPr>
            <w:tcW w:w="793" w:type="dxa"/>
          </w:tcPr>
          <w:p w14:paraId="49801194" w14:textId="77777777" w:rsidR="00BC2953" w:rsidRPr="00D037A4" w:rsidRDefault="00BC2953" w:rsidP="00D037A4">
            <w:pPr>
              <w:spacing w:before="40" w:after="40"/>
              <w:rPr>
                <w:rFonts w:ascii="Arial" w:hAnsi="Arial" w:cs="Arial"/>
                <w:sz w:val="20"/>
              </w:rPr>
            </w:pPr>
            <w:r w:rsidRPr="00D037A4">
              <w:rPr>
                <w:rFonts w:ascii="Arial" w:hAnsi="Arial" w:cs="Arial"/>
                <w:sz w:val="20"/>
              </w:rPr>
              <w:t>13</w:t>
            </w:r>
          </w:p>
        </w:tc>
        <w:tc>
          <w:tcPr>
            <w:tcW w:w="791" w:type="dxa"/>
          </w:tcPr>
          <w:p w14:paraId="512F2E03"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950" w:type="dxa"/>
          </w:tcPr>
          <w:p w14:paraId="1A04FB5D" w14:textId="77777777" w:rsidR="00BC2953" w:rsidRPr="00D037A4" w:rsidRDefault="00BC2953" w:rsidP="00D037A4">
            <w:pPr>
              <w:spacing w:before="40" w:after="40"/>
              <w:rPr>
                <w:rFonts w:ascii="Arial" w:hAnsi="Arial" w:cs="Arial"/>
                <w:sz w:val="20"/>
              </w:rPr>
            </w:pPr>
            <w:r w:rsidRPr="00D037A4">
              <w:rPr>
                <w:rFonts w:ascii="Arial" w:hAnsi="Arial" w:cs="Arial"/>
                <w:sz w:val="20"/>
              </w:rPr>
              <w:t>33</w:t>
            </w:r>
          </w:p>
        </w:tc>
        <w:tc>
          <w:tcPr>
            <w:tcW w:w="1050" w:type="dxa"/>
          </w:tcPr>
          <w:p w14:paraId="4C2BE332"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812" w:type="dxa"/>
          </w:tcPr>
          <w:p w14:paraId="4AB7C8C9" w14:textId="77777777" w:rsidR="00BC2953" w:rsidRPr="00D037A4" w:rsidRDefault="00BC2953" w:rsidP="00D037A4">
            <w:pPr>
              <w:spacing w:before="40" w:after="40"/>
              <w:rPr>
                <w:rFonts w:ascii="Arial" w:hAnsi="Arial" w:cs="Arial"/>
                <w:sz w:val="20"/>
              </w:rPr>
            </w:pPr>
            <w:r w:rsidRPr="00D037A4">
              <w:rPr>
                <w:rFonts w:ascii="Arial" w:hAnsi="Arial" w:cs="Arial"/>
                <w:sz w:val="20"/>
              </w:rPr>
              <w:t>68</w:t>
            </w:r>
          </w:p>
        </w:tc>
      </w:tr>
      <w:tr w:rsidR="00BC2953" w:rsidRPr="00D037A4" w14:paraId="659D5ACE" w14:textId="77777777" w:rsidTr="00030BC1">
        <w:tc>
          <w:tcPr>
            <w:tcW w:w="840" w:type="dxa"/>
          </w:tcPr>
          <w:p w14:paraId="69E47CBB" w14:textId="77777777" w:rsidR="00BC2953" w:rsidRPr="00D037A4" w:rsidRDefault="00BC2953" w:rsidP="00D037A4">
            <w:pPr>
              <w:spacing w:before="40" w:after="40"/>
              <w:rPr>
                <w:rFonts w:ascii="Arial" w:hAnsi="Arial" w:cs="Arial"/>
                <w:sz w:val="20"/>
              </w:rPr>
            </w:pPr>
            <w:r w:rsidRPr="00D037A4">
              <w:rPr>
                <w:rFonts w:ascii="Arial" w:hAnsi="Arial" w:cs="Arial"/>
                <w:sz w:val="20"/>
              </w:rPr>
              <w:t>Other</w:t>
            </w:r>
          </w:p>
        </w:tc>
        <w:tc>
          <w:tcPr>
            <w:tcW w:w="803" w:type="dxa"/>
          </w:tcPr>
          <w:p w14:paraId="7D920DC9" w14:textId="77777777" w:rsidR="00BC2953" w:rsidRPr="00D037A4" w:rsidRDefault="00BC2953" w:rsidP="00D037A4">
            <w:pPr>
              <w:spacing w:before="40" w:after="40"/>
              <w:rPr>
                <w:rFonts w:ascii="Arial" w:hAnsi="Arial" w:cs="Arial"/>
                <w:sz w:val="20"/>
              </w:rPr>
            </w:pPr>
            <w:r w:rsidRPr="00D037A4">
              <w:rPr>
                <w:rFonts w:ascii="Arial" w:hAnsi="Arial" w:cs="Arial"/>
                <w:sz w:val="20"/>
              </w:rPr>
              <w:t>0</w:t>
            </w:r>
          </w:p>
        </w:tc>
        <w:tc>
          <w:tcPr>
            <w:tcW w:w="814" w:type="dxa"/>
          </w:tcPr>
          <w:p w14:paraId="6727E1E3"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c>
          <w:tcPr>
            <w:tcW w:w="805" w:type="dxa"/>
          </w:tcPr>
          <w:p w14:paraId="0011A3B3"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c>
          <w:tcPr>
            <w:tcW w:w="782" w:type="dxa"/>
          </w:tcPr>
          <w:p w14:paraId="3FC1C286" w14:textId="77777777" w:rsidR="00BC2953" w:rsidRPr="00D037A4" w:rsidRDefault="00BC2953" w:rsidP="00D037A4">
            <w:pPr>
              <w:spacing w:before="40" w:after="40"/>
              <w:rPr>
                <w:rFonts w:ascii="Arial" w:hAnsi="Arial" w:cs="Arial"/>
                <w:sz w:val="20"/>
              </w:rPr>
            </w:pPr>
            <w:r w:rsidRPr="00D037A4">
              <w:rPr>
                <w:rFonts w:ascii="Arial" w:hAnsi="Arial" w:cs="Arial"/>
                <w:sz w:val="20"/>
              </w:rPr>
              <w:t>0</w:t>
            </w:r>
          </w:p>
        </w:tc>
        <w:tc>
          <w:tcPr>
            <w:tcW w:w="802" w:type="dxa"/>
          </w:tcPr>
          <w:p w14:paraId="075066E0" w14:textId="77777777" w:rsidR="00BC2953" w:rsidRPr="00D037A4" w:rsidRDefault="00BC2953" w:rsidP="00D037A4">
            <w:pPr>
              <w:spacing w:before="40" w:after="40"/>
              <w:rPr>
                <w:rFonts w:ascii="Arial" w:hAnsi="Arial" w:cs="Arial"/>
                <w:sz w:val="20"/>
              </w:rPr>
            </w:pPr>
            <w:r w:rsidRPr="00D037A4">
              <w:rPr>
                <w:rFonts w:ascii="Arial" w:hAnsi="Arial" w:cs="Arial"/>
                <w:sz w:val="20"/>
              </w:rPr>
              <w:t>0</w:t>
            </w:r>
          </w:p>
        </w:tc>
        <w:tc>
          <w:tcPr>
            <w:tcW w:w="793" w:type="dxa"/>
          </w:tcPr>
          <w:p w14:paraId="32875879"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791" w:type="dxa"/>
          </w:tcPr>
          <w:p w14:paraId="0D59DD2C"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950" w:type="dxa"/>
          </w:tcPr>
          <w:p w14:paraId="4B8691D6" w14:textId="77777777" w:rsidR="00BC2953" w:rsidRPr="00D037A4" w:rsidRDefault="00BC2953" w:rsidP="00D037A4">
            <w:pPr>
              <w:spacing w:before="40" w:after="40"/>
              <w:rPr>
                <w:rFonts w:ascii="Arial" w:hAnsi="Arial" w:cs="Arial"/>
                <w:sz w:val="20"/>
              </w:rPr>
            </w:pPr>
            <w:r w:rsidRPr="00D037A4">
              <w:rPr>
                <w:rFonts w:ascii="Arial" w:hAnsi="Arial" w:cs="Arial"/>
                <w:sz w:val="20"/>
              </w:rPr>
              <w:t>10</w:t>
            </w:r>
          </w:p>
        </w:tc>
        <w:tc>
          <w:tcPr>
            <w:tcW w:w="1050" w:type="dxa"/>
          </w:tcPr>
          <w:p w14:paraId="0495A912"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812" w:type="dxa"/>
          </w:tcPr>
          <w:p w14:paraId="7C83C158" w14:textId="77777777" w:rsidR="00BC2953" w:rsidRPr="00D037A4" w:rsidRDefault="00BC2953" w:rsidP="00D037A4">
            <w:pPr>
              <w:spacing w:before="40" w:after="40"/>
              <w:rPr>
                <w:rFonts w:ascii="Arial" w:hAnsi="Arial" w:cs="Arial"/>
                <w:sz w:val="20"/>
              </w:rPr>
            </w:pPr>
            <w:r w:rsidRPr="00D037A4">
              <w:rPr>
                <w:rFonts w:ascii="Arial" w:hAnsi="Arial" w:cs="Arial"/>
                <w:sz w:val="20"/>
              </w:rPr>
              <w:t>24</w:t>
            </w:r>
          </w:p>
        </w:tc>
      </w:tr>
      <w:tr w:rsidR="00BC2953" w:rsidRPr="00D037A4" w14:paraId="125E6135" w14:textId="77777777" w:rsidTr="00030BC1">
        <w:tc>
          <w:tcPr>
            <w:tcW w:w="840" w:type="dxa"/>
          </w:tcPr>
          <w:p w14:paraId="60B18B31" w14:textId="77777777" w:rsidR="00BC2953" w:rsidRPr="00D037A4" w:rsidRDefault="00BC2953" w:rsidP="00D037A4">
            <w:pPr>
              <w:spacing w:before="40" w:after="40"/>
              <w:rPr>
                <w:rFonts w:ascii="Arial" w:hAnsi="Arial" w:cs="Arial"/>
                <w:sz w:val="20"/>
              </w:rPr>
            </w:pPr>
            <w:r w:rsidRPr="00D037A4">
              <w:rPr>
                <w:rFonts w:ascii="Arial" w:hAnsi="Arial" w:cs="Arial"/>
                <w:sz w:val="20"/>
              </w:rPr>
              <w:t>Total</w:t>
            </w:r>
          </w:p>
        </w:tc>
        <w:tc>
          <w:tcPr>
            <w:tcW w:w="803" w:type="dxa"/>
          </w:tcPr>
          <w:p w14:paraId="1635C865"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814" w:type="dxa"/>
          </w:tcPr>
          <w:p w14:paraId="28558C41" w14:textId="77777777" w:rsidR="00BC2953" w:rsidRPr="00D037A4" w:rsidRDefault="00BC2953" w:rsidP="00D037A4">
            <w:pPr>
              <w:spacing w:before="40" w:after="40"/>
              <w:rPr>
                <w:rFonts w:ascii="Arial" w:hAnsi="Arial" w:cs="Arial"/>
                <w:sz w:val="20"/>
              </w:rPr>
            </w:pPr>
            <w:r w:rsidRPr="00D037A4">
              <w:rPr>
                <w:rFonts w:ascii="Arial" w:hAnsi="Arial" w:cs="Arial"/>
                <w:sz w:val="20"/>
              </w:rPr>
              <w:t>29</w:t>
            </w:r>
          </w:p>
        </w:tc>
        <w:tc>
          <w:tcPr>
            <w:tcW w:w="805" w:type="dxa"/>
          </w:tcPr>
          <w:p w14:paraId="74F270FA" w14:textId="77777777" w:rsidR="00BC2953" w:rsidRPr="00D037A4" w:rsidRDefault="00BC2953" w:rsidP="00D037A4">
            <w:pPr>
              <w:spacing w:before="40" w:after="40"/>
              <w:rPr>
                <w:rFonts w:ascii="Arial" w:hAnsi="Arial" w:cs="Arial"/>
                <w:sz w:val="20"/>
              </w:rPr>
            </w:pPr>
            <w:r w:rsidRPr="00D037A4">
              <w:rPr>
                <w:rFonts w:ascii="Arial" w:hAnsi="Arial" w:cs="Arial"/>
                <w:sz w:val="20"/>
              </w:rPr>
              <w:t>20</w:t>
            </w:r>
          </w:p>
        </w:tc>
        <w:tc>
          <w:tcPr>
            <w:tcW w:w="782" w:type="dxa"/>
          </w:tcPr>
          <w:p w14:paraId="13E51F15"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c>
          <w:tcPr>
            <w:tcW w:w="802" w:type="dxa"/>
          </w:tcPr>
          <w:p w14:paraId="57E630A2"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793" w:type="dxa"/>
          </w:tcPr>
          <w:p w14:paraId="34E4A60C" w14:textId="77777777" w:rsidR="00BC2953" w:rsidRPr="00D037A4" w:rsidRDefault="00BC2953" w:rsidP="00D037A4">
            <w:pPr>
              <w:spacing w:before="40" w:after="40"/>
              <w:rPr>
                <w:rFonts w:ascii="Arial" w:hAnsi="Arial" w:cs="Arial"/>
                <w:sz w:val="20"/>
              </w:rPr>
            </w:pPr>
            <w:r w:rsidRPr="00D037A4">
              <w:rPr>
                <w:rFonts w:ascii="Arial" w:hAnsi="Arial" w:cs="Arial"/>
                <w:sz w:val="20"/>
              </w:rPr>
              <w:t>30</w:t>
            </w:r>
          </w:p>
        </w:tc>
        <w:tc>
          <w:tcPr>
            <w:tcW w:w="791" w:type="dxa"/>
          </w:tcPr>
          <w:p w14:paraId="42C2E31D"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c>
          <w:tcPr>
            <w:tcW w:w="950" w:type="dxa"/>
          </w:tcPr>
          <w:p w14:paraId="498FB7AF" w14:textId="77777777" w:rsidR="00BC2953" w:rsidRPr="00D037A4" w:rsidRDefault="00BC2953" w:rsidP="00D037A4">
            <w:pPr>
              <w:spacing w:before="40" w:after="40"/>
              <w:rPr>
                <w:rFonts w:ascii="Arial" w:hAnsi="Arial" w:cs="Arial"/>
                <w:sz w:val="20"/>
              </w:rPr>
            </w:pPr>
            <w:r w:rsidRPr="00D037A4">
              <w:rPr>
                <w:rFonts w:ascii="Arial" w:hAnsi="Arial" w:cs="Arial"/>
                <w:sz w:val="20"/>
              </w:rPr>
              <w:t>51</w:t>
            </w:r>
          </w:p>
        </w:tc>
        <w:tc>
          <w:tcPr>
            <w:tcW w:w="1050" w:type="dxa"/>
          </w:tcPr>
          <w:p w14:paraId="2986A0D9"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c>
          <w:tcPr>
            <w:tcW w:w="812" w:type="dxa"/>
          </w:tcPr>
          <w:p w14:paraId="2CD56A5E" w14:textId="77777777" w:rsidR="00BC2953" w:rsidRPr="00D037A4" w:rsidRDefault="00BC2953" w:rsidP="00D037A4">
            <w:pPr>
              <w:spacing w:before="40" w:after="40"/>
              <w:rPr>
                <w:rFonts w:ascii="Arial" w:hAnsi="Arial" w:cs="Arial"/>
                <w:sz w:val="20"/>
              </w:rPr>
            </w:pPr>
            <w:r w:rsidRPr="00D037A4">
              <w:rPr>
                <w:rFonts w:ascii="Arial" w:hAnsi="Arial" w:cs="Arial"/>
                <w:sz w:val="20"/>
              </w:rPr>
              <w:t>162</w:t>
            </w:r>
          </w:p>
        </w:tc>
      </w:tr>
    </w:tbl>
    <w:p w14:paraId="49C3E58D" w14:textId="77777777" w:rsidR="00BC2953" w:rsidRDefault="00BC2953" w:rsidP="00BC2953">
      <w:pPr>
        <w:pStyle w:val="Normal2"/>
      </w:pPr>
    </w:p>
    <w:p w14:paraId="7B4A2E02" w14:textId="77777777" w:rsidR="00BC2953" w:rsidRPr="00E02609" w:rsidRDefault="00BC2953" w:rsidP="00BC2953">
      <w:pPr>
        <w:pStyle w:val="Normal2"/>
      </w:pPr>
      <w:r w:rsidRPr="00E02609">
        <w:t>Participation in national focus groups was broadly representative of the health system, with 171 nurses (37 per cent</w:t>
      </w:r>
      <w:r w:rsidR="00D037A4">
        <w:t xml:space="preserve"> of total participants</w:t>
      </w:r>
      <w:r w:rsidRPr="00E02609">
        <w:t xml:space="preserve">), 79 consumers (17 per cent), 59 allied health professionals (13 per cent), 29 doctors (6 per cent) and 129 other staff (28 per cent) taking part in sessions, for a total of 467 participants. </w:t>
      </w:r>
    </w:p>
    <w:p w14:paraId="67D3F01F" w14:textId="77777777" w:rsidR="00BC2953" w:rsidRPr="00E02609" w:rsidRDefault="00BC2953" w:rsidP="00BC2953">
      <w:pPr>
        <w:pStyle w:val="Normal2"/>
      </w:pPr>
      <w:r w:rsidRPr="00E02609">
        <w:t xml:space="preserve">The Commission received 206 responses to the health service organisation survey, 71 to the consumer survey and </w:t>
      </w:r>
      <w:r>
        <w:t>six</w:t>
      </w:r>
      <w:r w:rsidRPr="00E02609">
        <w:t xml:space="preserve"> to the accrediting agency survey. </w:t>
      </w:r>
    </w:p>
    <w:p w14:paraId="48AFB698" w14:textId="77777777" w:rsidR="00BC2953" w:rsidRPr="00E02609" w:rsidRDefault="00BC2953" w:rsidP="00BC2953">
      <w:pPr>
        <w:pStyle w:val="Normal2"/>
      </w:pPr>
      <w:r w:rsidRPr="00E02609">
        <w:t>For the health service organisation survey, 53 per cent of responses were from individuals and 47 per cent were on behalf of organisations. Clinicians made up approximately 40 per cent of all respondents to this survey, and a further 24 per cent of responses were from safety and quality managers. Fifty per cent of respondents work in public hospitals.</w:t>
      </w:r>
    </w:p>
    <w:p w14:paraId="17FCBD30" w14:textId="77777777" w:rsidR="00BC2953" w:rsidRPr="00E02609" w:rsidRDefault="00BC2953" w:rsidP="00BC2953">
      <w:pPr>
        <w:pStyle w:val="Normal2"/>
      </w:pPr>
      <w:r w:rsidRPr="00E02609">
        <w:t>The piloting process resulted in 132 of 159 sites submitting returns in the form of 132 surveys, 74 self-assessment tools and 10 gap analyses – a participation rate of 86 per cent.</w:t>
      </w:r>
    </w:p>
    <w:p w14:paraId="55F2975A" w14:textId="77777777" w:rsidR="00BC2953" w:rsidRPr="00E02609" w:rsidRDefault="00BC2953" w:rsidP="00BC2953">
      <w:pPr>
        <w:pStyle w:val="Normal2"/>
      </w:pPr>
      <w:r w:rsidRPr="00E02609">
        <w:t xml:space="preserve">Feedback provided has been collated in a single database that allows analysis by theme, and by standard and action. Preliminary results of the analysis were discussed with key stakeholders, and feedback was incorporated into version 2 of the NSQHS Standards. </w:t>
      </w:r>
    </w:p>
    <w:p w14:paraId="56A54B62" w14:textId="77777777" w:rsidR="00BC2953" w:rsidRDefault="00BC2953" w:rsidP="00BC2953">
      <w:pPr>
        <w:rPr>
          <w:b/>
          <w:bCs/>
          <w:iCs/>
          <w:sz w:val="28"/>
          <w:szCs w:val="28"/>
        </w:rPr>
      </w:pPr>
      <w:r>
        <w:br w:type="page"/>
      </w:r>
    </w:p>
    <w:p w14:paraId="1E49D9D4" w14:textId="77777777" w:rsidR="00BC2953" w:rsidRPr="00E02609" w:rsidRDefault="00BC2953" w:rsidP="00BC2953">
      <w:pPr>
        <w:pStyle w:val="Heading2"/>
      </w:pPr>
      <w:r w:rsidRPr="00E02609">
        <w:t>Consultation feedback</w:t>
      </w:r>
    </w:p>
    <w:p w14:paraId="12364AB9" w14:textId="77777777" w:rsidR="00BC2953" w:rsidRPr="00E02609" w:rsidRDefault="00BC2953" w:rsidP="00BC2953">
      <w:r w:rsidRPr="00E02609">
        <w:t>A summary of relevant feedback from the consultation processes follows.</w:t>
      </w:r>
    </w:p>
    <w:p w14:paraId="47DD513B" w14:textId="77777777" w:rsidR="00BC2953" w:rsidRPr="00E02609" w:rsidRDefault="00BC2953" w:rsidP="00BC2953">
      <w:pPr>
        <w:pStyle w:val="Heading3"/>
      </w:pPr>
      <w:r w:rsidRPr="00E02609">
        <w:t>Duplication and clinical audit</w:t>
      </w:r>
    </w:p>
    <w:p w14:paraId="10821CDA" w14:textId="77777777" w:rsidR="00BC2953" w:rsidRPr="00E02609" w:rsidRDefault="00BC2953" w:rsidP="00BC2953">
      <w:r w:rsidRPr="00E02609">
        <w:t xml:space="preserve">Of the 206 survey responses received from health service organisations piloting version 2, 95 per cent reported that their major concern was duplication of actions in version 1, and 59 per cent indicated that audit was a major concern. Eighty-eight per cent of respondents also indicated that all or most of their major concerns had been addressed in version 2. </w:t>
      </w:r>
    </w:p>
    <w:p w14:paraId="6A99978E" w14:textId="77777777" w:rsidR="00BC2953" w:rsidRPr="00E02609" w:rsidRDefault="00BC2953" w:rsidP="00BC2953">
      <w:pPr>
        <w:pStyle w:val="Heading3"/>
      </w:pPr>
      <w:r w:rsidRPr="00E02609">
        <w:t>New content areas</w:t>
      </w:r>
    </w:p>
    <w:p w14:paraId="215823EA" w14:textId="69DAB9DF" w:rsidR="00BC2953" w:rsidRDefault="00BC2953" w:rsidP="00BC2953">
      <w:r w:rsidRPr="00E02609">
        <w:t xml:space="preserve">Pilot sites and survey participants were asked about the inclusion of new content areas in the NSQHS Standards. </w:t>
      </w:r>
      <w:r w:rsidRPr="00E02609">
        <w:fldChar w:fldCharType="begin"/>
      </w:r>
      <w:r w:rsidRPr="00E02609">
        <w:instrText xml:space="preserve"> REF _Ref459016968 \h  \* MERGEFORMAT </w:instrText>
      </w:r>
      <w:r w:rsidRPr="00E02609">
        <w:fldChar w:fldCharType="separate"/>
      </w:r>
      <w:r w:rsidR="0068597B" w:rsidRPr="00DD67AC">
        <w:t xml:space="preserve">Table </w:t>
      </w:r>
      <w:r w:rsidR="0068597B">
        <w:t>10</w:t>
      </w:r>
      <w:r w:rsidRPr="00E02609">
        <w:fldChar w:fldCharType="end"/>
      </w:r>
      <w:r w:rsidRPr="00E02609">
        <w:t xml:space="preserve"> provi</w:t>
      </w:r>
      <w:r>
        <w:t>des a summary of the responses.</w:t>
      </w:r>
    </w:p>
    <w:p w14:paraId="4D668F1D" w14:textId="77777777" w:rsidR="00BC2953" w:rsidRPr="00E02609" w:rsidRDefault="00BC2953" w:rsidP="00BC2953"/>
    <w:p w14:paraId="728D33D5" w14:textId="77777777" w:rsidR="00BC2953" w:rsidRPr="00DD67AC" w:rsidRDefault="00BC2953" w:rsidP="00BC2953">
      <w:pPr>
        <w:pStyle w:val="Caption"/>
      </w:pPr>
      <w:bookmarkStart w:id="15" w:name="_Ref459016968"/>
      <w:r w:rsidRPr="00DD67AC">
        <w:t xml:space="preserve">Table </w:t>
      </w:r>
      <w:fldSimple w:instr=" SEQ Table \* ARABIC ">
        <w:r w:rsidR="0068597B">
          <w:rPr>
            <w:noProof/>
          </w:rPr>
          <w:t>10</w:t>
        </w:r>
      </w:fldSimple>
      <w:bookmarkEnd w:id="15"/>
      <w:r w:rsidRPr="00DD67AC">
        <w:t>: Survey responses relating to new content areas</w:t>
      </w:r>
    </w:p>
    <w:tbl>
      <w:tblPr>
        <w:tblStyle w:val="TableGrid"/>
        <w:tblW w:w="9782" w:type="dxa"/>
        <w:tblLayout w:type="fixed"/>
        <w:tblLook w:val="04A0" w:firstRow="1" w:lastRow="0" w:firstColumn="1" w:lastColumn="0" w:noHBand="0" w:noVBand="1"/>
        <w:tblCaption w:val="Survey responses relating to new content areas"/>
      </w:tblPr>
      <w:tblGrid>
        <w:gridCol w:w="1277"/>
        <w:gridCol w:w="992"/>
        <w:gridCol w:w="1134"/>
        <w:gridCol w:w="992"/>
        <w:gridCol w:w="992"/>
        <w:gridCol w:w="993"/>
        <w:gridCol w:w="708"/>
        <w:gridCol w:w="851"/>
        <w:gridCol w:w="958"/>
        <w:gridCol w:w="885"/>
      </w:tblGrid>
      <w:tr w:rsidR="00BC2953" w:rsidRPr="00D037A4" w14:paraId="711ED006"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1277" w:type="dxa"/>
            <w:vMerge w:val="restart"/>
            <w:tcBorders>
              <w:bottom w:val="nil"/>
            </w:tcBorders>
          </w:tcPr>
          <w:p w14:paraId="2E0A6C97" w14:textId="77777777" w:rsidR="00BC2953" w:rsidRPr="00D037A4" w:rsidRDefault="00BC2953" w:rsidP="00D037A4">
            <w:pPr>
              <w:spacing w:before="40" w:after="40"/>
              <w:rPr>
                <w:rFonts w:ascii="Arial" w:hAnsi="Arial" w:cs="Arial"/>
                <w:sz w:val="20"/>
              </w:rPr>
            </w:pPr>
            <w:r w:rsidRPr="00D037A4">
              <w:rPr>
                <w:rFonts w:ascii="Arial" w:hAnsi="Arial" w:cs="Arial"/>
                <w:sz w:val="20"/>
              </w:rPr>
              <w:t>New content area</w:t>
            </w:r>
          </w:p>
        </w:tc>
        <w:tc>
          <w:tcPr>
            <w:tcW w:w="3118" w:type="dxa"/>
            <w:gridSpan w:val="3"/>
            <w:tcBorders>
              <w:bottom w:val="nil"/>
            </w:tcBorders>
          </w:tcPr>
          <w:p w14:paraId="60F49A38" w14:textId="77777777" w:rsidR="00BC2953" w:rsidRPr="00D037A4" w:rsidRDefault="00BC2953" w:rsidP="00D037A4">
            <w:pPr>
              <w:spacing w:before="40" w:after="40"/>
              <w:rPr>
                <w:rFonts w:ascii="Arial" w:hAnsi="Arial" w:cs="Arial"/>
                <w:sz w:val="20"/>
              </w:rPr>
            </w:pPr>
            <w:r w:rsidRPr="00D037A4">
              <w:rPr>
                <w:rFonts w:ascii="Arial" w:hAnsi="Arial" w:cs="Arial"/>
                <w:sz w:val="20"/>
              </w:rPr>
              <w:t>Are the following issues important for safety and quality in your health service organisations and so should be included in version 2 of the NSQHS Standards? (n = 206)</w:t>
            </w:r>
          </w:p>
        </w:tc>
        <w:tc>
          <w:tcPr>
            <w:tcW w:w="2693" w:type="dxa"/>
            <w:gridSpan w:val="3"/>
            <w:tcBorders>
              <w:bottom w:val="nil"/>
            </w:tcBorders>
          </w:tcPr>
          <w:p w14:paraId="22CD4D7B" w14:textId="77777777" w:rsidR="00BC2953" w:rsidRPr="00D037A4" w:rsidRDefault="00BC2953" w:rsidP="00D037A4">
            <w:pPr>
              <w:spacing w:before="40" w:after="40"/>
              <w:rPr>
                <w:rFonts w:ascii="Arial" w:hAnsi="Arial" w:cs="Arial"/>
                <w:sz w:val="20"/>
              </w:rPr>
            </w:pPr>
            <w:r w:rsidRPr="00D037A4">
              <w:rPr>
                <w:rFonts w:ascii="Arial" w:hAnsi="Arial" w:cs="Arial"/>
                <w:sz w:val="20"/>
              </w:rPr>
              <w:t>Do the actions in version 2 of the NSQHS Standards place the right amount of importance on these new actions? (n = 206)</w:t>
            </w:r>
          </w:p>
        </w:tc>
        <w:tc>
          <w:tcPr>
            <w:tcW w:w="2694" w:type="dxa"/>
            <w:gridSpan w:val="3"/>
            <w:tcBorders>
              <w:bottom w:val="nil"/>
            </w:tcBorders>
          </w:tcPr>
          <w:p w14:paraId="39223A2E" w14:textId="77777777" w:rsidR="00BC2953" w:rsidRPr="00D037A4" w:rsidRDefault="00BC2953" w:rsidP="00D037A4">
            <w:pPr>
              <w:spacing w:before="40" w:after="40"/>
              <w:rPr>
                <w:rFonts w:ascii="Arial" w:hAnsi="Arial" w:cs="Arial"/>
                <w:sz w:val="20"/>
              </w:rPr>
            </w:pPr>
            <w:r w:rsidRPr="00D037A4">
              <w:rPr>
                <w:rFonts w:ascii="Arial" w:hAnsi="Arial" w:cs="Arial"/>
                <w:sz w:val="20"/>
              </w:rPr>
              <w:t>Are the issues adequately addressed in version 2 of the NSQHS Standards? (n = 135)</w:t>
            </w:r>
          </w:p>
        </w:tc>
      </w:tr>
      <w:tr w:rsidR="00BC2953" w:rsidRPr="00D037A4" w14:paraId="0D1CA7D7" w14:textId="77777777" w:rsidTr="00D037A4">
        <w:trPr>
          <w:cnfStyle w:val="100000000000" w:firstRow="1" w:lastRow="0" w:firstColumn="0" w:lastColumn="0" w:oddVBand="0" w:evenVBand="0" w:oddHBand="0" w:evenHBand="0" w:firstRowFirstColumn="0" w:firstRowLastColumn="0" w:lastRowFirstColumn="0" w:lastRowLastColumn="0"/>
          <w:tblHeader/>
        </w:trPr>
        <w:tc>
          <w:tcPr>
            <w:tcW w:w="1277" w:type="dxa"/>
            <w:vMerge/>
          </w:tcPr>
          <w:p w14:paraId="461F63CD" w14:textId="77777777" w:rsidR="00BC2953" w:rsidRPr="00D037A4" w:rsidRDefault="00BC2953" w:rsidP="00D037A4">
            <w:pPr>
              <w:spacing w:before="40" w:after="40"/>
              <w:rPr>
                <w:rFonts w:ascii="Arial" w:hAnsi="Arial" w:cs="Arial"/>
                <w:sz w:val="20"/>
              </w:rPr>
            </w:pPr>
          </w:p>
        </w:tc>
        <w:tc>
          <w:tcPr>
            <w:tcW w:w="992" w:type="dxa"/>
          </w:tcPr>
          <w:p w14:paraId="3D447F6C"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Agree and strongly agree (%)</w:t>
            </w:r>
          </w:p>
        </w:tc>
        <w:tc>
          <w:tcPr>
            <w:tcW w:w="1134" w:type="dxa"/>
          </w:tcPr>
          <w:p w14:paraId="07D924CF"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Disagree and strongly disagree (%)</w:t>
            </w:r>
          </w:p>
        </w:tc>
        <w:tc>
          <w:tcPr>
            <w:tcW w:w="992" w:type="dxa"/>
          </w:tcPr>
          <w:p w14:paraId="3065D31F"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16"/>
              </w:rPr>
              <w:t>Undecided</w:t>
            </w:r>
            <w:r w:rsidRPr="00D037A4">
              <w:rPr>
                <w:rStyle w:val="Strong"/>
                <w:rFonts w:ascii="Arial" w:hAnsi="Arial" w:cs="Arial"/>
                <w:sz w:val="20"/>
              </w:rPr>
              <w:t xml:space="preserve"> (%)</w:t>
            </w:r>
          </w:p>
        </w:tc>
        <w:tc>
          <w:tcPr>
            <w:tcW w:w="992" w:type="dxa"/>
          </w:tcPr>
          <w:p w14:paraId="4D610F66"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Too little</w:t>
            </w:r>
          </w:p>
          <w:p w14:paraId="1F988C4E"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w:t>
            </w:r>
          </w:p>
        </w:tc>
        <w:tc>
          <w:tcPr>
            <w:tcW w:w="993" w:type="dxa"/>
          </w:tcPr>
          <w:p w14:paraId="3A4B546B" w14:textId="77777777" w:rsidR="00BC2953" w:rsidRPr="00D037A4" w:rsidRDefault="00BC2953" w:rsidP="00D037A4">
            <w:pPr>
              <w:spacing w:before="40" w:after="40"/>
              <w:rPr>
                <w:rStyle w:val="Strong"/>
                <w:rFonts w:ascii="Arial" w:hAnsi="Arial" w:cs="Arial"/>
                <w:sz w:val="20"/>
              </w:rPr>
            </w:pPr>
            <w:proofErr w:type="spellStart"/>
            <w:r w:rsidRPr="00D037A4">
              <w:rPr>
                <w:rStyle w:val="Strong"/>
                <w:rFonts w:ascii="Arial" w:hAnsi="Arial" w:cs="Arial"/>
                <w:sz w:val="20"/>
              </w:rPr>
              <w:t>Appropri</w:t>
            </w:r>
            <w:proofErr w:type="spellEnd"/>
            <w:r w:rsidR="00D037A4">
              <w:rPr>
                <w:rStyle w:val="Strong"/>
                <w:rFonts w:ascii="Arial" w:hAnsi="Arial" w:cs="Arial"/>
                <w:sz w:val="20"/>
              </w:rPr>
              <w:t>-</w:t>
            </w:r>
            <w:r w:rsidRPr="00D037A4">
              <w:rPr>
                <w:rStyle w:val="Strong"/>
                <w:rFonts w:ascii="Arial" w:hAnsi="Arial" w:cs="Arial"/>
                <w:sz w:val="20"/>
              </w:rPr>
              <w:t>ate (%)</w:t>
            </w:r>
          </w:p>
        </w:tc>
        <w:tc>
          <w:tcPr>
            <w:tcW w:w="708" w:type="dxa"/>
          </w:tcPr>
          <w:p w14:paraId="76F25CAB"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Too much (%)</w:t>
            </w:r>
          </w:p>
        </w:tc>
        <w:tc>
          <w:tcPr>
            <w:tcW w:w="851" w:type="dxa"/>
          </w:tcPr>
          <w:p w14:paraId="4AD9F71E"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 xml:space="preserve">Agree and </w:t>
            </w:r>
            <w:r w:rsidRPr="00D037A4">
              <w:rPr>
                <w:rStyle w:val="Strong"/>
                <w:rFonts w:ascii="Arial" w:hAnsi="Arial" w:cs="Arial"/>
                <w:sz w:val="18"/>
              </w:rPr>
              <w:t xml:space="preserve">strongly </w:t>
            </w:r>
            <w:r w:rsidRPr="00D037A4">
              <w:rPr>
                <w:rStyle w:val="Strong"/>
                <w:rFonts w:ascii="Arial" w:hAnsi="Arial" w:cs="Arial"/>
                <w:sz w:val="20"/>
              </w:rPr>
              <w:t>agree (%)</w:t>
            </w:r>
          </w:p>
        </w:tc>
        <w:tc>
          <w:tcPr>
            <w:tcW w:w="958" w:type="dxa"/>
          </w:tcPr>
          <w:p w14:paraId="26EA226D"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 xml:space="preserve">Disagree and </w:t>
            </w:r>
            <w:r w:rsidRPr="00D037A4">
              <w:rPr>
                <w:rStyle w:val="Strong"/>
                <w:rFonts w:ascii="Arial" w:hAnsi="Arial" w:cs="Arial"/>
                <w:sz w:val="18"/>
              </w:rPr>
              <w:t>strongly</w:t>
            </w:r>
            <w:r w:rsidR="00D037A4">
              <w:rPr>
                <w:rStyle w:val="Strong"/>
                <w:rFonts w:ascii="Arial" w:hAnsi="Arial" w:cs="Arial"/>
                <w:sz w:val="18"/>
              </w:rPr>
              <w:t xml:space="preserve"> disagree</w:t>
            </w:r>
            <w:r w:rsidRPr="00D037A4">
              <w:rPr>
                <w:rStyle w:val="Strong"/>
                <w:rFonts w:ascii="Arial" w:hAnsi="Arial" w:cs="Arial"/>
                <w:sz w:val="20"/>
              </w:rPr>
              <w:t xml:space="preserve"> (%)</w:t>
            </w:r>
          </w:p>
        </w:tc>
        <w:tc>
          <w:tcPr>
            <w:tcW w:w="885" w:type="dxa"/>
          </w:tcPr>
          <w:p w14:paraId="7F3771FB" w14:textId="77777777" w:rsidR="00BC2953" w:rsidRPr="00D037A4" w:rsidRDefault="00D037A4" w:rsidP="00D037A4">
            <w:pPr>
              <w:spacing w:before="40" w:after="40"/>
              <w:rPr>
                <w:rStyle w:val="Strong"/>
                <w:rFonts w:ascii="Arial" w:hAnsi="Arial" w:cs="Arial"/>
                <w:sz w:val="20"/>
              </w:rPr>
            </w:pPr>
            <w:proofErr w:type="spellStart"/>
            <w:r w:rsidRPr="00D037A4">
              <w:rPr>
                <w:rStyle w:val="Strong"/>
                <w:rFonts w:ascii="Arial" w:hAnsi="Arial" w:cs="Arial"/>
                <w:sz w:val="18"/>
              </w:rPr>
              <w:t>Undecid</w:t>
            </w:r>
            <w:r>
              <w:rPr>
                <w:rStyle w:val="Strong"/>
                <w:rFonts w:ascii="Arial" w:hAnsi="Arial" w:cs="Arial"/>
                <w:sz w:val="18"/>
              </w:rPr>
              <w:t>-</w:t>
            </w:r>
            <w:r w:rsidRPr="00D037A4">
              <w:rPr>
                <w:rStyle w:val="Strong"/>
                <w:rFonts w:ascii="Arial" w:hAnsi="Arial" w:cs="Arial"/>
                <w:sz w:val="18"/>
              </w:rPr>
              <w:t>ed</w:t>
            </w:r>
            <w:proofErr w:type="spellEnd"/>
            <w:r w:rsidRPr="00D037A4">
              <w:rPr>
                <w:rStyle w:val="Strong"/>
                <w:rFonts w:ascii="Arial" w:hAnsi="Arial" w:cs="Arial"/>
                <w:sz w:val="20"/>
              </w:rPr>
              <w:t xml:space="preserve"> </w:t>
            </w:r>
            <w:r w:rsidR="00BC2953" w:rsidRPr="00D037A4">
              <w:rPr>
                <w:rStyle w:val="Strong"/>
                <w:rFonts w:ascii="Arial" w:hAnsi="Arial" w:cs="Arial"/>
                <w:sz w:val="20"/>
              </w:rPr>
              <w:t>(%)</w:t>
            </w:r>
          </w:p>
        </w:tc>
      </w:tr>
      <w:tr w:rsidR="00BC2953" w:rsidRPr="00D037A4" w14:paraId="773AA8E0" w14:textId="77777777" w:rsidTr="00D037A4">
        <w:tc>
          <w:tcPr>
            <w:tcW w:w="1277" w:type="dxa"/>
            <w:tcBorders>
              <w:top w:val="single" w:sz="4" w:space="0" w:color="auto"/>
            </w:tcBorders>
          </w:tcPr>
          <w:p w14:paraId="1F5FAE1C" w14:textId="77777777" w:rsidR="00BC2953" w:rsidRPr="00D037A4" w:rsidRDefault="00BC2953" w:rsidP="00D037A4">
            <w:pPr>
              <w:spacing w:before="40" w:after="40"/>
              <w:rPr>
                <w:rFonts w:ascii="Arial" w:hAnsi="Arial" w:cs="Arial"/>
                <w:sz w:val="20"/>
              </w:rPr>
            </w:pPr>
            <w:r w:rsidRPr="00D037A4">
              <w:rPr>
                <w:rFonts w:ascii="Arial" w:hAnsi="Arial" w:cs="Arial"/>
                <w:sz w:val="20"/>
              </w:rPr>
              <w:t>Mental health</w:t>
            </w:r>
          </w:p>
        </w:tc>
        <w:tc>
          <w:tcPr>
            <w:tcW w:w="992" w:type="dxa"/>
            <w:tcBorders>
              <w:top w:val="single" w:sz="4" w:space="0" w:color="auto"/>
            </w:tcBorders>
          </w:tcPr>
          <w:p w14:paraId="34A73B32" w14:textId="77777777" w:rsidR="00BC2953" w:rsidRPr="00D037A4" w:rsidRDefault="00BC2953" w:rsidP="00D037A4">
            <w:pPr>
              <w:spacing w:before="40" w:after="40"/>
              <w:rPr>
                <w:rFonts w:ascii="Arial" w:hAnsi="Arial" w:cs="Arial"/>
                <w:sz w:val="20"/>
              </w:rPr>
            </w:pPr>
            <w:r w:rsidRPr="00D037A4">
              <w:rPr>
                <w:rFonts w:ascii="Arial" w:hAnsi="Arial" w:cs="Arial"/>
                <w:sz w:val="20"/>
              </w:rPr>
              <w:t>89</w:t>
            </w:r>
          </w:p>
        </w:tc>
        <w:tc>
          <w:tcPr>
            <w:tcW w:w="1134" w:type="dxa"/>
            <w:tcBorders>
              <w:top w:val="single" w:sz="4" w:space="0" w:color="auto"/>
            </w:tcBorders>
          </w:tcPr>
          <w:p w14:paraId="0E96AA89"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c>
          <w:tcPr>
            <w:tcW w:w="992" w:type="dxa"/>
            <w:tcBorders>
              <w:top w:val="single" w:sz="4" w:space="0" w:color="auto"/>
            </w:tcBorders>
          </w:tcPr>
          <w:p w14:paraId="4518F42E"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c>
          <w:tcPr>
            <w:tcW w:w="992" w:type="dxa"/>
            <w:tcBorders>
              <w:top w:val="single" w:sz="4" w:space="0" w:color="auto"/>
            </w:tcBorders>
          </w:tcPr>
          <w:p w14:paraId="695C5B34" w14:textId="77777777" w:rsidR="00BC2953" w:rsidRPr="00D037A4" w:rsidRDefault="00BC2953" w:rsidP="00D037A4">
            <w:pPr>
              <w:spacing w:before="40" w:after="40"/>
              <w:rPr>
                <w:rFonts w:ascii="Arial" w:hAnsi="Arial" w:cs="Arial"/>
                <w:sz w:val="20"/>
              </w:rPr>
            </w:pPr>
            <w:r w:rsidRPr="00D037A4">
              <w:rPr>
                <w:rFonts w:ascii="Arial" w:hAnsi="Arial" w:cs="Arial"/>
                <w:sz w:val="20"/>
              </w:rPr>
              <w:t>6</w:t>
            </w:r>
          </w:p>
        </w:tc>
        <w:tc>
          <w:tcPr>
            <w:tcW w:w="993" w:type="dxa"/>
            <w:tcBorders>
              <w:top w:val="single" w:sz="4" w:space="0" w:color="auto"/>
            </w:tcBorders>
          </w:tcPr>
          <w:p w14:paraId="1723D992" w14:textId="77777777" w:rsidR="00BC2953" w:rsidRPr="00D037A4" w:rsidRDefault="00BC2953" w:rsidP="00D037A4">
            <w:pPr>
              <w:spacing w:before="40" w:after="40"/>
              <w:rPr>
                <w:rFonts w:ascii="Arial" w:hAnsi="Arial" w:cs="Arial"/>
                <w:sz w:val="20"/>
              </w:rPr>
            </w:pPr>
            <w:r w:rsidRPr="00D037A4">
              <w:rPr>
                <w:rFonts w:ascii="Arial" w:hAnsi="Arial" w:cs="Arial"/>
                <w:sz w:val="20"/>
              </w:rPr>
              <w:t>88</w:t>
            </w:r>
          </w:p>
        </w:tc>
        <w:tc>
          <w:tcPr>
            <w:tcW w:w="708" w:type="dxa"/>
            <w:tcBorders>
              <w:top w:val="single" w:sz="4" w:space="0" w:color="auto"/>
            </w:tcBorders>
          </w:tcPr>
          <w:p w14:paraId="555E7D4B" w14:textId="77777777" w:rsidR="00BC2953" w:rsidRPr="00D037A4" w:rsidRDefault="00BC2953" w:rsidP="00D037A4">
            <w:pPr>
              <w:spacing w:before="40" w:after="40"/>
              <w:rPr>
                <w:rFonts w:ascii="Arial" w:hAnsi="Arial" w:cs="Arial"/>
                <w:sz w:val="20"/>
              </w:rPr>
            </w:pPr>
            <w:r w:rsidRPr="00D037A4">
              <w:rPr>
                <w:rFonts w:ascii="Arial" w:hAnsi="Arial" w:cs="Arial"/>
                <w:sz w:val="20"/>
              </w:rPr>
              <w:t>6</w:t>
            </w:r>
          </w:p>
        </w:tc>
        <w:tc>
          <w:tcPr>
            <w:tcW w:w="851" w:type="dxa"/>
            <w:tcBorders>
              <w:top w:val="single" w:sz="4" w:space="0" w:color="auto"/>
            </w:tcBorders>
          </w:tcPr>
          <w:p w14:paraId="24F99C7C" w14:textId="77777777" w:rsidR="00BC2953" w:rsidRPr="00D037A4" w:rsidRDefault="00BC2953" w:rsidP="00D037A4">
            <w:pPr>
              <w:spacing w:before="40" w:after="40"/>
              <w:rPr>
                <w:rFonts w:ascii="Arial" w:hAnsi="Arial" w:cs="Arial"/>
                <w:sz w:val="20"/>
              </w:rPr>
            </w:pPr>
            <w:r w:rsidRPr="00D037A4">
              <w:rPr>
                <w:rFonts w:ascii="Arial" w:hAnsi="Arial" w:cs="Arial"/>
                <w:sz w:val="20"/>
              </w:rPr>
              <w:t>70</w:t>
            </w:r>
          </w:p>
        </w:tc>
        <w:tc>
          <w:tcPr>
            <w:tcW w:w="958" w:type="dxa"/>
            <w:tcBorders>
              <w:top w:val="single" w:sz="4" w:space="0" w:color="auto"/>
            </w:tcBorders>
          </w:tcPr>
          <w:p w14:paraId="16F50CA7" w14:textId="77777777" w:rsidR="00BC2953" w:rsidRPr="00D037A4" w:rsidRDefault="00BC2953" w:rsidP="00D037A4">
            <w:pPr>
              <w:spacing w:before="40" w:after="40"/>
              <w:rPr>
                <w:rFonts w:ascii="Arial" w:hAnsi="Arial" w:cs="Arial"/>
                <w:sz w:val="20"/>
              </w:rPr>
            </w:pPr>
            <w:r w:rsidRPr="00D037A4">
              <w:rPr>
                <w:rFonts w:ascii="Arial" w:hAnsi="Arial" w:cs="Arial"/>
                <w:sz w:val="20"/>
              </w:rPr>
              <w:t>25</w:t>
            </w:r>
          </w:p>
        </w:tc>
        <w:tc>
          <w:tcPr>
            <w:tcW w:w="885" w:type="dxa"/>
            <w:tcBorders>
              <w:top w:val="single" w:sz="4" w:space="0" w:color="auto"/>
            </w:tcBorders>
          </w:tcPr>
          <w:p w14:paraId="51F320B5"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r>
      <w:tr w:rsidR="00BC2953" w:rsidRPr="00D037A4" w14:paraId="18A45BA4" w14:textId="77777777" w:rsidTr="00D037A4">
        <w:tc>
          <w:tcPr>
            <w:tcW w:w="1277" w:type="dxa"/>
          </w:tcPr>
          <w:p w14:paraId="206D9383" w14:textId="77777777" w:rsidR="00BC2953" w:rsidRPr="00D037A4" w:rsidRDefault="00BC2953" w:rsidP="00D037A4">
            <w:pPr>
              <w:spacing w:before="40" w:after="40"/>
              <w:rPr>
                <w:rFonts w:ascii="Arial" w:hAnsi="Arial" w:cs="Arial"/>
                <w:sz w:val="20"/>
              </w:rPr>
            </w:pPr>
            <w:r w:rsidRPr="00D037A4">
              <w:rPr>
                <w:rFonts w:ascii="Arial" w:hAnsi="Arial" w:cs="Arial"/>
                <w:sz w:val="20"/>
              </w:rPr>
              <w:t>Aboriginal health</w:t>
            </w:r>
          </w:p>
        </w:tc>
        <w:tc>
          <w:tcPr>
            <w:tcW w:w="992" w:type="dxa"/>
          </w:tcPr>
          <w:p w14:paraId="26C0BF11" w14:textId="77777777" w:rsidR="00BC2953" w:rsidRPr="00D037A4" w:rsidRDefault="00BC2953" w:rsidP="00D037A4">
            <w:pPr>
              <w:spacing w:before="40" w:after="40"/>
              <w:rPr>
                <w:rFonts w:ascii="Arial" w:hAnsi="Arial" w:cs="Arial"/>
                <w:sz w:val="20"/>
              </w:rPr>
            </w:pPr>
            <w:r w:rsidRPr="00D037A4">
              <w:rPr>
                <w:rFonts w:ascii="Arial" w:hAnsi="Arial" w:cs="Arial"/>
                <w:sz w:val="20"/>
              </w:rPr>
              <w:t>84</w:t>
            </w:r>
          </w:p>
        </w:tc>
        <w:tc>
          <w:tcPr>
            <w:tcW w:w="1134" w:type="dxa"/>
          </w:tcPr>
          <w:p w14:paraId="4B6EA4AD" w14:textId="77777777" w:rsidR="00BC2953" w:rsidRPr="00D037A4" w:rsidRDefault="00BC2953" w:rsidP="00D037A4">
            <w:pPr>
              <w:spacing w:before="40" w:after="40"/>
              <w:rPr>
                <w:rFonts w:ascii="Arial" w:hAnsi="Arial" w:cs="Arial"/>
                <w:sz w:val="20"/>
              </w:rPr>
            </w:pPr>
            <w:r w:rsidRPr="00D037A4">
              <w:rPr>
                <w:rFonts w:ascii="Arial" w:hAnsi="Arial" w:cs="Arial"/>
                <w:sz w:val="20"/>
              </w:rPr>
              <w:t>10</w:t>
            </w:r>
          </w:p>
        </w:tc>
        <w:tc>
          <w:tcPr>
            <w:tcW w:w="992" w:type="dxa"/>
          </w:tcPr>
          <w:p w14:paraId="6EB04ED8" w14:textId="77777777" w:rsidR="00BC2953" w:rsidRPr="00D037A4" w:rsidRDefault="00BC2953" w:rsidP="00D037A4">
            <w:pPr>
              <w:spacing w:before="40" w:after="40"/>
              <w:rPr>
                <w:rFonts w:ascii="Arial" w:hAnsi="Arial" w:cs="Arial"/>
                <w:sz w:val="20"/>
              </w:rPr>
            </w:pPr>
            <w:r w:rsidRPr="00D037A4">
              <w:rPr>
                <w:rFonts w:ascii="Arial" w:hAnsi="Arial" w:cs="Arial"/>
                <w:sz w:val="20"/>
              </w:rPr>
              <w:t>6</w:t>
            </w:r>
          </w:p>
        </w:tc>
        <w:tc>
          <w:tcPr>
            <w:tcW w:w="992" w:type="dxa"/>
          </w:tcPr>
          <w:p w14:paraId="7CCDB80A"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993" w:type="dxa"/>
          </w:tcPr>
          <w:p w14:paraId="7B1A5655" w14:textId="77777777" w:rsidR="00BC2953" w:rsidRPr="00D037A4" w:rsidRDefault="00BC2953" w:rsidP="00D037A4">
            <w:pPr>
              <w:spacing w:before="40" w:after="40"/>
              <w:rPr>
                <w:rFonts w:ascii="Arial" w:hAnsi="Arial" w:cs="Arial"/>
                <w:sz w:val="20"/>
              </w:rPr>
            </w:pPr>
            <w:r w:rsidRPr="00D037A4">
              <w:rPr>
                <w:rFonts w:ascii="Arial" w:hAnsi="Arial" w:cs="Arial"/>
                <w:sz w:val="20"/>
              </w:rPr>
              <w:t>82</w:t>
            </w:r>
          </w:p>
        </w:tc>
        <w:tc>
          <w:tcPr>
            <w:tcW w:w="708" w:type="dxa"/>
          </w:tcPr>
          <w:p w14:paraId="3C6F0113" w14:textId="77777777" w:rsidR="00BC2953" w:rsidRPr="00D037A4" w:rsidRDefault="00BC2953" w:rsidP="00D037A4">
            <w:pPr>
              <w:spacing w:before="40" w:after="40"/>
              <w:rPr>
                <w:rFonts w:ascii="Arial" w:hAnsi="Arial" w:cs="Arial"/>
                <w:sz w:val="20"/>
              </w:rPr>
            </w:pPr>
            <w:r w:rsidRPr="00D037A4">
              <w:rPr>
                <w:rFonts w:ascii="Arial" w:hAnsi="Arial" w:cs="Arial"/>
                <w:sz w:val="20"/>
              </w:rPr>
              <w:t>13</w:t>
            </w:r>
          </w:p>
        </w:tc>
        <w:tc>
          <w:tcPr>
            <w:tcW w:w="851" w:type="dxa"/>
          </w:tcPr>
          <w:p w14:paraId="09891C09" w14:textId="77777777" w:rsidR="00BC2953" w:rsidRPr="00D037A4" w:rsidRDefault="00BC2953" w:rsidP="00D037A4">
            <w:pPr>
              <w:spacing w:before="40" w:after="40"/>
              <w:rPr>
                <w:rFonts w:ascii="Arial" w:hAnsi="Arial" w:cs="Arial"/>
                <w:sz w:val="20"/>
              </w:rPr>
            </w:pPr>
            <w:r w:rsidRPr="00D037A4">
              <w:rPr>
                <w:rFonts w:ascii="Arial" w:hAnsi="Arial" w:cs="Arial"/>
                <w:sz w:val="20"/>
              </w:rPr>
              <w:t>83</w:t>
            </w:r>
          </w:p>
        </w:tc>
        <w:tc>
          <w:tcPr>
            <w:tcW w:w="958" w:type="dxa"/>
          </w:tcPr>
          <w:p w14:paraId="6C05287C" w14:textId="77777777" w:rsidR="00BC2953" w:rsidRPr="00D037A4" w:rsidRDefault="00BC2953" w:rsidP="00D037A4">
            <w:pPr>
              <w:spacing w:before="40" w:after="40"/>
              <w:rPr>
                <w:rFonts w:ascii="Arial" w:hAnsi="Arial" w:cs="Arial"/>
                <w:sz w:val="20"/>
              </w:rPr>
            </w:pPr>
            <w:r w:rsidRPr="00D037A4">
              <w:rPr>
                <w:rFonts w:ascii="Arial" w:hAnsi="Arial" w:cs="Arial"/>
                <w:sz w:val="20"/>
              </w:rPr>
              <w:t>16</w:t>
            </w:r>
          </w:p>
        </w:tc>
        <w:tc>
          <w:tcPr>
            <w:tcW w:w="885" w:type="dxa"/>
          </w:tcPr>
          <w:p w14:paraId="1CEF0520"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r>
      <w:tr w:rsidR="00BC2953" w:rsidRPr="00D037A4" w14:paraId="7177CE3E" w14:textId="77777777" w:rsidTr="00D037A4">
        <w:tc>
          <w:tcPr>
            <w:tcW w:w="1277" w:type="dxa"/>
          </w:tcPr>
          <w:p w14:paraId="745C7333" w14:textId="77777777" w:rsidR="00BC2953" w:rsidRPr="00D037A4" w:rsidRDefault="00BC2953" w:rsidP="00D037A4">
            <w:pPr>
              <w:spacing w:before="40" w:after="40"/>
              <w:rPr>
                <w:rFonts w:ascii="Arial" w:hAnsi="Arial" w:cs="Arial"/>
                <w:sz w:val="20"/>
              </w:rPr>
            </w:pPr>
            <w:r w:rsidRPr="00D037A4">
              <w:rPr>
                <w:rFonts w:ascii="Arial" w:hAnsi="Arial" w:cs="Arial"/>
                <w:sz w:val="20"/>
              </w:rPr>
              <w:t>Cognitive impairment</w:t>
            </w:r>
          </w:p>
        </w:tc>
        <w:tc>
          <w:tcPr>
            <w:tcW w:w="992" w:type="dxa"/>
          </w:tcPr>
          <w:p w14:paraId="19BC5674" w14:textId="77777777" w:rsidR="00BC2953" w:rsidRPr="00D037A4" w:rsidRDefault="00BC2953" w:rsidP="00D037A4">
            <w:pPr>
              <w:spacing w:before="40" w:after="40"/>
              <w:rPr>
                <w:rFonts w:ascii="Arial" w:hAnsi="Arial" w:cs="Arial"/>
                <w:sz w:val="20"/>
              </w:rPr>
            </w:pPr>
            <w:r w:rsidRPr="00D037A4">
              <w:rPr>
                <w:rFonts w:ascii="Arial" w:hAnsi="Arial" w:cs="Arial"/>
                <w:sz w:val="20"/>
              </w:rPr>
              <w:t>90</w:t>
            </w:r>
          </w:p>
        </w:tc>
        <w:tc>
          <w:tcPr>
            <w:tcW w:w="1134" w:type="dxa"/>
          </w:tcPr>
          <w:p w14:paraId="694D5B68"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992" w:type="dxa"/>
          </w:tcPr>
          <w:p w14:paraId="57B8989F"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992" w:type="dxa"/>
          </w:tcPr>
          <w:p w14:paraId="5FC3DE8E"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993" w:type="dxa"/>
          </w:tcPr>
          <w:p w14:paraId="783DE2C5" w14:textId="77777777" w:rsidR="00BC2953" w:rsidRPr="00D037A4" w:rsidRDefault="00BC2953" w:rsidP="00D037A4">
            <w:pPr>
              <w:spacing w:before="40" w:after="40"/>
              <w:rPr>
                <w:rFonts w:ascii="Arial" w:hAnsi="Arial" w:cs="Arial"/>
                <w:sz w:val="20"/>
              </w:rPr>
            </w:pPr>
            <w:r w:rsidRPr="00D037A4">
              <w:rPr>
                <w:rFonts w:ascii="Arial" w:hAnsi="Arial" w:cs="Arial"/>
                <w:sz w:val="20"/>
              </w:rPr>
              <w:t>93</w:t>
            </w:r>
          </w:p>
        </w:tc>
        <w:tc>
          <w:tcPr>
            <w:tcW w:w="708" w:type="dxa"/>
          </w:tcPr>
          <w:p w14:paraId="7931A310" w14:textId="77777777" w:rsidR="00BC2953" w:rsidRPr="00D037A4" w:rsidRDefault="00BC2953" w:rsidP="00D037A4">
            <w:pPr>
              <w:spacing w:before="40" w:after="40"/>
              <w:rPr>
                <w:rFonts w:ascii="Arial" w:hAnsi="Arial" w:cs="Arial"/>
                <w:sz w:val="20"/>
              </w:rPr>
            </w:pPr>
            <w:r w:rsidRPr="00D037A4">
              <w:rPr>
                <w:rFonts w:ascii="Arial" w:hAnsi="Arial" w:cs="Arial"/>
                <w:sz w:val="20"/>
              </w:rPr>
              <w:t>3</w:t>
            </w:r>
          </w:p>
        </w:tc>
        <w:tc>
          <w:tcPr>
            <w:tcW w:w="851" w:type="dxa"/>
          </w:tcPr>
          <w:p w14:paraId="004994A1" w14:textId="77777777" w:rsidR="00BC2953" w:rsidRPr="00D037A4" w:rsidRDefault="00BC2953" w:rsidP="00D037A4">
            <w:pPr>
              <w:spacing w:before="40" w:after="40"/>
              <w:rPr>
                <w:rFonts w:ascii="Arial" w:hAnsi="Arial" w:cs="Arial"/>
                <w:sz w:val="20"/>
              </w:rPr>
            </w:pPr>
            <w:r w:rsidRPr="00D037A4">
              <w:rPr>
                <w:rFonts w:ascii="Arial" w:hAnsi="Arial" w:cs="Arial"/>
                <w:sz w:val="20"/>
              </w:rPr>
              <w:t>89</w:t>
            </w:r>
          </w:p>
        </w:tc>
        <w:tc>
          <w:tcPr>
            <w:tcW w:w="958" w:type="dxa"/>
          </w:tcPr>
          <w:p w14:paraId="21D782B0" w14:textId="77777777" w:rsidR="00BC2953" w:rsidRPr="00D037A4" w:rsidRDefault="00BC2953" w:rsidP="00D037A4">
            <w:pPr>
              <w:spacing w:before="40" w:after="40"/>
              <w:rPr>
                <w:rFonts w:ascii="Arial" w:hAnsi="Arial" w:cs="Arial"/>
                <w:sz w:val="20"/>
              </w:rPr>
            </w:pPr>
            <w:r w:rsidRPr="00D037A4">
              <w:rPr>
                <w:rFonts w:ascii="Arial" w:hAnsi="Arial" w:cs="Arial"/>
                <w:sz w:val="20"/>
              </w:rPr>
              <w:t>9</w:t>
            </w:r>
          </w:p>
        </w:tc>
        <w:tc>
          <w:tcPr>
            <w:tcW w:w="885" w:type="dxa"/>
          </w:tcPr>
          <w:p w14:paraId="63BD5521"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r>
      <w:tr w:rsidR="00BC2953" w:rsidRPr="00D037A4" w14:paraId="0EC8CBC7" w14:textId="77777777" w:rsidTr="00D037A4">
        <w:tc>
          <w:tcPr>
            <w:tcW w:w="1277" w:type="dxa"/>
          </w:tcPr>
          <w:p w14:paraId="1C301903" w14:textId="77777777" w:rsidR="00BC2953" w:rsidRPr="00D037A4" w:rsidRDefault="00BC2953" w:rsidP="00D037A4">
            <w:pPr>
              <w:spacing w:before="40" w:after="40"/>
              <w:rPr>
                <w:rFonts w:ascii="Arial" w:hAnsi="Arial" w:cs="Arial"/>
                <w:sz w:val="20"/>
              </w:rPr>
            </w:pPr>
            <w:r w:rsidRPr="00D037A4">
              <w:rPr>
                <w:rFonts w:ascii="Arial" w:hAnsi="Arial" w:cs="Arial"/>
                <w:sz w:val="20"/>
              </w:rPr>
              <w:t>Health literacy</w:t>
            </w:r>
          </w:p>
        </w:tc>
        <w:tc>
          <w:tcPr>
            <w:tcW w:w="992" w:type="dxa"/>
          </w:tcPr>
          <w:p w14:paraId="7C3C3E8F" w14:textId="77777777" w:rsidR="00BC2953" w:rsidRPr="00D037A4" w:rsidRDefault="00BC2953" w:rsidP="00D037A4">
            <w:pPr>
              <w:spacing w:before="40" w:after="40"/>
              <w:rPr>
                <w:rFonts w:ascii="Arial" w:hAnsi="Arial" w:cs="Arial"/>
                <w:sz w:val="20"/>
              </w:rPr>
            </w:pPr>
            <w:r w:rsidRPr="00D037A4">
              <w:rPr>
                <w:rFonts w:ascii="Arial" w:hAnsi="Arial" w:cs="Arial"/>
                <w:sz w:val="20"/>
              </w:rPr>
              <w:t>94</w:t>
            </w:r>
          </w:p>
        </w:tc>
        <w:tc>
          <w:tcPr>
            <w:tcW w:w="1134" w:type="dxa"/>
          </w:tcPr>
          <w:p w14:paraId="2E38F62D" w14:textId="77777777" w:rsidR="00BC2953" w:rsidRPr="00D037A4" w:rsidRDefault="00BC2953" w:rsidP="00D037A4">
            <w:pPr>
              <w:spacing w:before="40" w:after="40"/>
              <w:rPr>
                <w:rFonts w:ascii="Arial" w:hAnsi="Arial" w:cs="Arial"/>
                <w:sz w:val="20"/>
              </w:rPr>
            </w:pPr>
            <w:r w:rsidRPr="00D037A4">
              <w:rPr>
                <w:rFonts w:ascii="Arial" w:hAnsi="Arial" w:cs="Arial"/>
                <w:sz w:val="20"/>
              </w:rPr>
              <w:t>1</w:t>
            </w:r>
          </w:p>
        </w:tc>
        <w:tc>
          <w:tcPr>
            <w:tcW w:w="992" w:type="dxa"/>
          </w:tcPr>
          <w:p w14:paraId="5A48EA7F"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992" w:type="dxa"/>
          </w:tcPr>
          <w:p w14:paraId="3A58F549" w14:textId="77777777" w:rsidR="00BC2953" w:rsidRPr="00D037A4" w:rsidRDefault="00BC2953" w:rsidP="00D037A4">
            <w:pPr>
              <w:spacing w:before="40" w:after="40"/>
              <w:rPr>
                <w:rFonts w:ascii="Arial" w:hAnsi="Arial" w:cs="Arial"/>
                <w:sz w:val="20"/>
              </w:rPr>
            </w:pPr>
            <w:r w:rsidRPr="00D037A4">
              <w:rPr>
                <w:rFonts w:ascii="Arial" w:hAnsi="Arial" w:cs="Arial"/>
                <w:sz w:val="20"/>
              </w:rPr>
              <w:t>6</w:t>
            </w:r>
          </w:p>
        </w:tc>
        <w:tc>
          <w:tcPr>
            <w:tcW w:w="993" w:type="dxa"/>
          </w:tcPr>
          <w:p w14:paraId="01C6C19F" w14:textId="77777777" w:rsidR="00BC2953" w:rsidRPr="00D037A4" w:rsidRDefault="00BC2953" w:rsidP="00D037A4">
            <w:pPr>
              <w:spacing w:before="40" w:after="40"/>
              <w:rPr>
                <w:rFonts w:ascii="Arial" w:hAnsi="Arial" w:cs="Arial"/>
                <w:sz w:val="20"/>
              </w:rPr>
            </w:pPr>
            <w:r w:rsidRPr="00D037A4">
              <w:rPr>
                <w:rFonts w:ascii="Arial" w:hAnsi="Arial" w:cs="Arial"/>
                <w:sz w:val="20"/>
              </w:rPr>
              <w:t>89</w:t>
            </w:r>
          </w:p>
        </w:tc>
        <w:tc>
          <w:tcPr>
            <w:tcW w:w="708" w:type="dxa"/>
          </w:tcPr>
          <w:p w14:paraId="40FEAAE8" w14:textId="77777777" w:rsidR="00BC2953" w:rsidRPr="00D037A4" w:rsidRDefault="00BC2953" w:rsidP="00D037A4">
            <w:pPr>
              <w:spacing w:before="40" w:after="40"/>
              <w:rPr>
                <w:rFonts w:ascii="Arial" w:hAnsi="Arial" w:cs="Arial"/>
                <w:sz w:val="20"/>
              </w:rPr>
            </w:pPr>
            <w:r w:rsidRPr="00D037A4">
              <w:rPr>
                <w:rFonts w:ascii="Arial" w:hAnsi="Arial" w:cs="Arial"/>
                <w:sz w:val="20"/>
              </w:rPr>
              <w:t>5</w:t>
            </w:r>
          </w:p>
        </w:tc>
        <w:tc>
          <w:tcPr>
            <w:tcW w:w="851" w:type="dxa"/>
          </w:tcPr>
          <w:p w14:paraId="04EF5E54" w14:textId="77777777" w:rsidR="00BC2953" w:rsidRPr="00D037A4" w:rsidRDefault="00BC2953" w:rsidP="00D037A4">
            <w:pPr>
              <w:spacing w:before="40" w:after="40"/>
              <w:rPr>
                <w:rFonts w:ascii="Arial" w:hAnsi="Arial" w:cs="Arial"/>
                <w:sz w:val="20"/>
              </w:rPr>
            </w:pPr>
            <w:r w:rsidRPr="00D037A4">
              <w:rPr>
                <w:rFonts w:ascii="Arial" w:hAnsi="Arial" w:cs="Arial"/>
                <w:sz w:val="20"/>
              </w:rPr>
              <w:t>84</w:t>
            </w:r>
          </w:p>
        </w:tc>
        <w:tc>
          <w:tcPr>
            <w:tcW w:w="958" w:type="dxa"/>
          </w:tcPr>
          <w:p w14:paraId="6E02710A" w14:textId="77777777" w:rsidR="00BC2953" w:rsidRPr="00D037A4" w:rsidRDefault="00BC2953" w:rsidP="00D037A4">
            <w:pPr>
              <w:spacing w:before="40" w:after="40"/>
              <w:rPr>
                <w:rFonts w:ascii="Arial" w:hAnsi="Arial" w:cs="Arial"/>
                <w:sz w:val="20"/>
              </w:rPr>
            </w:pPr>
            <w:r w:rsidRPr="00D037A4">
              <w:rPr>
                <w:rFonts w:ascii="Arial" w:hAnsi="Arial" w:cs="Arial"/>
                <w:sz w:val="20"/>
              </w:rPr>
              <w:t>14</w:t>
            </w:r>
          </w:p>
        </w:tc>
        <w:tc>
          <w:tcPr>
            <w:tcW w:w="885" w:type="dxa"/>
          </w:tcPr>
          <w:p w14:paraId="6EB77322"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r>
      <w:tr w:rsidR="00BC2953" w:rsidRPr="00D037A4" w14:paraId="41D38299" w14:textId="77777777" w:rsidTr="00D037A4">
        <w:tc>
          <w:tcPr>
            <w:tcW w:w="1277" w:type="dxa"/>
          </w:tcPr>
          <w:p w14:paraId="483E3E79" w14:textId="77777777" w:rsidR="00BC2953" w:rsidRPr="00D037A4" w:rsidRDefault="00BC2953" w:rsidP="00D037A4">
            <w:pPr>
              <w:spacing w:before="40" w:after="40"/>
              <w:rPr>
                <w:rFonts w:ascii="Arial" w:hAnsi="Arial" w:cs="Arial"/>
                <w:sz w:val="20"/>
              </w:rPr>
            </w:pPr>
            <w:r w:rsidRPr="00D037A4">
              <w:rPr>
                <w:rFonts w:ascii="Arial" w:hAnsi="Arial" w:cs="Arial"/>
                <w:sz w:val="20"/>
              </w:rPr>
              <w:t>End-of-life care</w:t>
            </w:r>
          </w:p>
        </w:tc>
        <w:tc>
          <w:tcPr>
            <w:tcW w:w="992" w:type="dxa"/>
          </w:tcPr>
          <w:p w14:paraId="16EF961B" w14:textId="77777777" w:rsidR="00BC2953" w:rsidRPr="00D037A4" w:rsidRDefault="00BC2953" w:rsidP="00D037A4">
            <w:pPr>
              <w:spacing w:before="40" w:after="40"/>
              <w:rPr>
                <w:rFonts w:ascii="Arial" w:hAnsi="Arial" w:cs="Arial"/>
                <w:sz w:val="20"/>
              </w:rPr>
            </w:pPr>
            <w:r w:rsidRPr="00D037A4">
              <w:rPr>
                <w:rFonts w:ascii="Arial" w:hAnsi="Arial" w:cs="Arial"/>
                <w:sz w:val="20"/>
              </w:rPr>
              <w:t>89</w:t>
            </w:r>
          </w:p>
        </w:tc>
        <w:tc>
          <w:tcPr>
            <w:tcW w:w="1134" w:type="dxa"/>
          </w:tcPr>
          <w:p w14:paraId="005E3DBD"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992" w:type="dxa"/>
          </w:tcPr>
          <w:p w14:paraId="3A732A6B" w14:textId="77777777" w:rsidR="00BC2953" w:rsidRPr="00D037A4" w:rsidRDefault="00BC2953" w:rsidP="00D037A4">
            <w:pPr>
              <w:spacing w:before="40" w:after="40"/>
              <w:rPr>
                <w:rFonts w:ascii="Arial" w:hAnsi="Arial" w:cs="Arial"/>
                <w:sz w:val="20"/>
              </w:rPr>
            </w:pPr>
            <w:r w:rsidRPr="00D037A4">
              <w:rPr>
                <w:rFonts w:ascii="Arial" w:hAnsi="Arial" w:cs="Arial"/>
                <w:sz w:val="20"/>
              </w:rPr>
              <w:t>7</w:t>
            </w:r>
          </w:p>
        </w:tc>
        <w:tc>
          <w:tcPr>
            <w:tcW w:w="992" w:type="dxa"/>
          </w:tcPr>
          <w:p w14:paraId="6F2F0B88"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993" w:type="dxa"/>
          </w:tcPr>
          <w:p w14:paraId="7ADA65A0" w14:textId="77777777" w:rsidR="00BC2953" w:rsidRPr="00D037A4" w:rsidRDefault="00BC2953" w:rsidP="00D037A4">
            <w:pPr>
              <w:spacing w:before="40" w:after="40"/>
              <w:rPr>
                <w:rFonts w:ascii="Arial" w:hAnsi="Arial" w:cs="Arial"/>
                <w:sz w:val="20"/>
              </w:rPr>
            </w:pPr>
            <w:r w:rsidRPr="00D037A4">
              <w:rPr>
                <w:rFonts w:ascii="Arial" w:hAnsi="Arial" w:cs="Arial"/>
                <w:sz w:val="20"/>
              </w:rPr>
              <w:t>92</w:t>
            </w:r>
          </w:p>
        </w:tc>
        <w:tc>
          <w:tcPr>
            <w:tcW w:w="708" w:type="dxa"/>
          </w:tcPr>
          <w:p w14:paraId="2779A9D5" w14:textId="77777777" w:rsidR="00BC2953" w:rsidRPr="00D037A4" w:rsidRDefault="00BC2953" w:rsidP="00D037A4">
            <w:pPr>
              <w:spacing w:before="40" w:after="40"/>
              <w:rPr>
                <w:rFonts w:ascii="Arial" w:hAnsi="Arial" w:cs="Arial"/>
                <w:sz w:val="20"/>
              </w:rPr>
            </w:pPr>
            <w:r w:rsidRPr="00D037A4">
              <w:rPr>
                <w:rFonts w:ascii="Arial" w:hAnsi="Arial" w:cs="Arial"/>
                <w:sz w:val="20"/>
              </w:rPr>
              <w:t>4</w:t>
            </w:r>
          </w:p>
        </w:tc>
        <w:tc>
          <w:tcPr>
            <w:tcW w:w="851" w:type="dxa"/>
          </w:tcPr>
          <w:p w14:paraId="017509DA" w14:textId="77777777" w:rsidR="00BC2953" w:rsidRPr="00D037A4" w:rsidRDefault="00BC2953" w:rsidP="00D037A4">
            <w:pPr>
              <w:spacing w:before="40" w:after="40"/>
              <w:rPr>
                <w:rFonts w:ascii="Arial" w:hAnsi="Arial" w:cs="Arial"/>
                <w:sz w:val="20"/>
              </w:rPr>
            </w:pPr>
            <w:r w:rsidRPr="00D037A4">
              <w:rPr>
                <w:rFonts w:ascii="Arial" w:hAnsi="Arial" w:cs="Arial"/>
                <w:sz w:val="20"/>
              </w:rPr>
              <w:t>91</w:t>
            </w:r>
          </w:p>
        </w:tc>
        <w:tc>
          <w:tcPr>
            <w:tcW w:w="958" w:type="dxa"/>
          </w:tcPr>
          <w:p w14:paraId="0207AFE3" w14:textId="77777777" w:rsidR="00BC2953" w:rsidRPr="00D037A4" w:rsidRDefault="00BC2953" w:rsidP="00D037A4">
            <w:pPr>
              <w:spacing w:before="40" w:after="40"/>
              <w:rPr>
                <w:rFonts w:ascii="Arial" w:hAnsi="Arial" w:cs="Arial"/>
                <w:sz w:val="20"/>
              </w:rPr>
            </w:pPr>
            <w:r w:rsidRPr="00D037A4">
              <w:rPr>
                <w:rFonts w:ascii="Arial" w:hAnsi="Arial" w:cs="Arial"/>
                <w:sz w:val="20"/>
              </w:rPr>
              <w:t>7</w:t>
            </w:r>
          </w:p>
        </w:tc>
        <w:tc>
          <w:tcPr>
            <w:tcW w:w="885" w:type="dxa"/>
          </w:tcPr>
          <w:p w14:paraId="7BF35A13" w14:textId="77777777" w:rsidR="00BC2953" w:rsidRPr="00D037A4" w:rsidRDefault="00BC2953" w:rsidP="00D037A4">
            <w:pPr>
              <w:spacing w:before="40" w:after="40"/>
              <w:rPr>
                <w:rFonts w:ascii="Arial" w:hAnsi="Arial" w:cs="Arial"/>
                <w:sz w:val="20"/>
              </w:rPr>
            </w:pPr>
            <w:r w:rsidRPr="00D037A4">
              <w:rPr>
                <w:rFonts w:ascii="Arial" w:hAnsi="Arial" w:cs="Arial"/>
                <w:sz w:val="20"/>
              </w:rPr>
              <w:t>2</w:t>
            </w:r>
          </w:p>
        </w:tc>
      </w:tr>
    </w:tbl>
    <w:p w14:paraId="6A460444" w14:textId="77777777" w:rsidR="00BC2953" w:rsidRPr="00E02609" w:rsidRDefault="00BC2953" w:rsidP="00BC2953">
      <w:pPr>
        <w:pStyle w:val="Heading3"/>
      </w:pPr>
      <w:r w:rsidRPr="00E02609">
        <w:t>Integrated screening</w:t>
      </w:r>
    </w:p>
    <w:p w14:paraId="1B1E98FF" w14:textId="77777777" w:rsidR="00BC2953" w:rsidRPr="00E02609" w:rsidRDefault="00BC2953" w:rsidP="00BC2953">
      <w:pPr>
        <w:pStyle w:val="Normal2"/>
      </w:pPr>
      <w:r w:rsidRPr="00E02609">
        <w:t xml:space="preserve">Pilot sites were asked if the action requiring integrated screening should be considered a core (mandatory) action, and 99 per cent of the 132 respondents agreed. Of the respondents, 93 per cent said that the action should be retained as it is, and 7 per cent provided recommendations on how it could be amended. None of the respondents suggested that the action be removed or that it was not applicable. </w:t>
      </w:r>
    </w:p>
    <w:p w14:paraId="7FE01E83" w14:textId="77777777" w:rsidR="00BC2953" w:rsidRPr="00E02609" w:rsidRDefault="00BC2953" w:rsidP="00BC2953">
      <w:pPr>
        <w:pStyle w:val="Normal2"/>
      </w:pPr>
      <w:r w:rsidRPr="00E02609">
        <w:t xml:space="preserve">Survey respondents were asked if changes to version 2 of the </w:t>
      </w:r>
      <w:r w:rsidR="00D037A4">
        <w:t xml:space="preserve">NSQHS </w:t>
      </w:r>
      <w:r w:rsidRPr="00E02609">
        <w:t xml:space="preserve">Standards would affect the implementation of strategies for preventing and managing pressure injuries; 49 per cent said the impact would be positive, 41 per cent said there would be no impact, and 10 per cent said the impact would be negative. Amendments to the actions have been made following a review of the comments from respondents who provided negative views. When the same question was asked about strategies for reducing falls and harm from falls, 49 per cent said the impact would be positive, 40 per cent said there would be no impact, and 11 per cent said the impact would be negative. Again, these comments were analysed and changes were made to the draft </w:t>
      </w:r>
      <w:r w:rsidR="00D037A4">
        <w:t xml:space="preserve">NSQHS </w:t>
      </w:r>
      <w:r w:rsidRPr="00E02609">
        <w:t xml:space="preserve">Standards. </w:t>
      </w:r>
    </w:p>
    <w:p w14:paraId="53FF8A6A" w14:textId="77777777" w:rsidR="00BC2953" w:rsidRPr="00E02609" w:rsidRDefault="00BC2953" w:rsidP="00BC2953">
      <w:pPr>
        <w:pStyle w:val="Heading3"/>
      </w:pPr>
      <w:r w:rsidRPr="00E02609">
        <w:t xml:space="preserve">Patient identification </w:t>
      </w:r>
    </w:p>
    <w:p w14:paraId="0D6DE40B" w14:textId="77777777" w:rsidR="00BC2953" w:rsidRPr="00E02609" w:rsidRDefault="00BC2953" w:rsidP="00BC2953">
      <w:pPr>
        <w:pStyle w:val="Normal2"/>
      </w:pPr>
      <w:r w:rsidRPr="00E02609">
        <w:t>The Standard on patient identification and procedure matching in version 2 has been incorporated into the Communicating for Safety Standard. Survey respondents were asked to rate the impact on their health service organisations of these changes. Of the 206 respondents, 47 per cent said there would be a positive impact, 42 per cent said the change would have no impact, and 11 per cent said the impact would be negative.</w:t>
      </w:r>
    </w:p>
    <w:p w14:paraId="4BD2442D" w14:textId="77777777" w:rsidR="00BC2953" w:rsidRPr="00E02609" w:rsidRDefault="00BC2953" w:rsidP="00BC2953">
      <w:pPr>
        <w:pStyle w:val="Heading3"/>
      </w:pPr>
      <w:r w:rsidRPr="00E02609">
        <w:t>Feedback on draft version 2 of the NSQHS Standards</w:t>
      </w:r>
    </w:p>
    <w:p w14:paraId="5C8E4571" w14:textId="7B32E606" w:rsidR="00BC2953" w:rsidRPr="00E02609" w:rsidRDefault="00BC2953" w:rsidP="00BC2953">
      <w:pPr>
        <w:pStyle w:val="Normal2"/>
      </w:pPr>
      <w:r w:rsidRPr="00E02609">
        <w:t xml:space="preserve">As part of the consultation on version 2 of the NSQHS Standards, pilot sites were asked about the degree of change needed in their health service organisations to implement the ‘consultation draft version 2’ of the Standards. </w:t>
      </w:r>
      <w:r w:rsidRPr="00E02609">
        <w:fldChar w:fldCharType="begin"/>
      </w:r>
      <w:r w:rsidRPr="00E02609">
        <w:instrText xml:space="preserve"> REF _Ref459017704 \h  \* MERGEFORMAT </w:instrText>
      </w:r>
      <w:r w:rsidRPr="00E02609">
        <w:fldChar w:fldCharType="separate"/>
      </w:r>
      <w:r w:rsidR="0068597B" w:rsidRPr="00DD67AC">
        <w:t xml:space="preserve">Table </w:t>
      </w:r>
      <w:r w:rsidR="0068597B">
        <w:t>11</w:t>
      </w:r>
      <w:r w:rsidRPr="00E02609">
        <w:fldChar w:fldCharType="end"/>
      </w:r>
      <w:r w:rsidRPr="00E02609">
        <w:t xml:space="preserve"> summarises the responses.</w:t>
      </w:r>
    </w:p>
    <w:p w14:paraId="590AEABF" w14:textId="77777777" w:rsidR="00BC2953" w:rsidRPr="00DD67AC" w:rsidRDefault="00BC2953" w:rsidP="00BC2953">
      <w:pPr>
        <w:pStyle w:val="Caption"/>
      </w:pPr>
      <w:bookmarkStart w:id="16" w:name="_Ref459017704"/>
      <w:r w:rsidRPr="00DD67AC">
        <w:t xml:space="preserve">Table </w:t>
      </w:r>
      <w:fldSimple w:instr=" SEQ Table \* ARABIC ">
        <w:r w:rsidR="0068597B">
          <w:rPr>
            <w:noProof/>
          </w:rPr>
          <w:t>11</w:t>
        </w:r>
      </w:fldSimple>
      <w:bookmarkEnd w:id="16"/>
      <w:r w:rsidRPr="00DD67AC">
        <w:t>: Survey responses relating to change needed in organisations to implement version 2</w:t>
      </w:r>
    </w:p>
    <w:tbl>
      <w:tblPr>
        <w:tblStyle w:val="TableGrid"/>
        <w:tblW w:w="0" w:type="auto"/>
        <w:tblLook w:val="04A0" w:firstRow="1" w:lastRow="0" w:firstColumn="1" w:lastColumn="0" w:noHBand="0" w:noVBand="1"/>
        <w:tblCaption w:val="Survey responses relating to change needed in organisations to implement version 2"/>
      </w:tblPr>
      <w:tblGrid>
        <w:gridCol w:w="2724"/>
        <w:gridCol w:w="1020"/>
        <w:gridCol w:w="1037"/>
        <w:gridCol w:w="1061"/>
        <w:gridCol w:w="1206"/>
        <w:gridCol w:w="977"/>
        <w:gridCol w:w="1217"/>
      </w:tblGrid>
      <w:tr w:rsidR="00BC2953" w:rsidRPr="00D037A4" w14:paraId="11B837DE"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2943" w:type="dxa"/>
            <w:vMerge w:val="restart"/>
            <w:tcBorders>
              <w:bottom w:val="nil"/>
            </w:tcBorders>
          </w:tcPr>
          <w:p w14:paraId="12DC9468" w14:textId="77777777" w:rsidR="00BC2953" w:rsidRPr="00D037A4" w:rsidRDefault="00BC2953" w:rsidP="00D037A4">
            <w:pPr>
              <w:spacing w:before="40" w:after="40"/>
              <w:rPr>
                <w:rFonts w:ascii="Arial" w:hAnsi="Arial" w:cs="Arial"/>
                <w:sz w:val="20"/>
              </w:rPr>
            </w:pPr>
            <w:r w:rsidRPr="00D037A4">
              <w:rPr>
                <w:rFonts w:ascii="Arial" w:hAnsi="Arial" w:cs="Arial"/>
                <w:sz w:val="20"/>
              </w:rPr>
              <w:t>Standard</w:t>
            </w:r>
          </w:p>
        </w:tc>
        <w:tc>
          <w:tcPr>
            <w:tcW w:w="5249" w:type="dxa"/>
            <w:gridSpan w:val="5"/>
            <w:tcBorders>
              <w:bottom w:val="nil"/>
            </w:tcBorders>
          </w:tcPr>
          <w:p w14:paraId="3336064A" w14:textId="77777777" w:rsidR="00BC2953" w:rsidRPr="00D037A4" w:rsidRDefault="00BC2953" w:rsidP="00D037A4">
            <w:pPr>
              <w:spacing w:before="40" w:after="40"/>
              <w:rPr>
                <w:rFonts w:ascii="Arial" w:hAnsi="Arial" w:cs="Arial"/>
                <w:sz w:val="20"/>
              </w:rPr>
            </w:pPr>
            <w:r w:rsidRPr="00D037A4">
              <w:rPr>
                <w:rFonts w:ascii="Arial" w:hAnsi="Arial" w:cs="Arial"/>
                <w:sz w:val="20"/>
              </w:rPr>
              <w:t>Percentage</w:t>
            </w:r>
          </w:p>
        </w:tc>
        <w:tc>
          <w:tcPr>
            <w:tcW w:w="1050" w:type="dxa"/>
            <w:vMerge w:val="restart"/>
            <w:tcBorders>
              <w:bottom w:val="nil"/>
            </w:tcBorders>
          </w:tcPr>
          <w:p w14:paraId="3A9C1AAD" w14:textId="77777777" w:rsidR="00BC2953" w:rsidRPr="00D037A4" w:rsidRDefault="00BC2953" w:rsidP="00D037A4">
            <w:pPr>
              <w:spacing w:before="40" w:after="40"/>
              <w:rPr>
                <w:rFonts w:ascii="Arial" w:hAnsi="Arial" w:cs="Arial"/>
                <w:sz w:val="20"/>
              </w:rPr>
            </w:pPr>
            <w:r w:rsidRPr="00D037A4">
              <w:rPr>
                <w:rFonts w:ascii="Arial" w:hAnsi="Arial" w:cs="Arial"/>
                <w:sz w:val="20"/>
              </w:rPr>
              <w:t>Number of responses</w:t>
            </w:r>
          </w:p>
        </w:tc>
      </w:tr>
      <w:tr w:rsidR="00BC2953" w:rsidRPr="00D037A4" w14:paraId="7BED0B68"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2943" w:type="dxa"/>
            <w:vMerge/>
          </w:tcPr>
          <w:p w14:paraId="6343EB08" w14:textId="77777777" w:rsidR="00BC2953" w:rsidRPr="00D037A4" w:rsidRDefault="00BC2953" w:rsidP="00D037A4">
            <w:pPr>
              <w:spacing w:before="40" w:after="40"/>
              <w:rPr>
                <w:rFonts w:ascii="Arial" w:hAnsi="Arial" w:cs="Arial"/>
                <w:sz w:val="20"/>
              </w:rPr>
            </w:pPr>
          </w:p>
        </w:tc>
        <w:tc>
          <w:tcPr>
            <w:tcW w:w="1049" w:type="dxa"/>
          </w:tcPr>
          <w:p w14:paraId="3F9C7244"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No change</w:t>
            </w:r>
          </w:p>
        </w:tc>
        <w:tc>
          <w:tcPr>
            <w:tcW w:w="1050" w:type="dxa"/>
          </w:tcPr>
          <w:p w14:paraId="6FD864CE"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Small changes</w:t>
            </w:r>
          </w:p>
        </w:tc>
        <w:tc>
          <w:tcPr>
            <w:tcW w:w="1050" w:type="dxa"/>
          </w:tcPr>
          <w:p w14:paraId="5BA02553"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Moderate changes</w:t>
            </w:r>
          </w:p>
        </w:tc>
        <w:tc>
          <w:tcPr>
            <w:tcW w:w="1050" w:type="dxa"/>
          </w:tcPr>
          <w:p w14:paraId="29C4CFF9"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Substantial changes</w:t>
            </w:r>
          </w:p>
        </w:tc>
        <w:tc>
          <w:tcPr>
            <w:tcW w:w="1050" w:type="dxa"/>
          </w:tcPr>
          <w:p w14:paraId="7E6B4FBB" w14:textId="77777777" w:rsidR="00BC2953" w:rsidRPr="00D037A4" w:rsidRDefault="00BC2953" w:rsidP="00D037A4">
            <w:pPr>
              <w:spacing w:before="40" w:after="40"/>
              <w:rPr>
                <w:rStyle w:val="Strong"/>
                <w:rFonts w:ascii="Arial" w:hAnsi="Arial" w:cs="Arial"/>
                <w:sz w:val="20"/>
              </w:rPr>
            </w:pPr>
            <w:r w:rsidRPr="00D037A4">
              <w:rPr>
                <w:rStyle w:val="Strong"/>
                <w:rFonts w:ascii="Arial" w:hAnsi="Arial" w:cs="Arial"/>
                <w:sz w:val="20"/>
              </w:rPr>
              <w:t>Not sure</w:t>
            </w:r>
          </w:p>
        </w:tc>
        <w:tc>
          <w:tcPr>
            <w:tcW w:w="1050" w:type="dxa"/>
            <w:vMerge/>
          </w:tcPr>
          <w:p w14:paraId="75DEB5B0" w14:textId="77777777" w:rsidR="00BC2953" w:rsidRPr="00D037A4" w:rsidRDefault="00BC2953" w:rsidP="00D037A4">
            <w:pPr>
              <w:spacing w:before="40" w:after="40"/>
              <w:rPr>
                <w:rFonts w:ascii="Arial" w:hAnsi="Arial" w:cs="Arial"/>
                <w:sz w:val="20"/>
              </w:rPr>
            </w:pPr>
          </w:p>
        </w:tc>
      </w:tr>
      <w:tr w:rsidR="00BC2953" w:rsidRPr="00D037A4" w14:paraId="0091F7A6" w14:textId="77777777" w:rsidTr="00D037A4">
        <w:tc>
          <w:tcPr>
            <w:tcW w:w="2943" w:type="dxa"/>
            <w:tcBorders>
              <w:top w:val="single" w:sz="4" w:space="0" w:color="auto"/>
            </w:tcBorders>
          </w:tcPr>
          <w:p w14:paraId="4FDB9954" w14:textId="77777777" w:rsidR="00BC2953" w:rsidRPr="00D037A4" w:rsidRDefault="00BC2953" w:rsidP="00D037A4">
            <w:pPr>
              <w:spacing w:before="40" w:after="40"/>
              <w:rPr>
                <w:rFonts w:ascii="Arial" w:hAnsi="Arial" w:cs="Arial"/>
                <w:sz w:val="20"/>
              </w:rPr>
            </w:pPr>
            <w:r w:rsidRPr="00D037A4">
              <w:rPr>
                <w:rFonts w:ascii="Arial" w:hAnsi="Arial" w:cs="Arial"/>
                <w:sz w:val="20"/>
              </w:rPr>
              <w:t>Clinical Governance for Health Service Organisations</w:t>
            </w:r>
          </w:p>
        </w:tc>
        <w:tc>
          <w:tcPr>
            <w:tcW w:w="1049" w:type="dxa"/>
            <w:tcBorders>
              <w:top w:val="single" w:sz="4" w:space="0" w:color="auto"/>
            </w:tcBorders>
            <w:vAlign w:val="center"/>
          </w:tcPr>
          <w:p w14:paraId="369611CB"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8</w:t>
            </w:r>
          </w:p>
        </w:tc>
        <w:tc>
          <w:tcPr>
            <w:tcW w:w="1050" w:type="dxa"/>
            <w:tcBorders>
              <w:top w:val="single" w:sz="4" w:space="0" w:color="auto"/>
            </w:tcBorders>
            <w:vAlign w:val="center"/>
          </w:tcPr>
          <w:p w14:paraId="36357043"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74</w:t>
            </w:r>
          </w:p>
        </w:tc>
        <w:tc>
          <w:tcPr>
            <w:tcW w:w="1050" w:type="dxa"/>
            <w:tcBorders>
              <w:top w:val="single" w:sz="4" w:space="0" w:color="auto"/>
            </w:tcBorders>
            <w:vAlign w:val="center"/>
          </w:tcPr>
          <w:p w14:paraId="3B209A2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25</w:t>
            </w:r>
          </w:p>
        </w:tc>
        <w:tc>
          <w:tcPr>
            <w:tcW w:w="1050" w:type="dxa"/>
            <w:tcBorders>
              <w:top w:val="single" w:sz="4" w:space="0" w:color="auto"/>
            </w:tcBorders>
            <w:vAlign w:val="center"/>
          </w:tcPr>
          <w:p w14:paraId="6CC77009"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3</w:t>
            </w:r>
          </w:p>
        </w:tc>
        <w:tc>
          <w:tcPr>
            <w:tcW w:w="1050" w:type="dxa"/>
            <w:tcBorders>
              <w:top w:val="single" w:sz="4" w:space="0" w:color="auto"/>
            </w:tcBorders>
            <w:vAlign w:val="center"/>
          </w:tcPr>
          <w:p w14:paraId="3A21F23F"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0</w:t>
            </w:r>
          </w:p>
        </w:tc>
        <w:tc>
          <w:tcPr>
            <w:tcW w:w="1050" w:type="dxa"/>
            <w:tcBorders>
              <w:top w:val="single" w:sz="4" w:space="0" w:color="auto"/>
            </w:tcBorders>
            <w:vAlign w:val="center"/>
          </w:tcPr>
          <w:p w14:paraId="435720C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113</w:t>
            </w:r>
          </w:p>
        </w:tc>
      </w:tr>
      <w:tr w:rsidR="00BC2953" w:rsidRPr="00D037A4" w14:paraId="5BA14CB4" w14:textId="77777777" w:rsidTr="00D037A4">
        <w:tc>
          <w:tcPr>
            <w:tcW w:w="2943" w:type="dxa"/>
          </w:tcPr>
          <w:p w14:paraId="7AD63DFE" w14:textId="77777777" w:rsidR="00BC2953" w:rsidRPr="00D037A4" w:rsidRDefault="00BC2953" w:rsidP="00D037A4">
            <w:pPr>
              <w:spacing w:before="40" w:after="40"/>
              <w:rPr>
                <w:rFonts w:ascii="Arial" w:hAnsi="Arial" w:cs="Arial"/>
                <w:sz w:val="20"/>
              </w:rPr>
            </w:pPr>
            <w:r w:rsidRPr="00D037A4">
              <w:rPr>
                <w:rFonts w:ascii="Arial" w:hAnsi="Arial" w:cs="Arial"/>
                <w:sz w:val="20"/>
              </w:rPr>
              <w:t>Partnering with Consumers</w:t>
            </w:r>
          </w:p>
        </w:tc>
        <w:tc>
          <w:tcPr>
            <w:tcW w:w="1049" w:type="dxa"/>
            <w:vAlign w:val="center"/>
          </w:tcPr>
          <w:p w14:paraId="08153D4D"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8</w:t>
            </w:r>
          </w:p>
        </w:tc>
        <w:tc>
          <w:tcPr>
            <w:tcW w:w="1050" w:type="dxa"/>
            <w:vAlign w:val="center"/>
          </w:tcPr>
          <w:p w14:paraId="31DD73F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46</w:t>
            </w:r>
          </w:p>
        </w:tc>
        <w:tc>
          <w:tcPr>
            <w:tcW w:w="1050" w:type="dxa"/>
            <w:vAlign w:val="center"/>
          </w:tcPr>
          <w:p w14:paraId="17B5842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37</w:t>
            </w:r>
          </w:p>
        </w:tc>
        <w:tc>
          <w:tcPr>
            <w:tcW w:w="1050" w:type="dxa"/>
            <w:vAlign w:val="center"/>
          </w:tcPr>
          <w:p w14:paraId="299C587D"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8</w:t>
            </w:r>
          </w:p>
        </w:tc>
        <w:tc>
          <w:tcPr>
            <w:tcW w:w="1050" w:type="dxa"/>
            <w:vAlign w:val="center"/>
          </w:tcPr>
          <w:p w14:paraId="6DFB7857"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6344A60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107</w:t>
            </w:r>
          </w:p>
        </w:tc>
      </w:tr>
      <w:tr w:rsidR="00BC2953" w:rsidRPr="00D037A4" w14:paraId="3D4ADF2C" w14:textId="77777777" w:rsidTr="00D037A4">
        <w:tc>
          <w:tcPr>
            <w:tcW w:w="2943" w:type="dxa"/>
          </w:tcPr>
          <w:p w14:paraId="56087526" w14:textId="77777777" w:rsidR="00BC2953" w:rsidRPr="00D037A4" w:rsidRDefault="00BC2953" w:rsidP="00D037A4">
            <w:pPr>
              <w:spacing w:before="40" w:after="40"/>
              <w:rPr>
                <w:rFonts w:ascii="Arial" w:hAnsi="Arial" w:cs="Arial"/>
                <w:sz w:val="20"/>
              </w:rPr>
            </w:pPr>
            <w:r w:rsidRPr="00D037A4">
              <w:rPr>
                <w:rFonts w:ascii="Arial" w:hAnsi="Arial" w:cs="Arial"/>
                <w:sz w:val="20"/>
              </w:rPr>
              <w:t>Preventing and Controlling Healthcare-associated Infections</w:t>
            </w:r>
          </w:p>
        </w:tc>
        <w:tc>
          <w:tcPr>
            <w:tcW w:w="1049" w:type="dxa"/>
            <w:vAlign w:val="center"/>
          </w:tcPr>
          <w:p w14:paraId="1D8311E4"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28</w:t>
            </w:r>
          </w:p>
        </w:tc>
        <w:tc>
          <w:tcPr>
            <w:tcW w:w="1050" w:type="dxa"/>
            <w:vAlign w:val="center"/>
          </w:tcPr>
          <w:p w14:paraId="48521E8F"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60</w:t>
            </w:r>
          </w:p>
        </w:tc>
        <w:tc>
          <w:tcPr>
            <w:tcW w:w="1050" w:type="dxa"/>
            <w:vAlign w:val="center"/>
          </w:tcPr>
          <w:p w14:paraId="116B3FC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9</w:t>
            </w:r>
          </w:p>
        </w:tc>
        <w:tc>
          <w:tcPr>
            <w:tcW w:w="1050" w:type="dxa"/>
            <w:vAlign w:val="center"/>
          </w:tcPr>
          <w:p w14:paraId="5A7A5104"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2182E83D"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w:t>
            </w:r>
          </w:p>
        </w:tc>
        <w:tc>
          <w:tcPr>
            <w:tcW w:w="1050" w:type="dxa"/>
            <w:vAlign w:val="center"/>
          </w:tcPr>
          <w:p w14:paraId="3614213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101</w:t>
            </w:r>
          </w:p>
        </w:tc>
      </w:tr>
      <w:tr w:rsidR="00BC2953" w:rsidRPr="00D037A4" w14:paraId="23699828" w14:textId="77777777" w:rsidTr="00D037A4">
        <w:tc>
          <w:tcPr>
            <w:tcW w:w="2943" w:type="dxa"/>
          </w:tcPr>
          <w:p w14:paraId="7C606A8E" w14:textId="77777777" w:rsidR="00BC2953" w:rsidRPr="00D037A4" w:rsidRDefault="00BC2953" w:rsidP="00D037A4">
            <w:pPr>
              <w:spacing w:before="40" w:after="40"/>
              <w:rPr>
                <w:rFonts w:ascii="Arial" w:hAnsi="Arial" w:cs="Arial"/>
                <w:sz w:val="20"/>
              </w:rPr>
            </w:pPr>
            <w:r w:rsidRPr="00D037A4">
              <w:rPr>
                <w:rFonts w:ascii="Arial" w:hAnsi="Arial" w:cs="Arial"/>
                <w:sz w:val="20"/>
              </w:rPr>
              <w:t>Medication Safety</w:t>
            </w:r>
          </w:p>
        </w:tc>
        <w:tc>
          <w:tcPr>
            <w:tcW w:w="1049" w:type="dxa"/>
            <w:vAlign w:val="center"/>
          </w:tcPr>
          <w:p w14:paraId="19E4C60B"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21</w:t>
            </w:r>
          </w:p>
        </w:tc>
        <w:tc>
          <w:tcPr>
            <w:tcW w:w="1050" w:type="dxa"/>
            <w:vAlign w:val="center"/>
          </w:tcPr>
          <w:p w14:paraId="788E6298"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59</w:t>
            </w:r>
          </w:p>
        </w:tc>
        <w:tc>
          <w:tcPr>
            <w:tcW w:w="1050" w:type="dxa"/>
            <w:vAlign w:val="center"/>
          </w:tcPr>
          <w:p w14:paraId="09694FD1"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18</w:t>
            </w:r>
          </w:p>
        </w:tc>
        <w:tc>
          <w:tcPr>
            <w:tcW w:w="1050" w:type="dxa"/>
            <w:vAlign w:val="center"/>
          </w:tcPr>
          <w:p w14:paraId="2827BC4D"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176F925E"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2E4EE31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100</w:t>
            </w:r>
          </w:p>
        </w:tc>
      </w:tr>
      <w:tr w:rsidR="00BC2953" w:rsidRPr="00D037A4" w14:paraId="630133BC" w14:textId="77777777" w:rsidTr="00D037A4">
        <w:tc>
          <w:tcPr>
            <w:tcW w:w="2943" w:type="dxa"/>
            <w:vMerge w:val="restart"/>
          </w:tcPr>
          <w:p w14:paraId="24FF0AFA" w14:textId="77777777" w:rsidR="00BC2953" w:rsidRPr="00D037A4" w:rsidRDefault="00BC2953" w:rsidP="00D037A4">
            <w:pPr>
              <w:pStyle w:val="Normal2"/>
              <w:spacing w:before="40" w:after="40"/>
              <w:rPr>
                <w:rFonts w:ascii="Arial" w:hAnsi="Arial" w:cs="Arial"/>
                <w:sz w:val="20"/>
              </w:rPr>
            </w:pPr>
            <w:r w:rsidRPr="00D037A4">
              <w:rPr>
                <w:rFonts w:ascii="Arial" w:hAnsi="Arial" w:cs="Arial"/>
                <w:sz w:val="20"/>
              </w:rPr>
              <w:t xml:space="preserve">Comprehensive Care and Reducing </w:t>
            </w:r>
            <w:proofErr w:type="spellStart"/>
            <w:r w:rsidRPr="00D037A4">
              <w:rPr>
                <w:rFonts w:ascii="Arial" w:hAnsi="Arial" w:cs="Arial"/>
                <w:sz w:val="20"/>
              </w:rPr>
              <w:t>Harm</w:t>
            </w:r>
            <w:r w:rsidRPr="00D037A4">
              <w:rPr>
                <w:rFonts w:ascii="Arial" w:hAnsi="Arial" w:cs="Arial"/>
                <w:spacing w:val="5"/>
                <w:sz w:val="20"/>
                <w:vertAlign w:val="superscript"/>
              </w:rPr>
              <w:t>a</w:t>
            </w:r>
            <w:proofErr w:type="spellEnd"/>
          </w:p>
        </w:tc>
        <w:tc>
          <w:tcPr>
            <w:tcW w:w="1049" w:type="dxa"/>
            <w:vAlign w:val="center"/>
          </w:tcPr>
          <w:p w14:paraId="6754E77E"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6</w:t>
            </w:r>
          </w:p>
        </w:tc>
        <w:tc>
          <w:tcPr>
            <w:tcW w:w="1050" w:type="dxa"/>
            <w:vAlign w:val="center"/>
          </w:tcPr>
          <w:p w14:paraId="3F41C25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32</w:t>
            </w:r>
          </w:p>
        </w:tc>
        <w:tc>
          <w:tcPr>
            <w:tcW w:w="1050" w:type="dxa"/>
            <w:vAlign w:val="center"/>
          </w:tcPr>
          <w:p w14:paraId="58C936DB"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40</w:t>
            </w:r>
          </w:p>
        </w:tc>
        <w:tc>
          <w:tcPr>
            <w:tcW w:w="1050" w:type="dxa"/>
            <w:vAlign w:val="center"/>
          </w:tcPr>
          <w:p w14:paraId="3A4A52B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16</w:t>
            </w:r>
          </w:p>
        </w:tc>
        <w:tc>
          <w:tcPr>
            <w:tcW w:w="1050" w:type="dxa"/>
            <w:vAlign w:val="center"/>
          </w:tcPr>
          <w:p w14:paraId="50530FB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6</w:t>
            </w:r>
          </w:p>
        </w:tc>
        <w:tc>
          <w:tcPr>
            <w:tcW w:w="1050" w:type="dxa"/>
            <w:vAlign w:val="center"/>
          </w:tcPr>
          <w:p w14:paraId="1D8DC668"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100</w:t>
            </w:r>
          </w:p>
        </w:tc>
      </w:tr>
      <w:tr w:rsidR="00BC2953" w:rsidRPr="00D037A4" w14:paraId="619B4E32" w14:textId="77777777" w:rsidTr="00D037A4">
        <w:tc>
          <w:tcPr>
            <w:tcW w:w="2943" w:type="dxa"/>
            <w:vMerge/>
          </w:tcPr>
          <w:p w14:paraId="402A96BA" w14:textId="77777777" w:rsidR="00BC2953" w:rsidRPr="00D037A4" w:rsidRDefault="00BC2953" w:rsidP="00D037A4">
            <w:pPr>
              <w:spacing w:before="40" w:after="40"/>
              <w:rPr>
                <w:rFonts w:ascii="Arial" w:hAnsi="Arial" w:cs="Arial"/>
                <w:sz w:val="20"/>
              </w:rPr>
            </w:pPr>
          </w:p>
        </w:tc>
        <w:tc>
          <w:tcPr>
            <w:tcW w:w="1049" w:type="dxa"/>
            <w:vAlign w:val="center"/>
          </w:tcPr>
          <w:p w14:paraId="3CE538D5"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9</w:t>
            </w:r>
          </w:p>
        </w:tc>
        <w:tc>
          <w:tcPr>
            <w:tcW w:w="1050" w:type="dxa"/>
            <w:vAlign w:val="center"/>
          </w:tcPr>
          <w:p w14:paraId="40C2265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53</w:t>
            </w:r>
          </w:p>
        </w:tc>
        <w:tc>
          <w:tcPr>
            <w:tcW w:w="1050" w:type="dxa"/>
            <w:vAlign w:val="center"/>
          </w:tcPr>
          <w:p w14:paraId="73466F3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29</w:t>
            </w:r>
          </w:p>
        </w:tc>
        <w:tc>
          <w:tcPr>
            <w:tcW w:w="1050" w:type="dxa"/>
            <w:vAlign w:val="center"/>
          </w:tcPr>
          <w:p w14:paraId="70264C8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7</w:t>
            </w:r>
          </w:p>
        </w:tc>
        <w:tc>
          <w:tcPr>
            <w:tcW w:w="1050" w:type="dxa"/>
            <w:vAlign w:val="center"/>
          </w:tcPr>
          <w:p w14:paraId="0851C683"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w:t>
            </w:r>
          </w:p>
        </w:tc>
        <w:tc>
          <w:tcPr>
            <w:tcW w:w="1050" w:type="dxa"/>
            <w:vAlign w:val="center"/>
          </w:tcPr>
          <w:p w14:paraId="44393461"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103</w:t>
            </w:r>
          </w:p>
        </w:tc>
      </w:tr>
      <w:tr w:rsidR="00BC2953" w:rsidRPr="00D037A4" w14:paraId="07B9762B" w14:textId="77777777" w:rsidTr="00D037A4">
        <w:tc>
          <w:tcPr>
            <w:tcW w:w="2943" w:type="dxa"/>
          </w:tcPr>
          <w:p w14:paraId="1E13AFA7" w14:textId="77777777" w:rsidR="00BC2953" w:rsidRPr="00D037A4" w:rsidRDefault="00BC2953" w:rsidP="00D037A4">
            <w:pPr>
              <w:spacing w:before="40" w:after="40"/>
              <w:rPr>
                <w:rFonts w:ascii="Arial" w:hAnsi="Arial" w:cs="Arial"/>
                <w:sz w:val="20"/>
              </w:rPr>
            </w:pPr>
            <w:r w:rsidRPr="00D037A4">
              <w:rPr>
                <w:rFonts w:ascii="Arial" w:hAnsi="Arial" w:cs="Arial"/>
                <w:sz w:val="20"/>
              </w:rPr>
              <w:t>Communicating for Safety</w:t>
            </w:r>
          </w:p>
        </w:tc>
        <w:tc>
          <w:tcPr>
            <w:tcW w:w="1049" w:type="dxa"/>
            <w:vAlign w:val="center"/>
          </w:tcPr>
          <w:p w14:paraId="74466B30"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w:t>
            </w:r>
          </w:p>
        </w:tc>
        <w:tc>
          <w:tcPr>
            <w:tcW w:w="1050" w:type="dxa"/>
            <w:vAlign w:val="center"/>
          </w:tcPr>
          <w:p w14:paraId="4C8B0241"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62</w:t>
            </w:r>
          </w:p>
        </w:tc>
        <w:tc>
          <w:tcPr>
            <w:tcW w:w="1050" w:type="dxa"/>
            <w:vAlign w:val="center"/>
          </w:tcPr>
          <w:p w14:paraId="0BE24E29"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23</w:t>
            </w:r>
          </w:p>
        </w:tc>
        <w:tc>
          <w:tcPr>
            <w:tcW w:w="1050" w:type="dxa"/>
            <w:vAlign w:val="center"/>
          </w:tcPr>
          <w:p w14:paraId="03DD2682"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w:t>
            </w:r>
          </w:p>
        </w:tc>
        <w:tc>
          <w:tcPr>
            <w:tcW w:w="1050" w:type="dxa"/>
            <w:vAlign w:val="center"/>
          </w:tcPr>
          <w:p w14:paraId="561AF1C3"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w:t>
            </w:r>
          </w:p>
        </w:tc>
        <w:tc>
          <w:tcPr>
            <w:tcW w:w="1050" w:type="dxa"/>
            <w:vAlign w:val="center"/>
          </w:tcPr>
          <w:p w14:paraId="62B9A9F1"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99</w:t>
            </w:r>
          </w:p>
        </w:tc>
      </w:tr>
      <w:tr w:rsidR="00BC2953" w:rsidRPr="00D037A4" w14:paraId="6F914CAC" w14:textId="77777777" w:rsidTr="00D037A4">
        <w:tc>
          <w:tcPr>
            <w:tcW w:w="2943" w:type="dxa"/>
          </w:tcPr>
          <w:p w14:paraId="70F70D82" w14:textId="77777777" w:rsidR="00BC2953" w:rsidRPr="00D037A4" w:rsidRDefault="00BC2953" w:rsidP="00D037A4">
            <w:pPr>
              <w:spacing w:before="40" w:after="40"/>
              <w:rPr>
                <w:rFonts w:ascii="Arial" w:hAnsi="Arial" w:cs="Arial"/>
                <w:sz w:val="20"/>
              </w:rPr>
            </w:pPr>
            <w:r w:rsidRPr="00D037A4">
              <w:rPr>
                <w:rFonts w:ascii="Arial" w:hAnsi="Arial" w:cs="Arial"/>
                <w:sz w:val="20"/>
              </w:rPr>
              <w:t>Blood Management</w:t>
            </w:r>
          </w:p>
        </w:tc>
        <w:tc>
          <w:tcPr>
            <w:tcW w:w="1049" w:type="dxa"/>
            <w:vAlign w:val="center"/>
          </w:tcPr>
          <w:p w14:paraId="50CE35C7"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40</w:t>
            </w:r>
          </w:p>
        </w:tc>
        <w:tc>
          <w:tcPr>
            <w:tcW w:w="1050" w:type="dxa"/>
            <w:vAlign w:val="center"/>
          </w:tcPr>
          <w:p w14:paraId="11F1EF62"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50</w:t>
            </w:r>
          </w:p>
        </w:tc>
        <w:tc>
          <w:tcPr>
            <w:tcW w:w="1050" w:type="dxa"/>
            <w:vAlign w:val="center"/>
          </w:tcPr>
          <w:p w14:paraId="09793F2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5</w:t>
            </w:r>
          </w:p>
        </w:tc>
        <w:tc>
          <w:tcPr>
            <w:tcW w:w="1050" w:type="dxa"/>
            <w:vAlign w:val="center"/>
          </w:tcPr>
          <w:p w14:paraId="0B783F4B"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3</w:t>
            </w:r>
          </w:p>
        </w:tc>
        <w:tc>
          <w:tcPr>
            <w:tcW w:w="1050" w:type="dxa"/>
            <w:vAlign w:val="center"/>
          </w:tcPr>
          <w:p w14:paraId="1F20D359"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w:t>
            </w:r>
          </w:p>
        </w:tc>
        <w:tc>
          <w:tcPr>
            <w:tcW w:w="1050" w:type="dxa"/>
            <w:vAlign w:val="center"/>
          </w:tcPr>
          <w:p w14:paraId="4958D28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100</w:t>
            </w:r>
          </w:p>
        </w:tc>
      </w:tr>
      <w:tr w:rsidR="00BC2953" w:rsidRPr="00D037A4" w14:paraId="75FEBFD6" w14:textId="77777777" w:rsidTr="00D037A4">
        <w:tc>
          <w:tcPr>
            <w:tcW w:w="2943" w:type="dxa"/>
          </w:tcPr>
          <w:p w14:paraId="34375533" w14:textId="77777777" w:rsidR="00BC2953" w:rsidRPr="00D037A4" w:rsidRDefault="00BC2953" w:rsidP="00D037A4">
            <w:pPr>
              <w:spacing w:before="40" w:after="40"/>
              <w:rPr>
                <w:rFonts w:ascii="Arial" w:hAnsi="Arial" w:cs="Arial"/>
                <w:sz w:val="20"/>
              </w:rPr>
            </w:pPr>
            <w:r w:rsidRPr="00D037A4">
              <w:rPr>
                <w:rFonts w:ascii="Arial" w:hAnsi="Arial" w:cs="Arial"/>
                <w:sz w:val="20"/>
              </w:rPr>
              <w:t>Recognising and Responding to Acute Deterioration</w:t>
            </w:r>
          </w:p>
        </w:tc>
        <w:tc>
          <w:tcPr>
            <w:tcW w:w="1049" w:type="dxa"/>
            <w:vAlign w:val="center"/>
          </w:tcPr>
          <w:p w14:paraId="49CC62F6"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20</w:t>
            </w:r>
          </w:p>
        </w:tc>
        <w:tc>
          <w:tcPr>
            <w:tcW w:w="1050" w:type="dxa"/>
            <w:vAlign w:val="center"/>
          </w:tcPr>
          <w:p w14:paraId="40FD649D"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59</w:t>
            </w:r>
          </w:p>
        </w:tc>
        <w:tc>
          <w:tcPr>
            <w:tcW w:w="1050" w:type="dxa"/>
            <w:vAlign w:val="center"/>
          </w:tcPr>
          <w:p w14:paraId="5409AE6E"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19</w:t>
            </w:r>
          </w:p>
        </w:tc>
        <w:tc>
          <w:tcPr>
            <w:tcW w:w="1050" w:type="dxa"/>
            <w:vAlign w:val="center"/>
          </w:tcPr>
          <w:p w14:paraId="1275922C"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43755E27"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w:t>
            </w:r>
          </w:p>
        </w:tc>
        <w:tc>
          <w:tcPr>
            <w:tcW w:w="1050" w:type="dxa"/>
            <w:vAlign w:val="center"/>
          </w:tcPr>
          <w:p w14:paraId="08A9D28A" w14:textId="77777777" w:rsidR="00BC2953" w:rsidRPr="00D037A4" w:rsidRDefault="00BC2953" w:rsidP="00D037A4">
            <w:pPr>
              <w:spacing w:before="40" w:after="40"/>
              <w:jc w:val="center"/>
              <w:rPr>
                <w:rFonts w:ascii="Arial" w:hAnsi="Arial" w:cs="Arial"/>
                <w:sz w:val="20"/>
              </w:rPr>
            </w:pPr>
            <w:r w:rsidRPr="00D037A4">
              <w:rPr>
                <w:rFonts w:ascii="Arial" w:hAnsi="Arial" w:cs="Arial"/>
                <w:sz w:val="20"/>
              </w:rPr>
              <w:t>100</w:t>
            </w:r>
          </w:p>
        </w:tc>
      </w:tr>
    </w:tbl>
    <w:p w14:paraId="49126E6D" w14:textId="77777777" w:rsidR="00BC2953" w:rsidRPr="00613535" w:rsidRDefault="00BC2953" w:rsidP="00BC2953">
      <w:pPr>
        <w:pStyle w:val="TFListNotesSpace"/>
        <w:rPr>
          <w:lang w:val="en-US"/>
        </w:rPr>
      </w:pPr>
      <w:proofErr w:type="gramStart"/>
      <w:r w:rsidRPr="00613535">
        <w:rPr>
          <w:b/>
          <w:lang w:val="en-US"/>
        </w:rPr>
        <w:t>a</w:t>
      </w:r>
      <w:proofErr w:type="gramEnd"/>
      <w:r w:rsidRPr="00613535">
        <w:rPr>
          <w:lang w:val="en-US"/>
        </w:rPr>
        <w:t xml:space="preserve"> Comprehensive Care and Reducing Harm were separate Standards during the pilot phase, which have been combined following feedback from stakeholders. </w:t>
      </w:r>
    </w:p>
    <w:p w14:paraId="632324D6" w14:textId="77777777" w:rsidR="00BC2953" w:rsidRPr="00E02609" w:rsidRDefault="00BC2953" w:rsidP="00BC2953">
      <w:pPr>
        <w:pStyle w:val="Normal2"/>
      </w:pPr>
      <w:r w:rsidRPr="00E02609">
        <w:t>The information in this table provides a guide to the systems changes needed on the first draft document. The current draft of version 2 has incorporated feedback from the consultation processes, and the degree of change organisations may now need to make to implement version 2 of the Standards will differ as a result of these amendments.</w:t>
      </w:r>
    </w:p>
    <w:p w14:paraId="56490C65" w14:textId="77777777" w:rsidR="00BC2953" w:rsidRPr="00E02609" w:rsidRDefault="00BC2953" w:rsidP="00BC2953">
      <w:pPr>
        <w:pStyle w:val="Normal2"/>
      </w:pPr>
      <w:r w:rsidRPr="00E02609">
        <w:t xml:space="preserve">These impacts were considered in the redrafting of version 2 of the NSQHS Standards and in the development of supporting resources, and will be explored as part of this RIS process. </w:t>
      </w:r>
    </w:p>
    <w:p w14:paraId="4B6D52B0" w14:textId="77777777" w:rsidR="00BC2953" w:rsidRDefault="00BC2953" w:rsidP="00BC2953">
      <w:r>
        <w:br w:type="page"/>
      </w:r>
    </w:p>
    <w:p w14:paraId="3C09F52B" w14:textId="77777777" w:rsidR="00BC2953" w:rsidRPr="00E02609" w:rsidRDefault="00BC2953" w:rsidP="00410C3D">
      <w:pPr>
        <w:pStyle w:val="Heading1"/>
        <w:tabs>
          <w:tab w:val="left" w:pos="2268"/>
        </w:tabs>
      </w:pPr>
      <w:bookmarkStart w:id="17" w:name="_Toc461178326"/>
      <w:r w:rsidRPr="00E02609">
        <w:t xml:space="preserve">Appendix 3 </w:t>
      </w:r>
      <w:r w:rsidR="00410C3D">
        <w:tab/>
        <w:t>RIS Respondents</w:t>
      </w:r>
      <w:bookmarkEnd w:id="17"/>
    </w:p>
    <w:p w14:paraId="650F342E" w14:textId="77777777" w:rsidR="00BC2953" w:rsidRPr="00DD67AC" w:rsidRDefault="00BC2953" w:rsidP="00BC2953">
      <w:pPr>
        <w:pStyle w:val="Caption"/>
      </w:pPr>
      <w:r w:rsidRPr="00DD67AC">
        <w:t xml:space="preserve">Table </w:t>
      </w:r>
      <w:fldSimple w:instr=" SEQ Table \* ARABIC ">
        <w:r w:rsidR="0068597B">
          <w:rPr>
            <w:noProof/>
          </w:rPr>
          <w:t>12</w:t>
        </w:r>
      </w:fldSimple>
      <w:r w:rsidRPr="00DD67AC">
        <w:t>: Respondents and their preferred options</w:t>
      </w:r>
    </w:p>
    <w:tbl>
      <w:tblPr>
        <w:tblStyle w:val="TableGrid"/>
        <w:tblW w:w="0" w:type="auto"/>
        <w:tblLook w:val="04A0" w:firstRow="1" w:lastRow="0" w:firstColumn="1" w:lastColumn="0" w:noHBand="0" w:noVBand="1"/>
        <w:tblCaption w:val="Respondents and their preferred options"/>
      </w:tblPr>
      <w:tblGrid>
        <w:gridCol w:w="7479"/>
        <w:gridCol w:w="1763"/>
      </w:tblGrid>
      <w:tr w:rsidR="00BC2953" w:rsidRPr="00410C3D" w14:paraId="23E26836"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7479" w:type="dxa"/>
          </w:tcPr>
          <w:p w14:paraId="1351C672" w14:textId="77777777" w:rsidR="00BC2953" w:rsidRPr="00410C3D" w:rsidRDefault="00BC2953" w:rsidP="00410C3D">
            <w:pPr>
              <w:spacing w:before="40" w:after="40"/>
              <w:rPr>
                <w:rFonts w:ascii="Arial" w:hAnsi="Arial" w:cs="Arial"/>
                <w:sz w:val="20"/>
              </w:rPr>
            </w:pPr>
            <w:r w:rsidRPr="00410C3D">
              <w:rPr>
                <w:rFonts w:ascii="Arial" w:hAnsi="Arial" w:cs="Arial"/>
                <w:sz w:val="20"/>
              </w:rPr>
              <w:t>Organisation</w:t>
            </w:r>
          </w:p>
        </w:tc>
        <w:tc>
          <w:tcPr>
            <w:tcW w:w="1763" w:type="dxa"/>
          </w:tcPr>
          <w:p w14:paraId="4336AEF3" w14:textId="77777777" w:rsidR="00BC2953" w:rsidRPr="00410C3D" w:rsidRDefault="00BC2953" w:rsidP="00410C3D">
            <w:pPr>
              <w:spacing w:before="40" w:after="40"/>
              <w:rPr>
                <w:rFonts w:ascii="Arial" w:hAnsi="Arial" w:cs="Arial"/>
                <w:sz w:val="20"/>
              </w:rPr>
            </w:pPr>
            <w:r w:rsidRPr="00410C3D">
              <w:rPr>
                <w:rFonts w:ascii="Arial" w:hAnsi="Arial" w:cs="Arial"/>
                <w:sz w:val="20"/>
              </w:rPr>
              <w:t>Preferred option</w:t>
            </w:r>
          </w:p>
        </w:tc>
      </w:tr>
      <w:tr w:rsidR="00BC2953" w:rsidRPr="00410C3D" w14:paraId="737C2DB9" w14:textId="77777777" w:rsidTr="00030BC1">
        <w:tc>
          <w:tcPr>
            <w:tcW w:w="7479" w:type="dxa"/>
          </w:tcPr>
          <w:p w14:paraId="3FC4A17B" w14:textId="77777777" w:rsidR="00BC2953" w:rsidRPr="00410C3D" w:rsidRDefault="00BC2953" w:rsidP="00410C3D">
            <w:pPr>
              <w:spacing w:before="40" w:after="40"/>
              <w:rPr>
                <w:rFonts w:ascii="Arial" w:hAnsi="Arial" w:cs="Arial"/>
                <w:sz w:val="20"/>
              </w:rPr>
            </w:pPr>
            <w:r w:rsidRPr="00410C3D">
              <w:rPr>
                <w:rFonts w:ascii="Arial" w:hAnsi="Arial" w:cs="Arial"/>
                <w:sz w:val="20"/>
              </w:rPr>
              <w:t>Individual clinician</w:t>
            </w:r>
          </w:p>
        </w:tc>
        <w:tc>
          <w:tcPr>
            <w:tcW w:w="1763" w:type="dxa"/>
          </w:tcPr>
          <w:p w14:paraId="7573B88F"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FA93A19" w14:textId="77777777" w:rsidTr="00030BC1">
        <w:tc>
          <w:tcPr>
            <w:tcW w:w="7479" w:type="dxa"/>
          </w:tcPr>
          <w:p w14:paraId="7DF30212" w14:textId="77777777" w:rsidR="00BC2953" w:rsidRPr="00410C3D" w:rsidRDefault="00BC2953" w:rsidP="00410C3D">
            <w:pPr>
              <w:spacing w:before="40" w:after="40"/>
              <w:rPr>
                <w:rFonts w:ascii="Arial" w:hAnsi="Arial" w:cs="Arial"/>
                <w:sz w:val="20"/>
              </w:rPr>
            </w:pPr>
            <w:r w:rsidRPr="00410C3D">
              <w:rPr>
                <w:rFonts w:ascii="Arial" w:hAnsi="Arial" w:cs="Arial"/>
                <w:sz w:val="20"/>
              </w:rPr>
              <w:t>Albury Day Surgery</w:t>
            </w:r>
          </w:p>
        </w:tc>
        <w:tc>
          <w:tcPr>
            <w:tcW w:w="1763" w:type="dxa"/>
          </w:tcPr>
          <w:p w14:paraId="6EA37415"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7665B411" w14:textId="77777777" w:rsidTr="00030BC1">
        <w:tc>
          <w:tcPr>
            <w:tcW w:w="7479" w:type="dxa"/>
          </w:tcPr>
          <w:p w14:paraId="6A269D48"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Physiotherapy Association</w:t>
            </w:r>
          </w:p>
        </w:tc>
        <w:tc>
          <w:tcPr>
            <w:tcW w:w="1763" w:type="dxa"/>
          </w:tcPr>
          <w:p w14:paraId="666CC8F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867B043" w14:textId="77777777" w:rsidTr="00030BC1">
        <w:tc>
          <w:tcPr>
            <w:tcW w:w="7479" w:type="dxa"/>
          </w:tcPr>
          <w:p w14:paraId="36B9ED4F" w14:textId="77777777" w:rsidR="00BC2953" w:rsidRPr="00410C3D" w:rsidRDefault="00BC2953" w:rsidP="00410C3D">
            <w:pPr>
              <w:spacing w:before="40" w:after="40"/>
              <w:rPr>
                <w:rFonts w:ascii="Arial" w:hAnsi="Arial" w:cs="Arial"/>
                <w:sz w:val="20"/>
              </w:rPr>
            </w:pPr>
            <w:r w:rsidRPr="00410C3D">
              <w:rPr>
                <w:rFonts w:ascii="Arial" w:hAnsi="Arial" w:cs="Arial"/>
                <w:sz w:val="20"/>
              </w:rPr>
              <w:t>Individual clinician</w:t>
            </w:r>
          </w:p>
        </w:tc>
        <w:tc>
          <w:tcPr>
            <w:tcW w:w="1763" w:type="dxa"/>
          </w:tcPr>
          <w:p w14:paraId="15D1B05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BD5B262" w14:textId="77777777" w:rsidTr="00030BC1">
        <w:tc>
          <w:tcPr>
            <w:tcW w:w="7479" w:type="dxa"/>
          </w:tcPr>
          <w:p w14:paraId="2CE1B0F7" w14:textId="77777777" w:rsidR="00BC2953" w:rsidRPr="00410C3D" w:rsidRDefault="00BC2953" w:rsidP="00410C3D">
            <w:pPr>
              <w:spacing w:before="40" w:after="40"/>
              <w:rPr>
                <w:rFonts w:ascii="Arial" w:hAnsi="Arial" w:cs="Arial"/>
                <w:sz w:val="20"/>
              </w:rPr>
            </w:pPr>
            <w:r w:rsidRPr="00410C3D">
              <w:rPr>
                <w:rFonts w:ascii="Arial" w:hAnsi="Arial" w:cs="Arial"/>
                <w:sz w:val="20"/>
              </w:rPr>
              <w:t>Peel Health Campus</w:t>
            </w:r>
          </w:p>
        </w:tc>
        <w:tc>
          <w:tcPr>
            <w:tcW w:w="1763" w:type="dxa"/>
          </w:tcPr>
          <w:p w14:paraId="694EB72A"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3BC45590" w14:textId="77777777" w:rsidTr="00030BC1">
        <w:tc>
          <w:tcPr>
            <w:tcW w:w="7479" w:type="dxa"/>
          </w:tcPr>
          <w:p w14:paraId="20291133" w14:textId="77777777" w:rsidR="00BC2953" w:rsidRPr="00410C3D" w:rsidRDefault="00BC2953" w:rsidP="00410C3D">
            <w:pPr>
              <w:spacing w:before="40" w:after="40"/>
              <w:rPr>
                <w:rFonts w:ascii="Arial" w:hAnsi="Arial" w:cs="Arial"/>
                <w:sz w:val="20"/>
              </w:rPr>
            </w:pPr>
            <w:r w:rsidRPr="00410C3D">
              <w:rPr>
                <w:rFonts w:ascii="Arial" w:hAnsi="Arial" w:cs="Arial"/>
                <w:sz w:val="20"/>
              </w:rPr>
              <w:t>Latrobe Regional Hospital</w:t>
            </w:r>
          </w:p>
        </w:tc>
        <w:tc>
          <w:tcPr>
            <w:tcW w:w="1763" w:type="dxa"/>
          </w:tcPr>
          <w:p w14:paraId="6285A2D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4E882086" w14:textId="77777777" w:rsidTr="00030BC1">
        <w:tc>
          <w:tcPr>
            <w:tcW w:w="7479" w:type="dxa"/>
          </w:tcPr>
          <w:p w14:paraId="76135824" w14:textId="77777777" w:rsidR="00BC2953" w:rsidRPr="00410C3D" w:rsidRDefault="00BC2953" w:rsidP="00410C3D">
            <w:pPr>
              <w:spacing w:before="40" w:after="40"/>
              <w:rPr>
                <w:rFonts w:ascii="Arial" w:hAnsi="Arial" w:cs="Arial"/>
                <w:sz w:val="20"/>
              </w:rPr>
            </w:pPr>
            <w:r w:rsidRPr="00410C3D">
              <w:rPr>
                <w:rFonts w:ascii="Arial" w:hAnsi="Arial" w:cs="Arial"/>
                <w:sz w:val="20"/>
              </w:rPr>
              <w:t>Office of the Chief Psychiatrist, Western Australia</w:t>
            </w:r>
          </w:p>
        </w:tc>
        <w:tc>
          <w:tcPr>
            <w:tcW w:w="1763" w:type="dxa"/>
          </w:tcPr>
          <w:p w14:paraId="5F294D52"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566DD4B" w14:textId="77777777" w:rsidTr="00030BC1">
        <w:tc>
          <w:tcPr>
            <w:tcW w:w="7479" w:type="dxa"/>
          </w:tcPr>
          <w:p w14:paraId="5754976F" w14:textId="77777777" w:rsidR="00BC2953" w:rsidRPr="00410C3D" w:rsidRDefault="00BC2953" w:rsidP="00410C3D">
            <w:pPr>
              <w:spacing w:before="40" w:after="40"/>
              <w:rPr>
                <w:rFonts w:ascii="Arial" w:hAnsi="Arial" w:cs="Arial"/>
                <w:sz w:val="20"/>
              </w:rPr>
            </w:pPr>
            <w:r w:rsidRPr="00410C3D">
              <w:rPr>
                <w:rFonts w:ascii="Arial" w:hAnsi="Arial" w:cs="Arial"/>
                <w:sz w:val="20"/>
              </w:rPr>
              <w:t>Murrumbidgee Local Health District</w:t>
            </w:r>
          </w:p>
        </w:tc>
        <w:tc>
          <w:tcPr>
            <w:tcW w:w="1763" w:type="dxa"/>
          </w:tcPr>
          <w:p w14:paraId="63426699"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1A3CAC01" w14:textId="77777777" w:rsidTr="00030BC1">
        <w:tc>
          <w:tcPr>
            <w:tcW w:w="7479" w:type="dxa"/>
          </w:tcPr>
          <w:p w14:paraId="56443453" w14:textId="77777777" w:rsidR="00BC2953" w:rsidRPr="00410C3D" w:rsidRDefault="00BC2953" w:rsidP="00410C3D">
            <w:pPr>
              <w:spacing w:before="40" w:after="40"/>
              <w:rPr>
                <w:rFonts w:ascii="Arial" w:hAnsi="Arial" w:cs="Arial"/>
                <w:sz w:val="20"/>
              </w:rPr>
            </w:pPr>
            <w:r w:rsidRPr="00410C3D">
              <w:rPr>
                <w:rFonts w:ascii="Arial" w:hAnsi="Arial" w:cs="Arial"/>
                <w:sz w:val="20"/>
              </w:rPr>
              <w:t>Rural Northwest Health</w:t>
            </w:r>
          </w:p>
        </w:tc>
        <w:tc>
          <w:tcPr>
            <w:tcW w:w="1763" w:type="dxa"/>
          </w:tcPr>
          <w:p w14:paraId="11984932"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CE47003" w14:textId="77777777" w:rsidTr="00030BC1">
        <w:tc>
          <w:tcPr>
            <w:tcW w:w="7479" w:type="dxa"/>
          </w:tcPr>
          <w:p w14:paraId="249F559E" w14:textId="77777777" w:rsidR="00BC2953" w:rsidRPr="00410C3D" w:rsidRDefault="00BC2953" w:rsidP="00410C3D">
            <w:pPr>
              <w:spacing w:before="40" w:after="40"/>
              <w:rPr>
                <w:rFonts w:ascii="Arial" w:hAnsi="Arial" w:cs="Arial"/>
                <w:sz w:val="20"/>
              </w:rPr>
            </w:pPr>
            <w:r w:rsidRPr="00410C3D">
              <w:rPr>
                <w:rFonts w:ascii="Arial" w:hAnsi="Arial" w:cs="Arial"/>
                <w:sz w:val="20"/>
              </w:rPr>
              <w:t>St John of God Murdoch Hospital</w:t>
            </w:r>
          </w:p>
        </w:tc>
        <w:tc>
          <w:tcPr>
            <w:tcW w:w="1763" w:type="dxa"/>
          </w:tcPr>
          <w:p w14:paraId="0FA44B2B"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5DD78854" w14:textId="77777777" w:rsidTr="00030BC1">
        <w:tc>
          <w:tcPr>
            <w:tcW w:w="7479" w:type="dxa"/>
          </w:tcPr>
          <w:p w14:paraId="52A9F031" w14:textId="77777777" w:rsidR="00BC2953" w:rsidRPr="00410C3D" w:rsidRDefault="00BC2953" w:rsidP="00410C3D">
            <w:pPr>
              <w:spacing w:before="40" w:after="40"/>
              <w:rPr>
                <w:rFonts w:ascii="Arial" w:hAnsi="Arial" w:cs="Arial"/>
                <w:sz w:val="20"/>
              </w:rPr>
            </w:pPr>
            <w:r w:rsidRPr="00410C3D">
              <w:rPr>
                <w:rFonts w:ascii="Arial" w:hAnsi="Arial" w:cs="Arial"/>
                <w:sz w:val="20"/>
              </w:rPr>
              <w:t>National Mental Health Commission</w:t>
            </w:r>
          </w:p>
        </w:tc>
        <w:tc>
          <w:tcPr>
            <w:tcW w:w="1763" w:type="dxa"/>
          </w:tcPr>
          <w:p w14:paraId="5C705E1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E55773E" w14:textId="77777777" w:rsidTr="00030BC1">
        <w:tc>
          <w:tcPr>
            <w:tcW w:w="7479" w:type="dxa"/>
          </w:tcPr>
          <w:p w14:paraId="3095D9C8" w14:textId="77777777" w:rsidR="00BC2953" w:rsidRPr="00410C3D" w:rsidRDefault="00BC2953" w:rsidP="00410C3D">
            <w:pPr>
              <w:spacing w:before="40" w:after="40"/>
              <w:rPr>
                <w:rFonts w:ascii="Arial" w:hAnsi="Arial" w:cs="Arial"/>
                <w:sz w:val="20"/>
              </w:rPr>
            </w:pPr>
            <w:r w:rsidRPr="00410C3D">
              <w:rPr>
                <w:rFonts w:ascii="Arial" w:hAnsi="Arial" w:cs="Arial"/>
                <w:sz w:val="20"/>
              </w:rPr>
              <w:t>Children’s Health Queensland</w:t>
            </w:r>
          </w:p>
        </w:tc>
        <w:tc>
          <w:tcPr>
            <w:tcW w:w="1763" w:type="dxa"/>
          </w:tcPr>
          <w:p w14:paraId="7FD08A45"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6B6BEC57" w14:textId="77777777" w:rsidTr="00030BC1">
        <w:tc>
          <w:tcPr>
            <w:tcW w:w="7479" w:type="dxa"/>
          </w:tcPr>
          <w:p w14:paraId="2FCC813B" w14:textId="77777777" w:rsidR="00BC2953" w:rsidRPr="00410C3D" w:rsidRDefault="00BC2953" w:rsidP="00410C3D">
            <w:pPr>
              <w:spacing w:before="40" w:after="40"/>
              <w:rPr>
                <w:rFonts w:ascii="Arial" w:hAnsi="Arial" w:cs="Arial"/>
                <w:sz w:val="20"/>
              </w:rPr>
            </w:pPr>
            <w:r w:rsidRPr="00410C3D">
              <w:rPr>
                <w:rFonts w:ascii="Arial" w:hAnsi="Arial" w:cs="Arial"/>
                <w:sz w:val="20"/>
              </w:rPr>
              <w:t>St Vincent’s Health Australia</w:t>
            </w:r>
          </w:p>
        </w:tc>
        <w:tc>
          <w:tcPr>
            <w:tcW w:w="1763" w:type="dxa"/>
          </w:tcPr>
          <w:p w14:paraId="53868A1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D00630D" w14:textId="77777777" w:rsidTr="00030BC1">
        <w:tc>
          <w:tcPr>
            <w:tcW w:w="7479" w:type="dxa"/>
          </w:tcPr>
          <w:p w14:paraId="2656C5F6" w14:textId="77777777" w:rsidR="00BC2953" w:rsidRPr="00410C3D" w:rsidRDefault="00BC2953" w:rsidP="00410C3D">
            <w:pPr>
              <w:spacing w:before="40" w:after="40"/>
              <w:rPr>
                <w:rFonts w:ascii="Arial" w:hAnsi="Arial" w:cs="Arial"/>
                <w:sz w:val="20"/>
              </w:rPr>
            </w:pPr>
            <w:r w:rsidRPr="00410C3D">
              <w:rPr>
                <w:rFonts w:ascii="Arial" w:hAnsi="Arial" w:cs="Arial"/>
                <w:sz w:val="20"/>
              </w:rPr>
              <w:t>North Sydney Local Health District</w:t>
            </w:r>
          </w:p>
        </w:tc>
        <w:tc>
          <w:tcPr>
            <w:tcW w:w="1763" w:type="dxa"/>
          </w:tcPr>
          <w:p w14:paraId="69F527AF"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E1756B2" w14:textId="77777777" w:rsidTr="00030BC1">
        <w:tc>
          <w:tcPr>
            <w:tcW w:w="7479" w:type="dxa"/>
          </w:tcPr>
          <w:p w14:paraId="12E4DAF1"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Day Hospital Association</w:t>
            </w:r>
          </w:p>
        </w:tc>
        <w:tc>
          <w:tcPr>
            <w:tcW w:w="1763" w:type="dxa"/>
          </w:tcPr>
          <w:p w14:paraId="70B014B5"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671F746" w14:textId="77777777" w:rsidTr="00030BC1">
        <w:tc>
          <w:tcPr>
            <w:tcW w:w="7479" w:type="dxa"/>
          </w:tcPr>
          <w:p w14:paraId="5065B6B7" w14:textId="77777777" w:rsidR="00BC2953" w:rsidRPr="00410C3D" w:rsidRDefault="00BC2953" w:rsidP="00410C3D">
            <w:pPr>
              <w:spacing w:before="40" w:after="40"/>
              <w:rPr>
                <w:rFonts w:ascii="Arial" w:hAnsi="Arial" w:cs="Arial"/>
                <w:sz w:val="20"/>
              </w:rPr>
            </w:pPr>
            <w:r w:rsidRPr="00410C3D">
              <w:rPr>
                <w:rFonts w:ascii="Arial" w:hAnsi="Arial" w:cs="Arial"/>
                <w:sz w:val="20"/>
              </w:rPr>
              <w:t>Alfred Hospital</w:t>
            </w:r>
          </w:p>
        </w:tc>
        <w:tc>
          <w:tcPr>
            <w:tcW w:w="1763" w:type="dxa"/>
          </w:tcPr>
          <w:p w14:paraId="691F7254"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4F0F85A5" w14:textId="77777777" w:rsidTr="00030BC1">
        <w:tc>
          <w:tcPr>
            <w:tcW w:w="7479" w:type="dxa"/>
          </w:tcPr>
          <w:p w14:paraId="0D2834D0"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Orbost Regional Health </w:t>
            </w:r>
          </w:p>
        </w:tc>
        <w:tc>
          <w:tcPr>
            <w:tcW w:w="1763" w:type="dxa"/>
          </w:tcPr>
          <w:p w14:paraId="5A7ED71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48EC06C1" w14:textId="77777777" w:rsidTr="00030BC1">
        <w:tc>
          <w:tcPr>
            <w:tcW w:w="7479" w:type="dxa"/>
          </w:tcPr>
          <w:p w14:paraId="2186EC6D" w14:textId="77777777" w:rsidR="00BC2953" w:rsidRPr="00410C3D" w:rsidRDefault="00BC2953" w:rsidP="00410C3D">
            <w:pPr>
              <w:spacing w:before="40" w:after="40"/>
              <w:rPr>
                <w:rFonts w:ascii="Arial" w:hAnsi="Arial" w:cs="Arial"/>
                <w:sz w:val="20"/>
              </w:rPr>
            </w:pPr>
            <w:r w:rsidRPr="00410C3D">
              <w:rPr>
                <w:rFonts w:ascii="Arial" w:hAnsi="Arial" w:cs="Arial"/>
                <w:sz w:val="20"/>
              </w:rPr>
              <w:t>Alpine Health</w:t>
            </w:r>
          </w:p>
        </w:tc>
        <w:tc>
          <w:tcPr>
            <w:tcW w:w="1763" w:type="dxa"/>
          </w:tcPr>
          <w:p w14:paraId="5028D12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7EF4A9F" w14:textId="77777777" w:rsidTr="00030BC1">
        <w:tc>
          <w:tcPr>
            <w:tcW w:w="7479" w:type="dxa"/>
          </w:tcPr>
          <w:p w14:paraId="21CBE831" w14:textId="77777777" w:rsidR="00BC2953" w:rsidRPr="00410C3D" w:rsidRDefault="00BC2953" w:rsidP="00410C3D">
            <w:pPr>
              <w:spacing w:before="40" w:after="40"/>
              <w:rPr>
                <w:rFonts w:ascii="Arial" w:hAnsi="Arial" w:cs="Arial"/>
                <w:sz w:val="20"/>
              </w:rPr>
            </w:pPr>
            <w:r w:rsidRPr="00410C3D">
              <w:rPr>
                <w:rFonts w:ascii="Arial" w:hAnsi="Arial" w:cs="Arial"/>
                <w:sz w:val="20"/>
              </w:rPr>
              <w:t>St Vincent’s Health Australia</w:t>
            </w:r>
          </w:p>
        </w:tc>
        <w:tc>
          <w:tcPr>
            <w:tcW w:w="1763" w:type="dxa"/>
          </w:tcPr>
          <w:p w14:paraId="26975D9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4B74F595" w14:textId="77777777" w:rsidTr="00030BC1">
        <w:tc>
          <w:tcPr>
            <w:tcW w:w="7479" w:type="dxa"/>
          </w:tcPr>
          <w:p w14:paraId="520E6F88" w14:textId="77777777" w:rsidR="00BC2953" w:rsidRPr="00410C3D" w:rsidRDefault="00BC2953" w:rsidP="00410C3D">
            <w:pPr>
              <w:spacing w:before="40" w:after="40"/>
              <w:rPr>
                <w:rFonts w:ascii="Arial" w:hAnsi="Arial" w:cs="Arial"/>
                <w:sz w:val="20"/>
              </w:rPr>
            </w:pPr>
            <w:r w:rsidRPr="00410C3D">
              <w:rPr>
                <w:rFonts w:ascii="Arial" w:hAnsi="Arial" w:cs="Arial"/>
                <w:sz w:val="20"/>
              </w:rPr>
              <w:t>Individual consumer</w:t>
            </w:r>
          </w:p>
        </w:tc>
        <w:tc>
          <w:tcPr>
            <w:tcW w:w="1763" w:type="dxa"/>
          </w:tcPr>
          <w:p w14:paraId="0ED98FF9"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3000229F" w14:textId="77777777" w:rsidTr="00030BC1">
        <w:tc>
          <w:tcPr>
            <w:tcW w:w="7479" w:type="dxa"/>
          </w:tcPr>
          <w:p w14:paraId="60FE42D2" w14:textId="77777777" w:rsidR="00BC2953" w:rsidRPr="00410C3D" w:rsidRDefault="00BC2953" w:rsidP="00410C3D">
            <w:pPr>
              <w:spacing w:before="40" w:after="40"/>
              <w:rPr>
                <w:rFonts w:ascii="Arial" w:hAnsi="Arial" w:cs="Arial"/>
                <w:sz w:val="20"/>
              </w:rPr>
            </w:pPr>
            <w:r w:rsidRPr="00410C3D">
              <w:rPr>
                <w:rFonts w:ascii="Arial" w:hAnsi="Arial" w:cs="Arial"/>
                <w:sz w:val="20"/>
              </w:rPr>
              <w:t>Hunter New England Local Health District</w:t>
            </w:r>
          </w:p>
        </w:tc>
        <w:tc>
          <w:tcPr>
            <w:tcW w:w="1763" w:type="dxa"/>
          </w:tcPr>
          <w:p w14:paraId="15566F7F"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2996D2CF" w14:textId="77777777" w:rsidTr="00030BC1">
        <w:tc>
          <w:tcPr>
            <w:tcW w:w="7479" w:type="dxa"/>
          </w:tcPr>
          <w:p w14:paraId="103CEC2E" w14:textId="77777777" w:rsidR="00BC2953" w:rsidRPr="00410C3D" w:rsidRDefault="00BC2953" w:rsidP="00410C3D">
            <w:pPr>
              <w:spacing w:before="40" w:after="40"/>
              <w:rPr>
                <w:rFonts w:ascii="Arial" w:hAnsi="Arial" w:cs="Arial"/>
                <w:sz w:val="20"/>
              </w:rPr>
            </w:pPr>
            <w:r w:rsidRPr="00410C3D">
              <w:rPr>
                <w:rFonts w:ascii="Arial" w:hAnsi="Arial" w:cs="Arial"/>
                <w:sz w:val="20"/>
              </w:rPr>
              <w:t>Alzheimer’s Australia</w:t>
            </w:r>
          </w:p>
        </w:tc>
        <w:tc>
          <w:tcPr>
            <w:tcW w:w="1763" w:type="dxa"/>
          </w:tcPr>
          <w:p w14:paraId="0C3D5FF4"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9E96ED0" w14:textId="77777777" w:rsidTr="00030BC1">
        <w:tc>
          <w:tcPr>
            <w:tcW w:w="7479" w:type="dxa"/>
          </w:tcPr>
          <w:p w14:paraId="1A220766" w14:textId="77777777" w:rsidR="00BC2953" w:rsidRPr="00410C3D" w:rsidRDefault="00BC2953" w:rsidP="00410C3D">
            <w:pPr>
              <w:spacing w:before="40" w:after="40"/>
              <w:rPr>
                <w:rFonts w:ascii="Arial" w:hAnsi="Arial" w:cs="Arial"/>
                <w:sz w:val="20"/>
              </w:rPr>
            </w:pPr>
            <w:r w:rsidRPr="00410C3D">
              <w:rPr>
                <w:rFonts w:ascii="Arial" w:hAnsi="Arial" w:cs="Arial"/>
                <w:sz w:val="20"/>
              </w:rPr>
              <w:t>St Vincent’s Melbourne</w:t>
            </w:r>
          </w:p>
        </w:tc>
        <w:tc>
          <w:tcPr>
            <w:tcW w:w="1763" w:type="dxa"/>
          </w:tcPr>
          <w:p w14:paraId="26829060"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892D225" w14:textId="77777777" w:rsidTr="00030BC1">
        <w:tc>
          <w:tcPr>
            <w:tcW w:w="7479" w:type="dxa"/>
          </w:tcPr>
          <w:p w14:paraId="0B4D2DC2" w14:textId="77777777" w:rsidR="00BC2953" w:rsidRPr="00410C3D" w:rsidRDefault="00BC2953" w:rsidP="00410C3D">
            <w:pPr>
              <w:spacing w:before="40" w:after="40"/>
              <w:rPr>
                <w:rFonts w:ascii="Arial" w:hAnsi="Arial" w:cs="Arial"/>
                <w:sz w:val="20"/>
              </w:rPr>
            </w:pPr>
            <w:r w:rsidRPr="00410C3D">
              <w:rPr>
                <w:rFonts w:ascii="Arial" w:hAnsi="Arial" w:cs="Arial"/>
                <w:sz w:val="20"/>
              </w:rPr>
              <w:t>South Australian Department of Health</w:t>
            </w:r>
          </w:p>
        </w:tc>
        <w:tc>
          <w:tcPr>
            <w:tcW w:w="1763" w:type="dxa"/>
          </w:tcPr>
          <w:p w14:paraId="2AE11942"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652CFDB" w14:textId="77777777" w:rsidTr="00030BC1">
        <w:tc>
          <w:tcPr>
            <w:tcW w:w="7479" w:type="dxa"/>
          </w:tcPr>
          <w:p w14:paraId="53948EC3" w14:textId="77777777" w:rsidR="00BC2953" w:rsidRPr="00410C3D" w:rsidRDefault="00BC2953" w:rsidP="00410C3D">
            <w:pPr>
              <w:spacing w:before="40" w:after="40"/>
              <w:rPr>
                <w:rFonts w:ascii="Arial" w:hAnsi="Arial" w:cs="Arial"/>
                <w:sz w:val="20"/>
              </w:rPr>
            </w:pPr>
            <w:r w:rsidRPr="00410C3D">
              <w:rPr>
                <w:rFonts w:ascii="Arial" w:hAnsi="Arial" w:cs="Arial"/>
                <w:sz w:val="20"/>
              </w:rPr>
              <w:t>Individual consumer</w:t>
            </w:r>
          </w:p>
        </w:tc>
        <w:tc>
          <w:tcPr>
            <w:tcW w:w="1763" w:type="dxa"/>
          </w:tcPr>
          <w:p w14:paraId="0535A6F6"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C536D02" w14:textId="77777777" w:rsidTr="00030BC1">
        <w:tc>
          <w:tcPr>
            <w:tcW w:w="7479" w:type="dxa"/>
          </w:tcPr>
          <w:p w14:paraId="61FCF001" w14:textId="77777777" w:rsidR="00BC2953" w:rsidRPr="00410C3D" w:rsidRDefault="00BC2953" w:rsidP="00410C3D">
            <w:pPr>
              <w:spacing w:before="40" w:after="40"/>
              <w:rPr>
                <w:rFonts w:ascii="Arial" w:hAnsi="Arial" w:cs="Arial"/>
                <w:sz w:val="20"/>
              </w:rPr>
            </w:pPr>
            <w:r w:rsidRPr="00410C3D">
              <w:rPr>
                <w:rFonts w:ascii="Arial" w:hAnsi="Arial" w:cs="Arial"/>
                <w:sz w:val="20"/>
              </w:rPr>
              <w:t>Justice Health and Forensic Mental Health Network, NSW</w:t>
            </w:r>
          </w:p>
        </w:tc>
        <w:tc>
          <w:tcPr>
            <w:tcW w:w="1763" w:type="dxa"/>
          </w:tcPr>
          <w:p w14:paraId="3F90427C"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5A3DDB2F" w14:textId="77777777" w:rsidTr="00030BC1">
        <w:tc>
          <w:tcPr>
            <w:tcW w:w="7479" w:type="dxa"/>
          </w:tcPr>
          <w:p w14:paraId="4789B706" w14:textId="77777777" w:rsidR="00BC2953" w:rsidRPr="00410C3D" w:rsidRDefault="00BC2953" w:rsidP="00410C3D">
            <w:pPr>
              <w:spacing w:before="40" w:after="40"/>
              <w:rPr>
                <w:rFonts w:ascii="Arial" w:hAnsi="Arial" w:cs="Arial"/>
                <w:sz w:val="20"/>
              </w:rPr>
            </w:pPr>
            <w:r w:rsidRPr="00410C3D">
              <w:rPr>
                <w:rFonts w:ascii="Arial" w:hAnsi="Arial" w:cs="Arial"/>
                <w:sz w:val="20"/>
              </w:rPr>
              <w:t>Monash Health</w:t>
            </w:r>
          </w:p>
        </w:tc>
        <w:tc>
          <w:tcPr>
            <w:tcW w:w="1763" w:type="dxa"/>
          </w:tcPr>
          <w:p w14:paraId="093F3E18"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894FEEA" w14:textId="77777777" w:rsidTr="00030BC1">
        <w:tc>
          <w:tcPr>
            <w:tcW w:w="7479" w:type="dxa"/>
          </w:tcPr>
          <w:p w14:paraId="120E8A52" w14:textId="77777777" w:rsidR="00BC2953" w:rsidRPr="00410C3D" w:rsidRDefault="00BC2953" w:rsidP="00410C3D">
            <w:pPr>
              <w:spacing w:before="40" w:after="40"/>
              <w:rPr>
                <w:rFonts w:ascii="Arial" w:hAnsi="Arial" w:cs="Arial"/>
                <w:sz w:val="20"/>
              </w:rPr>
            </w:pPr>
            <w:r w:rsidRPr="00410C3D">
              <w:rPr>
                <w:rFonts w:ascii="Arial" w:hAnsi="Arial" w:cs="Arial"/>
                <w:sz w:val="20"/>
              </w:rPr>
              <w:t>BSI Group</w:t>
            </w:r>
          </w:p>
        </w:tc>
        <w:tc>
          <w:tcPr>
            <w:tcW w:w="1763" w:type="dxa"/>
          </w:tcPr>
          <w:p w14:paraId="52DD230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45941A9" w14:textId="77777777" w:rsidTr="00030BC1">
        <w:tc>
          <w:tcPr>
            <w:tcW w:w="7479" w:type="dxa"/>
          </w:tcPr>
          <w:p w14:paraId="5703FBCC" w14:textId="77777777" w:rsidR="00BC2953" w:rsidRPr="00410C3D" w:rsidRDefault="00BC2953" w:rsidP="00410C3D">
            <w:pPr>
              <w:spacing w:before="40" w:after="40"/>
              <w:rPr>
                <w:rFonts w:ascii="Arial" w:hAnsi="Arial" w:cs="Arial"/>
                <w:sz w:val="20"/>
              </w:rPr>
            </w:pPr>
            <w:r w:rsidRPr="00410C3D">
              <w:rPr>
                <w:rFonts w:ascii="Arial" w:hAnsi="Arial" w:cs="Arial"/>
                <w:sz w:val="20"/>
              </w:rPr>
              <w:t>Hunter New England Local Health District</w:t>
            </w:r>
          </w:p>
        </w:tc>
        <w:tc>
          <w:tcPr>
            <w:tcW w:w="1763" w:type="dxa"/>
          </w:tcPr>
          <w:p w14:paraId="4EDFA21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11C98024" w14:textId="77777777" w:rsidTr="00030BC1">
        <w:tc>
          <w:tcPr>
            <w:tcW w:w="7479" w:type="dxa"/>
          </w:tcPr>
          <w:p w14:paraId="1F38E848" w14:textId="77777777" w:rsidR="00BC2953" w:rsidRPr="00410C3D" w:rsidRDefault="00BC2953" w:rsidP="00410C3D">
            <w:pPr>
              <w:spacing w:before="40" w:after="40"/>
              <w:rPr>
                <w:rFonts w:ascii="Arial" w:hAnsi="Arial" w:cs="Arial"/>
                <w:sz w:val="20"/>
              </w:rPr>
            </w:pPr>
            <w:r w:rsidRPr="00410C3D">
              <w:rPr>
                <w:rFonts w:ascii="Arial" w:hAnsi="Arial" w:cs="Arial"/>
                <w:sz w:val="20"/>
              </w:rPr>
              <w:t>Victorian Department of Health and Human Services</w:t>
            </w:r>
          </w:p>
        </w:tc>
        <w:tc>
          <w:tcPr>
            <w:tcW w:w="1763" w:type="dxa"/>
          </w:tcPr>
          <w:p w14:paraId="6533DD9B"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26A0C0A" w14:textId="77777777" w:rsidTr="00030BC1">
        <w:tc>
          <w:tcPr>
            <w:tcW w:w="7479" w:type="dxa"/>
          </w:tcPr>
          <w:p w14:paraId="7A45B014" w14:textId="77777777" w:rsidR="00BC2953" w:rsidRPr="00410C3D" w:rsidRDefault="00BC2953" w:rsidP="00410C3D">
            <w:pPr>
              <w:spacing w:before="40" w:after="40"/>
              <w:rPr>
                <w:rFonts w:ascii="Arial" w:hAnsi="Arial" w:cs="Arial"/>
                <w:sz w:val="20"/>
              </w:rPr>
            </w:pPr>
            <w:r w:rsidRPr="00410C3D">
              <w:rPr>
                <w:rFonts w:ascii="Arial" w:hAnsi="Arial" w:cs="Arial"/>
                <w:sz w:val="20"/>
              </w:rPr>
              <w:t>The Society of Hospital Pharmacists of Australia</w:t>
            </w:r>
          </w:p>
        </w:tc>
        <w:tc>
          <w:tcPr>
            <w:tcW w:w="1763" w:type="dxa"/>
          </w:tcPr>
          <w:p w14:paraId="5E80E8A6"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37C48917" w14:textId="77777777" w:rsidTr="00030BC1">
        <w:tc>
          <w:tcPr>
            <w:tcW w:w="7479" w:type="dxa"/>
          </w:tcPr>
          <w:p w14:paraId="095C860C" w14:textId="77777777" w:rsidR="00BC2953" w:rsidRPr="00410C3D" w:rsidRDefault="00BC2953" w:rsidP="00410C3D">
            <w:pPr>
              <w:spacing w:before="40" w:after="40"/>
              <w:rPr>
                <w:rFonts w:ascii="Arial" w:hAnsi="Arial" w:cs="Arial"/>
                <w:sz w:val="20"/>
              </w:rPr>
            </w:pPr>
            <w:r w:rsidRPr="00410C3D">
              <w:rPr>
                <w:rFonts w:ascii="Arial" w:hAnsi="Arial" w:cs="Arial"/>
                <w:sz w:val="20"/>
              </w:rPr>
              <w:t>AGPAL and QIP</w:t>
            </w:r>
          </w:p>
        </w:tc>
        <w:tc>
          <w:tcPr>
            <w:tcW w:w="1763" w:type="dxa"/>
          </w:tcPr>
          <w:p w14:paraId="3D8F267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9D76240" w14:textId="77777777" w:rsidTr="00030BC1">
        <w:tc>
          <w:tcPr>
            <w:tcW w:w="7479" w:type="dxa"/>
          </w:tcPr>
          <w:p w14:paraId="09CBFE9E"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Government Department of Health</w:t>
            </w:r>
          </w:p>
        </w:tc>
        <w:tc>
          <w:tcPr>
            <w:tcW w:w="1763" w:type="dxa"/>
          </w:tcPr>
          <w:p w14:paraId="71F39CE8"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91A3162" w14:textId="77777777" w:rsidTr="00030BC1">
        <w:tc>
          <w:tcPr>
            <w:tcW w:w="7479" w:type="dxa"/>
          </w:tcPr>
          <w:p w14:paraId="46E0EF5E"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Medical Association</w:t>
            </w:r>
          </w:p>
        </w:tc>
        <w:tc>
          <w:tcPr>
            <w:tcW w:w="1763" w:type="dxa"/>
          </w:tcPr>
          <w:p w14:paraId="3E4BB2E1" w14:textId="77777777" w:rsidR="00BC2953" w:rsidRPr="00410C3D" w:rsidRDefault="00BC2953" w:rsidP="00410C3D">
            <w:pPr>
              <w:spacing w:before="40" w:after="40"/>
              <w:rPr>
                <w:rFonts w:ascii="Arial" w:hAnsi="Arial" w:cs="Arial"/>
                <w:sz w:val="20"/>
              </w:rPr>
            </w:pPr>
            <w:r w:rsidRPr="00410C3D">
              <w:rPr>
                <w:rFonts w:ascii="Arial" w:hAnsi="Arial" w:cs="Arial"/>
                <w:sz w:val="20"/>
              </w:rPr>
              <w:t>Other Option</w:t>
            </w:r>
          </w:p>
        </w:tc>
      </w:tr>
      <w:tr w:rsidR="00BC2953" w:rsidRPr="00410C3D" w14:paraId="7CB329BA" w14:textId="77777777" w:rsidTr="00030BC1">
        <w:tc>
          <w:tcPr>
            <w:tcW w:w="7479" w:type="dxa"/>
          </w:tcPr>
          <w:p w14:paraId="7CE58006" w14:textId="77777777" w:rsidR="00BC2953" w:rsidRPr="00410C3D" w:rsidRDefault="00BC2953" w:rsidP="00410C3D">
            <w:pPr>
              <w:spacing w:before="40" w:after="40"/>
              <w:rPr>
                <w:rFonts w:ascii="Arial" w:hAnsi="Arial" w:cs="Arial"/>
                <w:sz w:val="20"/>
              </w:rPr>
            </w:pPr>
            <w:r w:rsidRPr="00410C3D">
              <w:rPr>
                <w:rFonts w:ascii="Arial" w:hAnsi="Arial" w:cs="Arial"/>
                <w:sz w:val="20"/>
              </w:rPr>
              <w:t>Northern NSW Local Health District</w:t>
            </w:r>
          </w:p>
        </w:tc>
        <w:tc>
          <w:tcPr>
            <w:tcW w:w="1763" w:type="dxa"/>
          </w:tcPr>
          <w:p w14:paraId="0B6D571A"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613CC360" w14:textId="77777777" w:rsidTr="00030BC1">
        <w:tc>
          <w:tcPr>
            <w:tcW w:w="7479" w:type="dxa"/>
          </w:tcPr>
          <w:p w14:paraId="0054C800" w14:textId="77777777" w:rsidR="00BC2953" w:rsidRPr="00410C3D" w:rsidRDefault="00BC2953" w:rsidP="00410C3D">
            <w:pPr>
              <w:spacing w:before="40" w:after="40"/>
              <w:rPr>
                <w:rFonts w:ascii="Arial" w:hAnsi="Arial" w:cs="Arial"/>
                <w:sz w:val="20"/>
              </w:rPr>
            </w:pPr>
            <w:r w:rsidRPr="00410C3D">
              <w:rPr>
                <w:rFonts w:ascii="Arial" w:hAnsi="Arial" w:cs="Arial"/>
                <w:sz w:val="20"/>
              </w:rPr>
              <w:t>National Blood Authority</w:t>
            </w:r>
          </w:p>
        </w:tc>
        <w:tc>
          <w:tcPr>
            <w:tcW w:w="1763" w:type="dxa"/>
          </w:tcPr>
          <w:p w14:paraId="4F894C3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5C29DF08" w14:textId="77777777" w:rsidTr="00030BC1">
        <w:tc>
          <w:tcPr>
            <w:tcW w:w="7479" w:type="dxa"/>
          </w:tcPr>
          <w:p w14:paraId="73201E5A"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South Metropolitan Health Service, Western Australia </w:t>
            </w:r>
          </w:p>
        </w:tc>
        <w:tc>
          <w:tcPr>
            <w:tcW w:w="1763" w:type="dxa"/>
          </w:tcPr>
          <w:p w14:paraId="323952CA"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6A3B624" w14:textId="77777777" w:rsidTr="00030BC1">
        <w:tc>
          <w:tcPr>
            <w:tcW w:w="7479" w:type="dxa"/>
          </w:tcPr>
          <w:p w14:paraId="4D5E12F7" w14:textId="77777777" w:rsidR="00BC2953" w:rsidRPr="00410C3D" w:rsidRDefault="00BC2953" w:rsidP="00410C3D">
            <w:pPr>
              <w:spacing w:before="40" w:after="40"/>
              <w:rPr>
                <w:rFonts w:ascii="Arial" w:hAnsi="Arial" w:cs="Arial"/>
                <w:sz w:val="20"/>
              </w:rPr>
            </w:pPr>
            <w:r w:rsidRPr="00410C3D">
              <w:rPr>
                <w:rFonts w:ascii="Arial" w:hAnsi="Arial" w:cs="Arial"/>
                <w:sz w:val="20"/>
              </w:rPr>
              <w:t>Royal Australian and New Zealand College of Radiologists</w:t>
            </w:r>
          </w:p>
        </w:tc>
        <w:tc>
          <w:tcPr>
            <w:tcW w:w="1763" w:type="dxa"/>
          </w:tcPr>
          <w:p w14:paraId="2D0A7E80"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6D0009CE" w14:textId="77777777" w:rsidTr="00030BC1">
        <w:tc>
          <w:tcPr>
            <w:tcW w:w="7479" w:type="dxa"/>
          </w:tcPr>
          <w:p w14:paraId="518F3B0C" w14:textId="77777777" w:rsidR="00BC2953" w:rsidRPr="00410C3D" w:rsidRDefault="00BC2953" w:rsidP="00410C3D">
            <w:pPr>
              <w:spacing w:before="40" w:after="40"/>
              <w:rPr>
                <w:rFonts w:ascii="Arial" w:hAnsi="Arial" w:cs="Arial"/>
                <w:sz w:val="20"/>
              </w:rPr>
            </w:pPr>
            <w:r w:rsidRPr="00410C3D">
              <w:rPr>
                <w:rFonts w:ascii="Arial" w:hAnsi="Arial" w:cs="Arial"/>
                <w:sz w:val="20"/>
              </w:rPr>
              <w:t>National Pathology Accreditation Advisory Council</w:t>
            </w:r>
          </w:p>
        </w:tc>
        <w:tc>
          <w:tcPr>
            <w:tcW w:w="1763" w:type="dxa"/>
          </w:tcPr>
          <w:p w14:paraId="7ED92F7F"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3C6B69E" w14:textId="77777777" w:rsidTr="00030BC1">
        <w:tc>
          <w:tcPr>
            <w:tcW w:w="7479" w:type="dxa"/>
          </w:tcPr>
          <w:p w14:paraId="3585089E" w14:textId="77777777" w:rsidR="00BC2953" w:rsidRPr="00410C3D" w:rsidRDefault="00BC2953" w:rsidP="00410C3D">
            <w:pPr>
              <w:spacing w:before="40" w:after="40"/>
              <w:rPr>
                <w:rFonts w:ascii="Arial" w:hAnsi="Arial" w:cs="Arial"/>
                <w:sz w:val="20"/>
              </w:rPr>
            </w:pPr>
            <w:r w:rsidRPr="00410C3D">
              <w:rPr>
                <w:rFonts w:ascii="Arial" w:hAnsi="Arial" w:cs="Arial"/>
                <w:sz w:val="20"/>
              </w:rPr>
              <w:t>South Australian Ambulance Service</w:t>
            </w:r>
          </w:p>
        </w:tc>
        <w:tc>
          <w:tcPr>
            <w:tcW w:w="1763" w:type="dxa"/>
          </w:tcPr>
          <w:p w14:paraId="4BA854B6"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3D4ED9E0" w14:textId="77777777" w:rsidTr="00030BC1">
        <w:tc>
          <w:tcPr>
            <w:tcW w:w="7479" w:type="dxa"/>
          </w:tcPr>
          <w:p w14:paraId="49587F79" w14:textId="77777777" w:rsidR="00BC2953" w:rsidRPr="00410C3D" w:rsidRDefault="00BC2953" w:rsidP="00410C3D">
            <w:pPr>
              <w:spacing w:before="40" w:after="40"/>
              <w:rPr>
                <w:rFonts w:ascii="Arial" w:hAnsi="Arial" w:cs="Arial"/>
                <w:sz w:val="20"/>
              </w:rPr>
            </w:pPr>
            <w:r w:rsidRPr="00410C3D">
              <w:rPr>
                <w:rFonts w:ascii="Arial" w:hAnsi="Arial" w:cs="Arial"/>
                <w:sz w:val="20"/>
              </w:rPr>
              <w:t>Northern Health, Victoria</w:t>
            </w:r>
          </w:p>
        </w:tc>
        <w:tc>
          <w:tcPr>
            <w:tcW w:w="1763" w:type="dxa"/>
          </w:tcPr>
          <w:p w14:paraId="631F280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0E801A2" w14:textId="77777777" w:rsidTr="00030BC1">
        <w:tc>
          <w:tcPr>
            <w:tcW w:w="7479" w:type="dxa"/>
          </w:tcPr>
          <w:p w14:paraId="1509379A" w14:textId="77777777" w:rsidR="00BC2953" w:rsidRPr="00410C3D" w:rsidRDefault="00BC2953" w:rsidP="00410C3D">
            <w:pPr>
              <w:spacing w:before="40" w:after="40"/>
              <w:rPr>
                <w:rFonts w:ascii="Arial" w:hAnsi="Arial" w:cs="Arial"/>
                <w:sz w:val="20"/>
              </w:rPr>
            </w:pPr>
            <w:r w:rsidRPr="00410C3D">
              <w:rPr>
                <w:rFonts w:ascii="Arial" w:hAnsi="Arial" w:cs="Arial"/>
                <w:sz w:val="20"/>
              </w:rPr>
              <w:t>Congress of Aboriginal and Torres Strait Islander Nurses and Midwives</w:t>
            </w:r>
          </w:p>
        </w:tc>
        <w:tc>
          <w:tcPr>
            <w:tcW w:w="1763" w:type="dxa"/>
          </w:tcPr>
          <w:p w14:paraId="1DA6BE87"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3886BDAF" w14:textId="77777777" w:rsidTr="00030BC1">
        <w:tc>
          <w:tcPr>
            <w:tcW w:w="7479" w:type="dxa"/>
          </w:tcPr>
          <w:p w14:paraId="7F936D5A"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Psychological Society</w:t>
            </w:r>
          </w:p>
        </w:tc>
        <w:tc>
          <w:tcPr>
            <w:tcW w:w="1763" w:type="dxa"/>
          </w:tcPr>
          <w:p w14:paraId="55D71D2A"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16E5445" w14:textId="77777777" w:rsidTr="00030BC1">
        <w:tc>
          <w:tcPr>
            <w:tcW w:w="7479" w:type="dxa"/>
          </w:tcPr>
          <w:p w14:paraId="2427ABDB" w14:textId="77777777" w:rsidR="00BC2953" w:rsidRPr="00410C3D" w:rsidRDefault="00BC2953" w:rsidP="00410C3D">
            <w:pPr>
              <w:spacing w:before="40" w:after="40"/>
              <w:rPr>
                <w:rFonts w:ascii="Arial" w:hAnsi="Arial" w:cs="Arial"/>
                <w:sz w:val="20"/>
              </w:rPr>
            </w:pPr>
            <w:r w:rsidRPr="00410C3D">
              <w:rPr>
                <w:rFonts w:ascii="Arial" w:hAnsi="Arial" w:cs="Arial"/>
                <w:sz w:val="20"/>
              </w:rPr>
              <w:t>National Mental Health Consumer and Carer Forum</w:t>
            </w:r>
          </w:p>
        </w:tc>
        <w:tc>
          <w:tcPr>
            <w:tcW w:w="1763" w:type="dxa"/>
          </w:tcPr>
          <w:p w14:paraId="20F8BCC3"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E47844F" w14:textId="77777777" w:rsidTr="00030BC1">
        <w:tc>
          <w:tcPr>
            <w:tcW w:w="7479" w:type="dxa"/>
          </w:tcPr>
          <w:p w14:paraId="00A37CDD"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Metro South Health, Queensland </w:t>
            </w:r>
          </w:p>
        </w:tc>
        <w:tc>
          <w:tcPr>
            <w:tcW w:w="1763" w:type="dxa"/>
          </w:tcPr>
          <w:p w14:paraId="1AF9DAB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1</w:t>
            </w:r>
          </w:p>
        </w:tc>
      </w:tr>
      <w:tr w:rsidR="00BC2953" w:rsidRPr="00410C3D" w14:paraId="7C7EBC43" w14:textId="77777777" w:rsidTr="00030BC1">
        <w:tc>
          <w:tcPr>
            <w:tcW w:w="7479" w:type="dxa"/>
          </w:tcPr>
          <w:p w14:paraId="18ABD19C" w14:textId="77777777" w:rsidR="00BC2953" w:rsidRPr="00410C3D" w:rsidRDefault="00BC2953" w:rsidP="00410C3D">
            <w:pPr>
              <w:spacing w:before="40" w:after="40"/>
              <w:rPr>
                <w:rFonts w:ascii="Arial" w:hAnsi="Arial" w:cs="Arial"/>
                <w:sz w:val="20"/>
              </w:rPr>
            </w:pPr>
            <w:r w:rsidRPr="00410C3D">
              <w:rPr>
                <w:rFonts w:ascii="Arial" w:hAnsi="Arial" w:cs="Arial"/>
                <w:sz w:val="20"/>
              </w:rPr>
              <w:t>Individual clinician</w:t>
            </w:r>
          </w:p>
        </w:tc>
        <w:tc>
          <w:tcPr>
            <w:tcW w:w="1763" w:type="dxa"/>
          </w:tcPr>
          <w:p w14:paraId="1295162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471EF7E9" w14:textId="77777777" w:rsidTr="00030BC1">
        <w:tc>
          <w:tcPr>
            <w:tcW w:w="7479" w:type="dxa"/>
          </w:tcPr>
          <w:p w14:paraId="25095319"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 Council on Healthcare Standards</w:t>
            </w:r>
          </w:p>
        </w:tc>
        <w:tc>
          <w:tcPr>
            <w:tcW w:w="1763" w:type="dxa"/>
          </w:tcPr>
          <w:p w14:paraId="71C5AA30"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449F95D" w14:textId="77777777" w:rsidTr="00030BC1">
        <w:tc>
          <w:tcPr>
            <w:tcW w:w="7479" w:type="dxa"/>
          </w:tcPr>
          <w:p w14:paraId="0A1984E2" w14:textId="77777777" w:rsidR="00BC2953" w:rsidRPr="00410C3D" w:rsidRDefault="00BC2953" w:rsidP="00410C3D">
            <w:pPr>
              <w:spacing w:before="40" w:after="40"/>
              <w:rPr>
                <w:rFonts w:ascii="Arial" w:hAnsi="Arial" w:cs="Arial"/>
                <w:sz w:val="20"/>
              </w:rPr>
            </w:pPr>
            <w:r w:rsidRPr="00410C3D">
              <w:rPr>
                <w:rFonts w:ascii="Arial" w:hAnsi="Arial" w:cs="Arial"/>
                <w:sz w:val="20"/>
              </w:rPr>
              <w:t>National Blood Authority</w:t>
            </w:r>
          </w:p>
        </w:tc>
        <w:tc>
          <w:tcPr>
            <w:tcW w:w="1763" w:type="dxa"/>
          </w:tcPr>
          <w:p w14:paraId="100B8069"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6FA0DC10" w14:textId="77777777" w:rsidTr="00030BC1">
        <w:tc>
          <w:tcPr>
            <w:tcW w:w="7479" w:type="dxa"/>
          </w:tcPr>
          <w:p w14:paraId="44F0279F" w14:textId="77777777" w:rsidR="00BC2953" w:rsidRPr="00410C3D" w:rsidRDefault="00BC2953" w:rsidP="00410C3D">
            <w:pPr>
              <w:spacing w:before="40" w:after="40"/>
              <w:rPr>
                <w:rFonts w:ascii="Arial" w:hAnsi="Arial" w:cs="Arial"/>
                <w:sz w:val="20"/>
              </w:rPr>
            </w:pPr>
            <w:r w:rsidRPr="00410C3D">
              <w:rPr>
                <w:rFonts w:ascii="Arial" w:hAnsi="Arial" w:cs="Arial"/>
                <w:sz w:val="20"/>
              </w:rPr>
              <w:t>Australian Digital Health Agency</w:t>
            </w:r>
          </w:p>
        </w:tc>
        <w:tc>
          <w:tcPr>
            <w:tcW w:w="1763" w:type="dxa"/>
          </w:tcPr>
          <w:p w14:paraId="4C2CD980"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BE412B8" w14:textId="77777777" w:rsidTr="00030BC1">
        <w:tc>
          <w:tcPr>
            <w:tcW w:w="7479" w:type="dxa"/>
          </w:tcPr>
          <w:p w14:paraId="0927467B" w14:textId="77777777" w:rsidR="00BC2953" w:rsidRPr="00410C3D" w:rsidRDefault="00BC2953" w:rsidP="00410C3D">
            <w:pPr>
              <w:spacing w:before="40" w:after="40"/>
              <w:rPr>
                <w:rFonts w:ascii="Arial" w:hAnsi="Arial" w:cs="Arial"/>
                <w:sz w:val="20"/>
              </w:rPr>
            </w:pPr>
            <w:r w:rsidRPr="00410C3D">
              <w:rPr>
                <w:rFonts w:ascii="Arial" w:hAnsi="Arial" w:cs="Arial"/>
                <w:sz w:val="20"/>
              </w:rPr>
              <w:t>Adelaide Primary Health Network</w:t>
            </w:r>
          </w:p>
        </w:tc>
        <w:tc>
          <w:tcPr>
            <w:tcW w:w="1763" w:type="dxa"/>
          </w:tcPr>
          <w:p w14:paraId="42C7891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2D54A6D" w14:textId="77777777" w:rsidTr="00030BC1">
        <w:tc>
          <w:tcPr>
            <w:tcW w:w="7479" w:type="dxa"/>
          </w:tcPr>
          <w:p w14:paraId="77AF2057" w14:textId="77777777" w:rsidR="00BC2953" w:rsidRPr="00410C3D" w:rsidRDefault="00BC2953" w:rsidP="00410C3D">
            <w:pPr>
              <w:spacing w:before="40" w:after="40"/>
              <w:rPr>
                <w:rFonts w:ascii="Arial" w:hAnsi="Arial" w:cs="Arial"/>
                <w:sz w:val="20"/>
              </w:rPr>
            </w:pPr>
            <w:r w:rsidRPr="00410C3D">
              <w:rPr>
                <w:rFonts w:ascii="Arial" w:hAnsi="Arial" w:cs="Arial"/>
                <w:sz w:val="20"/>
              </w:rPr>
              <w:t>Child and Adolescent Health Services and Perth Children's Hospital Commissioning</w:t>
            </w:r>
          </w:p>
        </w:tc>
        <w:tc>
          <w:tcPr>
            <w:tcW w:w="1763" w:type="dxa"/>
          </w:tcPr>
          <w:p w14:paraId="1478A16B"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97D1064" w14:textId="77777777" w:rsidTr="00030BC1">
        <w:tc>
          <w:tcPr>
            <w:tcW w:w="7479" w:type="dxa"/>
          </w:tcPr>
          <w:p w14:paraId="7B953F84" w14:textId="77777777" w:rsidR="00BC2953" w:rsidRPr="00410C3D" w:rsidRDefault="00BC2953" w:rsidP="00410C3D">
            <w:pPr>
              <w:spacing w:before="40" w:after="40"/>
              <w:rPr>
                <w:rFonts w:ascii="Arial" w:hAnsi="Arial" w:cs="Arial"/>
                <w:sz w:val="20"/>
              </w:rPr>
            </w:pPr>
            <w:r w:rsidRPr="00410C3D">
              <w:rPr>
                <w:rFonts w:ascii="Arial" w:hAnsi="Arial" w:cs="Arial"/>
                <w:sz w:val="20"/>
              </w:rPr>
              <w:t>Clinical Excellence Commission, NSW</w:t>
            </w:r>
          </w:p>
        </w:tc>
        <w:tc>
          <w:tcPr>
            <w:tcW w:w="1763" w:type="dxa"/>
          </w:tcPr>
          <w:p w14:paraId="27B297FA"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7841419" w14:textId="77777777" w:rsidTr="00030BC1">
        <w:tc>
          <w:tcPr>
            <w:tcW w:w="7479" w:type="dxa"/>
          </w:tcPr>
          <w:p w14:paraId="1DEA7325" w14:textId="77777777" w:rsidR="00BC2953" w:rsidRPr="00410C3D" w:rsidRDefault="00BC2953" w:rsidP="00410C3D">
            <w:pPr>
              <w:spacing w:before="40" w:after="40"/>
              <w:rPr>
                <w:rFonts w:ascii="Arial" w:hAnsi="Arial" w:cs="Arial"/>
                <w:sz w:val="20"/>
              </w:rPr>
            </w:pPr>
            <w:r w:rsidRPr="00410C3D">
              <w:rPr>
                <w:rFonts w:ascii="Arial" w:hAnsi="Arial" w:cs="Arial"/>
                <w:sz w:val="20"/>
              </w:rPr>
              <w:t>Dieticians Association of Australia</w:t>
            </w:r>
          </w:p>
        </w:tc>
        <w:tc>
          <w:tcPr>
            <w:tcW w:w="1763" w:type="dxa"/>
          </w:tcPr>
          <w:p w14:paraId="4650095D"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5D163AE" w14:textId="77777777" w:rsidTr="00030BC1">
        <w:tc>
          <w:tcPr>
            <w:tcW w:w="7479" w:type="dxa"/>
          </w:tcPr>
          <w:p w14:paraId="7103B85A" w14:textId="77777777" w:rsidR="00BC2953" w:rsidRPr="00410C3D" w:rsidRDefault="00BC2953" w:rsidP="00410C3D">
            <w:pPr>
              <w:spacing w:before="40" w:after="40"/>
              <w:rPr>
                <w:rFonts w:ascii="Arial" w:hAnsi="Arial" w:cs="Arial"/>
                <w:sz w:val="20"/>
              </w:rPr>
            </w:pPr>
            <w:r w:rsidRPr="00410C3D">
              <w:rPr>
                <w:rFonts w:ascii="Arial" w:hAnsi="Arial" w:cs="Arial"/>
                <w:sz w:val="20"/>
              </w:rPr>
              <w:t>Cardinal Services Corporate</w:t>
            </w:r>
          </w:p>
        </w:tc>
        <w:tc>
          <w:tcPr>
            <w:tcW w:w="1763" w:type="dxa"/>
          </w:tcPr>
          <w:p w14:paraId="36C45A85"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6C3DE1A0" w14:textId="77777777" w:rsidTr="00030BC1">
        <w:tc>
          <w:tcPr>
            <w:tcW w:w="7479" w:type="dxa"/>
          </w:tcPr>
          <w:p w14:paraId="6CE9C900" w14:textId="77777777" w:rsidR="00BC2953" w:rsidRPr="00410C3D" w:rsidRDefault="00BC2953" w:rsidP="00410C3D">
            <w:pPr>
              <w:spacing w:before="40" w:after="40"/>
              <w:rPr>
                <w:rFonts w:ascii="Arial" w:hAnsi="Arial" w:cs="Arial"/>
                <w:sz w:val="20"/>
              </w:rPr>
            </w:pPr>
            <w:r w:rsidRPr="00410C3D">
              <w:rPr>
                <w:rFonts w:ascii="Arial" w:hAnsi="Arial" w:cs="Arial"/>
                <w:sz w:val="20"/>
              </w:rPr>
              <w:t>Southern NSW Local Health District</w:t>
            </w:r>
          </w:p>
        </w:tc>
        <w:tc>
          <w:tcPr>
            <w:tcW w:w="1763" w:type="dxa"/>
          </w:tcPr>
          <w:p w14:paraId="5FD0E714"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E4B9805" w14:textId="77777777" w:rsidTr="00030BC1">
        <w:tc>
          <w:tcPr>
            <w:tcW w:w="7479" w:type="dxa"/>
          </w:tcPr>
          <w:p w14:paraId="1D059E87" w14:textId="77777777" w:rsidR="00BC2953" w:rsidRPr="00410C3D" w:rsidRDefault="00BC2953" w:rsidP="00410C3D">
            <w:pPr>
              <w:spacing w:before="40" w:after="40"/>
              <w:rPr>
                <w:rFonts w:ascii="Arial" w:hAnsi="Arial" w:cs="Arial"/>
                <w:sz w:val="20"/>
              </w:rPr>
            </w:pPr>
            <w:r w:rsidRPr="00410C3D">
              <w:rPr>
                <w:rFonts w:ascii="Arial" w:hAnsi="Arial" w:cs="Arial"/>
                <w:sz w:val="20"/>
              </w:rPr>
              <w:t>Australasian college of Emergency Medicine</w:t>
            </w:r>
          </w:p>
        </w:tc>
        <w:tc>
          <w:tcPr>
            <w:tcW w:w="1763" w:type="dxa"/>
          </w:tcPr>
          <w:p w14:paraId="7B9F6DF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1DB4AF86" w14:textId="77777777" w:rsidTr="00030BC1">
        <w:tc>
          <w:tcPr>
            <w:tcW w:w="7479" w:type="dxa"/>
          </w:tcPr>
          <w:p w14:paraId="2513BD47"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Australian Government Department of health </w:t>
            </w:r>
          </w:p>
        </w:tc>
        <w:tc>
          <w:tcPr>
            <w:tcW w:w="1763" w:type="dxa"/>
          </w:tcPr>
          <w:p w14:paraId="01510EE2"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7BEE932B" w14:textId="77777777" w:rsidTr="00030BC1">
        <w:tc>
          <w:tcPr>
            <w:tcW w:w="7479" w:type="dxa"/>
          </w:tcPr>
          <w:p w14:paraId="37BE5CBB" w14:textId="77777777" w:rsidR="00BC2953" w:rsidRPr="00410C3D" w:rsidRDefault="00BC2953" w:rsidP="00410C3D">
            <w:pPr>
              <w:spacing w:before="40" w:after="40"/>
              <w:rPr>
                <w:rFonts w:ascii="Arial" w:hAnsi="Arial" w:cs="Arial"/>
                <w:sz w:val="20"/>
              </w:rPr>
            </w:pPr>
            <w:r w:rsidRPr="00410C3D">
              <w:rPr>
                <w:rFonts w:ascii="Arial" w:hAnsi="Arial" w:cs="Arial"/>
                <w:sz w:val="20"/>
              </w:rPr>
              <w:t>Western Australian Department of Health</w:t>
            </w:r>
          </w:p>
        </w:tc>
        <w:tc>
          <w:tcPr>
            <w:tcW w:w="1763" w:type="dxa"/>
          </w:tcPr>
          <w:p w14:paraId="1CF847F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C356130" w14:textId="77777777" w:rsidTr="00030BC1">
        <w:tc>
          <w:tcPr>
            <w:tcW w:w="7479" w:type="dxa"/>
          </w:tcPr>
          <w:p w14:paraId="0A90C5CC"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Tasmanian Department of health </w:t>
            </w:r>
          </w:p>
        </w:tc>
        <w:tc>
          <w:tcPr>
            <w:tcW w:w="1763" w:type="dxa"/>
          </w:tcPr>
          <w:p w14:paraId="6F00C93F"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84419A1" w14:textId="77777777" w:rsidTr="00030BC1">
        <w:tc>
          <w:tcPr>
            <w:tcW w:w="7479" w:type="dxa"/>
          </w:tcPr>
          <w:p w14:paraId="76DE261B"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Melbourne Health </w:t>
            </w:r>
          </w:p>
        </w:tc>
        <w:tc>
          <w:tcPr>
            <w:tcW w:w="1763" w:type="dxa"/>
          </w:tcPr>
          <w:p w14:paraId="4368D870"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5DEC75CD" w14:textId="77777777" w:rsidTr="00030BC1">
        <w:tc>
          <w:tcPr>
            <w:tcW w:w="7479" w:type="dxa"/>
          </w:tcPr>
          <w:p w14:paraId="57980044" w14:textId="77777777" w:rsidR="00BC2953" w:rsidRPr="00410C3D" w:rsidRDefault="00BC2953" w:rsidP="00410C3D">
            <w:pPr>
              <w:spacing w:before="40" w:after="40"/>
              <w:rPr>
                <w:rFonts w:ascii="Arial" w:hAnsi="Arial" w:cs="Arial"/>
                <w:sz w:val="20"/>
              </w:rPr>
            </w:pPr>
            <w:r w:rsidRPr="00410C3D">
              <w:rPr>
                <w:rFonts w:ascii="Arial" w:hAnsi="Arial" w:cs="Arial"/>
                <w:sz w:val="20"/>
              </w:rPr>
              <w:t>Royal Australian and New Zealand College of Psychiatrists</w:t>
            </w:r>
          </w:p>
        </w:tc>
        <w:tc>
          <w:tcPr>
            <w:tcW w:w="1763" w:type="dxa"/>
          </w:tcPr>
          <w:p w14:paraId="7D4F152E"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07314D94" w14:textId="77777777" w:rsidTr="00030BC1">
        <w:tc>
          <w:tcPr>
            <w:tcW w:w="7479" w:type="dxa"/>
          </w:tcPr>
          <w:p w14:paraId="53702F7C"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Queensland Department of Health </w:t>
            </w:r>
          </w:p>
        </w:tc>
        <w:tc>
          <w:tcPr>
            <w:tcW w:w="1763" w:type="dxa"/>
          </w:tcPr>
          <w:p w14:paraId="11DA851C"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30DEDAE4" w14:textId="77777777" w:rsidTr="00030BC1">
        <w:tc>
          <w:tcPr>
            <w:tcW w:w="7479" w:type="dxa"/>
          </w:tcPr>
          <w:p w14:paraId="0979E868" w14:textId="77777777" w:rsidR="00BC2953" w:rsidRPr="00410C3D" w:rsidRDefault="00BC2953" w:rsidP="00410C3D">
            <w:pPr>
              <w:spacing w:before="40" w:after="40"/>
              <w:rPr>
                <w:rFonts w:ascii="Arial" w:hAnsi="Arial" w:cs="Arial"/>
                <w:sz w:val="20"/>
              </w:rPr>
            </w:pPr>
            <w:r w:rsidRPr="00410C3D">
              <w:rPr>
                <w:rFonts w:ascii="Arial" w:hAnsi="Arial" w:cs="Arial"/>
                <w:sz w:val="20"/>
              </w:rPr>
              <w:t xml:space="preserve">Northern Territory Department of Health </w:t>
            </w:r>
          </w:p>
        </w:tc>
        <w:tc>
          <w:tcPr>
            <w:tcW w:w="1763" w:type="dxa"/>
          </w:tcPr>
          <w:p w14:paraId="24D595C1"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r w:rsidR="00BC2953" w:rsidRPr="00410C3D" w14:paraId="2713EDB9" w14:textId="77777777" w:rsidTr="00030BC1">
        <w:tc>
          <w:tcPr>
            <w:tcW w:w="7479" w:type="dxa"/>
          </w:tcPr>
          <w:p w14:paraId="70802522" w14:textId="77777777" w:rsidR="00BC2953" w:rsidRPr="00410C3D" w:rsidRDefault="00BC2953" w:rsidP="00410C3D">
            <w:pPr>
              <w:spacing w:before="40" w:after="40"/>
              <w:rPr>
                <w:rFonts w:ascii="Arial" w:hAnsi="Arial" w:cs="Arial"/>
                <w:sz w:val="20"/>
              </w:rPr>
            </w:pPr>
            <w:r w:rsidRPr="00410C3D">
              <w:rPr>
                <w:rFonts w:ascii="Arial" w:hAnsi="Arial" w:cs="Arial"/>
                <w:sz w:val="20"/>
              </w:rPr>
              <w:t>Speech Pathology Australia</w:t>
            </w:r>
          </w:p>
        </w:tc>
        <w:tc>
          <w:tcPr>
            <w:tcW w:w="1763" w:type="dxa"/>
          </w:tcPr>
          <w:p w14:paraId="7F1D6E0D" w14:textId="77777777" w:rsidR="00BC2953" w:rsidRPr="00410C3D" w:rsidRDefault="00BC2953" w:rsidP="00410C3D">
            <w:pPr>
              <w:spacing w:before="40" w:after="40"/>
              <w:rPr>
                <w:rFonts w:ascii="Arial" w:hAnsi="Arial" w:cs="Arial"/>
                <w:sz w:val="20"/>
              </w:rPr>
            </w:pPr>
            <w:r w:rsidRPr="00410C3D">
              <w:rPr>
                <w:rFonts w:ascii="Arial" w:hAnsi="Arial" w:cs="Arial"/>
                <w:sz w:val="20"/>
              </w:rPr>
              <w:t>Option 2</w:t>
            </w:r>
          </w:p>
        </w:tc>
      </w:tr>
    </w:tbl>
    <w:p w14:paraId="42939591" w14:textId="77777777" w:rsidR="00BC2953" w:rsidRDefault="00BC2953" w:rsidP="00BC2953">
      <w:pPr>
        <w:pStyle w:val="Normal2"/>
        <w:rPr>
          <w:sz w:val="20"/>
        </w:rPr>
      </w:pPr>
    </w:p>
    <w:p w14:paraId="32DDC0D5" w14:textId="77777777" w:rsidR="00BC2953" w:rsidRPr="005760EE" w:rsidRDefault="00BC2953" w:rsidP="00BC2953">
      <w:pPr>
        <w:pStyle w:val="Normal2"/>
        <w:rPr>
          <w:sz w:val="20"/>
        </w:rPr>
      </w:pPr>
      <w:r w:rsidRPr="005760EE">
        <w:rPr>
          <w:sz w:val="20"/>
        </w:rPr>
        <w:t>Note: Responses from individual clinicians and consumers have been de-identified in this table</w:t>
      </w:r>
    </w:p>
    <w:p w14:paraId="003B671A" w14:textId="77777777" w:rsidR="00BC2953" w:rsidRPr="00E02609" w:rsidRDefault="00BC2953" w:rsidP="00410C3D">
      <w:pPr>
        <w:pStyle w:val="Heading1"/>
        <w:tabs>
          <w:tab w:val="left" w:pos="2268"/>
        </w:tabs>
      </w:pPr>
      <w:bookmarkStart w:id="18" w:name="_Toc461178327"/>
      <w:r w:rsidRPr="00E02609">
        <w:t xml:space="preserve">Appendix 4 </w:t>
      </w:r>
      <w:r w:rsidR="00410C3D">
        <w:tab/>
        <w:t>Responses to consultation questions</w:t>
      </w:r>
      <w:bookmarkEnd w:id="18"/>
    </w:p>
    <w:p w14:paraId="01EEFB02" w14:textId="77777777" w:rsidR="00BC2953" w:rsidRPr="00DD67AC" w:rsidRDefault="00BC2953" w:rsidP="00BC2953">
      <w:pPr>
        <w:pStyle w:val="Caption"/>
      </w:pPr>
      <w:r w:rsidRPr="00DD67AC">
        <w:t xml:space="preserve">Table </w:t>
      </w:r>
      <w:fldSimple w:instr=" SEQ Table \* ARABIC ">
        <w:r w:rsidR="0068597B">
          <w:rPr>
            <w:noProof/>
          </w:rPr>
          <w:t>13</w:t>
        </w:r>
      </w:fldSimple>
      <w:r w:rsidRPr="00DD67AC">
        <w:t xml:space="preserve">: </w:t>
      </w:r>
    </w:p>
    <w:tbl>
      <w:tblPr>
        <w:tblStyle w:val="TableGrid"/>
        <w:tblW w:w="0" w:type="auto"/>
        <w:tblLook w:val="04A0" w:firstRow="1" w:lastRow="0" w:firstColumn="1" w:lastColumn="0" w:noHBand="0" w:noVBand="1"/>
        <w:tblCaption w:val="Number of responses for each consultation question"/>
      </w:tblPr>
      <w:tblGrid>
        <w:gridCol w:w="8046"/>
        <w:gridCol w:w="1196"/>
      </w:tblGrid>
      <w:tr w:rsidR="00BC2953" w:rsidRPr="00410C3D" w14:paraId="601ADB3C"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8046" w:type="dxa"/>
          </w:tcPr>
          <w:p w14:paraId="482035CC" w14:textId="77777777" w:rsidR="00BC2953" w:rsidRPr="00410C3D" w:rsidRDefault="00BC2953" w:rsidP="00410C3D">
            <w:pPr>
              <w:spacing w:before="60" w:after="60"/>
              <w:rPr>
                <w:rFonts w:ascii="Arial" w:hAnsi="Arial" w:cs="Arial"/>
                <w:sz w:val="22"/>
              </w:rPr>
            </w:pPr>
            <w:r w:rsidRPr="00410C3D">
              <w:rPr>
                <w:rFonts w:ascii="Arial" w:hAnsi="Arial" w:cs="Arial"/>
                <w:sz w:val="22"/>
              </w:rPr>
              <w:t>Question</w:t>
            </w:r>
          </w:p>
        </w:tc>
        <w:tc>
          <w:tcPr>
            <w:tcW w:w="1196" w:type="dxa"/>
          </w:tcPr>
          <w:p w14:paraId="16BCB28F" w14:textId="77777777" w:rsidR="00BC2953" w:rsidRPr="00410C3D" w:rsidRDefault="00BC2953" w:rsidP="00410C3D">
            <w:pPr>
              <w:spacing w:before="60" w:after="60"/>
              <w:rPr>
                <w:rFonts w:ascii="Arial" w:hAnsi="Arial" w:cs="Arial"/>
                <w:sz w:val="22"/>
              </w:rPr>
            </w:pPr>
            <w:r w:rsidRPr="00410C3D">
              <w:rPr>
                <w:rFonts w:ascii="Arial" w:hAnsi="Arial" w:cs="Arial"/>
                <w:sz w:val="22"/>
              </w:rPr>
              <w:t>Total</w:t>
            </w:r>
          </w:p>
        </w:tc>
      </w:tr>
      <w:tr w:rsidR="00BC2953" w:rsidRPr="00410C3D" w14:paraId="245D7784" w14:textId="77777777" w:rsidTr="00030BC1">
        <w:tc>
          <w:tcPr>
            <w:tcW w:w="8046" w:type="dxa"/>
          </w:tcPr>
          <w:p w14:paraId="01596AFC" w14:textId="77777777" w:rsidR="00BC2953" w:rsidRPr="00410C3D" w:rsidRDefault="00BC2953" w:rsidP="00410C3D">
            <w:pPr>
              <w:spacing w:before="60" w:after="60"/>
              <w:rPr>
                <w:rFonts w:ascii="Arial" w:hAnsi="Arial" w:cs="Arial"/>
                <w:sz w:val="22"/>
              </w:rPr>
            </w:pPr>
            <w:r w:rsidRPr="00410C3D">
              <w:rPr>
                <w:rFonts w:ascii="Arial" w:hAnsi="Arial" w:cs="Arial"/>
                <w:sz w:val="22"/>
              </w:rPr>
              <w:t>Which options do you believe would be the most effective at improving safety and quality for patients?</w:t>
            </w:r>
          </w:p>
        </w:tc>
        <w:tc>
          <w:tcPr>
            <w:tcW w:w="1196" w:type="dxa"/>
          </w:tcPr>
          <w:p w14:paraId="5E6A0562" w14:textId="77777777" w:rsidR="00BC2953" w:rsidRPr="00410C3D" w:rsidRDefault="00BC2953" w:rsidP="00410C3D">
            <w:pPr>
              <w:spacing w:before="60" w:after="60"/>
              <w:rPr>
                <w:rFonts w:ascii="Arial" w:hAnsi="Arial" w:cs="Arial"/>
                <w:sz w:val="22"/>
              </w:rPr>
            </w:pPr>
            <w:r w:rsidRPr="00410C3D">
              <w:rPr>
                <w:rFonts w:ascii="Arial" w:hAnsi="Arial" w:cs="Arial"/>
                <w:sz w:val="22"/>
              </w:rPr>
              <w:t>62</w:t>
            </w:r>
          </w:p>
        </w:tc>
      </w:tr>
      <w:tr w:rsidR="00BC2953" w:rsidRPr="00410C3D" w14:paraId="398A1FC1" w14:textId="77777777" w:rsidTr="00030BC1">
        <w:tc>
          <w:tcPr>
            <w:tcW w:w="8046" w:type="dxa"/>
          </w:tcPr>
          <w:p w14:paraId="30BECC02" w14:textId="77777777" w:rsidR="00BC2953" w:rsidRPr="00410C3D" w:rsidRDefault="00BC2953" w:rsidP="00410C3D">
            <w:pPr>
              <w:spacing w:before="60" w:after="60"/>
              <w:rPr>
                <w:rFonts w:ascii="Arial" w:hAnsi="Arial" w:cs="Arial"/>
                <w:sz w:val="22"/>
              </w:rPr>
            </w:pPr>
            <w:r w:rsidRPr="00410C3D">
              <w:rPr>
                <w:rFonts w:ascii="Arial" w:hAnsi="Arial" w:cs="Arial"/>
                <w:sz w:val="22"/>
              </w:rPr>
              <w:t>What do you believe are the costs, benefits and other impacts of your preferred option for your organisation; consumers; the health system?</w:t>
            </w:r>
          </w:p>
        </w:tc>
        <w:tc>
          <w:tcPr>
            <w:tcW w:w="1196" w:type="dxa"/>
          </w:tcPr>
          <w:p w14:paraId="22A54664" w14:textId="77777777" w:rsidR="00BC2953" w:rsidRPr="00410C3D" w:rsidRDefault="00BC2953" w:rsidP="00410C3D">
            <w:pPr>
              <w:spacing w:before="60" w:after="60"/>
              <w:rPr>
                <w:rFonts w:ascii="Arial" w:hAnsi="Arial" w:cs="Arial"/>
                <w:sz w:val="22"/>
              </w:rPr>
            </w:pPr>
            <w:r w:rsidRPr="00410C3D">
              <w:rPr>
                <w:rFonts w:ascii="Arial" w:hAnsi="Arial" w:cs="Arial"/>
                <w:sz w:val="22"/>
              </w:rPr>
              <w:t>34</w:t>
            </w:r>
          </w:p>
        </w:tc>
      </w:tr>
      <w:tr w:rsidR="00BC2953" w:rsidRPr="00410C3D" w14:paraId="6BB2E5E5" w14:textId="77777777" w:rsidTr="00030BC1">
        <w:tc>
          <w:tcPr>
            <w:tcW w:w="8046" w:type="dxa"/>
          </w:tcPr>
          <w:p w14:paraId="02F0F626" w14:textId="77777777" w:rsidR="00BC2953" w:rsidRPr="00410C3D" w:rsidRDefault="00BC2953" w:rsidP="00410C3D">
            <w:pPr>
              <w:spacing w:before="60" w:after="60"/>
              <w:rPr>
                <w:rFonts w:ascii="Arial" w:hAnsi="Arial" w:cs="Arial"/>
                <w:sz w:val="22"/>
              </w:rPr>
            </w:pPr>
            <w:r w:rsidRPr="00410C3D">
              <w:rPr>
                <w:rFonts w:ascii="Arial" w:hAnsi="Arial" w:cs="Arial"/>
                <w:sz w:val="22"/>
              </w:rPr>
              <w:t>Comment on the costs and benefits of option 3.</w:t>
            </w:r>
          </w:p>
        </w:tc>
        <w:tc>
          <w:tcPr>
            <w:tcW w:w="1196" w:type="dxa"/>
          </w:tcPr>
          <w:p w14:paraId="711FCAC5" w14:textId="77777777" w:rsidR="00BC2953" w:rsidRPr="00410C3D" w:rsidRDefault="00BC2953" w:rsidP="00410C3D">
            <w:pPr>
              <w:spacing w:before="60" w:after="60"/>
              <w:rPr>
                <w:rFonts w:ascii="Arial" w:hAnsi="Arial" w:cs="Arial"/>
                <w:sz w:val="22"/>
              </w:rPr>
            </w:pPr>
            <w:r w:rsidRPr="00410C3D">
              <w:rPr>
                <w:rFonts w:ascii="Arial" w:hAnsi="Arial" w:cs="Arial"/>
                <w:sz w:val="22"/>
              </w:rPr>
              <w:t>22</w:t>
            </w:r>
          </w:p>
        </w:tc>
      </w:tr>
      <w:tr w:rsidR="00BC2953" w:rsidRPr="00410C3D" w14:paraId="53631B93" w14:textId="77777777" w:rsidTr="00030BC1">
        <w:tc>
          <w:tcPr>
            <w:tcW w:w="8046" w:type="dxa"/>
          </w:tcPr>
          <w:p w14:paraId="492A7C8D" w14:textId="77777777" w:rsidR="00BC2953" w:rsidRPr="00410C3D" w:rsidRDefault="00BC2953" w:rsidP="00410C3D">
            <w:pPr>
              <w:spacing w:before="60" w:after="60"/>
              <w:rPr>
                <w:rFonts w:ascii="Arial" w:hAnsi="Arial" w:cs="Arial"/>
                <w:sz w:val="22"/>
              </w:rPr>
            </w:pPr>
            <w:r w:rsidRPr="00410C3D">
              <w:rPr>
                <w:rFonts w:ascii="Arial" w:hAnsi="Arial" w:cs="Arial"/>
                <w:sz w:val="22"/>
              </w:rPr>
              <w:t>Are the estimates and assumptions by the Commission for option 2 reasonable? What additional costs or benefits should be considered?</w:t>
            </w:r>
          </w:p>
        </w:tc>
        <w:tc>
          <w:tcPr>
            <w:tcW w:w="1196" w:type="dxa"/>
          </w:tcPr>
          <w:p w14:paraId="7DF8F886" w14:textId="77777777" w:rsidR="00BC2953" w:rsidRPr="00410C3D" w:rsidRDefault="00BC2953" w:rsidP="00410C3D">
            <w:pPr>
              <w:spacing w:before="60" w:after="60"/>
              <w:rPr>
                <w:rFonts w:ascii="Arial" w:hAnsi="Arial" w:cs="Arial"/>
                <w:sz w:val="22"/>
              </w:rPr>
            </w:pPr>
            <w:r w:rsidRPr="00410C3D">
              <w:rPr>
                <w:rFonts w:ascii="Arial" w:hAnsi="Arial" w:cs="Arial"/>
                <w:sz w:val="22"/>
              </w:rPr>
              <w:t>20</w:t>
            </w:r>
          </w:p>
        </w:tc>
      </w:tr>
      <w:tr w:rsidR="00BC2953" w:rsidRPr="00410C3D" w14:paraId="0E974D2E" w14:textId="77777777" w:rsidTr="00030BC1">
        <w:tc>
          <w:tcPr>
            <w:tcW w:w="8046" w:type="dxa"/>
          </w:tcPr>
          <w:p w14:paraId="1C25A9A6" w14:textId="77777777" w:rsidR="00BC2953" w:rsidRPr="00410C3D" w:rsidRDefault="00BC2953" w:rsidP="00410C3D">
            <w:pPr>
              <w:spacing w:before="60" w:after="60"/>
              <w:rPr>
                <w:rFonts w:ascii="Arial" w:hAnsi="Arial" w:cs="Arial"/>
                <w:sz w:val="22"/>
              </w:rPr>
            </w:pPr>
            <w:r w:rsidRPr="00410C3D">
              <w:rPr>
                <w:rFonts w:ascii="Arial" w:hAnsi="Arial" w:cs="Arial"/>
                <w:sz w:val="22"/>
              </w:rPr>
              <w:t>What direct costs, either one-off or recurrent, do you anticipate from implementing version 2 or specific Standards from version 2?</w:t>
            </w:r>
          </w:p>
        </w:tc>
        <w:tc>
          <w:tcPr>
            <w:tcW w:w="1196" w:type="dxa"/>
          </w:tcPr>
          <w:p w14:paraId="6BEA1793" w14:textId="77777777" w:rsidR="00BC2953" w:rsidRPr="00410C3D" w:rsidRDefault="00BC2953" w:rsidP="00410C3D">
            <w:pPr>
              <w:spacing w:before="60" w:after="60"/>
              <w:rPr>
                <w:rFonts w:ascii="Arial" w:hAnsi="Arial" w:cs="Arial"/>
                <w:sz w:val="22"/>
              </w:rPr>
            </w:pPr>
            <w:r w:rsidRPr="00410C3D">
              <w:rPr>
                <w:rFonts w:ascii="Arial" w:hAnsi="Arial" w:cs="Arial"/>
                <w:sz w:val="22"/>
              </w:rPr>
              <w:t>15</w:t>
            </w:r>
          </w:p>
        </w:tc>
      </w:tr>
      <w:tr w:rsidR="00BC2953" w:rsidRPr="00410C3D" w14:paraId="2CF11087" w14:textId="77777777" w:rsidTr="00030BC1">
        <w:tc>
          <w:tcPr>
            <w:tcW w:w="8046" w:type="dxa"/>
          </w:tcPr>
          <w:p w14:paraId="5D788B0B" w14:textId="77777777" w:rsidR="00BC2953" w:rsidRPr="00410C3D" w:rsidRDefault="00BC2953" w:rsidP="00410C3D">
            <w:pPr>
              <w:spacing w:before="60" w:after="60"/>
              <w:rPr>
                <w:rFonts w:ascii="Arial" w:hAnsi="Arial" w:cs="Arial"/>
                <w:sz w:val="22"/>
              </w:rPr>
            </w:pPr>
            <w:r w:rsidRPr="00410C3D">
              <w:rPr>
                <w:rFonts w:ascii="Arial" w:hAnsi="Arial" w:cs="Arial"/>
                <w:sz w:val="22"/>
              </w:rPr>
              <w:t>What indirect costs or other impacts do you anticipate from implementing version 2 or specific Standards from version 2?</w:t>
            </w:r>
          </w:p>
        </w:tc>
        <w:tc>
          <w:tcPr>
            <w:tcW w:w="1196" w:type="dxa"/>
          </w:tcPr>
          <w:p w14:paraId="747AFAB6" w14:textId="77777777" w:rsidR="00BC2953" w:rsidRPr="00410C3D" w:rsidRDefault="00BC2953" w:rsidP="00410C3D">
            <w:pPr>
              <w:spacing w:before="60" w:after="60"/>
              <w:rPr>
                <w:rFonts w:ascii="Arial" w:hAnsi="Arial" w:cs="Arial"/>
                <w:sz w:val="22"/>
              </w:rPr>
            </w:pPr>
            <w:r w:rsidRPr="00410C3D">
              <w:rPr>
                <w:rFonts w:ascii="Arial" w:hAnsi="Arial" w:cs="Arial"/>
                <w:sz w:val="22"/>
              </w:rPr>
              <w:t>16</w:t>
            </w:r>
          </w:p>
        </w:tc>
      </w:tr>
      <w:tr w:rsidR="00BC2953" w:rsidRPr="00410C3D" w14:paraId="0CBE9A02" w14:textId="77777777" w:rsidTr="00030BC1">
        <w:tc>
          <w:tcPr>
            <w:tcW w:w="8046" w:type="dxa"/>
          </w:tcPr>
          <w:p w14:paraId="3713E0FD" w14:textId="77777777" w:rsidR="00BC2953" w:rsidRPr="00410C3D" w:rsidRDefault="00BC2953" w:rsidP="00410C3D">
            <w:pPr>
              <w:spacing w:before="60" w:after="60"/>
              <w:rPr>
                <w:rFonts w:ascii="Arial" w:hAnsi="Arial" w:cs="Arial"/>
                <w:sz w:val="22"/>
              </w:rPr>
            </w:pPr>
            <w:r w:rsidRPr="00410C3D">
              <w:rPr>
                <w:rFonts w:ascii="Arial" w:hAnsi="Arial" w:cs="Arial"/>
                <w:sz w:val="22"/>
              </w:rPr>
              <w:t>What benefits – financial, improved safety and quality, or other benefits – do you anticipate from implementing version 2 or specific Standards from version 2?</w:t>
            </w:r>
          </w:p>
        </w:tc>
        <w:tc>
          <w:tcPr>
            <w:tcW w:w="1196" w:type="dxa"/>
          </w:tcPr>
          <w:p w14:paraId="10AB0A80" w14:textId="77777777" w:rsidR="00BC2953" w:rsidRPr="00410C3D" w:rsidRDefault="00BC2953" w:rsidP="00410C3D">
            <w:pPr>
              <w:spacing w:before="60" w:after="60"/>
              <w:rPr>
                <w:rFonts w:ascii="Arial" w:hAnsi="Arial" w:cs="Arial"/>
                <w:sz w:val="22"/>
              </w:rPr>
            </w:pPr>
            <w:r w:rsidRPr="00410C3D">
              <w:rPr>
                <w:rFonts w:ascii="Arial" w:hAnsi="Arial" w:cs="Arial"/>
                <w:sz w:val="22"/>
              </w:rPr>
              <w:t>15</w:t>
            </w:r>
          </w:p>
        </w:tc>
      </w:tr>
      <w:tr w:rsidR="00BC2953" w:rsidRPr="00410C3D" w14:paraId="35B33B19" w14:textId="77777777" w:rsidTr="00030BC1">
        <w:tc>
          <w:tcPr>
            <w:tcW w:w="8046" w:type="dxa"/>
          </w:tcPr>
          <w:p w14:paraId="0726F979" w14:textId="77777777" w:rsidR="00BC2953" w:rsidRPr="00410C3D" w:rsidRDefault="00BC2953" w:rsidP="00410C3D">
            <w:pPr>
              <w:spacing w:before="60" w:after="60"/>
              <w:rPr>
                <w:rFonts w:ascii="Arial" w:hAnsi="Arial" w:cs="Arial"/>
                <w:sz w:val="22"/>
              </w:rPr>
            </w:pPr>
            <w:r w:rsidRPr="00410C3D">
              <w:rPr>
                <w:rFonts w:ascii="Arial" w:hAnsi="Arial" w:cs="Arial"/>
                <w:sz w:val="22"/>
              </w:rPr>
              <w:t>What increase or savings in costs do you anticipate from the reduction in duplication and clearer statement of requirements in version 2 of the NSQHS Standards?</w:t>
            </w:r>
          </w:p>
        </w:tc>
        <w:tc>
          <w:tcPr>
            <w:tcW w:w="1196" w:type="dxa"/>
          </w:tcPr>
          <w:p w14:paraId="7D3D5A04" w14:textId="77777777" w:rsidR="00BC2953" w:rsidRPr="00410C3D" w:rsidRDefault="00BC2953" w:rsidP="00410C3D">
            <w:pPr>
              <w:spacing w:before="60" w:after="60"/>
              <w:rPr>
                <w:rFonts w:ascii="Arial" w:hAnsi="Arial" w:cs="Arial"/>
                <w:sz w:val="22"/>
              </w:rPr>
            </w:pPr>
            <w:r w:rsidRPr="00410C3D">
              <w:rPr>
                <w:rFonts w:ascii="Arial" w:hAnsi="Arial" w:cs="Arial"/>
                <w:sz w:val="22"/>
              </w:rPr>
              <w:t>10</w:t>
            </w:r>
          </w:p>
        </w:tc>
      </w:tr>
      <w:tr w:rsidR="00BC2953" w:rsidRPr="00410C3D" w14:paraId="34EC8CDA" w14:textId="77777777" w:rsidTr="00030BC1">
        <w:tc>
          <w:tcPr>
            <w:tcW w:w="8046" w:type="dxa"/>
          </w:tcPr>
          <w:p w14:paraId="37EEFA6F" w14:textId="77777777" w:rsidR="00BC2953" w:rsidRPr="00410C3D" w:rsidRDefault="00BC2953" w:rsidP="00410C3D">
            <w:pPr>
              <w:spacing w:before="60" w:after="60"/>
              <w:rPr>
                <w:rFonts w:ascii="Arial" w:hAnsi="Arial" w:cs="Arial"/>
                <w:sz w:val="22"/>
              </w:rPr>
            </w:pPr>
            <w:r w:rsidRPr="00410C3D">
              <w:rPr>
                <w:rFonts w:ascii="Arial" w:hAnsi="Arial" w:cs="Arial"/>
                <w:sz w:val="22"/>
              </w:rPr>
              <w:t>To what extent do you believe that your organisation is currently meeting the requirements of version 2 of the NSQHS Standards?</w:t>
            </w:r>
          </w:p>
        </w:tc>
        <w:tc>
          <w:tcPr>
            <w:tcW w:w="1196" w:type="dxa"/>
          </w:tcPr>
          <w:p w14:paraId="660A51AF" w14:textId="77777777" w:rsidR="00BC2953" w:rsidRPr="00410C3D" w:rsidRDefault="00BC2953" w:rsidP="00410C3D">
            <w:pPr>
              <w:spacing w:before="60" w:after="60"/>
              <w:rPr>
                <w:rFonts w:ascii="Arial" w:hAnsi="Arial" w:cs="Arial"/>
                <w:sz w:val="22"/>
              </w:rPr>
            </w:pPr>
            <w:r w:rsidRPr="00410C3D">
              <w:rPr>
                <w:rFonts w:ascii="Arial" w:hAnsi="Arial" w:cs="Arial"/>
                <w:sz w:val="22"/>
              </w:rPr>
              <w:t>9</w:t>
            </w:r>
          </w:p>
        </w:tc>
      </w:tr>
      <w:tr w:rsidR="00BC2953" w:rsidRPr="00410C3D" w14:paraId="15F88F68" w14:textId="77777777" w:rsidTr="00030BC1">
        <w:tc>
          <w:tcPr>
            <w:tcW w:w="8046" w:type="dxa"/>
          </w:tcPr>
          <w:p w14:paraId="71E45EB5" w14:textId="77777777" w:rsidR="00BC2953" w:rsidRPr="00410C3D" w:rsidRDefault="00BC2953" w:rsidP="00410C3D">
            <w:pPr>
              <w:spacing w:before="60" w:after="60"/>
              <w:rPr>
                <w:rFonts w:ascii="Arial" w:hAnsi="Arial" w:cs="Arial"/>
                <w:sz w:val="22"/>
              </w:rPr>
            </w:pPr>
            <w:r w:rsidRPr="00410C3D">
              <w:rPr>
                <w:rFonts w:ascii="Arial" w:hAnsi="Arial" w:cs="Arial"/>
                <w:sz w:val="22"/>
              </w:rPr>
              <w:t>Are there changes to option 2 that you believe are necessary for implementation to be more effective?</w:t>
            </w:r>
          </w:p>
        </w:tc>
        <w:tc>
          <w:tcPr>
            <w:tcW w:w="1196" w:type="dxa"/>
          </w:tcPr>
          <w:p w14:paraId="61124BF3" w14:textId="77777777" w:rsidR="00BC2953" w:rsidRPr="00410C3D" w:rsidRDefault="00BC2953" w:rsidP="00410C3D">
            <w:pPr>
              <w:spacing w:before="60" w:after="60"/>
              <w:rPr>
                <w:rFonts w:ascii="Arial" w:hAnsi="Arial" w:cs="Arial"/>
                <w:sz w:val="22"/>
              </w:rPr>
            </w:pPr>
            <w:r w:rsidRPr="00410C3D">
              <w:rPr>
                <w:rFonts w:ascii="Arial" w:hAnsi="Arial" w:cs="Arial"/>
                <w:sz w:val="22"/>
              </w:rPr>
              <w:t>10</w:t>
            </w:r>
          </w:p>
        </w:tc>
      </w:tr>
    </w:tbl>
    <w:p w14:paraId="7BA2525C" w14:textId="77777777" w:rsidR="00BC2953" w:rsidRPr="006605F6" w:rsidRDefault="00BC2953" w:rsidP="00410C3D">
      <w:pPr>
        <w:pStyle w:val="Heading1"/>
        <w:tabs>
          <w:tab w:val="left" w:pos="2268"/>
        </w:tabs>
      </w:pPr>
      <w:bookmarkStart w:id="19" w:name="_Toc461178328"/>
      <w:r w:rsidRPr="006605F6">
        <w:t>Appendix 5</w:t>
      </w:r>
      <w:r w:rsidR="00410C3D">
        <w:t xml:space="preserve"> </w:t>
      </w:r>
      <w:r w:rsidR="00410C3D">
        <w:tab/>
        <w:t>Costs and benefits by Standard</w:t>
      </w:r>
      <w:bookmarkEnd w:id="19"/>
    </w:p>
    <w:p w14:paraId="1D3E7B80" w14:textId="77777777" w:rsidR="00BC2953" w:rsidRPr="006605F6" w:rsidRDefault="00410C3D" w:rsidP="00410C3D">
      <w:pPr>
        <w:pStyle w:val="Caption"/>
        <w:ind w:right="-188"/>
      </w:pPr>
      <w:r>
        <w:t xml:space="preserve">Table 14: </w:t>
      </w:r>
      <w:r w:rsidR="00BC2953" w:rsidRPr="006605F6">
        <w:t>Costs and benefits of introducing version 2 of the NSQHS Standards, by Standard</w:t>
      </w: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Costs and benefits of introducing version 2 of the NSQHS Standards by Standard"/>
      </w:tblPr>
      <w:tblGrid>
        <w:gridCol w:w="4592"/>
        <w:gridCol w:w="4592"/>
      </w:tblGrid>
      <w:tr w:rsidR="00BC2953" w:rsidRPr="00BA0C2C" w14:paraId="40E4A654" w14:textId="77777777" w:rsidTr="00410C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2" w:type="dxa"/>
            <w:shd w:val="clear" w:color="auto" w:fill="365F91" w:themeFill="accent1" w:themeFillShade="BF"/>
            <w:vAlign w:val="center"/>
          </w:tcPr>
          <w:p w14:paraId="01149C85" w14:textId="77777777" w:rsidR="00BC2953" w:rsidRPr="00410C3D" w:rsidRDefault="00BC2953" w:rsidP="00410C3D">
            <w:pPr>
              <w:pStyle w:val="Normal2"/>
              <w:spacing w:before="60" w:after="60"/>
              <w:rPr>
                <w:rFonts w:eastAsiaTheme="minorEastAsia"/>
                <w:bCs w:val="0"/>
                <w:sz w:val="20"/>
              </w:rPr>
            </w:pPr>
            <w:r w:rsidRPr="00410C3D">
              <w:rPr>
                <w:rFonts w:eastAsiaTheme="minorEastAsia"/>
                <w:bCs w:val="0"/>
                <w:sz w:val="20"/>
              </w:rPr>
              <w:t>Costs</w:t>
            </w:r>
          </w:p>
        </w:tc>
        <w:tc>
          <w:tcPr>
            <w:tcW w:w="4592" w:type="dxa"/>
            <w:shd w:val="clear" w:color="auto" w:fill="365F91" w:themeFill="accent1" w:themeFillShade="BF"/>
            <w:vAlign w:val="center"/>
          </w:tcPr>
          <w:p w14:paraId="0EC54494" w14:textId="77777777" w:rsidR="00BC2953" w:rsidRPr="00BA0C2C" w:rsidRDefault="00BC2953" w:rsidP="00410C3D">
            <w:pPr>
              <w:pStyle w:val="Normal2"/>
              <w:spacing w:before="60" w:after="60"/>
              <w:cnfStyle w:val="100000000000" w:firstRow="1" w:lastRow="0" w:firstColumn="0" w:lastColumn="0" w:oddVBand="0" w:evenVBand="0" w:oddHBand="0" w:evenHBand="0" w:firstRowFirstColumn="0" w:firstRowLastColumn="0" w:lastRowFirstColumn="0" w:lastRowLastColumn="0"/>
              <w:rPr>
                <w:rFonts w:eastAsiaTheme="minorEastAsia"/>
                <w:bCs w:val="0"/>
                <w:color w:val="auto"/>
                <w:sz w:val="20"/>
              </w:rPr>
            </w:pPr>
            <w:r w:rsidRPr="00410C3D">
              <w:rPr>
                <w:rFonts w:eastAsiaTheme="minorEastAsia"/>
                <w:bCs w:val="0"/>
                <w:sz w:val="20"/>
              </w:rPr>
              <w:t>Benefits</w:t>
            </w:r>
          </w:p>
        </w:tc>
      </w:tr>
      <w:tr w:rsidR="00BC2953" w:rsidRPr="00BA0C2C" w14:paraId="532E0BBC"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1ECDAB36" w14:textId="77777777" w:rsidR="00BC2953" w:rsidRPr="00BA0C2C" w:rsidRDefault="00BC2953" w:rsidP="00410C3D">
            <w:pPr>
              <w:pStyle w:val="Normal2"/>
              <w:spacing w:before="60" w:after="60"/>
              <w:rPr>
                <w:rFonts w:eastAsiaTheme="minorEastAsia"/>
                <w:bCs w:val="0"/>
                <w:sz w:val="20"/>
              </w:rPr>
            </w:pPr>
            <w:r w:rsidRPr="00BA0C2C">
              <w:rPr>
                <w:rFonts w:eastAsiaTheme="minorEastAsia"/>
                <w:bCs w:val="0"/>
                <w:sz w:val="20"/>
              </w:rPr>
              <w:t>Clinical Governance for Health Service Organisations</w:t>
            </w:r>
          </w:p>
        </w:tc>
      </w:tr>
      <w:tr w:rsidR="00BC2953" w:rsidRPr="00BA0C2C" w14:paraId="33479A45"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28851253" w14:textId="77777777" w:rsidR="00BC2953" w:rsidRPr="00BA0C2C" w:rsidRDefault="00BC2953" w:rsidP="00030BC1">
            <w:pPr>
              <w:pStyle w:val="Normal2"/>
              <w:rPr>
                <w:b w:val="0"/>
                <w:bCs w:val="0"/>
                <w:sz w:val="20"/>
              </w:rPr>
            </w:pPr>
            <w:r w:rsidRPr="00BA0C2C">
              <w:rPr>
                <w:b w:val="0"/>
                <w:bCs w:val="0"/>
                <w:sz w:val="20"/>
              </w:rPr>
              <w:t xml:space="preserve">Costs may include: </w:t>
            </w:r>
          </w:p>
          <w:p w14:paraId="141CCAA1" w14:textId="77777777" w:rsidR="00BC2953" w:rsidRPr="00BA0C2C" w:rsidRDefault="00BC2953" w:rsidP="00030BC1">
            <w:pPr>
              <w:pStyle w:val="Normal2"/>
              <w:numPr>
                <w:ilvl w:val="0"/>
                <w:numId w:val="73"/>
              </w:numPr>
              <w:rPr>
                <w:b w:val="0"/>
                <w:bCs w:val="0"/>
                <w:sz w:val="20"/>
              </w:rPr>
            </w:pPr>
            <w:r w:rsidRPr="00BA0C2C">
              <w:rPr>
                <w:b w:val="0"/>
                <w:bCs w:val="0"/>
                <w:sz w:val="20"/>
              </w:rPr>
              <w:t>establishing or adapting systems to implement and monitor new content in this Standard</w:t>
            </w:r>
          </w:p>
          <w:p w14:paraId="2F96391D" w14:textId="77777777" w:rsidR="00BC2953" w:rsidRPr="00BA0C2C" w:rsidRDefault="00BC2953" w:rsidP="00030BC1">
            <w:pPr>
              <w:pStyle w:val="Normal2"/>
              <w:numPr>
                <w:ilvl w:val="1"/>
                <w:numId w:val="73"/>
              </w:numPr>
              <w:rPr>
                <w:b w:val="0"/>
                <w:bCs w:val="0"/>
                <w:sz w:val="20"/>
              </w:rPr>
            </w:pPr>
            <w:r w:rsidRPr="00BA0C2C">
              <w:rPr>
                <w:b w:val="0"/>
                <w:bCs w:val="0"/>
                <w:sz w:val="20"/>
              </w:rPr>
              <w:t>leadership</w:t>
            </w:r>
          </w:p>
          <w:p w14:paraId="3119D0F9" w14:textId="77777777" w:rsidR="00BC2953" w:rsidRPr="00BA0C2C" w:rsidRDefault="00BC2953" w:rsidP="00030BC1">
            <w:pPr>
              <w:pStyle w:val="Normal2"/>
              <w:numPr>
                <w:ilvl w:val="1"/>
                <w:numId w:val="73"/>
              </w:numPr>
              <w:rPr>
                <w:b w:val="0"/>
                <w:bCs w:val="0"/>
                <w:sz w:val="20"/>
              </w:rPr>
            </w:pPr>
            <w:r w:rsidRPr="00BA0C2C">
              <w:rPr>
                <w:b w:val="0"/>
                <w:bCs w:val="0"/>
                <w:sz w:val="20"/>
              </w:rPr>
              <w:t>measuring and acting on unwarranted variance in clinical practice</w:t>
            </w:r>
          </w:p>
          <w:p w14:paraId="4672A637" w14:textId="77777777" w:rsidR="00BC2953" w:rsidRPr="00BA0C2C" w:rsidRDefault="00BC2953" w:rsidP="00030BC1">
            <w:pPr>
              <w:pStyle w:val="Normal2"/>
              <w:numPr>
                <w:ilvl w:val="1"/>
                <w:numId w:val="73"/>
              </w:numPr>
              <w:rPr>
                <w:b w:val="0"/>
                <w:bCs w:val="0"/>
                <w:sz w:val="20"/>
              </w:rPr>
            </w:pPr>
            <w:r w:rsidRPr="00BA0C2C">
              <w:rPr>
                <w:b w:val="0"/>
                <w:bCs w:val="0"/>
                <w:sz w:val="20"/>
              </w:rPr>
              <w:t>providing a safe environment</w:t>
            </w:r>
          </w:p>
          <w:p w14:paraId="375F69F1" w14:textId="77777777" w:rsidR="00BC2953" w:rsidRPr="00BA0C2C" w:rsidRDefault="00BC2953" w:rsidP="00030BC1">
            <w:pPr>
              <w:pStyle w:val="Normal2"/>
              <w:numPr>
                <w:ilvl w:val="0"/>
                <w:numId w:val="73"/>
              </w:numPr>
              <w:rPr>
                <w:b w:val="0"/>
                <w:bCs w:val="0"/>
                <w:sz w:val="20"/>
              </w:rPr>
            </w:pPr>
            <w:proofErr w:type="gramStart"/>
            <w:r w:rsidRPr="00BA0C2C">
              <w:rPr>
                <w:b w:val="0"/>
                <w:bCs w:val="0"/>
                <w:sz w:val="20"/>
              </w:rPr>
              <w:t>training</w:t>
            </w:r>
            <w:proofErr w:type="gramEnd"/>
            <w:r w:rsidRPr="00BA0C2C">
              <w:rPr>
                <w:b w:val="0"/>
                <w:bCs w:val="0"/>
                <w:sz w:val="20"/>
              </w:rPr>
              <w:t xml:space="preserve"> the workforce in their roles, responsibilities and accountabilities for safety and quality.</w:t>
            </w:r>
          </w:p>
          <w:p w14:paraId="627013D9" w14:textId="77777777" w:rsidR="00BC2953" w:rsidRPr="00BA0C2C" w:rsidRDefault="00BC2953" w:rsidP="00030BC1">
            <w:pPr>
              <w:pStyle w:val="Normal2"/>
              <w:rPr>
                <w:rFonts w:eastAsiaTheme="minorEastAsia"/>
                <w:b w:val="0"/>
                <w:bCs w:val="0"/>
                <w:sz w:val="20"/>
              </w:rPr>
            </w:pPr>
          </w:p>
        </w:tc>
        <w:tc>
          <w:tcPr>
            <w:tcW w:w="4592" w:type="dxa"/>
          </w:tcPr>
          <w:p w14:paraId="00B648BF"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Benefits may include:</w:t>
            </w:r>
          </w:p>
          <w:p w14:paraId="6C1183DA"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providing clarity on components of an effective and robust clinical governance system for health service organisations</w:t>
            </w:r>
          </w:p>
          <w:p w14:paraId="76FC3270"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focusing on the engagement of the governing body in clinical governance, and safety and quality performance </w:t>
            </w:r>
          </w:p>
          <w:p w14:paraId="4427DBD0"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better outcomes arising from strategies that specifically target Aboriginal and Torres Strait Islander people</w:t>
            </w:r>
          </w:p>
          <w:p w14:paraId="48288E68"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establishing a link to Clinical Care Standards and other evidence-based guidelines to drive improvements in clinical practice</w:t>
            </w:r>
          </w:p>
          <w:p w14:paraId="56EC0F6F"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increasing safety, with associated improvements in reputation and savings from reduced harm</w:t>
            </w:r>
          </w:p>
          <w:p w14:paraId="3919057E" w14:textId="77777777" w:rsidR="00BC2953" w:rsidRPr="005760EE"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improving</w:t>
            </w:r>
            <w:proofErr w:type="gramEnd"/>
            <w:r w:rsidRPr="00BA0C2C">
              <w:rPr>
                <w:sz w:val="20"/>
              </w:rPr>
              <w:t xml:space="preserve"> governance of the nation’s health systems.</w:t>
            </w:r>
          </w:p>
          <w:p w14:paraId="0FF48965" w14:textId="77777777" w:rsidR="00BC2953" w:rsidRPr="00BA0C2C" w:rsidRDefault="00BC2953" w:rsidP="00030BC1">
            <w:pPr>
              <w:pStyle w:val="Normal2"/>
              <w:ind w:left="284"/>
              <w:cnfStyle w:val="000000000000" w:firstRow="0" w:lastRow="0" w:firstColumn="0" w:lastColumn="0" w:oddVBand="0" w:evenVBand="0" w:oddHBand="0" w:evenHBand="0" w:firstRowFirstColumn="0" w:firstRowLastColumn="0" w:lastRowFirstColumn="0" w:lastRowLastColumn="0"/>
              <w:rPr>
                <w:rFonts w:eastAsiaTheme="minorEastAsia"/>
                <w:sz w:val="20"/>
              </w:rPr>
            </w:pPr>
          </w:p>
        </w:tc>
      </w:tr>
      <w:tr w:rsidR="00BC2953" w:rsidRPr="00BA0C2C" w14:paraId="676429F2"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CF613D8" w14:textId="77777777" w:rsidR="00BC2953" w:rsidRPr="00BA0C2C" w:rsidRDefault="00BC2953" w:rsidP="00410C3D">
            <w:pPr>
              <w:pStyle w:val="Normal2"/>
              <w:spacing w:before="60" w:after="60"/>
              <w:rPr>
                <w:rFonts w:eastAsiaTheme="minorEastAsia"/>
                <w:bCs w:val="0"/>
                <w:sz w:val="20"/>
              </w:rPr>
            </w:pPr>
            <w:r w:rsidRPr="00BA0C2C">
              <w:rPr>
                <w:bCs w:val="0"/>
                <w:sz w:val="20"/>
              </w:rPr>
              <w:t>Partnering with Consumers</w:t>
            </w:r>
          </w:p>
        </w:tc>
      </w:tr>
      <w:tr w:rsidR="00BC2953" w:rsidRPr="00BA0C2C" w14:paraId="17B1797F"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08AA1903" w14:textId="77777777" w:rsidR="00BC2953" w:rsidRPr="00BA0C2C" w:rsidRDefault="00BC2953" w:rsidP="00030BC1">
            <w:pPr>
              <w:pStyle w:val="Normal2"/>
              <w:rPr>
                <w:b w:val="0"/>
                <w:bCs w:val="0"/>
                <w:sz w:val="20"/>
              </w:rPr>
            </w:pPr>
            <w:r w:rsidRPr="00BA0C2C">
              <w:rPr>
                <w:b w:val="0"/>
                <w:bCs w:val="0"/>
                <w:sz w:val="20"/>
              </w:rPr>
              <w:t xml:space="preserve">Costs may include: </w:t>
            </w:r>
          </w:p>
          <w:p w14:paraId="008E3161" w14:textId="77777777" w:rsidR="00BC2953" w:rsidRPr="00BA0C2C" w:rsidRDefault="00BC2953" w:rsidP="00030BC1">
            <w:pPr>
              <w:pStyle w:val="Normal2"/>
              <w:numPr>
                <w:ilvl w:val="0"/>
                <w:numId w:val="73"/>
              </w:numPr>
              <w:rPr>
                <w:b w:val="0"/>
                <w:bCs w:val="0"/>
                <w:sz w:val="20"/>
              </w:rPr>
            </w:pPr>
            <w:r w:rsidRPr="00BA0C2C">
              <w:rPr>
                <w:b w:val="0"/>
                <w:bCs w:val="0"/>
                <w:sz w:val="20"/>
              </w:rPr>
              <w:t xml:space="preserve">establishing or adapting systems to implement and monitor the new content in this Standard </w:t>
            </w:r>
          </w:p>
          <w:p w14:paraId="6A090CEF" w14:textId="77777777" w:rsidR="00BC2953" w:rsidRPr="00BA0C2C" w:rsidRDefault="00BC2953" w:rsidP="00030BC1">
            <w:pPr>
              <w:pStyle w:val="Normal2"/>
              <w:numPr>
                <w:ilvl w:val="1"/>
                <w:numId w:val="73"/>
              </w:numPr>
              <w:rPr>
                <w:b w:val="0"/>
                <w:bCs w:val="0"/>
                <w:sz w:val="20"/>
              </w:rPr>
            </w:pPr>
            <w:r w:rsidRPr="00BA0C2C">
              <w:rPr>
                <w:b w:val="0"/>
                <w:bCs w:val="0"/>
                <w:sz w:val="20"/>
              </w:rPr>
              <w:t>health literacy</w:t>
            </w:r>
          </w:p>
          <w:p w14:paraId="78421D97" w14:textId="77777777" w:rsidR="00BC2953" w:rsidRPr="00BA0C2C" w:rsidRDefault="00BC2953" w:rsidP="00030BC1">
            <w:pPr>
              <w:pStyle w:val="Normal2"/>
              <w:numPr>
                <w:ilvl w:val="1"/>
                <w:numId w:val="73"/>
              </w:numPr>
              <w:rPr>
                <w:b w:val="0"/>
                <w:bCs w:val="0"/>
                <w:sz w:val="20"/>
              </w:rPr>
            </w:pPr>
            <w:r w:rsidRPr="00BA0C2C">
              <w:rPr>
                <w:b w:val="0"/>
                <w:bCs w:val="0"/>
                <w:sz w:val="20"/>
              </w:rPr>
              <w:t>establishing partnerships with Aboriginal and Torres Islander communities</w:t>
            </w:r>
          </w:p>
          <w:p w14:paraId="1B761D53" w14:textId="77777777" w:rsidR="00BC2953" w:rsidRPr="00BA0C2C" w:rsidRDefault="00BC2953" w:rsidP="00030BC1">
            <w:pPr>
              <w:pStyle w:val="Normal2"/>
              <w:numPr>
                <w:ilvl w:val="0"/>
                <w:numId w:val="73"/>
              </w:numPr>
              <w:rPr>
                <w:b w:val="0"/>
                <w:bCs w:val="0"/>
                <w:sz w:val="20"/>
              </w:rPr>
            </w:pPr>
            <w:r w:rsidRPr="00BA0C2C">
              <w:rPr>
                <w:b w:val="0"/>
                <w:bCs w:val="0"/>
                <w:sz w:val="20"/>
              </w:rPr>
              <w:t>developing or adapting tools to support shared decision making with patients</w:t>
            </w:r>
          </w:p>
          <w:p w14:paraId="1D4FA92F" w14:textId="77777777" w:rsidR="00BC2953" w:rsidRPr="00BA0C2C" w:rsidRDefault="00BC2953" w:rsidP="00030BC1">
            <w:pPr>
              <w:pStyle w:val="Normal2"/>
              <w:numPr>
                <w:ilvl w:val="0"/>
                <w:numId w:val="73"/>
              </w:numPr>
              <w:rPr>
                <w:rFonts w:eastAsiaTheme="minorEastAsia"/>
                <w:b w:val="0"/>
                <w:bCs w:val="0"/>
                <w:sz w:val="20"/>
              </w:rPr>
            </w:pPr>
            <w:proofErr w:type="gramStart"/>
            <w:r w:rsidRPr="00BA0C2C">
              <w:rPr>
                <w:b w:val="0"/>
                <w:bCs w:val="0"/>
                <w:sz w:val="20"/>
              </w:rPr>
              <w:t>training</w:t>
            </w:r>
            <w:proofErr w:type="gramEnd"/>
            <w:r w:rsidRPr="00BA0C2C">
              <w:rPr>
                <w:b w:val="0"/>
                <w:bCs w:val="0"/>
                <w:sz w:val="20"/>
              </w:rPr>
              <w:t xml:space="preserve"> the workforce in the new actions for health literacy and consumer participation in their own care.</w:t>
            </w:r>
          </w:p>
        </w:tc>
        <w:tc>
          <w:tcPr>
            <w:tcW w:w="4592" w:type="dxa"/>
          </w:tcPr>
          <w:p w14:paraId="141A341D"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4C4DED50"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increasing patient safety </w:t>
            </w:r>
          </w:p>
          <w:p w14:paraId="6495F96A"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increasing effectiveness of health service organisations through greater consumer participation</w:t>
            </w:r>
          </w:p>
          <w:p w14:paraId="688E522A"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reducing duplication of actions and clarifying requirements for actions that are carried forward from version 1</w:t>
            </w:r>
          </w:p>
          <w:p w14:paraId="36F2FC5C"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introducing strategies for shared decision making and support for people with poor health literacy to participate in their care</w:t>
            </w:r>
          </w:p>
          <w:p w14:paraId="22C82CDE"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providing a clearer focus on partnering with consumers in their own care, which has the potential to lead to a better experience of care, and higher levels of adherence to recommended prevention and treatment plans</w:t>
            </w:r>
          </w:p>
          <w:p w14:paraId="746DF326" w14:textId="77777777" w:rsidR="00BC2953" w:rsidRPr="005760EE"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driving</w:t>
            </w:r>
            <w:proofErr w:type="gramEnd"/>
            <w:r w:rsidRPr="00BA0C2C">
              <w:rPr>
                <w:sz w:val="20"/>
              </w:rPr>
              <w:t xml:space="preserve"> a better understanding by health service organisations of the diversity of the consumers using services and the implementation of targeted strategies for their most vulnerable consumers.</w:t>
            </w:r>
          </w:p>
          <w:p w14:paraId="3915E2FB" w14:textId="77777777" w:rsidR="00BC2953" w:rsidRPr="00BA0C2C" w:rsidRDefault="00BC2953" w:rsidP="00030BC1">
            <w:pPr>
              <w:pStyle w:val="Normal2"/>
              <w:ind w:left="284"/>
              <w:cnfStyle w:val="000000000000" w:firstRow="0" w:lastRow="0" w:firstColumn="0" w:lastColumn="0" w:oddVBand="0" w:evenVBand="0" w:oddHBand="0" w:evenHBand="0" w:firstRowFirstColumn="0" w:firstRowLastColumn="0" w:lastRowFirstColumn="0" w:lastRowLastColumn="0"/>
              <w:rPr>
                <w:rFonts w:eastAsiaTheme="minorEastAsia"/>
                <w:sz w:val="20"/>
              </w:rPr>
            </w:pPr>
          </w:p>
        </w:tc>
      </w:tr>
      <w:tr w:rsidR="00BC2953" w:rsidRPr="00BA0C2C" w14:paraId="176CF6EB"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E8ECD77" w14:textId="77777777" w:rsidR="00BC2953" w:rsidRPr="00BA0C2C" w:rsidRDefault="00BC2953" w:rsidP="00410C3D">
            <w:pPr>
              <w:pStyle w:val="Normal2"/>
              <w:pageBreakBefore/>
              <w:spacing w:before="60" w:after="60"/>
              <w:rPr>
                <w:rFonts w:eastAsiaTheme="minorEastAsia"/>
                <w:bCs w:val="0"/>
                <w:sz w:val="20"/>
              </w:rPr>
            </w:pPr>
            <w:r w:rsidRPr="00BA0C2C">
              <w:rPr>
                <w:bCs w:val="0"/>
                <w:sz w:val="20"/>
              </w:rPr>
              <w:t>Preventing and Controlling Healthcare-associated Infection</w:t>
            </w:r>
          </w:p>
        </w:tc>
      </w:tr>
      <w:tr w:rsidR="00BC2953" w:rsidRPr="00BA0C2C" w14:paraId="75075C4F"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4A49610C" w14:textId="77777777" w:rsidR="00BC2953" w:rsidRPr="00BA0C2C" w:rsidRDefault="00BC2953" w:rsidP="00030BC1">
            <w:pPr>
              <w:pStyle w:val="Normal2"/>
              <w:rPr>
                <w:rFonts w:eastAsiaTheme="minorEastAsia"/>
                <w:b w:val="0"/>
                <w:bCs w:val="0"/>
                <w:sz w:val="20"/>
              </w:rPr>
            </w:pPr>
            <w:r w:rsidRPr="00BA0C2C">
              <w:rPr>
                <w:b w:val="0"/>
                <w:bCs w:val="0"/>
                <w:sz w:val="20"/>
              </w:rPr>
              <w:t>Costs associated with this Standard are likely to be consistent with the costs of implementing, monitoring and improving healthcare-associated infections in version 1 of the NSQHS Standards because the intent of this Standard remains unchanged.</w:t>
            </w:r>
          </w:p>
        </w:tc>
        <w:tc>
          <w:tcPr>
            <w:tcW w:w="4592" w:type="dxa"/>
          </w:tcPr>
          <w:p w14:paraId="7C1CF4BA"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7DE58EEF"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increasing the focus on antimicrobial stewardship and management of antimicrobial resistance</w:t>
            </w:r>
          </w:p>
          <w:p w14:paraId="6AA96154"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establishing a link with the Antimicrobial Stewardship Clinical Care Standard14 </w:t>
            </w:r>
          </w:p>
          <w:p w14:paraId="7F07D31D"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focusing on risk management and implementation of actions to address healthcare-associated infection risks for the organisation and consumers</w:t>
            </w:r>
          </w:p>
          <w:p w14:paraId="6A3B0C8C"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decreasing the use of antibiotics, with associated savings to the system</w:t>
            </w:r>
          </w:p>
          <w:p w14:paraId="765D515D"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improving</w:t>
            </w:r>
            <w:proofErr w:type="gramEnd"/>
            <w:r w:rsidRPr="00BA0C2C">
              <w:rPr>
                <w:sz w:val="20"/>
              </w:rPr>
              <w:t xml:space="preserve"> health by reducing the severity of infections.</w:t>
            </w:r>
          </w:p>
        </w:tc>
      </w:tr>
      <w:tr w:rsidR="00BC2953" w:rsidRPr="00BA0C2C" w14:paraId="19925F52"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366D48E6" w14:textId="77777777" w:rsidR="00BC2953" w:rsidRPr="00BA0C2C" w:rsidRDefault="00BC2953" w:rsidP="00410C3D">
            <w:pPr>
              <w:pStyle w:val="Normal2"/>
              <w:spacing w:before="60" w:after="60"/>
              <w:rPr>
                <w:rFonts w:eastAsiaTheme="minorEastAsia"/>
                <w:bCs w:val="0"/>
                <w:sz w:val="20"/>
              </w:rPr>
            </w:pPr>
            <w:r w:rsidRPr="00BA0C2C">
              <w:rPr>
                <w:bCs w:val="0"/>
                <w:sz w:val="20"/>
              </w:rPr>
              <w:t>Medication Safety</w:t>
            </w:r>
          </w:p>
        </w:tc>
      </w:tr>
      <w:tr w:rsidR="00BC2953" w:rsidRPr="00BA0C2C" w14:paraId="6A6AF34C"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1F5F965F" w14:textId="77777777" w:rsidR="00BC2953" w:rsidRPr="00BA0C2C" w:rsidRDefault="00BC2953" w:rsidP="00030BC1">
            <w:pPr>
              <w:pStyle w:val="Normal2"/>
              <w:rPr>
                <w:b w:val="0"/>
                <w:bCs w:val="0"/>
                <w:sz w:val="20"/>
              </w:rPr>
            </w:pPr>
            <w:r w:rsidRPr="00BA0C2C">
              <w:rPr>
                <w:b w:val="0"/>
                <w:bCs w:val="0"/>
                <w:sz w:val="20"/>
              </w:rPr>
              <w:t>Costs associated with this Standard are likely to be consistent with the costs of implementing, monitoring and improving medication safety in version 1 of the NSQHS Standards because the intent of this Standard remains unchanged.</w:t>
            </w:r>
          </w:p>
          <w:p w14:paraId="31187C3A" w14:textId="77777777" w:rsidR="00BC2953" w:rsidRPr="00BA0C2C" w:rsidRDefault="00BC2953" w:rsidP="00030BC1">
            <w:pPr>
              <w:pStyle w:val="Normal2"/>
              <w:rPr>
                <w:rFonts w:eastAsiaTheme="minorEastAsia"/>
                <w:b w:val="0"/>
                <w:bCs w:val="0"/>
                <w:sz w:val="20"/>
              </w:rPr>
            </w:pPr>
          </w:p>
        </w:tc>
        <w:tc>
          <w:tcPr>
            <w:tcW w:w="4592" w:type="dxa"/>
          </w:tcPr>
          <w:p w14:paraId="13627C03"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443C48BF"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more closely linking the actions in this Standard with systems required in the Clinical Governance and Partnering with Consumers Standards, increasing the potential for coordinated and integrated systems</w:t>
            </w:r>
          </w:p>
          <w:p w14:paraId="57BF9011"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reducing medication errors, with a resulting reduction in costs, including Pharmaceutical Benefits Scheme costs</w:t>
            </w:r>
          </w:p>
          <w:p w14:paraId="6B06BD5B"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improving patient health where polypharmacy contributes to other health conditions, and safety and quality risks</w:t>
            </w:r>
          </w:p>
          <w:p w14:paraId="7C9B3C7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r w:rsidRPr="00BA0C2C">
              <w:rPr>
                <w:sz w:val="20"/>
              </w:rPr>
              <w:t>improving processes for assessing a person’s ongoing medication management, in line with the Australian Pharmaceutical Advisory Council’s Guiding principles to achieve continuity in medication management.15</w:t>
            </w:r>
          </w:p>
        </w:tc>
      </w:tr>
      <w:tr w:rsidR="00BC2953" w:rsidRPr="00BA0C2C" w14:paraId="601FD5FE"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4049DA0" w14:textId="77777777" w:rsidR="00BC2953" w:rsidRPr="00BA0C2C" w:rsidRDefault="00BC2953" w:rsidP="00410C3D">
            <w:pPr>
              <w:pStyle w:val="Normal2"/>
              <w:spacing w:before="60" w:after="60"/>
              <w:rPr>
                <w:rFonts w:eastAsiaTheme="minorEastAsia"/>
                <w:bCs w:val="0"/>
                <w:sz w:val="20"/>
              </w:rPr>
            </w:pPr>
            <w:r w:rsidRPr="00BA0C2C">
              <w:rPr>
                <w:bCs w:val="0"/>
                <w:sz w:val="20"/>
              </w:rPr>
              <w:t>Comprehensive Care</w:t>
            </w:r>
          </w:p>
        </w:tc>
      </w:tr>
      <w:tr w:rsidR="00BC2953" w:rsidRPr="00BA0C2C" w14:paraId="72B7A3FA"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40616D6E" w14:textId="77777777" w:rsidR="00BC2953" w:rsidRPr="00BA0C2C" w:rsidRDefault="00BC2953" w:rsidP="00030BC1">
            <w:pPr>
              <w:pStyle w:val="Normal2"/>
              <w:rPr>
                <w:b w:val="0"/>
                <w:bCs w:val="0"/>
                <w:sz w:val="20"/>
              </w:rPr>
            </w:pPr>
            <w:r w:rsidRPr="00BA0C2C">
              <w:rPr>
                <w:b w:val="0"/>
                <w:bCs w:val="0"/>
                <w:sz w:val="20"/>
              </w:rPr>
              <w:t xml:space="preserve">Costs may include: </w:t>
            </w:r>
          </w:p>
          <w:p w14:paraId="74AFEDF9" w14:textId="77777777" w:rsidR="00BC2953" w:rsidRPr="00BA0C2C" w:rsidRDefault="00BC2953" w:rsidP="00030BC1">
            <w:pPr>
              <w:pStyle w:val="Normal2"/>
              <w:numPr>
                <w:ilvl w:val="0"/>
                <w:numId w:val="73"/>
              </w:numPr>
              <w:rPr>
                <w:b w:val="0"/>
                <w:bCs w:val="0"/>
                <w:sz w:val="20"/>
              </w:rPr>
            </w:pPr>
            <w:r w:rsidRPr="00BA0C2C">
              <w:rPr>
                <w:b w:val="0"/>
                <w:bCs w:val="0"/>
                <w:sz w:val="20"/>
              </w:rPr>
              <w:t>establishing or adapting systems to implement and monitor the new content in this standard, including</w:t>
            </w:r>
          </w:p>
          <w:p w14:paraId="1C496192" w14:textId="77777777" w:rsidR="00BC2953" w:rsidRPr="00BA0C2C" w:rsidRDefault="00BC2953" w:rsidP="00030BC1">
            <w:pPr>
              <w:pStyle w:val="Normal2"/>
              <w:numPr>
                <w:ilvl w:val="1"/>
                <w:numId w:val="73"/>
              </w:numPr>
              <w:rPr>
                <w:b w:val="0"/>
                <w:bCs w:val="0"/>
                <w:sz w:val="20"/>
              </w:rPr>
            </w:pPr>
            <w:r w:rsidRPr="00BA0C2C">
              <w:rPr>
                <w:b w:val="0"/>
                <w:bCs w:val="0"/>
                <w:sz w:val="20"/>
              </w:rPr>
              <w:t xml:space="preserve">structured systems for the delivery of comprehensive care </w:t>
            </w:r>
          </w:p>
          <w:p w14:paraId="4630D81C" w14:textId="77777777" w:rsidR="00BC2953" w:rsidRPr="00BA0C2C" w:rsidRDefault="00BC2953" w:rsidP="00030BC1">
            <w:pPr>
              <w:pStyle w:val="Normal2"/>
              <w:numPr>
                <w:ilvl w:val="1"/>
                <w:numId w:val="73"/>
              </w:numPr>
              <w:rPr>
                <w:b w:val="0"/>
                <w:bCs w:val="0"/>
                <w:sz w:val="20"/>
              </w:rPr>
            </w:pPr>
            <w:r w:rsidRPr="00BA0C2C">
              <w:rPr>
                <w:b w:val="0"/>
                <w:bCs w:val="0"/>
                <w:sz w:val="20"/>
              </w:rPr>
              <w:t>improving collaboration and teamwork</w:t>
            </w:r>
          </w:p>
          <w:p w14:paraId="5ADF7B3E" w14:textId="77777777" w:rsidR="00BC2953" w:rsidRPr="00BA0C2C" w:rsidRDefault="00BC2953" w:rsidP="00030BC1">
            <w:pPr>
              <w:pStyle w:val="Normal2"/>
              <w:numPr>
                <w:ilvl w:val="1"/>
                <w:numId w:val="73"/>
              </w:numPr>
              <w:rPr>
                <w:b w:val="0"/>
                <w:bCs w:val="0"/>
                <w:sz w:val="20"/>
              </w:rPr>
            </w:pPr>
            <w:r w:rsidRPr="00BA0C2C">
              <w:rPr>
                <w:b w:val="0"/>
                <w:bCs w:val="0"/>
                <w:sz w:val="20"/>
              </w:rPr>
              <w:t>integrated screening and assessment processes</w:t>
            </w:r>
          </w:p>
          <w:p w14:paraId="4A87E7E4" w14:textId="77777777" w:rsidR="00BC2953" w:rsidRPr="00BA0C2C" w:rsidRDefault="00BC2953" w:rsidP="00030BC1">
            <w:pPr>
              <w:pStyle w:val="Normal2"/>
              <w:numPr>
                <w:ilvl w:val="1"/>
                <w:numId w:val="73"/>
              </w:numPr>
              <w:rPr>
                <w:b w:val="0"/>
                <w:bCs w:val="0"/>
                <w:sz w:val="20"/>
              </w:rPr>
            </w:pPr>
            <w:r w:rsidRPr="00BA0C2C">
              <w:rPr>
                <w:b w:val="0"/>
                <w:bCs w:val="0"/>
                <w:sz w:val="20"/>
              </w:rPr>
              <w:t>development and use of comprehensive care plans</w:t>
            </w:r>
          </w:p>
          <w:p w14:paraId="5AD80505" w14:textId="77777777" w:rsidR="00BC2953" w:rsidRPr="00BA0C2C" w:rsidRDefault="00BC2953" w:rsidP="00030BC1">
            <w:pPr>
              <w:pStyle w:val="Normal2"/>
              <w:numPr>
                <w:ilvl w:val="1"/>
                <w:numId w:val="73"/>
              </w:numPr>
              <w:rPr>
                <w:b w:val="0"/>
                <w:bCs w:val="0"/>
                <w:sz w:val="20"/>
              </w:rPr>
            </w:pPr>
            <w:r w:rsidRPr="00BA0C2C">
              <w:rPr>
                <w:b w:val="0"/>
                <w:bCs w:val="0"/>
                <w:sz w:val="20"/>
              </w:rPr>
              <w:t>improving care for patients at the end of life</w:t>
            </w:r>
          </w:p>
          <w:p w14:paraId="2C457FF0" w14:textId="77777777" w:rsidR="00BC2953" w:rsidRPr="00BA0C2C" w:rsidRDefault="00BC2953" w:rsidP="00030BC1">
            <w:pPr>
              <w:pStyle w:val="Normal2"/>
              <w:numPr>
                <w:ilvl w:val="1"/>
                <w:numId w:val="73"/>
              </w:numPr>
              <w:rPr>
                <w:b w:val="0"/>
                <w:bCs w:val="0"/>
                <w:sz w:val="20"/>
              </w:rPr>
            </w:pPr>
            <w:r w:rsidRPr="00BA0C2C">
              <w:rPr>
                <w:b w:val="0"/>
                <w:bCs w:val="0"/>
                <w:sz w:val="20"/>
              </w:rPr>
              <w:t xml:space="preserve">risk management of patients at risk from poor nutrition and hydration </w:t>
            </w:r>
          </w:p>
          <w:p w14:paraId="0149DBFB" w14:textId="77777777" w:rsidR="00BC2953" w:rsidRPr="00BA0C2C" w:rsidRDefault="00BC2953" w:rsidP="00030BC1">
            <w:pPr>
              <w:pStyle w:val="Normal2"/>
              <w:numPr>
                <w:ilvl w:val="1"/>
                <w:numId w:val="73"/>
              </w:numPr>
              <w:rPr>
                <w:b w:val="0"/>
                <w:bCs w:val="0"/>
                <w:sz w:val="20"/>
              </w:rPr>
            </w:pPr>
            <w:r w:rsidRPr="00BA0C2C">
              <w:rPr>
                <w:b w:val="0"/>
                <w:bCs w:val="0"/>
                <w:sz w:val="20"/>
              </w:rPr>
              <w:t>managing risks of harm from cognitive impairment</w:t>
            </w:r>
          </w:p>
          <w:p w14:paraId="0988CBBB" w14:textId="77777777" w:rsidR="00BC2953" w:rsidRPr="00BA0C2C" w:rsidRDefault="00BC2953" w:rsidP="00030BC1">
            <w:pPr>
              <w:pStyle w:val="Normal2"/>
              <w:numPr>
                <w:ilvl w:val="1"/>
                <w:numId w:val="73"/>
              </w:numPr>
              <w:rPr>
                <w:b w:val="0"/>
                <w:bCs w:val="0"/>
                <w:sz w:val="20"/>
              </w:rPr>
            </w:pPr>
            <w:r w:rsidRPr="00BA0C2C">
              <w:rPr>
                <w:b w:val="0"/>
                <w:bCs w:val="0"/>
                <w:sz w:val="20"/>
              </w:rPr>
              <w:t>reducing the risk of harm related to unpredictable behaviour of patients</w:t>
            </w:r>
          </w:p>
          <w:p w14:paraId="5FFC8A77" w14:textId="77777777" w:rsidR="00BC2953" w:rsidRPr="00BA0C2C" w:rsidRDefault="00BC2953" w:rsidP="00030BC1">
            <w:pPr>
              <w:pStyle w:val="Normal2"/>
              <w:numPr>
                <w:ilvl w:val="1"/>
                <w:numId w:val="73"/>
              </w:numPr>
              <w:rPr>
                <w:b w:val="0"/>
                <w:bCs w:val="0"/>
                <w:sz w:val="20"/>
              </w:rPr>
            </w:pPr>
            <w:r w:rsidRPr="00BA0C2C">
              <w:rPr>
                <w:b w:val="0"/>
                <w:bCs w:val="0"/>
                <w:sz w:val="20"/>
              </w:rPr>
              <w:t>minimising the use of restrictive practices on patients</w:t>
            </w:r>
          </w:p>
          <w:p w14:paraId="7658F226" w14:textId="77777777" w:rsidR="00BC2953" w:rsidRPr="00BA0C2C" w:rsidRDefault="00BC2953" w:rsidP="00030BC1">
            <w:pPr>
              <w:pStyle w:val="Normal2"/>
              <w:numPr>
                <w:ilvl w:val="0"/>
                <w:numId w:val="73"/>
              </w:numPr>
              <w:rPr>
                <w:b w:val="0"/>
                <w:bCs w:val="0"/>
                <w:sz w:val="20"/>
              </w:rPr>
            </w:pPr>
            <w:r w:rsidRPr="00BA0C2C">
              <w:rPr>
                <w:b w:val="0"/>
                <w:bCs w:val="0"/>
                <w:sz w:val="20"/>
              </w:rPr>
              <w:t>training the workforce in the requirements of this Standard</w:t>
            </w:r>
          </w:p>
          <w:p w14:paraId="4D4E8827" w14:textId="77777777" w:rsidR="00BC2953" w:rsidRPr="00BA0C2C" w:rsidRDefault="00BC2953" w:rsidP="00030BC1">
            <w:pPr>
              <w:pStyle w:val="Normal2"/>
              <w:numPr>
                <w:ilvl w:val="0"/>
                <w:numId w:val="73"/>
              </w:numPr>
              <w:rPr>
                <w:rFonts w:eastAsiaTheme="minorEastAsia"/>
                <w:b w:val="0"/>
                <w:bCs w:val="0"/>
                <w:sz w:val="20"/>
              </w:rPr>
            </w:pPr>
            <w:proofErr w:type="gramStart"/>
            <w:r w:rsidRPr="00BA0C2C">
              <w:rPr>
                <w:b w:val="0"/>
                <w:bCs w:val="0"/>
                <w:sz w:val="20"/>
              </w:rPr>
              <w:t>procuring</w:t>
            </w:r>
            <w:proofErr w:type="gramEnd"/>
            <w:r w:rsidRPr="00BA0C2C">
              <w:rPr>
                <w:b w:val="0"/>
                <w:bCs w:val="0"/>
                <w:sz w:val="20"/>
              </w:rPr>
              <w:t xml:space="preserve"> equipment to prevent and manage identified health conditions.</w:t>
            </w:r>
          </w:p>
        </w:tc>
        <w:tc>
          <w:tcPr>
            <w:tcW w:w="4592" w:type="dxa"/>
          </w:tcPr>
          <w:p w14:paraId="58CA0CD2"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5A5AA729"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integrating screening, assessment and risk identification processes to develop an individualised care plan </w:t>
            </w:r>
          </w:p>
          <w:p w14:paraId="62CBA5B0"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improving systems for cl</w:t>
            </w:r>
            <w:r w:rsidR="00410C3D">
              <w:rPr>
                <w:sz w:val="20"/>
              </w:rPr>
              <w:t>inicians to identify consumer</w:t>
            </w:r>
            <w:r w:rsidRPr="00BA0C2C">
              <w:rPr>
                <w:sz w:val="20"/>
              </w:rPr>
              <w:t>s</w:t>
            </w:r>
            <w:r w:rsidR="00410C3D">
              <w:rPr>
                <w:sz w:val="20"/>
              </w:rPr>
              <w:t>’</w:t>
            </w:r>
            <w:r w:rsidRPr="00BA0C2C">
              <w:rPr>
                <w:sz w:val="20"/>
              </w:rPr>
              <w:t xml:space="preserve"> healthcare needs, and work with them to identify shared goals and develop a comprehensive care plan</w:t>
            </w:r>
          </w:p>
          <w:p w14:paraId="39A029F4"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reducing the length of stay and therefore costs of care</w:t>
            </w:r>
          </w:p>
          <w:p w14:paraId="5076476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reducing the duplicative processes of the NSQHS Standards and the National Standards for Mental Health Services (NSMHS) to provide better care for patients with mental illness</w:t>
            </w:r>
          </w:p>
          <w:p w14:paraId="649D8152"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applying this Standard in health service organisations where people present with mental illness, but the organisation is not required to comply with the NSMHS</w:t>
            </w:r>
          </w:p>
          <w:p w14:paraId="0977174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focusing on end-of-life care that has the potential to reduce inappropriate and costly care for patients who are dying</w:t>
            </w:r>
          </w:p>
          <w:p w14:paraId="38C40B1B"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focusing on safety and improved quality of care for people living with mental illness or cognitive impairment, or those who are at the end of life</w:t>
            </w:r>
          </w:p>
          <w:p w14:paraId="53EAD34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reducing</w:t>
            </w:r>
            <w:proofErr w:type="gramEnd"/>
            <w:r w:rsidRPr="00BA0C2C">
              <w:rPr>
                <w:sz w:val="20"/>
              </w:rPr>
              <w:t xml:space="preserve"> errors and associated legal costs.</w:t>
            </w:r>
          </w:p>
        </w:tc>
      </w:tr>
      <w:tr w:rsidR="00BC2953" w:rsidRPr="00BA0C2C" w14:paraId="3C0EB3E0"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A1AAA94" w14:textId="77777777" w:rsidR="00BC2953" w:rsidRPr="00BA0C2C" w:rsidRDefault="00BC2953" w:rsidP="00410C3D">
            <w:pPr>
              <w:pStyle w:val="Normal2"/>
              <w:spacing w:before="60" w:after="60"/>
              <w:rPr>
                <w:rFonts w:eastAsiaTheme="minorEastAsia"/>
                <w:bCs w:val="0"/>
                <w:sz w:val="20"/>
              </w:rPr>
            </w:pPr>
            <w:r w:rsidRPr="00BA0C2C">
              <w:rPr>
                <w:bCs w:val="0"/>
                <w:sz w:val="20"/>
              </w:rPr>
              <w:t>Communicating for Safety</w:t>
            </w:r>
          </w:p>
        </w:tc>
      </w:tr>
      <w:tr w:rsidR="00BC2953" w:rsidRPr="00BA0C2C" w14:paraId="5414DB13"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1B17767D" w14:textId="77777777" w:rsidR="00BC2953" w:rsidRPr="00BA0C2C" w:rsidRDefault="00BC2953" w:rsidP="00030BC1">
            <w:pPr>
              <w:pStyle w:val="Normal2"/>
              <w:rPr>
                <w:b w:val="0"/>
                <w:bCs w:val="0"/>
                <w:sz w:val="20"/>
              </w:rPr>
            </w:pPr>
            <w:r w:rsidRPr="00BA0C2C">
              <w:rPr>
                <w:b w:val="0"/>
                <w:bCs w:val="0"/>
                <w:sz w:val="20"/>
              </w:rPr>
              <w:t xml:space="preserve">Costs may include: </w:t>
            </w:r>
          </w:p>
          <w:p w14:paraId="6E295247" w14:textId="77777777" w:rsidR="00BC2953" w:rsidRPr="00BA0C2C" w:rsidRDefault="00BC2953" w:rsidP="00030BC1">
            <w:pPr>
              <w:pStyle w:val="Normal2"/>
              <w:numPr>
                <w:ilvl w:val="0"/>
                <w:numId w:val="73"/>
              </w:numPr>
              <w:rPr>
                <w:b w:val="0"/>
                <w:bCs w:val="0"/>
                <w:sz w:val="20"/>
              </w:rPr>
            </w:pPr>
            <w:r w:rsidRPr="00BA0C2C">
              <w:rPr>
                <w:b w:val="0"/>
                <w:bCs w:val="0"/>
                <w:sz w:val="20"/>
              </w:rPr>
              <w:t xml:space="preserve">establishing or adapting systems to implement and monitor the new content in this standard </w:t>
            </w:r>
          </w:p>
          <w:p w14:paraId="424668D3" w14:textId="77777777" w:rsidR="00BC2953" w:rsidRPr="00BA0C2C" w:rsidRDefault="00BC2953" w:rsidP="00030BC1">
            <w:pPr>
              <w:pStyle w:val="Normal2"/>
              <w:numPr>
                <w:ilvl w:val="1"/>
                <w:numId w:val="73"/>
              </w:numPr>
              <w:rPr>
                <w:b w:val="0"/>
                <w:bCs w:val="0"/>
                <w:sz w:val="20"/>
              </w:rPr>
            </w:pPr>
            <w:r w:rsidRPr="00BA0C2C">
              <w:rPr>
                <w:b w:val="0"/>
                <w:bCs w:val="0"/>
                <w:sz w:val="20"/>
              </w:rPr>
              <w:t>establishing effective communication systems</w:t>
            </w:r>
          </w:p>
          <w:p w14:paraId="22304A62" w14:textId="77777777" w:rsidR="00BC2953" w:rsidRPr="00BA0C2C" w:rsidRDefault="00BC2953" w:rsidP="00030BC1">
            <w:pPr>
              <w:pStyle w:val="Normal2"/>
              <w:numPr>
                <w:ilvl w:val="1"/>
                <w:numId w:val="73"/>
              </w:numPr>
              <w:rPr>
                <w:b w:val="0"/>
                <w:bCs w:val="0"/>
                <w:sz w:val="20"/>
              </w:rPr>
            </w:pPr>
            <w:r w:rsidRPr="00BA0C2C">
              <w:rPr>
                <w:b w:val="0"/>
                <w:bCs w:val="0"/>
                <w:sz w:val="20"/>
              </w:rPr>
              <w:t>establishing mechanisms for communicating critical information</w:t>
            </w:r>
          </w:p>
          <w:p w14:paraId="31A26260" w14:textId="77777777" w:rsidR="00BC2953" w:rsidRPr="00BA0C2C" w:rsidRDefault="00BC2953" w:rsidP="00030BC1">
            <w:pPr>
              <w:pStyle w:val="Normal2"/>
              <w:numPr>
                <w:ilvl w:val="0"/>
                <w:numId w:val="73"/>
              </w:numPr>
              <w:rPr>
                <w:b w:val="0"/>
                <w:bCs w:val="0"/>
                <w:sz w:val="20"/>
              </w:rPr>
            </w:pPr>
            <w:proofErr w:type="gramStart"/>
            <w:r w:rsidRPr="00BA0C2C">
              <w:rPr>
                <w:b w:val="0"/>
                <w:bCs w:val="0"/>
                <w:sz w:val="20"/>
              </w:rPr>
              <w:t>training</w:t>
            </w:r>
            <w:proofErr w:type="gramEnd"/>
            <w:r w:rsidRPr="00BA0C2C">
              <w:rPr>
                <w:b w:val="0"/>
                <w:bCs w:val="0"/>
                <w:sz w:val="20"/>
              </w:rPr>
              <w:t xml:space="preserve"> the workforce in the new actions for communication.</w:t>
            </w:r>
          </w:p>
          <w:p w14:paraId="3DA4CF5F" w14:textId="77777777" w:rsidR="00BC2953" w:rsidRPr="00BA0C2C" w:rsidRDefault="00BC2953" w:rsidP="00030BC1">
            <w:pPr>
              <w:pStyle w:val="Normal2"/>
              <w:rPr>
                <w:rFonts w:eastAsiaTheme="minorEastAsia"/>
                <w:b w:val="0"/>
                <w:bCs w:val="0"/>
                <w:sz w:val="20"/>
              </w:rPr>
            </w:pPr>
          </w:p>
        </w:tc>
        <w:tc>
          <w:tcPr>
            <w:tcW w:w="4592" w:type="dxa"/>
          </w:tcPr>
          <w:p w14:paraId="76B448D3"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7D5AB445"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standardising and structuring systems applied consistently across health service organisations that have the potential to reduce the risk of patient harm from communication errors </w:t>
            </w:r>
          </w:p>
          <w:p w14:paraId="1BC2B161"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simplifying the requirements for patient identification for streamlined compliance with these actions</w:t>
            </w:r>
          </w:p>
          <w:p w14:paraId="171BA8E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focusing on critical information that includes patient goals and preferences, and the involvement of carers and all relevant clinicians, to improve the effectiveness of communication</w:t>
            </w:r>
          </w:p>
          <w:p w14:paraId="1B2ACD5B"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reducing</w:t>
            </w:r>
            <w:proofErr w:type="gramEnd"/>
            <w:r w:rsidRPr="00BA0C2C">
              <w:rPr>
                <w:sz w:val="20"/>
              </w:rPr>
              <w:t xml:space="preserve"> legal action by providing better communication and fewer communications-based errors.</w:t>
            </w:r>
          </w:p>
        </w:tc>
      </w:tr>
      <w:tr w:rsidR="00BC2953" w:rsidRPr="00BA0C2C" w14:paraId="11F6579B"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3F253887" w14:textId="77777777" w:rsidR="00BC2953" w:rsidRPr="00BA0C2C" w:rsidRDefault="00BC2953" w:rsidP="00410C3D">
            <w:pPr>
              <w:pStyle w:val="Normal2"/>
              <w:spacing w:before="60" w:after="60"/>
              <w:rPr>
                <w:rFonts w:eastAsiaTheme="minorEastAsia"/>
                <w:bCs w:val="0"/>
                <w:sz w:val="20"/>
              </w:rPr>
            </w:pPr>
            <w:r w:rsidRPr="00BA0C2C">
              <w:rPr>
                <w:bCs w:val="0"/>
                <w:sz w:val="20"/>
              </w:rPr>
              <w:t>Blood management</w:t>
            </w:r>
          </w:p>
        </w:tc>
      </w:tr>
      <w:tr w:rsidR="00BC2953" w:rsidRPr="00BA0C2C" w14:paraId="36B5FFE9"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328B9081" w14:textId="77777777" w:rsidR="00BC2953" w:rsidRPr="00BA0C2C" w:rsidRDefault="00BC2953" w:rsidP="00030BC1">
            <w:pPr>
              <w:pStyle w:val="Normal2"/>
              <w:rPr>
                <w:b w:val="0"/>
                <w:bCs w:val="0"/>
                <w:sz w:val="20"/>
              </w:rPr>
            </w:pPr>
            <w:r w:rsidRPr="00BA0C2C">
              <w:rPr>
                <w:b w:val="0"/>
                <w:bCs w:val="0"/>
                <w:sz w:val="20"/>
              </w:rPr>
              <w:t xml:space="preserve">Costs may include: </w:t>
            </w:r>
          </w:p>
          <w:p w14:paraId="2F336B5F" w14:textId="77777777" w:rsidR="00BC2953" w:rsidRPr="00BA0C2C" w:rsidRDefault="00BC2953" w:rsidP="00030BC1">
            <w:pPr>
              <w:pStyle w:val="Normal2"/>
              <w:numPr>
                <w:ilvl w:val="0"/>
                <w:numId w:val="73"/>
              </w:numPr>
              <w:rPr>
                <w:b w:val="0"/>
                <w:bCs w:val="0"/>
                <w:sz w:val="20"/>
              </w:rPr>
            </w:pPr>
            <w:r w:rsidRPr="00BA0C2C">
              <w:rPr>
                <w:b w:val="0"/>
                <w:bCs w:val="0"/>
                <w:sz w:val="20"/>
              </w:rPr>
              <w:t xml:space="preserve">establishing or adapting systems to implement and monitor the new content in this Standard </w:t>
            </w:r>
          </w:p>
          <w:p w14:paraId="62AAF26D" w14:textId="77777777" w:rsidR="00BC2953" w:rsidRPr="00BA0C2C" w:rsidRDefault="00BC2953" w:rsidP="00030BC1">
            <w:pPr>
              <w:pStyle w:val="Normal2"/>
              <w:numPr>
                <w:ilvl w:val="1"/>
                <w:numId w:val="73"/>
              </w:numPr>
              <w:rPr>
                <w:b w:val="0"/>
                <w:bCs w:val="0"/>
                <w:sz w:val="20"/>
              </w:rPr>
            </w:pPr>
            <w:r w:rsidRPr="00BA0C2C">
              <w:rPr>
                <w:b w:val="0"/>
                <w:bCs w:val="0"/>
                <w:sz w:val="20"/>
              </w:rPr>
              <w:t xml:space="preserve">prescribing and administering blood and blood products </w:t>
            </w:r>
          </w:p>
          <w:p w14:paraId="53233469" w14:textId="77777777" w:rsidR="00BC2953" w:rsidRPr="00BA0C2C" w:rsidRDefault="00BC2953" w:rsidP="00030BC1">
            <w:pPr>
              <w:pStyle w:val="Normal2"/>
              <w:numPr>
                <w:ilvl w:val="0"/>
                <w:numId w:val="73"/>
              </w:numPr>
              <w:rPr>
                <w:b w:val="0"/>
                <w:bCs w:val="0"/>
                <w:sz w:val="20"/>
              </w:rPr>
            </w:pPr>
            <w:proofErr w:type="gramStart"/>
            <w:r w:rsidRPr="00BA0C2C">
              <w:rPr>
                <w:b w:val="0"/>
                <w:bCs w:val="0"/>
                <w:sz w:val="20"/>
              </w:rPr>
              <w:t>training</w:t>
            </w:r>
            <w:proofErr w:type="gramEnd"/>
            <w:r w:rsidRPr="00BA0C2C">
              <w:rPr>
                <w:b w:val="0"/>
                <w:bCs w:val="0"/>
                <w:sz w:val="20"/>
              </w:rPr>
              <w:t xml:space="preserve"> the workforce in the new actions for blood and blood products.</w:t>
            </w:r>
          </w:p>
          <w:p w14:paraId="089E80CE" w14:textId="77777777" w:rsidR="00BC2953" w:rsidRPr="00BA0C2C" w:rsidRDefault="00BC2953" w:rsidP="00030BC1">
            <w:pPr>
              <w:pStyle w:val="Normal2"/>
              <w:rPr>
                <w:rFonts w:eastAsiaTheme="minorEastAsia"/>
                <w:b w:val="0"/>
                <w:bCs w:val="0"/>
                <w:sz w:val="20"/>
              </w:rPr>
            </w:pPr>
          </w:p>
        </w:tc>
        <w:tc>
          <w:tcPr>
            <w:tcW w:w="4592" w:type="dxa"/>
          </w:tcPr>
          <w:p w14:paraId="43C01E73"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3C5D03C9"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optimising and conserving a patient’s own blood, providing better management of an expensive and scarce resource</w:t>
            </w:r>
          </w:p>
          <w:p w14:paraId="5766FFF9"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simplifying the requirements of the Standard by reducing duplication</w:t>
            </w:r>
          </w:p>
          <w:p w14:paraId="2576D803"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generating improved compliance with national policy by aligning these requirements with actions in the Standard</w:t>
            </w:r>
          </w:p>
          <w:p w14:paraId="5B49BBC9"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reducing</w:t>
            </w:r>
            <w:proofErr w:type="gramEnd"/>
            <w:r w:rsidRPr="00BA0C2C">
              <w:rPr>
                <w:sz w:val="20"/>
              </w:rPr>
              <w:t xml:space="preserve"> costs associated with inappropriate use of blood.</w:t>
            </w:r>
          </w:p>
        </w:tc>
      </w:tr>
      <w:tr w:rsidR="00BC2953" w:rsidRPr="00BA0C2C" w14:paraId="2643CB83" w14:textId="77777777" w:rsidTr="00410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7F276B14" w14:textId="77777777" w:rsidR="00BC2953" w:rsidRPr="00BA0C2C" w:rsidRDefault="00BC2953" w:rsidP="00410C3D">
            <w:pPr>
              <w:pStyle w:val="Normal2"/>
              <w:pageBreakBefore/>
              <w:spacing w:before="60" w:after="60"/>
              <w:rPr>
                <w:rFonts w:eastAsiaTheme="minorEastAsia"/>
                <w:bCs w:val="0"/>
                <w:sz w:val="20"/>
              </w:rPr>
            </w:pPr>
            <w:r w:rsidRPr="00BA0C2C">
              <w:rPr>
                <w:bCs w:val="0"/>
                <w:sz w:val="20"/>
              </w:rPr>
              <w:t>Recognising and Responding to Acute Deterioration</w:t>
            </w:r>
          </w:p>
        </w:tc>
      </w:tr>
      <w:tr w:rsidR="00BC2953" w:rsidRPr="00BA0C2C" w14:paraId="38C9DD56" w14:textId="77777777" w:rsidTr="00410C3D">
        <w:tc>
          <w:tcPr>
            <w:cnfStyle w:val="001000000000" w:firstRow="0" w:lastRow="0" w:firstColumn="1" w:lastColumn="0" w:oddVBand="0" w:evenVBand="0" w:oddHBand="0" w:evenHBand="0" w:firstRowFirstColumn="0" w:firstRowLastColumn="0" w:lastRowFirstColumn="0" w:lastRowLastColumn="0"/>
            <w:tcW w:w="4592" w:type="dxa"/>
          </w:tcPr>
          <w:p w14:paraId="11E33423" w14:textId="77777777" w:rsidR="00BC2953" w:rsidRPr="00BA0C2C" w:rsidRDefault="00BC2953" w:rsidP="00030BC1">
            <w:pPr>
              <w:pStyle w:val="Normal2"/>
              <w:rPr>
                <w:b w:val="0"/>
                <w:bCs w:val="0"/>
                <w:sz w:val="20"/>
              </w:rPr>
            </w:pPr>
            <w:r w:rsidRPr="00BA0C2C">
              <w:rPr>
                <w:b w:val="0"/>
                <w:bCs w:val="0"/>
                <w:sz w:val="20"/>
              </w:rPr>
              <w:t xml:space="preserve">Costs may include: </w:t>
            </w:r>
          </w:p>
          <w:p w14:paraId="5453EA7F" w14:textId="77777777" w:rsidR="00BC2953" w:rsidRPr="00BA0C2C" w:rsidRDefault="00BC2953" w:rsidP="00030BC1">
            <w:pPr>
              <w:pStyle w:val="Normal2"/>
              <w:numPr>
                <w:ilvl w:val="0"/>
                <w:numId w:val="73"/>
              </w:numPr>
              <w:rPr>
                <w:b w:val="0"/>
                <w:bCs w:val="0"/>
                <w:sz w:val="20"/>
              </w:rPr>
            </w:pPr>
            <w:r w:rsidRPr="00BA0C2C">
              <w:rPr>
                <w:b w:val="0"/>
                <w:bCs w:val="0"/>
                <w:sz w:val="20"/>
              </w:rPr>
              <w:t xml:space="preserve">establishing or adapting systems to implement and monitor the new content in this Standard </w:t>
            </w:r>
          </w:p>
          <w:p w14:paraId="3257E46D" w14:textId="77777777" w:rsidR="00BC2953" w:rsidRPr="00BA0C2C" w:rsidRDefault="00BC2953" w:rsidP="00030BC1">
            <w:pPr>
              <w:pStyle w:val="Normal2"/>
              <w:numPr>
                <w:ilvl w:val="1"/>
                <w:numId w:val="73"/>
              </w:numPr>
              <w:rPr>
                <w:b w:val="0"/>
                <w:bCs w:val="0"/>
                <w:sz w:val="20"/>
              </w:rPr>
            </w:pPr>
            <w:r w:rsidRPr="00BA0C2C">
              <w:rPr>
                <w:b w:val="0"/>
                <w:bCs w:val="0"/>
                <w:sz w:val="20"/>
              </w:rPr>
              <w:t xml:space="preserve">recognising and responding to acute deterioration in cognitive state and mental state </w:t>
            </w:r>
          </w:p>
          <w:p w14:paraId="70E2FEB7" w14:textId="77777777" w:rsidR="00BC2953" w:rsidRPr="00BA0C2C" w:rsidRDefault="00BC2953" w:rsidP="00030BC1">
            <w:pPr>
              <w:pStyle w:val="Normal2"/>
              <w:numPr>
                <w:ilvl w:val="1"/>
                <w:numId w:val="73"/>
              </w:numPr>
              <w:rPr>
                <w:b w:val="0"/>
                <w:bCs w:val="0"/>
                <w:sz w:val="20"/>
              </w:rPr>
            </w:pPr>
            <w:r w:rsidRPr="00BA0C2C">
              <w:rPr>
                <w:b w:val="0"/>
                <w:bCs w:val="0"/>
                <w:sz w:val="20"/>
              </w:rPr>
              <w:t>escalating care for patients with acute deterioration in physical, cognitive or mental state</w:t>
            </w:r>
          </w:p>
          <w:p w14:paraId="4F529982" w14:textId="77777777" w:rsidR="00BC2953" w:rsidRPr="00BA0C2C" w:rsidRDefault="00BC2953" w:rsidP="00030BC1">
            <w:pPr>
              <w:pStyle w:val="Normal2"/>
              <w:numPr>
                <w:ilvl w:val="0"/>
                <w:numId w:val="73"/>
              </w:numPr>
              <w:rPr>
                <w:b w:val="0"/>
                <w:bCs w:val="0"/>
                <w:sz w:val="20"/>
              </w:rPr>
            </w:pPr>
            <w:proofErr w:type="gramStart"/>
            <w:r w:rsidRPr="00BA0C2C">
              <w:rPr>
                <w:b w:val="0"/>
                <w:bCs w:val="0"/>
                <w:sz w:val="20"/>
              </w:rPr>
              <w:t>training</w:t>
            </w:r>
            <w:proofErr w:type="gramEnd"/>
            <w:r w:rsidRPr="00BA0C2C">
              <w:rPr>
                <w:b w:val="0"/>
                <w:bCs w:val="0"/>
                <w:sz w:val="20"/>
              </w:rPr>
              <w:t xml:space="preserve"> the workforce in the new actions for recognising and responding to deterioration. </w:t>
            </w:r>
          </w:p>
          <w:p w14:paraId="2ED7E0C7" w14:textId="77777777" w:rsidR="00BC2953" w:rsidRPr="00BA0C2C" w:rsidRDefault="00BC2953" w:rsidP="00030BC1">
            <w:pPr>
              <w:pStyle w:val="Normal2"/>
              <w:rPr>
                <w:rFonts w:eastAsiaTheme="minorEastAsia"/>
                <w:b w:val="0"/>
                <w:bCs w:val="0"/>
                <w:sz w:val="20"/>
              </w:rPr>
            </w:pPr>
          </w:p>
        </w:tc>
        <w:tc>
          <w:tcPr>
            <w:tcW w:w="4592" w:type="dxa"/>
          </w:tcPr>
          <w:p w14:paraId="2AD6EFE3" w14:textId="77777777" w:rsidR="00BC2953" w:rsidRPr="00BA0C2C" w:rsidRDefault="00BC2953" w:rsidP="00030BC1">
            <w:pPr>
              <w:pStyle w:val="Normal2"/>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Benefits may include: </w:t>
            </w:r>
          </w:p>
          <w:p w14:paraId="12BD96C8"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extending the focus from solely acute physical deterioration to include physical, cognitive and mental deterioration in any setting of care</w:t>
            </w:r>
          </w:p>
          <w:p w14:paraId="0E4E3CCB"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simplifying and clarifying actions from version 1 of the NSQHS Standards that were inappropriate in a range of health settings</w:t>
            </w:r>
          </w:p>
          <w:p w14:paraId="6A7EEBD2"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 xml:space="preserve">incorporating acute suffering as an aspect of acute deterioration and minimising the risk of poor-quality care where acute suffering is not addressed </w:t>
            </w:r>
          </w:p>
          <w:p w14:paraId="2229BA59"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sz w:val="20"/>
              </w:rPr>
            </w:pPr>
            <w:r w:rsidRPr="00BA0C2C">
              <w:rPr>
                <w:sz w:val="20"/>
              </w:rPr>
              <w:t>simplifying the requirements of the Standard by reducing duplication</w:t>
            </w:r>
          </w:p>
          <w:p w14:paraId="35DEA0C1" w14:textId="77777777" w:rsidR="00BC2953" w:rsidRPr="00BA0C2C" w:rsidRDefault="00BC2953" w:rsidP="00030BC1">
            <w:pPr>
              <w:pStyle w:val="Normal2"/>
              <w:numPr>
                <w:ilvl w:val="0"/>
                <w:numId w:val="73"/>
              </w:numPr>
              <w:cnfStyle w:val="000000000000" w:firstRow="0" w:lastRow="0" w:firstColumn="0" w:lastColumn="0" w:oddVBand="0" w:evenVBand="0" w:oddHBand="0" w:evenHBand="0" w:firstRowFirstColumn="0" w:firstRowLastColumn="0" w:lastRowFirstColumn="0" w:lastRowLastColumn="0"/>
              <w:rPr>
                <w:rFonts w:eastAsiaTheme="minorEastAsia"/>
                <w:sz w:val="20"/>
              </w:rPr>
            </w:pPr>
            <w:proofErr w:type="gramStart"/>
            <w:r w:rsidRPr="00BA0C2C">
              <w:rPr>
                <w:sz w:val="20"/>
              </w:rPr>
              <w:t>clarifying</w:t>
            </w:r>
            <w:proofErr w:type="gramEnd"/>
            <w:r w:rsidRPr="00BA0C2C">
              <w:rPr>
                <w:sz w:val="20"/>
              </w:rPr>
              <w:t xml:space="preserve"> requirements for training of the workforce that posed an unnecessary additional burden on health service organisations.</w:t>
            </w:r>
          </w:p>
        </w:tc>
      </w:tr>
    </w:tbl>
    <w:p w14:paraId="333D0230" w14:textId="77777777" w:rsidR="00BC2953" w:rsidRDefault="00BC2953" w:rsidP="00BC2953"/>
    <w:p w14:paraId="4689AC07" w14:textId="77777777" w:rsidR="00BC2953" w:rsidRPr="006605F6" w:rsidRDefault="00BC2953" w:rsidP="00BC2953">
      <w:pPr>
        <w:pStyle w:val="Heading1"/>
      </w:pPr>
      <w:bookmarkStart w:id="20" w:name="_Toc461178329"/>
      <w:r w:rsidRPr="006605F6">
        <w:t>Appendix 6</w:t>
      </w:r>
      <w:r w:rsidR="00410C3D">
        <w:tab/>
        <w:t>Regulatory burden estimate</w:t>
      </w:r>
      <w:bookmarkEnd w:id="20"/>
    </w:p>
    <w:p w14:paraId="2A99520D" w14:textId="77777777" w:rsidR="00BC2953" w:rsidRPr="006605F6" w:rsidRDefault="00410C3D" w:rsidP="00BC2953">
      <w:pPr>
        <w:pStyle w:val="Caption"/>
      </w:pPr>
      <w:r>
        <w:t xml:space="preserve">Table 15: </w:t>
      </w:r>
      <w:r w:rsidR="00BC2953" w:rsidRPr="006605F6">
        <w:t xml:space="preserve">Regulatory burden estimate </w:t>
      </w:r>
      <w:r>
        <w:t xml:space="preserve">for the private sector </w:t>
      </w:r>
    </w:p>
    <w:tbl>
      <w:tblPr>
        <w:tblStyle w:val="TableGrid"/>
        <w:tblW w:w="0" w:type="auto"/>
        <w:tblLook w:val="04A0" w:firstRow="1" w:lastRow="0" w:firstColumn="1" w:lastColumn="0" w:noHBand="0" w:noVBand="1"/>
        <w:tblCaption w:val="Regulatory burden estimate"/>
      </w:tblPr>
      <w:tblGrid>
        <w:gridCol w:w="1848"/>
        <w:gridCol w:w="1848"/>
        <w:gridCol w:w="1848"/>
        <w:gridCol w:w="1849"/>
        <w:gridCol w:w="1849"/>
      </w:tblGrid>
      <w:tr w:rsidR="00BC2953" w:rsidRPr="006605F6" w14:paraId="6F0CF9A7" w14:textId="77777777" w:rsidTr="00030BC1">
        <w:trPr>
          <w:cnfStyle w:val="100000000000" w:firstRow="1" w:lastRow="0" w:firstColumn="0" w:lastColumn="0" w:oddVBand="0" w:evenVBand="0" w:oddHBand="0" w:evenHBand="0" w:firstRowFirstColumn="0" w:firstRowLastColumn="0" w:lastRowFirstColumn="0" w:lastRowLastColumn="0"/>
          <w:tblHeader/>
        </w:trPr>
        <w:tc>
          <w:tcPr>
            <w:tcW w:w="9242" w:type="dxa"/>
            <w:gridSpan w:val="5"/>
          </w:tcPr>
          <w:p w14:paraId="56ED7777" w14:textId="77777777" w:rsidR="00BC2953" w:rsidRPr="006605F6" w:rsidRDefault="00BC2953" w:rsidP="00030BC1">
            <w:r w:rsidRPr="006605F6">
              <w:t xml:space="preserve">Average annual regulatory cost </w:t>
            </w:r>
          </w:p>
        </w:tc>
      </w:tr>
      <w:tr w:rsidR="00BC2953" w:rsidRPr="006605F6" w14:paraId="03BC52DF" w14:textId="77777777" w:rsidTr="00030BC1">
        <w:tc>
          <w:tcPr>
            <w:tcW w:w="1848" w:type="dxa"/>
          </w:tcPr>
          <w:p w14:paraId="5FD26B4F" w14:textId="77777777" w:rsidR="00BC2953" w:rsidRPr="006605F6" w:rsidRDefault="00BC2953" w:rsidP="00030BC1">
            <w:r w:rsidRPr="006605F6">
              <w:t>Change in costs ($ million)</w:t>
            </w:r>
          </w:p>
        </w:tc>
        <w:tc>
          <w:tcPr>
            <w:tcW w:w="1848" w:type="dxa"/>
          </w:tcPr>
          <w:p w14:paraId="266BA86B" w14:textId="77777777" w:rsidR="00BC2953" w:rsidRPr="006605F6" w:rsidRDefault="00BC2953" w:rsidP="00030BC1">
            <w:r w:rsidRPr="006605F6">
              <w:t>Business</w:t>
            </w:r>
          </w:p>
        </w:tc>
        <w:tc>
          <w:tcPr>
            <w:tcW w:w="1848" w:type="dxa"/>
          </w:tcPr>
          <w:p w14:paraId="0B28C7DF" w14:textId="77777777" w:rsidR="00BC2953" w:rsidRPr="006605F6" w:rsidRDefault="00BC2953" w:rsidP="00030BC1">
            <w:r w:rsidRPr="006605F6">
              <w:t>Community organisations</w:t>
            </w:r>
          </w:p>
        </w:tc>
        <w:tc>
          <w:tcPr>
            <w:tcW w:w="1849" w:type="dxa"/>
          </w:tcPr>
          <w:p w14:paraId="368875ED" w14:textId="77777777" w:rsidR="00BC2953" w:rsidRPr="006605F6" w:rsidRDefault="00BC2953" w:rsidP="00030BC1">
            <w:r w:rsidRPr="006605F6">
              <w:t>Individuals</w:t>
            </w:r>
          </w:p>
        </w:tc>
        <w:tc>
          <w:tcPr>
            <w:tcW w:w="1849" w:type="dxa"/>
          </w:tcPr>
          <w:p w14:paraId="2C20DC9E" w14:textId="77777777" w:rsidR="00BC2953" w:rsidRPr="006605F6" w:rsidRDefault="00BC2953" w:rsidP="00030BC1">
            <w:r w:rsidRPr="006605F6">
              <w:t>Total change in costs</w:t>
            </w:r>
          </w:p>
        </w:tc>
      </w:tr>
      <w:tr w:rsidR="00BC2953" w:rsidRPr="006605F6" w14:paraId="0901A5A2" w14:textId="77777777" w:rsidTr="00030BC1">
        <w:tc>
          <w:tcPr>
            <w:tcW w:w="1848" w:type="dxa"/>
          </w:tcPr>
          <w:p w14:paraId="6AC3F4B3" w14:textId="77777777" w:rsidR="00BC2953" w:rsidRPr="006605F6" w:rsidRDefault="00BC2953" w:rsidP="00030BC1">
            <w:r w:rsidRPr="006605F6">
              <w:t>Private health sector</w:t>
            </w:r>
          </w:p>
        </w:tc>
        <w:tc>
          <w:tcPr>
            <w:tcW w:w="1848" w:type="dxa"/>
          </w:tcPr>
          <w:p w14:paraId="7A8F6000" w14:textId="77777777" w:rsidR="00BC2953" w:rsidRPr="006605F6" w:rsidRDefault="00BC2953" w:rsidP="00030BC1">
            <w:r w:rsidRPr="006605F6">
              <w:t>$2.68 million</w:t>
            </w:r>
          </w:p>
        </w:tc>
        <w:tc>
          <w:tcPr>
            <w:tcW w:w="1848" w:type="dxa"/>
          </w:tcPr>
          <w:p w14:paraId="6962CC32" w14:textId="77777777" w:rsidR="00BC2953" w:rsidRPr="006605F6" w:rsidRDefault="00410C3D" w:rsidP="00030BC1">
            <w:r>
              <w:noBreakHyphen/>
            </w:r>
          </w:p>
        </w:tc>
        <w:tc>
          <w:tcPr>
            <w:tcW w:w="1849" w:type="dxa"/>
          </w:tcPr>
          <w:p w14:paraId="0E407F19" w14:textId="77777777" w:rsidR="00BC2953" w:rsidRPr="006605F6" w:rsidRDefault="00410C3D" w:rsidP="00030BC1">
            <w:r>
              <w:noBreakHyphen/>
            </w:r>
          </w:p>
        </w:tc>
        <w:tc>
          <w:tcPr>
            <w:tcW w:w="1849" w:type="dxa"/>
          </w:tcPr>
          <w:p w14:paraId="5B5888E5" w14:textId="77777777" w:rsidR="00030BC1" w:rsidRDefault="00BC2953" w:rsidP="002C3984">
            <w:r w:rsidRPr="006605F6">
              <w:t>$2.6</w:t>
            </w:r>
            <w:r w:rsidR="002C3984">
              <w:t>8</w:t>
            </w:r>
          </w:p>
          <w:p w14:paraId="6E88967A" w14:textId="77777777" w:rsidR="00BC2953" w:rsidRPr="006605F6" w:rsidRDefault="00BC2953" w:rsidP="002C3984">
            <w:r w:rsidRPr="006605F6">
              <w:t xml:space="preserve"> million</w:t>
            </w:r>
          </w:p>
        </w:tc>
      </w:tr>
      <w:tr w:rsidR="00BC2953" w:rsidRPr="006605F6" w14:paraId="5954C799" w14:textId="77777777" w:rsidTr="00030BC1">
        <w:tc>
          <w:tcPr>
            <w:tcW w:w="1848" w:type="dxa"/>
          </w:tcPr>
          <w:p w14:paraId="1F3BED21" w14:textId="77777777" w:rsidR="00BC2953" w:rsidRPr="006605F6" w:rsidRDefault="00BC2953" w:rsidP="00030BC1">
            <w:r w:rsidRPr="006605F6">
              <w:t>Accrediting agencies</w:t>
            </w:r>
          </w:p>
        </w:tc>
        <w:tc>
          <w:tcPr>
            <w:tcW w:w="1848" w:type="dxa"/>
          </w:tcPr>
          <w:p w14:paraId="5904C415" w14:textId="77777777" w:rsidR="00BC2953" w:rsidRPr="006605F6" w:rsidRDefault="00BC2953" w:rsidP="00030BC1">
            <w:r w:rsidRPr="006605F6">
              <w:t>$0.04 million</w:t>
            </w:r>
          </w:p>
        </w:tc>
        <w:tc>
          <w:tcPr>
            <w:tcW w:w="1848" w:type="dxa"/>
          </w:tcPr>
          <w:p w14:paraId="26E34334" w14:textId="77777777" w:rsidR="00BC2953" w:rsidRPr="006605F6" w:rsidRDefault="00410C3D" w:rsidP="00030BC1">
            <w:r>
              <w:noBreakHyphen/>
            </w:r>
          </w:p>
        </w:tc>
        <w:tc>
          <w:tcPr>
            <w:tcW w:w="1849" w:type="dxa"/>
          </w:tcPr>
          <w:p w14:paraId="7795F91B" w14:textId="77777777" w:rsidR="00BC2953" w:rsidRPr="006605F6" w:rsidRDefault="00410C3D" w:rsidP="00030BC1">
            <w:r>
              <w:noBreakHyphen/>
            </w:r>
          </w:p>
        </w:tc>
        <w:tc>
          <w:tcPr>
            <w:tcW w:w="1849" w:type="dxa"/>
          </w:tcPr>
          <w:p w14:paraId="4F826B22" w14:textId="77777777" w:rsidR="00BC2953" w:rsidRPr="006605F6" w:rsidRDefault="00BC2953" w:rsidP="00030BC1">
            <w:r w:rsidRPr="006605F6">
              <w:t>$0.04 million</w:t>
            </w:r>
          </w:p>
        </w:tc>
      </w:tr>
    </w:tbl>
    <w:p w14:paraId="247A2707" w14:textId="77777777" w:rsidR="00BC2953" w:rsidRPr="006605F6" w:rsidRDefault="00BC2953" w:rsidP="00BC2953">
      <w:pPr>
        <w:pStyle w:val="Heading1"/>
      </w:pPr>
      <w:bookmarkStart w:id="21" w:name="_Toc461178330"/>
      <w:r w:rsidRPr="006605F6">
        <w:t>References</w:t>
      </w:r>
      <w:bookmarkEnd w:id="21"/>
    </w:p>
    <w:p w14:paraId="7D380757" w14:textId="77777777" w:rsidR="00BC2953" w:rsidRPr="006605F6" w:rsidRDefault="00BC2953" w:rsidP="00BC2953">
      <w:pPr>
        <w:pStyle w:val="Normal2"/>
        <w:numPr>
          <w:ilvl w:val="0"/>
          <w:numId w:val="74"/>
        </w:numPr>
      </w:pPr>
      <w:bookmarkStart w:id="22" w:name="_ENREF_1"/>
      <w:r w:rsidRPr="006605F6">
        <w:t>Australian Commission on Safety and Quality in Health Care. National Safety and Quality Health Service Standards. Sydney: ACSQHC, 2011.</w:t>
      </w:r>
      <w:bookmarkEnd w:id="22"/>
    </w:p>
    <w:p w14:paraId="697E7F9A" w14:textId="77777777" w:rsidR="00BC2953" w:rsidRPr="006605F6" w:rsidRDefault="00BC2953" w:rsidP="00BC2953">
      <w:pPr>
        <w:pStyle w:val="Normal2"/>
        <w:numPr>
          <w:ilvl w:val="0"/>
          <w:numId w:val="74"/>
        </w:numPr>
      </w:pPr>
      <w:r w:rsidRPr="006605F6">
        <w:t>Australian Commission on Safety and Quality in Health Care, National Health Performance Authority. Australian Atlas of Healthcare Variation. Sydney: ACSQHC, 2015.</w:t>
      </w:r>
    </w:p>
    <w:p w14:paraId="34F21F79" w14:textId="77777777" w:rsidR="00BC2953" w:rsidRPr="006605F6" w:rsidRDefault="00BC2953" w:rsidP="00BC2953">
      <w:pPr>
        <w:pStyle w:val="Normal2"/>
        <w:numPr>
          <w:ilvl w:val="0"/>
          <w:numId w:val="74"/>
        </w:numPr>
      </w:pPr>
      <w:r w:rsidRPr="006605F6">
        <w:t>National Mental Health Commission. The national review of mental health programmes and services. Sydney: NMHC, 2014.</w:t>
      </w:r>
    </w:p>
    <w:p w14:paraId="47AE2758" w14:textId="77777777" w:rsidR="00BC2953" w:rsidRPr="006605F6" w:rsidRDefault="00BC2953" w:rsidP="00BC2953">
      <w:pPr>
        <w:pStyle w:val="Normal2"/>
        <w:numPr>
          <w:ilvl w:val="0"/>
          <w:numId w:val="74"/>
        </w:numPr>
      </w:pPr>
      <w:r w:rsidRPr="006605F6">
        <w:t xml:space="preserve">Australian Institute of Health and Welfare. Australia’s health 2014. Australia’s health series no. 14. Cat. </w:t>
      </w:r>
      <w:proofErr w:type="gramStart"/>
      <w:r w:rsidRPr="006605F6">
        <w:t>no</w:t>
      </w:r>
      <w:proofErr w:type="gramEnd"/>
      <w:r w:rsidRPr="006605F6">
        <w:t>. AUS 178. Canberra: AIHW, 2014.</w:t>
      </w:r>
    </w:p>
    <w:p w14:paraId="7F283242" w14:textId="77777777" w:rsidR="00BC2953" w:rsidRPr="006605F6" w:rsidRDefault="00BC2953" w:rsidP="00BC2953">
      <w:pPr>
        <w:pStyle w:val="Normal2"/>
        <w:numPr>
          <w:ilvl w:val="0"/>
          <w:numId w:val="74"/>
        </w:numPr>
      </w:pPr>
      <w:r w:rsidRPr="006605F6">
        <w:t xml:space="preserve">Australian Institute of Health and Welfare. Health expenditure Australia 2013–14. Health and welfare expenditure series no. 54. Cat. </w:t>
      </w:r>
      <w:proofErr w:type="gramStart"/>
      <w:r w:rsidRPr="006605F6">
        <w:t>no</w:t>
      </w:r>
      <w:proofErr w:type="gramEnd"/>
      <w:r w:rsidRPr="006605F6">
        <w:t>. HWE 63. Canberra: AIHW, 2015.</w:t>
      </w:r>
    </w:p>
    <w:p w14:paraId="441CFF45" w14:textId="77777777" w:rsidR="00BC2953" w:rsidRPr="006605F6" w:rsidRDefault="00BC2953" w:rsidP="00BC2953">
      <w:pPr>
        <w:pStyle w:val="Normal2"/>
        <w:numPr>
          <w:ilvl w:val="0"/>
          <w:numId w:val="74"/>
        </w:numPr>
      </w:pPr>
      <w:r w:rsidRPr="006605F6">
        <w:t>Australian Bureau of Statistics, Australian Institute of Health and Welfare. The health and welfare of Australia’s Aboriginal and Torres Strait Islander peoples, Oct 2010. Cat. No. 4704.0. Canberra: ABS, 2010 [cited 8 April 2016]. Available from: http://www.abs.gov.au/AUSSTATS/abs@.nsf/lookup/4704.0Chapter700Oct+2010</w:t>
      </w:r>
    </w:p>
    <w:p w14:paraId="2779C61F" w14:textId="77777777" w:rsidR="00BC2953" w:rsidRPr="006605F6" w:rsidRDefault="00BC2953" w:rsidP="00BC2953">
      <w:pPr>
        <w:pStyle w:val="Normal2"/>
        <w:numPr>
          <w:ilvl w:val="0"/>
          <w:numId w:val="74"/>
        </w:numPr>
      </w:pPr>
      <w:r w:rsidRPr="006605F6">
        <w:t xml:space="preserve">Australian Institute of Health and Welfare. Expenditure on health for Aboriginal and Torres Strait Islander people 2010–11. Health and welfare expenditure series no. 48. Cat. </w:t>
      </w:r>
      <w:proofErr w:type="gramStart"/>
      <w:r w:rsidRPr="006605F6">
        <w:t>no</w:t>
      </w:r>
      <w:proofErr w:type="gramEnd"/>
      <w:r w:rsidRPr="006605F6">
        <w:t>. HWE 57. Canberra: AIHW, 2013.</w:t>
      </w:r>
    </w:p>
    <w:p w14:paraId="05B254C1" w14:textId="77777777" w:rsidR="00BC2953" w:rsidRPr="006605F6" w:rsidRDefault="00BC2953" w:rsidP="00BC2953">
      <w:pPr>
        <w:pStyle w:val="Normal2"/>
        <w:numPr>
          <w:ilvl w:val="0"/>
          <w:numId w:val="74"/>
        </w:numPr>
      </w:pPr>
      <w:r w:rsidRPr="006605F6">
        <w:t>Australian Commission on Safety and Quality in Health Care. Evidence for the safety and quality issues associated with the care of patients with cognitive impairment in acute settings: a rapid review. Canberra: ACSQHC, 2013.</w:t>
      </w:r>
    </w:p>
    <w:p w14:paraId="256A1A26" w14:textId="77777777" w:rsidR="00BC2953" w:rsidRPr="006605F6" w:rsidRDefault="00BC2953" w:rsidP="00BC2953">
      <w:pPr>
        <w:pStyle w:val="Normal2"/>
        <w:numPr>
          <w:ilvl w:val="0"/>
          <w:numId w:val="74"/>
        </w:numPr>
      </w:pPr>
      <w:r w:rsidRPr="006605F6">
        <w:t>Australian Commission on Safety and Quality in Health Care. Health literacy: taking action to improve safety and quality. Sydney: ACSQHC, 2014.</w:t>
      </w:r>
    </w:p>
    <w:p w14:paraId="7279F9D2" w14:textId="77777777" w:rsidR="00BC2953" w:rsidRPr="006605F6" w:rsidRDefault="00BC2953" w:rsidP="00BC2953">
      <w:pPr>
        <w:pStyle w:val="Normal2"/>
        <w:numPr>
          <w:ilvl w:val="0"/>
          <w:numId w:val="74"/>
        </w:numPr>
      </w:pPr>
      <w:r w:rsidRPr="006605F6">
        <w:t>Australian Commission on Safety and Quality in Health Care. Safety and quality of end-of-life care in acute hospitals: a background paper. Sydney: ACSQHC, 2013.</w:t>
      </w:r>
    </w:p>
    <w:p w14:paraId="4C71DB35" w14:textId="77777777" w:rsidR="00BC2953" w:rsidRPr="006605F6" w:rsidRDefault="00BC2953" w:rsidP="00BC2953">
      <w:pPr>
        <w:pStyle w:val="Normal2"/>
        <w:numPr>
          <w:ilvl w:val="0"/>
          <w:numId w:val="74"/>
        </w:numPr>
      </w:pPr>
      <w:r w:rsidRPr="006605F6">
        <w:t>Australian Institute of Health and Welfare. Admitted patient palliative care. Canberra: AIHW, 2015 [cited 8 April 2016]. Available from: http://aihw.gov.au/palliative-care/admitted-patient</w:t>
      </w:r>
    </w:p>
    <w:p w14:paraId="46F36C13" w14:textId="77777777" w:rsidR="00BC2953" w:rsidRPr="006605F6" w:rsidRDefault="00BC2953" w:rsidP="00BC2953">
      <w:pPr>
        <w:pStyle w:val="Normal2"/>
        <w:numPr>
          <w:ilvl w:val="0"/>
          <w:numId w:val="74"/>
        </w:numPr>
      </w:pPr>
      <w:bookmarkStart w:id="23" w:name="_ENREF_43"/>
      <w:r w:rsidRPr="006605F6">
        <w:t xml:space="preserve">Shaw C, </w:t>
      </w:r>
      <w:proofErr w:type="spellStart"/>
      <w:r w:rsidRPr="006605F6">
        <w:t>Groene</w:t>
      </w:r>
      <w:proofErr w:type="spellEnd"/>
      <w:r w:rsidRPr="006605F6">
        <w:t xml:space="preserve"> O, </w:t>
      </w:r>
      <w:proofErr w:type="spellStart"/>
      <w:r w:rsidRPr="006605F6">
        <w:t>Botje</w:t>
      </w:r>
      <w:proofErr w:type="spellEnd"/>
      <w:r w:rsidRPr="006605F6">
        <w:t xml:space="preserve"> A, </w:t>
      </w:r>
      <w:proofErr w:type="spellStart"/>
      <w:r w:rsidRPr="006605F6">
        <w:t>Sunol</w:t>
      </w:r>
      <w:proofErr w:type="spellEnd"/>
      <w:r w:rsidRPr="006605F6">
        <w:t xml:space="preserve"> R, </w:t>
      </w:r>
      <w:proofErr w:type="spellStart"/>
      <w:r w:rsidRPr="006605F6">
        <w:t>Kutryba</w:t>
      </w:r>
      <w:proofErr w:type="spellEnd"/>
      <w:r w:rsidRPr="006605F6">
        <w:t xml:space="preserve"> B, </w:t>
      </w:r>
      <w:proofErr w:type="spellStart"/>
      <w:r w:rsidRPr="006605F6">
        <w:t>Klazinga</w:t>
      </w:r>
      <w:proofErr w:type="spellEnd"/>
      <w:r w:rsidRPr="006605F6">
        <w:t xml:space="preserve"> N, et al. The effect of certification and accreditation on quality management in 4 clinical services in 73 European hospitals. </w:t>
      </w:r>
      <w:proofErr w:type="spellStart"/>
      <w:r w:rsidRPr="006605F6">
        <w:t>Int</w:t>
      </w:r>
      <w:proofErr w:type="spellEnd"/>
      <w:r w:rsidRPr="006605F6">
        <w:t xml:space="preserve"> Qual Health Care 2014</w:t>
      </w:r>
      <w:proofErr w:type="gramStart"/>
      <w:r w:rsidRPr="006605F6">
        <w:t>;26</w:t>
      </w:r>
      <w:proofErr w:type="gramEnd"/>
      <w:r w:rsidRPr="006605F6">
        <w:t>(</w:t>
      </w:r>
      <w:proofErr w:type="spellStart"/>
      <w:r w:rsidRPr="006605F6">
        <w:t>Suppl</w:t>
      </w:r>
      <w:proofErr w:type="spellEnd"/>
      <w:r w:rsidRPr="006605F6">
        <w:t xml:space="preserve"> 1):100-7. </w:t>
      </w:r>
      <w:proofErr w:type="spellStart"/>
      <w:r w:rsidRPr="006605F6">
        <w:t>Epub</w:t>
      </w:r>
      <w:proofErr w:type="spellEnd"/>
      <w:r w:rsidRPr="006605F6">
        <w:t xml:space="preserve"> 9 March 2014.</w:t>
      </w:r>
      <w:bookmarkEnd w:id="23"/>
    </w:p>
    <w:p w14:paraId="0385FD5B" w14:textId="77777777" w:rsidR="00BC2953" w:rsidRPr="006605F6" w:rsidRDefault="00BC2953" w:rsidP="00BC2953">
      <w:pPr>
        <w:pStyle w:val="Normal2"/>
        <w:numPr>
          <w:ilvl w:val="0"/>
          <w:numId w:val="74"/>
        </w:numPr>
      </w:pPr>
      <w:r w:rsidRPr="006605F6">
        <w:t>Australian Commission on Safety and Quality in Health Care. Feedback from consultation on the draft version 2 of the NSQHS Standards. 2015 [unpublished].</w:t>
      </w:r>
    </w:p>
    <w:p w14:paraId="4655477A" w14:textId="77777777" w:rsidR="00BC2953" w:rsidRPr="006605F6" w:rsidRDefault="00BC2953" w:rsidP="00BC2953">
      <w:pPr>
        <w:pStyle w:val="Normal2"/>
        <w:numPr>
          <w:ilvl w:val="0"/>
          <w:numId w:val="74"/>
        </w:numPr>
      </w:pPr>
      <w:bookmarkStart w:id="24" w:name="_ENREF_45"/>
      <w:r w:rsidRPr="006605F6">
        <w:t>Australian Commission on Safety and Quality in Health Care. Antimicrobial Stewardship Clinical Care Standard. Sydney: ACSQHC, 2014.</w:t>
      </w:r>
      <w:bookmarkEnd w:id="24"/>
    </w:p>
    <w:p w14:paraId="50A3EEBB" w14:textId="77777777" w:rsidR="00BC2953" w:rsidRPr="006605F6" w:rsidRDefault="00BC2953" w:rsidP="00BC2953">
      <w:pPr>
        <w:pStyle w:val="Normal2"/>
        <w:numPr>
          <w:ilvl w:val="0"/>
          <w:numId w:val="74"/>
        </w:numPr>
      </w:pPr>
      <w:bookmarkStart w:id="25" w:name="_ENREF_46"/>
      <w:r w:rsidRPr="006605F6">
        <w:t>Australian Pharmaceutical Advisory Council. Guiding principles to achieve continuity in medication management. Canberra: Commonwealth of Australia, 2005.</w:t>
      </w:r>
      <w:bookmarkEnd w:id="25"/>
    </w:p>
    <w:p w14:paraId="3C0A6CDA" w14:textId="77777777" w:rsidR="00A63CF2" w:rsidRPr="00BC2953" w:rsidRDefault="00A63CF2" w:rsidP="00BC2953"/>
    <w:sectPr w:rsidR="00A63CF2" w:rsidRPr="00BC2953" w:rsidSect="00340C86">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1276"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29CB" w14:textId="77777777" w:rsidR="00786A42" w:rsidRDefault="00786A42">
      <w:r>
        <w:separator/>
      </w:r>
    </w:p>
  </w:endnote>
  <w:endnote w:type="continuationSeparator" w:id="0">
    <w:p w14:paraId="3F9F1C20" w14:textId="77777777" w:rsidR="00786A42" w:rsidRDefault="0078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45 Light">
    <w:altName w:val="Cambria"/>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47041117"/>
      <w:docPartObj>
        <w:docPartGallery w:val="Page Numbers (Bottom of Page)"/>
        <w:docPartUnique/>
      </w:docPartObj>
    </w:sdtPr>
    <w:sdtEndPr>
      <w:rPr>
        <w:noProof/>
      </w:rPr>
    </w:sdtEndPr>
    <w:sdtContent>
      <w:p w14:paraId="5453CDCC" w14:textId="316E6B4B" w:rsidR="00256607" w:rsidRPr="00B56E86" w:rsidRDefault="00256607" w:rsidP="00B56E86">
        <w:pPr>
          <w:pStyle w:val="Footer"/>
          <w:rPr>
            <w:sz w:val="18"/>
            <w:szCs w:val="18"/>
          </w:rPr>
        </w:pPr>
        <w:r w:rsidRPr="00B56E86">
          <w:rPr>
            <w:sz w:val="18"/>
            <w:szCs w:val="18"/>
          </w:rPr>
          <w:t>Australian Commission on Safety and Quality in Health Care</w:t>
        </w:r>
        <w:r w:rsidRPr="00B56E86">
          <w:rPr>
            <w:sz w:val="18"/>
            <w:szCs w:val="18"/>
          </w:rPr>
          <w:tab/>
        </w:r>
        <w:r w:rsidRPr="00B56E86">
          <w:rPr>
            <w:sz w:val="18"/>
            <w:szCs w:val="18"/>
          </w:rPr>
          <w:fldChar w:fldCharType="begin"/>
        </w:r>
        <w:r w:rsidRPr="00B56E86">
          <w:rPr>
            <w:sz w:val="18"/>
            <w:szCs w:val="18"/>
          </w:rPr>
          <w:instrText xml:space="preserve"> PAGE   \* MERGEFORMAT </w:instrText>
        </w:r>
        <w:r w:rsidRPr="00B56E86">
          <w:rPr>
            <w:sz w:val="18"/>
            <w:szCs w:val="18"/>
          </w:rPr>
          <w:fldChar w:fldCharType="separate"/>
        </w:r>
        <w:r w:rsidR="006A3C26">
          <w:rPr>
            <w:noProof/>
            <w:sz w:val="18"/>
            <w:szCs w:val="18"/>
          </w:rPr>
          <w:t>2</w:t>
        </w:r>
        <w:r w:rsidRPr="00B56E86">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C86E" w14:textId="77777777" w:rsidR="00256607" w:rsidRDefault="00256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37303164"/>
      <w:docPartObj>
        <w:docPartGallery w:val="Page Numbers (Bottom of Page)"/>
        <w:docPartUnique/>
      </w:docPartObj>
    </w:sdtPr>
    <w:sdtEndPr>
      <w:rPr>
        <w:noProof/>
      </w:rPr>
    </w:sdtEndPr>
    <w:sdtContent>
      <w:p w14:paraId="3B30EC7A" w14:textId="24890E03" w:rsidR="00256607" w:rsidRPr="00B56E86" w:rsidRDefault="00256607" w:rsidP="00B56E86">
        <w:pPr>
          <w:pStyle w:val="Footer"/>
          <w:rPr>
            <w:sz w:val="18"/>
            <w:szCs w:val="18"/>
          </w:rPr>
        </w:pPr>
        <w:r w:rsidRPr="00B56E86">
          <w:rPr>
            <w:sz w:val="18"/>
            <w:szCs w:val="18"/>
          </w:rPr>
          <w:t>Australian Commission on Safety and Quality in Health Care</w:t>
        </w:r>
        <w:r w:rsidRPr="00B56E86">
          <w:rPr>
            <w:sz w:val="18"/>
            <w:szCs w:val="18"/>
          </w:rPr>
          <w:tab/>
        </w:r>
        <w:r w:rsidRPr="00B56E86">
          <w:rPr>
            <w:sz w:val="18"/>
            <w:szCs w:val="18"/>
          </w:rPr>
          <w:fldChar w:fldCharType="begin"/>
        </w:r>
        <w:r w:rsidRPr="00B56E86">
          <w:rPr>
            <w:sz w:val="18"/>
            <w:szCs w:val="18"/>
          </w:rPr>
          <w:instrText xml:space="preserve"> PAGE   \* MERGEFORMAT </w:instrText>
        </w:r>
        <w:r w:rsidRPr="00B56E86">
          <w:rPr>
            <w:sz w:val="18"/>
            <w:szCs w:val="18"/>
          </w:rPr>
          <w:fldChar w:fldCharType="separate"/>
        </w:r>
        <w:r w:rsidR="006A3C26">
          <w:rPr>
            <w:noProof/>
            <w:sz w:val="18"/>
            <w:szCs w:val="18"/>
          </w:rPr>
          <w:t>60</w:t>
        </w:r>
        <w:r w:rsidRPr="00B56E86">
          <w:rPr>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9CD0" w14:textId="77777777" w:rsidR="00256607" w:rsidRPr="00B56E86" w:rsidRDefault="00256607" w:rsidP="00B56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FCF85" w14:textId="77777777" w:rsidR="00786A42" w:rsidRDefault="00786A42">
      <w:r>
        <w:separator/>
      </w:r>
    </w:p>
  </w:footnote>
  <w:footnote w:type="continuationSeparator" w:id="0">
    <w:p w14:paraId="27E91A1A" w14:textId="77777777" w:rsidR="00786A42" w:rsidRDefault="0078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822F" w14:textId="3DE9E657" w:rsidR="00256607" w:rsidRPr="003D6BB8" w:rsidRDefault="006A3C26" w:rsidP="006C49DD">
    <w:pPr>
      <w:pStyle w:val="Header"/>
      <w:rPr>
        <w:szCs w:val="18"/>
      </w:rPr>
    </w:pPr>
    <w:r>
      <w:fldChar w:fldCharType="begin"/>
    </w:r>
    <w:r>
      <w:instrText xml:space="preserve"> STYLEREF  "RIS Title"  \* MERGEFORMAT </w:instrText>
    </w:r>
    <w:r>
      <w:fldChar w:fldCharType="separate"/>
    </w:r>
    <w:r>
      <w:rPr>
        <w:noProof/>
      </w:rPr>
      <w:t>DECISION</w:t>
    </w:r>
    <w:r>
      <w:rPr>
        <w:noProof/>
      </w:rPr>
      <w:fldChar w:fldCharType="end"/>
    </w:r>
    <w:r w:rsidR="00256607">
      <w:t xml:space="preserve"> </w:t>
    </w:r>
    <w:r>
      <w:fldChar w:fldCharType="begin"/>
    </w:r>
    <w:r>
      <w:instrText xml:space="preserve"> STYLEREF  "RIS Title 2"  \* MERGEFORMAT </w:instrText>
    </w:r>
    <w:r>
      <w:fldChar w:fldCharType="separate"/>
    </w:r>
    <w:r>
      <w:rPr>
        <w:noProof/>
      </w:rPr>
      <w:t>Regulation Impact Statement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79A9" w14:textId="77777777" w:rsidR="00256607" w:rsidRDefault="002566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FCDD" w14:textId="1CDD62F9" w:rsidR="00256607" w:rsidRPr="003D6BB8" w:rsidRDefault="006A3C26" w:rsidP="006C49DD">
    <w:pPr>
      <w:pStyle w:val="Header"/>
      <w:rPr>
        <w:szCs w:val="18"/>
      </w:rPr>
    </w:pPr>
    <w:r>
      <w:fldChar w:fldCharType="begin"/>
    </w:r>
    <w:r>
      <w:instrText xml:space="preserve"> STYLEREF  "RIS Title"  \* MERGEFORMAT </w:instrText>
    </w:r>
    <w:r>
      <w:fldChar w:fldCharType="separate"/>
    </w:r>
    <w:r w:rsidRPr="006A3C26">
      <w:rPr>
        <w:b/>
        <w:bCs/>
        <w:noProof/>
        <w:lang w:val="en-US"/>
      </w:rPr>
      <w:t>DECISION</w:t>
    </w:r>
    <w:r>
      <w:rPr>
        <w:b/>
        <w:bCs/>
        <w:noProof/>
        <w:lang w:val="en-US"/>
      </w:rPr>
      <w:fldChar w:fldCharType="end"/>
    </w:r>
    <w:r w:rsidR="00256607">
      <w:t xml:space="preserve"> </w:t>
    </w:r>
    <w:r>
      <w:fldChar w:fldCharType="begin"/>
    </w:r>
    <w:r>
      <w:instrText xml:space="preserve"> STYLEREF  "RIS Title 2"  \* MERGEFORMAT </w:instrText>
    </w:r>
    <w:r>
      <w:fldChar w:fldCharType="separate"/>
    </w:r>
    <w:r w:rsidRPr="006A3C26">
      <w:rPr>
        <w:b/>
        <w:bCs/>
        <w:noProof/>
        <w:lang w:val="en-US"/>
      </w:rPr>
      <w:t>Regulation Impact Statement</w:t>
    </w:r>
    <w:r>
      <w:rPr>
        <w:b/>
        <w:bCs/>
        <w:noProof/>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053B" w14:textId="77777777" w:rsidR="00256607" w:rsidRDefault="00256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8A36D8"/>
    <w:multiLevelType w:val="multilevel"/>
    <w:tmpl w:val="EBE8D798"/>
    <w:numStyleLink w:val="Style1"/>
  </w:abstractNum>
  <w:abstractNum w:abstractNumId="3">
    <w:nsid w:val="08CB0E66"/>
    <w:multiLevelType w:val="multilevel"/>
    <w:tmpl w:val="EBE8D798"/>
    <w:numStyleLink w:val="Style1"/>
  </w:abstractNum>
  <w:abstractNum w:abstractNumId="4">
    <w:nsid w:val="0AC017F5"/>
    <w:multiLevelType w:val="multilevel"/>
    <w:tmpl w:val="EBE8D798"/>
    <w:numStyleLink w:val="Style1"/>
  </w:abstractNum>
  <w:abstractNum w:abstractNumId="5">
    <w:nsid w:val="0CD73543"/>
    <w:multiLevelType w:val="multilevel"/>
    <w:tmpl w:val="EBE8D798"/>
    <w:numStyleLink w:val="Style1"/>
  </w:abstractNum>
  <w:abstractNum w:abstractNumId="6">
    <w:nsid w:val="0DFC2EED"/>
    <w:multiLevelType w:val="multilevel"/>
    <w:tmpl w:val="EBE8D798"/>
    <w:numStyleLink w:val="Style1"/>
  </w:abstractNum>
  <w:abstractNum w:abstractNumId="7">
    <w:nsid w:val="0E8B2ECE"/>
    <w:multiLevelType w:val="multilevel"/>
    <w:tmpl w:val="EBE8D798"/>
    <w:numStyleLink w:val="Style1"/>
  </w:abstractNum>
  <w:abstractNum w:abstractNumId="8">
    <w:nsid w:val="0F1B1F76"/>
    <w:multiLevelType w:val="multilevel"/>
    <w:tmpl w:val="EBE8D798"/>
    <w:numStyleLink w:val="Style1"/>
  </w:abstractNum>
  <w:abstractNum w:abstractNumId="9">
    <w:nsid w:val="106C21FB"/>
    <w:multiLevelType w:val="multilevel"/>
    <w:tmpl w:val="EBE8D798"/>
    <w:numStyleLink w:val="Style1"/>
  </w:abstractNum>
  <w:abstractNum w:abstractNumId="10">
    <w:nsid w:val="114E2136"/>
    <w:multiLevelType w:val="multilevel"/>
    <w:tmpl w:val="EBE8D798"/>
    <w:numStyleLink w:val="Style1"/>
  </w:abstractNum>
  <w:abstractNum w:abstractNumId="11">
    <w:nsid w:val="13A95DCE"/>
    <w:multiLevelType w:val="multilevel"/>
    <w:tmpl w:val="EBE8D798"/>
    <w:numStyleLink w:val="Style1"/>
  </w:abstractNum>
  <w:abstractNum w:abstractNumId="12">
    <w:nsid w:val="148C642D"/>
    <w:multiLevelType w:val="multilevel"/>
    <w:tmpl w:val="EBE8D798"/>
    <w:numStyleLink w:val="Style1"/>
  </w:abstractNum>
  <w:abstractNum w:abstractNumId="13">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B5382"/>
    <w:multiLevelType w:val="multilevel"/>
    <w:tmpl w:val="EBE8D798"/>
    <w:numStyleLink w:val="Style1"/>
  </w:abstractNum>
  <w:abstractNum w:abstractNumId="15">
    <w:nsid w:val="1EE627A7"/>
    <w:multiLevelType w:val="multilevel"/>
    <w:tmpl w:val="EBE8D798"/>
    <w:numStyleLink w:val="Style1"/>
  </w:abstractNum>
  <w:abstractNum w:abstractNumId="16">
    <w:nsid w:val="1F5F40DF"/>
    <w:multiLevelType w:val="multilevel"/>
    <w:tmpl w:val="EBE8D798"/>
    <w:numStyleLink w:val="Style1"/>
  </w:abstractNum>
  <w:abstractNum w:abstractNumId="17">
    <w:nsid w:val="21515E00"/>
    <w:multiLevelType w:val="multilevel"/>
    <w:tmpl w:val="EBE8D798"/>
    <w:numStyleLink w:val="Style1"/>
  </w:abstractNum>
  <w:abstractNum w:abstractNumId="18">
    <w:nsid w:val="21516A3A"/>
    <w:multiLevelType w:val="multilevel"/>
    <w:tmpl w:val="EBE8D798"/>
    <w:numStyleLink w:val="Style1"/>
  </w:abstractNum>
  <w:abstractNum w:abstractNumId="19">
    <w:nsid w:val="23FA6220"/>
    <w:multiLevelType w:val="multilevel"/>
    <w:tmpl w:val="EBE8D798"/>
    <w:numStyleLink w:val="Style1"/>
  </w:abstractNum>
  <w:abstractNum w:abstractNumId="20">
    <w:nsid w:val="24E404EB"/>
    <w:multiLevelType w:val="multilevel"/>
    <w:tmpl w:val="EBE8D798"/>
    <w:numStyleLink w:val="Style1"/>
  </w:abstractNum>
  <w:abstractNum w:abstractNumId="21">
    <w:nsid w:val="253B77E9"/>
    <w:multiLevelType w:val="multilevel"/>
    <w:tmpl w:val="EBE8D798"/>
    <w:numStyleLink w:val="Style1"/>
  </w:abstractNum>
  <w:abstractNum w:abstractNumId="22">
    <w:nsid w:val="257F40A6"/>
    <w:multiLevelType w:val="multilevel"/>
    <w:tmpl w:val="EBE8D798"/>
    <w:numStyleLink w:val="Style1"/>
  </w:abstractNum>
  <w:abstractNum w:abstractNumId="23">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68503BA"/>
    <w:multiLevelType w:val="multilevel"/>
    <w:tmpl w:val="EBE8D798"/>
    <w:numStyleLink w:val="Style1"/>
  </w:abstractNum>
  <w:abstractNum w:abstractNumId="25">
    <w:nsid w:val="26F53213"/>
    <w:multiLevelType w:val="multilevel"/>
    <w:tmpl w:val="EBE8D798"/>
    <w:numStyleLink w:val="Style1"/>
  </w:abstractNum>
  <w:abstractNum w:abstractNumId="26">
    <w:nsid w:val="294028E8"/>
    <w:multiLevelType w:val="multilevel"/>
    <w:tmpl w:val="EBE8D798"/>
    <w:numStyleLink w:val="Style1"/>
  </w:abstractNum>
  <w:abstractNum w:abstractNumId="27">
    <w:nsid w:val="2E413791"/>
    <w:multiLevelType w:val="multilevel"/>
    <w:tmpl w:val="EBE8D798"/>
    <w:numStyleLink w:val="Style1"/>
  </w:abstractNum>
  <w:abstractNum w:abstractNumId="28">
    <w:nsid w:val="2E792356"/>
    <w:multiLevelType w:val="multilevel"/>
    <w:tmpl w:val="EBE8D798"/>
    <w:numStyleLink w:val="Style1"/>
  </w:abstractNum>
  <w:abstractNum w:abstractNumId="29">
    <w:nsid w:val="2F2977DA"/>
    <w:multiLevelType w:val="multilevel"/>
    <w:tmpl w:val="EBE8D798"/>
    <w:numStyleLink w:val="Style1"/>
  </w:abstractNum>
  <w:abstractNum w:abstractNumId="30">
    <w:nsid w:val="30961B78"/>
    <w:multiLevelType w:val="multilevel"/>
    <w:tmpl w:val="EBE8D798"/>
    <w:numStyleLink w:val="Style1"/>
  </w:abstractNum>
  <w:abstractNum w:abstractNumId="31">
    <w:nsid w:val="314D1B20"/>
    <w:multiLevelType w:val="hybridMultilevel"/>
    <w:tmpl w:val="3FB6746C"/>
    <w:lvl w:ilvl="0" w:tplc="74CAF1CA">
      <w:start w:val="1"/>
      <w:numFmt w:val="decimal"/>
      <w:lvlText w:val="%1."/>
      <w:lvlJc w:val="left"/>
      <w:pPr>
        <w:ind w:left="6674" w:hanging="720"/>
      </w:pPr>
      <w:rPr>
        <w:rFonts w:hint="default"/>
      </w:rPr>
    </w:lvl>
    <w:lvl w:ilvl="1" w:tplc="0C090019">
      <w:start w:val="1"/>
      <w:numFmt w:val="lowerLetter"/>
      <w:lvlText w:val="%2."/>
      <w:lvlJc w:val="left"/>
      <w:pPr>
        <w:ind w:left="1440" w:hanging="360"/>
      </w:pPr>
    </w:lvl>
    <w:lvl w:ilvl="2" w:tplc="E3561F2E">
      <w:start w:val="1"/>
      <w:numFmt w:val="lowerLetter"/>
      <w:pStyle w:val="Numberlistlevel2"/>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1CD42CF"/>
    <w:multiLevelType w:val="multilevel"/>
    <w:tmpl w:val="EBE8D798"/>
    <w:numStyleLink w:val="Style1"/>
  </w:abstractNum>
  <w:abstractNum w:abstractNumId="33">
    <w:nsid w:val="325C23F9"/>
    <w:multiLevelType w:val="multilevel"/>
    <w:tmpl w:val="EBE8D798"/>
    <w:styleLink w:val="Style1"/>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Wingdings" w:hAnsi="Wingdings" w:hint="default"/>
      </w:rPr>
    </w:lvl>
    <w:lvl w:ilvl="3">
      <w:start w:val="1"/>
      <w:numFmt w:val="bullet"/>
      <w:lvlText w:val="o"/>
      <w:lvlJc w:val="left"/>
      <w:pPr>
        <w:ind w:left="1136" w:hanging="284"/>
      </w:pPr>
      <w:rPr>
        <w:rFonts w:ascii="Courier New" w:hAnsi="Courier New"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4">
    <w:nsid w:val="3289701C"/>
    <w:multiLevelType w:val="multilevel"/>
    <w:tmpl w:val="EBE8D798"/>
    <w:numStyleLink w:val="Style1"/>
  </w:abstractNum>
  <w:abstractNum w:abstractNumId="35">
    <w:nsid w:val="32A363AB"/>
    <w:multiLevelType w:val="multilevel"/>
    <w:tmpl w:val="EBE8D798"/>
    <w:numStyleLink w:val="Style1"/>
  </w:abstractNum>
  <w:abstractNum w:abstractNumId="36">
    <w:nsid w:val="34BB24A3"/>
    <w:multiLevelType w:val="multilevel"/>
    <w:tmpl w:val="EBE8D798"/>
    <w:numStyleLink w:val="Style1"/>
  </w:abstractNum>
  <w:abstractNum w:abstractNumId="37">
    <w:nsid w:val="3B1F5ED9"/>
    <w:multiLevelType w:val="multilevel"/>
    <w:tmpl w:val="EBE8D798"/>
    <w:numStyleLink w:val="Style1"/>
  </w:abstractNum>
  <w:abstractNum w:abstractNumId="38">
    <w:nsid w:val="3B5731CF"/>
    <w:multiLevelType w:val="multilevel"/>
    <w:tmpl w:val="EBE8D798"/>
    <w:numStyleLink w:val="Style1"/>
  </w:abstractNum>
  <w:abstractNum w:abstractNumId="39">
    <w:nsid w:val="3C2A567B"/>
    <w:multiLevelType w:val="multilevel"/>
    <w:tmpl w:val="EBE8D798"/>
    <w:numStyleLink w:val="Style1"/>
  </w:abstractNum>
  <w:abstractNum w:abstractNumId="40">
    <w:nsid w:val="3D163195"/>
    <w:multiLevelType w:val="multilevel"/>
    <w:tmpl w:val="EBE8D798"/>
    <w:numStyleLink w:val="Style1"/>
  </w:abstractNum>
  <w:abstractNum w:abstractNumId="41">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34038CF"/>
    <w:multiLevelType w:val="multilevel"/>
    <w:tmpl w:val="EBE8D798"/>
    <w:numStyleLink w:val="Style1"/>
  </w:abstractNum>
  <w:abstractNum w:abstractNumId="43">
    <w:nsid w:val="43CF2223"/>
    <w:multiLevelType w:val="multilevel"/>
    <w:tmpl w:val="EBE8D798"/>
    <w:numStyleLink w:val="Style1"/>
  </w:abstractNum>
  <w:abstractNum w:abstractNumId="44">
    <w:nsid w:val="455E6A34"/>
    <w:multiLevelType w:val="multilevel"/>
    <w:tmpl w:val="648E31AE"/>
    <w:numStyleLink w:val="RISList2"/>
  </w:abstractNum>
  <w:abstractNum w:abstractNumId="45">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49AE49BB"/>
    <w:multiLevelType w:val="multilevel"/>
    <w:tmpl w:val="EBE8D798"/>
    <w:numStyleLink w:val="Style1"/>
  </w:abstractNum>
  <w:abstractNum w:abstractNumId="47">
    <w:nsid w:val="4B6931A0"/>
    <w:multiLevelType w:val="multilevel"/>
    <w:tmpl w:val="EBE8D798"/>
    <w:numStyleLink w:val="Style1"/>
  </w:abstractNum>
  <w:abstractNum w:abstractNumId="48">
    <w:nsid w:val="4D2839E7"/>
    <w:multiLevelType w:val="multilevel"/>
    <w:tmpl w:val="648E31AE"/>
    <w:styleLink w:val="RISList2"/>
    <w:lvl w:ilvl="0">
      <w:start w:val="1"/>
      <w:numFmt w:val="decimal"/>
      <w:lvlText w:val="%1."/>
      <w:lvlJc w:val="left"/>
      <w:pPr>
        <w:ind w:left="397" w:hanging="397"/>
      </w:pPr>
      <w:rPr>
        <w:rFonts w:hint="default"/>
      </w:rPr>
    </w:lvl>
    <w:lvl w:ilvl="1">
      <w:start w:val="1"/>
      <w:numFmt w:val="lowerLetter"/>
      <w:lvlText w:val="%2."/>
      <w:lvlJc w:val="left"/>
      <w:pPr>
        <w:ind w:left="681" w:hanging="397"/>
      </w:pPr>
      <w:rPr>
        <w:rFonts w:hint="default"/>
      </w:rPr>
    </w:lvl>
    <w:lvl w:ilvl="2">
      <w:start w:val="1"/>
      <w:numFmt w:val="lowerRoman"/>
      <w:lvlText w:val="%3)"/>
      <w:lvlJc w:val="left"/>
      <w:pPr>
        <w:ind w:left="965" w:hanging="397"/>
      </w:pPr>
      <w:rPr>
        <w:rFonts w:hint="default"/>
      </w:rPr>
    </w:lvl>
    <w:lvl w:ilvl="3">
      <w:start w:val="1"/>
      <w:numFmt w:val="decimal"/>
      <w:lvlText w:val="(%4)"/>
      <w:lvlJc w:val="left"/>
      <w:pPr>
        <w:ind w:left="1249" w:hanging="397"/>
      </w:pPr>
      <w:rPr>
        <w:rFonts w:hint="default"/>
      </w:rPr>
    </w:lvl>
    <w:lvl w:ilvl="4">
      <w:start w:val="1"/>
      <w:numFmt w:val="lowerLetter"/>
      <w:lvlText w:val="(%5)"/>
      <w:lvlJc w:val="left"/>
      <w:pPr>
        <w:ind w:left="1533" w:hanging="397"/>
      </w:pPr>
      <w:rPr>
        <w:rFonts w:hint="default"/>
      </w:rPr>
    </w:lvl>
    <w:lvl w:ilvl="5">
      <w:start w:val="1"/>
      <w:numFmt w:val="lowerRoman"/>
      <w:lvlText w:val="(%6)"/>
      <w:lvlJc w:val="left"/>
      <w:pPr>
        <w:ind w:left="1817" w:hanging="397"/>
      </w:pPr>
      <w:rPr>
        <w:rFonts w:hint="default"/>
      </w:rPr>
    </w:lvl>
    <w:lvl w:ilvl="6">
      <w:start w:val="1"/>
      <w:numFmt w:val="decimal"/>
      <w:lvlText w:val="%7."/>
      <w:lvlJc w:val="left"/>
      <w:pPr>
        <w:ind w:left="2101" w:hanging="397"/>
      </w:pPr>
      <w:rPr>
        <w:rFonts w:hint="default"/>
      </w:rPr>
    </w:lvl>
    <w:lvl w:ilvl="7">
      <w:start w:val="1"/>
      <w:numFmt w:val="lowerLetter"/>
      <w:lvlText w:val="%8."/>
      <w:lvlJc w:val="left"/>
      <w:pPr>
        <w:ind w:left="2385" w:hanging="397"/>
      </w:pPr>
      <w:rPr>
        <w:rFonts w:hint="default"/>
      </w:rPr>
    </w:lvl>
    <w:lvl w:ilvl="8">
      <w:start w:val="1"/>
      <w:numFmt w:val="lowerRoman"/>
      <w:lvlText w:val="%9."/>
      <w:lvlJc w:val="left"/>
      <w:pPr>
        <w:ind w:left="2669" w:hanging="397"/>
      </w:pPr>
      <w:rPr>
        <w:rFonts w:hint="default"/>
      </w:rPr>
    </w:lvl>
  </w:abstractNum>
  <w:abstractNum w:abstractNumId="49">
    <w:nsid w:val="4EA5676D"/>
    <w:multiLevelType w:val="multilevel"/>
    <w:tmpl w:val="D97E68A0"/>
    <w:lvl w:ilvl="0">
      <w:start w:val="1"/>
      <w:numFmt w:val="bullet"/>
      <w:pStyle w:val="bullet"/>
      <w:lvlText w:val=""/>
      <w:lvlJc w:val="left"/>
      <w:pPr>
        <w:ind w:left="360" w:hanging="360"/>
      </w:pPr>
      <w:rPr>
        <w:rFonts w:ascii="Symbol" w:hAnsi="Symbol" w:hint="default"/>
        <w:color w:val="BF1F5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F126E7"/>
    <w:multiLevelType w:val="multilevel"/>
    <w:tmpl w:val="EBE8D798"/>
    <w:numStyleLink w:val="Style1"/>
  </w:abstractNum>
  <w:abstractNum w:abstractNumId="51">
    <w:nsid w:val="4FFF291E"/>
    <w:multiLevelType w:val="multilevel"/>
    <w:tmpl w:val="EBE8D798"/>
    <w:numStyleLink w:val="Style1"/>
  </w:abstractNum>
  <w:abstractNum w:abstractNumId="52">
    <w:nsid w:val="51DB7E95"/>
    <w:multiLevelType w:val="multilevel"/>
    <w:tmpl w:val="EBE8D798"/>
    <w:numStyleLink w:val="Style1"/>
  </w:abstractNum>
  <w:abstractNum w:abstractNumId="53">
    <w:nsid w:val="542603EB"/>
    <w:multiLevelType w:val="multilevel"/>
    <w:tmpl w:val="EBE8D798"/>
    <w:numStyleLink w:val="Style1"/>
  </w:abstractNum>
  <w:abstractNum w:abstractNumId="54">
    <w:nsid w:val="57EC35A5"/>
    <w:multiLevelType w:val="multilevel"/>
    <w:tmpl w:val="EBE8D798"/>
    <w:numStyleLink w:val="Style1"/>
  </w:abstractNum>
  <w:abstractNum w:abstractNumId="55">
    <w:nsid w:val="58253A6C"/>
    <w:multiLevelType w:val="multilevel"/>
    <w:tmpl w:val="EBE8D798"/>
    <w:numStyleLink w:val="Style1"/>
  </w:abstractNum>
  <w:abstractNum w:abstractNumId="56">
    <w:nsid w:val="58854032"/>
    <w:multiLevelType w:val="multilevel"/>
    <w:tmpl w:val="49886D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CommissionHeading3"/>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8BD237C"/>
    <w:multiLevelType w:val="multilevel"/>
    <w:tmpl w:val="EBE8D798"/>
    <w:numStyleLink w:val="Style1"/>
  </w:abstractNum>
  <w:abstractNum w:abstractNumId="58">
    <w:nsid w:val="58BF6243"/>
    <w:multiLevelType w:val="multilevel"/>
    <w:tmpl w:val="EBE8D798"/>
    <w:numStyleLink w:val="Style1"/>
  </w:abstractNum>
  <w:abstractNum w:abstractNumId="59">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F05201F"/>
    <w:multiLevelType w:val="multilevel"/>
    <w:tmpl w:val="EBE8D798"/>
    <w:numStyleLink w:val="Style1"/>
  </w:abstractNum>
  <w:abstractNum w:abstractNumId="61">
    <w:nsid w:val="60415C43"/>
    <w:multiLevelType w:val="multilevel"/>
    <w:tmpl w:val="EBE8D798"/>
    <w:numStyleLink w:val="Style1"/>
  </w:abstractNum>
  <w:abstractNum w:abstractNumId="62">
    <w:nsid w:val="605F6272"/>
    <w:multiLevelType w:val="multilevel"/>
    <w:tmpl w:val="EBE8D798"/>
    <w:numStyleLink w:val="Style1"/>
  </w:abstractNum>
  <w:abstractNum w:abstractNumId="63">
    <w:nsid w:val="60AA337C"/>
    <w:multiLevelType w:val="multilevel"/>
    <w:tmpl w:val="EBE8D798"/>
    <w:numStyleLink w:val="Style1"/>
  </w:abstractNum>
  <w:abstractNum w:abstractNumId="64">
    <w:nsid w:val="6240059D"/>
    <w:multiLevelType w:val="multilevel"/>
    <w:tmpl w:val="EBE8D798"/>
    <w:numStyleLink w:val="Style1"/>
  </w:abstractNum>
  <w:abstractNum w:abstractNumId="65">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A5F7EB9"/>
    <w:multiLevelType w:val="multilevel"/>
    <w:tmpl w:val="EBE8D798"/>
    <w:numStyleLink w:val="Style1"/>
  </w:abstractNum>
  <w:abstractNum w:abstractNumId="67">
    <w:nsid w:val="6A7A13BF"/>
    <w:multiLevelType w:val="multilevel"/>
    <w:tmpl w:val="EBE8D798"/>
    <w:numStyleLink w:val="Style1"/>
  </w:abstractNum>
  <w:abstractNum w:abstractNumId="68">
    <w:nsid w:val="6C4605D3"/>
    <w:multiLevelType w:val="multilevel"/>
    <w:tmpl w:val="EBE8D798"/>
    <w:numStyleLink w:val="Style1"/>
  </w:abstractNum>
  <w:abstractNum w:abstractNumId="69">
    <w:nsid w:val="6CB405C2"/>
    <w:multiLevelType w:val="multilevel"/>
    <w:tmpl w:val="EBE8D798"/>
    <w:numStyleLink w:val="Style1"/>
  </w:abstractNum>
  <w:abstractNum w:abstractNumId="70">
    <w:nsid w:val="6DC60D49"/>
    <w:multiLevelType w:val="multilevel"/>
    <w:tmpl w:val="EBE8D798"/>
    <w:numStyleLink w:val="Style1"/>
  </w:abstractNum>
  <w:abstractNum w:abstractNumId="71">
    <w:nsid w:val="6E200526"/>
    <w:multiLevelType w:val="multilevel"/>
    <w:tmpl w:val="EBE8D798"/>
    <w:numStyleLink w:val="Style1"/>
  </w:abstractNum>
  <w:abstractNum w:abstractNumId="72">
    <w:nsid w:val="6F8D4ABB"/>
    <w:multiLevelType w:val="multilevel"/>
    <w:tmpl w:val="EBE8D798"/>
    <w:numStyleLink w:val="Style1"/>
  </w:abstractNum>
  <w:abstractNum w:abstractNumId="73">
    <w:nsid w:val="713B3C43"/>
    <w:multiLevelType w:val="multilevel"/>
    <w:tmpl w:val="EBE8D798"/>
    <w:numStyleLink w:val="Style1"/>
  </w:abstractNum>
  <w:abstractNum w:abstractNumId="74">
    <w:nsid w:val="728C3CFE"/>
    <w:multiLevelType w:val="multilevel"/>
    <w:tmpl w:val="EBE8D798"/>
    <w:numStyleLink w:val="Style1"/>
  </w:abstractNum>
  <w:abstractNum w:abstractNumId="75">
    <w:nsid w:val="734031A5"/>
    <w:multiLevelType w:val="multilevel"/>
    <w:tmpl w:val="EBE8D798"/>
    <w:numStyleLink w:val="Style1"/>
  </w:abstractNum>
  <w:abstractNum w:abstractNumId="76">
    <w:nsid w:val="739B3F50"/>
    <w:multiLevelType w:val="multilevel"/>
    <w:tmpl w:val="648E31AE"/>
    <w:numStyleLink w:val="RISList2"/>
  </w:abstractNum>
  <w:abstractNum w:abstractNumId="77">
    <w:nsid w:val="76352F8D"/>
    <w:multiLevelType w:val="multilevel"/>
    <w:tmpl w:val="EBE8D798"/>
    <w:numStyleLink w:val="Style1"/>
  </w:abstractNum>
  <w:abstractNum w:abstractNumId="78">
    <w:nsid w:val="78E81FDC"/>
    <w:multiLevelType w:val="hybridMultilevel"/>
    <w:tmpl w:val="64322F66"/>
    <w:lvl w:ilvl="0" w:tplc="A79EC4F8">
      <w:start w:val="1"/>
      <w:numFmt w:val="bullet"/>
      <w:pStyle w:val="BulletBeforeDash"/>
      <w:lvlText w:val="•"/>
      <w:lvlJc w:val="left"/>
      <w:pPr>
        <w:tabs>
          <w:tab w:val="num" w:pos="360"/>
        </w:tabs>
        <w:ind w:left="360" w:hanging="360"/>
      </w:pPr>
      <w:rPr>
        <w:rFonts w:hint="default"/>
      </w:rPr>
    </w:lvl>
    <w:lvl w:ilvl="1" w:tplc="5BE261E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7A880269"/>
    <w:multiLevelType w:val="multilevel"/>
    <w:tmpl w:val="EBE8D798"/>
    <w:numStyleLink w:val="Style1"/>
  </w:abstractNum>
  <w:abstractNum w:abstractNumId="80">
    <w:nsid w:val="7D766CC0"/>
    <w:multiLevelType w:val="multilevel"/>
    <w:tmpl w:val="EBE8D798"/>
    <w:numStyleLink w:val="Style1"/>
  </w:abstractNum>
  <w:num w:numId="1">
    <w:abstractNumId w:val="49"/>
  </w:num>
  <w:num w:numId="2">
    <w:abstractNumId w:val="56"/>
  </w:num>
  <w:num w:numId="3">
    <w:abstractNumId w:val="31"/>
  </w:num>
  <w:num w:numId="4">
    <w:abstractNumId w:val="45"/>
  </w:num>
  <w:num w:numId="5">
    <w:abstractNumId w:val="59"/>
  </w:num>
  <w:num w:numId="6">
    <w:abstractNumId w:val="78"/>
  </w:num>
  <w:num w:numId="7">
    <w:abstractNumId w:val="1"/>
  </w:num>
  <w:num w:numId="8">
    <w:abstractNumId w:val="0"/>
  </w:num>
  <w:num w:numId="9">
    <w:abstractNumId w:val="65"/>
  </w:num>
  <w:num w:numId="10">
    <w:abstractNumId w:val="23"/>
  </w:num>
  <w:num w:numId="11">
    <w:abstractNumId w:val="13"/>
  </w:num>
  <w:num w:numId="12">
    <w:abstractNumId w:val="41"/>
  </w:num>
  <w:num w:numId="13">
    <w:abstractNumId w:val="33"/>
  </w:num>
  <w:num w:numId="14">
    <w:abstractNumId w:val="38"/>
  </w:num>
  <w:num w:numId="15">
    <w:abstractNumId w:val="67"/>
  </w:num>
  <w:num w:numId="16">
    <w:abstractNumId w:val="28"/>
  </w:num>
  <w:num w:numId="17">
    <w:abstractNumId w:val="9"/>
  </w:num>
  <w:num w:numId="18">
    <w:abstractNumId w:val="10"/>
  </w:num>
  <w:num w:numId="19">
    <w:abstractNumId w:val="19"/>
  </w:num>
  <w:num w:numId="20">
    <w:abstractNumId w:val="20"/>
  </w:num>
  <w:num w:numId="21">
    <w:abstractNumId w:val="25"/>
  </w:num>
  <w:num w:numId="22">
    <w:abstractNumId w:val="35"/>
  </w:num>
  <w:num w:numId="23">
    <w:abstractNumId w:val="75"/>
  </w:num>
  <w:num w:numId="24">
    <w:abstractNumId w:val="57"/>
  </w:num>
  <w:num w:numId="25">
    <w:abstractNumId w:val="11"/>
  </w:num>
  <w:num w:numId="26">
    <w:abstractNumId w:val="63"/>
  </w:num>
  <w:num w:numId="27">
    <w:abstractNumId w:val="42"/>
  </w:num>
  <w:num w:numId="28">
    <w:abstractNumId w:val="26"/>
  </w:num>
  <w:num w:numId="29">
    <w:abstractNumId w:val="12"/>
  </w:num>
  <w:num w:numId="30">
    <w:abstractNumId w:val="58"/>
  </w:num>
  <w:num w:numId="31">
    <w:abstractNumId w:val="36"/>
  </w:num>
  <w:num w:numId="32">
    <w:abstractNumId w:val="30"/>
  </w:num>
  <w:num w:numId="33">
    <w:abstractNumId w:val="51"/>
  </w:num>
  <w:num w:numId="34">
    <w:abstractNumId w:val="80"/>
  </w:num>
  <w:num w:numId="35">
    <w:abstractNumId w:val="5"/>
  </w:num>
  <w:num w:numId="36">
    <w:abstractNumId w:val="7"/>
  </w:num>
  <w:num w:numId="37">
    <w:abstractNumId w:val="24"/>
  </w:num>
  <w:num w:numId="38">
    <w:abstractNumId w:val="48"/>
  </w:num>
  <w:num w:numId="39">
    <w:abstractNumId w:val="76"/>
  </w:num>
  <w:num w:numId="40">
    <w:abstractNumId w:val="69"/>
  </w:num>
  <w:num w:numId="41">
    <w:abstractNumId w:val="6"/>
  </w:num>
  <w:num w:numId="42">
    <w:abstractNumId w:val="53"/>
  </w:num>
  <w:num w:numId="43">
    <w:abstractNumId w:val="55"/>
  </w:num>
  <w:num w:numId="44">
    <w:abstractNumId w:val="27"/>
  </w:num>
  <w:num w:numId="45">
    <w:abstractNumId w:val="61"/>
  </w:num>
  <w:num w:numId="46">
    <w:abstractNumId w:val="39"/>
  </w:num>
  <w:num w:numId="47">
    <w:abstractNumId w:val="77"/>
  </w:num>
  <w:num w:numId="48">
    <w:abstractNumId w:val="8"/>
  </w:num>
  <w:num w:numId="49">
    <w:abstractNumId w:val="15"/>
  </w:num>
  <w:num w:numId="50">
    <w:abstractNumId w:val="3"/>
  </w:num>
  <w:num w:numId="51">
    <w:abstractNumId w:val="18"/>
  </w:num>
  <w:num w:numId="52">
    <w:abstractNumId w:val="2"/>
  </w:num>
  <w:num w:numId="53">
    <w:abstractNumId w:val="79"/>
  </w:num>
  <w:num w:numId="54">
    <w:abstractNumId w:val="17"/>
  </w:num>
  <w:num w:numId="55">
    <w:abstractNumId w:val="68"/>
  </w:num>
  <w:num w:numId="56">
    <w:abstractNumId w:val="74"/>
  </w:num>
  <w:num w:numId="57">
    <w:abstractNumId w:val="29"/>
  </w:num>
  <w:num w:numId="58">
    <w:abstractNumId w:val="50"/>
  </w:num>
  <w:num w:numId="59">
    <w:abstractNumId w:val="32"/>
  </w:num>
  <w:num w:numId="60">
    <w:abstractNumId w:val="47"/>
  </w:num>
  <w:num w:numId="61">
    <w:abstractNumId w:val="16"/>
  </w:num>
  <w:num w:numId="62">
    <w:abstractNumId w:val="73"/>
  </w:num>
  <w:num w:numId="63">
    <w:abstractNumId w:val="62"/>
  </w:num>
  <w:num w:numId="64">
    <w:abstractNumId w:val="14"/>
  </w:num>
  <w:num w:numId="65">
    <w:abstractNumId w:val="60"/>
  </w:num>
  <w:num w:numId="66">
    <w:abstractNumId w:val="34"/>
  </w:num>
  <w:num w:numId="67">
    <w:abstractNumId w:val="22"/>
  </w:num>
  <w:num w:numId="68">
    <w:abstractNumId w:val="66"/>
  </w:num>
  <w:num w:numId="69">
    <w:abstractNumId w:val="46"/>
  </w:num>
  <w:num w:numId="70">
    <w:abstractNumId w:val="52"/>
  </w:num>
  <w:num w:numId="71">
    <w:abstractNumId w:val="64"/>
  </w:num>
  <w:num w:numId="72">
    <w:abstractNumId w:val="72"/>
  </w:num>
  <w:num w:numId="73">
    <w:abstractNumId w:val="40"/>
  </w:num>
  <w:num w:numId="74">
    <w:abstractNumId w:val="44"/>
  </w:num>
  <w:num w:numId="75">
    <w:abstractNumId w:val="71"/>
  </w:num>
  <w:num w:numId="76">
    <w:abstractNumId w:val="43"/>
  </w:num>
  <w:num w:numId="77">
    <w:abstractNumId w:val="21"/>
  </w:num>
  <w:num w:numId="78">
    <w:abstractNumId w:val="4"/>
  </w:num>
  <w:num w:numId="79">
    <w:abstractNumId w:val="37"/>
  </w:num>
  <w:num w:numId="80">
    <w:abstractNumId w:val="70"/>
  </w:num>
  <w:num w:numId="81">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63CF2"/>
    <w:rsid w:val="00000BB2"/>
    <w:rsid w:val="00001584"/>
    <w:rsid w:val="00003743"/>
    <w:rsid w:val="00003BB0"/>
    <w:rsid w:val="00003DBB"/>
    <w:rsid w:val="000048AE"/>
    <w:rsid w:val="000055A2"/>
    <w:rsid w:val="000113AD"/>
    <w:rsid w:val="00016239"/>
    <w:rsid w:val="00023C94"/>
    <w:rsid w:val="00030BC1"/>
    <w:rsid w:val="000320F1"/>
    <w:rsid w:val="00032166"/>
    <w:rsid w:val="00032E17"/>
    <w:rsid w:val="00035FDF"/>
    <w:rsid w:val="0003608F"/>
    <w:rsid w:val="00037538"/>
    <w:rsid w:val="000437ED"/>
    <w:rsid w:val="00044D3A"/>
    <w:rsid w:val="000522D6"/>
    <w:rsid w:val="000535AA"/>
    <w:rsid w:val="00060E3B"/>
    <w:rsid w:val="00064B64"/>
    <w:rsid w:val="00065D11"/>
    <w:rsid w:val="000672FB"/>
    <w:rsid w:val="00067456"/>
    <w:rsid w:val="00076CFE"/>
    <w:rsid w:val="000806C2"/>
    <w:rsid w:val="0008076D"/>
    <w:rsid w:val="000851A7"/>
    <w:rsid w:val="00085B3D"/>
    <w:rsid w:val="0008686F"/>
    <w:rsid w:val="00090B95"/>
    <w:rsid w:val="0009123C"/>
    <w:rsid w:val="00094745"/>
    <w:rsid w:val="000A003F"/>
    <w:rsid w:val="000A179C"/>
    <w:rsid w:val="000B7131"/>
    <w:rsid w:val="000B78A1"/>
    <w:rsid w:val="000C0CAE"/>
    <w:rsid w:val="000C30DD"/>
    <w:rsid w:val="000C581F"/>
    <w:rsid w:val="000C61C3"/>
    <w:rsid w:val="000D3085"/>
    <w:rsid w:val="000D36AF"/>
    <w:rsid w:val="000D4403"/>
    <w:rsid w:val="000E5FCE"/>
    <w:rsid w:val="000F0918"/>
    <w:rsid w:val="000F1BEF"/>
    <w:rsid w:val="000F7A5F"/>
    <w:rsid w:val="00100576"/>
    <w:rsid w:val="00100B54"/>
    <w:rsid w:val="001043BF"/>
    <w:rsid w:val="001064E4"/>
    <w:rsid w:val="00116964"/>
    <w:rsid w:val="001201E5"/>
    <w:rsid w:val="0012036E"/>
    <w:rsid w:val="001237C3"/>
    <w:rsid w:val="001245E6"/>
    <w:rsid w:val="00127216"/>
    <w:rsid w:val="00134DEB"/>
    <w:rsid w:val="00135115"/>
    <w:rsid w:val="001353F3"/>
    <w:rsid w:val="00137683"/>
    <w:rsid w:val="001425BA"/>
    <w:rsid w:val="00143FEE"/>
    <w:rsid w:val="00144BC9"/>
    <w:rsid w:val="00145205"/>
    <w:rsid w:val="00151D2A"/>
    <w:rsid w:val="001537A0"/>
    <w:rsid w:val="00155EBF"/>
    <w:rsid w:val="0015786D"/>
    <w:rsid w:val="00157F57"/>
    <w:rsid w:val="00160C54"/>
    <w:rsid w:val="001652DA"/>
    <w:rsid w:val="00165A93"/>
    <w:rsid w:val="001666BC"/>
    <w:rsid w:val="001713DE"/>
    <w:rsid w:val="001742C6"/>
    <w:rsid w:val="001751B7"/>
    <w:rsid w:val="001800FA"/>
    <w:rsid w:val="00180378"/>
    <w:rsid w:val="0018078E"/>
    <w:rsid w:val="001810DF"/>
    <w:rsid w:val="0018625D"/>
    <w:rsid w:val="00191904"/>
    <w:rsid w:val="00191DCC"/>
    <w:rsid w:val="001948ED"/>
    <w:rsid w:val="00194D3A"/>
    <w:rsid w:val="001952E6"/>
    <w:rsid w:val="00197032"/>
    <w:rsid w:val="001A3BF6"/>
    <w:rsid w:val="001A557A"/>
    <w:rsid w:val="001B2514"/>
    <w:rsid w:val="001B3443"/>
    <w:rsid w:val="001B3AFE"/>
    <w:rsid w:val="001B47FB"/>
    <w:rsid w:val="001B4BD2"/>
    <w:rsid w:val="001C544A"/>
    <w:rsid w:val="001C6E1C"/>
    <w:rsid w:val="001D33D9"/>
    <w:rsid w:val="001D4A0A"/>
    <w:rsid w:val="001D5381"/>
    <w:rsid w:val="001E1AA2"/>
    <w:rsid w:val="001E1ACF"/>
    <w:rsid w:val="001F09A3"/>
    <w:rsid w:val="001F5F08"/>
    <w:rsid w:val="001F6582"/>
    <w:rsid w:val="00201065"/>
    <w:rsid w:val="00203982"/>
    <w:rsid w:val="00206BF0"/>
    <w:rsid w:val="0021130E"/>
    <w:rsid w:val="00214B05"/>
    <w:rsid w:val="00233F09"/>
    <w:rsid w:val="00241B3A"/>
    <w:rsid w:val="00243EDD"/>
    <w:rsid w:val="0024408F"/>
    <w:rsid w:val="00247476"/>
    <w:rsid w:val="00250EAC"/>
    <w:rsid w:val="00255B2D"/>
    <w:rsid w:val="0025654D"/>
    <w:rsid w:val="00256607"/>
    <w:rsid w:val="00260A2C"/>
    <w:rsid w:val="002735A5"/>
    <w:rsid w:val="002752E2"/>
    <w:rsid w:val="00277665"/>
    <w:rsid w:val="00280CD6"/>
    <w:rsid w:val="00283FC2"/>
    <w:rsid w:val="002842CE"/>
    <w:rsid w:val="00290611"/>
    <w:rsid w:val="002A4F2C"/>
    <w:rsid w:val="002A77CD"/>
    <w:rsid w:val="002B2C00"/>
    <w:rsid w:val="002B3917"/>
    <w:rsid w:val="002C190F"/>
    <w:rsid w:val="002C1994"/>
    <w:rsid w:val="002C1AEA"/>
    <w:rsid w:val="002C3984"/>
    <w:rsid w:val="002C536D"/>
    <w:rsid w:val="002E15C2"/>
    <w:rsid w:val="002E2868"/>
    <w:rsid w:val="002E69B6"/>
    <w:rsid w:val="002E6A1B"/>
    <w:rsid w:val="002F61A8"/>
    <w:rsid w:val="00302110"/>
    <w:rsid w:val="0030786C"/>
    <w:rsid w:val="003130AC"/>
    <w:rsid w:val="0031656C"/>
    <w:rsid w:val="0031770D"/>
    <w:rsid w:val="00317877"/>
    <w:rsid w:val="0032557F"/>
    <w:rsid w:val="003309D8"/>
    <w:rsid w:val="00340C86"/>
    <w:rsid w:val="00341583"/>
    <w:rsid w:val="0034211F"/>
    <w:rsid w:val="00366272"/>
    <w:rsid w:val="00366F59"/>
    <w:rsid w:val="003672B7"/>
    <w:rsid w:val="00367B3D"/>
    <w:rsid w:val="00371301"/>
    <w:rsid w:val="003721E6"/>
    <w:rsid w:val="00376727"/>
    <w:rsid w:val="00376ADE"/>
    <w:rsid w:val="00392CF2"/>
    <w:rsid w:val="00396708"/>
    <w:rsid w:val="00397147"/>
    <w:rsid w:val="00397A27"/>
    <w:rsid w:val="003A1B8F"/>
    <w:rsid w:val="003A6630"/>
    <w:rsid w:val="003B1681"/>
    <w:rsid w:val="003B2951"/>
    <w:rsid w:val="003B51F7"/>
    <w:rsid w:val="003B5E59"/>
    <w:rsid w:val="003C075A"/>
    <w:rsid w:val="003C5FC1"/>
    <w:rsid w:val="003D17F9"/>
    <w:rsid w:val="003D2727"/>
    <w:rsid w:val="003D40C4"/>
    <w:rsid w:val="003D426E"/>
    <w:rsid w:val="003D563F"/>
    <w:rsid w:val="003D7FDD"/>
    <w:rsid w:val="003E1542"/>
    <w:rsid w:val="003F3E11"/>
    <w:rsid w:val="003F4DB4"/>
    <w:rsid w:val="003F5429"/>
    <w:rsid w:val="003F7DEF"/>
    <w:rsid w:val="003F7EC8"/>
    <w:rsid w:val="004056D9"/>
    <w:rsid w:val="00406373"/>
    <w:rsid w:val="004064AF"/>
    <w:rsid w:val="00410C3D"/>
    <w:rsid w:val="00413FDD"/>
    <w:rsid w:val="00415594"/>
    <w:rsid w:val="00416AFD"/>
    <w:rsid w:val="00417926"/>
    <w:rsid w:val="004302F2"/>
    <w:rsid w:val="00431237"/>
    <w:rsid w:val="00432693"/>
    <w:rsid w:val="0043771E"/>
    <w:rsid w:val="004403BF"/>
    <w:rsid w:val="0044137D"/>
    <w:rsid w:val="00442A10"/>
    <w:rsid w:val="00443DBA"/>
    <w:rsid w:val="00456099"/>
    <w:rsid w:val="00460032"/>
    <w:rsid w:val="00465F34"/>
    <w:rsid w:val="0046795C"/>
    <w:rsid w:val="00473B71"/>
    <w:rsid w:val="00482F0D"/>
    <w:rsid w:val="004841B2"/>
    <w:rsid w:val="004859B6"/>
    <w:rsid w:val="004867E2"/>
    <w:rsid w:val="00492AA8"/>
    <w:rsid w:val="0049452C"/>
    <w:rsid w:val="00494617"/>
    <w:rsid w:val="004976B5"/>
    <w:rsid w:val="004A1E43"/>
    <w:rsid w:val="004A4362"/>
    <w:rsid w:val="004A70A5"/>
    <w:rsid w:val="004A7728"/>
    <w:rsid w:val="004B0D47"/>
    <w:rsid w:val="004B4711"/>
    <w:rsid w:val="004B51B9"/>
    <w:rsid w:val="004C38FD"/>
    <w:rsid w:val="004D0052"/>
    <w:rsid w:val="004D3301"/>
    <w:rsid w:val="004D583C"/>
    <w:rsid w:val="004E43CC"/>
    <w:rsid w:val="004E6F39"/>
    <w:rsid w:val="004F553D"/>
    <w:rsid w:val="004F689A"/>
    <w:rsid w:val="00506673"/>
    <w:rsid w:val="00507164"/>
    <w:rsid w:val="005116F3"/>
    <w:rsid w:val="0051343E"/>
    <w:rsid w:val="00515E47"/>
    <w:rsid w:val="005237CD"/>
    <w:rsid w:val="00524112"/>
    <w:rsid w:val="0052556A"/>
    <w:rsid w:val="00526241"/>
    <w:rsid w:val="00526E3D"/>
    <w:rsid w:val="00530BFA"/>
    <w:rsid w:val="00531179"/>
    <w:rsid w:val="00536FFB"/>
    <w:rsid w:val="00540DAE"/>
    <w:rsid w:val="005426FB"/>
    <w:rsid w:val="00545C7E"/>
    <w:rsid w:val="00547AB9"/>
    <w:rsid w:val="00552906"/>
    <w:rsid w:val="00554CC2"/>
    <w:rsid w:val="0055530E"/>
    <w:rsid w:val="00556E26"/>
    <w:rsid w:val="00557E35"/>
    <w:rsid w:val="00561584"/>
    <w:rsid w:val="005746D6"/>
    <w:rsid w:val="005760EE"/>
    <w:rsid w:val="0058022A"/>
    <w:rsid w:val="005842DC"/>
    <w:rsid w:val="005A2765"/>
    <w:rsid w:val="005A2B30"/>
    <w:rsid w:val="005A4913"/>
    <w:rsid w:val="005A5F97"/>
    <w:rsid w:val="005B012B"/>
    <w:rsid w:val="005B1701"/>
    <w:rsid w:val="005B32CB"/>
    <w:rsid w:val="005B44DB"/>
    <w:rsid w:val="005C04E9"/>
    <w:rsid w:val="005C0EE6"/>
    <w:rsid w:val="005C6262"/>
    <w:rsid w:val="005C7D14"/>
    <w:rsid w:val="005E0944"/>
    <w:rsid w:val="005E1BC1"/>
    <w:rsid w:val="005E522A"/>
    <w:rsid w:val="005F115D"/>
    <w:rsid w:val="005F2434"/>
    <w:rsid w:val="005F32CB"/>
    <w:rsid w:val="005F7C1F"/>
    <w:rsid w:val="00613535"/>
    <w:rsid w:val="006149E9"/>
    <w:rsid w:val="006158EE"/>
    <w:rsid w:val="0061666D"/>
    <w:rsid w:val="00617725"/>
    <w:rsid w:val="00617845"/>
    <w:rsid w:val="00620466"/>
    <w:rsid w:val="00620E7C"/>
    <w:rsid w:val="00634C4C"/>
    <w:rsid w:val="00636D82"/>
    <w:rsid w:val="00637E83"/>
    <w:rsid w:val="006401C6"/>
    <w:rsid w:val="00640B65"/>
    <w:rsid w:val="0064737D"/>
    <w:rsid w:val="0065018C"/>
    <w:rsid w:val="006605F6"/>
    <w:rsid w:val="0066099D"/>
    <w:rsid w:val="006630FA"/>
    <w:rsid w:val="0066488A"/>
    <w:rsid w:val="00671489"/>
    <w:rsid w:val="006720A5"/>
    <w:rsid w:val="0067437B"/>
    <w:rsid w:val="006843C8"/>
    <w:rsid w:val="0068597B"/>
    <w:rsid w:val="00687B51"/>
    <w:rsid w:val="00695BBB"/>
    <w:rsid w:val="006A1177"/>
    <w:rsid w:val="006A3C26"/>
    <w:rsid w:val="006A4940"/>
    <w:rsid w:val="006A7AC3"/>
    <w:rsid w:val="006B1DCB"/>
    <w:rsid w:val="006B2B12"/>
    <w:rsid w:val="006B5107"/>
    <w:rsid w:val="006B554C"/>
    <w:rsid w:val="006B7BD5"/>
    <w:rsid w:val="006C49DD"/>
    <w:rsid w:val="006C7F0F"/>
    <w:rsid w:val="006E1C03"/>
    <w:rsid w:val="006E20F4"/>
    <w:rsid w:val="006E4147"/>
    <w:rsid w:val="006E5A47"/>
    <w:rsid w:val="006E6629"/>
    <w:rsid w:val="006F1899"/>
    <w:rsid w:val="006F2819"/>
    <w:rsid w:val="006F3CE3"/>
    <w:rsid w:val="006F410C"/>
    <w:rsid w:val="006F59B8"/>
    <w:rsid w:val="0070091F"/>
    <w:rsid w:val="00701C82"/>
    <w:rsid w:val="007030C6"/>
    <w:rsid w:val="00704CD2"/>
    <w:rsid w:val="00705353"/>
    <w:rsid w:val="0070543B"/>
    <w:rsid w:val="0070681F"/>
    <w:rsid w:val="007208AC"/>
    <w:rsid w:val="00725073"/>
    <w:rsid w:val="0073372D"/>
    <w:rsid w:val="00740A77"/>
    <w:rsid w:val="00743D26"/>
    <w:rsid w:val="00753EFD"/>
    <w:rsid w:val="007557D8"/>
    <w:rsid w:val="0076394A"/>
    <w:rsid w:val="00766FE6"/>
    <w:rsid w:val="00774427"/>
    <w:rsid w:val="00775D37"/>
    <w:rsid w:val="00775FB3"/>
    <w:rsid w:val="007776F8"/>
    <w:rsid w:val="00782610"/>
    <w:rsid w:val="00783794"/>
    <w:rsid w:val="00786A42"/>
    <w:rsid w:val="007876CA"/>
    <w:rsid w:val="007902EB"/>
    <w:rsid w:val="007A213A"/>
    <w:rsid w:val="007A37E5"/>
    <w:rsid w:val="007A71D3"/>
    <w:rsid w:val="007A7CED"/>
    <w:rsid w:val="007B0F2D"/>
    <w:rsid w:val="007B6DA7"/>
    <w:rsid w:val="007C1633"/>
    <w:rsid w:val="007C4495"/>
    <w:rsid w:val="007C4AB0"/>
    <w:rsid w:val="007C529B"/>
    <w:rsid w:val="007C58DB"/>
    <w:rsid w:val="007C59BE"/>
    <w:rsid w:val="007D16FD"/>
    <w:rsid w:val="007D7066"/>
    <w:rsid w:val="007D7D77"/>
    <w:rsid w:val="007E0B01"/>
    <w:rsid w:val="007E220F"/>
    <w:rsid w:val="007E32EF"/>
    <w:rsid w:val="007F0252"/>
    <w:rsid w:val="007F0537"/>
    <w:rsid w:val="007F27D1"/>
    <w:rsid w:val="00801F9B"/>
    <w:rsid w:val="00802863"/>
    <w:rsid w:val="00807A42"/>
    <w:rsid w:val="008101E8"/>
    <w:rsid w:val="0081395B"/>
    <w:rsid w:val="00813E8E"/>
    <w:rsid w:val="00820024"/>
    <w:rsid w:val="00821134"/>
    <w:rsid w:val="00821CAE"/>
    <w:rsid w:val="008264EB"/>
    <w:rsid w:val="0083407E"/>
    <w:rsid w:val="00834939"/>
    <w:rsid w:val="008365C4"/>
    <w:rsid w:val="008445D0"/>
    <w:rsid w:val="008513FD"/>
    <w:rsid w:val="00857A9E"/>
    <w:rsid w:val="00860789"/>
    <w:rsid w:val="00860BB1"/>
    <w:rsid w:val="00863CA8"/>
    <w:rsid w:val="00866623"/>
    <w:rsid w:val="00866ACF"/>
    <w:rsid w:val="008749D0"/>
    <w:rsid w:val="0087708C"/>
    <w:rsid w:val="00877427"/>
    <w:rsid w:val="00881392"/>
    <w:rsid w:val="008822AD"/>
    <w:rsid w:val="00883265"/>
    <w:rsid w:val="00883604"/>
    <w:rsid w:val="0089026A"/>
    <w:rsid w:val="00894B33"/>
    <w:rsid w:val="008A34CC"/>
    <w:rsid w:val="008A4FCB"/>
    <w:rsid w:val="008A5BBA"/>
    <w:rsid w:val="008B0E8C"/>
    <w:rsid w:val="008B414F"/>
    <w:rsid w:val="008B42E6"/>
    <w:rsid w:val="008C19EB"/>
    <w:rsid w:val="008C23E0"/>
    <w:rsid w:val="008C5844"/>
    <w:rsid w:val="008E11B5"/>
    <w:rsid w:val="008E1F24"/>
    <w:rsid w:val="008E2EF5"/>
    <w:rsid w:val="008E32F5"/>
    <w:rsid w:val="008E7F94"/>
    <w:rsid w:val="008F128E"/>
    <w:rsid w:val="008F5912"/>
    <w:rsid w:val="00900B1A"/>
    <w:rsid w:val="00900E4D"/>
    <w:rsid w:val="00904F98"/>
    <w:rsid w:val="009143E4"/>
    <w:rsid w:val="00916377"/>
    <w:rsid w:val="00920B52"/>
    <w:rsid w:val="00923644"/>
    <w:rsid w:val="0092532C"/>
    <w:rsid w:val="00927ABA"/>
    <w:rsid w:val="00927D40"/>
    <w:rsid w:val="00930F4A"/>
    <w:rsid w:val="00936EA8"/>
    <w:rsid w:val="00942120"/>
    <w:rsid w:val="00945834"/>
    <w:rsid w:val="009610EB"/>
    <w:rsid w:val="00966AF3"/>
    <w:rsid w:val="009764E4"/>
    <w:rsid w:val="00982504"/>
    <w:rsid w:val="009828DD"/>
    <w:rsid w:val="009842D9"/>
    <w:rsid w:val="00987BB3"/>
    <w:rsid w:val="0099035B"/>
    <w:rsid w:val="009955CF"/>
    <w:rsid w:val="00996289"/>
    <w:rsid w:val="00996B0C"/>
    <w:rsid w:val="009A0332"/>
    <w:rsid w:val="009A0EB4"/>
    <w:rsid w:val="009A1E12"/>
    <w:rsid w:val="009A22C2"/>
    <w:rsid w:val="009A57B8"/>
    <w:rsid w:val="009A6B6C"/>
    <w:rsid w:val="009B2817"/>
    <w:rsid w:val="009B5AB5"/>
    <w:rsid w:val="009C07B6"/>
    <w:rsid w:val="009C51BE"/>
    <w:rsid w:val="009C70F1"/>
    <w:rsid w:val="009D5ADC"/>
    <w:rsid w:val="009E428A"/>
    <w:rsid w:val="009E65D4"/>
    <w:rsid w:val="009E6BAC"/>
    <w:rsid w:val="009E79D7"/>
    <w:rsid w:val="009F3C3A"/>
    <w:rsid w:val="009F4725"/>
    <w:rsid w:val="00A025FA"/>
    <w:rsid w:val="00A05121"/>
    <w:rsid w:val="00A147AB"/>
    <w:rsid w:val="00A163A2"/>
    <w:rsid w:val="00A20ACB"/>
    <w:rsid w:val="00A22F75"/>
    <w:rsid w:val="00A24609"/>
    <w:rsid w:val="00A2509D"/>
    <w:rsid w:val="00A272CD"/>
    <w:rsid w:val="00A278F7"/>
    <w:rsid w:val="00A3166B"/>
    <w:rsid w:val="00A31774"/>
    <w:rsid w:val="00A336F4"/>
    <w:rsid w:val="00A33D1C"/>
    <w:rsid w:val="00A41B7A"/>
    <w:rsid w:val="00A4512D"/>
    <w:rsid w:val="00A45857"/>
    <w:rsid w:val="00A52815"/>
    <w:rsid w:val="00A56CFC"/>
    <w:rsid w:val="00A61B24"/>
    <w:rsid w:val="00A63CF2"/>
    <w:rsid w:val="00A65B86"/>
    <w:rsid w:val="00A6658A"/>
    <w:rsid w:val="00A67975"/>
    <w:rsid w:val="00A705AF"/>
    <w:rsid w:val="00A76990"/>
    <w:rsid w:val="00A832A0"/>
    <w:rsid w:val="00A836C5"/>
    <w:rsid w:val="00A84E6A"/>
    <w:rsid w:val="00A8603F"/>
    <w:rsid w:val="00A9066F"/>
    <w:rsid w:val="00AA1C8B"/>
    <w:rsid w:val="00AA505B"/>
    <w:rsid w:val="00AB211F"/>
    <w:rsid w:val="00AC698D"/>
    <w:rsid w:val="00AC7F56"/>
    <w:rsid w:val="00AD2954"/>
    <w:rsid w:val="00AD3B6B"/>
    <w:rsid w:val="00AE14D7"/>
    <w:rsid w:val="00AE35B6"/>
    <w:rsid w:val="00AF3461"/>
    <w:rsid w:val="00B05981"/>
    <w:rsid w:val="00B0739D"/>
    <w:rsid w:val="00B121A5"/>
    <w:rsid w:val="00B14A1C"/>
    <w:rsid w:val="00B1506F"/>
    <w:rsid w:val="00B16A7B"/>
    <w:rsid w:val="00B23D00"/>
    <w:rsid w:val="00B31713"/>
    <w:rsid w:val="00B34761"/>
    <w:rsid w:val="00B40FE1"/>
    <w:rsid w:val="00B42851"/>
    <w:rsid w:val="00B467E0"/>
    <w:rsid w:val="00B56E86"/>
    <w:rsid w:val="00B5733D"/>
    <w:rsid w:val="00B66B36"/>
    <w:rsid w:val="00B710A0"/>
    <w:rsid w:val="00B72E79"/>
    <w:rsid w:val="00B8029D"/>
    <w:rsid w:val="00B81936"/>
    <w:rsid w:val="00B857A7"/>
    <w:rsid w:val="00BA0C2C"/>
    <w:rsid w:val="00BA2BDE"/>
    <w:rsid w:val="00BA3B3F"/>
    <w:rsid w:val="00BA6077"/>
    <w:rsid w:val="00BB2798"/>
    <w:rsid w:val="00BB2C4F"/>
    <w:rsid w:val="00BB5292"/>
    <w:rsid w:val="00BC1A62"/>
    <w:rsid w:val="00BC2953"/>
    <w:rsid w:val="00BC65AC"/>
    <w:rsid w:val="00BD13D0"/>
    <w:rsid w:val="00BD18F1"/>
    <w:rsid w:val="00BD4A42"/>
    <w:rsid w:val="00BD4AA8"/>
    <w:rsid w:val="00BD4E3A"/>
    <w:rsid w:val="00BE0351"/>
    <w:rsid w:val="00BE42BC"/>
    <w:rsid w:val="00BF10D2"/>
    <w:rsid w:val="00BF24F6"/>
    <w:rsid w:val="00BF26AE"/>
    <w:rsid w:val="00BF35A4"/>
    <w:rsid w:val="00BF699F"/>
    <w:rsid w:val="00C014D9"/>
    <w:rsid w:val="00C0228B"/>
    <w:rsid w:val="00C1022D"/>
    <w:rsid w:val="00C11E4D"/>
    <w:rsid w:val="00C17A07"/>
    <w:rsid w:val="00C201A9"/>
    <w:rsid w:val="00C25CA9"/>
    <w:rsid w:val="00C3385E"/>
    <w:rsid w:val="00C33A77"/>
    <w:rsid w:val="00C342D5"/>
    <w:rsid w:val="00C36C6D"/>
    <w:rsid w:val="00C44061"/>
    <w:rsid w:val="00C4555F"/>
    <w:rsid w:val="00C47447"/>
    <w:rsid w:val="00C50C05"/>
    <w:rsid w:val="00C52DC2"/>
    <w:rsid w:val="00C60C8C"/>
    <w:rsid w:val="00C60E48"/>
    <w:rsid w:val="00C6333C"/>
    <w:rsid w:val="00C65909"/>
    <w:rsid w:val="00C72AAB"/>
    <w:rsid w:val="00C752B0"/>
    <w:rsid w:val="00C75918"/>
    <w:rsid w:val="00C80B6D"/>
    <w:rsid w:val="00C82D31"/>
    <w:rsid w:val="00C8548D"/>
    <w:rsid w:val="00C85972"/>
    <w:rsid w:val="00C864ED"/>
    <w:rsid w:val="00C905AD"/>
    <w:rsid w:val="00C9392D"/>
    <w:rsid w:val="00C96ED0"/>
    <w:rsid w:val="00CA1AF4"/>
    <w:rsid w:val="00CB29EE"/>
    <w:rsid w:val="00CB5B1A"/>
    <w:rsid w:val="00CB6558"/>
    <w:rsid w:val="00CB769B"/>
    <w:rsid w:val="00CB7D83"/>
    <w:rsid w:val="00CC2BBC"/>
    <w:rsid w:val="00CD596B"/>
    <w:rsid w:val="00CE6D83"/>
    <w:rsid w:val="00CF0465"/>
    <w:rsid w:val="00CF1D2E"/>
    <w:rsid w:val="00D01219"/>
    <w:rsid w:val="00D026A1"/>
    <w:rsid w:val="00D037A4"/>
    <w:rsid w:val="00D0450B"/>
    <w:rsid w:val="00D065E1"/>
    <w:rsid w:val="00D102BB"/>
    <w:rsid w:val="00D13953"/>
    <w:rsid w:val="00D17507"/>
    <w:rsid w:val="00D179BB"/>
    <w:rsid w:val="00D410E4"/>
    <w:rsid w:val="00D453E6"/>
    <w:rsid w:val="00D5644C"/>
    <w:rsid w:val="00D6647C"/>
    <w:rsid w:val="00D763C2"/>
    <w:rsid w:val="00D83A55"/>
    <w:rsid w:val="00D8569E"/>
    <w:rsid w:val="00D859DE"/>
    <w:rsid w:val="00D87B83"/>
    <w:rsid w:val="00D87F30"/>
    <w:rsid w:val="00D9536B"/>
    <w:rsid w:val="00DA0D80"/>
    <w:rsid w:val="00DA698E"/>
    <w:rsid w:val="00DB0FDD"/>
    <w:rsid w:val="00DB4D3B"/>
    <w:rsid w:val="00DC18AE"/>
    <w:rsid w:val="00DC3C15"/>
    <w:rsid w:val="00DC4F1D"/>
    <w:rsid w:val="00DC5DB2"/>
    <w:rsid w:val="00DD0E5A"/>
    <w:rsid w:val="00DD349A"/>
    <w:rsid w:val="00DD4F91"/>
    <w:rsid w:val="00DD67AC"/>
    <w:rsid w:val="00DE0DE5"/>
    <w:rsid w:val="00DF2ECE"/>
    <w:rsid w:val="00DF63FE"/>
    <w:rsid w:val="00DF65BF"/>
    <w:rsid w:val="00DF6E12"/>
    <w:rsid w:val="00E02609"/>
    <w:rsid w:val="00E11D50"/>
    <w:rsid w:val="00E241C8"/>
    <w:rsid w:val="00E259F9"/>
    <w:rsid w:val="00E36DA5"/>
    <w:rsid w:val="00E42FD5"/>
    <w:rsid w:val="00E46904"/>
    <w:rsid w:val="00E57AE5"/>
    <w:rsid w:val="00E666E5"/>
    <w:rsid w:val="00E71983"/>
    <w:rsid w:val="00E738E3"/>
    <w:rsid w:val="00E74AE1"/>
    <w:rsid w:val="00E74CA4"/>
    <w:rsid w:val="00E752AC"/>
    <w:rsid w:val="00E80E69"/>
    <w:rsid w:val="00E83084"/>
    <w:rsid w:val="00E86A56"/>
    <w:rsid w:val="00E953AF"/>
    <w:rsid w:val="00E97541"/>
    <w:rsid w:val="00EA0F4C"/>
    <w:rsid w:val="00EB17C9"/>
    <w:rsid w:val="00EB4041"/>
    <w:rsid w:val="00EB4C10"/>
    <w:rsid w:val="00EC002E"/>
    <w:rsid w:val="00EC0555"/>
    <w:rsid w:val="00EC5B71"/>
    <w:rsid w:val="00ED1744"/>
    <w:rsid w:val="00ED5254"/>
    <w:rsid w:val="00EE0AAA"/>
    <w:rsid w:val="00EE6DE3"/>
    <w:rsid w:val="00EE7A81"/>
    <w:rsid w:val="00EE7D00"/>
    <w:rsid w:val="00EF1916"/>
    <w:rsid w:val="00EF3545"/>
    <w:rsid w:val="00EF661F"/>
    <w:rsid w:val="00EF7F6F"/>
    <w:rsid w:val="00F02226"/>
    <w:rsid w:val="00F03450"/>
    <w:rsid w:val="00F03508"/>
    <w:rsid w:val="00F038DB"/>
    <w:rsid w:val="00F04ABB"/>
    <w:rsid w:val="00F055D6"/>
    <w:rsid w:val="00F102EC"/>
    <w:rsid w:val="00F10FD7"/>
    <w:rsid w:val="00F1132F"/>
    <w:rsid w:val="00F1145B"/>
    <w:rsid w:val="00F13BA5"/>
    <w:rsid w:val="00F15C1E"/>
    <w:rsid w:val="00F166FB"/>
    <w:rsid w:val="00F227EA"/>
    <w:rsid w:val="00F250BA"/>
    <w:rsid w:val="00F26510"/>
    <w:rsid w:val="00F27A35"/>
    <w:rsid w:val="00F306E4"/>
    <w:rsid w:val="00F32D45"/>
    <w:rsid w:val="00F33C38"/>
    <w:rsid w:val="00F36A63"/>
    <w:rsid w:val="00F40031"/>
    <w:rsid w:val="00F407AE"/>
    <w:rsid w:val="00F470C4"/>
    <w:rsid w:val="00F507E2"/>
    <w:rsid w:val="00F54E2D"/>
    <w:rsid w:val="00F560D3"/>
    <w:rsid w:val="00F568A1"/>
    <w:rsid w:val="00F607EA"/>
    <w:rsid w:val="00F61E36"/>
    <w:rsid w:val="00F667D4"/>
    <w:rsid w:val="00F66B1D"/>
    <w:rsid w:val="00F67094"/>
    <w:rsid w:val="00F761B0"/>
    <w:rsid w:val="00F76A75"/>
    <w:rsid w:val="00F7711C"/>
    <w:rsid w:val="00F87D2D"/>
    <w:rsid w:val="00F91845"/>
    <w:rsid w:val="00FA1E40"/>
    <w:rsid w:val="00FA43AC"/>
    <w:rsid w:val="00FA639A"/>
    <w:rsid w:val="00FB3364"/>
    <w:rsid w:val="00FB3741"/>
    <w:rsid w:val="00FB3B9B"/>
    <w:rsid w:val="00FB3CA2"/>
    <w:rsid w:val="00FB6193"/>
    <w:rsid w:val="00FB7167"/>
    <w:rsid w:val="00FC3202"/>
    <w:rsid w:val="00FC488E"/>
    <w:rsid w:val="00FD0A4F"/>
    <w:rsid w:val="00FD0FE3"/>
    <w:rsid w:val="00FD2AF5"/>
    <w:rsid w:val="00FD54A6"/>
    <w:rsid w:val="00FD5E62"/>
    <w:rsid w:val="00FE2553"/>
    <w:rsid w:val="00FE25B8"/>
    <w:rsid w:val="00FE4C27"/>
    <w:rsid w:val="00FF4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A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5"/>
        <w:sz w:val="22"/>
        <w:szCs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uiPriority="35" w:qFormat="1"/>
    <w:lsdException w:name="table of figures"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E6"/>
  </w:style>
  <w:style w:type="paragraph" w:styleId="Heading1">
    <w:name w:val="heading 1"/>
    <w:basedOn w:val="Normal"/>
    <w:next w:val="Normal"/>
    <w:link w:val="Heading1Char"/>
    <w:qFormat/>
    <w:rsid w:val="00BF24F6"/>
    <w:pPr>
      <w:keepNext/>
      <w:pageBreakBefore/>
      <w:spacing w:after="360"/>
      <w:outlineLvl w:val="0"/>
    </w:pPr>
    <w:rPr>
      <w:bCs/>
      <w:kern w:val="32"/>
      <w:sz w:val="40"/>
      <w:szCs w:val="32"/>
    </w:rPr>
  </w:style>
  <w:style w:type="paragraph" w:styleId="Heading2">
    <w:name w:val="heading 2"/>
    <w:basedOn w:val="Normal"/>
    <w:next w:val="Normal"/>
    <w:link w:val="Heading2Char"/>
    <w:qFormat/>
    <w:rsid w:val="005F32CB"/>
    <w:pPr>
      <w:keepNext/>
      <w:spacing w:before="240" w:after="120"/>
      <w:ind w:left="720" w:hanging="720"/>
      <w:outlineLvl w:val="1"/>
    </w:pPr>
    <w:rPr>
      <w:b/>
      <w:bCs/>
      <w:iCs/>
      <w:sz w:val="28"/>
      <w:szCs w:val="28"/>
    </w:rPr>
  </w:style>
  <w:style w:type="paragraph" w:styleId="Heading3">
    <w:name w:val="heading 3"/>
    <w:basedOn w:val="Normal"/>
    <w:next w:val="Normal"/>
    <w:link w:val="Heading3Char"/>
    <w:qFormat/>
    <w:rsid w:val="005F32CB"/>
    <w:pPr>
      <w:keepNext/>
      <w:spacing w:before="360" w:after="120"/>
      <w:ind w:left="720" w:hanging="720"/>
      <w:outlineLvl w:val="2"/>
    </w:pPr>
    <w:rPr>
      <w:b/>
      <w:bCs/>
      <w:color w:val="0065A4"/>
      <w:szCs w:val="26"/>
    </w:rPr>
  </w:style>
  <w:style w:type="paragraph" w:styleId="Heading4">
    <w:name w:val="heading 4"/>
    <w:basedOn w:val="Normal"/>
    <w:next w:val="Normal"/>
    <w:link w:val="Heading4Char"/>
    <w:rsid w:val="00151D2A"/>
    <w:pPr>
      <w:keepNext/>
      <w:spacing w:before="120" w:after="120"/>
      <w:outlineLvl w:val="3"/>
    </w:pPr>
    <w:rPr>
      <w:b/>
      <w:bCs/>
      <w:i/>
      <w:szCs w:val="28"/>
    </w:rPr>
  </w:style>
  <w:style w:type="paragraph" w:styleId="Heading5">
    <w:name w:val="heading 5"/>
    <w:basedOn w:val="Normal"/>
    <w:next w:val="Normal"/>
    <w:link w:val="Heading5Char"/>
    <w:rsid w:val="00151D2A"/>
    <w:pPr>
      <w:keepNext/>
      <w:spacing w:before="60" w:after="60"/>
      <w:outlineLvl w:val="4"/>
    </w:pPr>
    <w:rPr>
      <w:bCs/>
      <w:i/>
      <w:iCs/>
      <w:szCs w:val="26"/>
    </w:rPr>
  </w:style>
  <w:style w:type="paragraph" w:styleId="Heading6">
    <w:name w:val="heading 6"/>
    <w:basedOn w:val="Normal"/>
    <w:next w:val="Normal"/>
    <w:link w:val="Heading6Char"/>
    <w:qFormat/>
    <w:rsid w:val="00A63CF2"/>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1D2A"/>
    <w:rPr>
      <w:i/>
      <w:iCs/>
    </w:rPr>
  </w:style>
  <w:style w:type="character" w:styleId="Strong">
    <w:name w:val="Strong"/>
    <w:basedOn w:val="DefaultParagraphFont"/>
    <w:uiPriority w:val="22"/>
    <w:qFormat/>
    <w:rsid w:val="00151D2A"/>
    <w:rPr>
      <w:b/>
      <w:bCs/>
    </w:rPr>
  </w:style>
  <w:style w:type="paragraph" w:styleId="Subtitle">
    <w:name w:val="Subtitle"/>
    <w:basedOn w:val="Normal"/>
    <w:next w:val="Normal"/>
    <w:link w:val="SubtitleChar"/>
    <w:uiPriority w:val="11"/>
    <w:rsid w:val="00151D2A"/>
    <w:pPr>
      <w:numPr>
        <w:ilvl w:val="1"/>
      </w:numPr>
      <w:jc w:val="center"/>
    </w:pPr>
    <w:rPr>
      <w:rFonts w:ascii="Times New Roman Bold" w:eastAsiaTheme="majorEastAsia" w:hAnsi="Times New Roman Bold" w:cstheme="majorBidi"/>
      <w:b/>
      <w:iCs/>
      <w:sz w:val="40"/>
      <w:szCs w:val="24"/>
    </w:rPr>
  </w:style>
  <w:style w:type="character" w:customStyle="1" w:styleId="SubtitleChar">
    <w:name w:val="Subtitle Char"/>
    <w:basedOn w:val="DefaultParagraphFont"/>
    <w:link w:val="Subtitle"/>
    <w:uiPriority w:val="11"/>
    <w:rsid w:val="00151D2A"/>
    <w:rPr>
      <w:rFonts w:ascii="Times New Roman Bold" w:eastAsiaTheme="majorEastAsia" w:hAnsi="Times New Roman Bold" w:cstheme="majorBidi"/>
      <w:b/>
      <w:iCs/>
      <w:spacing w:val="0"/>
      <w:sz w:val="40"/>
    </w:rPr>
  </w:style>
  <w:style w:type="paragraph" w:styleId="Title">
    <w:name w:val="Title"/>
    <w:basedOn w:val="Normal"/>
    <w:next w:val="Normal"/>
    <w:link w:val="TitleChar"/>
    <w:uiPriority w:val="10"/>
    <w:rsid w:val="00151D2A"/>
    <w:pPr>
      <w:spacing w:after="300"/>
      <w:contextualSpacing/>
      <w:jc w:val="center"/>
    </w:pPr>
    <w:rPr>
      <w:rFonts w:ascii="Times New Roman Bold" w:eastAsiaTheme="majorEastAsia" w:hAnsi="Times New Roman Bold" w:cstheme="majorBidi"/>
      <w:b/>
      <w:kern w:val="28"/>
      <w:sz w:val="48"/>
      <w:szCs w:val="52"/>
    </w:rPr>
  </w:style>
  <w:style w:type="character" w:customStyle="1" w:styleId="TitleChar">
    <w:name w:val="Title Char"/>
    <w:basedOn w:val="DefaultParagraphFont"/>
    <w:link w:val="Title"/>
    <w:uiPriority w:val="10"/>
    <w:rsid w:val="00151D2A"/>
    <w:rPr>
      <w:rFonts w:ascii="Times New Roman Bold" w:eastAsiaTheme="majorEastAsia" w:hAnsi="Times New Roman Bold" w:cstheme="majorBidi"/>
      <w:b/>
      <w:kern w:val="28"/>
      <w:sz w:val="48"/>
      <w:szCs w:val="52"/>
    </w:rPr>
  </w:style>
  <w:style w:type="paragraph" w:styleId="NoSpacing">
    <w:name w:val="No Spacing"/>
    <w:uiPriority w:val="1"/>
    <w:qFormat/>
    <w:rsid w:val="00A63CF2"/>
    <w:rPr>
      <w:rFonts w:ascii="Times New Roman" w:hAnsi="Times New Roman" w:cs="Times New Roman"/>
      <w:spacing w:val="0"/>
      <w:sz w:val="24"/>
      <w:lang w:eastAsia="en-US"/>
    </w:rPr>
  </w:style>
  <w:style w:type="character" w:styleId="SubtleEmphasis">
    <w:name w:val="Subtle Emphasis"/>
    <w:basedOn w:val="DefaultParagraphFont"/>
    <w:uiPriority w:val="19"/>
    <w:qFormat/>
    <w:rsid w:val="00A63CF2"/>
    <w:rPr>
      <w:i/>
      <w:iCs/>
      <w:color w:val="808080" w:themeColor="text1" w:themeTint="7F"/>
    </w:rPr>
  </w:style>
  <w:style w:type="character" w:styleId="IntenseEmphasis">
    <w:name w:val="Intense Emphasis"/>
    <w:basedOn w:val="DefaultParagraphFont"/>
    <w:uiPriority w:val="21"/>
    <w:qFormat/>
    <w:rsid w:val="00A63CF2"/>
    <w:rPr>
      <w:b/>
      <w:bCs/>
      <w:i/>
      <w:iCs/>
      <w:color w:val="4F81BD" w:themeColor="accent1"/>
    </w:rPr>
  </w:style>
  <w:style w:type="paragraph" w:styleId="Quote">
    <w:name w:val="Quote"/>
    <w:basedOn w:val="Normal"/>
    <w:link w:val="QuoteChar"/>
    <w:rsid w:val="00151D2A"/>
    <w:pPr>
      <w:ind w:left="720" w:right="720"/>
    </w:pPr>
    <w:rPr>
      <w:sz w:val="20"/>
    </w:rPr>
  </w:style>
  <w:style w:type="character" w:customStyle="1" w:styleId="QuoteChar">
    <w:name w:val="Quote Char"/>
    <w:basedOn w:val="DefaultParagraphFont"/>
    <w:link w:val="Quote"/>
    <w:rsid w:val="00A63CF2"/>
    <w:rPr>
      <w:rFonts w:ascii="Times New Roman" w:hAnsi="Times New Roman" w:cs="Times New Roman"/>
      <w:color w:val="000000"/>
      <w:spacing w:val="0"/>
      <w:sz w:val="20"/>
      <w:szCs w:val="20"/>
    </w:rPr>
  </w:style>
  <w:style w:type="paragraph" w:styleId="IntenseQuote">
    <w:name w:val="Intense Quote"/>
    <w:basedOn w:val="Normal"/>
    <w:next w:val="Normal"/>
    <w:link w:val="IntenseQuoteChar"/>
    <w:uiPriority w:val="30"/>
    <w:qFormat/>
    <w:rsid w:val="00A63C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CF2"/>
    <w:rPr>
      <w:rFonts w:ascii="Times New Roman" w:hAnsi="Times New Roman" w:cs="Times New Roman"/>
      <w:b/>
      <w:bCs/>
      <w:i/>
      <w:iCs/>
      <w:color w:val="4F81BD" w:themeColor="accent1"/>
      <w:spacing w:val="0"/>
      <w:sz w:val="24"/>
      <w:lang w:eastAsia="en-US"/>
    </w:rPr>
  </w:style>
  <w:style w:type="character" w:styleId="SubtleReference">
    <w:name w:val="Subtle Reference"/>
    <w:basedOn w:val="DefaultParagraphFont"/>
    <w:uiPriority w:val="31"/>
    <w:qFormat/>
    <w:rsid w:val="00A63CF2"/>
    <w:rPr>
      <w:smallCaps/>
      <w:color w:val="C0504D" w:themeColor="accent2"/>
      <w:u w:val="single"/>
    </w:rPr>
  </w:style>
  <w:style w:type="character" w:styleId="IntenseReference">
    <w:name w:val="Intense Reference"/>
    <w:basedOn w:val="DefaultParagraphFont"/>
    <w:uiPriority w:val="32"/>
    <w:qFormat/>
    <w:rsid w:val="00A63CF2"/>
    <w:rPr>
      <w:b/>
      <w:bCs/>
      <w:i/>
      <w:smallCaps/>
      <w:color w:val="C0504D" w:themeColor="accent2"/>
      <w:spacing w:val="5"/>
      <w:u w:val="none"/>
    </w:rPr>
  </w:style>
  <w:style w:type="character" w:styleId="BookTitle">
    <w:name w:val="Book Title"/>
    <w:basedOn w:val="DefaultParagraphFont"/>
    <w:uiPriority w:val="33"/>
    <w:qFormat/>
    <w:rsid w:val="00A63CF2"/>
    <w:rPr>
      <w:b/>
      <w:bCs/>
      <w:smallCaps/>
      <w:spacing w:val="5"/>
    </w:rPr>
  </w:style>
  <w:style w:type="paragraph" w:styleId="ListParagraph">
    <w:name w:val="List Paragraph"/>
    <w:aliases w:val="Bullet table"/>
    <w:basedOn w:val="Normal"/>
    <w:link w:val="ListParagraphChar"/>
    <w:uiPriority w:val="34"/>
    <w:qFormat/>
    <w:rsid w:val="00A63CF2"/>
    <w:pPr>
      <w:ind w:left="720"/>
      <w:contextualSpacing/>
    </w:pPr>
  </w:style>
  <w:style w:type="paragraph" w:customStyle="1" w:styleId="CommissionHeading2">
    <w:name w:val="Commission Heading 2"/>
    <w:basedOn w:val="ListParagraph"/>
    <w:next w:val="Commissionbodytext"/>
    <w:link w:val="CommissionHeading2Char"/>
    <w:autoRedefine/>
    <w:qFormat/>
    <w:rsid w:val="003A1B8F"/>
    <w:pPr>
      <w:keepNext/>
      <w:ind w:left="0"/>
      <w:outlineLvl w:val="1"/>
    </w:pPr>
    <w:rPr>
      <w:rFonts w:ascii="Calibri Light" w:hAnsi="Calibri Light"/>
      <w:b/>
      <w:sz w:val="28"/>
      <w:szCs w:val="32"/>
      <w:lang w:val="en-US"/>
    </w:rPr>
  </w:style>
  <w:style w:type="character" w:customStyle="1" w:styleId="CommissionHeading2Char">
    <w:name w:val="Commission Heading 2 Char"/>
    <w:basedOn w:val="ListParagraphChar"/>
    <w:link w:val="CommissionHeading2"/>
    <w:rsid w:val="003A1B8F"/>
    <w:rPr>
      <w:rFonts w:ascii="Calibri Light" w:hAnsi="Calibri Light" w:cs="Times New Roman"/>
      <w:b/>
      <w:spacing w:val="0"/>
      <w:sz w:val="28"/>
      <w:szCs w:val="32"/>
      <w:lang w:val="en-US" w:eastAsia="en-US"/>
    </w:rPr>
  </w:style>
  <w:style w:type="paragraph" w:customStyle="1" w:styleId="CommissionHeading3">
    <w:name w:val="Commission Heading 3"/>
    <w:basedOn w:val="ListParagraph"/>
    <w:next w:val="Commissionbodytext"/>
    <w:link w:val="CommissionHeading3Char"/>
    <w:autoRedefine/>
    <w:qFormat/>
    <w:rsid w:val="00A63CF2"/>
    <w:pPr>
      <w:keepNext/>
      <w:numPr>
        <w:ilvl w:val="2"/>
        <w:numId w:val="2"/>
      </w:numPr>
      <w:tabs>
        <w:tab w:val="left" w:pos="1276"/>
      </w:tabs>
      <w:spacing w:before="240"/>
      <w:outlineLvl w:val="2"/>
    </w:pPr>
    <w:rPr>
      <w:color w:val="336699"/>
      <w:sz w:val="28"/>
      <w:szCs w:val="28"/>
    </w:rPr>
  </w:style>
  <w:style w:type="character" w:customStyle="1" w:styleId="CommissionHeading3Char">
    <w:name w:val="Commission Heading 3 Char"/>
    <w:basedOn w:val="ListParagraphChar"/>
    <w:link w:val="CommissionHeading3"/>
    <w:rsid w:val="00A63CF2"/>
    <w:rPr>
      <w:rFonts w:ascii="Times New Roman" w:hAnsi="Times New Roman" w:cs="Times New Roman"/>
      <w:color w:val="336699"/>
      <w:spacing w:val="0"/>
      <w:sz w:val="28"/>
      <w:szCs w:val="28"/>
      <w:lang w:eastAsia="en-US"/>
    </w:rPr>
  </w:style>
  <w:style w:type="paragraph" w:customStyle="1" w:styleId="CommissionHeading4">
    <w:name w:val="Commission Heading 4"/>
    <w:basedOn w:val="ListParagraph"/>
    <w:next w:val="Commissionbodytext"/>
    <w:link w:val="CommissionHeading4Char"/>
    <w:autoRedefine/>
    <w:qFormat/>
    <w:rsid w:val="00A63CF2"/>
    <w:pPr>
      <w:keepNext/>
      <w:tabs>
        <w:tab w:val="left" w:pos="1134"/>
      </w:tabs>
      <w:spacing w:before="120" w:after="120"/>
      <w:ind w:left="1800" w:hanging="1440"/>
      <w:outlineLvl w:val="3"/>
    </w:pPr>
    <w:rPr>
      <w:b/>
      <w:bCs/>
      <w:szCs w:val="28"/>
    </w:rPr>
  </w:style>
  <w:style w:type="character" w:customStyle="1" w:styleId="CommissionHeading4Char">
    <w:name w:val="Commission Heading 4 Char"/>
    <w:basedOn w:val="ListParagraphChar"/>
    <w:link w:val="CommissionHeading4"/>
    <w:rsid w:val="00A63CF2"/>
    <w:rPr>
      <w:rFonts w:ascii="Times New Roman" w:hAnsi="Times New Roman" w:cs="Times New Roman"/>
      <w:b/>
      <w:bCs/>
      <w:spacing w:val="0"/>
      <w:sz w:val="24"/>
      <w:szCs w:val="28"/>
      <w:lang w:eastAsia="en-US"/>
    </w:rPr>
  </w:style>
  <w:style w:type="paragraph" w:customStyle="1" w:styleId="Commissionheading1">
    <w:name w:val="Commission heading 1"/>
    <w:basedOn w:val="Normal"/>
    <w:next w:val="Commissionbodytext"/>
    <w:link w:val="Commissionheading1Char"/>
    <w:autoRedefine/>
    <w:qFormat/>
    <w:rsid w:val="00A63CF2"/>
    <w:pPr>
      <w:keepNext/>
      <w:keepLines/>
      <w:pageBreakBefore/>
      <w:pBdr>
        <w:bottom w:val="single" w:sz="12" w:space="2" w:color="336699"/>
      </w:pBdr>
      <w:tabs>
        <w:tab w:val="num" w:pos="-177"/>
      </w:tabs>
      <w:outlineLvl w:val="0"/>
    </w:pPr>
    <w:rPr>
      <w:b/>
      <w:bCs/>
      <w:kern w:val="28"/>
      <w:sz w:val="40"/>
    </w:rPr>
  </w:style>
  <w:style w:type="character" w:customStyle="1" w:styleId="Commissionheading1Char">
    <w:name w:val="Commission heading 1 Char"/>
    <w:basedOn w:val="DefaultParagraphFont"/>
    <w:link w:val="Commissionheading1"/>
    <w:rsid w:val="00A63CF2"/>
    <w:rPr>
      <w:b/>
      <w:bCs/>
      <w:spacing w:val="0"/>
      <w:kern w:val="28"/>
      <w:sz w:val="40"/>
      <w:lang w:eastAsia="en-US"/>
    </w:rPr>
  </w:style>
  <w:style w:type="paragraph" w:customStyle="1" w:styleId="Commissionbodytext">
    <w:name w:val="Commission body text"/>
    <w:basedOn w:val="Normal"/>
    <w:link w:val="CommissionbodytextChar"/>
    <w:qFormat/>
    <w:rsid w:val="00A63CF2"/>
    <w:pPr>
      <w:spacing w:line="276" w:lineRule="auto"/>
    </w:pPr>
  </w:style>
  <w:style w:type="character" w:customStyle="1" w:styleId="CommissionbodytextChar">
    <w:name w:val="Commission body text Char"/>
    <w:basedOn w:val="DefaultParagraphFont"/>
    <w:link w:val="Commissionbodytext"/>
    <w:rsid w:val="00A63CF2"/>
    <w:rPr>
      <w:spacing w:val="0"/>
      <w:szCs w:val="22"/>
      <w:lang w:eastAsia="en-US"/>
    </w:rPr>
  </w:style>
  <w:style w:type="paragraph" w:customStyle="1" w:styleId="TableHeading">
    <w:name w:val="Table Heading"/>
    <w:basedOn w:val="Normal"/>
    <w:autoRedefine/>
    <w:qFormat/>
    <w:rsid w:val="00A63CF2"/>
    <w:pPr>
      <w:spacing w:before="80" w:after="80" w:line="320" w:lineRule="atLeast"/>
    </w:pPr>
    <w:rPr>
      <w:rFonts w:ascii="Tahoma" w:hAnsi="Tahoma"/>
      <w:b/>
    </w:rPr>
  </w:style>
  <w:style w:type="character" w:customStyle="1" w:styleId="Heading1Char">
    <w:name w:val="Heading 1 Char"/>
    <w:link w:val="Heading1"/>
    <w:rsid w:val="00BF24F6"/>
    <w:rPr>
      <w:bCs/>
      <w:kern w:val="32"/>
      <w:sz w:val="40"/>
      <w:szCs w:val="32"/>
    </w:rPr>
  </w:style>
  <w:style w:type="character" w:customStyle="1" w:styleId="ListParagraphChar">
    <w:name w:val="List Paragraph Char"/>
    <w:aliases w:val="Bullet table Char"/>
    <w:basedOn w:val="DefaultParagraphFont"/>
    <w:link w:val="ListParagraph"/>
    <w:uiPriority w:val="34"/>
    <w:rsid w:val="00A63CF2"/>
    <w:rPr>
      <w:rFonts w:ascii="Times New Roman" w:hAnsi="Times New Roman" w:cs="Times New Roman"/>
      <w:spacing w:val="0"/>
      <w:sz w:val="24"/>
      <w:lang w:eastAsia="en-US"/>
    </w:rPr>
  </w:style>
  <w:style w:type="paragraph" w:styleId="Footer">
    <w:name w:val="footer"/>
    <w:basedOn w:val="Normal"/>
    <w:link w:val="FooterChar"/>
    <w:uiPriority w:val="99"/>
    <w:rsid w:val="00151D2A"/>
    <w:pPr>
      <w:tabs>
        <w:tab w:val="right" w:pos="9000"/>
      </w:tabs>
    </w:pPr>
    <w:rPr>
      <w:sz w:val="20"/>
    </w:rPr>
  </w:style>
  <w:style w:type="character" w:customStyle="1" w:styleId="FooterChar">
    <w:name w:val="Footer Char"/>
    <w:basedOn w:val="DefaultParagraphFont"/>
    <w:link w:val="Footer"/>
    <w:uiPriority w:val="99"/>
    <w:rsid w:val="00151D2A"/>
    <w:rPr>
      <w:rFonts w:ascii="Times New Roman" w:hAnsi="Times New Roman" w:cs="Times New Roman"/>
      <w:color w:val="000000"/>
      <w:spacing w:val="0"/>
      <w:sz w:val="20"/>
      <w:szCs w:val="20"/>
    </w:rPr>
  </w:style>
  <w:style w:type="paragraph" w:styleId="BalloonText">
    <w:name w:val="Balloon Text"/>
    <w:basedOn w:val="Normal"/>
    <w:link w:val="BalloonTextChar"/>
    <w:uiPriority w:val="99"/>
    <w:unhideWhenUsed/>
    <w:rsid w:val="00151D2A"/>
    <w:rPr>
      <w:rFonts w:ascii="Tahoma" w:hAnsi="Tahoma" w:cs="Tahoma"/>
      <w:sz w:val="16"/>
      <w:szCs w:val="16"/>
    </w:rPr>
  </w:style>
  <w:style w:type="character" w:customStyle="1" w:styleId="BalloonTextChar">
    <w:name w:val="Balloon Text Char"/>
    <w:basedOn w:val="DefaultParagraphFont"/>
    <w:link w:val="BalloonText"/>
    <w:uiPriority w:val="99"/>
    <w:rsid w:val="00151D2A"/>
    <w:rPr>
      <w:rFonts w:ascii="Tahoma" w:hAnsi="Tahoma" w:cs="Tahoma"/>
      <w:color w:val="000000"/>
      <w:spacing w:val="0"/>
      <w:sz w:val="16"/>
      <w:szCs w:val="16"/>
    </w:rPr>
  </w:style>
  <w:style w:type="paragraph" w:styleId="Header">
    <w:name w:val="header"/>
    <w:basedOn w:val="Normal"/>
    <w:link w:val="HeaderChar"/>
    <w:rsid w:val="00151D2A"/>
    <w:pPr>
      <w:tabs>
        <w:tab w:val="right" w:pos="9000"/>
      </w:tabs>
    </w:pPr>
    <w:rPr>
      <w:sz w:val="18"/>
    </w:rPr>
  </w:style>
  <w:style w:type="character" w:customStyle="1" w:styleId="HeaderChar">
    <w:name w:val="Header Char"/>
    <w:basedOn w:val="DefaultParagraphFont"/>
    <w:link w:val="Header"/>
    <w:rsid w:val="00A63CF2"/>
    <w:rPr>
      <w:rFonts w:ascii="Times New Roman" w:hAnsi="Times New Roman" w:cs="Times New Roman"/>
      <w:color w:val="000000"/>
      <w:spacing w:val="0"/>
      <w:sz w:val="18"/>
      <w:szCs w:val="20"/>
    </w:rPr>
  </w:style>
  <w:style w:type="character" w:styleId="CommentReference">
    <w:name w:val="annotation reference"/>
    <w:basedOn w:val="DefaultParagraphFont"/>
    <w:rsid w:val="00A63CF2"/>
    <w:rPr>
      <w:sz w:val="16"/>
      <w:szCs w:val="16"/>
    </w:rPr>
  </w:style>
  <w:style w:type="paragraph" w:styleId="CommentText">
    <w:name w:val="annotation text"/>
    <w:basedOn w:val="Normal"/>
    <w:link w:val="CommentTextChar"/>
    <w:rsid w:val="00A63CF2"/>
    <w:rPr>
      <w:sz w:val="20"/>
    </w:rPr>
  </w:style>
  <w:style w:type="character" w:customStyle="1" w:styleId="CommentTextChar">
    <w:name w:val="Comment Text Char"/>
    <w:basedOn w:val="DefaultParagraphFont"/>
    <w:link w:val="CommentText"/>
    <w:rsid w:val="00A63CF2"/>
    <w:rPr>
      <w:rFonts w:ascii="Times New Roman" w:hAnsi="Times New Roman" w:cs="Times New Roman"/>
      <w:spacing w:val="0"/>
      <w:sz w:val="20"/>
      <w:szCs w:val="20"/>
      <w:lang w:eastAsia="en-US"/>
    </w:rPr>
  </w:style>
  <w:style w:type="paragraph" w:styleId="CommentSubject">
    <w:name w:val="annotation subject"/>
    <w:basedOn w:val="CommentText"/>
    <w:next w:val="CommentText"/>
    <w:link w:val="CommentSubjectChar"/>
    <w:rsid w:val="00A63CF2"/>
    <w:rPr>
      <w:b/>
      <w:bCs/>
    </w:rPr>
  </w:style>
  <w:style w:type="character" w:customStyle="1" w:styleId="CommentSubjectChar">
    <w:name w:val="Comment Subject Char"/>
    <w:basedOn w:val="CommentTextChar"/>
    <w:link w:val="CommentSubject"/>
    <w:rsid w:val="00A63CF2"/>
    <w:rPr>
      <w:rFonts w:ascii="Times New Roman" w:hAnsi="Times New Roman" w:cs="Times New Roman"/>
      <w:b/>
      <w:bCs/>
      <w:spacing w:val="0"/>
      <w:sz w:val="20"/>
      <w:szCs w:val="20"/>
      <w:lang w:eastAsia="en-US"/>
    </w:rPr>
  </w:style>
  <w:style w:type="table" w:customStyle="1" w:styleId="TableGrid2">
    <w:name w:val="Table Grid2"/>
    <w:basedOn w:val="TableNormal"/>
    <w:next w:val="TableGrid"/>
    <w:rsid w:val="00A63CF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066F"/>
    <w:rPr>
      <w:rFonts w:ascii="Arial Narrow" w:hAnsi="Arial Narrow" w:cs="Times New Roman"/>
      <w:spacing w:val="0"/>
      <w:sz w:val="21"/>
      <w:szCs w:val="20"/>
    </w:rPr>
    <w:tblPr>
      <w:tblBorders>
        <w:bottom w:val="single" w:sz="4" w:space="0" w:color="auto"/>
      </w:tblBorders>
    </w:tblPr>
    <w:tblStylePr w:type="firstRow">
      <w:pPr>
        <w:jc w:val="left"/>
      </w:pPr>
      <w:rPr>
        <w:rFonts w:ascii="Arial Narrow" w:hAnsi="Arial Narrow"/>
        <w:b/>
        <w:sz w:val="21"/>
      </w:rPr>
      <w:tblPr/>
      <w:tcPr>
        <w:tcBorders>
          <w:top w:val="single" w:sz="4" w:space="0" w:color="auto"/>
          <w:left w:val="nil"/>
          <w:bottom w:val="single" w:sz="4" w:space="0" w:color="auto"/>
          <w:right w:val="nil"/>
          <w:insideH w:val="nil"/>
          <w:insideV w:val="nil"/>
          <w:tl2br w:val="nil"/>
          <w:tr2bl w:val="nil"/>
        </w:tcBorders>
        <w:vAlign w:val="center"/>
      </w:tcPr>
    </w:tblStylePr>
  </w:style>
  <w:style w:type="table" w:customStyle="1" w:styleId="TableGrid3">
    <w:name w:val="Table Grid3"/>
    <w:basedOn w:val="TableNormal"/>
    <w:next w:val="TableGrid"/>
    <w:rsid w:val="00A63CF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1D2A"/>
    <w:rPr>
      <w:rFonts w:ascii="Times New Roman" w:hAnsi="Times New Roman"/>
      <w:b/>
      <w:sz w:val="20"/>
    </w:rPr>
  </w:style>
  <w:style w:type="paragraph" w:styleId="BodyText">
    <w:name w:val="Body Text"/>
    <w:basedOn w:val="Normal"/>
    <w:link w:val="BodyTextChar1"/>
    <w:rsid w:val="00A63CF2"/>
    <w:pPr>
      <w:spacing w:after="260" w:line="260" w:lineRule="atLeast"/>
    </w:pPr>
    <w:rPr>
      <w:rFonts w:ascii="Univers 45 Light" w:hAnsi="Univers 45 Light"/>
    </w:rPr>
  </w:style>
  <w:style w:type="character" w:customStyle="1" w:styleId="BodyTextChar">
    <w:name w:val="Body Text Char"/>
    <w:basedOn w:val="DefaultParagraphFont"/>
    <w:rsid w:val="00A63CF2"/>
    <w:rPr>
      <w:sz w:val="24"/>
      <w:szCs w:val="24"/>
      <w:lang w:eastAsia="en-US"/>
    </w:rPr>
  </w:style>
  <w:style w:type="character" w:customStyle="1" w:styleId="BodyTextChar1">
    <w:name w:val="Body Text Char1"/>
    <w:basedOn w:val="DefaultParagraphFont"/>
    <w:link w:val="BodyText"/>
    <w:rsid w:val="00A63CF2"/>
    <w:rPr>
      <w:rFonts w:ascii="Univers 45 Light" w:hAnsi="Univers 45 Light" w:cs="Times New Roman"/>
      <w:spacing w:val="0"/>
      <w:szCs w:val="20"/>
      <w:lang w:eastAsia="en-US"/>
    </w:rPr>
  </w:style>
  <w:style w:type="paragraph" w:customStyle="1" w:styleId="Default">
    <w:name w:val="Default"/>
    <w:rsid w:val="00A63CF2"/>
    <w:pPr>
      <w:autoSpaceDE w:val="0"/>
      <w:autoSpaceDN w:val="0"/>
      <w:adjustRightInd w:val="0"/>
    </w:pPr>
    <w:rPr>
      <w:color w:val="000000"/>
      <w:spacing w:val="0"/>
      <w:sz w:val="24"/>
      <w:lang w:val="en-US" w:eastAsia="en-US"/>
    </w:rPr>
  </w:style>
  <w:style w:type="paragraph" w:styleId="Revision">
    <w:name w:val="Revision"/>
    <w:hidden/>
    <w:uiPriority w:val="99"/>
    <w:semiHidden/>
    <w:rsid w:val="00A63CF2"/>
    <w:rPr>
      <w:rFonts w:ascii="Times New Roman" w:hAnsi="Times New Roman" w:cs="Times New Roman"/>
      <w:spacing w:val="0"/>
      <w:sz w:val="24"/>
      <w:lang w:eastAsia="en-US"/>
    </w:rPr>
  </w:style>
  <w:style w:type="paragraph" w:customStyle="1" w:styleId="x02-body-copy">
    <w:name w:val="x02-body-copy"/>
    <w:basedOn w:val="Normal"/>
    <w:rsid w:val="00A63CF2"/>
    <w:pPr>
      <w:spacing w:after="160"/>
    </w:pPr>
    <w:rPr>
      <w:rFonts w:eastAsiaTheme="minorEastAsia" w:cstheme="minorBidi"/>
      <w:sz w:val="19"/>
    </w:rPr>
  </w:style>
  <w:style w:type="character" w:customStyle="1" w:styleId="x02-body-italic">
    <w:name w:val="x02-body-italic"/>
    <w:basedOn w:val="DefaultParagraphFont"/>
    <w:rsid w:val="00A63CF2"/>
    <w:rPr>
      <w:rFonts w:ascii="Arial" w:hAnsi="Arial"/>
      <w:i/>
      <w:sz w:val="19"/>
    </w:rPr>
  </w:style>
  <w:style w:type="paragraph" w:customStyle="1" w:styleId="x02-body-copy-before-bullet">
    <w:name w:val="x02-body-copy-before-bullet"/>
    <w:basedOn w:val="Normal"/>
    <w:rsid w:val="00A63CF2"/>
    <w:pPr>
      <w:spacing w:after="120"/>
    </w:pPr>
    <w:rPr>
      <w:rFonts w:eastAsiaTheme="minorEastAsia" w:cstheme="minorBidi"/>
      <w:sz w:val="19"/>
    </w:rPr>
  </w:style>
  <w:style w:type="paragraph" w:customStyle="1" w:styleId="x01-heading-level-4">
    <w:name w:val="x01-heading-level-4"/>
    <w:basedOn w:val="Normal"/>
    <w:rsid w:val="00A63CF2"/>
    <w:pPr>
      <w:spacing w:before="60" w:after="60"/>
    </w:pPr>
    <w:rPr>
      <w:rFonts w:eastAsiaTheme="minorEastAsia" w:cstheme="minorBidi"/>
      <w:b/>
      <w:bCs/>
      <w:color w:val="666967"/>
      <w:sz w:val="21"/>
      <w:szCs w:val="21"/>
    </w:rPr>
  </w:style>
  <w:style w:type="paragraph" w:customStyle="1" w:styleId="bullet">
    <w:name w:val="bullet"/>
    <w:basedOn w:val="Normal"/>
    <w:qFormat/>
    <w:rsid w:val="00A63CF2"/>
    <w:pPr>
      <w:numPr>
        <w:numId w:val="1"/>
      </w:numPr>
      <w:spacing w:after="120"/>
      <w:ind w:left="357" w:hanging="357"/>
    </w:pPr>
    <w:rPr>
      <w:sz w:val="19"/>
    </w:rPr>
  </w:style>
  <w:style w:type="paragraph" w:styleId="NormalWeb">
    <w:name w:val="Normal (Web)"/>
    <w:basedOn w:val="Normal"/>
    <w:uiPriority w:val="99"/>
    <w:unhideWhenUsed/>
    <w:rsid w:val="00A63CF2"/>
    <w:pPr>
      <w:spacing w:before="100" w:beforeAutospacing="1" w:after="100" w:afterAutospacing="1"/>
    </w:pPr>
  </w:style>
  <w:style w:type="character" w:customStyle="1" w:styleId="apple-converted-space">
    <w:name w:val="apple-converted-space"/>
    <w:basedOn w:val="DefaultParagraphFont"/>
    <w:rsid w:val="00A63CF2"/>
  </w:style>
  <w:style w:type="paragraph" w:customStyle="1" w:styleId="ta-response-item-content">
    <w:name w:val="ta-response-item-content"/>
    <w:basedOn w:val="Normal"/>
    <w:rsid w:val="00A63CF2"/>
    <w:pPr>
      <w:spacing w:before="100" w:beforeAutospacing="1" w:after="100" w:afterAutospacing="1"/>
    </w:pPr>
  </w:style>
  <w:style w:type="character" w:customStyle="1" w:styleId="ta-response-item-date">
    <w:name w:val="ta-response-item-date"/>
    <w:basedOn w:val="DefaultParagraphFont"/>
    <w:rsid w:val="00A63CF2"/>
  </w:style>
  <w:style w:type="character" w:styleId="Hyperlink">
    <w:name w:val="Hyperlink"/>
    <w:basedOn w:val="DefaultParagraphFont"/>
    <w:uiPriority w:val="99"/>
    <w:unhideWhenUsed/>
    <w:rsid w:val="00A63CF2"/>
    <w:rPr>
      <w:color w:val="0000FF"/>
      <w:u w:val="single"/>
    </w:rPr>
  </w:style>
  <w:style w:type="character" w:customStyle="1" w:styleId="smf-icon">
    <w:name w:val="smf-icon"/>
    <w:basedOn w:val="DefaultParagraphFont"/>
    <w:rsid w:val="00A63CF2"/>
  </w:style>
  <w:style w:type="character" w:customStyle="1" w:styleId="standard-1">
    <w:name w:val="standard-1"/>
    <w:uiPriority w:val="99"/>
    <w:rsid w:val="00A63CF2"/>
    <w:rPr>
      <w:rFonts w:cs="Times New Roman"/>
      <w:color w:val="0065A4"/>
    </w:rPr>
  </w:style>
  <w:style w:type="character" w:customStyle="1" w:styleId="standard-3">
    <w:name w:val="standard-3"/>
    <w:uiPriority w:val="99"/>
    <w:rsid w:val="00A63CF2"/>
    <w:rPr>
      <w:rFonts w:cs="Times New Roman"/>
      <w:color w:val="E4A11B"/>
    </w:rPr>
  </w:style>
  <w:style w:type="character" w:customStyle="1" w:styleId="standard-4">
    <w:name w:val="standard-4"/>
    <w:uiPriority w:val="99"/>
    <w:rsid w:val="00A63CF2"/>
    <w:rPr>
      <w:rFonts w:cs="Times New Roman"/>
      <w:color w:val="94C947"/>
    </w:rPr>
  </w:style>
  <w:style w:type="character" w:customStyle="1" w:styleId="standard-5">
    <w:name w:val="standard-5"/>
    <w:uiPriority w:val="99"/>
    <w:rsid w:val="00A63CF2"/>
    <w:rPr>
      <w:rFonts w:cs="Times New Roman"/>
      <w:color w:val="4891CE"/>
    </w:rPr>
  </w:style>
  <w:style w:type="character" w:customStyle="1" w:styleId="standard-6">
    <w:name w:val="standard-6"/>
    <w:uiPriority w:val="99"/>
    <w:rsid w:val="00A63CF2"/>
    <w:rPr>
      <w:rFonts w:cs="Times New Roman"/>
      <w:color w:val="00A777"/>
    </w:rPr>
  </w:style>
  <w:style w:type="character" w:customStyle="1" w:styleId="standard-7">
    <w:name w:val="standard-7"/>
    <w:uiPriority w:val="99"/>
    <w:rsid w:val="00A63CF2"/>
    <w:rPr>
      <w:rFonts w:cs="Times New Roman"/>
      <w:color w:val="B40B47"/>
    </w:rPr>
  </w:style>
  <w:style w:type="character" w:customStyle="1" w:styleId="standard-8">
    <w:name w:val="standard-8"/>
    <w:uiPriority w:val="99"/>
    <w:rsid w:val="00A63CF2"/>
    <w:rPr>
      <w:rFonts w:cs="Times New Roman"/>
      <w:color w:val="F37324"/>
    </w:rPr>
  </w:style>
  <w:style w:type="character" w:customStyle="1" w:styleId="standard-9">
    <w:name w:val="standard-9"/>
    <w:uiPriority w:val="99"/>
    <w:rsid w:val="00A63CF2"/>
    <w:rPr>
      <w:rFonts w:cs="Times New Roman"/>
      <w:color w:val="732B90"/>
    </w:rPr>
  </w:style>
  <w:style w:type="character" w:customStyle="1" w:styleId="standard-10">
    <w:name w:val="standard-10"/>
    <w:uiPriority w:val="99"/>
    <w:rsid w:val="00A63CF2"/>
    <w:rPr>
      <w:rFonts w:cs="Times New Roman"/>
      <w:color w:val="00718C"/>
    </w:rPr>
  </w:style>
  <w:style w:type="character" w:customStyle="1" w:styleId="Standard-2">
    <w:name w:val="Standard-2"/>
    <w:uiPriority w:val="99"/>
    <w:rsid w:val="00A63CF2"/>
    <w:rPr>
      <w:b/>
      <w:color w:val="00B5CC"/>
    </w:rPr>
  </w:style>
  <w:style w:type="paragraph" w:styleId="FootnoteText">
    <w:name w:val="footnote text"/>
    <w:basedOn w:val="Normal"/>
    <w:link w:val="FootnoteTextChar"/>
    <w:rsid w:val="00151D2A"/>
    <w:pPr>
      <w:ind w:left="360" w:hanging="360"/>
    </w:pPr>
    <w:rPr>
      <w:sz w:val="20"/>
    </w:rPr>
  </w:style>
  <w:style w:type="character" w:customStyle="1" w:styleId="FootnoteTextChar">
    <w:name w:val="Footnote Text Char"/>
    <w:basedOn w:val="DefaultParagraphFont"/>
    <w:link w:val="FootnoteText"/>
    <w:rsid w:val="00A63CF2"/>
    <w:rPr>
      <w:rFonts w:ascii="Times New Roman" w:hAnsi="Times New Roman" w:cs="Times New Roman"/>
      <w:color w:val="000000"/>
      <w:spacing w:val="0"/>
      <w:sz w:val="20"/>
      <w:szCs w:val="20"/>
    </w:rPr>
  </w:style>
  <w:style w:type="character" w:styleId="FootnoteReference">
    <w:name w:val="footnote reference"/>
    <w:basedOn w:val="DefaultParagraphFont"/>
    <w:rsid w:val="00151D2A"/>
    <w:rPr>
      <w:vertAlign w:val="superscript"/>
    </w:rPr>
  </w:style>
  <w:style w:type="paragraph" w:styleId="EndnoteText">
    <w:name w:val="endnote text"/>
    <w:basedOn w:val="Normal"/>
    <w:link w:val="EndnoteTextChar"/>
    <w:rsid w:val="00A63CF2"/>
    <w:rPr>
      <w:sz w:val="20"/>
    </w:rPr>
  </w:style>
  <w:style w:type="character" w:customStyle="1" w:styleId="EndnoteTextChar">
    <w:name w:val="Endnote Text Char"/>
    <w:basedOn w:val="DefaultParagraphFont"/>
    <w:link w:val="EndnoteText"/>
    <w:rsid w:val="00A63CF2"/>
    <w:rPr>
      <w:rFonts w:ascii="Times New Roman" w:hAnsi="Times New Roman" w:cs="Times New Roman"/>
      <w:spacing w:val="0"/>
      <w:sz w:val="20"/>
      <w:szCs w:val="20"/>
      <w:lang w:eastAsia="en-US"/>
    </w:rPr>
  </w:style>
  <w:style w:type="character" w:styleId="EndnoteReference">
    <w:name w:val="endnote reference"/>
    <w:basedOn w:val="DefaultParagraphFont"/>
    <w:rsid w:val="00A63CF2"/>
    <w:rPr>
      <w:vertAlign w:val="superscript"/>
    </w:rPr>
  </w:style>
  <w:style w:type="paragraph" w:styleId="TOCHeading">
    <w:name w:val="TOC Heading"/>
    <w:basedOn w:val="Heading1"/>
    <w:next w:val="Normal"/>
    <w:uiPriority w:val="39"/>
    <w:semiHidden/>
    <w:unhideWhenUsed/>
    <w:qFormat/>
    <w:rsid w:val="00A63CF2"/>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151D2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151D2A"/>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151D2A"/>
    <w:pPr>
      <w:tabs>
        <w:tab w:val="left" w:pos="2160"/>
        <w:tab w:val="right" w:leader="dot" w:pos="9016"/>
      </w:tabs>
      <w:spacing w:after="20"/>
      <w:ind w:left="2160" w:right="720" w:hanging="720"/>
    </w:pPr>
  </w:style>
  <w:style w:type="table" w:styleId="LightGrid-Accent1">
    <w:name w:val="Light Grid Accent 1"/>
    <w:basedOn w:val="TableNormal"/>
    <w:uiPriority w:val="62"/>
    <w:rsid w:val="00A63CF2"/>
    <w:rPr>
      <w:rFonts w:ascii="Times New Roman" w:hAnsi="Times New Roman" w:cs="Times New Roman"/>
      <w:spacing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AD3B6B"/>
    <w:rPr>
      <w:rFonts w:cs="Times New Roman"/>
      <w:spacing w:val="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4">
    <w:name w:val="toc 4"/>
    <w:basedOn w:val="Normal"/>
    <w:next w:val="Normal"/>
    <w:autoRedefine/>
    <w:rsid w:val="00151D2A"/>
    <w:pPr>
      <w:tabs>
        <w:tab w:val="right" w:leader="dot" w:pos="9016"/>
      </w:tabs>
      <w:ind w:left="2160" w:right="720"/>
    </w:pPr>
    <w:rPr>
      <w:noProof/>
      <w:szCs w:val="24"/>
    </w:rPr>
  </w:style>
  <w:style w:type="paragraph" w:styleId="TOC5">
    <w:name w:val="toc 5"/>
    <w:basedOn w:val="Normal"/>
    <w:next w:val="Normal"/>
    <w:autoRedefine/>
    <w:rsid w:val="00A63CF2"/>
    <w:pPr>
      <w:ind w:left="960"/>
    </w:pPr>
    <w:rPr>
      <w:rFonts w:asciiTheme="minorHAnsi" w:hAnsiTheme="minorHAnsi"/>
      <w:sz w:val="20"/>
    </w:rPr>
  </w:style>
  <w:style w:type="paragraph" w:styleId="TOC6">
    <w:name w:val="toc 6"/>
    <w:basedOn w:val="Normal"/>
    <w:next w:val="Normal"/>
    <w:autoRedefine/>
    <w:rsid w:val="00A63CF2"/>
    <w:pPr>
      <w:ind w:left="1200"/>
    </w:pPr>
    <w:rPr>
      <w:rFonts w:asciiTheme="minorHAnsi" w:hAnsiTheme="minorHAnsi"/>
      <w:sz w:val="20"/>
    </w:rPr>
  </w:style>
  <w:style w:type="paragraph" w:styleId="TOC7">
    <w:name w:val="toc 7"/>
    <w:basedOn w:val="Normal"/>
    <w:next w:val="Normal"/>
    <w:autoRedefine/>
    <w:rsid w:val="00A63CF2"/>
    <w:pPr>
      <w:ind w:left="1440"/>
    </w:pPr>
    <w:rPr>
      <w:rFonts w:asciiTheme="minorHAnsi" w:hAnsiTheme="minorHAnsi"/>
      <w:sz w:val="20"/>
    </w:rPr>
  </w:style>
  <w:style w:type="paragraph" w:styleId="TOC8">
    <w:name w:val="toc 8"/>
    <w:basedOn w:val="Normal"/>
    <w:next w:val="Normal"/>
    <w:autoRedefine/>
    <w:rsid w:val="00A63CF2"/>
    <w:pPr>
      <w:ind w:left="1680"/>
    </w:pPr>
    <w:rPr>
      <w:rFonts w:asciiTheme="minorHAnsi" w:hAnsiTheme="minorHAnsi"/>
      <w:sz w:val="20"/>
    </w:rPr>
  </w:style>
  <w:style w:type="paragraph" w:styleId="TOC9">
    <w:name w:val="toc 9"/>
    <w:basedOn w:val="Normal"/>
    <w:next w:val="Normal"/>
    <w:autoRedefine/>
    <w:rsid w:val="00A63CF2"/>
    <w:pPr>
      <w:ind w:left="1920"/>
    </w:pPr>
    <w:rPr>
      <w:rFonts w:asciiTheme="minorHAnsi" w:hAnsiTheme="minorHAnsi"/>
      <w:sz w:val="20"/>
    </w:rPr>
  </w:style>
  <w:style w:type="paragraph" w:customStyle="1" w:styleId="TableText">
    <w:name w:val="TableText"/>
    <w:basedOn w:val="Normal"/>
    <w:rsid w:val="001713DE"/>
    <w:pPr>
      <w:keepNext/>
      <w:spacing w:before="60" w:after="60"/>
    </w:pPr>
    <w:rPr>
      <w:sz w:val="21"/>
      <w:szCs w:val="21"/>
    </w:rPr>
  </w:style>
  <w:style w:type="table" w:customStyle="1" w:styleId="TableGrid1">
    <w:name w:val="Table Grid1"/>
    <w:basedOn w:val="TableNormal"/>
    <w:next w:val="TableGrid"/>
    <w:rsid w:val="000B7131"/>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Quote">
    <w:name w:val="PullQuote"/>
    <w:basedOn w:val="Normal"/>
    <w:next w:val="Normal"/>
    <w:rsid w:val="00151D2A"/>
    <w:rPr>
      <w:rFonts w:ascii="Times New Roman Bold" w:hAnsi="Times New Roman Bold"/>
      <w:b/>
      <w:color w:val="76923C" w:themeColor="accent3" w:themeShade="BF"/>
    </w:rPr>
  </w:style>
  <w:style w:type="paragraph" w:customStyle="1" w:styleId="ReportDate">
    <w:name w:val="ReportDate"/>
    <w:basedOn w:val="Normal"/>
    <w:rsid w:val="00151D2A"/>
    <w:pPr>
      <w:jc w:val="center"/>
    </w:pPr>
    <w:rPr>
      <w:sz w:val="40"/>
    </w:rPr>
  </w:style>
  <w:style w:type="paragraph" w:customStyle="1" w:styleId="Heading1a">
    <w:name w:val="Heading 1a"/>
    <w:basedOn w:val="Heading1"/>
    <w:next w:val="Normal"/>
    <w:rsid w:val="00151D2A"/>
    <w:pPr>
      <w:outlineLvl w:val="9"/>
    </w:pPr>
  </w:style>
  <w:style w:type="paragraph" w:customStyle="1" w:styleId="Heading2a">
    <w:name w:val="Heading 2a"/>
    <w:basedOn w:val="Heading2"/>
    <w:next w:val="Normal"/>
    <w:rsid w:val="00151D2A"/>
    <w:pPr>
      <w:ind w:left="0" w:firstLine="0"/>
      <w:outlineLvl w:val="9"/>
    </w:pPr>
  </w:style>
  <w:style w:type="paragraph" w:customStyle="1" w:styleId="Heading3a">
    <w:name w:val="Heading 3a"/>
    <w:basedOn w:val="Heading3"/>
    <w:next w:val="Normal"/>
    <w:rsid w:val="00151D2A"/>
    <w:pPr>
      <w:ind w:left="0" w:firstLine="0"/>
      <w:outlineLvl w:val="9"/>
    </w:pPr>
  </w:style>
  <w:style w:type="paragraph" w:customStyle="1" w:styleId="TFListNotesSpace">
    <w:name w:val="TFListNotes+Space"/>
    <w:basedOn w:val="TableText"/>
    <w:next w:val="Normal"/>
    <w:rsid w:val="00151D2A"/>
    <w:pPr>
      <w:keepNext w:val="0"/>
      <w:keepLines/>
      <w:spacing w:before="0" w:after="360"/>
      <w:ind w:left="170" w:hanging="170"/>
    </w:pPr>
    <w:rPr>
      <w:sz w:val="18"/>
      <w:szCs w:val="18"/>
    </w:rPr>
  </w:style>
  <w:style w:type="paragraph" w:customStyle="1" w:styleId="TFListNotes">
    <w:name w:val="TFListNotes"/>
    <w:basedOn w:val="TFListNotesSpace"/>
    <w:rsid w:val="00151D2A"/>
    <w:pPr>
      <w:keepNext/>
      <w:spacing w:after="0"/>
    </w:pPr>
  </w:style>
  <w:style w:type="paragraph" w:customStyle="1" w:styleId="TableName">
    <w:name w:val="TableName"/>
    <w:basedOn w:val="TableText"/>
    <w:rsid w:val="00151D2A"/>
    <w:pPr>
      <w:tabs>
        <w:tab w:val="left" w:pos="1080"/>
      </w:tabs>
      <w:spacing w:before="120" w:after="120"/>
      <w:ind w:left="1080" w:hanging="1080"/>
    </w:pPr>
    <w:rPr>
      <w:rFonts w:ascii="Times New Roman Bold" w:hAnsi="Times New Roman Bold"/>
      <w:b/>
      <w:bCs/>
      <w:sz w:val="22"/>
    </w:rPr>
  </w:style>
  <w:style w:type="paragraph" w:customStyle="1" w:styleId="TableHeading0">
    <w:name w:val="TableHeading"/>
    <w:basedOn w:val="TableText"/>
    <w:rsid w:val="001713DE"/>
    <w:rPr>
      <w:rFonts w:ascii="Times New Roman Bold" w:hAnsi="Times New Roman Bold"/>
      <w:b/>
      <w:bCs/>
    </w:rPr>
  </w:style>
  <w:style w:type="paragraph" w:customStyle="1" w:styleId="TableBullet">
    <w:name w:val="TableBullet"/>
    <w:basedOn w:val="TableText"/>
    <w:rsid w:val="00151D2A"/>
    <w:pPr>
      <w:numPr>
        <w:numId w:val="4"/>
      </w:numPr>
      <w:tabs>
        <w:tab w:val="clear" w:pos="360"/>
        <w:tab w:val="left" w:pos="216"/>
      </w:tabs>
      <w:ind w:left="216" w:hanging="216"/>
    </w:pPr>
  </w:style>
  <w:style w:type="paragraph" w:customStyle="1" w:styleId="TableDash">
    <w:name w:val="TableDash"/>
    <w:basedOn w:val="TableText"/>
    <w:rsid w:val="00151D2A"/>
    <w:pPr>
      <w:numPr>
        <w:numId w:val="5"/>
      </w:numPr>
      <w:tabs>
        <w:tab w:val="clear" w:pos="216"/>
        <w:tab w:val="num" w:pos="432"/>
      </w:tabs>
    </w:pPr>
  </w:style>
  <w:style w:type="paragraph" w:customStyle="1" w:styleId="References">
    <w:name w:val="References"/>
    <w:basedOn w:val="Normal"/>
    <w:rsid w:val="00151D2A"/>
    <w:pPr>
      <w:keepLines/>
      <w:ind w:left="720" w:hanging="720"/>
    </w:pPr>
  </w:style>
  <w:style w:type="paragraph" w:customStyle="1" w:styleId="FigTabPara">
    <w:name w:val="FigTabPara"/>
    <w:basedOn w:val="Normal"/>
    <w:next w:val="TFIHolder"/>
    <w:rsid w:val="00151D2A"/>
    <w:pPr>
      <w:keepNext/>
      <w:spacing w:after="120"/>
      <w:ind w:left="1077"/>
    </w:pPr>
  </w:style>
  <w:style w:type="paragraph" w:customStyle="1" w:styleId="TFIHolder">
    <w:name w:val="TFIHolder"/>
    <w:basedOn w:val="TFAbbrevs"/>
    <w:qFormat/>
    <w:rsid w:val="00151D2A"/>
    <w:rPr>
      <w:sz w:val="12"/>
    </w:rPr>
  </w:style>
  <w:style w:type="paragraph" w:customStyle="1" w:styleId="TFAbbrevs">
    <w:name w:val="TFAbbrevs"/>
    <w:basedOn w:val="TFListNotes"/>
    <w:rsid w:val="00151D2A"/>
    <w:pPr>
      <w:ind w:left="0" w:firstLine="0"/>
    </w:pPr>
  </w:style>
  <w:style w:type="paragraph" w:customStyle="1" w:styleId="FigureNameSpace">
    <w:name w:val="FigureName+Space"/>
    <w:basedOn w:val="Normal"/>
    <w:next w:val="Normal"/>
    <w:rsid w:val="00151D2A"/>
    <w:pPr>
      <w:keepLines/>
      <w:tabs>
        <w:tab w:val="left" w:pos="1080"/>
      </w:tabs>
      <w:spacing w:before="120" w:after="360"/>
      <w:ind w:left="1080" w:hanging="1080"/>
    </w:pPr>
    <w:rPr>
      <w:b/>
      <w:bCs/>
    </w:rPr>
  </w:style>
  <w:style w:type="paragraph" w:styleId="TableofFigures">
    <w:name w:val="table of figures"/>
    <w:basedOn w:val="Normal"/>
    <w:next w:val="Normal"/>
    <w:uiPriority w:val="99"/>
    <w:rsid w:val="00151D2A"/>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151D2A"/>
    <w:pPr>
      <w:numPr>
        <w:numId w:val="6"/>
      </w:numPr>
    </w:pPr>
  </w:style>
  <w:style w:type="paragraph" w:customStyle="1" w:styleId="Bullet0">
    <w:name w:val="Bullet"/>
    <w:basedOn w:val="BulletBeforeDash"/>
    <w:qFormat/>
    <w:rsid w:val="00151D2A"/>
    <w:pPr>
      <w:spacing w:after="120"/>
    </w:pPr>
  </w:style>
  <w:style w:type="paragraph" w:customStyle="1" w:styleId="BulletLast">
    <w:name w:val="BulletLast"/>
    <w:basedOn w:val="Bullet0"/>
    <w:qFormat/>
    <w:rsid w:val="00151D2A"/>
    <w:pPr>
      <w:spacing w:after="240"/>
    </w:pPr>
  </w:style>
  <w:style w:type="paragraph" w:customStyle="1" w:styleId="Dash">
    <w:name w:val="Dash"/>
    <w:basedOn w:val="Normal"/>
    <w:rsid w:val="00151D2A"/>
    <w:pPr>
      <w:numPr>
        <w:numId w:val="7"/>
      </w:numPr>
      <w:tabs>
        <w:tab w:val="clear" w:pos="216"/>
        <w:tab w:val="left" w:pos="720"/>
      </w:tabs>
      <w:ind w:left="720" w:hanging="360"/>
    </w:pPr>
  </w:style>
  <w:style w:type="paragraph" w:customStyle="1" w:styleId="DashLast">
    <w:name w:val="DashLast"/>
    <w:basedOn w:val="Dash"/>
    <w:rsid w:val="00151D2A"/>
    <w:pPr>
      <w:spacing w:after="120"/>
    </w:pPr>
  </w:style>
  <w:style w:type="paragraph" w:customStyle="1" w:styleId="DashLastSpace">
    <w:name w:val="DashLast+Space"/>
    <w:basedOn w:val="DashLast"/>
    <w:rsid w:val="00151D2A"/>
    <w:pPr>
      <w:spacing w:after="240"/>
    </w:pPr>
  </w:style>
  <w:style w:type="paragraph" w:customStyle="1" w:styleId="NormalBeforeBullet">
    <w:name w:val="NormalBeforeBullet"/>
    <w:basedOn w:val="Normal"/>
    <w:qFormat/>
    <w:rsid w:val="00151D2A"/>
    <w:pPr>
      <w:keepNext/>
      <w:spacing w:after="120"/>
    </w:pPr>
  </w:style>
  <w:style w:type="paragraph" w:customStyle="1" w:styleId="BoxText">
    <w:name w:val="BoxText"/>
    <w:basedOn w:val="Normal"/>
    <w:qFormat/>
    <w:rsid w:val="00151D2A"/>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151D2A"/>
    <w:pPr>
      <w:spacing w:before="120" w:after="60"/>
    </w:pPr>
    <w:rPr>
      <w:sz w:val="18"/>
    </w:rPr>
  </w:style>
  <w:style w:type="paragraph" w:customStyle="1" w:styleId="BoxName">
    <w:name w:val="BoxName"/>
    <w:basedOn w:val="BoxText"/>
    <w:rsid w:val="00151D2A"/>
    <w:pPr>
      <w:keepNext/>
      <w:spacing w:before="180"/>
      <w:ind w:left="1080" w:hanging="1080"/>
    </w:pPr>
    <w:rPr>
      <w:b/>
      <w:bCs/>
      <w:sz w:val="24"/>
    </w:rPr>
  </w:style>
  <w:style w:type="paragraph" w:customStyle="1" w:styleId="BoxHeading">
    <w:name w:val="BoxHeading"/>
    <w:basedOn w:val="BoxText"/>
    <w:rsid w:val="00151D2A"/>
    <w:pPr>
      <w:keepNext/>
      <w:spacing w:before="120" w:after="60"/>
    </w:pPr>
    <w:rPr>
      <w:b/>
      <w:bCs/>
    </w:rPr>
  </w:style>
  <w:style w:type="paragraph" w:customStyle="1" w:styleId="BoxBullet">
    <w:name w:val="BoxBullet"/>
    <w:basedOn w:val="BoxText"/>
    <w:rsid w:val="00151D2A"/>
    <w:pPr>
      <w:numPr>
        <w:numId w:val="11"/>
      </w:numPr>
    </w:pPr>
  </w:style>
  <w:style w:type="paragraph" w:customStyle="1" w:styleId="BoxDashManual">
    <w:name w:val="BoxDashManual"/>
    <w:basedOn w:val="BoxText"/>
    <w:rsid w:val="00151D2A"/>
    <w:pPr>
      <w:tabs>
        <w:tab w:val="left" w:pos="360"/>
        <w:tab w:val="left" w:pos="720"/>
      </w:tabs>
      <w:ind w:left="720" w:hanging="720"/>
    </w:pPr>
  </w:style>
  <w:style w:type="paragraph" w:customStyle="1" w:styleId="FigureName">
    <w:name w:val="FigureName"/>
    <w:basedOn w:val="FigureNameSpace"/>
    <w:next w:val="Normal"/>
    <w:rsid w:val="00151D2A"/>
    <w:pPr>
      <w:keepNext/>
      <w:spacing w:after="120"/>
      <w:ind w:left="1077" w:hanging="1077"/>
    </w:pPr>
  </w:style>
  <w:style w:type="paragraph" w:styleId="Index1">
    <w:name w:val="index 1"/>
    <w:basedOn w:val="Normal"/>
    <w:next w:val="Normal"/>
    <w:rsid w:val="00151D2A"/>
    <w:pPr>
      <w:ind w:left="518" w:hanging="518"/>
    </w:pPr>
    <w:rPr>
      <w:noProof/>
    </w:rPr>
  </w:style>
  <w:style w:type="paragraph" w:styleId="Index2">
    <w:name w:val="index 2"/>
    <w:basedOn w:val="Index1"/>
    <w:next w:val="Normal"/>
    <w:rsid w:val="00151D2A"/>
    <w:pPr>
      <w:ind w:left="816" w:hanging="476"/>
    </w:pPr>
  </w:style>
  <w:style w:type="paragraph" w:customStyle="1" w:styleId="NumberList">
    <w:name w:val="NumberList"/>
    <w:basedOn w:val="Normal"/>
    <w:rsid w:val="00151D2A"/>
    <w:pPr>
      <w:tabs>
        <w:tab w:val="left" w:pos="360"/>
      </w:tabs>
      <w:ind w:left="360" w:hanging="360"/>
    </w:pPr>
  </w:style>
  <w:style w:type="paragraph" w:customStyle="1" w:styleId="TFNoteSourceSpace">
    <w:name w:val="TFNoteSource+Space"/>
    <w:basedOn w:val="TFListNotesSpace"/>
    <w:next w:val="Normal"/>
    <w:rsid w:val="00151D2A"/>
    <w:pPr>
      <w:ind w:left="624" w:hanging="624"/>
    </w:pPr>
  </w:style>
  <w:style w:type="paragraph" w:customStyle="1" w:styleId="TFNoteSource">
    <w:name w:val="TFNoteSource"/>
    <w:basedOn w:val="TFNoteSourceSpace"/>
    <w:rsid w:val="00151D2A"/>
    <w:pPr>
      <w:spacing w:after="0"/>
    </w:pPr>
  </w:style>
  <w:style w:type="character" w:customStyle="1" w:styleId="DesignerNotesChar">
    <w:name w:val="DesignerNotesChar"/>
    <w:basedOn w:val="DefaultParagraphFont"/>
    <w:rsid w:val="00151D2A"/>
    <w:rPr>
      <w:rFonts w:ascii="Arial" w:hAnsi="Arial"/>
      <w:b/>
      <w:color w:val="3366FF"/>
      <w:sz w:val="20"/>
    </w:rPr>
  </w:style>
  <w:style w:type="paragraph" w:customStyle="1" w:styleId="TFAbbrevsSpace">
    <w:name w:val="TFAbbrevs+Space"/>
    <w:basedOn w:val="TFAbbrevs"/>
    <w:next w:val="Normal"/>
    <w:rsid w:val="00151D2A"/>
    <w:pPr>
      <w:spacing w:after="360"/>
    </w:pPr>
  </w:style>
  <w:style w:type="character" w:customStyle="1" w:styleId="Roman">
    <w:name w:val="Roman"/>
    <w:uiPriority w:val="1"/>
    <w:rsid w:val="00151D2A"/>
    <w:rPr>
      <w:b w:val="0"/>
      <w:i/>
    </w:rPr>
  </w:style>
  <w:style w:type="character" w:customStyle="1" w:styleId="PullQuoteOrigin">
    <w:name w:val="PullQuoteOrigin"/>
    <w:basedOn w:val="DefaultParagraphFont"/>
    <w:uiPriority w:val="1"/>
    <w:rsid w:val="00151D2A"/>
    <w:rPr>
      <w:b/>
      <w:noProof/>
      <w:color w:val="76923C" w:themeColor="accent3" w:themeShade="BF"/>
    </w:rPr>
  </w:style>
  <w:style w:type="paragraph" w:customStyle="1" w:styleId="TFIHolderSpace">
    <w:name w:val="TFIHolder+Space"/>
    <w:basedOn w:val="TFIHolder"/>
    <w:qFormat/>
    <w:rsid w:val="00151D2A"/>
    <w:pPr>
      <w:spacing w:after="240"/>
    </w:pPr>
  </w:style>
  <w:style w:type="paragraph" w:customStyle="1" w:styleId="DesignerNotes">
    <w:name w:val="DesignerNotes"/>
    <w:basedOn w:val="Normal"/>
    <w:rsid w:val="00151D2A"/>
    <w:rPr>
      <w:b/>
      <w:color w:val="3366FF"/>
      <w:sz w:val="20"/>
    </w:rPr>
  </w:style>
  <w:style w:type="character" w:customStyle="1" w:styleId="Subscript">
    <w:name w:val="Subscript"/>
    <w:basedOn w:val="DefaultParagraphFont"/>
    <w:uiPriority w:val="1"/>
    <w:rsid w:val="00151D2A"/>
    <w:rPr>
      <w:noProof/>
      <w:vertAlign w:val="subscript"/>
    </w:rPr>
  </w:style>
  <w:style w:type="character" w:customStyle="1" w:styleId="Superscript">
    <w:name w:val="Superscript"/>
    <w:basedOn w:val="DefaultParagraphFont"/>
    <w:uiPriority w:val="1"/>
    <w:rsid w:val="00151D2A"/>
    <w:rPr>
      <w:noProof/>
      <w:vertAlign w:val="superscript"/>
    </w:rPr>
  </w:style>
  <w:style w:type="character" w:customStyle="1" w:styleId="Symbol">
    <w:name w:val="Symbol"/>
    <w:basedOn w:val="DefaultParagraphFont"/>
    <w:uiPriority w:val="1"/>
    <w:rsid w:val="00151D2A"/>
    <w:rPr>
      <w:noProof/>
    </w:rPr>
  </w:style>
  <w:style w:type="character" w:customStyle="1" w:styleId="NoBreak">
    <w:name w:val="NoBreak"/>
    <w:basedOn w:val="DefaultParagraphFont"/>
    <w:uiPriority w:val="1"/>
    <w:rsid w:val="00151D2A"/>
    <w:rPr>
      <w:noProof/>
    </w:rPr>
  </w:style>
  <w:style w:type="paragraph" w:customStyle="1" w:styleId="MathEquation">
    <w:name w:val="MathEquation"/>
    <w:basedOn w:val="Normal"/>
    <w:rsid w:val="00151D2A"/>
    <w:rPr>
      <w:rFonts w:ascii="Cambria Math" w:hAnsi="Cambria Math"/>
      <w:i/>
      <w:noProof/>
    </w:rPr>
  </w:style>
  <w:style w:type="paragraph" w:customStyle="1" w:styleId="ComputerCode">
    <w:name w:val="ComputerCode"/>
    <w:basedOn w:val="Normal"/>
    <w:rsid w:val="00151D2A"/>
    <w:pPr>
      <w:ind w:left="567"/>
      <w:contextualSpacing/>
    </w:pPr>
    <w:rPr>
      <w:rFonts w:ascii="Courier New" w:hAnsi="Courier New"/>
      <w:sz w:val="20"/>
      <w:szCs w:val="24"/>
    </w:rPr>
  </w:style>
  <w:style w:type="paragraph" w:customStyle="1" w:styleId="BulletChecklist">
    <w:name w:val="BulletChecklist"/>
    <w:basedOn w:val="Bullet0"/>
    <w:rsid w:val="00151D2A"/>
    <w:pPr>
      <w:numPr>
        <w:numId w:val="9"/>
      </w:numPr>
    </w:pPr>
    <w:rPr>
      <w:noProof/>
    </w:rPr>
  </w:style>
  <w:style w:type="paragraph" w:customStyle="1" w:styleId="ImprintText">
    <w:name w:val="ImprintText"/>
    <w:basedOn w:val="Normal"/>
    <w:rsid w:val="00151D2A"/>
    <w:pPr>
      <w:spacing w:after="120"/>
    </w:pPr>
    <w:rPr>
      <w:sz w:val="20"/>
    </w:rPr>
  </w:style>
  <w:style w:type="paragraph" w:customStyle="1" w:styleId="AltText">
    <w:name w:val="AltText"/>
    <w:basedOn w:val="Normal"/>
    <w:rsid w:val="00151D2A"/>
    <w:rPr>
      <w:color w:val="E36C0A" w:themeColor="accent6" w:themeShade="BF"/>
      <w:sz w:val="20"/>
    </w:rPr>
  </w:style>
  <w:style w:type="paragraph" w:styleId="Caption">
    <w:name w:val="caption"/>
    <w:basedOn w:val="Normal"/>
    <w:next w:val="Credit"/>
    <w:uiPriority w:val="35"/>
    <w:unhideWhenUsed/>
    <w:rsid w:val="00DD67AC"/>
    <w:pPr>
      <w:keepNext/>
      <w:spacing w:after="40"/>
    </w:pPr>
    <w:rPr>
      <w:b/>
      <w:bCs/>
      <w:sz w:val="20"/>
      <w:szCs w:val="18"/>
    </w:rPr>
  </w:style>
  <w:style w:type="paragraph" w:customStyle="1" w:styleId="Credit">
    <w:name w:val="Credit"/>
    <w:basedOn w:val="Caption"/>
    <w:next w:val="Normal"/>
    <w:rsid w:val="00151D2A"/>
    <w:pPr>
      <w:spacing w:after="240"/>
    </w:pPr>
    <w:rPr>
      <w:b w:val="0"/>
      <w:noProof/>
    </w:rPr>
  </w:style>
  <w:style w:type="paragraph" w:customStyle="1" w:styleId="NormalFirstPara">
    <w:name w:val="NormalFirstPara"/>
    <w:basedOn w:val="Normal"/>
    <w:rsid w:val="00151D2A"/>
    <w:rPr>
      <w:noProof/>
      <w:color w:val="9BBB59" w:themeColor="accent3"/>
    </w:rPr>
  </w:style>
  <w:style w:type="paragraph" w:customStyle="1" w:styleId="TableHeadingCA">
    <w:name w:val="TableHeadingCA"/>
    <w:basedOn w:val="TableHeading0"/>
    <w:rsid w:val="00151D2A"/>
    <w:pPr>
      <w:jc w:val="center"/>
    </w:pPr>
  </w:style>
  <w:style w:type="paragraph" w:customStyle="1" w:styleId="TableTextCA">
    <w:name w:val="TableTextCA"/>
    <w:basedOn w:val="TableText"/>
    <w:rsid w:val="00151D2A"/>
    <w:pPr>
      <w:jc w:val="center"/>
    </w:pPr>
  </w:style>
  <w:style w:type="paragraph" w:customStyle="1" w:styleId="TableTextDecimalAlign">
    <w:name w:val="TableTextDecimalAlign"/>
    <w:basedOn w:val="TableText"/>
    <w:rsid w:val="00151D2A"/>
    <w:pPr>
      <w:tabs>
        <w:tab w:val="decimal" w:pos="1119"/>
      </w:tabs>
    </w:pPr>
  </w:style>
  <w:style w:type="paragraph" w:customStyle="1" w:styleId="NormalIndent">
    <w:name w:val="NormalIndent"/>
    <w:basedOn w:val="Normal"/>
    <w:rsid w:val="00151D2A"/>
    <w:pPr>
      <w:ind w:left="357"/>
    </w:pPr>
  </w:style>
  <w:style w:type="paragraph" w:customStyle="1" w:styleId="SectionTitle">
    <w:name w:val="SectionTitle"/>
    <w:basedOn w:val="Normal"/>
    <w:next w:val="Normal"/>
    <w:rsid w:val="00151D2A"/>
    <w:pPr>
      <w:jc w:val="center"/>
    </w:pPr>
    <w:rPr>
      <w:b/>
      <w:sz w:val="40"/>
    </w:rPr>
  </w:style>
  <w:style w:type="paragraph" w:customStyle="1" w:styleId="SectionSubtitle">
    <w:name w:val="SectionSubtitle"/>
    <w:basedOn w:val="Normal"/>
    <w:rsid w:val="00151D2A"/>
    <w:pPr>
      <w:jc w:val="center"/>
    </w:pPr>
    <w:rPr>
      <w:sz w:val="32"/>
    </w:rPr>
  </w:style>
  <w:style w:type="paragraph" w:customStyle="1" w:styleId="QuoteNumberList">
    <w:name w:val="QuoteNumberList"/>
    <w:basedOn w:val="Quote"/>
    <w:rsid w:val="00151D2A"/>
    <w:pPr>
      <w:ind w:left="1117" w:hanging="397"/>
    </w:pPr>
    <w:rPr>
      <w:noProof/>
    </w:rPr>
  </w:style>
  <w:style w:type="paragraph" w:customStyle="1" w:styleId="QuoteBullet">
    <w:name w:val="QuoteBullet"/>
    <w:basedOn w:val="Quote"/>
    <w:rsid w:val="00151D2A"/>
    <w:pPr>
      <w:numPr>
        <w:numId w:val="10"/>
      </w:numPr>
      <w:ind w:left="1117" w:hanging="397"/>
    </w:pPr>
    <w:rPr>
      <w:noProof/>
    </w:rPr>
  </w:style>
  <w:style w:type="paragraph" w:customStyle="1" w:styleId="BoxDash">
    <w:name w:val="BoxDash"/>
    <w:basedOn w:val="BoxBullet"/>
    <w:rsid w:val="00151D2A"/>
    <w:pPr>
      <w:numPr>
        <w:numId w:val="8"/>
      </w:numPr>
    </w:pPr>
  </w:style>
  <w:style w:type="character" w:customStyle="1" w:styleId="CrossRef">
    <w:name w:val="CrossRef"/>
    <w:basedOn w:val="DefaultParagraphFont"/>
    <w:uiPriority w:val="1"/>
    <w:rsid w:val="00151D2A"/>
    <w:rPr>
      <w:rFonts w:ascii="Times New Roman" w:hAnsi="Times New Roman"/>
      <w:b/>
      <w:noProof/>
      <w:color w:val="C0504D" w:themeColor="accent2"/>
      <w:sz w:val="24"/>
    </w:rPr>
  </w:style>
  <w:style w:type="paragraph" w:customStyle="1" w:styleId="TableNumberedList">
    <w:name w:val="TableNumberedList"/>
    <w:basedOn w:val="TableText"/>
    <w:autoRedefine/>
    <w:qFormat/>
    <w:rsid w:val="00151D2A"/>
    <w:pPr>
      <w:numPr>
        <w:numId w:val="12"/>
      </w:numPr>
      <w:ind w:left="357" w:hanging="357"/>
    </w:pPr>
  </w:style>
  <w:style w:type="character" w:customStyle="1" w:styleId="StrongEmphasis">
    <w:name w:val="StrongEmphasis"/>
    <w:basedOn w:val="DefaultParagraphFont"/>
    <w:rsid w:val="00151D2A"/>
    <w:rPr>
      <w:b/>
      <w:bCs/>
      <w:i/>
      <w:iCs/>
    </w:rPr>
  </w:style>
  <w:style w:type="paragraph" w:customStyle="1" w:styleId="Numberlistlevel2">
    <w:name w:val="Number list level 2"/>
    <w:basedOn w:val="NumberList"/>
    <w:next w:val="Normal"/>
    <w:qFormat/>
    <w:rsid w:val="009E6BAC"/>
    <w:pPr>
      <w:numPr>
        <w:ilvl w:val="2"/>
        <w:numId w:val="3"/>
      </w:numPr>
      <w:ind w:left="714" w:hanging="357"/>
    </w:pPr>
  </w:style>
  <w:style w:type="character" w:customStyle="1" w:styleId="Heading2Char">
    <w:name w:val="Heading 2 Char"/>
    <w:basedOn w:val="DefaultParagraphFont"/>
    <w:link w:val="Heading2"/>
    <w:rsid w:val="005F32CB"/>
    <w:rPr>
      <w:b/>
      <w:bCs/>
      <w:iCs/>
      <w:sz w:val="28"/>
      <w:szCs w:val="28"/>
    </w:rPr>
  </w:style>
  <w:style w:type="character" w:customStyle="1" w:styleId="Heading3Char">
    <w:name w:val="Heading 3 Char"/>
    <w:basedOn w:val="DefaultParagraphFont"/>
    <w:link w:val="Heading3"/>
    <w:rsid w:val="005F32CB"/>
    <w:rPr>
      <w:b/>
      <w:bCs/>
      <w:color w:val="0065A4"/>
      <w:szCs w:val="26"/>
    </w:rPr>
  </w:style>
  <w:style w:type="table" w:customStyle="1" w:styleId="TableGrid4">
    <w:name w:val="Table Grid4"/>
    <w:basedOn w:val="TableNormal"/>
    <w:next w:val="TableGrid"/>
    <w:rsid w:val="00E953AF"/>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953AF"/>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6373"/>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6373"/>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F6E1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80B6D"/>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80B6D"/>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C4495"/>
    <w:rPr>
      <w:rFonts w:ascii="Calibri" w:eastAsiaTheme="minorHAnsi" w:hAnsi="Calibri"/>
      <w:lang w:eastAsia="en-US"/>
    </w:rPr>
  </w:style>
  <w:style w:type="character" w:customStyle="1" w:styleId="PlainTextChar">
    <w:name w:val="Plain Text Char"/>
    <w:basedOn w:val="DefaultParagraphFont"/>
    <w:link w:val="PlainText"/>
    <w:uiPriority w:val="99"/>
    <w:rsid w:val="007C4495"/>
    <w:rPr>
      <w:rFonts w:ascii="Calibri" w:eastAsiaTheme="minorHAnsi" w:hAnsi="Calibri" w:cs="Times New Roman"/>
      <w:spacing w:val="0"/>
      <w:szCs w:val="22"/>
      <w:lang w:eastAsia="en-US"/>
    </w:rPr>
  </w:style>
  <w:style w:type="paragraph" w:styleId="BodyTextIndent3">
    <w:name w:val="Body Text Indent 3"/>
    <w:basedOn w:val="Normal"/>
    <w:link w:val="BodyTextIndent3Char"/>
    <w:uiPriority w:val="99"/>
    <w:unhideWhenUsed/>
    <w:rsid w:val="007C4495"/>
    <w:pPr>
      <w:spacing w:after="120"/>
      <w:ind w:left="283"/>
    </w:pPr>
    <w:rPr>
      <w:rFonts w:eastAsiaTheme="minorHAnsi"/>
      <w:sz w:val="16"/>
      <w:szCs w:val="16"/>
      <w:lang w:eastAsia="en-US"/>
    </w:rPr>
  </w:style>
  <w:style w:type="character" w:customStyle="1" w:styleId="BodyTextIndent3Char">
    <w:name w:val="Body Text Indent 3 Char"/>
    <w:basedOn w:val="DefaultParagraphFont"/>
    <w:link w:val="BodyTextIndent3"/>
    <w:uiPriority w:val="99"/>
    <w:rsid w:val="007C4495"/>
    <w:rPr>
      <w:rFonts w:ascii="Times New Roman" w:eastAsiaTheme="minorHAnsi" w:hAnsi="Times New Roman" w:cs="Times New Roman"/>
      <w:spacing w:val="0"/>
      <w:sz w:val="16"/>
      <w:szCs w:val="16"/>
      <w:lang w:eastAsia="en-US"/>
    </w:rPr>
  </w:style>
  <w:style w:type="paragraph" w:customStyle="1" w:styleId="RISTitle">
    <w:name w:val="RIS Title"/>
    <w:basedOn w:val="Normal"/>
    <w:next w:val="Normal"/>
    <w:qFormat/>
    <w:rsid w:val="002A4F2C"/>
    <w:pPr>
      <w:spacing w:before="2400"/>
      <w:jc w:val="center"/>
    </w:pPr>
    <w:rPr>
      <w:b/>
      <w:color w:val="FF0000"/>
      <w:sz w:val="48"/>
    </w:rPr>
  </w:style>
  <w:style w:type="paragraph" w:customStyle="1" w:styleId="RISSubtitle">
    <w:name w:val="RIS Subtitle"/>
    <w:basedOn w:val="Normal"/>
    <w:next w:val="Normal"/>
    <w:qFormat/>
    <w:rsid w:val="002A4F2C"/>
    <w:pPr>
      <w:spacing w:before="1600"/>
      <w:jc w:val="center"/>
    </w:pPr>
    <w:rPr>
      <w:b/>
      <w:sz w:val="40"/>
    </w:rPr>
  </w:style>
  <w:style w:type="paragraph" w:customStyle="1" w:styleId="RISTitle2">
    <w:name w:val="RIS Title 2"/>
    <w:basedOn w:val="RISTitle"/>
    <w:next w:val="Normal"/>
    <w:qFormat/>
    <w:rsid w:val="002A4F2C"/>
    <w:pPr>
      <w:spacing w:before="0"/>
    </w:pPr>
    <w:rPr>
      <w:color w:val="auto"/>
    </w:rPr>
  </w:style>
  <w:style w:type="paragraph" w:customStyle="1" w:styleId="Normal2">
    <w:name w:val="Normal 2"/>
    <w:basedOn w:val="Normal"/>
    <w:qFormat/>
    <w:rsid w:val="0087708C"/>
    <w:pPr>
      <w:spacing w:after="120"/>
    </w:pPr>
  </w:style>
  <w:style w:type="numbering" w:customStyle="1" w:styleId="Style1">
    <w:name w:val="Style1"/>
    <w:uiPriority w:val="99"/>
    <w:rsid w:val="003C5FC1"/>
    <w:pPr>
      <w:numPr>
        <w:numId w:val="13"/>
      </w:numPr>
    </w:pPr>
  </w:style>
  <w:style w:type="paragraph" w:customStyle="1" w:styleId="Subheadingnolevel">
    <w:name w:val="Subheading no level"/>
    <w:basedOn w:val="Normal2"/>
    <w:next w:val="Normal2"/>
    <w:qFormat/>
    <w:rsid w:val="003C5FC1"/>
    <w:pPr>
      <w:keepNext/>
      <w:spacing w:before="360"/>
    </w:pPr>
    <w:rPr>
      <w:b/>
    </w:rPr>
  </w:style>
  <w:style w:type="numbering" w:customStyle="1" w:styleId="RISList2">
    <w:name w:val="RIS List 2"/>
    <w:uiPriority w:val="99"/>
    <w:rsid w:val="00A9066F"/>
    <w:pPr>
      <w:numPr>
        <w:numId w:val="38"/>
      </w:numPr>
    </w:pPr>
  </w:style>
  <w:style w:type="paragraph" w:customStyle="1" w:styleId="StyleCaptionAfter6pt">
    <w:name w:val="Style Caption + After:  6 pt"/>
    <w:basedOn w:val="Caption"/>
    <w:rsid w:val="00F507E2"/>
    <w:pPr>
      <w:spacing w:after="120"/>
    </w:pPr>
    <w:rPr>
      <w:rFonts w:cs="Times New Roman"/>
      <w:szCs w:val="20"/>
    </w:rPr>
  </w:style>
  <w:style w:type="table" w:styleId="LightList-Accent1">
    <w:name w:val="Light List Accent 1"/>
    <w:basedOn w:val="TableNormal"/>
    <w:uiPriority w:val="61"/>
    <w:rsid w:val="00AD3B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rsid w:val="00BC2953"/>
    <w:rPr>
      <w:b/>
      <w:bCs/>
      <w:i/>
      <w:szCs w:val="28"/>
    </w:rPr>
  </w:style>
  <w:style w:type="character" w:customStyle="1" w:styleId="Heading5Char">
    <w:name w:val="Heading 5 Char"/>
    <w:basedOn w:val="DefaultParagraphFont"/>
    <w:link w:val="Heading5"/>
    <w:rsid w:val="00BC2953"/>
    <w:rPr>
      <w:bCs/>
      <w:i/>
      <w:iCs/>
      <w:szCs w:val="26"/>
    </w:rPr>
  </w:style>
  <w:style w:type="character" w:customStyle="1" w:styleId="Heading6Char">
    <w:name w:val="Heading 6 Char"/>
    <w:basedOn w:val="DefaultParagraphFont"/>
    <w:link w:val="Heading6"/>
    <w:rsid w:val="00BC2953"/>
    <w:rPr>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5"/>
        <w:sz w:val="22"/>
        <w:szCs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uiPriority="35" w:qFormat="1"/>
    <w:lsdException w:name="table of figures"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E6"/>
  </w:style>
  <w:style w:type="paragraph" w:styleId="Heading1">
    <w:name w:val="heading 1"/>
    <w:basedOn w:val="Normal"/>
    <w:next w:val="Normal"/>
    <w:link w:val="Heading1Char"/>
    <w:qFormat/>
    <w:rsid w:val="00BF24F6"/>
    <w:pPr>
      <w:keepNext/>
      <w:pageBreakBefore/>
      <w:spacing w:after="360"/>
      <w:outlineLvl w:val="0"/>
    </w:pPr>
    <w:rPr>
      <w:bCs/>
      <w:kern w:val="32"/>
      <w:sz w:val="40"/>
      <w:szCs w:val="32"/>
    </w:rPr>
  </w:style>
  <w:style w:type="paragraph" w:styleId="Heading2">
    <w:name w:val="heading 2"/>
    <w:basedOn w:val="Normal"/>
    <w:next w:val="Normal"/>
    <w:link w:val="Heading2Char"/>
    <w:qFormat/>
    <w:rsid w:val="005F32CB"/>
    <w:pPr>
      <w:keepNext/>
      <w:spacing w:before="240" w:after="120"/>
      <w:ind w:left="720" w:hanging="720"/>
      <w:outlineLvl w:val="1"/>
    </w:pPr>
    <w:rPr>
      <w:b/>
      <w:bCs/>
      <w:iCs/>
      <w:sz w:val="28"/>
      <w:szCs w:val="28"/>
    </w:rPr>
  </w:style>
  <w:style w:type="paragraph" w:styleId="Heading3">
    <w:name w:val="heading 3"/>
    <w:basedOn w:val="Normal"/>
    <w:next w:val="Normal"/>
    <w:link w:val="Heading3Char"/>
    <w:qFormat/>
    <w:rsid w:val="005F32CB"/>
    <w:pPr>
      <w:keepNext/>
      <w:spacing w:before="360" w:after="120"/>
      <w:ind w:left="720" w:hanging="720"/>
      <w:outlineLvl w:val="2"/>
    </w:pPr>
    <w:rPr>
      <w:b/>
      <w:bCs/>
      <w:color w:val="0065A4"/>
      <w:szCs w:val="26"/>
    </w:rPr>
  </w:style>
  <w:style w:type="paragraph" w:styleId="Heading4">
    <w:name w:val="heading 4"/>
    <w:basedOn w:val="Normal"/>
    <w:next w:val="Normal"/>
    <w:link w:val="Heading4Char"/>
    <w:rsid w:val="00151D2A"/>
    <w:pPr>
      <w:keepNext/>
      <w:spacing w:before="120" w:after="120"/>
      <w:outlineLvl w:val="3"/>
    </w:pPr>
    <w:rPr>
      <w:b/>
      <w:bCs/>
      <w:i/>
      <w:szCs w:val="28"/>
    </w:rPr>
  </w:style>
  <w:style w:type="paragraph" w:styleId="Heading5">
    <w:name w:val="heading 5"/>
    <w:basedOn w:val="Normal"/>
    <w:next w:val="Normal"/>
    <w:link w:val="Heading5Char"/>
    <w:rsid w:val="00151D2A"/>
    <w:pPr>
      <w:keepNext/>
      <w:spacing w:before="60" w:after="60"/>
      <w:outlineLvl w:val="4"/>
    </w:pPr>
    <w:rPr>
      <w:bCs/>
      <w:i/>
      <w:iCs/>
      <w:szCs w:val="26"/>
    </w:rPr>
  </w:style>
  <w:style w:type="paragraph" w:styleId="Heading6">
    <w:name w:val="heading 6"/>
    <w:basedOn w:val="Normal"/>
    <w:next w:val="Normal"/>
    <w:link w:val="Heading6Char"/>
    <w:qFormat/>
    <w:rsid w:val="00A63CF2"/>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1D2A"/>
    <w:rPr>
      <w:i/>
      <w:iCs/>
    </w:rPr>
  </w:style>
  <w:style w:type="character" w:styleId="Strong">
    <w:name w:val="Strong"/>
    <w:basedOn w:val="DefaultParagraphFont"/>
    <w:uiPriority w:val="22"/>
    <w:qFormat/>
    <w:rsid w:val="00151D2A"/>
    <w:rPr>
      <w:b/>
      <w:bCs/>
    </w:rPr>
  </w:style>
  <w:style w:type="paragraph" w:styleId="Subtitle">
    <w:name w:val="Subtitle"/>
    <w:basedOn w:val="Normal"/>
    <w:next w:val="Normal"/>
    <w:link w:val="SubtitleChar"/>
    <w:uiPriority w:val="11"/>
    <w:rsid w:val="00151D2A"/>
    <w:pPr>
      <w:numPr>
        <w:ilvl w:val="1"/>
      </w:numPr>
      <w:jc w:val="center"/>
    </w:pPr>
    <w:rPr>
      <w:rFonts w:ascii="Times New Roman Bold" w:eastAsiaTheme="majorEastAsia" w:hAnsi="Times New Roman Bold" w:cstheme="majorBidi"/>
      <w:b/>
      <w:iCs/>
      <w:sz w:val="40"/>
      <w:szCs w:val="24"/>
    </w:rPr>
  </w:style>
  <w:style w:type="character" w:customStyle="1" w:styleId="SubtitleChar">
    <w:name w:val="Subtitle Char"/>
    <w:basedOn w:val="DefaultParagraphFont"/>
    <w:link w:val="Subtitle"/>
    <w:uiPriority w:val="11"/>
    <w:rsid w:val="00151D2A"/>
    <w:rPr>
      <w:rFonts w:ascii="Times New Roman Bold" w:eastAsiaTheme="majorEastAsia" w:hAnsi="Times New Roman Bold" w:cstheme="majorBidi"/>
      <w:b/>
      <w:iCs/>
      <w:spacing w:val="0"/>
      <w:sz w:val="40"/>
    </w:rPr>
  </w:style>
  <w:style w:type="paragraph" w:styleId="Title">
    <w:name w:val="Title"/>
    <w:basedOn w:val="Normal"/>
    <w:next w:val="Normal"/>
    <w:link w:val="TitleChar"/>
    <w:uiPriority w:val="10"/>
    <w:rsid w:val="00151D2A"/>
    <w:pPr>
      <w:spacing w:after="300"/>
      <w:contextualSpacing/>
      <w:jc w:val="center"/>
    </w:pPr>
    <w:rPr>
      <w:rFonts w:ascii="Times New Roman Bold" w:eastAsiaTheme="majorEastAsia" w:hAnsi="Times New Roman Bold" w:cstheme="majorBidi"/>
      <w:b/>
      <w:kern w:val="28"/>
      <w:sz w:val="48"/>
      <w:szCs w:val="52"/>
    </w:rPr>
  </w:style>
  <w:style w:type="character" w:customStyle="1" w:styleId="TitleChar">
    <w:name w:val="Title Char"/>
    <w:basedOn w:val="DefaultParagraphFont"/>
    <w:link w:val="Title"/>
    <w:uiPriority w:val="10"/>
    <w:rsid w:val="00151D2A"/>
    <w:rPr>
      <w:rFonts w:ascii="Times New Roman Bold" w:eastAsiaTheme="majorEastAsia" w:hAnsi="Times New Roman Bold" w:cstheme="majorBidi"/>
      <w:b/>
      <w:kern w:val="28"/>
      <w:sz w:val="48"/>
      <w:szCs w:val="52"/>
    </w:rPr>
  </w:style>
  <w:style w:type="paragraph" w:styleId="NoSpacing">
    <w:name w:val="No Spacing"/>
    <w:uiPriority w:val="1"/>
    <w:qFormat/>
    <w:rsid w:val="00A63CF2"/>
    <w:rPr>
      <w:rFonts w:ascii="Times New Roman" w:hAnsi="Times New Roman" w:cs="Times New Roman"/>
      <w:spacing w:val="0"/>
      <w:sz w:val="24"/>
      <w:lang w:eastAsia="en-US"/>
    </w:rPr>
  </w:style>
  <w:style w:type="character" w:styleId="SubtleEmphasis">
    <w:name w:val="Subtle Emphasis"/>
    <w:basedOn w:val="DefaultParagraphFont"/>
    <w:uiPriority w:val="19"/>
    <w:qFormat/>
    <w:rsid w:val="00A63CF2"/>
    <w:rPr>
      <w:i/>
      <w:iCs/>
      <w:color w:val="808080" w:themeColor="text1" w:themeTint="7F"/>
    </w:rPr>
  </w:style>
  <w:style w:type="character" w:styleId="IntenseEmphasis">
    <w:name w:val="Intense Emphasis"/>
    <w:basedOn w:val="DefaultParagraphFont"/>
    <w:uiPriority w:val="21"/>
    <w:qFormat/>
    <w:rsid w:val="00A63CF2"/>
    <w:rPr>
      <w:b/>
      <w:bCs/>
      <w:i/>
      <w:iCs/>
      <w:color w:val="4F81BD" w:themeColor="accent1"/>
    </w:rPr>
  </w:style>
  <w:style w:type="paragraph" w:styleId="Quote">
    <w:name w:val="Quote"/>
    <w:basedOn w:val="Normal"/>
    <w:link w:val="QuoteChar"/>
    <w:rsid w:val="00151D2A"/>
    <w:pPr>
      <w:ind w:left="720" w:right="720"/>
    </w:pPr>
    <w:rPr>
      <w:sz w:val="20"/>
    </w:rPr>
  </w:style>
  <w:style w:type="character" w:customStyle="1" w:styleId="QuoteChar">
    <w:name w:val="Quote Char"/>
    <w:basedOn w:val="DefaultParagraphFont"/>
    <w:link w:val="Quote"/>
    <w:rsid w:val="00A63CF2"/>
    <w:rPr>
      <w:rFonts w:ascii="Times New Roman" w:hAnsi="Times New Roman" w:cs="Times New Roman"/>
      <w:color w:val="000000"/>
      <w:spacing w:val="0"/>
      <w:sz w:val="20"/>
      <w:szCs w:val="20"/>
    </w:rPr>
  </w:style>
  <w:style w:type="paragraph" w:styleId="IntenseQuote">
    <w:name w:val="Intense Quote"/>
    <w:basedOn w:val="Normal"/>
    <w:next w:val="Normal"/>
    <w:link w:val="IntenseQuoteChar"/>
    <w:uiPriority w:val="30"/>
    <w:qFormat/>
    <w:rsid w:val="00A63C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CF2"/>
    <w:rPr>
      <w:rFonts w:ascii="Times New Roman" w:hAnsi="Times New Roman" w:cs="Times New Roman"/>
      <w:b/>
      <w:bCs/>
      <w:i/>
      <w:iCs/>
      <w:color w:val="4F81BD" w:themeColor="accent1"/>
      <w:spacing w:val="0"/>
      <w:sz w:val="24"/>
      <w:lang w:eastAsia="en-US"/>
    </w:rPr>
  </w:style>
  <w:style w:type="character" w:styleId="SubtleReference">
    <w:name w:val="Subtle Reference"/>
    <w:basedOn w:val="DefaultParagraphFont"/>
    <w:uiPriority w:val="31"/>
    <w:qFormat/>
    <w:rsid w:val="00A63CF2"/>
    <w:rPr>
      <w:smallCaps/>
      <w:color w:val="C0504D" w:themeColor="accent2"/>
      <w:u w:val="single"/>
    </w:rPr>
  </w:style>
  <w:style w:type="character" w:styleId="IntenseReference">
    <w:name w:val="Intense Reference"/>
    <w:basedOn w:val="DefaultParagraphFont"/>
    <w:uiPriority w:val="32"/>
    <w:qFormat/>
    <w:rsid w:val="00A63CF2"/>
    <w:rPr>
      <w:b/>
      <w:bCs/>
      <w:i/>
      <w:smallCaps/>
      <w:color w:val="C0504D" w:themeColor="accent2"/>
      <w:spacing w:val="5"/>
      <w:u w:val="none"/>
    </w:rPr>
  </w:style>
  <w:style w:type="character" w:styleId="BookTitle">
    <w:name w:val="Book Title"/>
    <w:basedOn w:val="DefaultParagraphFont"/>
    <w:uiPriority w:val="33"/>
    <w:qFormat/>
    <w:rsid w:val="00A63CF2"/>
    <w:rPr>
      <w:b/>
      <w:bCs/>
      <w:smallCaps/>
      <w:spacing w:val="5"/>
    </w:rPr>
  </w:style>
  <w:style w:type="paragraph" w:styleId="ListParagraph">
    <w:name w:val="List Paragraph"/>
    <w:aliases w:val="Bullet table"/>
    <w:basedOn w:val="Normal"/>
    <w:link w:val="ListParagraphChar"/>
    <w:uiPriority w:val="34"/>
    <w:qFormat/>
    <w:rsid w:val="00A63CF2"/>
    <w:pPr>
      <w:ind w:left="720"/>
      <w:contextualSpacing/>
    </w:pPr>
  </w:style>
  <w:style w:type="paragraph" w:customStyle="1" w:styleId="CommissionHeading2">
    <w:name w:val="Commission Heading 2"/>
    <w:basedOn w:val="ListParagraph"/>
    <w:next w:val="Commissionbodytext"/>
    <w:link w:val="CommissionHeading2Char"/>
    <w:autoRedefine/>
    <w:qFormat/>
    <w:rsid w:val="003A1B8F"/>
    <w:pPr>
      <w:keepNext/>
      <w:ind w:left="0"/>
      <w:outlineLvl w:val="1"/>
    </w:pPr>
    <w:rPr>
      <w:rFonts w:ascii="Calibri Light" w:hAnsi="Calibri Light"/>
      <w:b/>
      <w:sz w:val="28"/>
      <w:szCs w:val="32"/>
      <w:lang w:val="en-US"/>
    </w:rPr>
  </w:style>
  <w:style w:type="character" w:customStyle="1" w:styleId="CommissionHeading2Char">
    <w:name w:val="Commission Heading 2 Char"/>
    <w:basedOn w:val="ListParagraphChar"/>
    <w:link w:val="CommissionHeading2"/>
    <w:rsid w:val="003A1B8F"/>
    <w:rPr>
      <w:rFonts w:ascii="Calibri Light" w:hAnsi="Calibri Light" w:cs="Times New Roman"/>
      <w:b/>
      <w:spacing w:val="0"/>
      <w:sz w:val="28"/>
      <w:szCs w:val="32"/>
      <w:lang w:val="en-US" w:eastAsia="en-US"/>
    </w:rPr>
  </w:style>
  <w:style w:type="paragraph" w:customStyle="1" w:styleId="CommissionHeading3">
    <w:name w:val="Commission Heading 3"/>
    <w:basedOn w:val="ListParagraph"/>
    <w:next w:val="Commissionbodytext"/>
    <w:link w:val="CommissionHeading3Char"/>
    <w:autoRedefine/>
    <w:qFormat/>
    <w:rsid w:val="00A63CF2"/>
    <w:pPr>
      <w:keepNext/>
      <w:numPr>
        <w:ilvl w:val="2"/>
        <w:numId w:val="2"/>
      </w:numPr>
      <w:tabs>
        <w:tab w:val="left" w:pos="1276"/>
      </w:tabs>
      <w:spacing w:before="240"/>
      <w:outlineLvl w:val="2"/>
    </w:pPr>
    <w:rPr>
      <w:color w:val="336699"/>
      <w:sz w:val="28"/>
      <w:szCs w:val="28"/>
    </w:rPr>
  </w:style>
  <w:style w:type="character" w:customStyle="1" w:styleId="CommissionHeading3Char">
    <w:name w:val="Commission Heading 3 Char"/>
    <w:basedOn w:val="ListParagraphChar"/>
    <w:link w:val="CommissionHeading3"/>
    <w:rsid w:val="00A63CF2"/>
    <w:rPr>
      <w:rFonts w:ascii="Times New Roman" w:hAnsi="Times New Roman" w:cs="Times New Roman"/>
      <w:color w:val="336699"/>
      <w:spacing w:val="0"/>
      <w:sz w:val="28"/>
      <w:szCs w:val="28"/>
      <w:lang w:eastAsia="en-US"/>
    </w:rPr>
  </w:style>
  <w:style w:type="paragraph" w:customStyle="1" w:styleId="CommissionHeading4">
    <w:name w:val="Commission Heading 4"/>
    <w:basedOn w:val="ListParagraph"/>
    <w:next w:val="Commissionbodytext"/>
    <w:link w:val="CommissionHeading4Char"/>
    <w:autoRedefine/>
    <w:qFormat/>
    <w:rsid w:val="00A63CF2"/>
    <w:pPr>
      <w:keepNext/>
      <w:tabs>
        <w:tab w:val="left" w:pos="1134"/>
      </w:tabs>
      <w:spacing w:before="120" w:after="120"/>
      <w:ind w:left="1800" w:hanging="1440"/>
      <w:outlineLvl w:val="3"/>
    </w:pPr>
    <w:rPr>
      <w:b/>
      <w:bCs/>
      <w:szCs w:val="28"/>
    </w:rPr>
  </w:style>
  <w:style w:type="character" w:customStyle="1" w:styleId="CommissionHeading4Char">
    <w:name w:val="Commission Heading 4 Char"/>
    <w:basedOn w:val="ListParagraphChar"/>
    <w:link w:val="CommissionHeading4"/>
    <w:rsid w:val="00A63CF2"/>
    <w:rPr>
      <w:rFonts w:ascii="Times New Roman" w:hAnsi="Times New Roman" w:cs="Times New Roman"/>
      <w:b/>
      <w:bCs/>
      <w:spacing w:val="0"/>
      <w:sz w:val="24"/>
      <w:szCs w:val="28"/>
      <w:lang w:eastAsia="en-US"/>
    </w:rPr>
  </w:style>
  <w:style w:type="paragraph" w:customStyle="1" w:styleId="Commissionheading1">
    <w:name w:val="Commission heading 1"/>
    <w:basedOn w:val="Normal"/>
    <w:next w:val="Commissionbodytext"/>
    <w:link w:val="Commissionheading1Char"/>
    <w:autoRedefine/>
    <w:qFormat/>
    <w:rsid w:val="00A63CF2"/>
    <w:pPr>
      <w:keepNext/>
      <w:keepLines/>
      <w:pageBreakBefore/>
      <w:pBdr>
        <w:bottom w:val="single" w:sz="12" w:space="2" w:color="336699"/>
      </w:pBdr>
      <w:tabs>
        <w:tab w:val="num" w:pos="-177"/>
      </w:tabs>
      <w:outlineLvl w:val="0"/>
    </w:pPr>
    <w:rPr>
      <w:b/>
      <w:bCs/>
      <w:kern w:val="28"/>
      <w:sz w:val="40"/>
    </w:rPr>
  </w:style>
  <w:style w:type="character" w:customStyle="1" w:styleId="Commissionheading1Char">
    <w:name w:val="Commission heading 1 Char"/>
    <w:basedOn w:val="DefaultParagraphFont"/>
    <w:link w:val="Commissionheading1"/>
    <w:rsid w:val="00A63CF2"/>
    <w:rPr>
      <w:b/>
      <w:bCs/>
      <w:spacing w:val="0"/>
      <w:kern w:val="28"/>
      <w:sz w:val="40"/>
      <w:lang w:eastAsia="en-US"/>
    </w:rPr>
  </w:style>
  <w:style w:type="paragraph" w:customStyle="1" w:styleId="Commissionbodytext">
    <w:name w:val="Commission body text"/>
    <w:basedOn w:val="Normal"/>
    <w:link w:val="CommissionbodytextChar"/>
    <w:qFormat/>
    <w:rsid w:val="00A63CF2"/>
    <w:pPr>
      <w:spacing w:line="276" w:lineRule="auto"/>
    </w:pPr>
  </w:style>
  <w:style w:type="character" w:customStyle="1" w:styleId="CommissionbodytextChar">
    <w:name w:val="Commission body text Char"/>
    <w:basedOn w:val="DefaultParagraphFont"/>
    <w:link w:val="Commissionbodytext"/>
    <w:rsid w:val="00A63CF2"/>
    <w:rPr>
      <w:spacing w:val="0"/>
      <w:szCs w:val="22"/>
      <w:lang w:eastAsia="en-US"/>
    </w:rPr>
  </w:style>
  <w:style w:type="paragraph" w:customStyle="1" w:styleId="TableHeading">
    <w:name w:val="Table Heading"/>
    <w:basedOn w:val="Normal"/>
    <w:autoRedefine/>
    <w:qFormat/>
    <w:rsid w:val="00A63CF2"/>
    <w:pPr>
      <w:spacing w:before="80" w:after="80" w:line="320" w:lineRule="atLeast"/>
    </w:pPr>
    <w:rPr>
      <w:rFonts w:ascii="Tahoma" w:hAnsi="Tahoma"/>
      <w:b/>
    </w:rPr>
  </w:style>
  <w:style w:type="character" w:customStyle="1" w:styleId="Heading1Char">
    <w:name w:val="Heading 1 Char"/>
    <w:link w:val="Heading1"/>
    <w:rsid w:val="00BF24F6"/>
    <w:rPr>
      <w:bCs/>
      <w:kern w:val="32"/>
      <w:sz w:val="40"/>
      <w:szCs w:val="32"/>
    </w:rPr>
  </w:style>
  <w:style w:type="character" w:customStyle="1" w:styleId="ListParagraphChar">
    <w:name w:val="List Paragraph Char"/>
    <w:aliases w:val="Bullet table Char"/>
    <w:basedOn w:val="DefaultParagraphFont"/>
    <w:link w:val="ListParagraph"/>
    <w:uiPriority w:val="34"/>
    <w:rsid w:val="00A63CF2"/>
    <w:rPr>
      <w:rFonts w:ascii="Times New Roman" w:hAnsi="Times New Roman" w:cs="Times New Roman"/>
      <w:spacing w:val="0"/>
      <w:sz w:val="24"/>
      <w:lang w:eastAsia="en-US"/>
    </w:rPr>
  </w:style>
  <w:style w:type="paragraph" w:styleId="Footer">
    <w:name w:val="footer"/>
    <w:basedOn w:val="Normal"/>
    <w:link w:val="FooterChar"/>
    <w:uiPriority w:val="99"/>
    <w:rsid w:val="00151D2A"/>
    <w:pPr>
      <w:tabs>
        <w:tab w:val="right" w:pos="9000"/>
      </w:tabs>
    </w:pPr>
    <w:rPr>
      <w:sz w:val="20"/>
    </w:rPr>
  </w:style>
  <w:style w:type="character" w:customStyle="1" w:styleId="FooterChar">
    <w:name w:val="Footer Char"/>
    <w:basedOn w:val="DefaultParagraphFont"/>
    <w:link w:val="Footer"/>
    <w:uiPriority w:val="99"/>
    <w:rsid w:val="00151D2A"/>
    <w:rPr>
      <w:rFonts w:ascii="Times New Roman" w:hAnsi="Times New Roman" w:cs="Times New Roman"/>
      <w:color w:val="000000"/>
      <w:spacing w:val="0"/>
      <w:sz w:val="20"/>
      <w:szCs w:val="20"/>
    </w:rPr>
  </w:style>
  <w:style w:type="paragraph" w:styleId="BalloonText">
    <w:name w:val="Balloon Text"/>
    <w:basedOn w:val="Normal"/>
    <w:link w:val="BalloonTextChar"/>
    <w:uiPriority w:val="99"/>
    <w:unhideWhenUsed/>
    <w:rsid w:val="00151D2A"/>
    <w:rPr>
      <w:rFonts w:ascii="Tahoma" w:hAnsi="Tahoma" w:cs="Tahoma"/>
      <w:sz w:val="16"/>
      <w:szCs w:val="16"/>
    </w:rPr>
  </w:style>
  <w:style w:type="character" w:customStyle="1" w:styleId="BalloonTextChar">
    <w:name w:val="Balloon Text Char"/>
    <w:basedOn w:val="DefaultParagraphFont"/>
    <w:link w:val="BalloonText"/>
    <w:uiPriority w:val="99"/>
    <w:rsid w:val="00151D2A"/>
    <w:rPr>
      <w:rFonts w:ascii="Tahoma" w:hAnsi="Tahoma" w:cs="Tahoma"/>
      <w:color w:val="000000"/>
      <w:spacing w:val="0"/>
      <w:sz w:val="16"/>
      <w:szCs w:val="16"/>
    </w:rPr>
  </w:style>
  <w:style w:type="paragraph" w:styleId="Header">
    <w:name w:val="header"/>
    <w:basedOn w:val="Normal"/>
    <w:link w:val="HeaderChar"/>
    <w:rsid w:val="00151D2A"/>
    <w:pPr>
      <w:tabs>
        <w:tab w:val="right" w:pos="9000"/>
      </w:tabs>
    </w:pPr>
    <w:rPr>
      <w:sz w:val="18"/>
    </w:rPr>
  </w:style>
  <w:style w:type="character" w:customStyle="1" w:styleId="HeaderChar">
    <w:name w:val="Header Char"/>
    <w:basedOn w:val="DefaultParagraphFont"/>
    <w:link w:val="Header"/>
    <w:rsid w:val="00A63CF2"/>
    <w:rPr>
      <w:rFonts w:ascii="Times New Roman" w:hAnsi="Times New Roman" w:cs="Times New Roman"/>
      <w:color w:val="000000"/>
      <w:spacing w:val="0"/>
      <w:sz w:val="18"/>
      <w:szCs w:val="20"/>
    </w:rPr>
  </w:style>
  <w:style w:type="character" w:styleId="CommentReference">
    <w:name w:val="annotation reference"/>
    <w:basedOn w:val="DefaultParagraphFont"/>
    <w:rsid w:val="00A63CF2"/>
    <w:rPr>
      <w:sz w:val="16"/>
      <w:szCs w:val="16"/>
    </w:rPr>
  </w:style>
  <w:style w:type="paragraph" w:styleId="CommentText">
    <w:name w:val="annotation text"/>
    <w:basedOn w:val="Normal"/>
    <w:link w:val="CommentTextChar"/>
    <w:rsid w:val="00A63CF2"/>
    <w:rPr>
      <w:sz w:val="20"/>
    </w:rPr>
  </w:style>
  <w:style w:type="character" w:customStyle="1" w:styleId="CommentTextChar">
    <w:name w:val="Comment Text Char"/>
    <w:basedOn w:val="DefaultParagraphFont"/>
    <w:link w:val="CommentText"/>
    <w:rsid w:val="00A63CF2"/>
    <w:rPr>
      <w:rFonts w:ascii="Times New Roman" w:hAnsi="Times New Roman" w:cs="Times New Roman"/>
      <w:spacing w:val="0"/>
      <w:sz w:val="20"/>
      <w:szCs w:val="20"/>
      <w:lang w:eastAsia="en-US"/>
    </w:rPr>
  </w:style>
  <w:style w:type="paragraph" w:styleId="CommentSubject">
    <w:name w:val="annotation subject"/>
    <w:basedOn w:val="CommentText"/>
    <w:next w:val="CommentText"/>
    <w:link w:val="CommentSubjectChar"/>
    <w:rsid w:val="00A63CF2"/>
    <w:rPr>
      <w:b/>
      <w:bCs/>
    </w:rPr>
  </w:style>
  <w:style w:type="character" w:customStyle="1" w:styleId="CommentSubjectChar">
    <w:name w:val="Comment Subject Char"/>
    <w:basedOn w:val="CommentTextChar"/>
    <w:link w:val="CommentSubject"/>
    <w:rsid w:val="00A63CF2"/>
    <w:rPr>
      <w:rFonts w:ascii="Times New Roman" w:hAnsi="Times New Roman" w:cs="Times New Roman"/>
      <w:b/>
      <w:bCs/>
      <w:spacing w:val="0"/>
      <w:sz w:val="20"/>
      <w:szCs w:val="20"/>
      <w:lang w:eastAsia="en-US"/>
    </w:rPr>
  </w:style>
  <w:style w:type="table" w:customStyle="1" w:styleId="TableGrid2">
    <w:name w:val="Table Grid2"/>
    <w:basedOn w:val="TableNormal"/>
    <w:next w:val="TableGrid"/>
    <w:rsid w:val="00A63CF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066F"/>
    <w:rPr>
      <w:rFonts w:ascii="Arial Narrow" w:hAnsi="Arial Narrow" w:cs="Times New Roman"/>
      <w:spacing w:val="0"/>
      <w:sz w:val="21"/>
      <w:szCs w:val="20"/>
    </w:rPr>
    <w:tblPr>
      <w:tblBorders>
        <w:bottom w:val="single" w:sz="4" w:space="0" w:color="auto"/>
      </w:tblBorders>
    </w:tblPr>
    <w:tblStylePr w:type="firstRow">
      <w:pPr>
        <w:jc w:val="left"/>
      </w:pPr>
      <w:rPr>
        <w:rFonts w:ascii="Arial Narrow" w:hAnsi="Arial Narrow"/>
        <w:b/>
        <w:sz w:val="21"/>
      </w:rPr>
      <w:tblPr/>
      <w:tcPr>
        <w:tcBorders>
          <w:top w:val="single" w:sz="4" w:space="0" w:color="auto"/>
          <w:left w:val="nil"/>
          <w:bottom w:val="single" w:sz="4" w:space="0" w:color="auto"/>
          <w:right w:val="nil"/>
          <w:insideH w:val="nil"/>
          <w:insideV w:val="nil"/>
          <w:tl2br w:val="nil"/>
          <w:tr2bl w:val="nil"/>
        </w:tcBorders>
        <w:vAlign w:val="center"/>
      </w:tcPr>
    </w:tblStylePr>
  </w:style>
  <w:style w:type="table" w:customStyle="1" w:styleId="TableGrid3">
    <w:name w:val="Table Grid3"/>
    <w:basedOn w:val="TableNormal"/>
    <w:next w:val="TableGrid"/>
    <w:rsid w:val="00A63CF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1D2A"/>
    <w:rPr>
      <w:rFonts w:ascii="Times New Roman" w:hAnsi="Times New Roman"/>
      <w:b/>
      <w:sz w:val="20"/>
    </w:rPr>
  </w:style>
  <w:style w:type="paragraph" w:styleId="BodyText">
    <w:name w:val="Body Text"/>
    <w:basedOn w:val="Normal"/>
    <w:link w:val="BodyTextChar1"/>
    <w:rsid w:val="00A63CF2"/>
    <w:pPr>
      <w:spacing w:after="260" w:line="260" w:lineRule="atLeast"/>
    </w:pPr>
    <w:rPr>
      <w:rFonts w:ascii="Univers 45 Light" w:hAnsi="Univers 45 Light"/>
    </w:rPr>
  </w:style>
  <w:style w:type="character" w:customStyle="1" w:styleId="BodyTextChar">
    <w:name w:val="Body Text Char"/>
    <w:basedOn w:val="DefaultParagraphFont"/>
    <w:rsid w:val="00A63CF2"/>
    <w:rPr>
      <w:sz w:val="24"/>
      <w:szCs w:val="24"/>
      <w:lang w:eastAsia="en-US"/>
    </w:rPr>
  </w:style>
  <w:style w:type="character" w:customStyle="1" w:styleId="BodyTextChar1">
    <w:name w:val="Body Text Char1"/>
    <w:basedOn w:val="DefaultParagraphFont"/>
    <w:link w:val="BodyText"/>
    <w:rsid w:val="00A63CF2"/>
    <w:rPr>
      <w:rFonts w:ascii="Univers 45 Light" w:hAnsi="Univers 45 Light" w:cs="Times New Roman"/>
      <w:spacing w:val="0"/>
      <w:szCs w:val="20"/>
      <w:lang w:eastAsia="en-US"/>
    </w:rPr>
  </w:style>
  <w:style w:type="paragraph" w:customStyle="1" w:styleId="Default">
    <w:name w:val="Default"/>
    <w:rsid w:val="00A63CF2"/>
    <w:pPr>
      <w:autoSpaceDE w:val="0"/>
      <w:autoSpaceDN w:val="0"/>
      <w:adjustRightInd w:val="0"/>
    </w:pPr>
    <w:rPr>
      <w:color w:val="000000"/>
      <w:spacing w:val="0"/>
      <w:sz w:val="24"/>
      <w:lang w:val="en-US" w:eastAsia="en-US"/>
    </w:rPr>
  </w:style>
  <w:style w:type="paragraph" w:styleId="Revision">
    <w:name w:val="Revision"/>
    <w:hidden/>
    <w:uiPriority w:val="99"/>
    <w:semiHidden/>
    <w:rsid w:val="00A63CF2"/>
    <w:rPr>
      <w:rFonts w:ascii="Times New Roman" w:hAnsi="Times New Roman" w:cs="Times New Roman"/>
      <w:spacing w:val="0"/>
      <w:sz w:val="24"/>
      <w:lang w:eastAsia="en-US"/>
    </w:rPr>
  </w:style>
  <w:style w:type="paragraph" w:customStyle="1" w:styleId="x02-body-copy">
    <w:name w:val="x02-body-copy"/>
    <w:basedOn w:val="Normal"/>
    <w:rsid w:val="00A63CF2"/>
    <w:pPr>
      <w:spacing w:after="160"/>
    </w:pPr>
    <w:rPr>
      <w:rFonts w:eastAsiaTheme="minorEastAsia" w:cstheme="minorBidi"/>
      <w:sz w:val="19"/>
    </w:rPr>
  </w:style>
  <w:style w:type="character" w:customStyle="1" w:styleId="x02-body-italic">
    <w:name w:val="x02-body-italic"/>
    <w:basedOn w:val="DefaultParagraphFont"/>
    <w:rsid w:val="00A63CF2"/>
    <w:rPr>
      <w:rFonts w:ascii="Arial" w:hAnsi="Arial"/>
      <w:i/>
      <w:sz w:val="19"/>
    </w:rPr>
  </w:style>
  <w:style w:type="paragraph" w:customStyle="1" w:styleId="x02-body-copy-before-bullet">
    <w:name w:val="x02-body-copy-before-bullet"/>
    <w:basedOn w:val="Normal"/>
    <w:rsid w:val="00A63CF2"/>
    <w:pPr>
      <w:spacing w:after="120"/>
    </w:pPr>
    <w:rPr>
      <w:rFonts w:eastAsiaTheme="minorEastAsia" w:cstheme="minorBidi"/>
      <w:sz w:val="19"/>
    </w:rPr>
  </w:style>
  <w:style w:type="paragraph" w:customStyle="1" w:styleId="x01-heading-level-4">
    <w:name w:val="x01-heading-level-4"/>
    <w:basedOn w:val="Normal"/>
    <w:rsid w:val="00A63CF2"/>
    <w:pPr>
      <w:spacing w:before="60" w:after="60"/>
    </w:pPr>
    <w:rPr>
      <w:rFonts w:eastAsiaTheme="minorEastAsia" w:cstheme="minorBidi"/>
      <w:b/>
      <w:bCs/>
      <w:color w:val="666967"/>
      <w:sz w:val="21"/>
      <w:szCs w:val="21"/>
    </w:rPr>
  </w:style>
  <w:style w:type="paragraph" w:customStyle="1" w:styleId="bullet">
    <w:name w:val="bullet"/>
    <w:basedOn w:val="Normal"/>
    <w:qFormat/>
    <w:rsid w:val="00A63CF2"/>
    <w:pPr>
      <w:numPr>
        <w:numId w:val="1"/>
      </w:numPr>
      <w:spacing w:after="120"/>
      <w:ind w:left="357" w:hanging="357"/>
    </w:pPr>
    <w:rPr>
      <w:sz w:val="19"/>
    </w:rPr>
  </w:style>
  <w:style w:type="paragraph" w:styleId="NormalWeb">
    <w:name w:val="Normal (Web)"/>
    <w:basedOn w:val="Normal"/>
    <w:uiPriority w:val="99"/>
    <w:unhideWhenUsed/>
    <w:rsid w:val="00A63CF2"/>
    <w:pPr>
      <w:spacing w:before="100" w:beforeAutospacing="1" w:after="100" w:afterAutospacing="1"/>
    </w:pPr>
  </w:style>
  <w:style w:type="character" w:customStyle="1" w:styleId="apple-converted-space">
    <w:name w:val="apple-converted-space"/>
    <w:basedOn w:val="DefaultParagraphFont"/>
    <w:rsid w:val="00A63CF2"/>
  </w:style>
  <w:style w:type="paragraph" w:customStyle="1" w:styleId="ta-response-item-content">
    <w:name w:val="ta-response-item-content"/>
    <w:basedOn w:val="Normal"/>
    <w:rsid w:val="00A63CF2"/>
    <w:pPr>
      <w:spacing w:before="100" w:beforeAutospacing="1" w:after="100" w:afterAutospacing="1"/>
    </w:pPr>
  </w:style>
  <w:style w:type="character" w:customStyle="1" w:styleId="ta-response-item-date">
    <w:name w:val="ta-response-item-date"/>
    <w:basedOn w:val="DefaultParagraphFont"/>
    <w:rsid w:val="00A63CF2"/>
  </w:style>
  <w:style w:type="character" w:styleId="Hyperlink">
    <w:name w:val="Hyperlink"/>
    <w:basedOn w:val="DefaultParagraphFont"/>
    <w:uiPriority w:val="99"/>
    <w:unhideWhenUsed/>
    <w:rsid w:val="00A63CF2"/>
    <w:rPr>
      <w:color w:val="0000FF"/>
      <w:u w:val="single"/>
    </w:rPr>
  </w:style>
  <w:style w:type="character" w:customStyle="1" w:styleId="smf-icon">
    <w:name w:val="smf-icon"/>
    <w:basedOn w:val="DefaultParagraphFont"/>
    <w:rsid w:val="00A63CF2"/>
  </w:style>
  <w:style w:type="character" w:customStyle="1" w:styleId="standard-1">
    <w:name w:val="standard-1"/>
    <w:uiPriority w:val="99"/>
    <w:rsid w:val="00A63CF2"/>
    <w:rPr>
      <w:rFonts w:cs="Times New Roman"/>
      <w:color w:val="0065A4"/>
    </w:rPr>
  </w:style>
  <w:style w:type="character" w:customStyle="1" w:styleId="standard-3">
    <w:name w:val="standard-3"/>
    <w:uiPriority w:val="99"/>
    <w:rsid w:val="00A63CF2"/>
    <w:rPr>
      <w:rFonts w:cs="Times New Roman"/>
      <w:color w:val="E4A11B"/>
    </w:rPr>
  </w:style>
  <w:style w:type="character" w:customStyle="1" w:styleId="standard-4">
    <w:name w:val="standard-4"/>
    <w:uiPriority w:val="99"/>
    <w:rsid w:val="00A63CF2"/>
    <w:rPr>
      <w:rFonts w:cs="Times New Roman"/>
      <w:color w:val="94C947"/>
    </w:rPr>
  </w:style>
  <w:style w:type="character" w:customStyle="1" w:styleId="standard-5">
    <w:name w:val="standard-5"/>
    <w:uiPriority w:val="99"/>
    <w:rsid w:val="00A63CF2"/>
    <w:rPr>
      <w:rFonts w:cs="Times New Roman"/>
      <w:color w:val="4891CE"/>
    </w:rPr>
  </w:style>
  <w:style w:type="character" w:customStyle="1" w:styleId="standard-6">
    <w:name w:val="standard-6"/>
    <w:uiPriority w:val="99"/>
    <w:rsid w:val="00A63CF2"/>
    <w:rPr>
      <w:rFonts w:cs="Times New Roman"/>
      <w:color w:val="00A777"/>
    </w:rPr>
  </w:style>
  <w:style w:type="character" w:customStyle="1" w:styleId="standard-7">
    <w:name w:val="standard-7"/>
    <w:uiPriority w:val="99"/>
    <w:rsid w:val="00A63CF2"/>
    <w:rPr>
      <w:rFonts w:cs="Times New Roman"/>
      <w:color w:val="B40B47"/>
    </w:rPr>
  </w:style>
  <w:style w:type="character" w:customStyle="1" w:styleId="standard-8">
    <w:name w:val="standard-8"/>
    <w:uiPriority w:val="99"/>
    <w:rsid w:val="00A63CF2"/>
    <w:rPr>
      <w:rFonts w:cs="Times New Roman"/>
      <w:color w:val="F37324"/>
    </w:rPr>
  </w:style>
  <w:style w:type="character" w:customStyle="1" w:styleId="standard-9">
    <w:name w:val="standard-9"/>
    <w:uiPriority w:val="99"/>
    <w:rsid w:val="00A63CF2"/>
    <w:rPr>
      <w:rFonts w:cs="Times New Roman"/>
      <w:color w:val="732B90"/>
    </w:rPr>
  </w:style>
  <w:style w:type="character" w:customStyle="1" w:styleId="standard-10">
    <w:name w:val="standard-10"/>
    <w:uiPriority w:val="99"/>
    <w:rsid w:val="00A63CF2"/>
    <w:rPr>
      <w:rFonts w:cs="Times New Roman"/>
      <w:color w:val="00718C"/>
    </w:rPr>
  </w:style>
  <w:style w:type="character" w:customStyle="1" w:styleId="Standard-2">
    <w:name w:val="Standard-2"/>
    <w:uiPriority w:val="99"/>
    <w:rsid w:val="00A63CF2"/>
    <w:rPr>
      <w:b/>
      <w:color w:val="00B5CC"/>
    </w:rPr>
  </w:style>
  <w:style w:type="paragraph" w:styleId="FootnoteText">
    <w:name w:val="footnote text"/>
    <w:basedOn w:val="Normal"/>
    <w:link w:val="FootnoteTextChar"/>
    <w:rsid w:val="00151D2A"/>
    <w:pPr>
      <w:ind w:left="360" w:hanging="360"/>
    </w:pPr>
    <w:rPr>
      <w:sz w:val="20"/>
    </w:rPr>
  </w:style>
  <w:style w:type="character" w:customStyle="1" w:styleId="FootnoteTextChar">
    <w:name w:val="Footnote Text Char"/>
    <w:basedOn w:val="DefaultParagraphFont"/>
    <w:link w:val="FootnoteText"/>
    <w:rsid w:val="00A63CF2"/>
    <w:rPr>
      <w:rFonts w:ascii="Times New Roman" w:hAnsi="Times New Roman" w:cs="Times New Roman"/>
      <w:color w:val="000000"/>
      <w:spacing w:val="0"/>
      <w:sz w:val="20"/>
      <w:szCs w:val="20"/>
    </w:rPr>
  </w:style>
  <w:style w:type="character" w:styleId="FootnoteReference">
    <w:name w:val="footnote reference"/>
    <w:basedOn w:val="DefaultParagraphFont"/>
    <w:rsid w:val="00151D2A"/>
    <w:rPr>
      <w:vertAlign w:val="superscript"/>
    </w:rPr>
  </w:style>
  <w:style w:type="paragraph" w:styleId="EndnoteText">
    <w:name w:val="endnote text"/>
    <w:basedOn w:val="Normal"/>
    <w:link w:val="EndnoteTextChar"/>
    <w:rsid w:val="00A63CF2"/>
    <w:rPr>
      <w:sz w:val="20"/>
    </w:rPr>
  </w:style>
  <w:style w:type="character" w:customStyle="1" w:styleId="EndnoteTextChar">
    <w:name w:val="Endnote Text Char"/>
    <w:basedOn w:val="DefaultParagraphFont"/>
    <w:link w:val="EndnoteText"/>
    <w:rsid w:val="00A63CF2"/>
    <w:rPr>
      <w:rFonts w:ascii="Times New Roman" w:hAnsi="Times New Roman" w:cs="Times New Roman"/>
      <w:spacing w:val="0"/>
      <w:sz w:val="20"/>
      <w:szCs w:val="20"/>
      <w:lang w:eastAsia="en-US"/>
    </w:rPr>
  </w:style>
  <w:style w:type="character" w:styleId="EndnoteReference">
    <w:name w:val="endnote reference"/>
    <w:basedOn w:val="DefaultParagraphFont"/>
    <w:rsid w:val="00A63CF2"/>
    <w:rPr>
      <w:vertAlign w:val="superscript"/>
    </w:rPr>
  </w:style>
  <w:style w:type="paragraph" w:styleId="TOCHeading">
    <w:name w:val="TOC Heading"/>
    <w:basedOn w:val="Heading1"/>
    <w:next w:val="Normal"/>
    <w:uiPriority w:val="39"/>
    <w:semiHidden/>
    <w:unhideWhenUsed/>
    <w:qFormat/>
    <w:rsid w:val="00A63CF2"/>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151D2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151D2A"/>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151D2A"/>
    <w:pPr>
      <w:tabs>
        <w:tab w:val="left" w:pos="2160"/>
        <w:tab w:val="right" w:leader="dot" w:pos="9016"/>
      </w:tabs>
      <w:spacing w:after="20"/>
      <w:ind w:left="2160" w:right="720" w:hanging="720"/>
    </w:pPr>
  </w:style>
  <w:style w:type="table" w:styleId="LightGrid-Accent1">
    <w:name w:val="Light Grid Accent 1"/>
    <w:basedOn w:val="TableNormal"/>
    <w:uiPriority w:val="62"/>
    <w:rsid w:val="00A63CF2"/>
    <w:rPr>
      <w:rFonts w:ascii="Times New Roman" w:hAnsi="Times New Roman" w:cs="Times New Roman"/>
      <w:spacing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AD3B6B"/>
    <w:rPr>
      <w:rFonts w:cs="Times New Roman"/>
      <w:spacing w:val="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4">
    <w:name w:val="toc 4"/>
    <w:basedOn w:val="Normal"/>
    <w:next w:val="Normal"/>
    <w:autoRedefine/>
    <w:rsid w:val="00151D2A"/>
    <w:pPr>
      <w:tabs>
        <w:tab w:val="right" w:leader="dot" w:pos="9016"/>
      </w:tabs>
      <w:ind w:left="2160" w:right="720"/>
    </w:pPr>
    <w:rPr>
      <w:noProof/>
      <w:szCs w:val="24"/>
    </w:rPr>
  </w:style>
  <w:style w:type="paragraph" w:styleId="TOC5">
    <w:name w:val="toc 5"/>
    <w:basedOn w:val="Normal"/>
    <w:next w:val="Normal"/>
    <w:autoRedefine/>
    <w:rsid w:val="00A63CF2"/>
    <w:pPr>
      <w:ind w:left="960"/>
    </w:pPr>
    <w:rPr>
      <w:rFonts w:asciiTheme="minorHAnsi" w:hAnsiTheme="minorHAnsi"/>
      <w:sz w:val="20"/>
    </w:rPr>
  </w:style>
  <w:style w:type="paragraph" w:styleId="TOC6">
    <w:name w:val="toc 6"/>
    <w:basedOn w:val="Normal"/>
    <w:next w:val="Normal"/>
    <w:autoRedefine/>
    <w:rsid w:val="00A63CF2"/>
    <w:pPr>
      <w:ind w:left="1200"/>
    </w:pPr>
    <w:rPr>
      <w:rFonts w:asciiTheme="minorHAnsi" w:hAnsiTheme="minorHAnsi"/>
      <w:sz w:val="20"/>
    </w:rPr>
  </w:style>
  <w:style w:type="paragraph" w:styleId="TOC7">
    <w:name w:val="toc 7"/>
    <w:basedOn w:val="Normal"/>
    <w:next w:val="Normal"/>
    <w:autoRedefine/>
    <w:rsid w:val="00A63CF2"/>
    <w:pPr>
      <w:ind w:left="1440"/>
    </w:pPr>
    <w:rPr>
      <w:rFonts w:asciiTheme="minorHAnsi" w:hAnsiTheme="minorHAnsi"/>
      <w:sz w:val="20"/>
    </w:rPr>
  </w:style>
  <w:style w:type="paragraph" w:styleId="TOC8">
    <w:name w:val="toc 8"/>
    <w:basedOn w:val="Normal"/>
    <w:next w:val="Normal"/>
    <w:autoRedefine/>
    <w:rsid w:val="00A63CF2"/>
    <w:pPr>
      <w:ind w:left="1680"/>
    </w:pPr>
    <w:rPr>
      <w:rFonts w:asciiTheme="minorHAnsi" w:hAnsiTheme="minorHAnsi"/>
      <w:sz w:val="20"/>
    </w:rPr>
  </w:style>
  <w:style w:type="paragraph" w:styleId="TOC9">
    <w:name w:val="toc 9"/>
    <w:basedOn w:val="Normal"/>
    <w:next w:val="Normal"/>
    <w:autoRedefine/>
    <w:rsid w:val="00A63CF2"/>
    <w:pPr>
      <w:ind w:left="1920"/>
    </w:pPr>
    <w:rPr>
      <w:rFonts w:asciiTheme="minorHAnsi" w:hAnsiTheme="minorHAnsi"/>
      <w:sz w:val="20"/>
    </w:rPr>
  </w:style>
  <w:style w:type="paragraph" w:customStyle="1" w:styleId="TableText">
    <w:name w:val="TableText"/>
    <w:basedOn w:val="Normal"/>
    <w:rsid w:val="001713DE"/>
    <w:pPr>
      <w:keepNext/>
      <w:spacing w:before="60" w:after="60"/>
    </w:pPr>
    <w:rPr>
      <w:sz w:val="21"/>
      <w:szCs w:val="21"/>
    </w:rPr>
  </w:style>
  <w:style w:type="table" w:customStyle="1" w:styleId="TableGrid1">
    <w:name w:val="Table Grid1"/>
    <w:basedOn w:val="TableNormal"/>
    <w:next w:val="TableGrid"/>
    <w:rsid w:val="000B7131"/>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Quote">
    <w:name w:val="PullQuote"/>
    <w:basedOn w:val="Normal"/>
    <w:next w:val="Normal"/>
    <w:rsid w:val="00151D2A"/>
    <w:rPr>
      <w:rFonts w:ascii="Times New Roman Bold" w:hAnsi="Times New Roman Bold"/>
      <w:b/>
      <w:color w:val="76923C" w:themeColor="accent3" w:themeShade="BF"/>
    </w:rPr>
  </w:style>
  <w:style w:type="paragraph" w:customStyle="1" w:styleId="ReportDate">
    <w:name w:val="ReportDate"/>
    <w:basedOn w:val="Normal"/>
    <w:rsid w:val="00151D2A"/>
    <w:pPr>
      <w:jc w:val="center"/>
    </w:pPr>
    <w:rPr>
      <w:sz w:val="40"/>
    </w:rPr>
  </w:style>
  <w:style w:type="paragraph" w:customStyle="1" w:styleId="Heading1a">
    <w:name w:val="Heading 1a"/>
    <w:basedOn w:val="Heading1"/>
    <w:next w:val="Normal"/>
    <w:rsid w:val="00151D2A"/>
    <w:pPr>
      <w:outlineLvl w:val="9"/>
    </w:pPr>
  </w:style>
  <w:style w:type="paragraph" w:customStyle="1" w:styleId="Heading2a">
    <w:name w:val="Heading 2a"/>
    <w:basedOn w:val="Heading2"/>
    <w:next w:val="Normal"/>
    <w:rsid w:val="00151D2A"/>
    <w:pPr>
      <w:ind w:left="0" w:firstLine="0"/>
      <w:outlineLvl w:val="9"/>
    </w:pPr>
  </w:style>
  <w:style w:type="paragraph" w:customStyle="1" w:styleId="Heading3a">
    <w:name w:val="Heading 3a"/>
    <w:basedOn w:val="Heading3"/>
    <w:next w:val="Normal"/>
    <w:rsid w:val="00151D2A"/>
    <w:pPr>
      <w:ind w:left="0" w:firstLine="0"/>
      <w:outlineLvl w:val="9"/>
    </w:pPr>
  </w:style>
  <w:style w:type="paragraph" w:customStyle="1" w:styleId="TFListNotesSpace">
    <w:name w:val="TFListNotes+Space"/>
    <w:basedOn w:val="TableText"/>
    <w:next w:val="Normal"/>
    <w:rsid w:val="00151D2A"/>
    <w:pPr>
      <w:keepNext w:val="0"/>
      <w:keepLines/>
      <w:spacing w:before="0" w:after="360"/>
      <w:ind w:left="170" w:hanging="170"/>
    </w:pPr>
    <w:rPr>
      <w:sz w:val="18"/>
      <w:szCs w:val="18"/>
    </w:rPr>
  </w:style>
  <w:style w:type="paragraph" w:customStyle="1" w:styleId="TFListNotes">
    <w:name w:val="TFListNotes"/>
    <w:basedOn w:val="TFListNotesSpace"/>
    <w:rsid w:val="00151D2A"/>
    <w:pPr>
      <w:keepNext/>
      <w:spacing w:after="0"/>
    </w:pPr>
  </w:style>
  <w:style w:type="paragraph" w:customStyle="1" w:styleId="TableName">
    <w:name w:val="TableName"/>
    <w:basedOn w:val="TableText"/>
    <w:rsid w:val="00151D2A"/>
    <w:pPr>
      <w:tabs>
        <w:tab w:val="left" w:pos="1080"/>
      </w:tabs>
      <w:spacing w:before="120" w:after="120"/>
      <w:ind w:left="1080" w:hanging="1080"/>
    </w:pPr>
    <w:rPr>
      <w:rFonts w:ascii="Times New Roman Bold" w:hAnsi="Times New Roman Bold"/>
      <w:b/>
      <w:bCs/>
      <w:sz w:val="22"/>
    </w:rPr>
  </w:style>
  <w:style w:type="paragraph" w:customStyle="1" w:styleId="TableHeading0">
    <w:name w:val="TableHeading"/>
    <w:basedOn w:val="TableText"/>
    <w:rsid w:val="001713DE"/>
    <w:rPr>
      <w:rFonts w:ascii="Times New Roman Bold" w:hAnsi="Times New Roman Bold"/>
      <w:b/>
      <w:bCs/>
    </w:rPr>
  </w:style>
  <w:style w:type="paragraph" w:customStyle="1" w:styleId="TableBullet">
    <w:name w:val="TableBullet"/>
    <w:basedOn w:val="TableText"/>
    <w:rsid w:val="00151D2A"/>
    <w:pPr>
      <w:numPr>
        <w:numId w:val="4"/>
      </w:numPr>
      <w:tabs>
        <w:tab w:val="clear" w:pos="360"/>
        <w:tab w:val="left" w:pos="216"/>
      </w:tabs>
      <w:ind w:left="216" w:hanging="216"/>
    </w:pPr>
  </w:style>
  <w:style w:type="paragraph" w:customStyle="1" w:styleId="TableDash">
    <w:name w:val="TableDash"/>
    <w:basedOn w:val="TableText"/>
    <w:rsid w:val="00151D2A"/>
    <w:pPr>
      <w:numPr>
        <w:numId w:val="5"/>
      </w:numPr>
      <w:tabs>
        <w:tab w:val="clear" w:pos="216"/>
        <w:tab w:val="num" w:pos="432"/>
      </w:tabs>
    </w:pPr>
  </w:style>
  <w:style w:type="paragraph" w:customStyle="1" w:styleId="References">
    <w:name w:val="References"/>
    <w:basedOn w:val="Normal"/>
    <w:rsid w:val="00151D2A"/>
    <w:pPr>
      <w:keepLines/>
      <w:ind w:left="720" w:hanging="720"/>
    </w:pPr>
  </w:style>
  <w:style w:type="paragraph" w:customStyle="1" w:styleId="FigTabPara">
    <w:name w:val="FigTabPara"/>
    <w:basedOn w:val="Normal"/>
    <w:next w:val="TFIHolder"/>
    <w:rsid w:val="00151D2A"/>
    <w:pPr>
      <w:keepNext/>
      <w:spacing w:after="120"/>
      <w:ind w:left="1077"/>
    </w:pPr>
  </w:style>
  <w:style w:type="paragraph" w:customStyle="1" w:styleId="TFIHolder">
    <w:name w:val="TFIHolder"/>
    <w:basedOn w:val="TFAbbrevs"/>
    <w:qFormat/>
    <w:rsid w:val="00151D2A"/>
    <w:rPr>
      <w:sz w:val="12"/>
    </w:rPr>
  </w:style>
  <w:style w:type="paragraph" w:customStyle="1" w:styleId="TFAbbrevs">
    <w:name w:val="TFAbbrevs"/>
    <w:basedOn w:val="TFListNotes"/>
    <w:rsid w:val="00151D2A"/>
    <w:pPr>
      <w:ind w:left="0" w:firstLine="0"/>
    </w:pPr>
  </w:style>
  <w:style w:type="paragraph" w:customStyle="1" w:styleId="FigureNameSpace">
    <w:name w:val="FigureName+Space"/>
    <w:basedOn w:val="Normal"/>
    <w:next w:val="Normal"/>
    <w:rsid w:val="00151D2A"/>
    <w:pPr>
      <w:keepLines/>
      <w:tabs>
        <w:tab w:val="left" w:pos="1080"/>
      </w:tabs>
      <w:spacing w:before="120" w:after="360"/>
      <w:ind w:left="1080" w:hanging="1080"/>
    </w:pPr>
    <w:rPr>
      <w:b/>
      <w:bCs/>
    </w:rPr>
  </w:style>
  <w:style w:type="paragraph" w:styleId="TableofFigures">
    <w:name w:val="table of figures"/>
    <w:basedOn w:val="Normal"/>
    <w:next w:val="Normal"/>
    <w:uiPriority w:val="99"/>
    <w:rsid w:val="00151D2A"/>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151D2A"/>
    <w:pPr>
      <w:numPr>
        <w:numId w:val="6"/>
      </w:numPr>
    </w:pPr>
  </w:style>
  <w:style w:type="paragraph" w:customStyle="1" w:styleId="Bullet0">
    <w:name w:val="Bullet"/>
    <w:basedOn w:val="BulletBeforeDash"/>
    <w:qFormat/>
    <w:rsid w:val="00151D2A"/>
    <w:pPr>
      <w:spacing w:after="120"/>
    </w:pPr>
  </w:style>
  <w:style w:type="paragraph" w:customStyle="1" w:styleId="BulletLast">
    <w:name w:val="BulletLast"/>
    <w:basedOn w:val="Bullet0"/>
    <w:qFormat/>
    <w:rsid w:val="00151D2A"/>
    <w:pPr>
      <w:spacing w:after="240"/>
    </w:pPr>
  </w:style>
  <w:style w:type="paragraph" w:customStyle="1" w:styleId="Dash">
    <w:name w:val="Dash"/>
    <w:basedOn w:val="Normal"/>
    <w:rsid w:val="00151D2A"/>
    <w:pPr>
      <w:numPr>
        <w:numId w:val="7"/>
      </w:numPr>
      <w:tabs>
        <w:tab w:val="clear" w:pos="216"/>
        <w:tab w:val="left" w:pos="720"/>
      </w:tabs>
      <w:ind w:left="720" w:hanging="360"/>
    </w:pPr>
  </w:style>
  <w:style w:type="paragraph" w:customStyle="1" w:styleId="DashLast">
    <w:name w:val="DashLast"/>
    <w:basedOn w:val="Dash"/>
    <w:rsid w:val="00151D2A"/>
    <w:pPr>
      <w:spacing w:after="120"/>
    </w:pPr>
  </w:style>
  <w:style w:type="paragraph" w:customStyle="1" w:styleId="DashLastSpace">
    <w:name w:val="DashLast+Space"/>
    <w:basedOn w:val="DashLast"/>
    <w:rsid w:val="00151D2A"/>
    <w:pPr>
      <w:spacing w:after="240"/>
    </w:pPr>
  </w:style>
  <w:style w:type="paragraph" w:customStyle="1" w:styleId="NormalBeforeBullet">
    <w:name w:val="NormalBeforeBullet"/>
    <w:basedOn w:val="Normal"/>
    <w:qFormat/>
    <w:rsid w:val="00151D2A"/>
    <w:pPr>
      <w:keepNext/>
      <w:spacing w:after="120"/>
    </w:pPr>
  </w:style>
  <w:style w:type="paragraph" w:customStyle="1" w:styleId="BoxText">
    <w:name w:val="BoxText"/>
    <w:basedOn w:val="Normal"/>
    <w:qFormat/>
    <w:rsid w:val="00151D2A"/>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151D2A"/>
    <w:pPr>
      <w:spacing w:before="120" w:after="60"/>
    </w:pPr>
    <w:rPr>
      <w:sz w:val="18"/>
    </w:rPr>
  </w:style>
  <w:style w:type="paragraph" w:customStyle="1" w:styleId="BoxName">
    <w:name w:val="BoxName"/>
    <w:basedOn w:val="BoxText"/>
    <w:rsid w:val="00151D2A"/>
    <w:pPr>
      <w:keepNext/>
      <w:spacing w:before="180"/>
      <w:ind w:left="1080" w:hanging="1080"/>
    </w:pPr>
    <w:rPr>
      <w:b/>
      <w:bCs/>
      <w:sz w:val="24"/>
    </w:rPr>
  </w:style>
  <w:style w:type="paragraph" w:customStyle="1" w:styleId="BoxHeading">
    <w:name w:val="BoxHeading"/>
    <w:basedOn w:val="BoxText"/>
    <w:rsid w:val="00151D2A"/>
    <w:pPr>
      <w:keepNext/>
      <w:spacing w:before="120" w:after="60"/>
    </w:pPr>
    <w:rPr>
      <w:b/>
      <w:bCs/>
    </w:rPr>
  </w:style>
  <w:style w:type="paragraph" w:customStyle="1" w:styleId="BoxBullet">
    <w:name w:val="BoxBullet"/>
    <w:basedOn w:val="BoxText"/>
    <w:rsid w:val="00151D2A"/>
    <w:pPr>
      <w:numPr>
        <w:numId w:val="11"/>
      </w:numPr>
    </w:pPr>
  </w:style>
  <w:style w:type="paragraph" w:customStyle="1" w:styleId="BoxDashManual">
    <w:name w:val="BoxDashManual"/>
    <w:basedOn w:val="BoxText"/>
    <w:rsid w:val="00151D2A"/>
    <w:pPr>
      <w:tabs>
        <w:tab w:val="left" w:pos="360"/>
        <w:tab w:val="left" w:pos="720"/>
      </w:tabs>
      <w:ind w:left="720" w:hanging="720"/>
    </w:pPr>
  </w:style>
  <w:style w:type="paragraph" w:customStyle="1" w:styleId="FigureName">
    <w:name w:val="FigureName"/>
    <w:basedOn w:val="FigureNameSpace"/>
    <w:next w:val="Normal"/>
    <w:rsid w:val="00151D2A"/>
    <w:pPr>
      <w:keepNext/>
      <w:spacing w:after="120"/>
      <w:ind w:left="1077" w:hanging="1077"/>
    </w:pPr>
  </w:style>
  <w:style w:type="paragraph" w:styleId="Index1">
    <w:name w:val="index 1"/>
    <w:basedOn w:val="Normal"/>
    <w:next w:val="Normal"/>
    <w:rsid w:val="00151D2A"/>
    <w:pPr>
      <w:ind w:left="518" w:hanging="518"/>
    </w:pPr>
    <w:rPr>
      <w:noProof/>
    </w:rPr>
  </w:style>
  <w:style w:type="paragraph" w:styleId="Index2">
    <w:name w:val="index 2"/>
    <w:basedOn w:val="Index1"/>
    <w:next w:val="Normal"/>
    <w:rsid w:val="00151D2A"/>
    <w:pPr>
      <w:ind w:left="816" w:hanging="476"/>
    </w:pPr>
  </w:style>
  <w:style w:type="paragraph" w:customStyle="1" w:styleId="NumberList">
    <w:name w:val="NumberList"/>
    <w:basedOn w:val="Normal"/>
    <w:rsid w:val="00151D2A"/>
    <w:pPr>
      <w:tabs>
        <w:tab w:val="left" w:pos="360"/>
      </w:tabs>
      <w:ind w:left="360" w:hanging="360"/>
    </w:pPr>
  </w:style>
  <w:style w:type="paragraph" w:customStyle="1" w:styleId="TFNoteSourceSpace">
    <w:name w:val="TFNoteSource+Space"/>
    <w:basedOn w:val="TFListNotesSpace"/>
    <w:next w:val="Normal"/>
    <w:rsid w:val="00151D2A"/>
    <w:pPr>
      <w:ind w:left="624" w:hanging="624"/>
    </w:pPr>
  </w:style>
  <w:style w:type="paragraph" w:customStyle="1" w:styleId="TFNoteSource">
    <w:name w:val="TFNoteSource"/>
    <w:basedOn w:val="TFNoteSourceSpace"/>
    <w:rsid w:val="00151D2A"/>
    <w:pPr>
      <w:spacing w:after="0"/>
    </w:pPr>
  </w:style>
  <w:style w:type="character" w:customStyle="1" w:styleId="DesignerNotesChar">
    <w:name w:val="DesignerNotesChar"/>
    <w:basedOn w:val="DefaultParagraphFont"/>
    <w:rsid w:val="00151D2A"/>
    <w:rPr>
      <w:rFonts w:ascii="Arial" w:hAnsi="Arial"/>
      <w:b/>
      <w:color w:val="3366FF"/>
      <w:sz w:val="20"/>
    </w:rPr>
  </w:style>
  <w:style w:type="paragraph" w:customStyle="1" w:styleId="TFAbbrevsSpace">
    <w:name w:val="TFAbbrevs+Space"/>
    <w:basedOn w:val="TFAbbrevs"/>
    <w:next w:val="Normal"/>
    <w:rsid w:val="00151D2A"/>
    <w:pPr>
      <w:spacing w:after="360"/>
    </w:pPr>
  </w:style>
  <w:style w:type="character" w:customStyle="1" w:styleId="Roman">
    <w:name w:val="Roman"/>
    <w:uiPriority w:val="1"/>
    <w:rsid w:val="00151D2A"/>
    <w:rPr>
      <w:b w:val="0"/>
      <w:i/>
    </w:rPr>
  </w:style>
  <w:style w:type="character" w:customStyle="1" w:styleId="PullQuoteOrigin">
    <w:name w:val="PullQuoteOrigin"/>
    <w:basedOn w:val="DefaultParagraphFont"/>
    <w:uiPriority w:val="1"/>
    <w:rsid w:val="00151D2A"/>
    <w:rPr>
      <w:b/>
      <w:noProof/>
      <w:color w:val="76923C" w:themeColor="accent3" w:themeShade="BF"/>
    </w:rPr>
  </w:style>
  <w:style w:type="paragraph" w:customStyle="1" w:styleId="TFIHolderSpace">
    <w:name w:val="TFIHolder+Space"/>
    <w:basedOn w:val="TFIHolder"/>
    <w:qFormat/>
    <w:rsid w:val="00151D2A"/>
    <w:pPr>
      <w:spacing w:after="240"/>
    </w:pPr>
  </w:style>
  <w:style w:type="paragraph" w:customStyle="1" w:styleId="DesignerNotes">
    <w:name w:val="DesignerNotes"/>
    <w:basedOn w:val="Normal"/>
    <w:rsid w:val="00151D2A"/>
    <w:rPr>
      <w:b/>
      <w:color w:val="3366FF"/>
      <w:sz w:val="20"/>
    </w:rPr>
  </w:style>
  <w:style w:type="character" w:customStyle="1" w:styleId="Subscript">
    <w:name w:val="Subscript"/>
    <w:basedOn w:val="DefaultParagraphFont"/>
    <w:uiPriority w:val="1"/>
    <w:rsid w:val="00151D2A"/>
    <w:rPr>
      <w:noProof/>
      <w:vertAlign w:val="subscript"/>
    </w:rPr>
  </w:style>
  <w:style w:type="character" w:customStyle="1" w:styleId="Superscript">
    <w:name w:val="Superscript"/>
    <w:basedOn w:val="DefaultParagraphFont"/>
    <w:uiPriority w:val="1"/>
    <w:rsid w:val="00151D2A"/>
    <w:rPr>
      <w:noProof/>
      <w:vertAlign w:val="superscript"/>
    </w:rPr>
  </w:style>
  <w:style w:type="character" w:customStyle="1" w:styleId="Symbol">
    <w:name w:val="Symbol"/>
    <w:basedOn w:val="DefaultParagraphFont"/>
    <w:uiPriority w:val="1"/>
    <w:rsid w:val="00151D2A"/>
    <w:rPr>
      <w:noProof/>
    </w:rPr>
  </w:style>
  <w:style w:type="character" w:customStyle="1" w:styleId="NoBreak">
    <w:name w:val="NoBreak"/>
    <w:basedOn w:val="DefaultParagraphFont"/>
    <w:uiPriority w:val="1"/>
    <w:rsid w:val="00151D2A"/>
    <w:rPr>
      <w:noProof/>
    </w:rPr>
  </w:style>
  <w:style w:type="paragraph" w:customStyle="1" w:styleId="MathEquation">
    <w:name w:val="MathEquation"/>
    <w:basedOn w:val="Normal"/>
    <w:rsid w:val="00151D2A"/>
    <w:rPr>
      <w:rFonts w:ascii="Cambria Math" w:hAnsi="Cambria Math"/>
      <w:i/>
      <w:noProof/>
    </w:rPr>
  </w:style>
  <w:style w:type="paragraph" w:customStyle="1" w:styleId="ComputerCode">
    <w:name w:val="ComputerCode"/>
    <w:basedOn w:val="Normal"/>
    <w:rsid w:val="00151D2A"/>
    <w:pPr>
      <w:ind w:left="567"/>
      <w:contextualSpacing/>
    </w:pPr>
    <w:rPr>
      <w:rFonts w:ascii="Courier New" w:hAnsi="Courier New"/>
      <w:sz w:val="20"/>
      <w:szCs w:val="24"/>
    </w:rPr>
  </w:style>
  <w:style w:type="paragraph" w:customStyle="1" w:styleId="BulletChecklist">
    <w:name w:val="BulletChecklist"/>
    <w:basedOn w:val="Bullet0"/>
    <w:rsid w:val="00151D2A"/>
    <w:pPr>
      <w:numPr>
        <w:numId w:val="9"/>
      </w:numPr>
    </w:pPr>
    <w:rPr>
      <w:noProof/>
    </w:rPr>
  </w:style>
  <w:style w:type="paragraph" w:customStyle="1" w:styleId="ImprintText">
    <w:name w:val="ImprintText"/>
    <w:basedOn w:val="Normal"/>
    <w:rsid w:val="00151D2A"/>
    <w:pPr>
      <w:spacing w:after="120"/>
    </w:pPr>
    <w:rPr>
      <w:sz w:val="20"/>
    </w:rPr>
  </w:style>
  <w:style w:type="paragraph" w:customStyle="1" w:styleId="AltText">
    <w:name w:val="AltText"/>
    <w:basedOn w:val="Normal"/>
    <w:rsid w:val="00151D2A"/>
    <w:rPr>
      <w:color w:val="E36C0A" w:themeColor="accent6" w:themeShade="BF"/>
      <w:sz w:val="20"/>
    </w:rPr>
  </w:style>
  <w:style w:type="paragraph" w:styleId="Caption">
    <w:name w:val="caption"/>
    <w:basedOn w:val="Normal"/>
    <w:next w:val="Credit"/>
    <w:uiPriority w:val="35"/>
    <w:unhideWhenUsed/>
    <w:rsid w:val="00DD67AC"/>
    <w:pPr>
      <w:keepNext/>
      <w:spacing w:after="40"/>
    </w:pPr>
    <w:rPr>
      <w:b/>
      <w:bCs/>
      <w:sz w:val="20"/>
      <w:szCs w:val="18"/>
    </w:rPr>
  </w:style>
  <w:style w:type="paragraph" w:customStyle="1" w:styleId="Credit">
    <w:name w:val="Credit"/>
    <w:basedOn w:val="Caption"/>
    <w:next w:val="Normal"/>
    <w:rsid w:val="00151D2A"/>
    <w:pPr>
      <w:spacing w:after="240"/>
    </w:pPr>
    <w:rPr>
      <w:b w:val="0"/>
      <w:noProof/>
    </w:rPr>
  </w:style>
  <w:style w:type="paragraph" w:customStyle="1" w:styleId="NormalFirstPara">
    <w:name w:val="NormalFirstPara"/>
    <w:basedOn w:val="Normal"/>
    <w:rsid w:val="00151D2A"/>
    <w:rPr>
      <w:noProof/>
      <w:color w:val="9BBB59" w:themeColor="accent3"/>
    </w:rPr>
  </w:style>
  <w:style w:type="paragraph" w:customStyle="1" w:styleId="TableHeadingCA">
    <w:name w:val="TableHeadingCA"/>
    <w:basedOn w:val="TableHeading0"/>
    <w:rsid w:val="00151D2A"/>
    <w:pPr>
      <w:jc w:val="center"/>
    </w:pPr>
  </w:style>
  <w:style w:type="paragraph" w:customStyle="1" w:styleId="TableTextCA">
    <w:name w:val="TableTextCA"/>
    <w:basedOn w:val="TableText"/>
    <w:rsid w:val="00151D2A"/>
    <w:pPr>
      <w:jc w:val="center"/>
    </w:pPr>
  </w:style>
  <w:style w:type="paragraph" w:customStyle="1" w:styleId="TableTextDecimalAlign">
    <w:name w:val="TableTextDecimalAlign"/>
    <w:basedOn w:val="TableText"/>
    <w:rsid w:val="00151D2A"/>
    <w:pPr>
      <w:tabs>
        <w:tab w:val="decimal" w:pos="1119"/>
      </w:tabs>
    </w:pPr>
  </w:style>
  <w:style w:type="paragraph" w:customStyle="1" w:styleId="NormalIndent">
    <w:name w:val="NormalIndent"/>
    <w:basedOn w:val="Normal"/>
    <w:rsid w:val="00151D2A"/>
    <w:pPr>
      <w:ind w:left="357"/>
    </w:pPr>
  </w:style>
  <w:style w:type="paragraph" w:customStyle="1" w:styleId="SectionTitle">
    <w:name w:val="SectionTitle"/>
    <w:basedOn w:val="Normal"/>
    <w:next w:val="Normal"/>
    <w:rsid w:val="00151D2A"/>
    <w:pPr>
      <w:jc w:val="center"/>
    </w:pPr>
    <w:rPr>
      <w:b/>
      <w:sz w:val="40"/>
    </w:rPr>
  </w:style>
  <w:style w:type="paragraph" w:customStyle="1" w:styleId="SectionSubtitle">
    <w:name w:val="SectionSubtitle"/>
    <w:basedOn w:val="Normal"/>
    <w:rsid w:val="00151D2A"/>
    <w:pPr>
      <w:jc w:val="center"/>
    </w:pPr>
    <w:rPr>
      <w:sz w:val="32"/>
    </w:rPr>
  </w:style>
  <w:style w:type="paragraph" w:customStyle="1" w:styleId="QuoteNumberList">
    <w:name w:val="QuoteNumberList"/>
    <w:basedOn w:val="Quote"/>
    <w:rsid w:val="00151D2A"/>
    <w:pPr>
      <w:ind w:left="1117" w:hanging="397"/>
    </w:pPr>
    <w:rPr>
      <w:noProof/>
    </w:rPr>
  </w:style>
  <w:style w:type="paragraph" w:customStyle="1" w:styleId="QuoteBullet">
    <w:name w:val="QuoteBullet"/>
    <w:basedOn w:val="Quote"/>
    <w:rsid w:val="00151D2A"/>
    <w:pPr>
      <w:numPr>
        <w:numId w:val="10"/>
      </w:numPr>
      <w:ind w:left="1117" w:hanging="397"/>
    </w:pPr>
    <w:rPr>
      <w:noProof/>
    </w:rPr>
  </w:style>
  <w:style w:type="paragraph" w:customStyle="1" w:styleId="BoxDash">
    <w:name w:val="BoxDash"/>
    <w:basedOn w:val="BoxBullet"/>
    <w:rsid w:val="00151D2A"/>
    <w:pPr>
      <w:numPr>
        <w:numId w:val="8"/>
      </w:numPr>
    </w:pPr>
  </w:style>
  <w:style w:type="character" w:customStyle="1" w:styleId="CrossRef">
    <w:name w:val="CrossRef"/>
    <w:basedOn w:val="DefaultParagraphFont"/>
    <w:uiPriority w:val="1"/>
    <w:rsid w:val="00151D2A"/>
    <w:rPr>
      <w:rFonts w:ascii="Times New Roman" w:hAnsi="Times New Roman"/>
      <w:b/>
      <w:noProof/>
      <w:color w:val="C0504D" w:themeColor="accent2"/>
      <w:sz w:val="24"/>
    </w:rPr>
  </w:style>
  <w:style w:type="paragraph" w:customStyle="1" w:styleId="TableNumberedList">
    <w:name w:val="TableNumberedList"/>
    <w:basedOn w:val="TableText"/>
    <w:autoRedefine/>
    <w:qFormat/>
    <w:rsid w:val="00151D2A"/>
    <w:pPr>
      <w:numPr>
        <w:numId w:val="12"/>
      </w:numPr>
      <w:ind w:left="357" w:hanging="357"/>
    </w:pPr>
  </w:style>
  <w:style w:type="character" w:customStyle="1" w:styleId="StrongEmphasis">
    <w:name w:val="StrongEmphasis"/>
    <w:basedOn w:val="DefaultParagraphFont"/>
    <w:rsid w:val="00151D2A"/>
    <w:rPr>
      <w:b/>
      <w:bCs/>
      <w:i/>
      <w:iCs/>
    </w:rPr>
  </w:style>
  <w:style w:type="paragraph" w:customStyle="1" w:styleId="Numberlistlevel2">
    <w:name w:val="Number list level 2"/>
    <w:basedOn w:val="NumberList"/>
    <w:next w:val="Normal"/>
    <w:qFormat/>
    <w:rsid w:val="009E6BAC"/>
    <w:pPr>
      <w:numPr>
        <w:ilvl w:val="2"/>
        <w:numId w:val="3"/>
      </w:numPr>
      <w:ind w:left="714" w:hanging="357"/>
    </w:pPr>
  </w:style>
  <w:style w:type="character" w:customStyle="1" w:styleId="Heading2Char">
    <w:name w:val="Heading 2 Char"/>
    <w:basedOn w:val="DefaultParagraphFont"/>
    <w:link w:val="Heading2"/>
    <w:rsid w:val="005F32CB"/>
    <w:rPr>
      <w:b/>
      <w:bCs/>
      <w:iCs/>
      <w:sz w:val="28"/>
      <w:szCs w:val="28"/>
    </w:rPr>
  </w:style>
  <w:style w:type="character" w:customStyle="1" w:styleId="Heading3Char">
    <w:name w:val="Heading 3 Char"/>
    <w:basedOn w:val="DefaultParagraphFont"/>
    <w:link w:val="Heading3"/>
    <w:rsid w:val="005F32CB"/>
    <w:rPr>
      <w:b/>
      <w:bCs/>
      <w:color w:val="0065A4"/>
      <w:szCs w:val="26"/>
    </w:rPr>
  </w:style>
  <w:style w:type="table" w:customStyle="1" w:styleId="TableGrid4">
    <w:name w:val="Table Grid4"/>
    <w:basedOn w:val="TableNormal"/>
    <w:next w:val="TableGrid"/>
    <w:rsid w:val="00E953AF"/>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953AF"/>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6373"/>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6373"/>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F6E12"/>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80B6D"/>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80B6D"/>
    <w:rPr>
      <w:rFonts w:ascii="Times New Roman" w:hAnsi="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C4495"/>
    <w:rPr>
      <w:rFonts w:ascii="Calibri" w:eastAsiaTheme="minorHAnsi" w:hAnsi="Calibri"/>
      <w:lang w:eastAsia="en-US"/>
    </w:rPr>
  </w:style>
  <w:style w:type="character" w:customStyle="1" w:styleId="PlainTextChar">
    <w:name w:val="Plain Text Char"/>
    <w:basedOn w:val="DefaultParagraphFont"/>
    <w:link w:val="PlainText"/>
    <w:uiPriority w:val="99"/>
    <w:rsid w:val="007C4495"/>
    <w:rPr>
      <w:rFonts w:ascii="Calibri" w:eastAsiaTheme="minorHAnsi" w:hAnsi="Calibri" w:cs="Times New Roman"/>
      <w:spacing w:val="0"/>
      <w:szCs w:val="22"/>
      <w:lang w:eastAsia="en-US"/>
    </w:rPr>
  </w:style>
  <w:style w:type="paragraph" w:styleId="BodyTextIndent3">
    <w:name w:val="Body Text Indent 3"/>
    <w:basedOn w:val="Normal"/>
    <w:link w:val="BodyTextIndent3Char"/>
    <w:uiPriority w:val="99"/>
    <w:unhideWhenUsed/>
    <w:rsid w:val="007C4495"/>
    <w:pPr>
      <w:spacing w:after="120"/>
      <w:ind w:left="283"/>
    </w:pPr>
    <w:rPr>
      <w:rFonts w:eastAsiaTheme="minorHAnsi"/>
      <w:sz w:val="16"/>
      <w:szCs w:val="16"/>
      <w:lang w:eastAsia="en-US"/>
    </w:rPr>
  </w:style>
  <w:style w:type="character" w:customStyle="1" w:styleId="BodyTextIndent3Char">
    <w:name w:val="Body Text Indent 3 Char"/>
    <w:basedOn w:val="DefaultParagraphFont"/>
    <w:link w:val="BodyTextIndent3"/>
    <w:uiPriority w:val="99"/>
    <w:rsid w:val="007C4495"/>
    <w:rPr>
      <w:rFonts w:ascii="Times New Roman" w:eastAsiaTheme="minorHAnsi" w:hAnsi="Times New Roman" w:cs="Times New Roman"/>
      <w:spacing w:val="0"/>
      <w:sz w:val="16"/>
      <w:szCs w:val="16"/>
      <w:lang w:eastAsia="en-US"/>
    </w:rPr>
  </w:style>
  <w:style w:type="paragraph" w:customStyle="1" w:styleId="RISTitle">
    <w:name w:val="RIS Title"/>
    <w:basedOn w:val="Normal"/>
    <w:next w:val="Normal"/>
    <w:qFormat/>
    <w:rsid w:val="002A4F2C"/>
    <w:pPr>
      <w:spacing w:before="2400"/>
      <w:jc w:val="center"/>
    </w:pPr>
    <w:rPr>
      <w:b/>
      <w:color w:val="FF0000"/>
      <w:sz w:val="48"/>
    </w:rPr>
  </w:style>
  <w:style w:type="paragraph" w:customStyle="1" w:styleId="RISSubtitle">
    <w:name w:val="RIS Subtitle"/>
    <w:basedOn w:val="Normal"/>
    <w:next w:val="Normal"/>
    <w:qFormat/>
    <w:rsid w:val="002A4F2C"/>
    <w:pPr>
      <w:spacing w:before="1600"/>
      <w:jc w:val="center"/>
    </w:pPr>
    <w:rPr>
      <w:b/>
      <w:sz w:val="40"/>
    </w:rPr>
  </w:style>
  <w:style w:type="paragraph" w:customStyle="1" w:styleId="RISTitle2">
    <w:name w:val="RIS Title 2"/>
    <w:basedOn w:val="RISTitle"/>
    <w:next w:val="Normal"/>
    <w:qFormat/>
    <w:rsid w:val="002A4F2C"/>
    <w:pPr>
      <w:spacing w:before="0"/>
    </w:pPr>
    <w:rPr>
      <w:color w:val="auto"/>
    </w:rPr>
  </w:style>
  <w:style w:type="paragraph" w:customStyle="1" w:styleId="Normal2">
    <w:name w:val="Normal 2"/>
    <w:basedOn w:val="Normal"/>
    <w:qFormat/>
    <w:rsid w:val="0087708C"/>
    <w:pPr>
      <w:spacing w:after="120"/>
    </w:pPr>
  </w:style>
  <w:style w:type="numbering" w:customStyle="1" w:styleId="Style1">
    <w:name w:val="Style1"/>
    <w:uiPriority w:val="99"/>
    <w:rsid w:val="003C5FC1"/>
    <w:pPr>
      <w:numPr>
        <w:numId w:val="13"/>
      </w:numPr>
    </w:pPr>
  </w:style>
  <w:style w:type="paragraph" w:customStyle="1" w:styleId="Subheadingnolevel">
    <w:name w:val="Subheading no level"/>
    <w:basedOn w:val="Normal2"/>
    <w:next w:val="Normal2"/>
    <w:qFormat/>
    <w:rsid w:val="003C5FC1"/>
    <w:pPr>
      <w:keepNext/>
      <w:spacing w:before="360"/>
    </w:pPr>
    <w:rPr>
      <w:b/>
    </w:rPr>
  </w:style>
  <w:style w:type="numbering" w:customStyle="1" w:styleId="RISList2">
    <w:name w:val="RIS List 2"/>
    <w:uiPriority w:val="99"/>
    <w:rsid w:val="00A9066F"/>
    <w:pPr>
      <w:numPr>
        <w:numId w:val="38"/>
      </w:numPr>
    </w:pPr>
  </w:style>
  <w:style w:type="paragraph" w:customStyle="1" w:styleId="StyleCaptionAfter6pt">
    <w:name w:val="Style Caption + After:  6 pt"/>
    <w:basedOn w:val="Caption"/>
    <w:rsid w:val="00F507E2"/>
    <w:pPr>
      <w:spacing w:after="120"/>
    </w:pPr>
    <w:rPr>
      <w:rFonts w:cs="Times New Roman"/>
      <w:szCs w:val="20"/>
    </w:rPr>
  </w:style>
  <w:style w:type="table" w:styleId="LightList-Accent1">
    <w:name w:val="Light List Accent 1"/>
    <w:basedOn w:val="TableNormal"/>
    <w:uiPriority w:val="61"/>
    <w:rsid w:val="00AD3B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rsid w:val="00BC2953"/>
    <w:rPr>
      <w:b/>
      <w:bCs/>
      <w:i/>
      <w:szCs w:val="28"/>
    </w:rPr>
  </w:style>
  <w:style w:type="character" w:customStyle="1" w:styleId="Heading5Char">
    <w:name w:val="Heading 5 Char"/>
    <w:basedOn w:val="DefaultParagraphFont"/>
    <w:link w:val="Heading5"/>
    <w:rsid w:val="00BC2953"/>
    <w:rPr>
      <w:bCs/>
      <w:i/>
      <w:iCs/>
      <w:szCs w:val="26"/>
    </w:rPr>
  </w:style>
  <w:style w:type="character" w:customStyle="1" w:styleId="Heading6Char">
    <w:name w:val="Heading 6 Char"/>
    <w:basedOn w:val="DefaultParagraphFont"/>
    <w:link w:val="Heading6"/>
    <w:rsid w:val="00BC2953"/>
    <w:rPr>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474">
      <w:bodyDiv w:val="1"/>
      <w:marLeft w:val="0"/>
      <w:marRight w:val="0"/>
      <w:marTop w:val="0"/>
      <w:marBottom w:val="0"/>
      <w:divBdr>
        <w:top w:val="none" w:sz="0" w:space="0" w:color="auto"/>
        <w:left w:val="none" w:sz="0" w:space="0" w:color="auto"/>
        <w:bottom w:val="none" w:sz="0" w:space="0" w:color="auto"/>
        <w:right w:val="none" w:sz="0" w:space="0" w:color="auto"/>
      </w:divBdr>
    </w:div>
    <w:div w:id="115028124">
      <w:bodyDiv w:val="1"/>
      <w:marLeft w:val="0"/>
      <w:marRight w:val="0"/>
      <w:marTop w:val="0"/>
      <w:marBottom w:val="0"/>
      <w:divBdr>
        <w:top w:val="none" w:sz="0" w:space="0" w:color="auto"/>
        <w:left w:val="none" w:sz="0" w:space="0" w:color="auto"/>
        <w:bottom w:val="none" w:sz="0" w:space="0" w:color="auto"/>
        <w:right w:val="none" w:sz="0" w:space="0" w:color="auto"/>
      </w:divBdr>
    </w:div>
    <w:div w:id="121270409">
      <w:bodyDiv w:val="1"/>
      <w:marLeft w:val="0"/>
      <w:marRight w:val="0"/>
      <w:marTop w:val="0"/>
      <w:marBottom w:val="0"/>
      <w:divBdr>
        <w:top w:val="none" w:sz="0" w:space="0" w:color="auto"/>
        <w:left w:val="none" w:sz="0" w:space="0" w:color="auto"/>
        <w:bottom w:val="none" w:sz="0" w:space="0" w:color="auto"/>
        <w:right w:val="none" w:sz="0" w:space="0" w:color="auto"/>
      </w:divBdr>
    </w:div>
    <w:div w:id="220868731">
      <w:bodyDiv w:val="1"/>
      <w:marLeft w:val="0"/>
      <w:marRight w:val="0"/>
      <w:marTop w:val="0"/>
      <w:marBottom w:val="0"/>
      <w:divBdr>
        <w:top w:val="none" w:sz="0" w:space="0" w:color="auto"/>
        <w:left w:val="none" w:sz="0" w:space="0" w:color="auto"/>
        <w:bottom w:val="none" w:sz="0" w:space="0" w:color="auto"/>
        <w:right w:val="none" w:sz="0" w:space="0" w:color="auto"/>
      </w:divBdr>
    </w:div>
    <w:div w:id="233782049">
      <w:bodyDiv w:val="1"/>
      <w:marLeft w:val="0"/>
      <w:marRight w:val="0"/>
      <w:marTop w:val="0"/>
      <w:marBottom w:val="0"/>
      <w:divBdr>
        <w:top w:val="none" w:sz="0" w:space="0" w:color="auto"/>
        <w:left w:val="none" w:sz="0" w:space="0" w:color="auto"/>
        <w:bottom w:val="none" w:sz="0" w:space="0" w:color="auto"/>
        <w:right w:val="none" w:sz="0" w:space="0" w:color="auto"/>
      </w:divBdr>
    </w:div>
    <w:div w:id="255482487">
      <w:bodyDiv w:val="1"/>
      <w:marLeft w:val="0"/>
      <w:marRight w:val="0"/>
      <w:marTop w:val="0"/>
      <w:marBottom w:val="0"/>
      <w:divBdr>
        <w:top w:val="none" w:sz="0" w:space="0" w:color="auto"/>
        <w:left w:val="none" w:sz="0" w:space="0" w:color="auto"/>
        <w:bottom w:val="none" w:sz="0" w:space="0" w:color="auto"/>
        <w:right w:val="none" w:sz="0" w:space="0" w:color="auto"/>
      </w:divBdr>
    </w:div>
    <w:div w:id="475147803">
      <w:bodyDiv w:val="1"/>
      <w:marLeft w:val="0"/>
      <w:marRight w:val="0"/>
      <w:marTop w:val="0"/>
      <w:marBottom w:val="0"/>
      <w:divBdr>
        <w:top w:val="none" w:sz="0" w:space="0" w:color="auto"/>
        <w:left w:val="none" w:sz="0" w:space="0" w:color="auto"/>
        <w:bottom w:val="none" w:sz="0" w:space="0" w:color="auto"/>
        <w:right w:val="none" w:sz="0" w:space="0" w:color="auto"/>
      </w:divBdr>
    </w:div>
    <w:div w:id="739788423">
      <w:bodyDiv w:val="1"/>
      <w:marLeft w:val="0"/>
      <w:marRight w:val="0"/>
      <w:marTop w:val="0"/>
      <w:marBottom w:val="0"/>
      <w:divBdr>
        <w:top w:val="none" w:sz="0" w:space="0" w:color="auto"/>
        <w:left w:val="none" w:sz="0" w:space="0" w:color="auto"/>
        <w:bottom w:val="none" w:sz="0" w:space="0" w:color="auto"/>
        <w:right w:val="none" w:sz="0" w:space="0" w:color="auto"/>
      </w:divBdr>
    </w:div>
    <w:div w:id="758216753">
      <w:bodyDiv w:val="1"/>
      <w:marLeft w:val="0"/>
      <w:marRight w:val="0"/>
      <w:marTop w:val="0"/>
      <w:marBottom w:val="0"/>
      <w:divBdr>
        <w:top w:val="none" w:sz="0" w:space="0" w:color="auto"/>
        <w:left w:val="none" w:sz="0" w:space="0" w:color="auto"/>
        <w:bottom w:val="none" w:sz="0" w:space="0" w:color="auto"/>
        <w:right w:val="none" w:sz="0" w:space="0" w:color="auto"/>
      </w:divBdr>
    </w:div>
    <w:div w:id="807164490">
      <w:bodyDiv w:val="1"/>
      <w:marLeft w:val="0"/>
      <w:marRight w:val="0"/>
      <w:marTop w:val="0"/>
      <w:marBottom w:val="0"/>
      <w:divBdr>
        <w:top w:val="none" w:sz="0" w:space="0" w:color="auto"/>
        <w:left w:val="none" w:sz="0" w:space="0" w:color="auto"/>
        <w:bottom w:val="none" w:sz="0" w:space="0" w:color="auto"/>
        <w:right w:val="none" w:sz="0" w:space="0" w:color="auto"/>
      </w:divBdr>
    </w:div>
    <w:div w:id="825437767">
      <w:bodyDiv w:val="1"/>
      <w:marLeft w:val="0"/>
      <w:marRight w:val="0"/>
      <w:marTop w:val="0"/>
      <w:marBottom w:val="0"/>
      <w:divBdr>
        <w:top w:val="none" w:sz="0" w:space="0" w:color="auto"/>
        <w:left w:val="none" w:sz="0" w:space="0" w:color="auto"/>
        <w:bottom w:val="none" w:sz="0" w:space="0" w:color="auto"/>
        <w:right w:val="none" w:sz="0" w:space="0" w:color="auto"/>
      </w:divBdr>
    </w:div>
    <w:div w:id="872109931">
      <w:bodyDiv w:val="1"/>
      <w:marLeft w:val="0"/>
      <w:marRight w:val="0"/>
      <w:marTop w:val="0"/>
      <w:marBottom w:val="0"/>
      <w:divBdr>
        <w:top w:val="none" w:sz="0" w:space="0" w:color="auto"/>
        <w:left w:val="none" w:sz="0" w:space="0" w:color="auto"/>
        <w:bottom w:val="none" w:sz="0" w:space="0" w:color="auto"/>
        <w:right w:val="none" w:sz="0" w:space="0" w:color="auto"/>
      </w:divBdr>
    </w:div>
    <w:div w:id="904334356">
      <w:bodyDiv w:val="1"/>
      <w:marLeft w:val="0"/>
      <w:marRight w:val="0"/>
      <w:marTop w:val="0"/>
      <w:marBottom w:val="0"/>
      <w:divBdr>
        <w:top w:val="none" w:sz="0" w:space="0" w:color="auto"/>
        <w:left w:val="none" w:sz="0" w:space="0" w:color="auto"/>
        <w:bottom w:val="none" w:sz="0" w:space="0" w:color="auto"/>
        <w:right w:val="none" w:sz="0" w:space="0" w:color="auto"/>
      </w:divBdr>
    </w:div>
    <w:div w:id="978532056">
      <w:bodyDiv w:val="1"/>
      <w:marLeft w:val="0"/>
      <w:marRight w:val="0"/>
      <w:marTop w:val="0"/>
      <w:marBottom w:val="0"/>
      <w:divBdr>
        <w:top w:val="none" w:sz="0" w:space="0" w:color="auto"/>
        <w:left w:val="none" w:sz="0" w:space="0" w:color="auto"/>
        <w:bottom w:val="none" w:sz="0" w:space="0" w:color="auto"/>
        <w:right w:val="none" w:sz="0" w:space="0" w:color="auto"/>
      </w:divBdr>
    </w:div>
    <w:div w:id="990791656">
      <w:bodyDiv w:val="1"/>
      <w:marLeft w:val="0"/>
      <w:marRight w:val="0"/>
      <w:marTop w:val="0"/>
      <w:marBottom w:val="0"/>
      <w:divBdr>
        <w:top w:val="none" w:sz="0" w:space="0" w:color="auto"/>
        <w:left w:val="none" w:sz="0" w:space="0" w:color="auto"/>
        <w:bottom w:val="none" w:sz="0" w:space="0" w:color="auto"/>
        <w:right w:val="none" w:sz="0" w:space="0" w:color="auto"/>
      </w:divBdr>
    </w:div>
    <w:div w:id="1052997161">
      <w:bodyDiv w:val="1"/>
      <w:marLeft w:val="0"/>
      <w:marRight w:val="0"/>
      <w:marTop w:val="0"/>
      <w:marBottom w:val="0"/>
      <w:divBdr>
        <w:top w:val="none" w:sz="0" w:space="0" w:color="auto"/>
        <w:left w:val="none" w:sz="0" w:space="0" w:color="auto"/>
        <w:bottom w:val="none" w:sz="0" w:space="0" w:color="auto"/>
        <w:right w:val="none" w:sz="0" w:space="0" w:color="auto"/>
      </w:divBdr>
    </w:div>
    <w:div w:id="1060907270">
      <w:bodyDiv w:val="1"/>
      <w:marLeft w:val="0"/>
      <w:marRight w:val="0"/>
      <w:marTop w:val="0"/>
      <w:marBottom w:val="0"/>
      <w:divBdr>
        <w:top w:val="none" w:sz="0" w:space="0" w:color="auto"/>
        <w:left w:val="none" w:sz="0" w:space="0" w:color="auto"/>
        <w:bottom w:val="none" w:sz="0" w:space="0" w:color="auto"/>
        <w:right w:val="none" w:sz="0" w:space="0" w:color="auto"/>
      </w:divBdr>
    </w:div>
    <w:div w:id="1067413542">
      <w:bodyDiv w:val="1"/>
      <w:marLeft w:val="0"/>
      <w:marRight w:val="0"/>
      <w:marTop w:val="0"/>
      <w:marBottom w:val="0"/>
      <w:divBdr>
        <w:top w:val="none" w:sz="0" w:space="0" w:color="auto"/>
        <w:left w:val="none" w:sz="0" w:space="0" w:color="auto"/>
        <w:bottom w:val="none" w:sz="0" w:space="0" w:color="auto"/>
        <w:right w:val="none" w:sz="0" w:space="0" w:color="auto"/>
      </w:divBdr>
    </w:div>
    <w:div w:id="1124425209">
      <w:bodyDiv w:val="1"/>
      <w:marLeft w:val="0"/>
      <w:marRight w:val="0"/>
      <w:marTop w:val="0"/>
      <w:marBottom w:val="0"/>
      <w:divBdr>
        <w:top w:val="none" w:sz="0" w:space="0" w:color="auto"/>
        <w:left w:val="none" w:sz="0" w:space="0" w:color="auto"/>
        <w:bottom w:val="none" w:sz="0" w:space="0" w:color="auto"/>
        <w:right w:val="none" w:sz="0" w:space="0" w:color="auto"/>
      </w:divBdr>
    </w:div>
    <w:div w:id="1232813342">
      <w:bodyDiv w:val="1"/>
      <w:marLeft w:val="0"/>
      <w:marRight w:val="0"/>
      <w:marTop w:val="0"/>
      <w:marBottom w:val="0"/>
      <w:divBdr>
        <w:top w:val="none" w:sz="0" w:space="0" w:color="auto"/>
        <w:left w:val="none" w:sz="0" w:space="0" w:color="auto"/>
        <w:bottom w:val="none" w:sz="0" w:space="0" w:color="auto"/>
        <w:right w:val="none" w:sz="0" w:space="0" w:color="auto"/>
      </w:divBdr>
    </w:div>
    <w:div w:id="1254784464">
      <w:bodyDiv w:val="1"/>
      <w:marLeft w:val="0"/>
      <w:marRight w:val="0"/>
      <w:marTop w:val="0"/>
      <w:marBottom w:val="0"/>
      <w:divBdr>
        <w:top w:val="none" w:sz="0" w:space="0" w:color="auto"/>
        <w:left w:val="none" w:sz="0" w:space="0" w:color="auto"/>
        <w:bottom w:val="none" w:sz="0" w:space="0" w:color="auto"/>
        <w:right w:val="none" w:sz="0" w:space="0" w:color="auto"/>
      </w:divBdr>
    </w:div>
    <w:div w:id="1262493196">
      <w:bodyDiv w:val="1"/>
      <w:marLeft w:val="0"/>
      <w:marRight w:val="0"/>
      <w:marTop w:val="0"/>
      <w:marBottom w:val="0"/>
      <w:divBdr>
        <w:top w:val="none" w:sz="0" w:space="0" w:color="auto"/>
        <w:left w:val="none" w:sz="0" w:space="0" w:color="auto"/>
        <w:bottom w:val="none" w:sz="0" w:space="0" w:color="auto"/>
        <w:right w:val="none" w:sz="0" w:space="0" w:color="auto"/>
      </w:divBdr>
    </w:div>
    <w:div w:id="1338263215">
      <w:bodyDiv w:val="1"/>
      <w:marLeft w:val="0"/>
      <w:marRight w:val="0"/>
      <w:marTop w:val="0"/>
      <w:marBottom w:val="0"/>
      <w:divBdr>
        <w:top w:val="none" w:sz="0" w:space="0" w:color="auto"/>
        <w:left w:val="none" w:sz="0" w:space="0" w:color="auto"/>
        <w:bottom w:val="none" w:sz="0" w:space="0" w:color="auto"/>
        <w:right w:val="none" w:sz="0" w:space="0" w:color="auto"/>
      </w:divBdr>
    </w:div>
    <w:div w:id="1346445056">
      <w:bodyDiv w:val="1"/>
      <w:marLeft w:val="0"/>
      <w:marRight w:val="0"/>
      <w:marTop w:val="0"/>
      <w:marBottom w:val="0"/>
      <w:divBdr>
        <w:top w:val="none" w:sz="0" w:space="0" w:color="auto"/>
        <w:left w:val="none" w:sz="0" w:space="0" w:color="auto"/>
        <w:bottom w:val="none" w:sz="0" w:space="0" w:color="auto"/>
        <w:right w:val="none" w:sz="0" w:space="0" w:color="auto"/>
      </w:divBdr>
    </w:div>
    <w:div w:id="1427917561">
      <w:bodyDiv w:val="1"/>
      <w:marLeft w:val="0"/>
      <w:marRight w:val="0"/>
      <w:marTop w:val="0"/>
      <w:marBottom w:val="0"/>
      <w:divBdr>
        <w:top w:val="none" w:sz="0" w:space="0" w:color="auto"/>
        <w:left w:val="none" w:sz="0" w:space="0" w:color="auto"/>
        <w:bottom w:val="none" w:sz="0" w:space="0" w:color="auto"/>
        <w:right w:val="none" w:sz="0" w:space="0" w:color="auto"/>
      </w:divBdr>
    </w:div>
    <w:div w:id="1460487680">
      <w:bodyDiv w:val="1"/>
      <w:marLeft w:val="0"/>
      <w:marRight w:val="0"/>
      <w:marTop w:val="0"/>
      <w:marBottom w:val="0"/>
      <w:divBdr>
        <w:top w:val="none" w:sz="0" w:space="0" w:color="auto"/>
        <w:left w:val="none" w:sz="0" w:space="0" w:color="auto"/>
        <w:bottom w:val="none" w:sz="0" w:space="0" w:color="auto"/>
        <w:right w:val="none" w:sz="0" w:space="0" w:color="auto"/>
      </w:divBdr>
    </w:div>
    <w:div w:id="1462722921">
      <w:bodyDiv w:val="1"/>
      <w:marLeft w:val="0"/>
      <w:marRight w:val="0"/>
      <w:marTop w:val="0"/>
      <w:marBottom w:val="0"/>
      <w:divBdr>
        <w:top w:val="none" w:sz="0" w:space="0" w:color="auto"/>
        <w:left w:val="none" w:sz="0" w:space="0" w:color="auto"/>
        <w:bottom w:val="none" w:sz="0" w:space="0" w:color="auto"/>
        <w:right w:val="none" w:sz="0" w:space="0" w:color="auto"/>
      </w:divBdr>
    </w:div>
    <w:div w:id="1627390633">
      <w:bodyDiv w:val="1"/>
      <w:marLeft w:val="0"/>
      <w:marRight w:val="0"/>
      <w:marTop w:val="0"/>
      <w:marBottom w:val="0"/>
      <w:divBdr>
        <w:top w:val="none" w:sz="0" w:space="0" w:color="auto"/>
        <w:left w:val="none" w:sz="0" w:space="0" w:color="auto"/>
        <w:bottom w:val="none" w:sz="0" w:space="0" w:color="auto"/>
        <w:right w:val="none" w:sz="0" w:space="0" w:color="auto"/>
      </w:divBdr>
    </w:div>
    <w:div w:id="1693725744">
      <w:bodyDiv w:val="1"/>
      <w:marLeft w:val="0"/>
      <w:marRight w:val="0"/>
      <w:marTop w:val="0"/>
      <w:marBottom w:val="0"/>
      <w:divBdr>
        <w:top w:val="none" w:sz="0" w:space="0" w:color="auto"/>
        <w:left w:val="none" w:sz="0" w:space="0" w:color="auto"/>
        <w:bottom w:val="none" w:sz="0" w:space="0" w:color="auto"/>
        <w:right w:val="none" w:sz="0" w:space="0" w:color="auto"/>
      </w:divBdr>
    </w:div>
    <w:div w:id="1804469841">
      <w:bodyDiv w:val="1"/>
      <w:marLeft w:val="0"/>
      <w:marRight w:val="0"/>
      <w:marTop w:val="0"/>
      <w:marBottom w:val="0"/>
      <w:divBdr>
        <w:top w:val="none" w:sz="0" w:space="0" w:color="auto"/>
        <w:left w:val="none" w:sz="0" w:space="0" w:color="auto"/>
        <w:bottom w:val="none" w:sz="0" w:space="0" w:color="auto"/>
        <w:right w:val="none" w:sz="0" w:space="0" w:color="auto"/>
      </w:divBdr>
    </w:div>
    <w:div w:id="1809008622">
      <w:bodyDiv w:val="1"/>
      <w:marLeft w:val="0"/>
      <w:marRight w:val="0"/>
      <w:marTop w:val="0"/>
      <w:marBottom w:val="0"/>
      <w:divBdr>
        <w:top w:val="none" w:sz="0" w:space="0" w:color="auto"/>
        <w:left w:val="none" w:sz="0" w:space="0" w:color="auto"/>
        <w:bottom w:val="none" w:sz="0" w:space="0" w:color="auto"/>
        <w:right w:val="none" w:sz="0" w:space="0" w:color="auto"/>
      </w:divBdr>
    </w:div>
    <w:div w:id="1827892455">
      <w:bodyDiv w:val="1"/>
      <w:marLeft w:val="0"/>
      <w:marRight w:val="0"/>
      <w:marTop w:val="0"/>
      <w:marBottom w:val="0"/>
      <w:divBdr>
        <w:top w:val="none" w:sz="0" w:space="0" w:color="auto"/>
        <w:left w:val="none" w:sz="0" w:space="0" w:color="auto"/>
        <w:bottom w:val="none" w:sz="0" w:space="0" w:color="auto"/>
        <w:right w:val="none" w:sz="0" w:space="0" w:color="auto"/>
      </w:divBdr>
    </w:div>
    <w:div w:id="1929925753">
      <w:bodyDiv w:val="1"/>
      <w:marLeft w:val="0"/>
      <w:marRight w:val="0"/>
      <w:marTop w:val="0"/>
      <w:marBottom w:val="0"/>
      <w:divBdr>
        <w:top w:val="none" w:sz="0" w:space="0" w:color="auto"/>
        <w:left w:val="none" w:sz="0" w:space="0" w:color="auto"/>
        <w:bottom w:val="none" w:sz="0" w:space="0" w:color="auto"/>
        <w:right w:val="none" w:sz="0" w:space="0" w:color="auto"/>
      </w:divBdr>
    </w:div>
    <w:div w:id="1958099478">
      <w:bodyDiv w:val="1"/>
      <w:marLeft w:val="0"/>
      <w:marRight w:val="0"/>
      <w:marTop w:val="0"/>
      <w:marBottom w:val="0"/>
      <w:divBdr>
        <w:top w:val="none" w:sz="0" w:space="0" w:color="auto"/>
        <w:left w:val="none" w:sz="0" w:space="0" w:color="auto"/>
        <w:bottom w:val="none" w:sz="0" w:space="0" w:color="auto"/>
        <w:right w:val="none" w:sz="0" w:space="0" w:color="auto"/>
      </w:divBdr>
    </w:div>
    <w:div w:id="2126347352">
      <w:bodyDiv w:val="1"/>
      <w:marLeft w:val="0"/>
      <w:marRight w:val="0"/>
      <w:marTop w:val="0"/>
      <w:marBottom w:val="0"/>
      <w:divBdr>
        <w:top w:val="none" w:sz="0" w:space="0" w:color="auto"/>
        <w:left w:val="none" w:sz="0" w:space="0" w:color="auto"/>
        <w:bottom w:val="none" w:sz="0" w:space="0" w:color="auto"/>
        <w:right w:val="none" w:sz="0" w:space="0" w:color="auto"/>
      </w:divBdr>
    </w:div>
    <w:div w:id="21283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B1FA-40CD-4F3E-A352-3C96F25F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19501</Words>
  <Characters>111158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2018-01-31T02:22:00Z</dcterms:created>
  <dcterms:modified xsi:type="dcterms:W3CDTF">2018-01-31T02:22:00Z</dcterms:modified>
</cp:coreProperties>
</file>