
<file path=[Content_Types].xml><?xml version="1.0" encoding="utf-8"?>
<Types xmlns="http://schemas.openxmlformats.org/package/2006/content-types">
  <Override PartName="/word/webSettings.xml" ContentType="application/vnd.openxmlformats-officedocument.wordprocessingml.webSettings+xml"/>
  <Override PartName="/word/footnotes.xml" ContentType="application/vnd.openxmlformats-officedocument.wordprocessingml.footnotes+xml"/>
  <Override PartName="/word/stylesWithEffects.xml" ContentType="application/vnd.ms-word.stylesWithEffects+xml"/>
  <Override PartName="/word/header1.xml" ContentType="application/vnd.openxmlformats-officedocument.wordprocessingml.header+xml"/>
  <Override PartName="/word/endnotes.xml" ContentType="application/vnd.openxmlformats-officedocument.wordprocessingml.endnotes+xml"/>
  <Default Extension="png" ContentType="image/png"/>
  <Override PartName="/word/numbering.xml" ContentType="application/vnd.openxmlformats-officedocument.wordprocessingml.numbering+xml"/>
  <Override PartName="/word/fontTable.xml" ContentType="application/vnd.openxmlformats-officedocument.wordprocessingml.fontTable+xml"/>
  <Default Extension="xml" ContentType="application/xml"/>
  <Override PartName="/word/theme/theme1.xml" ContentType="application/vnd.openxmlformats-officedocument.theme+xml"/>
  <Override PartName="/word/footer1.xml" ContentType="application/vnd.openxmlformats-officedocument.wordprocessingml.footer+xml"/>
  <Override PartName="/docProps/app.xml" ContentType="application/vnd.openxmlformats-officedocument.extended-properties+xml"/>
  <Override PartName="/word/document.xml" ContentType="application/vnd.openxmlformats-officedocument.wordprocessingml.document.main+xml"/>
  <Override PartName="/word/header2.xml" ContentType="application/vnd.openxmlformats-officedocument.wordprocessingml.header+xml"/>
  <Default Extension="jpeg" ContentType="image/jpeg"/>
  <Override PartName="/word/settings.xml" ContentType="application/vnd.openxmlformats-officedocument.wordprocessingml.settings+xml"/>
  <Default Extension="rels" ContentType="application/vnd.openxmlformats-package.relationships+xml"/>
  <Override PartName="/word/styles.xml" ContentType="application/vnd.openxmlformats-officedocument.wordprocessingml.styles+xml"/>
  <Override PartName="/docProps/core.xml" ContentType="application/vnd.openxmlformats-package.core-properties+xml"/>
  <Override PartName="/word/footer2.xml" ContentType="application/vnd.openxmlformats-officedocument.wordprocessingml.footer+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32D" w:rsidRDefault="00E0132D">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Default="00105798">
      <w:pPr>
        <w:divId w:val="1422870910"/>
        <w:rPr>
          <w:rFonts w:eastAsia="Times New Roman" w:cs="Times New Roman"/>
          <w:color w:val="1D4A74"/>
        </w:rPr>
      </w:pPr>
    </w:p>
    <w:p w:rsidR="00105798" w:rsidRPr="00105798" w:rsidRDefault="00105798">
      <w:pPr>
        <w:divId w:val="1422870910"/>
        <w:rPr>
          <w:rFonts w:eastAsia="Times New Roman" w:cs="Times New Roman"/>
          <w:color w:val="1D4A74"/>
        </w:rPr>
      </w:pPr>
    </w:p>
    <w:p w:rsidR="00105798" w:rsidRPr="00F03BA1" w:rsidRDefault="00F03BA1" w:rsidP="00F03BA1">
      <w:pPr>
        <w:pStyle w:val="x00-cover-date"/>
        <w:divId w:val="753093417"/>
        <w:rPr>
          <w:rFonts w:cs="Times New Roman"/>
          <w:b w:val="0"/>
          <w:color w:val="FFFFFF" w:themeColor="background1"/>
          <w:sz w:val="52"/>
        </w:rPr>
      </w:pPr>
      <w:r w:rsidRPr="00F03BA1">
        <w:rPr>
          <w:rFonts w:cs="Times New Roman"/>
          <w:b w:val="0"/>
          <w:color w:val="FFFFFF" w:themeColor="background1"/>
          <w:sz w:val="52"/>
        </w:rPr>
        <w:t>Indicators</w:t>
      </w:r>
    </w:p>
    <w:p w:rsidR="00105798" w:rsidRDefault="00105798">
      <w:pPr>
        <w:pStyle w:val="x00-cover-date"/>
        <w:divId w:val="753093417"/>
        <w:rPr>
          <w:rFonts w:cs="Times New Roman"/>
        </w:rPr>
      </w:pPr>
    </w:p>
    <w:p w:rsidR="00105798" w:rsidRDefault="00105798">
      <w:pPr>
        <w:pStyle w:val="x00-cover-date"/>
        <w:divId w:val="753093417"/>
        <w:rPr>
          <w:rFonts w:cs="Times New Roman"/>
        </w:rPr>
      </w:pPr>
    </w:p>
    <w:p w:rsidR="00105798" w:rsidRDefault="00105798">
      <w:pPr>
        <w:pStyle w:val="x00-cover-date"/>
        <w:divId w:val="753093417"/>
        <w:rPr>
          <w:rFonts w:cs="Times New Roman"/>
        </w:rPr>
      </w:pPr>
    </w:p>
    <w:p w:rsidR="00105798" w:rsidRDefault="00105798" w:rsidP="00446FEA">
      <w:pPr>
        <w:pStyle w:val="x00-cover-date"/>
        <w:jc w:val="left"/>
        <w:divId w:val="753093417"/>
        <w:rPr>
          <w:rFonts w:cs="Times New Roman"/>
        </w:rPr>
      </w:pPr>
      <w:r>
        <w:rPr>
          <w:rFonts w:cs="Times New Roman"/>
        </w:rPr>
        <w:br/>
      </w:r>
    </w:p>
    <w:p w:rsidR="00105798" w:rsidRDefault="00105798">
      <w:pPr>
        <w:pStyle w:val="x00-cover-date"/>
        <w:divId w:val="753093417"/>
        <w:rPr>
          <w:rFonts w:cs="Times New Roman"/>
        </w:rPr>
      </w:pPr>
    </w:p>
    <w:p w:rsidR="00446FEA" w:rsidRDefault="00446FEA">
      <w:pPr>
        <w:pStyle w:val="x00-cover-date"/>
        <w:divId w:val="753093417"/>
        <w:rPr>
          <w:rFonts w:cs="Times New Roman"/>
        </w:rPr>
      </w:pPr>
    </w:p>
    <w:p w:rsidR="00E0132D" w:rsidRPr="00105798" w:rsidRDefault="00446FEA">
      <w:pPr>
        <w:pStyle w:val="x00-cover-date"/>
        <w:divId w:val="753093417"/>
        <w:rPr>
          <w:rFonts w:cs="Times New Roman"/>
        </w:rPr>
      </w:pPr>
      <w:r>
        <w:rPr>
          <w:rFonts w:cs="Times New Roman"/>
        </w:rPr>
        <w:br/>
      </w:r>
    </w:p>
    <w:p w:rsidR="009E3F64" w:rsidRDefault="00EC1EC9" w:rsidP="00F03BA1">
      <w:pPr>
        <w:rPr>
          <w:rStyle w:val="white"/>
          <w:b/>
          <w:color w:val="1D4A74"/>
          <w:sz w:val="44"/>
          <w:szCs w:val="44"/>
        </w:rPr>
      </w:pPr>
      <w:r>
        <w:rPr>
          <w:rFonts w:eastAsia="Times New Roman" w:cs="Times New Roman"/>
        </w:rPr>
        <w:br w:type="page"/>
      </w:r>
    </w:p>
    <w:p w:rsidR="00335EC6" w:rsidRPr="00335EC6" w:rsidRDefault="00335EC6" w:rsidP="00335EC6">
      <w:pPr>
        <w:pStyle w:val="00pagetopleft"/>
      </w:pPr>
      <w:r w:rsidRPr="00335EC6">
        <w:t>Antithrombotic therapy</w:t>
      </w:r>
    </w:p>
    <w:p w:rsidR="00335EC6" w:rsidRPr="00335EC6" w:rsidRDefault="00563638" w:rsidP="00563638">
      <w:pPr>
        <w:pStyle w:val="00pagetop2right"/>
      </w:pPr>
      <w:r>
        <w:t xml:space="preserve">QUM domain: </w:t>
      </w:r>
      <w:r w:rsidR="00335EC6" w:rsidRPr="00335EC6">
        <w:t xml:space="preserve">Judicious selection </w:t>
      </w:r>
    </w:p>
    <w:p w:rsidR="00265406" w:rsidRPr="00265406" w:rsidRDefault="00265406" w:rsidP="00265406">
      <w:pPr>
        <w:pStyle w:val="00IndicatorH1"/>
      </w:pPr>
      <w:r w:rsidRPr="00265406">
        <w:t>1.1</w:t>
      </w:r>
      <w:r w:rsidRPr="00265406">
        <w:t> </w:t>
      </w:r>
      <w:r w:rsidRPr="00265406">
        <w:t>Percentage of hospitalised adult patients that are assessed for risk of venous thromboembolism</w:t>
      </w:r>
    </w:p>
    <w:p w:rsidR="00E0132D" w:rsidRDefault="00AE21AC">
      <w:pPr>
        <w:pStyle w:val="x01-h2"/>
        <w:rPr>
          <w:rFonts w:cs="Times New Roman"/>
        </w:rPr>
      </w:pPr>
      <w:r>
        <w:rPr>
          <w:rFonts w:cs="Times New Roman"/>
        </w:rPr>
        <w:t>Purpose</w:t>
      </w:r>
    </w:p>
    <w:p w:rsidR="00E0132D" w:rsidRDefault="00AE21AC">
      <w:pPr>
        <w:pStyle w:val="x02-intro"/>
        <w:rPr>
          <w:rFonts w:cs="Times New Roman"/>
        </w:rPr>
      </w:pPr>
      <w:r>
        <w:rPr>
          <w:rFonts w:cs="Times New Roman"/>
        </w:rPr>
        <w:t xml:space="preserve">This indicator addresses the effectiveness of processes for preventing venous thromboembolism (VTE) in admitted patients. </w:t>
      </w:r>
    </w:p>
    <w:p w:rsidR="00E0132D" w:rsidRDefault="00AE21AC">
      <w:pPr>
        <w:pStyle w:val="x01-h2"/>
        <w:rPr>
          <w:rFonts w:cs="Times New Roman"/>
        </w:rPr>
      </w:pPr>
      <w:r>
        <w:rPr>
          <w:rFonts w:cs="Times New Roman"/>
        </w:rPr>
        <w:t>Background and evidence</w:t>
      </w:r>
    </w:p>
    <w:p w:rsidR="00E0132D" w:rsidRDefault="00AE21AC" w:rsidP="00265406">
      <w:pPr>
        <w:pStyle w:val="02Body"/>
      </w:pPr>
      <w:r>
        <w:t>Deep vein thrombosis and pulmonary embolism (collectively known as VTE) are major, potentially fatal complications of hospital admission. The incidence of VTE varies with age, medical condition, co-morbidities, type of surgery and duration of immobilisation.</w:t>
      </w:r>
      <w:r>
        <w:rPr>
          <w:rStyle w:val="x02-superscript"/>
        </w:rPr>
        <w:t>1</w:t>
      </w:r>
      <w:r>
        <w:t xml:space="preserve"> Both underuse and inappropriate use of VTE prophylaxis are recognised practice gaps in Australian hospitals</w:t>
      </w:r>
      <w:r>
        <w:rPr>
          <w:rStyle w:val="x02-superscript"/>
        </w:rPr>
        <w:t>2-4</w:t>
      </w:r>
      <w:r>
        <w:t xml:space="preserve"> and national initiatives have been developed to drive improvements in the use of VTE prophylaxis.</w:t>
      </w:r>
      <w:r>
        <w:rPr>
          <w:rStyle w:val="x02-superscript"/>
        </w:rPr>
        <w:t>6,7</w:t>
      </w:r>
    </w:p>
    <w:p w:rsidR="00E0132D" w:rsidRDefault="00AE21AC" w:rsidP="00265406">
      <w:pPr>
        <w:pStyle w:val="02Body"/>
      </w:pPr>
      <w:r>
        <w:t>The Australian Commission on Safety and Quality in Health Care recommends that hospitals develop a policy outlining standard processes, procedures and responsibilities for assessing all adult patients for VTE risk and guiding the selection of appropriate prophylactic measures.</w:t>
      </w:r>
      <w:r>
        <w:rPr>
          <w:rStyle w:val="x02-superscript"/>
        </w:rPr>
        <w:t>6</w:t>
      </w:r>
      <w:r>
        <w:t xml:space="preserve"> The policy should be approved by the local hospital drug and therapeutics committee, or other appropriate committee, and be informed by national recommendations such as those from the National Health and Medical Research Council.</w:t>
      </w:r>
      <w:r>
        <w:rPr>
          <w:rStyle w:val="x02-superscript"/>
        </w:rPr>
        <w:t>7</w:t>
      </w:r>
      <w:r>
        <w:t xml:space="preserve"> Use of locally agreed processes for assessing and documenting VTE and bleeding risks in all adult patients, and locally agreed recommendations for the use of VTE prophylaxis may assist implementation of best practice. </w:t>
      </w:r>
    </w:p>
    <w:p w:rsidR="00E0132D" w:rsidRDefault="00AE21AC" w:rsidP="00265406">
      <w:pPr>
        <w:pStyle w:val="02Body"/>
      </w:pPr>
      <w:r>
        <w:t>VTE risk assessment should be clearly documented in the medical record or, where applicable, on the inpatient medication chart, together with the appropriate prophylactic measures taken to minimise the risk of VTE. Ideally, the format and location for documentation should be standardised at a hospital level.</w:t>
      </w:r>
    </w:p>
    <w:p w:rsidR="00E0132D" w:rsidRDefault="00AE21AC">
      <w:pPr>
        <w:pStyle w:val="x01-h2"/>
        <w:rPr>
          <w:rFonts w:cs="Times New Roman"/>
        </w:rPr>
      </w:pPr>
      <w:r>
        <w:rPr>
          <w:rFonts w:cs="Times New Roman"/>
        </w:rPr>
        <w:t>Key definitions</w:t>
      </w:r>
    </w:p>
    <w:p w:rsidR="00E0132D" w:rsidRDefault="00AE21AC" w:rsidP="00265406">
      <w:pPr>
        <w:pStyle w:val="02Body"/>
      </w:pPr>
      <w:r>
        <w:rPr>
          <w:rStyle w:val="x02-body-bold"/>
        </w:rPr>
        <w:t>Hospitalised adult patients</w:t>
      </w:r>
      <w:r>
        <w:t xml:space="preserve"> refers to all patients aged 18 years and over who have a length of stay in hospital greater than 24 hours from the time of their initial presentation.</w:t>
      </w:r>
    </w:p>
    <w:p w:rsidR="00E0132D" w:rsidRDefault="00AE21AC" w:rsidP="00265406">
      <w:pPr>
        <w:pStyle w:val="02Body"/>
      </w:pPr>
      <w:r>
        <w:rPr>
          <w:rStyle w:val="x02-body-bold"/>
        </w:rPr>
        <w:t>Assessed for risk of venous thromboembolism</w:t>
      </w:r>
      <w:r>
        <w:t xml:space="preserve"> means that there is explicit documentation of a risk assessment and decision to use or to not use preventative measures by balancing the number and type of risk factors against risk of bleeding. This should be documented in the medical record, on the inpatient medication chart or in another designated place as determined by local policy. The assessment should be dated no later than the end of the calendar day following hospitalisation. </w:t>
      </w:r>
    </w:p>
    <w:p w:rsidR="00E0132D" w:rsidRDefault="00AE21AC">
      <w:pPr>
        <w:pStyle w:val="x01-h2"/>
        <w:rPr>
          <w:rFonts w:cs="Times New Roman"/>
        </w:rPr>
      </w:pPr>
      <w:r>
        <w:rPr>
          <w:rFonts w:cs="Times New Roman"/>
        </w:rPr>
        <w:t>Data collection for local use</w:t>
      </w:r>
    </w:p>
    <w:p w:rsidR="00E0132D" w:rsidRDefault="00AE21AC" w:rsidP="00265406">
      <w:pPr>
        <w:pStyle w:val="02Body"/>
      </w:pPr>
      <w:r>
        <w:t xml:space="preserve">Please refer to the section </w:t>
      </w:r>
      <w:r>
        <w:rPr>
          <w:rStyle w:val="x02-body-italic"/>
        </w:rPr>
        <w:t>Using the National Quality Use of Medicines Indicators for Australian Hospitals</w:t>
      </w:r>
      <w:r>
        <w:t xml:space="preserve"> for guidance on sample selection, sample size, measurement frequency and other considerations. </w:t>
      </w:r>
    </w:p>
    <w:p w:rsidR="00E0132D" w:rsidRDefault="00AE21AC" w:rsidP="00265406">
      <w:pPr>
        <w:pStyle w:val="02Body"/>
      </w:pPr>
      <w:r>
        <w:rPr>
          <w:rStyle w:val="x02-body-bold"/>
        </w:rPr>
        <w:t>Inclusion criteria:</w:t>
      </w:r>
      <w:r>
        <w:t xml:space="preserve"> Patients aged 18 years and over admitted to hospital or the emergency department.</w:t>
      </w:r>
    </w:p>
    <w:p w:rsidR="00E0132D" w:rsidRDefault="00AE21AC" w:rsidP="00265406">
      <w:pPr>
        <w:pStyle w:val="02Body"/>
      </w:pPr>
      <w:r>
        <w:rPr>
          <w:rStyle w:val="x02-body-bold"/>
        </w:rPr>
        <w:t>Exclusion criteria:</w:t>
      </w:r>
      <w:r>
        <w:t xml:space="preserve"> Patients with length of stay less than 24 hours from the time of initial presentation.</w:t>
      </w:r>
    </w:p>
    <w:p w:rsidR="00E0132D" w:rsidRDefault="00AE21AC" w:rsidP="00265406">
      <w:pPr>
        <w:pStyle w:val="02Body"/>
      </w:pPr>
      <w:r>
        <w:rPr>
          <w:rStyle w:val="x02-body-bold"/>
        </w:rPr>
        <w:t>Recommended data sources:</w:t>
      </w:r>
      <w:r>
        <w:t xml:space="preserve"> Medical records and inpatient medication charts where applicable.</w:t>
      </w:r>
    </w:p>
    <w:p w:rsidR="00E0132D" w:rsidRDefault="00AE21AC" w:rsidP="00265406">
      <w:pPr>
        <w:pStyle w:val="02Body"/>
      </w:pPr>
      <w:r>
        <w:t>The data collection tool for QUM Indicator 1.1 assists data collection and indicator calculation.</w:t>
      </w:r>
    </w:p>
    <w:p w:rsidR="00E0132D" w:rsidRDefault="00AE21AC">
      <w:pPr>
        <w:pStyle w:val="x01-h2"/>
        <w:rPr>
          <w:rFonts w:cs="Times New Roman"/>
        </w:rPr>
      </w:pPr>
      <w:r>
        <w:rPr>
          <w:rFonts w:cs="Times New Roman"/>
        </w:rPr>
        <w:t>Data collection for inter-hospital comparison</w:t>
      </w:r>
    </w:p>
    <w:p w:rsidR="00E0132D" w:rsidRDefault="00AE21AC" w:rsidP="00265406">
      <w:pPr>
        <w:pStyle w:val="02Body"/>
      </w:pPr>
      <w:r>
        <w:t xml:space="preserve">This indicator may be suitable for inter-hospital comparison. In this case, definitions, sampling methods and guidelines for audit and reporting need to be agreed in advance in consultation with the coordinating agency. </w:t>
      </w:r>
    </w:p>
    <w:p w:rsidR="00E0132D" w:rsidRDefault="00AE21AC">
      <w:pPr>
        <w:pStyle w:val="x01-h2"/>
        <w:rPr>
          <w:rFonts w:cs="Times New Roman"/>
        </w:rPr>
      </w:pPr>
      <w:r>
        <w:rPr>
          <w:rFonts w:cs="Times New Roman"/>
        </w:rPr>
        <w:t>Indicator calculation</w:t>
      </w:r>
    </w:p>
    <w:p w:rsidR="00E0132D" w:rsidRDefault="00265406">
      <w:pPr>
        <w:pStyle w:val="x01-h2"/>
        <w:rPr>
          <w:rFonts w:cs="Times New Roman"/>
        </w:rPr>
      </w:pPr>
      <w:r>
        <w:rPr>
          <w:rFonts w:cs="Times New Roman"/>
          <w:noProof/>
          <w:lang w:val="en-US"/>
        </w:rPr>
        <w:drawing>
          <wp:inline distT="0" distB="0" distL="0" distR="0">
            <wp:extent cx="1795272" cy="652272"/>
            <wp:effectExtent l="0" t="0" r="8255" b="825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culation_v2.png"/>
                    <pic:cNvPicPr/>
                  </pic:nvPicPr>
                  <pic:blipFill>
                    <a:blip r:embed="rId7">
                      <a:extLst>
                        <a:ext uri="{28A0092B-C50C-407E-A947-70E740481C1C}">
                          <a14:useLocalDpi xmlns:ve="http://schemas.openxmlformats.org/markup-compatibility/2006"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tretch>
                      <a:fillRect/>
                    </a:stretch>
                  </pic:blipFill>
                  <pic:spPr>
                    <a:xfrm>
                      <a:off x="0" y="0"/>
                      <a:ext cx="1795272" cy="652272"/>
                    </a:xfrm>
                    <a:prstGeom prst="rect">
                      <a:avLst/>
                    </a:prstGeom>
                  </pic:spPr>
                </pic:pic>
              </a:graphicData>
            </a:graphic>
          </wp:inline>
        </w:drawing>
      </w:r>
    </w:p>
    <w:p w:rsidR="00E0132D" w:rsidRDefault="00AE21AC" w:rsidP="00265406">
      <w:pPr>
        <w:pStyle w:val="02Body"/>
      </w:pPr>
      <w:r>
        <w:rPr>
          <w:rStyle w:val="x02-body-bold"/>
        </w:rPr>
        <w:t>Numerator</w:t>
      </w:r>
      <w:r>
        <w:t xml:space="preserve"> = Number of adult patients that have a documented VTE risk assessment</w:t>
      </w:r>
    </w:p>
    <w:p w:rsidR="00E0132D" w:rsidRDefault="00AE21AC" w:rsidP="00265406">
      <w:pPr>
        <w:pStyle w:val="02Body"/>
      </w:pPr>
      <w:r>
        <w:rPr>
          <w:rStyle w:val="x02-body-bold"/>
        </w:rPr>
        <w:t>Denominator</w:t>
      </w:r>
      <w:r>
        <w:t xml:space="preserve"> = Number of adult patients in sample</w:t>
      </w:r>
    </w:p>
    <w:p w:rsidR="00E0132D" w:rsidRDefault="00AE21AC">
      <w:pPr>
        <w:pStyle w:val="x01-h2"/>
        <w:rPr>
          <w:rFonts w:cs="Times New Roman"/>
        </w:rPr>
      </w:pPr>
      <w:r>
        <w:rPr>
          <w:rFonts w:cs="Times New Roman"/>
        </w:rPr>
        <w:t>Limitations and interpretation</w:t>
      </w:r>
    </w:p>
    <w:p w:rsidR="00E0132D" w:rsidRDefault="00AE21AC" w:rsidP="00265406">
      <w:pPr>
        <w:pStyle w:val="02Body"/>
      </w:pPr>
      <w:r>
        <w:t>Performing a VTE risk assessment is essential to guide the judicious and appropriate use of VTE prophylaxis. See </w:t>
      </w:r>
      <w:r>
        <w:rPr>
          <w:rStyle w:val="x02-body-italic"/>
        </w:rPr>
        <w:t>Indicator 1.2: Percentage of hospitalised adult patients that receive venous thromboembolism prophylaxis appropriate to their level of risk</w:t>
      </w:r>
      <w:r>
        <w:t xml:space="preserve"> for further information regarding the use of VTE prophylaxis. It is recommended that Indicators 1.1 and 1.2 are collected concurrently where possible.</w:t>
      </w:r>
    </w:p>
    <w:p w:rsidR="00E0132D" w:rsidRDefault="00AE21AC" w:rsidP="00265406">
      <w:pPr>
        <w:pStyle w:val="02Body"/>
      </w:pPr>
      <w:r>
        <w:t>It is recommended that data for different patient groups (e.g. medical, surgical, obstetrics) can be identified separately in order to inform post-audit interventions.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CF1F6"/>
        <w:tblCellMar>
          <w:top w:w="57" w:type="dxa"/>
          <w:bottom w:w="57" w:type="dxa"/>
        </w:tblCellMar>
        <w:tblLook w:val="04A0"/>
      </w:tblPr>
      <w:tblGrid>
        <w:gridCol w:w="10132"/>
      </w:tblGrid>
      <w:tr w:rsidR="00265406">
        <w:tc>
          <w:tcPr>
            <w:tcW w:w="10132" w:type="dxa"/>
            <w:shd w:val="clear" w:color="auto" w:fill="DCF1F6"/>
          </w:tcPr>
          <w:p w:rsidR="00265406" w:rsidRDefault="00265406" w:rsidP="00265406">
            <w:pPr>
              <w:pStyle w:val="x01-h2"/>
              <w:rPr>
                <w:rFonts w:cs="Times New Roman"/>
              </w:rPr>
            </w:pPr>
            <w:r>
              <w:rPr>
                <w:rFonts w:cs="Times New Roman"/>
              </w:rPr>
              <w:t>Further information</w:t>
            </w:r>
          </w:p>
          <w:p w:rsidR="00265406" w:rsidRDefault="00265406" w:rsidP="00265406">
            <w:pPr>
              <w:pStyle w:val="NormalWeb"/>
            </w:pPr>
            <w:r>
              <w:t>NSW TAG’s position statement on Safe Use of Heparins and Oral Anticoagulants for Venous Thromboembolism Prophylaxis in Adults may assist hospitals with development of policies and guidelines on the use of VTE prophylaxis.</w:t>
            </w:r>
            <w:r>
              <w:rPr>
                <w:rStyle w:val="x02-superscript"/>
              </w:rPr>
              <w:t>8</w:t>
            </w:r>
          </w:p>
          <w:p w:rsidR="00265406" w:rsidRDefault="00265406" w:rsidP="00265406">
            <w:pPr>
              <w:pStyle w:val="NormalWeb"/>
            </w:pPr>
            <w:r>
              <w:t>The National Health and Medical Research Council’s Stop the Clot program</w:t>
            </w:r>
            <w:r>
              <w:rPr>
                <w:rStyle w:val="x02-superscript"/>
              </w:rPr>
              <w:t>5</w:t>
            </w:r>
            <w:r>
              <w:t xml:space="preserve"> assists organisations to integrate VTE prevention guidelines into routine hospital care </w:t>
            </w:r>
            <w:hyperlink r:id="rId8" w:history="1">
              <w:r w:rsidRPr="00265406">
                <w:rPr>
                  <w:rStyle w:val="x02-url"/>
                </w:rPr>
                <w:t>www.nhmrc.gov.au/nics</w:t>
              </w:r>
            </w:hyperlink>
            <w:r>
              <w:t>. A number of resources are also available from the Australian Commission on Safety and Quality in Health Care’s VTE Prevention Resource Centre</w:t>
            </w:r>
            <w:r>
              <w:rPr>
                <w:rStyle w:val="x02-superscript"/>
              </w:rPr>
              <w:t>6</w:t>
            </w:r>
            <w:r>
              <w:t xml:space="preserve"> at </w:t>
            </w:r>
            <w:hyperlink r:id="rId9" w:history="1">
              <w:r w:rsidRPr="00265406">
                <w:rPr>
                  <w:rStyle w:val="x02-url"/>
                </w:rPr>
                <w:t>www.safetyandquality.gov.au</w:t>
              </w:r>
            </w:hyperlink>
          </w:p>
          <w:p w:rsidR="00265406" w:rsidRDefault="00265406" w:rsidP="00265406">
            <w:pPr>
              <w:pStyle w:val="NormalWeb"/>
            </w:pPr>
            <w:r>
              <w:t xml:space="preserve">An e-learning module on prescribing VTE prophylaxis for clinicians is available from NPS MedicineWise at </w:t>
            </w:r>
            <w:hyperlink r:id="rId10" w:history="1">
              <w:r w:rsidRPr="00265406">
                <w:rPr>
                  <w:rStyle w:val="x02-url"/>
                </w:rPr>
                <w:t>http://learn.nps.org.au</w:t>
              </w:r>
            </w:hyperlink>
          </w:p>
          <w:p w:rsidR="00265406" w:rsidRDefault="00265406" w:rsidP="00265406">
            <w:pPr>
              <w:pStyle w:val="NormalWeb"/>
            </w:pPr>
            <w:r>
              <w:t>Medication Safety Self Assessment for Antithrombotic Therapy in Australian Hospitals</w:t>
            </w:r>
            <w:r>
              <w:rPr>
                <w:rStyle w:val="x02-superscript"/>
              </w:rPr>
              <w:t>9</w:t>
            </w:r>
            <w:r>
              <w:t xml:space="preserve"> (MSSA-AT) can help identify potential strategies for improvement with this and other indicators. MSSA-AT encourages development of robust systems for safe prescribing, dispensing, administration and monitoring of antithrombotic therapy. MSSA-AT is available at </w:t>
            </w:r>
            <w:hyperlink r:id="rId11" w:history="1">
              <w:r w:rsidRPr="00265406">
                <w:rPr>
                  <w:rStyle w:val="x02-url"/>
                </w:rPr>
                <w:t>www.cec.health.nsw.gov.au</w:t>
              </w:r>
            </w:hyperlink>
          </w:p>
          <w:p w:rsidR="00265406" w:rsidRDefault="00265406" w:rsidP="00446FEA">
            <w:pPr>
              <w:pStyle w:val="NormalWeb"/>
            </w:pPr>
            <w:r>
              <w:t>This indicator can be used to assist hospitals in meeting the National Safety and Quality Health Service Standard 1 [items 1.2.1, 1.2.2, 1.5.2, 1.6.1, 1.6.2, 1.7.2, 1.8.1,] and Standard 4 [items 4.2.1, 4.2.2, 4.5.1, 4.5.2, 4.11.1].</w:t>
            </w:r>
            <w:r>
              <w:rPr>
                <w:rStyle w:val="x02-superscript"/>
              </w:rPr>
              <w:t>10</w:t>
            </w:r>
          </w:p>
        </w:tc>
      </w:tr>
    </w:tbl>
    <w:p w:rsidR="00265406" w:rsidRDefault="00265406">
      <w:pPr>
        <w:spacing w:after="0"/>
        <w:rPr>
          <w:rFonts w:eastAsia="Times New Roman" w:cs="HelveticaNeue-Light"/>
          <w:color w:val="000000"/>
          <w:spacing w:val="4"/>
          <w:szCs w:val="18"/>
          <w:lang w:val="en-GB"/>
        </w:rPr>
      </w:pPr>
      <w:r>
        <w:br w:type="page"/>
      </w:r>
    </w:p>
    <w:p w:rsidR="00E0132D" w:rsidRDefault="00AE21AC">
      <w:pPr>
        <w:pStyle w:val="x04-footnotes"/>
        <w:rPr>
          <w:rFonts w:cs="Times New Roman"/>
        </w:rPr>
      </w:pPr>
      <w:r>
        <w:rPr>
          <w:rStyle w:val="x02-body-bold"/>
          <w:rFonts w:cs="Times New Roman"/>
        </w:rPr>
        <w:t>References</w:t>
      </w:r>
    </w:p>
    <w:p w:rsidR="00E0132D" w:rsidRDefault="00AE21AC" w:rsidP="00B45F6B">
      <w:pPr>
        <w:pStyle w:val="x04-footnotes"/>
        <w:ind w:left="142" w:hanging="142"/>
      </w:pPr>
      <w:r>
        <w:t>1. The Incidence and Risk Factors for Venous Thromboembolism in Hospitals in Western Australia 1999-2001 Prepared by The School of Population Health, University of Western Australia. Melbourne. National Institute of Clinical Studies, 2005.</w:t>
      </w:r>
    </w:p>
    <w:p w:rsidR="00E0132D" w:rsidRDefault="00AE21AC" w:rsidP="00B45F6B">
      <w:pPr>
        <w:pStyle w:val="x04-footnotes"/>
        <w:ind w:left="142" w:hanging="142"/>
      </w:pPr>
      <w:r>
        <w:t>2. National Institute of Clinical Studies. Evidence-Practice Report Volume 1:A Review of Developments:2004-2007. Canberra: National Health and Medical Research Council, 2008</w:t>
      </w:r>
    </w:p>
    <w:p w:rsidR="00E0132D" w:rsidRDefault="00AE21AC" w:rsidP="00B45F6B">
      <w:pPr>
        <w:pStyle w:val="x04-footnotes"/>
        <w:ind w:left="142" w:hanging="142"/>
      </w:pPr>
      <w:r>
        <w:t>3. Millar JA. Selection of medical patients for prophylaxis of venous thromboembolism based on analysis of the benefit-hazard ratio. Intern Med J 2009; 39: 606-612.</w:t>
      </w:r>
    </w:p>
    <w:p w:rsidR="00E0132D" w:rsidRDefault="00AE21AC" w:rsidP="00B45F6B">
      <w:pPr>
        <w:pStyle w:val="x04-footnotes"/>
        <w:ind w:left="142" w:hanging="142"/>
      </w:pPr>
      <w:r>
        <w:t>4. Millar JA, Lett JE, Bagley LJ, et al. Eligibility for medical thromboprophylaxis based on risk-factor weights, and clinical thrombotic event rates. Med J Aust 2012; 196: 457-461.</w:t>
      </w:r>
    </w:p>
    <w:p w:rsidR="00E0132D" w:rsidRDefault="00AE21AC" w:rsidP="00B45F6B">
      <w:pPr>
        <w:pStyle w:val="x04-footnotes"/>
        <w:ind w:left="142" w:hanging="142"/>
      </w:pPr>
      <w:r>
        <w:t>5. Stop the Clot. Integrating VTE prevention guideline recommendations into routine hospital care, 3rd edn: National Health and Medical Research Council, 2011.</w:t>
      </w:r>
    </w:p>
    <w:p w:rsidR="00E0132D" w:rsidRDefault="00AE21AC" w:rsidP="00B45F6B">
      <w:pPr>
        <w:pStyle w:val="x04-footnotes"/>
        <w:ind w:left="142" w:hanging="142"/>
      </w:pPr>
      <w:r>
        <w:t xml:space="preserve">6. VTE Prevention Resource Centre. Australian Commission on Safety and Quality in Health Care. </w:t>
      </w:r>
      <w:r>
        <w:br/>
      </w:r>
      <w:r>
        <w:rPr>
          <w:rStyle w:val="x02-body-bold"/>
          <w:rFonts w:cs="Times New Roman"/>
        </w:rPr>
        <w:t>www.safetyandquality.gov.au/our-work/medication-safety/vte-prevention-resource-centre/</w:t>
      </w:r>
      <w:r>
        <w:t xml:space="preserve"> (Accessed 6 June 2014)</w:t>
      </w:r>
    </w:p>
    <w:p w:rsidR="00E0132D" w:rsidRDefault="00AE21AC" w:rsidP="00B45F6B">
      <w:pPr>
        <w:pStyle w:val="x04-footnotes"/>
        <w:ind w:left="142" w:hanging="142"/>
      </w:pPr>
      <w:r>
        <w:t xml:space="preserve">7. Clinical Practice Guideline for the Prevention </w:t>
      </w:r>
      <w:r w:rsidRPr="00265406">
        <w:rPr>
          <w:vertAlign w:val="subscript"/>
        </w:rPr>
        <w:t>of</w:t>
      </w:r>
      <w:r>
        <w:t xml:space="preserve"> Venous Thromboembolism (Deep Vein Thrombosis and Pulmonary Embolism) in Patients Admitted to Australian Public Hospitals. National Health and Medical Research Council, 2009.</w:t>
      </w:r>
    </w:p>
    <w:p w:rsidR="00E0132D" w:rsidRDefault="00AE21AC" w:rsidP="00B45F6B">
      <w:pPr>
        <w:pStyle w:val="x04-footnotes"/>
        <w:ind w:left="142" w:hanging="142"/>
      </w:pPr>
      <w:r>
        <w:t>8. Safe Use of Heparins and Oral Anticoagulants for Venous Thromboembolism Prophylaxis in Adults. Position statement. NSW Therapeutic Advisory Group, 2010.</w:t>
      </w:r>
    </w:p>
    <w:p w:rsidR="00E0132D" w:rsidRDefault="00AE21AC" w:rsidP="00B45F6B">
      <w:pPr>
        <w:pStyle w:val="x04-footnotes"/>
        <w:ind w:left="142" w:hanging="142"/>
      </w:pPr>
      <w:r>
        <w:t xml:space="preserve">9. Medication Safety Self Assessment for Antithrombotic Therapy in Australian Hospitals. Institute for Safe Medication Practices USA (Adapted for Australian use by NSW Therapeutic Advisory Group and the Clinical Excellence Commission), 2007. </w:t>
      </w:r>
    </w:p>
    <w:p w:rsidR="00E0132D" w:rsidRDefault="00AE21AC" w:rsidP="00265406">
      <w:pPr>
        <w:pStyle w:val="x04-footnotes"/>
      </w:pPr>
      <w:r>
        <w:t xml:space="preserve">10. Australian Commission on Safety and Quality in Health Care. National Safety and Quality Health Service Standards. Sydney, ACSQHC, 2012. </w:t>
      </w:r>
    </w:p>
    <w:p w:rsidR="00E0132D" w:rsidRPr="008B244E" w:rsidRDefault="00AE21AC" w:rsidP="008B244E">
      <w:pPr>
        <w:pStyle w:val="x01-h5"/>
        <w:rPr>
          <w:color w:val="FFFFFF" w:themeColor="background1"/>
        </w:rPr>
      </w:pPr>
      <w:r w:rsidRPr="008B244E">
        <w:rPr>
          <w:rStyle w:val="white"/>
          <w:rFonts w:cs="Times New Roman"/>
          <w:color w:val="FFFFFF" w:themeColor="background1"/>
        </w:rPr>
        <w:t>nd Quality in Health Care</w:t>
      </w:r>
    </w:p>
    <w:p w:rsidR="008B244E" w:rsidRPr="008B244E" w:rsidRDefault="00AE21AC" w:rsidP="008B244E">
      <w:pPr>
        <w:pStyle w:val="NormalWeb"/>
        <w:spacing w:before="0" w:after="0"/>
        <w:rPr>
          <w:rStyle w:val="white"/>
          <w:rFonts w:cstheme="minorBidi"/>
          <w:spacing w:val="0"/>
          <w:sz w:val="22"/>
          <w:szCs w:val="22"/>
        </w:rPr>
      </w:pPr>
      <w:r w:rsidRPr="008B244E">
        <w:rPr>
          <w:rStyle w:val="white"/>
          <w:color w:val="FFFFFF" w:themeColor="background1"/>
        </w:rPr>
        <w:t>Level 5, 255 Elizabeth St, Sydney NSW 2001</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GPO Box 5480, Sydney NSW 2001</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Phone: (02) 9126 3600 (international +61 2 9126 3600)</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Fax: (02) 9126 3613 (international +61 2 9126 3613)</w:t>
      </w:r>
    </w:p>
    <w:p w:rsidR="008B244E" w:rsidRPr="008B244E" w:rsidRDefault="00AE21AC" w:rsidP="008B244E">
      <w:pPr>
        <w:pStyle w:val="NormalWeb"/>
        <w:spacing w:before="0" w:after="0"/>
        <w:rPr>
          <w:rStyle w:val="white"/>
        </w:rPr>
      </w:pPr>
      <w:r w:rsidRPr="008B244E">
        <w:rPr>
          <w:rStyle w:val="white"/>
          <w:color w:val="FFFFFF" w:themeColor="background1"/>
        </w:rPr>
        <w:t>Email: mail@safetyandquality.gov.au</w:t>
      </w:r>
    </w:p>
    <w:p w:rsidR="00E0132D" w:rsidRPr="008B244E" w:rsidRDefault="00A737D2" w:rsidP="008B244E">
      <w:pPr>
        <w:pStyle w:val="NormalWeb"/>
        <w:spacing w:before="0" w:after="240"/>
        <w:rPr>
          <w:rStyle w:val="x02-url"/>
        </w:rPr>
      </w:pPr>
      <w:hyperlink r:id="rId12" w:history="1">
        <w:r w:rsidR="00AE21AC" w:rsidRPr="008B244E">
          <w:rPr>
            <w:rStyle w:val="x02-url"/>
            <w:color w:val="FFFFFF" w:themeColor="background1"/>
          </w:rPr>
          <w:t>www.safetyandquality.gov.au</w:t>
        </w:r>
      </w:hyperlink>
    </w:p>
    <w:p w:rsidR="00E0132D" w:rsidRPr="008B244E" w:rsidRDefault="00AE21AC" w:rsidP="008B244E">
      <w:pPr>
        <w:pStyle w:val="x01-h5"/>
        <w:rPr>
          <w:color w:val="FFFFFF" w:themeColor="background1"/>
        </w:rPr>
      </w:pPr>
      <w:r w:rsidRPr="008B244E">
        <w:rPr>
          <w:rStyle w:val="white"/>
          <w:rFonts w:cs="Times New Roman"/>
          <w:color w:val="FFFFFF" w:themeColor="background1"/>
        </w:rPr>
        <w:t>NSW Therapeutic Advisory Group Inc</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26 Leichhardt St, Darlinghurst NSW 2010</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PO Box 766, Darlinghurst NSW 2010</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Phone: (02) 8382 2852 (international +61 2 8382 2852)</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Fax: (02) 8382 3529 (international +61 2 8382 3529)</w:t>
      </w:r>
    </w:p>
    <w:p w:rsidR="008B244E" w:rsidRPr="008B244E" w:rsidRDefault="00AE21AC" w:rsidP="008B244E">
      <w:pPr>
        <w:pStyle w:val="NormalWeb"/>
        <w:spacing w:before="0" w:after="0"/>
        <w:rPr>
          <w:color w:val="FFFFFF" w:themeColor="background1"/>
        </w:rPr>
      </w:pPr>
      <w:r w:rsidRPr="008B244E">
        <w:rPr>
          <w:rStyle w:val="white"/>
          <w:color w:val="FFFFFF" w:themeColor="background1"/>
        </w:rPr>
        <w:t>Email: nswtag@stvincents.com.au</w:t>
      </w:r>
    </w:p>
    <w:p w:rsidR="00E0132D" w:rsidRPr="008B244E" w:rsidRDefault="00A737D2" w:rsidP="008B244E">
      <w:pPr>
        <w:pStyle w:val="NormalWeb"/>
        <w:spacing w:before="0" w:after="0"/>
        <w:rPr>
          <w:rStyle w:val="x02-url"/>
        </w:rPr>
      </w:pPr>
      <w:hyperlink r:id="rId13" w:history="1">
        <w:r w:rsidR="00AE21AC" w:rsidRPr="008B244E">
          <w:rPr>
            <w:rStyle w:val="x02-url"/>
            <w:color w:val="FFFFFF" w:themeColor="background1"/>
          </w:rPr>
          <w:t>www.nswtag.org.au</w:t>
        </w:r>
      </w:hyperlink>
    </w:p>
    <w:sectPr w:rsidR="00E0132D" w:rsidRPr="008B244E" w:rsidSect="00EC1EC9">
      <w:headerReference w:type="default" r:id="rId14"/>
      <w:footerReference w:type="even" r:id="rId15"/>
      <w:footerReference w:type="default" r:id="rId16"/>
      <w:headerReference w:type="first" r:id="rId17"/>
      <w:pgSz w:w="11901" w:h="16840"/>
      <w:pgMar w:top="3119" w:right="851" w:bottom="964" w:left="1134" w:header="709" w:footer="709" w:gutter="0"/>
      <w:cols w:space="708"/>
      <w:titlePg/>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3794" w:rsidRDefault="00C03794" w:rsidP="00EC1EC9">
      <w:r>
        <w:separator/>
      </w:r>
    </w:p>
  </w:endnote>
  <w:endnote w:type="continuationSeparator" w:id="0">
    <w:p w:rsidR="00C03794" w:rsidRDefault="00C03794" w:rsidP="00EC1EC9">
      <w:r>
        <w:continuationSeparator/>
      </w:r>
    </w:p>
  </w:endnote>
</w:endnotes>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ＭＳ 明朝">
    <w:charset w:val="4E"/>
    <w:family w:val="auto"/>
    <w:pitch w:val="variable"/>
    <w:sig w:usb0="00000001" w:usb1="00000000" w:usb2="01000407" w:usb3="00000000" w:csb0="00020000" w:csb1="00000000"/>
  </w:font>
  <w:font w:name="Calibri">
    <w:panose1 w:val="020F0502020204030204"/>
    <w:charset w:val="00"/>
    <w:family w:val="auto"/>
    <w:pitch w:val="variable"/>
    <w:sig w:usb0="00000003" w:usb1="00000000" w:usb2="00000000" w:usb3="00000000" w:csb0="00000001" w:csb1="00000000"/>
  </w:font>
  <w:font w:name="ＭＳ ゴシック">
    <w:charset w:val="4E"/>
    <w:family w:val="auto"/>
    <w:pitch w:val="variable"/>
    <w:sig w:usb0="00000001" w:usb1="00000000" w:usb2="01000407" w:usb3="00000000" w:csb0="00020000" w:csb1="00000000"/>
  </w:font>
  <w:font w:name="Times">
    <w:panose1 w:val="02000500000000000000"/>
    <w:charset w:val="00"/>
    <w:family w:val="auto"/>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HelveticaNeue-Light">
    <w:altName w:val="Helvetica Neue Light"/>
    <w:panose1 w:val="00000000000000000000"/>
    <w:charset w:val="00"/>
    <w:family w:val="swiss"/>
    <w:notTrueType/>
    <w:pitch w:val="default"/>
    <w:sig w:usb0="00000003" w:usb1="00000000" w:usb2="00000000" w:usb3="00000000" w:csb0="00000001" w:csb1="00000000"/>
  </w:font>
  <w:font w:name="Gotham-Bold">
    <w:altName w:val="Cambria"/>
    <w:panose1 w:val="00000000000000000000"/>
    <w:charset w:val="4D"/>
    <w:family w:val="auto"/>
    <w:notTrueType/>
    <w:pitch w:val="default"/>
    <w:sig w:usb0="00000003" w:usb1="00000000" w:usb2="00000000" w:usb3="00000000" w:csb0="00000001" w:csb1="00000000"/>
  </w:font>
  <w:font w:name="HelveticaNeue-Medium">
    <w:altName w:val="Helvetica Neue Medium"/>
    <w:panose1 w:val="00000000000000000000"/>
    <w:charset w:val="00"/>
    <w:family w:val="swiss"/>
    <w:notTrueType/>
    <w:pitch w:val="default"/>
    <w:sig w:usb0="00000003" w:usb1="00000000" w:usb2="00000000" w:usb3="00000000" w:csb0="00000001" w:csb1="00000000"/>
  </w:font>
  <w:font w:name="HelveticaNeue-LightItalic">
    <w:altName w:val="Helvetica Neue Light"/>
    <w:panose1 w:val="00000000000000000000"/>
    <w:charset w:val="4D"/>
    <w:family w:val="auto"/>
    <w:notTrueType/>
    <w:pitch w:val="default"/>
    <w:sig w:usb0="00000003" w:usb1="00000000" w:usb2="00000000" w:usb3="00000000" w:csb0="00000001" w:csb1="00000000"/>
  </w:font>
  <w:font w:name="Gotham-Book">
    <w:altName w:val="Cambria"/>
    <w:panose1 w:val="00000000000000000000"/>
    <w:charset w:val="4D"/>
    <w:family w:val="auto"/>
    <w:notTrueType/>
    <w:pitch w:val="default"/>
    <w:sig w:usb0="00000003" w:usb1="00000000" w:usb2="00000000" w:usb3="00000000" w:csb0="00000001" w:csb1="00000000"/>
  </w:font>
  <w:font w:name="Gotham-Medium">
    <w:altName w:val="Cambria"/>
    <w:panose1 w:val="00000000000000000000"/>
    <w:charset w:val="4D"/>
    <w:family w:val="auto"/>
    <w:notTrueType/>
    <w:pitch w:val="default"/>
    <w:sig w:usb0="00000003" w:usb1="00000000" w:usb2="00000000" w:usb3="00000000" w:csb0="00000001" w:csb1="00000000"/>
  </w:font>
  <w:font w:name="Gotham-Light">
    <w:altName w:val="Cambria"/>
    <w:panose1 w:val="00000000000000000000"/>
    <w:charset w:val="4D"/>
    <w:family w:val="auto"/>
    <w:notTrueType/>
    <w:pitch w:val="default"/>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3794" w:rsidRDefault="00A737D2" w:rsidP="00105798">
    <w:pPr>
      <w:pStyle w:val="Footer"/>
      <w:framePr w:wrap="around" w:vAnchor="text" w:hAnchor="margin" w:xAlign="right" w:y="1"/>
      <w:rPr>
        <w:rStyle w:val="PageNumber"/>
      </w:rPr>
    </w:pPr>
    <w:r>
      <w:rPr>
        <w:rStyle w:val="PageNumber"/>
      </w:rPr>
      <w:fldChar w:fldCharType="begin"/>
    </w:r>
    <w:r w:rsidR="00C03794">
      <w:rPr>
        <w:rStyle w:val="PageNumber"/>
      </w:rPr>
      <w:instrText xml:space="preserve">PAGE  </w:instrText>
    </w:r>
    <w:r>
      <w:rPr>
        <w:rStyle w:val="PageNumber"/>
      </w:rPr>
      <w:fldChar w:fldCharType="end"/>
    </w:r>
  </w:p>
  <w:p w:rsidR="00C03794" w:rsidRDefault="00C03794" w:rsidP="00EC1EC9">
    <w:pPr>
      <w:pStyle w:val="Footer"/>
      <w:ind w:right="360"/>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3794" w:rsidRPr="00EC1EC9" w:rsidRDefault="00A737D2" w:rsidP="00EC1EC9">
    <w:pPr>
      <w:pStyle w:val="Footer"/>
      <w:framePr w:wrap="around" w:vAnchor="text" w:hAnchor="page" w:x="11035" w:y="280"/>
      <w:rPr>
        <w:rStyle w:val="PageNumber"/>
      </w:rPr>
    </w:pPr>
    <w:r w:rsidRPr="00EC1EC9">
      <w:rPr>
        <w:rStyle w:val="PageNumber"/>
      </w:rPr>
      <w:fldChar w:fldCharType="begin"/>
    </w:r>
    <w:r w:rsidR="00C03794" w:rsidRPr="00EC1EC9">
      <w:rPr>
        <w:rStyle w:val="PageNumber"/>
      </w:rPr>
      <w:instrText xml:space="preserve">PAGE  </w:instrText>
    </w:r>
    <w:r w:rsidRPr="00EC1EC9">
      <w:rPr>
        <w:rStyle w:val="PageNumber"/>
      </w:rPr>
      <w:fldChar w:fldCharType="separate"/>
    </w:r>
    <w:r w:rsidR="00C60284">
      <w:rPr>
        <w:rStyle w:val="PageNumber"/>
        <w:noProof/>
      </w:rPr>
      <w:t>2</w:t>
    </w:r>
    <w:r w:rsidRPr="00EC1EC9">
      <w:rPr>
        <w:rStyle w:val="PageNumber"/>
      </w:rPr>
      <w:fldChar w:fldCharType="end"/>
    </w:r>
  </w:p>
  <w:p w:rsidR="00C03794" w:rsidRDefault="00C03794" w:rsidP="00EC1EC9">
    <w:pPr>
      <w:pStyle w:val="03footer"/>
      <w:ind w:right="360"/>
    </w:pPr>
    <w:r>
      <w:br/>
    </w:r>
    <w:r w:rsidRPr="00EC1EC9">
      <w:t>National Quality Use of Medicines Indicators for Australian Hospitals 2014</w:t>
    </w: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3794" w:rsidRDefault="00C03794" w:rsidP="00EC1EC9">
      <w:r>
        <w:separator/>
      </w:r>
    </w:p>
  </w:footnote>
  <w:footnote w:type="continuationSeparator" w:id="0">
    <w:p w:rsidR="00C03794" w:rsidRDefault="00C03794" w:rsidP="00EC1EC9">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3794" w:rsidRDefault="00C03794">
    <w:pPr>
      <w:pStyle w:val="Header"/>
    </w:pPr>
    <w:r>
      <w:rPr>
        <w:noProof/>
        <w:lang w:val="en-US"/>
      </w:rPr>
      <w:drawing>
        <wp:anchor distT="0" distB="0" distL="114300" distR="114300" simplePos="0" relativeHeight="251658240" behindDoc="1" locked="0" layoutInCell="1" allowOverlap="1">
          <wp:simplePos x="0" y="0"/>
          <wp:positionH relativeFrom="column">
            <wp:posOffset>-800100</wp:posOffset>
          </wp:positionH>
          <wp:positionV relativeFrom="paragraph">
            <wp:posOffset>-527050</wp:posOffset>
          </wp:positionV>
          <wp:extent cx="7710221" cy="1063264"/>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png"/>
                  <pic:cNvPicPr/>
                </pic:nvPicPr>
                <pic:blipFill>
                  <a:blip r:embed="rId1">
                    <a:extLst>
                      <a:ext uri="{28A0092B-C50C-407E-A947-70E740481C1C}">
                        <a14:useLocalDpi xmlns:ve="http://schemas.openxmlformats.org/markup-compatibility/2006"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tretch>
                    <a:fillRect/>
                  </a:stretch>
                </pic:blipFill>
                <pic:spPr>
                  <a:xfrm>
                    <a:off x="0" y="0"/>
                    <a:ext cx="7710221" cy="1063264"/>
                  </a:xfrm>
                  <a:prstGeom prst="rect">
                    <a:avLst/>
                  </a:prstGeom>
                  <a:extLst>
                    <a:ext uri="{FAA26D3D-D897-4be2-8F04-BA451C77F1D7}">
                      <ma14:placeholderFlag xmlns:ve="http://schemas.openxmlformats.org/markup-compatibility/2006" xmlns:ma14="http://schemas.microsoft.com/office/mac/drawingml/2011/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v="urn:schemas-microsoft-com:mac:vml" xmlns:mc="http://schemas.openxmlformats.org/markup-compatibility/2006" xmlns:mo="http://schemas.microsoft.com/office/mac/office/2008/main" xmlns:wpc="http://schemas.microsoft.com/office/word/2010/wordprocessingCanvas" xmlns=""/>
                    </a:ext>
                  </a:extLst>
                </pic:spPr>
              </pic:pic>
            </a:graphicData>
          </a:graphic>
        </wp:anchor>
      </w:drawing>
    </w: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3794" w:rsidRDefault="00C03794">
    <w:pPr>
      <w:pStyle w:val="Header"/>
    </w:pPr>
    <w:r>
      <w:rPr>
        <w:noProof/>
        <w:lang w:val="en-US"/>
      </w:rPr>
      <w:drawing>
        <wp:anchor distT="0" distB="0" distL="114300" distR="114300" simplePos="0" relativeHeight="251659264" behindDoc="1" locked="0" layoutInCell="1" allowOverlap="1">
          <wp:simplePos x="0" y="0"/>
          <wp:positionH relativeFrom="column">
            <wp:posOffset>-685800</wp:posOffset>
          </wp:positionH>
          <wp:positionV relativeFrom="paragraph">
            <wp:posOffset>-412750</wp:posOffset>
          </wp:positionV>
          <wp:extent cx="7559040" cy="10692384"/>
          <wp:effectExtent l="0" t="0" r="10160" b="127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png"/>
                  <pic:cNvPicPr/>
                </pic:nvPicPr>
                <pic:blipFill>
                  <a:blip r:embed="rId1">
                    <a:extLst>
                      <a:ext uri="{28A0092B-C50C-407E-A947-70E740481C1C}">
                        <a14:useLocalDpi xmlns:ve="http://schemas.openxmlformats.org/markup-compatibility/2006"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tretch>
                    <a:fillRect/>
                  </a:stretch>
                </pic:blipFill>
                <pic:spPr>
                  <a:xfrm>
                    <a:off x="0" y="0"/>
                    <a:ext cx="7559040" cy="10692384"/>
                  </a:xfrm>
                  <a:prstGeom prst="rect">
                    <a:avLst/>
                  </a:prstGeom>
                  <a:extLst>
                    <a:ext uri="{FAA26D3D-D897-4be2-8F04-BA451C77F1D7}">
                      <ma14:placeholderFlag xmlns:ve="http://schemas.openxmlformats.org/markup-compatibility/2006" xmlns:ma14="http://schemas.microsoft.com/office/mac/drawingml/2011/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v="urn:schemas-microsoft-com:mac:vml" xmlns:mc="http://schemas.openxmlformats.org/markup-compatibility/2006" xmlns:mo="http://schemas.microsoft.com/office/mac/office/2008/main" xmlns:wpc="http://schemas.microsoft.com/office/word/2010/wordprocessingCanvas" xmlns=""/>
                    </a:ext>
                  </a:extLst>
                </pic:spPr>
              </pic:pic>
            </a:graphicData>
          </a:graphic>
        </wp:anchor>
      </w:drawing>
    </w: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411088"/>
    <w:multiLevelType w:val="multilevel"/>
    <w:tmpl w:val="C22E12CA"/>
    <w:lvl w:ilvl="0">
      <w:start w:val="1"/>
      <w:numFmt w:val="bullet"/>
      <w:pStyle w:val="02Bulletlevel3"/>
      <w:lvlText w:val=""/>
      <w:lvlJc w:val="left"/>
      <w:pPr>
        <w:ind w:left="2157" w:hanging="360"/>
      </w:pPr>
      <w:rPr>
        <w:rFonts w:ascii="Symbol" w:hAnsi="Symbol" w:hint="default"/>
        <w:color w:val="1D4A74"/>
        <w:sz w:val="20"/>
      </w:rPr>
    </w:lvl>
    <w:lvl w:ilvl="1">
      <w:start w:val="1"/>
      <w:numFmt w:val="bullet"/>
      <w:pStyle w:val="02Bulletlevel2"/>
      <w:lvlText w:val="o"/>
      <w:lvlJc w:val="left"/>
      <w:pPr>
        <w:tabs>
          <w:tab w:val="num" w:pos="1440"/>
        </w:tabs>
        <w:ind w:left="1440" w:hanging="360"/>
      </w:pPr>
      <w:rPr>
        <w:rFonts w:ascii="Courier New" w:hAnsi="Courier New" w:hint="default"/>
        <w:sz w:val="20"/>
      </w:rPr>
    </w:lvl>
    <w:lvl w:ilvl="2">
      <w:start w:val="1"/>
      <w:numFmt w:val="bullet"/>
      <w:pStyle w:val="02Bulletlevel3"/>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538642B"/>
    <w:multiLevelType w:val="hybridMultilevel"/>
    <w:tmpl w:val="2E060274"/>
    <w:lvl w:ilvl="0" w:tplc="E7D0CBA8">
      <w:start w:val="1"/>
      <w:numFmt w:val="bullet"/>
      <w:pStyle w:val="02Bulletlevel2"/>
      <w:lvlText w:val="–"/>
      <w:lvlJc w:val="left"/>
      <w:pPr>
        <w:ind w:left="1069" w:hanging="360"/>
      </w:pPr>
      <w:rPr>
        <w:rFonts w:ascii="Arial" w:hAnsi="Arial" w:hint="default"/>
        <w:color w:val="5E6263"/>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D3E55B4"/>
    <w:multiLevelType w:val="multilevel"/>
    <w:tmpl w:val="7BF61B4A"/>
    <w:lvl w:ilvl="0">
      <w:start w:val="1"/>
      <w:numFmt w:val="bullet"/>
      <w:pStyle w:val="02bullet"/>
      <w:lvlText w:val=""/>
      <w:lvlJc w:val="left"/>
      <w:pPr>
        <w:ind w:left="720" w:hanging="360"/>
      </w:pPr>
      <w:rPr>
        <w:rFonts w:ascii="Symbol" w:hAnsi="Symbol" w:hint="default"/>
        <w:color w:val="1D4A74"/>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IdMacAtCleanup w:val="6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oNotTrackMoves/>
  <w:defaultTabStop w:val="720"/>
  <w:noPunctuationKerning/>
  <w:characterSpacingControl w:val="doNotCompress"/>
  <w:savePreviewPicture/>
  <w:hdrShapeDefaults>
    <o:shapedefaults v:ext="edit" spidmax="2050"/>
  </w:hdrShapeDefaults>
  <w:footnotePr>
    <w:footnote w:id="-1"/>
    <w:footnote w:id="0"/>
  </w:footnotePr>
  <w:endnotePr>
    <w:endnote w:id="-1"/>
    <w:endnote w:id="0"/>
  </w:endnotePr>
  <w:compat>
    <w:doNotBreakWrappedTables/>
    <w:doNotSnapToGridInCell/>
    <w:doNotWrapTextWithPunct/>
    <w:doNotUseEastAsianBreakRules/>
    <w:growAutofit/>
  </w:compat>
  <w:rsids>
    <w:rsidRoot w:val="006174E8"/>
    <w:rsid w:val="00052C2A"/>
    <w:rsid w:val="000605B3"/>
    <w:rsid w:val="000D2E87"/>
    <w:rsid w:val="00105798"/>
    <w:rsid w:val="00136A82"/>
    <w:rsid w:val="00265406"/>
    <w:rsid w:val="002834FA"/>
    <w:rsid w:val="002B522B"/>
    <w:rsid w:val="002D346E"/>
    <w:rsid w:val="003001B0"/>
    <w:rsid w:val="00335EC6"/>
    <w:rsid w:val="003C578E"/>
    <w:rsid w:val="003C6D8B"/>
    <w:rsid w:val="003E78CF"/>
    <w:rsid w:val="00416186"/>
    <w:rsid w:val="00446FEA"/>
    <w:rsid w:val="004B0764"/>
    <w:rsid w:val="004D04BA"/>
    <w:rsid w:val="00510CAF"/>
    <w:rsid w:val="00563638"/>
    <w:rsid w:val="0056365B"/>
    <w:rsid w:val="005A754B"/>
    <w:rsid w:val="005B61D8"/>
    <w:rsid w:val="006174E8"/>
    <w:rsid w:val="00697608"/>
    <w:rsid w:val="006E077D"/>
    <w:rsid w:val="0083412A"/>
    <w:rsid w:val="00852DB6"/>
    <w:rsid w:val="00870BAF"/>
    <w:rsid w:val="008B244E"/>
    <w:rsid w:val="009655EA"/>
    <w:rsid w:val="00977CFB"/>
    <w:rsid w:val="009873FA"/>
    <w:rsid w:val="009E2A33"/>
    <w:rsid w:val="009E3F64"/>
    <w:rsid w:val="009F7D89"/>
    <w:rsid w:val="00A737D2"/>
    <w:rsid w:val="00A879BE"/>
    <w:rsid w:val="00A90A11"/>
    <w:rsid w:val="00AA51DA"/>
    <w:rsid w:val="00AE21AC"/>
    <w:rsid w:val="00AE77BF"/>
    <w:rsid w:val="00B01E77"/>
    <w:rsid w:val="00B44E16"/>
    <w:rsid w:val="00B45F6B"/>
    <w:rsid w:val="00BD739E"/>
    <w:rsid w:val="00C03794"/>
    <w:rsid w:val="00C60284"/>
    <w:rsid w:val="00C829BA"/>
    <w:rsid w:val="00C909D3"/>
    <w:rsid w:val="00CD468E"/>
    <w:rsid w:val="00D053C2"/>
    <w:rsid w:val="00D47826"/>
    <w:rsid w:val="00E0132D"/>
    <w:rsid w:val="00E21A3B"/>
    <w:rsid w:val="00E224F2"/>
    <w:rsid w:val="00E67E14"/>
    <w:rsid w:val="00E71EDF"/>
    <w:rsid w:val="00E93779"/>
    <w:rsid w:val="00EC1EC9"/>
    <w:rsid w:val="00F03BA1"/>
    <w:rsid w:val="00F11D0D"/>
    <w:rsid w:val="00F16919"/>
    <w:rsid w:val="00F3116D"/>
    <w:rsid w:val="00F35D42"/>
    <w:rsid w:val="00F42F05"/>
    <w:rsid w:val="00F443A4"/>
  </w:rsids>
  <m:mathPr>
    <m:mathFont m:val="American Typewriter Light"/>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77BF"/>
    <w:pPr>
      <w:spacing w:after="120"/>
    </w:pPr>
    <w:rPr>
      <w:rFonts w:ascii="Arial" w:eastAsiaTheme="minorEastAsia" w:hAnsi="Arial" w:cstheme="minorBidi"/>
      <w:sz w:val="18"/>
    </w:rPr>
  </w:style>
  <w:style w:type="paragraph" w:styleId="Heading1">
    <w:name w:val="heading 1"/>
    <w:basedOn w:val="Normal"/>
    <w:link w:val="Heading1Char"/>
    <w:uiPriority w:val="9"/>
    <w:qFormat/>
    <w:rsid w:val="00136A82"/>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F11D0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basedOn w:val="DefaultParagraphFont"/>
    <w:link w:val="Heading1"/>
    <w:uiPriority w:val="9"/>
    <w:rsid w:val="00136A82"/>
    <w:rPr>
      <w:rFonts w:asciiTheme="majorHAnsi" w:eastAsiaTheme="majorEastAsia" w:hAnsiTheme="majorHAnsi" w:cstheme="majorBidi"/>
      <w:b/>
      <w:bCs/>
      <w:color w:val="345A8A" w:themeColor="accent1" w:themeShade="B5"/>
      <w:sz w:val="32"/>
      <w:szCs w:val="32"/>
    </w:rPr>
  </w:style>
  <w:style w:type="paragraph" w:customStyle="1" w:styleId="x00-cover-date">
    <w:name w:val="x00-cover-date"/>
    <w:basedOn w:val="Normal"/>
    <w:rsid w:val="00105798"/>
    <w:pPr>
      <w:spacing w:before="100" w:beforeAutospacing="1" w:after="100" w:afterAutospacing="1"/>
      <w:jc w:val="right"/>
    </w:pPr>
    <w:rPr>
      <w:b/>
      <w:color w:val="1D4A74"/>
      <w:sz w:val="44"/>
      <w:szCs w:val="44"/>
    </w:rPr>
  </w:style>
  <w:style w:type="paragraph" w:styleId="NormalWeb">
    <w:name w:val="Normal (Web)"/>
    <w:basedOn w:val="Normal"/>
    <w:uiPriority w:val="99"/>
    <w:unhideWhenUsed/>
    <w:rsid w:val="004D04BA"/>
    <w:pPr>
      <w:spacing w:before="120" w:line="240" w:lineRule="exact"/>
    </w:pPr>
    <w:rPr>
      <w:rFonts w:cs="Times New Roman"/>
      <w:color w:val="000000" w:themeColor="text1"/>
      <w:spacing w:val="4"/>
      <w:szCs w:val="18"/>
    </w:rPr>
  </w:style>
  <w:style w:type="character" w:customStyle="1" w:styleId="x02-body-bold">
    <w:name w:val="x02-body-bold"/>
    <w:basedOn w:val="DefaultParagraphFont"/>
    <w:rsid w:val="00E224F2"/>
    <w:rPr>
      <w:rFonts w:ascii="Arial" w:hAnsi="Arial"/>
      <w:b/>
    </w:rPr>
  </w:style>
  <w:style w:type="character" w:customStyle="1" w:styleId="x02-body-italic">
    <w:name w:val="x02-body-italic"/>
    <w:basedOn w:val="DefaultParagraphFont"/>
    <w:rsid w:val="00AE77BF"/>
    <w:rPr>
      <w:rFonts w:ascii="Arial" w:hAnsi="Arial"/>
      <w:i/>
    </w:rPr>
  </w:style>
  <w:style w:type="character" w:customStyle="1" w:styleId="white">
    <w:name w:val="white"/>
    <w:basedOn w:val="DefaultParagraphFont"/>
    <w:rsid w:val="00CD468E"/>
    <w:rPr>
      <w:rFonts w:ascii="Arial" w:hAnsi="Arial"/>
    </w:rPr>
  </w:style>
  <w:style w:type="paragraph" w:customStyle="1" w:styleId="x03-footer">
    <w:name w:val="x03-footer"/>
    <w:basedOn w:val="Normal"/>
    <w:rsid w:val="00105798"/>
    <w:pPr>
      <w:spacing w:before="100" w:beforeAutospacing="1" w:after="100" w:afterAutospacing="1"/>
    </w:pPr>
    <w:rPr>
      <w:color w:val="1D4A74"/>
      <w:sz w:val="14"/>
      <w:szCs w:val="14"/>
    </w:rPr>
  </w:style>
  <w:style w:type="paragraph" w:customStyle="1" w:styleId="x01-h1">
    <w:name w:val="x01-h1"/>
    <w:basedOn w:val="Normal"/>
    <w:rsid w:val="00E224F2"/>
    <w:pPr>
      <w:spacing w:before="240" w:after="360"/>
    </w:pPr>
    <w:rPr>
      <w:color w:val="1D4A74"/>
      <w:sz w:val="46"/>
      <w:szCs w:val="46"/>
    </w:rPr>
  </w:style>
  <w:style w:type="paragraph" w:customStyle="1" w:styleId="x00-contents-body">
    <w:name w:val="x00-contents-body"/>
    <w:basedOn w:val="Normal"/>
    <w:rsid w:val="00D053C2"/>
    <w:pPr>
      <w:pBdr>
        <w:top w:val="dotted" w:sz="12" w:space="1" w:color="C5C0B2"/>
        <w:bottom w:val="dotted" w:sz="8" w:space="1" w:color="5E6263"/>
        <w:between w:val="dotted" w:sz="8" w:space="1" w:color="5E6263"/>
      </w:pBdr>
      <w:tabs>
        <w:tab w:val="right" w:pos="9639"/>
      </w:tabs>
      <w:spacing w:after="360"/>
    </w:pPr>
    <w:rPr>
      <w:color w:val="666967"/>
      <w:sz w:val="20"/>
    </w:rPr>
  </w:style>
  <w:style w:type="character" w:customStyle="1" w:styleId="x02-superscript">
    <w:name w:val="x02-superscript"/>
    <w:basedOn w:val="DefaultParagraphFont"/>
    <w:rsid w:val="00AE77BF"/>
    <w:rPr>
      <w:rFonts w:ascii="Arial" w:hAnsi="Arial"/>
      <w:caps w:val="0"/>
      <w:smallCaps w:val="0"/>
      <w:strike w:val="0"/>
      <w:dstrike w:val="0"/>
      <w:vanish w:val="0"/>
      <w:vertAlign w:val="superscript"/>
    </w:rPr>
  </w:style>
  <w:style w:type="paragraph" w:customStyle="1" w:styleId="x01-h2">
    <w:name w:val="x01-h2"/>
    <w:basedOn w:val="Normal"/>
    <w:rsid w:val="00510CAF"/>
    <w:pPr>
      <w:spacing w:before="240"/>
    </w:pPr>
    <w:rPr>
      <w:color w:val="1D4A74"/>
      <w:sz w:val="28"/>
      <w:szCs w:val="28"/>
    </w:rPr>
  </w:style>
  <w:style w:type="paragraph" w:customStyle="1" w:styleId="x01-h3">
    <w:name w:val="x01-h3"/>
    <w:basedOn w:val="Normal"/>
    <w:rsid w:val="003C578E"/>
    <w:pPr>
      <w:spacing w:before="120" w:after="0"/>
    </w:pPr>
    <w:rPr>
      <w:color w:val="1D4A74"/>
      <w:sz w:val="24"/>
      <w:szCs w:val="24"/>
    </w:rPr>
  </w:style>
  <w:style w:type="paragraph" w:customStyle="1" w:styleId="x03-figure-heading">
    <w:name w:val="x03-figure-heading"/>
    <w:basedOn w:val="Normal"/>
    <w:rsid w:val="00697608"/>
    <w:pPr>
      <w:spacing w:before="240"/>
    </w:pPr>
    <w:rPr>
      <w:b/>
      <w:bCs/>
      <w:color w:val="666967"/>
      <w:sz w:val="22"/>
      <w:szCs w:val="22"/>
    </w:rPr>
  </w:style>
  <w:style w:type="character" w:customStyle="1" w:styleId="x02-body-roman">
    <w:name w:val="x02-body-roman"/>
    <w:basedOn w:val="DefaultParagraphFont"/>
    <w:rsid w:val="00AE77BF"/>
    <w:rPr>
      <w:rFonts w:ascii="Arial" w:hAnsi="Arial"/>
      <w:b/>
    </w:rPr>
  </w:style>
  <w:style w:type="paragraph" w:customStyle="1" w:styleId="x01-h2-span">
    <w:name w:val="x01-h2-span"/>
    <w:basedOn w:val="Normal"/>
    <w:rsid w:val="00CD468E"/>
    <w:pPr>
      <w:spacing w:before="240"/>
    </w:pPr>
    <w:rPr>
      <w:color w:val="1D4A74"/>
      <w:sz w:val="28"/>
      <w:szCs w:val="28"/>
    </w:rPr>
  </w:style>
  <w:style w:type="paragraph" w:customStyle="1" w:styleId="x01-h4">
    <w:name w:val="x01-h4"/>
    <w:basedOn w:val="Normal"/>
    <w:rsid w:val="00CD468E"/>
    <w:pPr>
      <w:spacing w:before="120"/>
    </w:pPr>
    <w:rPr>
      <w:b/>
      <w:bCs/>
      <w:color w:val="666967"/>
      <w:sz w:val="22"/>
      <w:szCs w:val="22"/>
    </w:rPr>
  </w:style>
  <w:style w:type="character" w:customStyle="1" w:styleId="char-style-override-2">
    <w:name w:val="char-style-override-2"/>
    <w:basedOn w:val="DefaultParagraphFont"/>
    <w:rsid w:val="00136A82"/>
  </w:style>
  <w:style w:type="paragraph" w:customStyle="1" w:styleId="x01-h5">
    <w:name w:val="x01-h5"/>
    <w:basedOn w:val="Normal"/>
    <w:rsid w:val="00CD468E"/>
    <w:pPr>
      <w:spacing w:before="120" w:after="0"/>
    </w:pPr>
    <w:rPr>
      <w:color w:val="000000" w:themeColor="text1"/>
      <w:sz w:val="22"/>
      <w:szCs w:val="22"/>
    </w:rPr>
  </w:style>
  <w:style w:type="paragraph" w:customStyle="1" w:styleId="x04-table-head-l">
    <w:name w:val="x04-table-head-l"/>
    <w:basedOn w:val="Normal"/>
    <w:rsid w:val="00CD468E"/>
    <w:pPr>
      <w:spacing w:before="100" w:beforeAutospacing="1" w:after="100" w:afterAutospacing="1"/>
    </w:pPr>
    <w:rPr>
      <w:b/>
      <w:bCs/>
      <w:color w:val="FFFFFF" w:themeColor="background1"/>
      <w:szCs w:val="18"/>
    </w:rPr>
  </w:style>
  <w:style w:type="paragraph" w:customStyle="1" w:styleId="x04-footnotes">
    <w:name w:val="x04-footnotes"/>
    <w:basedOn w:val="Normal"/>
    <w:rsid w:val="00416186"/>
    <w:pPr>
      <w:spacing w:before="60" w:after="60"/>
    </w:pPr>
    <w:rPr>
      <w:sz w:val="14"/>
    </w:rPr>
  </w:style>
  <w:style w:type="character" w:customStyle="1" w:styleId="char-style-override-3">
    <w:name w:val="char-style-override-3"/>
    <w:basedOn w:val="DefaultParagraphFont"/>
    <w:rsid w:val="00136A82"/>
  </w:style>
  <w:style w:type="character" w:customStyle="1" w:styleId="char-style-override-4">
    <w:name w:val="char-style-override-4"/>
    <w:basedOn w:val="DefaultParagraphFont"/>
    <w:rsid w:val="00136A82"/>
  </w:style>
  <w:style w:type="character" w:customStyle="1" w:styleId="x02-url">
    <w:name w:val="x02-url"/>
    <w:basedOn w:val="DefaultParagraphFont"/>
    <w:rsid w:val="00CD468E"/>
    <w:rPr>
      <w:rFonts w:ascii="Arial" w:hAnsi="Arial"/>
      <w:b/>
      <w:bCs/>
      <w:color w:val="1D4A74"/>
    </w:rPr>
  </w:style>
  <w:style w:type="character" w:customStyle="1" w:styleId="x03-gotham-medium-italic">
    <w:name w:val="x03-gotham-medium-italic"/>
    <w:basedOn w:val="DefaultParagraphFont"/>
    <w:rsid w:val="00CD468E"/>
    <w:rPr>
      <w:rFonts w:ascii="Arial" w:hAnsi="Arial"/>
      <w:b/>
      <w:bCs/>
      <w:i/>
      <w:iCs/>
      <w:color w:val="1D4A74"/>
    </w:rPr>
  </w:style>
  <w:style w:type="character" w:styleId="Hyperlink">
    <w:name w:val="Hyperlink"/>
    <w:basedOn w:val="DefaultParagraphFont"/>
    <w:uiPriority w:val="99"/>
    <w:unhideWhenUsed/>
    <w:rsid w:val="00136A82"/>
    <w:rPr>
      <w:color w:val="0000FF"/>
      <w:u w:val="single"/>
    </w:rPr>
  </w:style>
  <w:style w:type="character" w:styleId="FollowedHyperlink">
    <w:name w:val="FollowedHyperlink"/>
    <w:basedOn w:val="DefaultParagraphFont"/>
    <w:uiPriority w:val="99"/>
    <w:semiHidden/>
    <w:unhideWhenUsed/>
    <w:rsid w:val="00136A82"/>
    <w:rPr>
      <w:color w:val="800080"/>
      <w:u w:val="single"/>
    </w:rPr>
  </w:style>
  <w:style w:type="character" w:customStyle="1" w:styleId="bullets">
    <w:name w:val="bullets"/>
    <w:basedOn w:val="DefaultParagraphFont"/>
    <w:rsid w:val="00E224F2"/>
    <w:rPr>
      <w:color w:val="1D4A74"/>
    </w:rPr>
  </w:style>
  <w:style w:type="paragraph" w:customStyle="1" w:styleId="x04-body-8pt">
    <w:name w:val="x04-body-8pt"/>
    <w:basedOn w:val="Normal"/>
    <w:rsid w:val="00697608"/>
    <w:pPr>
      <w:spacing w:after="100"/>
    </w:pPr>
    <w:rPr>
      <w:sz w:val="16"/>
    </w:rPr>
  </w:style>
  <w:style w:type="paragraph" w:customStyle="1" w:styleId="para-style-override-4">
    <w:name w:val="para-style-override-4"/>
    <w:basedOn w:val="Normal"/>
    <w:rsid w:val="00136A82"/>
    <w:pPr>
      <w:spacing w:before="100" w:beforeAutospacing="1" w:after="100" w:afterAutospacing="1"/>
    </w:pPr>
  </w:style>
  <w:style w:type="paragraph" w:customStyle="1" w:styleId="x02-intro">
    <w:name w:val="x02-intro"/>
    <w:basedOn w:val="Normal"/>
    <w:rsid w:val="00CD468E"/>
    <w:pPr>
      <w:spacing w:before="120" w:after="240"/>
    </w:pPr>
    <w:rPr>
      <w:color w:val="000000" w:themeColor="text1"/>
      <w:sz w:val="24"/>
      <w:szCs w:val="24"/>
    </w:rPr>
  </w:style>
  <w:style w:type="character" w:customStyle="1" w:styleId="x02-subscript">
    <w:name w:val="x02-subscript"/>
    <w:basedOn w:val="DefaultParagraphFont"/>
    <w:rsid w:val="00AE77BF"/>
    <w:rPr>
      <w:rFonts w:ascii="Arial" w:hAnsi="Arial"/>
      <w:caps w:val="0"/>
      <w:smallCaps w:val="0"/>
      <w:strike w:val="0"/>
      <w:dstrike w:val="0"/>
      <w:vanish w:val="0"/>
      <w:vertAlign w:val="subscript"/>
    </w:rPr>
  </w:style>
  <w:style w:type="paragraph" w:customStyle="1" w:styleId="x03-references">
    <w:name w:val="x03-references"/>
    <w:basedOn w:val="Normal"/>
    <w:rsid w:val="00CD468E"/>
    <w:pPr>
      <w:spacing w:before="60"/>
    </w:pPr>
    <w:rPr>
      <w:sz w:val="14"/>
    </w:rPr>
  </w:style>
  <w:style w:type="character" w:customStyle="1" w:styleId="char-style-override-9">
    <w:name w:val="char-style-override-9"/>
    <w:basedOn w:val="DefaultParagraphFont"/>
    <w:rsid w:val="00136A82"/>
  </w:style>
  <w:style w:type="paragraph" w:customStyle="1" w:styleId="para-style-override-6">
    <w:name w:val="para-style-override-6"/>
    <w:basedOn w:val="Normal"/>
    <w:rsid w:val="00136A82"/>
    <w:pPr>
      <w:spacing w:before="100" w:beforeAutospacing="1" w:after="100" w:afterAutospacing="1"/>
    </w:pPr>
  </w:style>
  <w:style w:type="character" w:customStyle="1" w:styleId="x02-body-bold-italic">
    <w:name w:val="x02-body-bold-italic"/>
    <w:basedOn w:val="DefaultParagraphFont"/>
    <w:rsid w:val="00AE77BF"/>
    <w:rPr>
      <w:rFonts w:ascii="Arial" w:hAnsi="Arial"/>
      <w:b/>
      <w:i/>
    </w:rPr>
  </w:style>
  <w:style w:type="character" w:customStyle="1" w:styleId="char-style-override-11">
    <w:name w:val="char-style-override-11"/>
    <w:basedOn w:val="DefaultParagraphFont"/>
    <w:rsid w:val="00136A82"/>
  </w:style>
  <w:style w:type="paragraph" w:customStyle="1" w:styleId="x04-appendices-graphic-body">
    <w:name w:val="x04-appendices-graphic-body"/>
    <w:basedOn w:val="Normal"/>
    <w:rsid w:val="00136A82"/>
    <w:pPr>
      <w:spacing w:before="100" w:beforeAutospacing="1" w:after="100" w:afterAutospacing="1"/>
    </w:pPr>
  </w:style>
  <w:style w:type="character" w:customStyle="1" w:styleId="grey">
    <w:name w:val="grey"/>
    <w:basedOn w:val="DefaultParagraphFont"/>
    <w:rsid w:val="00136A82"/>
  </w:style>
  <w:style w:type="paragraph" w:customStyle="1" w:styleId="para-style-override-8">
    <w:name w:val="para-style-override-8"/>
    <w:basedOn w:val="Normal"/>
    <w:rsid w:val="00136A82"/>
    <w:pPr>
      <w:spacing w:before="100" w:beforeAutospacing="1" w:after="100" w:afterAutospacing="1"/>
    </w:pPr>
  </w:style>
  <w:style w:type="paragraph" w:styleId="Header">
    <w:name w:val="header"/>
    <w:basedOn w:val="Normal"/>
    <w:link w:val="HeaderChar"/>
    <w:uiPriority w:val="99"/>
    <w:unhideWhenUsed/>
    <w:rsid w:val="00EC1EC9"/>
    <w:pPr>
      <w:tabs>
        <w:tab w:val="center" w:pos="4320"/>
        <w:tab w:val="right" w:pos="8640"/>
      </w:tabs>
    </w:pPr>
  </w:style>
  <w:style w:type="character" w:customStyle="1" w:styleId="HeaderChar">
    <w:name w:val="Header Char"/>
    <w:basedOn w:val="DefaultParagraphFont"/>
    <w:link w:val="Header"/>
    <w:uiPriority w:val="99"/>
    <w:rsid w:val="00EC1EC9"/>
    <w:rPr>
      <w:rFonts w:ascii="Times" w:eastAsiaTheme="minorEastAsia" w:hAnsi="Times" w:cstheme="minorBidi"/>
    </w:rPr>
  </w:style>
  <w:style w:type="paragraph" w:styleId="Footer">
    <w:name w:val="footer"/>
    <w:basedOn w:val="Normal"/>
    <w:link w:val="FooterChar"/>
    <w:uiPriority w:val="99"/>
    <w:unhideWhenUsed/>
    <w:rsid w:val="00EC1EC9"/>
    <w:pPr>
      <w:tabs>
        <w:tab w:val="center" w:pos="4320"/>
        <w:tab w:val="right" w:pos="8640"/>
      </w:tabs>
    </w:pPr>
  </w:style>
  <w:style w:type="character" w:customStyle="1" w:styleId="FooterChar">
    <w:name w:val="Footer Char"/>
    <w:basedOn w:val="DefaultParagraphFont"/>
    <w:link w:val="Footer"/>
    <w:uiPriority w:val="99"/>
    <w:rsid w:val="00EC1EC9"/>
    <w:rPr>
      <w:rFonts w:ascii="Times" w:eastAsiaTheme="minorEastAsia" w:hAnsi="Times" w:cstheme="minorBidi"/>
    </w:rPr>
  </w:style>
  <w:style w:type="paragraph" w:styleId="BalloonText">
    <w:name w:val="Balloon Text"/>
    <w:basedOn w:val="Normal"/>
    <w:link w:val="BalloonTextChar"/>
    <w:uiPriority w:val="99"/>
    <w:semiHidden/>
    <w:unhideWhenUsed/>
    <w:rsid w:val="00EC1EC9"/>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EC1EC9"/>
    <w:rPr>
      <w:rFonts w:ascii="Lucida Grande" w:eastAsiaTheme="minorEastAsia" w:hAnsi="Lucida Grande" w:cs="Lucida Grande"/>
      <w:sz w:val="18"/>
      <w:szCs w:val="18"/>
    </w:rPr>
  </w:style>
  <w:style w:type="paragraph" w:customStyle="1" w:styleId="03footer">
    <w:name w:val="03_footer"/>
    <w:basedOn w:val="Normal"/>
    <w:uiPriority w:val="99"/>
    <w:rsid w:val="00EC1EC9"/>
    <w:pPr>
      <w:widowControl w:val="0"/>
      <w:tabs>
        <w:tab w:val="left" w:pos="340"/>
      </w:tabs>
      <w:suppressAutoHyphens/>
      <w:autoSpaceDE w:val="0"/>
      <w:autoSpaceDN w:val="0"/>
      <w:adjustRightInd w:val="0"/>
      <w:spacing w:after="170" w:line="260" w:lineRule="atLeast"/>
      <w:textAlignment w:val="center"/>
    </w:pPr>
    <w:rPr>
      <w:rFonts w:eastAsia="Times New Roman" w:cs="HelveticaNeue-Light"/>
      <w:color w:val="1D4A74"/>
      <w:sz w:val="14"/>
      <w:szCs w:val="14"/>
      <w:lang w:val="en-GB"/>
    </w:rPr>
  </w:style>
  <w:style w:type="character" w:styleId="PageNumber">
    <w:name w:val="page number"/>
    <w:basedOn w:val="DefaultParagraphFont"/>
    <w:uiPriority w:val="99"/>
    <w:semiHidden/>
    <w:unhideWhenUsed/>
    <w:rsid w:val="00EC1EC9"/>
    <w:rPr>
      <w:rFonts w:ascii="Arial" w:hAnsi="Arial"/>
      <w:b/>
      <w:bCs/>
      <w:color w:val="1D4A74"/>
      <w:sz w:val="22"/>
      <w:szCs w:val="22"/>
    </w:rPr>
  </w:style>
  <w:style w:type="paragraph" w:customStyle="1" w:styleId="00CoverH1">
    <w:name w:val="00_Cover_H1"/>
    <w:basedOn w:val="Normal"/>
    <w:uiPriority w:val="99"/>
    <w:rsid w:val="00105798"/>
    <w:pPr>
      <w:widowControl w:val="0"/>
      <w:suppressAutoHyphens/>
      <w:autoSpaceDE w:val="0"/>
      <w:autoSpaceDN w:val="0"/>
      <w:adjustRightInd w:val="0"/>
      <w:spacing w:after="113" w:line="520" w:lineRule="atLeast"/>
      <w:jc w:val="right"/>
      <w:textAlignment w:val="center"/>
    </w:pPr>
    <w:rPr>
      <w:rFonts w:eastAsia="Times New Roman" w:cs="Gotham-Bold"/>
      <w:b/>
      <w:bCs/>
      <w:color w:val="FFFFFF"/>
      <w:spacing w:val="-5"/>
      <w:sz w:val="52"/>
      <w:szCs w:val="52"/>
      <w:lang w:val="en-GB"/>
    </w:rPr>
  </w:style>
  <w:style w:type="paragraph" w:customStyle="1" w:styleId="00Citation">
    <w:name w:val="00_Citation"/>
    <w:basedOn w:val="Normal"/>
    <w:uiPriority w:val="99"/>
    <w:rsid w:val="00E224F2"/>
    <w:pPr>
      <w:widowControl w:val="0"/>
      <w:tabs>
        <w:tab w:val="left" w:pos="283"/>
        <w:tab w:val="left" w:pos="567"/>
        <w:tab w:val="left" w:pos="850"/>
        <w:tab w:val="left" w:pos="1134"/>
        <w:tab w:val="left" w:pos="1417"/>
        <w:tab w:val="left" w:pos="1701"/>
        <w:tab w:val="left" w:pos="1984"/>
      </w:tabs>
      <w:suppressAutoHyphens/>
      <w:autoSpaceDE w:val="0"/>
      <w:autoSpaceDN w:val="0"/>
      <w:adjustRightInd w:val="0"/>
      <w:spacing w:line="220" w:lineRule="atLeast"/>
      <w:textAlignment w:val="center"/>
    </w:pPr>
    <w:rPr>
      <w:rFonts w:eastAsia="Times New Roman" w:cs="HelveticaNeue-Light"/>
      <w:color w:val="000000" w:themeColor="text1"/>
      <w:spacing w:val="4"/>
      <w:szCs w:val="18"/>
      <w:lang w:val="en-GB"/>
    </w:rPr>
  </w:style>
  <w:style w:type="character" w:customStyle="1" w:styleId="02bodybold">
    <w:name w:val="02_body bold"/>
    <w:uiPriority w:val="99"/>
    <w:rsid w:val="00E224F2"/>
    <w:rPr>
      <w:rFonts w:ascii="Arial" w:hAnsi="Arial" w:cs="HelveticaNeue-Medium"/>
      <w:b/>
    </w:rPr>
  </w:style>
  <w:style w:type="character" w:customStyle="1" w:styleId="02bodyitalic">
    <w:name w:val="02_body italic"/>
    <w:uiPriority w:val="99"/>
    <w:rsid w:val="00E224F2"/>
    <w:rPr>
      <w:rFonts w:ascii="HelveticaNeue-LightItalic" w:hAnsi="HelveticaNeue-LightItalic" w:cs="HelveticaNeue-LightItalic"/>
      <w:i/>
      <w:iCs/>
    </w:rPr>
  </w:style>
  <w:style w:type="paragraph" w:customStyle="1" w:styleId="00sectionhead">
    <w:name w:val="00_section head"/>
    <w:basedOn w:val="Normal"/>
    <w:uiPriority w:val="99"/>
    <w:rsid w:val="00E224F2"/>
    <w:pPr>
      <w:keepLines/>
      <w:widowControl w:val="0"/>
      <w:suppressAutoHyphens/>
      <w:autoSpaceDE w:val="0"/>
      <w:autoSpaceDN w:val="0"/>
      <w:adjustRightInd w:val="0"/>
      <w:spacing w:before="60" w:line="780" w:lineRule="atLeast"/>
      <w:textAlignment w:val="center"/>
    </w:pPr>
    <w:rPr>
      <w:rFonts w:eastAsia="Times New Roman" w:cs="Gotham-Book"/>
      <w:color w:val="1D4A74"/>
      <w:spacing w:val="-15"/>
      <w:sz w:val="74"/>
      <w:szCs w:val="74"/>
      <w:lang w:val="en-GB"/>
    </w:rPr>
  </w:style>
  <w:style w:type="character" w:customStyle="1" w:styleId="whitecolours">
    <w:name w:val="white (colours)"/>
    <w:uiPriority w:val="99"/>
    <w:rsid w:val="00E224F2"/>
    <w:rPr>
      <w:outline/>
    </w:rPr>
  </w:style>
  <w:style w:type="paragraph" w:customStyle="1" w:styleId="02Body">
    <w:name w:val="02_Body"/>
    <w:basedOn w:val="Normal"/>
    <w:uiPriority w:val="99"/>
    <w:rsid w:val="0083412A"/>
    <w:pPr>
      <w:widowControl w:val="0"/>
      <w:tabs>
        <w:tab w:val="left" w:pos="283"/>
        <w:tab w:val="left" w:pos="567"/>
        <w:tab w:val="left" w:pos="850"/>
        <w:tab w:val="left" w:pos="1134"/>
        <w:tab w:val="left" w:pos="1417"/>
        <w:tab w:val="left" w:pos="1701"/>
        <w:tab w:val="left" w:pos="1984"/>
      </w:tabs>
      <w:suppressAutoHyphens/>
      <w:autoSpaceDE w:val="0"/>
      <w:autoSpaceDN w:val="0"/>
      <w:adjustRightInd w:val="0"/>
      <w:spacing w:after="100" w:line="240" w:lineRule="atLeast"/>
      <w:textAlignment w:val="center"/>
    </w:pPr>
    <w:rPr>
      <w:rFonts w:eastAsia="Times New Roman" w:cs="HelveticaNeue-Light"/>
      <w:color w:val="000000"/>
      <w:spacing w:val="4"/>
      <w:szCs w:val="18"/>
      <w:lang w:val="en-GB"/>
    </w:rPr>
  </w:style>
  <w:style w:type="paragraph" w:customStyle="1" w:styleId="02bullet">
    <w:name w:val="02_bullet"/>
    <w:basedOn w:val="Normal"/>
    <w:qFormat/>
    <w:rsid w:val="009655EA"/>
    <w:pPr>
      <w:numPr>
        <w:numId w:val="1"/>
      </w:numPr>
      <w:spacing w:after="100"/>
      <w:ind w:left="714" w:hanging="357"/>
    </w:pPr>
    <w:rPr>
      <w:rFonts w:eastAsia="Times New Roman" w:cs="Times New Roman"/>
      <w:spacing w:val="4"/>
      <w:szCs w:val="18"/>
    </w:rPr>
  </w:style>
  <w:style w:type="table" w:styleId="TableGrid">
    <w:name w:val="Table Grid"/>
    <w:basedOn w:val="TableNormal"/>
    <w:uiPriority w:val="59"/>
    <w:rsid w:val="00C829B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
    <w:name w:val="Style1"/>
    <w:basedOn w:val="Normal"/>
    <w:qFormat/>
    <w:rsid w:val="00C829BA"/>
    <w:pPr>
      <w:spacing w:after="100"/>
    </w:pPr>
    <w:rPr>
      <w:rFonts w:eastAsia="Times New Roman" w:cs="Times New Roman"/>
    </w:rPr>
  </w:style>
  <w:style w:type="paragraph" w:customStyle="1" w:styleId="02Bulletlevel2">
    <w:name w:val="02_Bullet level 2"/>
    <w:basedOn w:val="Normal"/>
    <w:qFormat/>
    <w:rsid w:val="00C829BA"/>
    <w:pPr>
      <w:numPr>
        <w:numId w:val="3"/>
      </w:numPr>
    </w:pPr>
    <w:rPr>
      <w:rFonts w:eastAsia="Times New Roman" w:cs="Times New Roman"/>
    </w:rPr>
  </w:style>
  <w:style w:type="paragraph" w:customStyle="1" w:styleId="02Bulletlevel3">
    <w:name w:val="02_Bullet level 3"/>
    <w:basedOn w:val="Normal"/>
    <w:qFormat/>
    <w:rsid w:val="00C829BA"/>
    <w:pPr>
      <w:numPr>
        <w:numId w:val="2"/>
      </w:numPr>
      <w:ind w:left="2154" w:hanging="357"/>
    </w:pPr>
    <w:rPr>
      <w:rFonts w:eastAsia="Times New Roman" w:cs="Times New Roman"/>
    </w:rPr>
  </w:style>
  <w:style w:type="paragraph" w:customStyle="1" w:styleId="02Bulletnoindent">
    <w:name w:val="02_Bullet no indent"/>
    <w:basedOn w:val="02bullet"/>
    <w:qFormat/>
    <w:rsid w:val="004D04BA"/>
    <w:pPr>
      <w:ind w:left="284" w:hanging="284"/>
    </w:pPr>
  </w:style>
  <w:style w:type="paragraph" w:customStyle="1" w:styleId="00IndicatorH1">
    <w:name w:val="00_Indicator H1"/>
    <w:basedOn w:val="Normal"/>
    <w:uiPriority w:val="99"/>
    <w:rsid w:val="00265406"/>
    <w:pPr>
      <w:keepLines/>
      <w:widowControl w:val="0"/>
      <w:suppressAutoHyphens/>
      <w:autoSpaceDE w:val="0"/>
      <w:autoSpaceDN w:val="0"/>
      <w:adjustRightInd w:val="0"/>
      <w:spacing w:before="120" w:line="420" w:lineRule="atLeast"/>
      <w:textAlignment w:val="center"/>
    </w:pPr>
    <w:rPr>
      <w:rFonts w:eastAsia="Times New Roman" w:cs="Gotham-Medium"/>
      <w:b/>
      <w:bCs/>
      <w:color w:val="0099C5"/>
      <w:spacing w:val="-8"/>
      <w:sz w:val="38"/>
      <w:szCs w:val="38"/>
      <w:lang w:val="en-GB"/>
    </w:rPr>
  </w:style>
  <w:style w:type="character" w:customStyle="1" w:styleId="Heading2Char">
    <w:name w:val="Heading 2 Char"/>
    <w:basedOn w:val="DefaultParagraphFont"/>
    <w:link w:val="Heading2"/>
    <w:uiPriority w:val="9"/>
    <w:rsid w:val="00F11D0D"/>
    <w:rPr>
      <w:rFonts w:asciiTheme="majorHAnsi" w:eastAsiaTheme="majorEastAsia" w:hAnsiTheme="majorHAnsi" w:cstheme="majorBidi"/>
      <w:b/>
      <w:bCs/>
      <w:color w:val="4F81BD" w:themeColor="accent1"/>
      <w:sz w:val="26"/>
      <w:szCs w:val="26"/>
    </w:rPr>
  </w:style>
  <w:style w:type="paragraph" w:customStyle="1" w:styleId="01H1">
    <w:name w:val="01_H1"/>
    <w:basedOn w:val="Normal"/>
    <w:uiPriority w:val="99"/>
    <w:rsid w:val="00335EC6"/>
    <w:pPr>
      <w:keepLines/>
      <w:widowControl w:val="0"/>
      <w:suppressAutoHyphens/>
      <w:autoSpaceDE w:val="0"/>
      <w:autoSpaceDN w:val="0"/>
      <w:adjustRightInd w:val="0"/>
      <w:spacing w:before="57" w:after="113" w:line="480" w:lineRule="atLeast"/>
      <w:textAlignment w:val="center"/>
    </w:pPr>
    <w:rPr>
      <w:rFonts w:ascii="Gotham-Book" w:eastAsia="Times New Roman" w:hAnsi="Gotham-Book" w:cs="Gotham-Book"/>
      <w:color w:val="1A659A"/>
      <w:spacing w:val="-9"/>
      <w:sz w:val="46"/>
      <w:szCs w:val="46"/>
      <w:lang w:val="en-GB"/>
    </w:rPr>
  </w:style>
  <w:style w:type="paragraph" w:customStyle="1" w:styleId="00pagetopleft">
    <w:name w:val="00_page top left"/>
    <w:basedOn w:val="Normal"/>
    <w:uiPriority w:val="99"/>
    <w:rsid w:val="00335EC6"/>
    <w:pPr>
      <w:widowControl w:val="0"/>
      <w:suppressAutoHyphens/>
      <w:autoSpaceDE w:val="0"/>
      <w:autoSpaceDN w:val="0"/>
      <w:adjustRightInd w:val="0"/>
      <w:spacing w:before="120" w:after="68" w:line="380" w:lineRule="atLeast"/>
      <w:textAlignment w:val="center"/>
    </w:pPr>
    <w:rPr>
      <w:rFonts w:eastAsia="Times New Roman" w:cs="Gotham-Bold"/>
      <w:b/>
      <w:bCs/>
      <w:color w:val="1D4A74"/>
      <w:spacing w:val="-3"/>
      <w:sz w:val="34"/>
      <w:szCs w:val="34"/>
      <w:lang w:val="en-GB"/>
    </w:rPr>
  </w:style>
  <w:style w:type="paragraph" w:customStyle="1" w:styleId="00pagetop2right">
    <w:name w:val="00_page top 2 right"/>
    <w:basedOn w:val="Normal"/>
    <w:uiPriority w:val="99"/>
    <w:rsid w:val="00563638"/>
    <w:pPr>
      <w:widowControl w:val="0"/>
      <w:suppressAutoHyphens/>
      <w:autoSpaceDE w:val="0"/>
      <w:autoSpaceDN w:val="0"/>
      <w:adjustRightInd w:val="0"/>
      <w:spacing w:before="120" w:after="240" w:line="312" w:lineRule="atLeast"/>
      <w:textAlignment w:val="center"/>
    </w:pPr>
    <w:rPr>
      <w:rFonts w:eastAsia="Times New Roman" w:cs="Gotham-Light"/>
      <w:color w:val="1D4A74"/>
      <w:spacing w:val="-3"/>
      <w:sz w:val="26"/>
      <w:szCs w:val="26"/>
      <w:lang w:val="en-GB"/>
    </w:rPr>
  </w:style>
  <w:style w:type="paragraph" w:styleId="TOC1">
    <w:name w:val="toc 1"/>
    <w:basedOn w:val="Normal"/>
    <w:next w:val="Normal"/>
    <w:autoRedefine/>
    <w:uiPriority w:val="39"/>
    <w:unhideWhenUsed/>
    <w:rsid w:val="00BD739E"/>
    <w:pPr>
      <w:spacing w:before="120" w:after="0"/>
    </w:pPr>
    <w:rPr>
      <w:rFonts w:asciiTheme="minorHAnsi" w:hAnsiTheme="minorHAnsi"/>
      <w:b/>
      <w:sz w:val="22"/>
      <w:szCs w:val="22"/>
    </w:rPr>
  </w:style>
  <w:style w:type="paragraph" w:styleId="TOC2">
    <w:name w:val="toc 2"/>
    <w:basedOn w:val="Normal"/>
    <w:next w:val="Normal"/>
    <w:autoRedefine/>
    <w:uiPriority w:val="39"/>
    <w:unhideWhenUsed/>
    <w:rsid w:val="00BD739E"/>
    <w:pPr>
      <w:spacing w:after="0"/>
      <w:ind w:left="180"/>
    </w:pPr>
    <w:rPr>
      <w:rFonts w:asciiTheme="minorHAnsi" w:hAnsiTheme="minorHAnsi"/>
      <w:i/>
      <w:sz w:val="22"/>
      <w:szCs w:val="22"/>
    </w:rPr>
  </w:style>
  <w:style w:type="paragraph" w:styleId="TOC3">
    <w:name w:val="toc 3"/>
    <w:basedOn w:val="Normal"/>
    <w:next w:val="Normal"/>
    <w:autoRedefine/>
    <w:uiPriority w:val="39"/>
    <w:unhideWhenUsed/>
    <w:rsid w:val="00BD739E"/>
    <w:pPr>
      <w:spacing w:after="0"/>
      <w:ind w:left="360"/>
    </w:pPr>
    <w:rPr>
      <w:rFonts w:asciiTheme="minorHAnsi" w:hAnsiTheme="minorHAnsi"/>
      <w:sz w:val="22"/>
      <w:szCs w:val="22"/>
    </w:rPr>
  </w:style>
  <w:style w:type="paragraph" w:styleId="TOC4">
    <w:name w:val="toc 4"/>
    <w:basedOn w:val="Normal"/>
    <w:next w:val="Normal"/>
    <w:autoRedefine/>
    <w:uiPriority w:val="39"/>
    <w:unhideWhenUsed/>
    <w:rsid w:val="00BD739E"/>
    <w:pPr>
      <w:spacing w:after="0"/>
      <w:ind w:left="540"/>
    </w:pPr>
    <w:rPr>
      <w:rFonts w:asciiTheme="minorHAnsi" w:hAnsiTheme="minorHAnsi"/>
      <w:sz w:val="20"/>
    </w:rPr>
  </w:style>
  <w:style w:type="paragraph" w:styleId="TOC5">
    <w:name w:val="toc 5"/>
    <w:basedOn w:val="Normal"/>
    <w:next w:val="Normal"/>
    <w:autoRedefine/>
    <w:uiPriority w:val="39"/>
    <w:unhideWhenUsed/>
    <w:rsid w:val="00BD739E"/>
    <w:pPr>
      <w:spacing w:after="0"/>
      <w:ind w:left="720"/>
    </w:pPr>
    <w:rPr>
      <w:rFonts w:asciiTheme="minorHAnsi" w:hAnsiTheme="minorHAnsi"/>
      <w:sz w:val="20"/>
    </w:rPr>
  </w:style>
  <w:style w:type="paragraph" w:styleId="TOC6">
    <w:name w:val="toc 6"/>
    <w:basedOn w:val="Normal"/>
    <w:next w:val="Normal"/>
    <w:autoRedefine/>
    <w:uiPriority w:val="39"/>
    <w:unhideWhenUsed/>
    <w:rsid w:val="00BD739E"/>
    <w:pPr>
      <w:spacing w:after="0"/>
      <w:ind w:left="900"/>
    </w:pPr>
    <w:rPr>
      <w:rFonts w:asciiTheme="minorHAnsi" w:hAnsiTheme="minorHAnsi"/>
      <w:sz w:val="20"/>
    </w:rPr>
  </w:style>
  <w:style w:type="paragraph" w:styleId="TOC7">
    <w:name w:val="toc 7"/>
    <w:basedOn w:val="Normal"/>
    <w:next w:val="Normal"/>
    <w:autoRedefine/>
    <w:uiPriority w:val="39"/>
    <w:unhideWhenUsed/>
    <w:rsid w:val="00BD739E"/>
    <w:pPr>
      <w:spacing w:after="0"/>
      <w:ind w:left="1080"/>
    </w:pPr>
    <w:rPr>
      <w:rFonts w:asciiTheme="minorHAnsi" w:hAnsiTheme="minorHAnsi"/>
      <w:sz w:val="20"/>
    </w:rPr>
  </w:style>
  <w:style w:type="paragraph" w:styleId="TOC8">
    <w:name w:val="toc 8"/>
    <w:basedOn w:val="Normal"/>
    <w:next w:val="Normal"/>
    <w:autoRedefine/>
    <w:uiPriority w:val="39"/>
    <w:unhideWhenUsed/>
    <w:rsid w:val="00BD739E"/>
    <w:pPr>
      <w:spacing w:after="0"/>
      <w:ind w:left="1260"/>
    </w:pPr>
    <w:rPr>
      <w:rFonts w:asciiTheme="minorHAnsi" w:hAnsiTheme="minorHAnsi"/>
      <w:sz w:val="20"/>
    </w:rPr>
  </w:style>
  <w:style w:type="paragraph" w:styleId="TOC9">
    <w:name w:val="toc 9"/>
    <w:basedOn w:val="Normal"/>
    <w:next w:val="Normal"/>
    <w:autoRedefine/>
    <w:uiPriority w:val="39"/>
    <w:unhideWhenUsed/>
    <w:rsid w:val="00BD739E"/>
    <w:pPr>
      <w:spacing w:after="0"/>
      <w:ind w:left="1440"/>
    </w:pPr>
    <w:rPr>
      <w:rFonts w:asciiTheme="minorHAnsi" w:hAnsiTheme="minorHAnsi"/>
      <w:sz w:val="20"/>
    </w:rPr>
  </w:style>
  <w:style w:type="paragraph" w:customStyle="1" w:styleId="00pagetop1">
    <w:name w:val="00_page top 1"/>
    <w:basedOn w:val="Normal"/>
    <w:uiPriority w:val="99"/>
    <w:rsid w:val="002D346E"/>
    <w:pPr>
      <w:widowControl w:val="0"/>
      <w:suppressAutoHyphens/>
      <w:autoSpaceDE w:val="0"/>
      <w:autoSpaceDN w:val="0"/>
      <w:adjustRightInd w:val="0"/>
      <w:spacing w:after="68" w:line="312" w:lineRule="atLeast"/>
      <w:textAlignment w:val="center"/>
    </w:pPr>
    <w:rPr>
      <w:rFonts w:eastAsia="Times New Roman" w:cs="Gotham-Bold"/>
      <w:b/>
      <w:bCs/>
      <w:color w:val="0099C5"/>
      <w:spacing w:val="-3"/>
      <w:sz w:val="31"/>
      <w:szCs w:val="31"/>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77BF"/>
    <w:pPr>
      <w:spacing w:after="120"/>
    </w:pPr>
    <w:rPr>
      <w:rFonts w:ascii="Arial" w:eastAsiaTheme="minorEastAsia" w:hAnsi="Arial" w:cstheme="minorBidi"/>
      <w:sz w:val="18"/>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F11D0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45A8A" w:themeColor="accent1" w:themeShade="B5"/>
      <w:sz w:val="32"/>
      <w:szCs w:val="32"/>
    </w:rPr>
  </w:style>
  <w:style w:type="paragraph" w:customStyle="1" w:styleId="x00-cover-date">
    <w:name w:val="x00-cover-date"/>
    <w:basedOn w:val="Normal"/>
    <w:rsid w:val="00105798"/>
    <w:pPr>
      <w:spacing w:before="100" w:beforeAutospacing="1" w:after="100" w:afterAutospacing="1"/>
      <w:jc w:val="right"/>
    </w:pPr>
    <w:rPr>
      <w:b/>
      <w:color w:val="1D4A74"/>
      <w:sz w:val="44"/>
      <w:szCs w:val="44"/>
    </w:rPr>
  </w:style>
  <w:style w:type="paragraph" w:styleId="NormalWeb">
    <w:name w:val="Normal (Web)"/>
    <w:basedOn w:val="Normal"/>
    <w:uiPriority w:val="99"/>
    <w:unhideWhenUsed/>
    <w:rsid w:val="004D04BA"/>
    <w:pPr>
      <w:spacing w:before="120" w:line="240" w:lineRule="exact"/>
    </w:pPr>
    <w:rPr>
      <w:rFonts w:cs="Times New Roman"/>
      <w:color w:val="000000" w:themeColor="text1"/>
      <w:spacing w:val="4"/>
      <w:szCs w:val="18"/>
    </w:rPr>
  </w:style>
  <w:style w:type="character" w:customStyle="1" w:styleId="x02-body-bold">
    <w:name w:val="x02-body-bold"/>
    <w:basedOn w:val="DefaultParagraphFont"/>
    <w:rsid w:val="00E224F2"/>
    <w:rPr>
      <w:rFonts w:ascii="Arial" w:hAnsi="Arial"/>
      <w:b/>
    </w:rPr>
  </w:style>
  <w:style w:type="character" w:customStyle="1" w:styleId="x02-body-italic">
    <w:name w:val="x02-body-italic"/>
    <w:basedOn w:val="DefaultParagraphFont"/>
    <w:rsid w:val="00AE77BF"/>
    <w:rPr>
      <w:rFonts w:ascii="Arial" w:hAnsi="Arial"/>
      <w:i/>
    </w:rPr>
  </w:style>
  <w:style w:type="character" w:customStyle="1" w:styleId="white">
    <w:name w:val="white"/>
    <w:basedOn w:val="DefaultParagraphFont"/>
    <w:rsid w:val="00CD468E"/>
    <w:rPr>
      <w:rFonts w:ascii="Arial" w:hAnsi="Arial"/>
    </w:rPr>
  </w:style>
  <w:style w:type="paragraph" w:customStyle="1" w:styleId="x03-footer">
    <w:name w:val="x03-footer"/>
    <w:basedOn w:val="Normal"/>
    <w:rsid w:val="00105798"/>
    <w:pPr>
      <w:spacing w:before="100" w:beforeAutospacing="1" w:after="100" w:afterAutospacing="1"/>
    </w:pPr>
    <w:rPr>
      <w:color w:val="1D4A74"/>
      <w:sz w:val="14"/>
      <w:szCs w:val="14"/>
    </w:rPr>
  </w:style>
  <w:style w:type="paragraph" w:customStyle="1" w:styleId="x01-h1">
    <w:name w:val="x01-h1"/>
    <w:basedOn w:val="Normal"/>
    <w:rsid w:val="00E224F2"/>
    <w:pPr>
      <w:spacing w:before="240" w:after="360"/>
    </w:pPr>
    <w:rPr>
      <w:color w:val="1D4A74"/>
      <w:sz w:val="46"/>
      <w:szCs w:val="46"/>
    </w:rPr>
  </w:style>
  <w:style w:type="paragraph" w:customStyle="1" w:styleId="x00-contents-body">
    <w:name w:val="x00-contents-body"/>
    <w:basedOn w:val="Normal"/>
    <w:rsid w:val="00D053C2"/>
    <w:pPr>
      <w:pBdr>
        <w:top w:val="dotted" w:sz="12" w:space="1" w:color="C5C0B2"/>
        <w:bottom w:val="dotted" w:sz="8" w:space="1" w:color="5E6263"/>
        <w:between w:val="dotted" w:sz="8" w:space="1" w:color="5E6263"/>
      </w:pBdr>
      <w:tabs>
        <w:tab w:val="right" w:pos="9639"/>
      </w:tabs>
      <w:spacing w:after="360"/>
    </w:pPr>
    <w:rPr>
      <w:color w:val="666967"/>
      <w:sz w:val="20"/>
    </w:rPr>
  </w:style>
  <w:style w:type="character" w:customStyle="1" w:styleId="x02-superscript">
    <w:name w:val="x02-superscript"/>
    <w:basedOn w:val="DefaultParagraphFont"/>
    <w:rsid w:val="00AE77BF"/>
    <w:rPr>
      <w:rFonts w:ascii="Arial" w:hAnsi="Arial"/>
      <w:caps w:val="0"/>
      <w:smallCaps w:val="0"/>
      <w:strike w:val="0"/>
      <w:dstrike w:val="0"/>
      <w:vanish w:val="0"/>
      <w:vertAlign w:val="superscript"/>
    </w:rPr>
  </w:style>
  <w:style w:type="paragraph" w:customStyle="1" w:styleId="x01-h2">
    <w:name w:val="x01-h2"/>
    <w:basedOn w:val="Normal"/>
    <w:rsid w:val="00510CAF"/>
    <w:pPr>
      <w:spacing w:before="240"/>
    </w:pPr>
    <w:rPr>
      <w:color w:val="1D4A74"/>
      <w:sz w:val="28"/>
      <w:szCs w:val="28"/>
    </w:rPr>
  </w:style>
  <w:style w:type="paragraph" w:customStyle="1" w:styleId="x01-h3">
    <w:name w:val="x01-h3"/>
    <w:basedOn w:val="Normal"/>
    <w:rsid w:val="003C578E"/>
    <w:pPr>
      <w:spacing w:before="120" w:after="0"/>
    </w:pPr>
    <w:rPr>
      <w:color w:val="1D4A74"/>
      <w:sz w:val="24"/>
      <w:szCs w:val="24"/>
    </w:rPr>
  </w:style>
  <w:style w:type="paragraph" w:customStyle="1" w:styleId="x03-figure-heading">
    <w:name w:val="x03-figure-heading"/>
    <w:basedOn w:val="Normal"/>
    <w:rsid w:val="00697608"/>
    <w:pPr>
      <w:spacing w:before="240"/>
    </w:pPr>
    <w:rPr>
      <w:b/>
      <w:bCs/>
      <w:color w:val="666967"/>
      <w:sz w:val="22"/>
      <w:szCs w:val="22"/>
    </w:rPr>
  </w:style>
  <w:style w:type="character" w:customStyle="1" w:styleId="x02-body-roman">
    <w:name w:val="x02-body-roman"/>
    <w:basedOn w:val="DefaultParagraphFont"/>
    <w:rsid w:val="00AE77BF"/>
    <w:rPr>
      <w:rFonts w:ascii="Arial" w:hAnsi="Arial"/>
      <w:b/>
    </w:rPr>
  </w:style>
  <w:style w:type="paragraph" w:customStyle="1" w:styleId="x01-h2-span">
    <w:name w:val="x01-h2-span"/>
    <w:basedOn w:val="Normal"/>
    <w:rsid w:val="00CD468E"/>
    <w:pPr>
      <w:spacing w:before="240"/>
    </w:pPr>
    <w:rPr>
      <w:color w:val="1D4A74"/>
      <w:sz w:val="28"/>
      <w:szCs w:val="28"/>
    </w:rPr>
  </w:style>
  <w:style w:type="paragraph" w:customStyle="1" w:styleId="x01-h4">
    <w:name w:val="x01-h4"/>
    <w:basedOn w:val="Normal"/>
    <w:rsid w:val="00CD468E"/>
    <w:pPr>
      <w:spacing w:before="120"/>
    </w:pPr>
    <w:rPr>
      <w:b/>
      <w:bCs/>
      <w:color w:val="666967"/>
      <w:sz w:val="22"/>
      <w:szCs w:val="22"/>
    </w:rPr>
  </w:style>
  <w:style w:type="character" w:customStyle="1" w:styleId="char-style-override-2">
    <w:name w:val="char-style-override-2"/>
    <w:basedOn w:val="DefaultParagraphFont"/>
  </w:style>
  <w:style w:type="paragraph" w:customStyle="1" w:styleId="x01-h5">
    <w:name w:val="x01-h5"/>
    <w:basedOn w:val="Normal"/>
    <w:rsid w:val="00CD468E"/>
    <w:pPr>
      <w:spacing w:before="120" w:after="0"/>
    </w:pPr>
    <w:rPr>
      <w:color w:val="000000" w:themeColor="text1"/>
      <w:sz w:val="22"/>
      <w:szCs w:val="22"/>
    </w:rPr>
  </w:style>
  <w:style w:type="paragraph" w:customStyle="1" w:styleId="x04-table-head-l">
    <w:name w:val="x04-table-head-l"/>
    <w:basedOn w:val="Normal"/>
    <w:rsid w:val="00CD468E"/>
    <w:pPr>
      <w:spacing w:before="100" w:beforeAutospacing="1" w:after="100" w:afterAutospacing="1"/>
    </w:pPr>
    <w:rPr>
      <w:b/>
      <w:bCs/>
      <w:color w:val="FFFFFF" w:themeColor="background1"/>
      <w:szCs w:val="18"/>
    </w:rPr>
  </w:style>
  <w:style w:type="paragraph" w:customStyle="1" w:styleId="x04-footnotes">
    <w:name w:val="x04-footnotes"/>
    <w:basedOn w:val="Normal"/>
    <w:rsid w:val="00416186"/>
    <w:pPr>
      <w:spacing w:before="60" w:after="60"/>
    </w:pPr>
    <w:rPr>
      <w:sz w:val="14"/>
    </w:rPr>
  </w:style>
  <w:style w:type="character" w:customStyle="1" w:styleId="char-style-override-3">
    <w:name w:val="char-style-override-3"/>
    <w:basedOn w:val="DefaultParagraphFont"/>
  </w:style>
  <w:style w:type="character" w:customStyle="1" w:styleId="char-style-override-4">
    <w:name w:val="char-style-override-4"/>
    <w:basedOn w:val="DefaultParagraphFont"/>
  </w:style>
  <w:style w:type="character" w:customStyle="1" w:styleId="x02-url">
    <w:name w:val="x02-url"/>
    <w:basedOn w:val="DefaultParagraphFont"/>
    <w:rsid w:val="00CD468E"/>
    <w:rPr>
      <w:rFonts w:ascii="Arial" w:hAnsi="Arial"/>
      <w:b/>
      <w:bCs/>
      <w:color w:val="1D4A74"/>
    </w:rPr>
  </w:style>
  <w:style w:type="character" w:customStyle="1" w:styleId="x03-gotham-medium-italic">
    <w:name w:val="x03-gotham-medium-italic"/>
    <w:basedOn w:val="DefaultParagraphFont"/>
    <w:rsid w:val="00CD468E"/>
    <w:rPr>
      <w:rFonts w:ascii="Arial" w:hAnsi="Arial"/>
      <w:b/>
      <w:bCs/>
      <w:i/>
      <w:iCs/>
      <w:color w:val="1D4A74"/>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customStyle="1" w:styleId="bullets">
    <w:name w:val="bullets"/>
    <w:basedOn w:val="DefaultParagraphFont"/>
    <w:rsid w:val="00E224F2"/>
    <w:rPr>
      <w:color w:val="1D4A74"/>
    </w:rPr>
  </w:style>
  <w:style w:type="paragraph" w:customStyle="1" w:styleId="x04-body-8pt">
    <w:name w:val="x04-body-8pt"/>
    <w:basedOn w:val="Normal"/>
    <w:rsid w:val="00697608"/>
    <w:pPr>
      <w:spacing w:after="100"/>
    </w:pPr>
    <w:rPr>
      <w:sz w:val="16"/>
    </w:rPr>
  </w:style>
  <w:style w:type="paragraph" w:customStyle="1" w:styleId="para-style-override-4">
    <w:name w:val="para-style-override-4"/>
    <w:basedOn w:val="Normal"/>
    <w:pPr>
      <w:spacing w:before="100" w:beforeAutospacing="1" w:after="100" w:afterAutospacing="1"/>
    </w:pPr>
  </w:style>
  <w:style w:type="paragraph" w:customStyle="1" w:styleId="x02-intro">
    <w:name w:val="x02-intro"/>
    <w:basedOn w:val="Normal"/>
    <w:rsid w:val="00CD468E"/>
    <w:pPr>
      <w:spacing w:before="120" w:after="240"/>
    </w:pPr>
    <w:rPr>
      <w:color w:val="000000" w:themeColor="text1"/>
      <w:sz w:val="24"/>
      <w:szCs w:val="24"/>
    </w:rPr>
  </w:style>
  <w:style w:type="character" w:customStyle="1" w:styleId="x02-subscript">
    <w:name w:val="x02-subscript"/>
    <w:basedOn w:val="DefaultParagraphFont"/>
    <w:rsid w:val="00AE77BF"/>
    <w:rPr>
      <w:rFonts w:ascii="Arial" w:hAnsi="Arial"/>
      <w:caps w:val="0"/>
      <w:smallCaps w:val="0"/>
      <w:strike w:val="0"/>
      <w:dstrike w:val="0"/>
      <w:vanish w:val="0"/>
      <w:vertAlign w:val="subscript"/>
    </w:rPr>
  </w:style>
  <w:style w:type="paragraph" w:customStyle="1" w:styleId="x03-references">
    <w:name w:val="x03-references"/>
    <w:basedOn w:val="Normal"/>
    <w:rsid w:val="00CD468E"/>
    <w:pPr>
      <w:spacing w:before="60"/>
    </w:pPr>
    <w:rPr>
      <w:sz w:val="14"/>
    </w:rPr>
  </w:style>
  <w:style w:type="character" w:customStyle="1" w:styleId="char-style-override-9">
    <w:name w:val="char-style-override-9"/>
    <w:basedOn w:val="DefaultParagraphFont"/>
  </w:style>
  <w:style w:type="paragraph" w:customStyle="1" w:styleId="para-style-override-6">
    <w:name w:val="para-style-override-6"/>
    <w:basedOn w:val="Normal"/>
    <w:pPr>
      <w:spacing w:before="100" w:beforeAutospacing="1" w:after="100" w:afterAutospacing="1"/>
    </w:pPr>
  </w:style>
  <w:style w:type="character" w:customStyle="1" w:styleId="x02-body-bold-italic">
    <w:name w:val="x02-body-bold-italic"/>
    <w:basedOn w:val="DefaultParagraphFont"/>
    <w:rsid w:val="00AE77BF"/>
    <w:rPr>
      <w:rFonts w:ascii="Arial" w:hAnsi="Arial"/>
      <w:b/>
      <w:i/>
    </w:rPr>
  </w:style>
  <w:style w:type="character" w:customStyle="1" w:styleId="char-style-override-11">
    <w:name w:val="char-style-override-11"/>
    <w:basedOn w:val="DefaultParagraphFont"/>
  </w:style>
  <w:style w:type="paragraph" w:customStyle="1" w:styleId="x04-appendices-graphic-body">
    <w:name w:val="x04-appendices-graphic-body"/>
    <w:basedOn w:val="Normal"/>
    <w:pPr>
      <w:spacing w:before="100" w:beforeAutospacing="1" w:after="100" w:afterAutospacing="1"/>
    </w:pPr>
  </w:style>
  <w:style w:type="character" w:customStyle="1" w:styleId="grey">
    <w:name w:val="grey"/>
    <w:basedOn w:val="DefaultParagraphFont"/>
  </w:style>
  <w:style w:type="paragraph" w:customStyle="1" w:styleId="para-style-override-8">
    <w:name w:val="para-style-override-8"/>
    <w:basedOn w:val="Normal"/>
    <w:pPr>
      <w:spacing w:before="100" w:beforeAutospacing="1" w:after="100" w:afterAutospacing="1"/>
    </w:pPr>
  </w:style>
  <w:style w:type="paragraph" w:styleId="Header">
    <w:name w:val="header"/>
    <w:basedOn w:val="Normal"/>
    <w:link w:val="HeaderChar"/>
    <w:uiPriority w:val="99"/>
    <w:unhideWhenUsed/>
    <w:rsid w:val="00EC1EC9"/>
    <w:pPr>
      <w:tabs>
        <w:tab w:val="center" w:pos="4320"/>
        <w:tab w:val="right" w:pos="8640"/>
      </w:tabs>
    </w:pPr>
  </w:style>
  <w:style w:type="character" w:customStyle="1" w:styleId="HeaderChar">
    <w:name w:val="Header Char"/>
    <w:basedOn w:val="DefaultParagraphFont"/>
    <w:link w:val="Header"/>
    <w:uiPriority w:val="99"/>
    <w:rsid w:val="00EC1EC9"/>
    <w:rPr>
      <w:rFonts w:ascii="Times" w:eastAsiaTheme="minorEastAsia" w:hAnsi="Times" w:cstheme="minorBidi"/>
    </w:rPr>
  </w:style>
  <w:style w:type="paragraph" w:styleId="Footer">
    <w:name w:val="footer"/>
    <w:basedOn w:val="Normal"/>
    <w:link w:val="FooterChar"/>
    <w:uiPriority w:val="99"/>
    <w:unhideWhenUsed/>
    <w:rsid w:val="00EC1EC9"/>
    <w:pPr>
      <w:tabs>
        <w:tab w:val="center" w:pos="4320"/>
        <w:tab w:val="right" w:pos="8640"/>
      </w:tabs>
    </w:pPr>
  </w:style>
  <w:style w:type="character" w:customStyle="1" w:styleId="FooterChar">
    <w:name w:val="Footer Char"/>
    <w:basedOn w:val="DefaultParagraphFont"/>
    <w:link w:val="Footer"/>
    <w:uiPriority w:val="99"/>
    <w:rsid w:val="00EC1EC9"/>
    <w:rPr>
      <w:rFonts w:ascii="Times" w:eastAsiaTheme="minorEastAsia" w:hAnsi="Times" w:cstheme="minorBidi"/>
    </w:rPr>
  </w:style>
  <w:style w:type="paragraph" w:styleId="BalloonText">
    <w:name w:val="Balloon Text"/>
    <w:basedOn w:val="Normal"/>
    <w:link w:val="BalloonTextChar"/>
    <w:uiPriority w:val="99"/>
    <w:semiHidden/>
    <w:unhideWhenUsed/>
    <w:rsid w:val="00EC1EC9"/>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EC1EC9"/>
    <w:rPr>
      <w:rFonts w:ascii="Lucida Grande" w:eastAsiaTheme="minorEastAsia" w:hAnsi="Lucida Grande" w:cs="Lucida Grande"/>
      <w:sz w:val="18"/>
      <w:szCs w:val="18"/>
    </w:rPr>
  </w:style>
  <w:style w:type="paragraph" w:customStyle="1" w:styleId="03footer">
    <w:name w:val="03_footer"/>
    <w:basedOn w:val="Normal"/>
    <w:uiPriority w:val="99"/>
    <w:rsid w:val="00EC1EC9"/>
    <w:pPr>
      <w:widowControl w:val="0"/>
      <w:tabs>
        <w:tab w:val="left" w:pos="340"/>
      </w:tabs>
      <w:suppressAutoHyphens/>
      <w:autoSpaceDE w:val="0"/>
      <w:autoSpaceDN w:val="0"/>
      <w:adjustRightInd w:val="0"/>
      <w:spacing w:after="170" w:line="260" w:lineRule="atLeast"/>
      <w:textAlignment w:val="center"/>
    </w:pPr>
    <w:rPr>
      <w:rFonts w:eastAsia="Times New Roman" w:cs="HelveticaNeue-Light"/>
      <w:color w:val="1D4A74"/>
      <w:sz w:val="14"/>
      <w:szCs w:val="14"/>
      <w:lang w:val="en-GB"/>
    </w:rPr>
  </w:style>
  <w:style w:type="character" w:styleId="PageNumber">
    <w:name w:val="page number"/>
    <w:basedOn w:val="DefaultParagraphFont"/>
    <w:uiPriority w:val="99"/>
    <w:semiHidden/>
    <w:unhideWhenUsed/>
    <w:rsid w:val="00EC1EC9"/>
    <w:rPr>
      <w:rFonts w:ascii="Arial" w:hAnsi="Arial"/>
      <w:b/>
      <w:bCs/>
      <w:color w:val="1D4A74"/>
      <w:sz w:val="22"/>
      <w:szCs w:val="22"/>
    </w:rPr>
  </w:style>
  <w:style w:type="paragraph" w:customStyle="1" w:styleId="00CoverH1">
    <w:name w:val="00_Cover_H1"/>
    <w:basedOn w:val="Normal"/>
    <w:uiPriority w:val="99"/>
    <w:rsid w:val="00105798"/>
    <w:pPr>
      <w:widowControl w:val="0"/>
      <w:suppressAutoHyphens/>
      <w:autoSpaceDE w:val="0"/>
      <w:autoSpaceDN w:val="0"/>
      <w:adjustRightInd w:val="0"/>
      <w:spacing w:after="113" w:line="520" w:lineRule="atLeast"/>
      <w:jc w:val="right"/>
      <w:textAlignment w:val="center"/>
    </w:pPr>
    <w:rPr>
      <w:rFonts w:eastAsia="Times New Roman" w:cs="Gotham-Bold"/>
      <w:b/>
      <w:bCs/>
      <w:color w:val="FFFFFF"/>
      <w:spacing w:val="-5"/>
      <w:sz w:val="52"/>
      <w:szCs w:val="52"/>
      <w:lang w:val="en-GB"/>
    </w:rPr>
  </w:style>
  <w:style w:type="paragraph" w:customStyle="1" w:styleId="00Citation">
    <w:name w:val="00_Citation"/>
    <w:basedOn w:val="Normal"/>
    <w:uiPriority w:val="99"/>
    <w:rsid w:val="00E224F2"/>
    <w:pPr>
      <w:widowControl w:val="0"/>
      <w:tabs>
        <w:tab w:val="left" w:pos="283"/>
        <w:tab w:val="left" w:pos="567"/>
        <w:tab w:val="left" w:pos="850"/>
        <w:tab w:val="left" w:pos="1134"/>
        <w:tab w:val="left" w:pos="1417"/>
        <w:tab w:val="left" w:pos="1701"/>
        <w:tab w:val="left" w:pos="1984"/>
      </w:tabs>
      <w:suppressAutoHyphens/>
      <w:autoSpaceDE w:val="0"/>
      <w:autoSpaceDN w:val="0"/>
      <w:adjustRightInd w:val="0"/>
      <w:spacing w:line="220" w:lineRule="atLeast"/>
      <w:textAlignment w:val="center"/>
    </w:pPr>
    <w:rPr>
      <w:rFonts w:eastAsia="Times New Roman" w:cs="HelveticaNeue-Light"/>
      <w:color w:val="000000" w:themeColor="text1"/>
      <w:spacing w:val="4"/>
      <w:szCs w:val="18"/>
      <w:lang w:val="en-GB"/>
    </w:rPr>
  </w:style>
  <w:style w:type="character" w:customStyle="1" w:styleId="02bodybold">
    <w:name w:val="02_body bold"/>
    <w:uiPriority w:val="99"/>
    <w:rsid w:val="00E224F2"/>
    <w:rPr>
      <w:rFonts w:ascii="Arial" w:hAnsi="Arial" w:cs="HelveticaNeue-Medium"/>
      <w:b/>
    </w:rPr>
  </w:style>
  <w:style w:type="character" w:customStyle="1" w:styleId="02bodyitalic">
    <w:name w:val="02_body italic"/>
    <w:uiPriority w:val="99"/>
    <w:rsid w:val="00E224F2"/>
    <w:rPr>
      <w:rFonts w:ascii="HelveticaNeue-LightItalic" w:hAnsi="HelveticaNeue-LightItalic" w:cs="HelveticaNeue-LightItalic"/>
      <w:i/>
      <w:iCs/>
    </w:rPr>
  </w:style>
  <w:style w:type="paragraph" w:customStyle="1" w:styleId="00sectionhead">
    <w:name w:val="00_section head"/>
    <w:basedOn w:val="Normal"/>
    <w:uiPriority w:val="99"/>
    <w:rsid w:val="00E224F2"/>
    <w:pPr>
      <w:keepLines/>
      <w:widowControl w:val="0"/>
      <w:suppressAutoHyphens/>
      <w:autoSpaceDE w:val="0"/>
      <w:autoSpaceDN w:val="0"/>
      <w:adjustRightInd w:val="0"/>
      <w:spacing w:before="60" w:line="780" w:lineRule="atLeast"/>
      <w:textAlignment w:val="center"/>
    </w:pPr>
    <w:rPr>
      <w:rFonts w:eastAsia="Times New Roman" w:cs="Gotham-Book"/>
      <w:color w:val="1D4A74"/>
      <w:spacing w:val="-15"/>
      <w:sz w:val="74"/>
      <w:szCs w:val="74"/>
      <w:lang w:val="en-GB"/>
    </w:rPr>
  </w:style>
  <w:style w:type="character" w:customStyle="1" w:styleId="whitecolours">
    <w:name w:val="white (colours)"/>
    <w:uiPriority w:val="99"/>
    <w:rsid w:val="00E224F2"/>
    <w:rPr>
      <w:outline/>
    </w:rPr>
  </w:style>
  <w:style w:type="paragraph" w:customStyle="1" w:styleId="02Body">
    <w:name w:val="02_Body"/>
    <w:basedOn w:val="Normal"/>
    <w:uiPriority w:val="99"/>
    <w:rsid w:val="0083412A"/>
    <w:pPr>
      <w:widowControl w:val="0"/>
      <w:tabs>
        <w:tab w:val="left" w:pos="283"/>
        <w:tab w:val="left" w:pos="567"/>
        <w:tab w:val="left" w:pos="850"/>
        <w:tab w:val="left" w:pos="1134"/>
        <w:tab w:val="left" w:pos="1417"/>
        <w:tab w:val="left" w:pos="1701"/>
        <w:tab w:val="left" w:pos="1984"/>
      </w:tabs>
      <w:suppressAutoHyphens/>
      <w:autoSpaceDE w:val="0"/>
      <w:autoSpaceDN w:val="0"/>
      <w:adjustRightInd w:val="0"/>
      <w:spacing w:after="100" w:line="240" w:lineRule="atLeast"/>
      <w:textAlignment w:val="center"/>
    </w:pPr>
    <w:rPr>
      <w:rFonts w:eastAsia="Times New Roman" w:cs="HelveticaNeue-Light"/>
      <w:color w:val="000000"/>
      <w:spacing w:val="4"/>
      <w:szCs w:val="18"/>
      <w:lang w:val="en-GB"/>
    </w:rPr>
  </w:style>
  <w:style w:type="paragraph" w:customStyle="1" w:styleId="02bullet">
    <w:name w:val="02_bullet"/>
    <w:basedOn w:val="Normal"/>
    <w:qFormat/>
    <w:rsid w:val="009655EA"/>
    <w:pPr>
      <w:numPr>
        <w:numId w:val="1"/>
      </w:numPr>
      <w:spacing w:after="100"/>
      <w:ind w:left="714" w:hanging="357"/>
    </w:pPr>
    <w:rPr>
      <w:rFonts w:eastAsia="Times New Roman" w:cs="Times New Roman"/>
      <w:spacing w:val="4"/>
      <w:szCs w:val="18"/>
    </w:rPr>
  </w:style>
  <w:style w:type="table" w:styleId="TableGrid">
    <w:name w:val="Table Grid"/>
    <w:basedOn w:val="TableNormal"/>
    <w:uiPriority w:val="59"/>
    <w:rsid w:val="00C829B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
    <w:name w:val="Style1"/>
    <w:basedOn w:val="Normal"/>
    <w:qFormat/>
    <w:rsid w:val="00C829BA"/>
    <w:pPr>
      <w:spacing w:after="100"/>
    </w:pPr>
    <w:rPr>
      <w:rFonts w:eastAsia="Times New Roman" w:cs="Times New Roman"/>
    </w:rPr>
  </w:style>
  <w:style w:type="paragraph" w:customStyle="1" w:styleId="02Bulletlevel2">
    <w:name w:val="02_Bullet level 2"/>
    <w:basedOn w:val="Normal"/>
    <w:qFormat/>
    <w:rsid w:val="00C829BA"/>
    <w:pPr>
      <w:numPr>
        <w:numId w:val="71"/>
      </w:numPr>
    </w:pPr>
    <w:rPr>
      <w:rFonts w:eastAsia="Times New Roman" w:cs="Times New Roman"/>
    </w:rPr>
  </w:style>
  <w:style w:type="paragraph" w:customStyle="1" w:styleId="02Bulletlevel3">
    <w:name w:val="02_Bullet level 3"/>
    <w:basedOn w:val="Normal"/>
    <w:qFormat/>
    <w:rsid w:val="00C829BA"/>
    <w:pPr>
      <w:numPr>
        <w:numId w:val="11"/>
      </w:numPr>
      <w:ind w:left="2154" w:hanging="357"/>
    </w:pPr>
    <w:rPr>
      <w:rFonts w:eastAsia="Times New Roman" w:cs="Times New Roman"/>
    </w:rPr>
  </w:style>
  <w:style w:type="paragraph" w:customStyle="1" w:styleId="02Bulletnoindent">
    <w:name w:val="02_Bullet no indent"/>
    <w:basedOn w:val="02bullet"/>
    <w:qFormat/>
    <w:rsid w:val="004D04BA"/>
    <w:pPr>
      <w:ind w:left="284" w:hanging="284"/>
    </w:pPr>
  </w:style>
  <w:style w:type="paragraph" w:customStyle="1" w:styleId="00IndicatorH1">
    <w:name w:val="00_Indicator H1"/>
    <w:basedOn w:val="Normal"/>
    <w:uiPriority w:val="99"/>
    <w:rsid w:val="00265406"/>
    <w:pPr>
      <w:keepLines/>
      <w:widowControl w:val="0"/>
      <w:suppressAutoHyphens/>
      <w:autoSpaceDE w:val="0"/>
      <w:autoSpaceDN w:val="0"/>
      <w:adjustRightInd w:val="0"/>
      <w:spacing w:before="120" w:line="420" w:lineRule="atLeast"/>
      <w:textAlignment w:val="center"/>
    </w:pPr>
    <w:rPr>
      <w:rFonts w:eastAsia="Times New Roman" w:cs="Gotham-Medium"/>
      <w:b/>
      <w:bCs/>
      <w:color w:val="0099C5"/>
      <w:spacing w:val="-8"/>
      <w:sz w:val="38"/>
      <w:szCs w:val="38"/>
      <w:lang w:val="en-GB"/>
    </w:rPr>
  </w:style>
  <w:style w:type="character" w:customStyle="1" w:styleId="Heading2Char">
    <w:name w:val="Heading 2 Char"/>
    <w:basedOn w:val="DefaultParagraphFont"/>
    <w:link w:val="Heading2"/>
    <w:uiPriority w:val="9"/>
    <w:rsid w:val="00F11D0D"/>
    <w:rPr>
      <w:rFonts w:asciiTheme="majorHAnsi" w:eastAsiaTheme="majorEastAsia" w:hAnsiTheme="majorHAnsi" w:cstheme="majorBidi"/>
      <w:b/>
      <w:bCs/>
      <w:color w:val="4F81BD" w:themeColor="accent1"/>
      <w:sz w:val="26"/>
      <w:szCs w:val="26"/>
    </w:rPr>
  </w:style>
  <w:style w:type="paragraph" w:customStyle="1" w:styleId="01H1">
    <w:name w:val="01_H1"/>
    <w:basedOn w:val="Normal"/>
    <w:uiPriority w:val="99"/>
    <w:rsid w:val="00335EC6"/>
    <w:pPr>
      <w:keepLines/>
      <w:widowControl w:val="0"/>
      <w:suppressAutoHyphens/>
      <w:autoSpaceDE w:val="0"/>
      <w:autoSpaceDN w:val="0"/>
      <w:adjustRightInd w:val="0"/>
      <w:spacing w:before="57" w:after="113" w:line="480" w:lineRule="atLeast"/>
      <w:textAlignment w:val="center"/>
    </w:pPr>
    <w:rPr>
      <w:rFonts w:ascii="Gotham-Book" w:eastAsia="Times New Roman" w:hAnsi="Gotham-Book" w:cs="Gotham-Book"/>
      <w:color w:val="1A659A"/>
      <w:spacing w:val="-9"/>
      <w:sz w:val="46"/>
      <w:szCs w:val="46"/>
      <w:lang w:val="en-GB"/>
    </w:rPr>
  </w:style>
  <w:style w:type="paragraph" w:customStyle="1" w:styleId="00pagetopleft">
    <w:name w:val="00_page top left"/>
    <w:basedOn w:val="Normal"/>
    <w:uiPriority w:val="99"/>
    <w:rsid w:val="00335EC6"/>
    <w:pPr>
      <w:widowControl w:val="0"/>
      <w:suppressAutoHyphens/>
      <w:autoSpaceDE w:val="0"/>
      <w:autoSpaceDN w:val="0"/>
      <w:adjustRightInd w:val="0"/>
      <w:spacing w:before="120" w:after="68" w:line="380" w:lineRule="atLeast"/>
      <w:textAlignment w:val="center"/>
    </w:pPr>
    <w:rPr>
      <w:rFonts w:eastAsia="Times New Roman" w:cs="Gotham-Bold"/>
      <w:b/>
      <w:bCs/>
      <w:color w:val="1D4A74"/>
      <w:spacing w:val="-3"/>
      <w:sz w:val="34"/>
      <w:szCs w:val="34"/>
      <w:lang w:val="en-GB"/>
    </w:rPr>
  </w:style>
  <w:style w:type="paragraph" w:customStyle="1" w:styleId="00pagetop2right">
    <w:name w:val="00_page top 2 right"/>
    <w:basedOn w:val="Normal"/>
    <w:uiPriority w:val="99"/>
    <w:rsid w:val="00563638"/>
    <w:pPr>
      <w:widowControl w:val="0"/>
      <w:suppressAutoHyphens/>
      <w:autoSpaceDE w:val="0"/>
      <w:autoSpaceDN w:val="0"/>
      <w:adjustRightInd w:val="0"/>
      <w:spacing w:before="120" w:after="240" w:line="312" w:lineRule="atLeast"/>
      <w:textAlignment w:val="center"/>
    </w:pPr>
    <w:rPr>
      <w:rFonts w:eastAsia="Times New Roman" w:cs="Gotham-Light"/>
      <w:color w:val="1D4A74"/>
      <w:spacing w:val="-3"/>
      <w:sz w:val="26"/>
      <w:szCs w:val="26"/>
      <w:lang w:val="en-GB"/>
    </w:rPr>
  </w:style>
  <w:style w:type="paragraph" w:styleId="TOC1">
    <w:name w:val="toc 1"/>
    <w:basedOn w:val="Normal"/>
    <w:next w:val="Normal"/>
    <w:autoRedefine/>
    <w:uiPriority w:val="39"/>
    <w:unhideWhenUsed/>
    <w:rsid w:val="00BD739E"/>
    <w:pPr>
      <w:spacing w:before="120" w:after="0"/>
    </w:pPr>
    <w:rPr>
      <w:rFonts w:asciiTheme="minorHAnsi" w:hAnsiTheme="minorHAnsi"/>
      <w:b/>
      <w:sz w:val="22"/>
      <w:szCs w:val="22"/>
    </w:rPr>
  </w:style>
  <w:style w:type="paragraph" w:styleId="TOC2">
    <w:name w:val="toc 2"/>
    <w:basedOn w:val="Normal"/>
    <w:next w:val="Normal"/>
    <w:autoRedefine/>
    <w:uiPriority w:val="39"/>
    <w:unhideWhenUsed/>
    <w:rsid w:val="00BD739E"/>
    <w:pPr>
      <w:spacing w:after="0"/>
      <w:ind w:left="180"/>
    </w:pPr>
    <w:rPr>
      <w:rFonts w:asciiTheme="minorHAnsi" w:hAnsiTheme="minorHAnsi"/>
      <w:i/>
      <w:sz w:val="22"/>
      <w:szCs w:val="22"/>
    </w:rPr>
  </w:style>
  <w:style w:type="paragraph" w:styleId="TOC3">
    <w:name w:val="toc 3"/>
    <w:basedOn w:val="Normal"/>
    <w:next w:val="Normal"/>
    <w:autoRedefine/>
    <w:uiPriority w:val="39"/>
    <w:unhideWhenUsed/>
    <w:rsid w:val="00BD739E"/>
    <w:pPr>
      <w:spacing w:after="0"/>
      <w:ind w:left="360"/>
    </w:pPr>
    <w:rPr>
      <w:rFonts w:asciiTheme="minorHAnsi" w:hAnsiTheme="minorHAnsi"/>
      <w:sz w:val="22"/>
      <w:szCs w:val="22"/>
    </w:rPr>
  </w:style>
  <w:style w:type="paragraph" w:styleId="TOC4">
    <w:name w:val="toc 4"/>
    <w:basedOn w:val="Normal"/>
    <w:next w:val="Normal"/>
    <w:autoRedefine/>
    <w:uiPriority w:val="39"/>
    <w:unhideWhenUsed/>
    <w:rsid w:val="00BD739E"/>
    <w:pPr>
      <w:spacing w:after="0"/>
      <w:ind w:left="540"/>
    </w:pPr>
    <w:rPr>
      <w:rFonts w:asciiTheme="minorHAnsi" w:hAnsiTheme="minorHAnsi"/>
      <w:sz w:val="20"/>
    </w:rPr>
  </w:style>
  <w:style w:type="paragraph" w:styleId="TOC5">
    <w:name w:val="toc 5"/>
    <w:basedOn w:val="Normal"/>
    <w:next w:val="Normal"/>
    <w:autoRedefine/>
    <w:uiPriority w:val="39"/>
    <w:unhideWhenUsed/>
    <w:rsid w:val="00BD739E"/>
    <w:pPr>
      <w:spacing w:after="0"/>
      <w:ind w:left="720"/>
    </w:pPr>
    <w:rPr>
      <w:rFonts w:asciiTheme="minorHAnsi" w:hAnsiTheme="minorHAnsi"/>
      <w:sz w:val="20"/>
    </w:rPr>
  </w:style>
  <w:style w:type="paragraph" w:styleId="TOC6">
    <w:name w:val="toc 6"/>
    <w:basedOn w:val="Normal"/>
    <w:next w:val="Normal"/>
    <w:autoRedefine/>
    <w:uiPriority w:val="39"/>
    <w:unhideWhenUsed/>
    <w:rsid w:val="00BD739E"/>
    <w:pPr>
      <w:spacing w:after="0"/>
      <w:ind w:left="900"/>
    </w:pPr>
    <w:rPr>
      <w:rFonts w:asciiTheme="minorHAnsi" w:hAnsiTheme="minorHAnsi"/>
      <w:sz w:val="20"/>
    </w:rPr>
  </w:style>
  <w:style w:type="paragraph" w:styleId="TOC7">
    <w:name w:val="toc 7"/>
    <w:basedOn w:val="Normal"/>
    <w:next w:val="Normal"/>
    <w:autoRedefine/>
    <w:uiPriority w:val="39"/>
    <w:unhideWhenUsed/>
    <w:rsid w:val="00BD739E"/>
    <w:pPr>
      <w:spacing w:after="0"/>
      <w:ind w:left="1080"/>
    </w:pPr>
    <w:rPr>
      <w:rFonts w:asciiTheme="minorHAnsi" w:hAnsiTheme="minorHAnsi"/>
      <w:sz w:val="20"/>
    </w:rPr>
  </w:style>
  <w:style w:type="paragraph" w:styleId="TOC8">
    <w:name w:val="toc 8"/>
    <w:basedOn w:val="Normal"/>
    <w:next w:val="Normal"/>
    <w:autoRedefine/>
    <w:uiPriority w:val="39"/>
    <w:unhideWhenUsed/>
    <w:rsid w:val="00BD739E"/>
    <w:pPr>
      <w:spacing w:after="0"/>
      <w:ind w:left="1260"/>
    </w:pPr>
    <w:rPr>
      <w:rFonts w:asciiTheme="minorHAnsi" w:hAnsiTheme="minorHAnsi"/>
      <w:sz w:val="20"/>
    </w:rPr>
  </w:style>
  <w:style w:type="paragraph" w:styleId="TOC9">
    <w:name w:val="toc 9"/>
    <w:basedOn w:val="Normal"/>
    <w:next w:val="Normal"/>
    <w:autoRedefine/>
    <w:uiPriority w:val="39"/>
    <w:unhideWhenUsed/>
    <w:rsid w:val="00BD739E"/>
    <w:pPr>
      <w:spacing w:after="0"/>
      <w:ind w:left="1440"/>
    </w:pPr>
    <w:rPr>
      <w:rFonts w:asciiTheme="minorHAnsi" w:hAnsiTheme="minorHAnsi"/>
      <w:sz w:val="20"/>
    </w:rPr>
  </w:style>
  <w:style w:type="paragraph" w:customStyle="1" w:styleId="00pagetop1">
    <w:name w:val="00_page top 1"/>
    <w:basedOn w:val="Normal"/>
    <w:uiPriority w:val="99"/>
    <w:rsid w:val="002D346E"/>
    <w:pPr>
      <w:widowControl w:val="0"/>
      <w:suppressAutoHyphens/>
      <w:autoSpaceDE w:val="0"/>
      <w:autoSpaceDN w:val="0"/>
      <w:adjustRightInd w:val="0"/>
      <w:spacing w:after="68" w:line="312" w:lineRule="atLeast"/>
      <w:textAlignment w:val="center"/>
    </w:pPr>
    <w:rPr>
      <w:rFonts w:eastAsia="Times New Roman" w:cs="Gotham-Bold"/>
      <w:b/>
      <w:bCs/>
      <w:color w:val="0099C5"/>
      <w:spacing w:val="-3"/>
      <w:sz w:val="31"/>
      <w:szCs w:val="31"/>
      <w:lang w:val="en-GB"/>
    </w:rPr>
  </w:style>
</w:styles>
</file>

<file path=word/webSettings.xml><?xml version="1.0" encoding="utf-8"?>
<w:webSettings xmlns:r="http://schemas.openxmlformats.org/officeDocument/2006/relationships" xmlns:w="http://schemas.openxmlformats.org/wordprocessingml/2006/main">
  <w:divs>
    <w:div w:id="1770810128">
      <w:marLeft w:val="0"/>
      <w:marRight w:val="0"/>
      <w:marTop w:val="0"/>
      <w:marBottom w:val="0"/>
      <w:divBdr>
        <w:top w:val="none" w:sz="0" w:space="0" w:color="auto"/>
        <w:left w:val="none" w:sz="0" w:space="0" w:color="auto"/>
        <w:bottom w:val="none" w:sz="0" w:space="0" w:color="auto"/>
        <w:right w:val="none" w:sz="0" w:space="0" w:color="auto"/>
      </w:divBdr>
      <w:divsChild>
        <w:div w:id="1422870910">
          <w:marLeft w:val="0"/>
          <w:marRight w:val="0"/>
          <w:marTop w:val="0"/>
          <w:marBottom w:val="0"/>
          <w:divBdr>
            <w:top w:val="none" w:sz="0" w:space="0" w:color="auto"/>
            <w:left w:val="none" w:sz="0" w:space="0" w:color="auto"/>
            <w:bottom w:val="none" w:sz="0" w:space="0" w:color="auto"/>
            <w:right w:val="none" w:sz="0" w:space="0" w:color="auto"/>
          </w:divBdr>
        </w:div>
        <w:div w:id="235896055">
          <w:marLeft w:val="0"/>
          <w:marRight w:val="0"/>
          <w:marTop w:val="0"/>
          <w:marBottom w:val="0"/>
          <w:divBdr>
            <w:top w:val="none" w:sz="0" w:space="0" w:color="auto"/>
            <w:left w:val="none" w:sz="0" w:space="0" w:color="auto"/>
            <w:bottom w:val="none" w:sz="0" w:space="0" w:color="auto"/>
            <w:right w:val="none" w:sz="0" w:space="0" w:color="auto"/>
          </w:divBdr>
        </w:div>
        <w:div w:id="753093417">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safetyandquality.gov.au" TargetMode="External"/><Relationship Id="rId104" Type="http://schemas.microsoft.com/office/2007/relationships/stylesWithEffects" Target="stylesWithEffects.xml"/><Relationship Id="rId10" Type="http://schemas.openxmlformats.org/officeDocument/2006/relationships/hyperlink" Target="http://learn.nps.org.au" TargetMode="External"/><Relationship Id="rId11" Type="http://schemas.openxmlformats.org/officeDocument/2006/relationships/hyperlink" Target="http://www.cec.health.nsw.gov.au/" TargetMode="External"/><Relationship Id="rId12" Type="http://schemas.openxmlformats.org/officeDocument/2006/relationships/hyperlink" Target="http://www.safetyandquality.gov.au" TargetMode="External"/><Relationship Id="rId13" Type="http://schemas.openxmlformats.org/officeDocument/2006/relationships/hyperlink" Target="http://www.nswtag.org.au" TargetMode="External"/><Relationship Id="rId14" Type="http://schemas.openxmlformats.org/officeDocument/2006/relationships/header" Target="header1.xml"/><Relationship Id="rId15" Type="http://schemas.openxmlformats.org/officeDocument/2006/relationships/footer" Target="footer1.xml"/><Relationship Id="rId16" Type="http://schemas.openxmlformats.org/officeDocument/2006/relationships/footer" Target="footer2.xml"/><Relationship Id="rId17" Type="http://schemas.openxmlformats.org/officeDocument/2006/relationships/header" Target="header2.xm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hyperlink" Target="http://www.nhmrc.gov.au/nic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1190</Words>
  <Characters>6787</Characters>
  <Application>Microsoft Macintosh Word</Application>
  <DocSecurity>0</DocSecurity>
  <Lines>56</Lines>
  <Paragraphs>13</Paragraphs>
  <ScaleCrop>false</ScaleCrop>
  <Company>gd</Company>
  <LinksUpToDate>false</LinksUpToDate>
  <CharactersWithSpaces>8334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SAQ127_National_QUM_Indicators_V14.html</dc:title>
  <dc:subject/>
  <dc:creator>goga dolic</dc:creator>
  <cp:keywords/>
  <dc:description/>
  <cp:lastModifiedBy>Karita Beard</cp:lastModifiedBy>
  <cp:revision>4</cp:revision>
  <dcterms:created xsi:type="dcterms:W3CDTF">2014-11-17T04:13:00Z</dcterms:created>
  <dcterms:modified xsi:type="dcterms:W3CDTF">2014-11-17T04:18:00Z</dcterms:modified>
</cp:coreProperties>
</file>