
<file path=[Content_Types].xml><?xml version="1.0" encoding="utf-8"?>
<Types xmlns="http://schemas.openxmlformats.org/package/2006/content-types">
  <Override PartName="/word/webSettings.xml" ContentType="application/vnd.openxmlformats-officedocument.wordprocessingml.webSettings+xml"/>
  <Override PartName="/word/footnotes.xml" ContentType="application/vnd.openxmlformats-officedocument.wordprocessingml.footnotes+xml"/>
  <Override PartName="/word/stylesWithEffects.xml" ContentType="application/vnd.ms-word.stylesWithEffects+xml"/>
  <Override PartName="/word/header1.xml" ContentType="application/vnd.openxmlformats-officedocument.wordprocessingml.header+xml"/>
  <Override PartName="/word/endnotes.xml" ContentType="application/vnd.openxmlformats-officedocument.wordprocessingml.endnotes+xml"/>
  <Default Extension="png" ContentType="image/png"/>
  <Override PartName="/word/numbering.xml" ContentType="application/vnd.openxmlformats-officedocument.wordprocessingml.numbering+xml"/>
  <Override PartName="/word/fontTable.xml" ContentType="application/vnd.openxmlformats-officedocument.wordprocessingml.fontTable+xml"/>
  <Default Extension="xml" ContentType="application/xml"/>
  <Override PartName="/word/theme/theme1.xml" ContentType="application/vnd.openxmlformats-officedocument.theme+xml"/>
  <Override PartName="/word/footer1.xml" ContentType="application/vnd.openxmlformats-officedocument.wordprocessingml.footer+xml"/>
  <Override PartName="/docProps/app.xml" ContentType="application/vnd.openxmlformats-officedocument.extended-properties+xml"/>
  <Override PartName="/word/document.xml" ContentType="application/vnd.openxmlformats-officedocument.wordprocessingml.document.main+xml"/>
  <Override PartName="/word/header2.xml" ContentType="application/vnd.openxmlformats-officedocument.wordprocessingml.header+xml"/>
  <Default Extension="jpeg" ContentType="image/jpeg"/>
  <Override PartName="/word/settings.xml" ContentType="application/vnd.openxmlformats-officedocument.wordprocessingml.settings+xml"/>
  <Default Extension="rels" ContentType="application/vnd.openxmlformats-package.relationships+xml"/>
  <Override PartName="/word/styles.xml" ContentType="application/vnd.openxmlformats-officedocument.wordprocessingml.styles+xml"/>
  <Override PartName="/docProps/core.xml" ContentType="application/vnd.openxmlformats-package.core-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E0132D" w:rsidRDefault="00E0132D">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Pr="00105798" w:rsidRDefault="00105798">
      <w:pPr>
        <w:divId w:val="1422870910"/>
        <w:rPr>
          <w:rFonts w:eastAsia="Times New Roman" w:cs="Times New Roman"/>
          <w:color w:val="1D4A74"/>
        </w:rPr>
      </w:pPr>
    </w:p>
    <w:p w:rsidR="00105798" w:rsidRPr="00F03BA1" w:rsidRDefault="00F03BA1" w:rsidP="00F03BA1">
      <w:pPr>
        <w:pStyle w:val="x00-cover-date"/>
        <w:divId w:val="753093417"/>
        <w:rPr>
          <w:rFonts w:cs="Times New Roman"/>
          <w:b w:val="0"/>
          <w:color w:val="FFFFFF" w:themeColor="background1"/>
          <w:sz w:val="52"/>
        </w:rPr>
      </w:pPr>
      <w:r w:rsidRPr="00F03BA1">
        <w:rPr>
          <w:rFonts w:cs="Times New Roman"/>
          <w:b w:val="0"/>
          <w:color w:val="FFFFFF" w:themeColor="background1"/>
          <w:sz w:val="52"/>
        </w:rPr>
        <w:t>Indicators</w:t>
      </w:r>
    </w:p>
    <w:p w:rsidR="00105798" w:rsidRDefault="00105798">
      <w:pPr>
        <w:pStyle w:val="x00-cover-date"/>
        <w:divId w:val="753093417"/>
        <w:rPr>
          <w:rFonts w:cs="Times New Roman"/>
        </w:rPr>
      </w:pPr>
    </w:p>
    <w:p w:rsidR="00105798" w:rsidRDefault="00105798">
      <w:pPr>
        <w:pStyle w:val="x00-cover-date"/>
        <w:divId w:val="753093417"/>
        <w:rPr>
          <w:rFonts w:cs="Times New Roman"/>
        </w:rPr>
      </w:pPr>
    </w:p>
    <w:p w:rsidR="00105798" w:rsidRDefault="00105798">
      <w:pPr>
        <w:pStyle w:val="x00-cover-date"/>
        <w:divId w:val="753093417"/>
        <w:rPr>
          <w:rFonts w:cs="Times New Roman"/>
        </w:rPr>
      </w:pPr>
    </w:p>
    <w:p w:rsidR="00105798" w:rsidRDefault="00105798" w:rsidP="00446FEA">
      <w:pPr>
        <w:pStyle w:val="x00-cover-date"/>
        <w:jc w:val="left"/>
        <w:divId w:val="753093417"/>
        <w:rPr>
          <w:rFonts w:cs="Times New Roman"/>
        </w:rPr>
      </w:pPr>
      <w:r>
        <w:rPr>
          <w:rFonts w:cs="Times New Roman"/>
        </w:rPr>
        <w:br/>
      </w:r>
    </w:p>
    <w:p w:rsidR="00105798" w:rsidRDefault="00105798">
      <w:pPr>
        <w:pStyle w:val="x00-cover-date"/>
        <w:divId w:val="753093417"/>
        <w:rPr>
          <w:rFonts w:cs="Times New Roman"/>
        </w:rPr>
      </w:pPr>
    </w:p>
    <w:p w:rsidR="00446FEA" w:rsidRDefault="00446FEA">
      <w:pPr>
        <w:pStyle w:val="x00-cover-date"/>
        <w:divId w:val="753093417"/>
        <w:rPr>
          <w:rFonts w:cs="Times New Roman"/>
        </w:rPr>
      </w:pPr>
    </w:p>
    <w:p w:rsidR="00E0132D" w:rsidRPr="00105798" w:rsidRDefault="00446FEA">
      <w:pPr>
        <w:pStyle w:val="x00-cover-date"/>
        <w:divId w:val="753093417"/>
        <w:rPr>
          <w:rFonts w:cs="Times New Roman"/>
        </w:rPr>
      </w:pPr>
      <w:r>
        <w:rPr>
          <w:rFonts w:cs="Times New Roman"/>
        </w:rPr>
        <w:br/>
      </w:r>
    </w:p>
    <w:p w:rsidR="00F3116D" w:rsidRDefault="00EC1EC9" w:rsidP="0014196D">
      <w:pPr>
        <w:rPr>
          <w:rFonts w:cs="HelveticaNeue-Light"/>
          <w:color w:val="000000"/>
          <w:spacing w:val="4"/>
          <w:szCs w:val="18"/>
          <w:lang w:val="en-GB"/>
        </w:rPr>
      </w:pPr>
      <w:r>
        <w:br w:type="page"/>
      </w:r>
    </w:p>
    <w:p w:rsidR="00563638" w:rsidRPr="00563638" w:rsidRDefault="00563638" w:rsidP="00563638">
      <w:pPr>
        <w:pStyle w:val="00pagetopleft"/>
      </w:pPr>
      <w:r w:rsidRPr="00563638">
        <w:t>Antibiotic therapy</w:t>
      </w:r>
    </w:p>
    <w:p w:rsidR="00563638" w:rsidRDefault="00563638" w:rsidP="00563638">
      <w:pPr>
        <w:pStyle w:val="00pagetop2right"/>
        <w:spacing w:after="120"/>
      </w:pPr>
      <w:r w:rsidRPr="00563638">
        <w:t>QUM domains: Appropriate choice</w:t>
      </w:r>
      <w:r>
        <w:t xml:space="preserve"> </w:t>
      </w:r>
    </w:p>
    <w:p w:rsidR="00563638" w:rsidRPr="00563638" w:rsidRDefault="00563638" w:rsidP="00563638">
      <w:pPr>
        <w:pStyle w:val="00pagetop2right"/>
        <w:spacing w:before="0"/>
      </w:pPr>
      <w:r w:rsidRPr="00563638">
        <w:t xml:space="preserve">Safe and effective use </w:t>
      </w:r>
    </w:p>
    <w:p w:rsidR="00E0132D" w:rsidRDefault="00AE21AC" w:rsidP="00F11D0D">
      <w:pPr>
        <w:pStyle w:val="00IndicatorH1"/>
      </w:pPr>
      <w:r>
        <w:t xml:space="preserve">2.1 Percentage of patients undergoing specified surgical procedures that receive an appropriate prophylactic antibiotic regimen </w:t>
      </w:r>
    </w:p>
    <w:p w:rsidR="00E0132D" w:rsidRDefault="00AE21AC">
      <w:pPr>
        <w:pStyle w:val="x01-h2"/>
        <w:rPr>
          <w:rFonts w:cs="Times New Roman"/>
        </w:rPr>
      </w:pPr>
      <w:r>
        <w:rPr>
          <w:rFonts w:cs="Times New Roman"/>
        </w:rPr>
        <w:t>Purpose</w:t>
      </w:r>
    </w:p>
    <w:p w:rsidR="00E0132D" w:rsidRDefault="00AE21AC" w:rsidP="00563638">
      <w:pPr>
        <w:pStyle w:val="02Body"/>
      </w:pPr>
      <w:r>
        <w:t xml:space="preserve">This indicator addresses the effectiveness of processes for preventing hospital-acquired infections. </w:t>
      </w:r>
    </w:p>
    <w:p w:rsidR="00E0132D" w:rsidRDefault="00AE21AC">
      <w:pPr>
        <w:pStyle w:val="x01-h2"/>
        <w:rPr>
          <w:rFonts w:cs="Times New Roman"/>
        </w:rPr>
      </w:pPr>
      <w:r>
        <w:rPr>
          <w:rFonts w:cs="Times New Roman"/>
        </w:rPr>
        <w:t>Background and evidence</w:t>
      </w:r>
    </w:p>
    <w:p w:rsidR="00E0132D" w:rsidRDefault="00AE21AC" w:rsidP="00563638">
      <w:pPr>
        <w:pStyle w:val="02Body"/>
      </w:pPr>
      <w:r>
        <w:t>Surgical site infections have been reported to be the second most common type of adverse event occurring in hospitalised patients,</w:t>
      </w:r>
      <w:r>
        <w:rPr>
          <w:rStyle w:val="x02-superscript"/>
        </w:rPr>
        <w:t>1</w:t>
      </w:r>
      <w:r>
        <w:t xml:space="preserve"> and have been estimated to cost up to $268 million per year.</w:t>
      </w:r>
      <w:r>
        <w:rPr>
          <w:rStyle w:val="x02-superscript"/>
        </w:rPr>
        <w:t>2</w:t>
      </w:r>
      <w:r>
        <w:t xml:space="preserve"> Surgical site infections are recognised to be an area for concern internationally, occurring in up to 5% of patients undergoing clean surgery,</w:t>
      </w:r>
      <w:r>
        <w:rPr>
          <w:rStyle w:val="x02-superscript"/>
        </w:rPr>
        <w:t>3</w:t>
      </w:r>
      <w:r>
        <w:t xml:space="preserve"> dependent on complexity of surgery, patient risk and surgical skills.</w:t>
      </w:r>
      <w:r>
        <w:rPr>
          <w:rStyle w:val="x02-superscript"/>
        </w:rPr>
        <w:t>4</w:t>
      </w:r>
      <w:r>
        <w:t xml:space="preserve"> Internationally surgical site infections have been shown to compose up to 20% of all healthcare associated infections.</w:t>
      </w:r>
      <w:r>
        <w:rPr>
          <w:rStyle w:val="x02-superscript"/>
        </w:rPr>
        <w:t>3</w:t>
      </w:r>
      <w:r>
        <w:t xml:space="preserve"> The use of antibiotics in preventing surgical site infection has been consistently demonstrated, yet gaps in the use of prophylactic surgical antibiotics continue to occur in Australia and internationally.</w:t>
      </w:r>
      <w:r>
        <w:rPr>
          <w:rStyle w:val="x02-superscript"/>
        </w:rPr>
        <w:t>5-8</w:t>
      </w:r>
      <w:r>
        <w:t xml:space="preserve"> Inappropriate antibiotic use ranges from 30% to 90%, especially with respect to timing and duration of antibiotic therapy.</w:t>
      </w:r>
      <w:r>
        <w:rPr>
          <w:rStyle w:val="x02-superscript"/>
        </w:rPr>
        <w:t>9</w:t>
      </w:r>
    </w:p>
    <w:p w:rsidR="00E0132D" w:rsidRDefault="00AE21AC">
      <w:pPr>
        <w:pStyle w:val="x01-h2"/>
        <w:rPr>
          <w:rFonts w:cs="Times New Roman"/>
        </w:rPr>
      </w:pPr>
      <w:r>
        <w:rPr>
          <w:rFonts w:cs="Times New Roman"/>
        </w:rPr>
        <w:t>Key definitions</w:t>
      </w:r>
    </w:p>
    <w:p w:rsidR="00E0132D" w:rsidRDefault="00AE21AC" w:rsidP="00563638">
      <w:pPr>
        <w:pStyle w:val="02Body"/>
      </w:pPr>
      <w:r>
        <w:rPr>
          <w:rStyle w:val="x02-body-bold"/>
        </w:rPr>
        <w:t>Specified surgical procedures</w:t>
      </w:r>
      <w:r>
        <w:t xml:space="preserve"> refers to the procedure types identified in the latest version of the Therapeutic Guidelines: Antibiotic</w:t>
      </w:r>
      <w:r>
        <w:rPr>
          <w:rStyle w:val="x02-superscript"/>
        </w:rPr>
        <w:t>9</w:t>
      </w:r>
      <w:r>
        <w:t xml:space="preserve"> as requiring antibiotic prophylaxis. See Table 1.</w:t>
      </w:r>
    </w:p>
    <w:p w:rsidR="00E0132D" w:rsidRDefault="00AE21AC" w:rsidP="00F11D0D">
      <w:pPr>
        <w:pStyle w:val="02Body"/>
      </w:pPr>
      <w:r>
        <w:rPr>
          <w:rStyle w:val="x02-body-bold"/>
        </w:rPr>
        <w:t>An appropriate prophylactic antibiotic regimen</w:t>
      </w:r>
      <w:r>
        <w:t xml:space="preserve"> refers to: </w:t>
      </w:r>
    </w:p>
    <w:p w:rsidR="00E0132D" w:rsidRDefault="00AE21AC" w:rsidP="00563638">
      <w:pPr>
        <w:pStyle w:val="02bullet"/>
      </w:pPr>
      <w:r>
        <w:t>Correct antibiotic choice: includes correct medication choice, route of administration and dosing schedule</w:t>
      </w:r>
    </w:p>
    <w:p w:rsidR="00E0132D" w:rsidRDefault="00AE21AC" w:rsidP="00563638">
      <w:pPr>
        <w:pStyle w:val="02bullet"/>
      </w:pPr>
      <w:r>
        <w:t>Correct timing: generally the antibiotic should be administered up to 60 minutes prior to skin incision and as a single dose. A second dose may be necessary: if there is a delay in starting the operation; if a short acting antibiotic is used (e.g. cephalothin, cephazolin, dicloxacillin or flucloxacillin) and the operation is prolonged (longer than 3 hours); or in other circumstances specified in guidelines</w:t>
      </w:r>
    </w:p>
    <w:p w:rsidR="00E0132D" w:rsidRDefault="00AE21AC" w:rsidP="00563638">
      <w:pPr>
        <w:pStyle w:val="02bullet"/>
      </w:pPr>
      <w:r>
        <w:t>Correct duration: Antibiotic prophylaxis is ceased within 24 hours of completion of surgery except where postoperative use is specifically recommended (e.g. cardiac and vascular surgery or amputation of an ischaemic lower limb).</w:t>
      </w:r>
    </w:p>
    <w:p w:rsidR="00E0132D" w:rsidRDefault="00AE21AC" w:rsidP="00563638">
      <w:pPr>
        <w:pStyle w:val="02Body"/>
      </w:pPr>
      <w:r>
        <w:t>All of these criteria must be reached in order for the antibiotic regimen to be deemed appropriate.</w:t>
      </w:r>
    </w:p>
    <w:p w:rsidR="00E0132D" w:rsidRDefault="00AE21AC" w:rsidP="00563638">
      <w:pPr>
        <w:pStyle w:val="02Body"/>
      </w:pPr>
      <w:r>
        <w:t>The current version of the Therapeutic Guidelines: Antibiotic should be used as a basis to guide clinical practice.</w:t>
      </w:r>
      <w:r>
        <w:rPr>
          <w:rStyle w:val="x02-superscript"/>
        </w:rPr>
        <w:t>9</w:t>
      </w:r>
      <w:r>
        <w:t xml:space="preserve"> However, practice may be audited against a more restrictive local guideline if desired.</w:t>
      </w:r>
    </w:p>
    <w:p w:rsidR="00F11D0D" w:rsidRDefault="00F11D0D">
      <w:pPr>
        <w:spacing w:after="0"/>
        <w:rPr>
          <w:rFonts w:cs="Times New Roman"/>
          <w:b/>
          <w:bCs/>
          <w:color w:val="666967"/>
          <w:sz w:val="22"/>
          <w:szCs w:val="22"/>
        </w:rPr>
      </w:pPr>
      <w:r>
        <w:rPr>
          <w:rFonts w:cs="Times New Roman"/>
        </w:rPr>
        <w:br w:type="page"/>
      </w:r>
    </w:p>
    <w:p w:rsidR="00E0132D" w:rsidRDefault="00AE21AC">
      <w:pPr>
        <w:pStyle w:val="x03-figure-heading"/>
        <w:rPr>
          <w:rFonts w:cs="Times New Roman"/>
        </w:rPr>
      </w:pPr>
      <w:r>
        <w:rPr>
          <w:rFonts w:cs="Times New Roman"/>
        </w:rPr>
        <w:t>Table 1: Specified surgical procedures requiring prophylactic antibiotics</w:t>
      </w:r>
      <w:r w:rsidRPr="005A754B">
        <w:rPr>
          <w:rStyle w:val="char-style-override-9"/>
          <w:rFonts w:cs="Times New Roman"/>
          <w:vertAlign w:val="superscript"/>
        </w:rPr>
        <w:t>9</w:t>
      </w:r>
    </w:p>
    <w:tbl>
      <w:tblPr>
        <w:tblW w:w="0" w:type="auto"/>
        <w:tblBorders>
          <w:top w:val="single" w:sz="4" w:space="0" w:color="666967"/>
          <w:left w:val="single" w:sz="4" w:space="0" w:color="666967"/>
          <w:bottom w:val="single" w:sz="4" w:space="0" w:color="666967"/>
          <w:right w:val="single" w:sz="4" w:space="0" w:color="666967"/>
          <w:insideH w:val="single" w:sz="4" w:space="0" w:color="666967"/>
          <w:insideV w:val="single" w:sz="4" w:space="0" w:color="666967"/>
        </w:tblBorders>
        <w:tblCellMar>
          <w:top w:w="57" w:type="dxa"/>
          <w:left w:w="113" w:type="dxa"/>
          <w:bottom w:w="57" w:type="dxa"/>
          <w:right w:w="113" w:type="dxa"/>
        </w:tblCellMar>
        <w:tblLook w:val="04A0"/>
      </w:tblPr>
      <w:tblGrid>
        <w:gridCol w:w="2293"/>
        <w:gridCol w:w="7849"/>
      </w:tblGrid>
      <w:tr w:rsidR="00E0132D">
        <w:trPr>
          <w:tblHeader/>
        </w:trPr>
        <w:tc>
          <w:tcPr>
            <w:tcW w:w="0" w:type="auto"/>
            <w:shd w:val="clear" w:color="auto" w:fill="1D4A74"/>
            <w:vAlign w:val="center"/>
          </w:tcPr>
          <w:p w:rsidR="00E0132D" w:rsidRDefault="00AE21AC">
            <w:pPr>
              <w:pStyle w:val="x04-table-head-l"/>
              <w:rPr>
                <w:rFonts w:cs="Times New Roman"/>
              </w:rPr>
            </w:pPr>
            <w:r>
              <w:rPr>
                <w:rFonts w:cs="Times New Roman"/>
              </w:rPr>
              <w:t>Surgical area</w:t>
            </w:r>
          </w:p>
        </w:tc>
        <w:tc>
          <w:tcPr>
            <w:tcW w:w="0" w:type="auto"/>
            <w:shd w:val="clear" w:color="auto" w:fill="1D4A74"/>
            <w:vAlign w:val="center"/>
          </w:tcPr>
          <w:p w:rsidR="00E0132D" w:rsidRDefault="00AE21AC">
            <w:pPr>
              <w:pStyle w:val="x04-table-head-l"/>
              <w:rPr>
                <w:rFonts w:cs="Times New Roman"/>
              </w:rPr>
            </w:pPr>
            <w:r>
              <w:rPr>
                <w:rFonts w:cs="Times New Roman"/>
              </w:rPr>
              <w:t>Specified surgical procedures</w:t>
            </w:r>
          </w:p>
        </w:tc>
      </w:tr>
      <w:tr w:rsidR="00E0132D">
        <w:tc>
          <w:tcPr>
            <w:tcW w:w="0" w:type="auto"/>
            <w:vAlign w:val="center"/>
          </w:tcPr>
          <w:p w:rsidR="00E0132D" w:rsidRDefault="00AE21AC" w:rsidP="00F11D0D">
            <w:pPr>
              <w:pStyle w:val="02Body"/>
            </w:pPr>
            <w:r>
              <w:rPr>
                <w:rStyle w:val="x02-body-bold"/>
              </w:rPr>
              <w:t>Abdominal surgery</w:t>
            </w:r>
          </w:p>
        </w:tc>
        <w:tc>
          <w:tcPr>
            <w:tcW w:w="0" w:type="auto"/>
            <w:vAlign w:val="center"/>
          </w:tcPr>
          <w:p w:rsidR="00E0132D" w:rsidRDefault="00AE21AC" w:rsidP="00F11D0D">
            <w:pPr>
              <w:pStyle w:val="02Body"/>
            </w:pPr>
            <w:r>
              <w:t>Colorectal surgery</w:t>
            </w:r>
          </w:p>
          <w:p w:rsidR="00E0132D" w:rsidRDefault="00AE21AC" w:rsidP="00F11D0D">
            <w:pPr>
              <w:pStyle w:val="02Body"/>
            </w:pPr>
            <w:r>
              <w:t>Appendicectomy</w:t>
            </w:r>
          </w:p>
          <w:p w:rsidR="00E0132D" w:rsidRDefault="00AE21AC" w:rsidP="00F11D0D">
            <w:pPr>
              <w:pStyle w:val="02Body"/>
            </w:pPr>
            <w:r>
              <w:t>Upper gastrointestinal tract or biliary surgery, including laparoscopic surgery</w:t>
            </w:r>
          </w:p>
          <w:p w:rsidR="00E0132D" w:rsidRDefault="00AE21AC" w:rsidP="00F11D0D">
            <w:pPr>
              <w:pStyle w:val="02Body"/>
            </w:pPr>
            <w:r>
              <w:t>Endoscopic procedures that may result in bacteraemia</w:t>
            </w:r>
          </w:p>
          <w:p w:rsidR="00E0132D" w:rsidRDefault="00AE21AC" w:rsidP="00F11D0D">
            <w:pPr>
              <w:pStyle w:val="02Body"/>
            </w:pPr>
            <w:r>
              <w:t>Hernia repair with prosthetic material</w:t>
            </w:r>
          </w:p>
        </w:tc>
      </w:tr>
      <w:tr w:rsidR="00E0132D">
        <w:tc>
          <w:tcPr>
            <w:tcW w:w="0" w:type="auto"/>
            <w:vAlign w:val="center"/>
          </w:tcPr>
          <w:p w:rsidR="00E0132D" w:rsidRDefault="00AE21AC" w:rsidP="00F11D0D">
            <w:pPr>
              <w:pStyle w:val="02Body"/>
            </w:pPr>
            <w:r>
              <w:rPr>
                <w:rStyle w:val="x02-body-bold"/>
              </w:rPr>
              <w:t>Cardiac surgery</w:t>
            </w:r>
          </w:p>
        </w:tc>
        <w:tc>
          <w:tcPr>
            <w:tcW w:w="0" w:type="auto"/>
            <w:vAlign w:val="center"/>
          </w:tcPr>
          <w:p w:rsidR="00E0132D" w:rsidRDefault="00AE21AC" w:rsidP="00F11D0D">
            <w:pPr>
              <w:pStyle w:val="02Body"/>
            </w:pPr>
            <w:r>
              <w:t>Valve replacement</w:t>
            </w:r>
          </w:p>
          <w:p w:rsidR="00E0132D" w:rsidRDefault="00AE21AC" w:rsidP="00F11D0D">
            <w:pPr>
              <w:pStyle w:val="02Body"/>
            </w:pPr>
            <w:r>
              <w:t>Coronary artery bypass graft</w:t>
            </w:r>
          </w:p>
          <w:p w:rsidR="00E0132D" w:rsidRDefault="00AE21AC" w:rsidP="00F11D0D">
            <w:pPr>
              <w:pStyle w:val="02Body"/>
            </w:pPr>
            <w:r>
              <w:t>Cardiac transplantation</w:t>
            </w:r>
          </w:p>
          <w:p w:rsidR="00E0132D" w:rsidRDefault="00AE21AC" w:rsidP="00F11D0D">
            <w:pPr>
              <w:pStyle w:val="02Body"/>
            </w:pPr>
            <w:r>
              <w:t>Insertion of a permanent pacemaker</w:t>
            </w:r>
          </w:p>
        </w:tc>
      </w:tr>
      <w:tr w:rsidR="00E0132D">
        <w:tc>
          <w:tcPr>
            <w:tcW w:w="0" w:type="auto"/>
            <w:vAlign w:val="center"/>
          </w:tcPr>
          <w:p w:rsidR="00E0132D" w:rsidRDefault="00AE21AC" w:rsidP="00F11D0D">
            <w:pPr>
              <w:pStyle w:val="02Body"/>
            </w:pPr>
            <w:r>
              <w:rPr>
                <w:rStyle w:val="x02-body-bold"/>
              </w:rPr>
              <w:t>Head, neck and thoracic surgery</w:t>
            </w:r>
          </w:p>
        </w:tc>
        <w:tc>
          <w:tcPr>
            <w:tcW w:w="0" w:type="auto"/>
            <w:vAlign w:val="center"/>
          </w:tcPr>
          <w:p w:rsidR="00E0132D" w:rsidRDefault="00AE21AC" w:rsidP="00F11D0D">
            <w:pPr>
              <w:pStyle w:val="02Body"/>
            </w:pPr>
            <w:r>
              <w:t>Procedures involving an incision through oral, nasal, pharyngeal or oesophageal mucosa, stapedectomy or similar operations, or the insertion of prosthetic material</w:t>
            </w:r>
          </w:p>
        </w:tc>
      </w:tr>
      <w:tr w:rsidR="00E0132D">
        <w:tc>
          <w:tcPr>
            <w:tcW w:w="0" w:type="auto"/>
            <w:vAlign w:val="center"/>
          </w:tcPr>
          <w:p w:rsidR="00E0132D" w:rsidRDefault="00AE21AC" w:rsidP="00F11D0D">
            <w:pPr>
              <w:pStyle w:val="02Body"/>
            </w:pPr>
            <w:r>
              <w:rPr>
                <w:rStyle w:val="x02-body-bold"/>
              </w:rPr>
              <w:t>Neurosurgery</w:t>
            </w:r>
          </w:p>
        </w:tc>
        <w:tc>
          <w:tcPr>
            <w:tcW w:w="0" w:type="auto"/>
            <w:vAlign w:val="center"/>
          </w:tcPr>
          <w:p w:rsidR="00E0132D" w:rsidRDefault="00AE21AC" w:rsidP="00F11D0D">
            <w:pPr>
              <w:pStyle w:val="02Body"/>
            </w:pPr>
            <w:r>
              <w:t>Prolonged craniotomy or re-explorations and microsurgery</w:t>
            </w:r>
          </w:p>
          <w:p w:rsidR="00E0132D" w:rsidRDefault="00AE21AC" w:rsidP="00F11D0D">
            <w:pPr>
              <w:pStyle w:val="02Body"/>
            </w:pPr>
            <w:r>
              <w:t>Insertion of prosthetic material</w:t>
            </w:r>
          </w:p>
        </w:tc>
      </w:tr>
      <w:tr w:rsidR="00E0132D">
        <w:tc>
          <w:tcPr>
            <w:tcW w:w="0" w:type="auto"/>
            <w:vAlign w:val="center"/>
          </w:tcPr>
          <w:p w:rsidR="00E0132D" w:rsidRDefault="00AE21AC" w:rsidP="00F11D0D">
            <w:pPr>
              <w:pStyle w:val="02Body"/>
            </w:pPr>
            <w:r>
              <w:rPr>
                <w:rStyle w:val="x02-body-bold"/>
              </w:rPr>
              <w:t>Obstetrics and gynaecology</w:t>
            </w:r>
          </w:p>
        </w:tc>
        <w:tc>
          <w:tcPr>
            <w:tcW w:w="0" w:type="auto"/>
            <w:vAlign w:val="center"/>
          </w:tcPr>
          <w:p w:rsidR="00E0132D" w:rsidRDefault="00AE21AC" w:rsidP="00F11D0D">
            <w:pPr>
              <w:pStyle w:val="02Body"/>
            </w:pPr>
            <w:r>
              <w:t>Hysterectomy and termination of pregnancy</w:t>
            </w:r>
          </w:p>
          <w:p w:rsidR="00E0132D" w:rsidRDefault="00AE21AC" w:rsidP="00F11D0D">
            <w:pPr>
              <w:pStyle w:val="02Body"/>
            </w:pPr>
            <w:r>
              <w:t>Caesarean section</w:t>
            </w:r>
          </w:p>
        </w:tc>
      </w:tr>
      <w:tr w:rsidR="00E0132D">
        <w:tc>
          <w:tcPr>
            <w:tcW w:w="0" w:type="auto"/>
            <w:vAlign w:val="center"/>
          </w:tcPr>
          <w:p w:rsidR="00E0132D" w:rsidRDefault="00AE21AC" w:rsidP="00F11D0D">
            <w:pPr>
              <w:pStyle w:val="02Body"/>
            </w:pPr>
            <w:r>
              <w:rPr>
                <w:rStyle w:val="x02-body-bold"/>
              </w:rPr>
              <w:t>Orthopaedic surgery</w:t>
            </w:r>
          </w:p>
        </w:tc>
        <w:tc>
          <w:tcPr>
            <w:tcW w:w="0" w:type="auto"/>
            <w:vAlign w:val="center"/>
          </w:tcPr>
          <w:p w:rsidR="00E0132D" w:rsidRDefault="00AE21AC" w:rsidP="00F11D0D">
            <w:pPr>
              <w:pStyle w:val="02Body"/>
            </w:pPr>
            <w:r>
              <w:t>Prosthetic large joint replacement, other orthopaedic procedures involving insertion of prosthetic or transplant material, and internal fixation of fractures of large bones</w:t>
            </w:r>
          </w:p>
        </w:tc>
      </w:tr>
      <w:tr w:rsidR="00E0132D">
        <w:tc>
          <w:tcPr>
            <w:tcW w:w="0" w:type="auto"/>
            <w:vAlign w:val="center"/>
          </w:tcPr>
          <w:p w:rsidR="00E0132D" w:rsidRDefault="00AE21AC" w:rsidP="00F11D0D">
            <w:pPr>
              <w:pStyle w:val="02Body"/>
            </w:pPr>
            <w:r>
              <w:rPr>
                <w:rStyle w:val="x02-body-bold"/>
              </w:rPr>
              <w:t>Urology</w:t>
            </w:r>
          </w:p>
        </w:tc>
        <w:tc>
          <w:tcPr>
            <w:tcW w:w="0" w:type="auto"/>
            <w:vAlign w:val="center"/>
          </w:tcPr>
          <w:p w:rsidR="00E0132D" w:rsidRDefault="00AE21AC" w:rsidP="00F11D0D">
            <w:pPr>
              <w:pStyle w:val="02Body"/>
            </w:pPr>
            <w:r>
              <w:t>Prostatectomy</w:t>
            </w:r>
          </w:p>
          <w:p w:rsidR="00E0132D" w:rsidRDefault="00AE21AC" w:rsidP="00F11D0D">
            <w:pPr>
              <w:pStyle w:val="02Body"/>
            </w:pPr>
            <w:r>
              <w:t xml:space="preserve">Transrectal prostatic biopsy </w:t>
            </w:r>
          </w:p>
        </w:tc>
      </w:tr>
      <w:tr w:rsidR="00E0132D">
        <w:tc>
          <w:tcPr>
            <w:tcW w:w="0" w:type="auto"/>
            <w:vAlign w:val="center"/>
          </w:tcPr>
          <w:p w:rsidR="00E0132D" w:rsidRDefault="00AE21AC" w:rsidP="00F11D0D">
            <w:pPr>
              <w:pStyle w:val="02Body"/>
            </w:pPr>
            <w:r>
              <w:rPr>
                <w:rStyle w:val="x02-body-bold"/>
              </w:rPr>
              <w:t>Vascular surgery</w:t>
            </w:r>
          </w:p>
        </w:tc>
        <w:tc>
          <w:tcPr>
            <w:tcW w:w="0" w:type="auto"/>
            <w:vAlign w:val="center"/>
          </w:tcPr>
          <w:p w:rsidR="00E0132D" w:rsidRDefault="00AE21AC" w:rsidP="00F11D0D">
            <w:pPr>
              <w:pStyle w:val="02Body"/>
            </w:pPr>
            <w:r>
              <w:t>Arterial reconstructive surgery involving the abdominal aorta and/or the lower limb, particularly if a groin incision is involved or with the implantation of foreign material</w:t>
            </w:r>
          </w:p>
        </w:tc>
      </w:tr>
      <w:tr w:rsidR="00E0132D">
        <w:tc>
          <w:tcPr>
            <w:tcW w:w="0" w:type="auto"/>
            <w:vAlign w:val="center"/>
          </w:tcPr>
          <w:p w:rsidR="00E0132D" w:rsidRDefault="00AE21AC" w:rsidP="00F11D0D">
            <w:pPr>
              <w:pStyle w:val="02Body"/>
            </w:pPr>
            <w:r>
              <w:rPr>
                <w:rStyle w:val="x02-body-bold"/>
              </w:rPr>
              <w:t>Other</w:t>
            </w:r>
          </w:p>
        </w:tc>
        <w:tc>
          <w:tcPr>
            <w:tcW w:w="0" w:type="auto"/>
            <w:vAlign w:val="center"/>
          </w:tcPr>
          <w:p w:rsidR="00E0132D" w:rsidRDefault="00AE21AC" w:rsidP="00F11D0D">
            <w:pPr>
              <w:pStyle w:val="02Body"/>
            </w:pPr>
            <w:r>
              <w:t>Lower limb amputation</w:t>
            </w:r>
          </w:p>
        </w:tc>
      </w:tr>
    </w:tbl>
    <w:p w:rsidR="00E0132D" w:rsidRDefault="00AE21AC">
      <w:pPr>
        <w:pStyle w:val="x01-h2"/>
        <w:rPr>
          <w:rFonts w:cs="Times New Roman"/>
        </w:rPr>
      </w:pPr>
      <w:r>
        <w:rPr>
          <w:rFonts w:cs="Times New Roman"/>
        </w:rPr>
        <w:t>Data collection for local use</w:t>
      </w:r>
    </w:p>
    <w:p w:rsidR="00E0132D" w:rsidRDefault="00AE21AC" w:rsidP="00F11D0D">
      <w:pPr>
        <w:pStyle w:val="02Body"/>
      </w:pPr>
      <w:r>
        <w:t xml:space="preserve">Please refer to the section </w:t>
      </w:r>
      <w:r>
        <w:rPr>
          <w:rStyle w:val="x02-body-italic"/>
        </w:rPr>
        <w:t>Using the National Quality Use of Medicines Indicators for Australian Hospitals</w:t>
      </w:r>
      <w:r>
        <w:t xml:space="preserve"> for guidance on sample selection, sample size, measurement frequency and other considerations. </w:t>
      </w:r>
    </w:p>
    <w:p w:rsidR="00E0132D" w:rsidRDefault="00AE21AC" w:rsidP="00F11D0D">
      <w:pPr>
        <w:pStyle w:val="02Body"/>
      </w:pPr>
      <w:r>
        <w:rPr>
          <w:rStyle w:val="x02-body-bold"/>
        </w:rPr>
        <w:t>Inclusion criteria:</w:t>
      </w:r>
      <w:r>
        <w:t xml:space="preserve"> Adult, paediatric and neonatal patients undergoing a specified surgical procedure. </w:t>
      </w:r>
    </w:p>
    <w:p w:rsidR="00E0132D" w:rsidRDefault="00AE21AC" w:rsidP="00F11D0D">
      <w:pPr>
        <w:pStyle w:val="02Body"/>
      </w:pPr>
      <w:r>
        <w:rPr>
          <w:rStyle w:val="x02-body-bold"/>
        </w:rPr>
        <w:t>Exclusion criteria:</w:t>
      </w:r>
      <w:r>
        <w:t xml:space="preserve"> Nil.</w:t>
      </w:r>
    </w:p>
    <w:p w:rsidR="00E0132D" w:rsidRDefault="00AE21AC" w:rsidP="00F11D0D">
      <w:pPr>
        <w:pStyle w:val="02Body"/>
      </w:pPr>
      <w:r>
        <w:rPr>
          <w:rStyle w:val="x02-body-bold"/>
        </w:rPr>
        <w:t>Recommended data sources:</w:t>
      </w:r>
      <w:r>
        <w:t xml:space="preserve"> Medical records, medication charts and intra-operative medication administration records. </w:t>
      </w:r>
    </w:p>
    <w:p w:rsidR="00E0132D" w:rsidRDefault="00AE21AC" w:rsidP="00F11D0D">
      <w:pPr>
        <w:pStyle w:val="02Body"/>
      </w:pPr>
      <w:r>
        <w:t>The data collection tool for QUM Indicator 2.1 assists data collection and indicator calculation.</w:t>
      </w:r>
    </w:p>
    <w:p w:rsidR="00E0132D" w:rsidRDefault="00AE21AC">
      <w:pPr>
        <w:pStyle w:val="x01-h2"/>
        <w:rPr>
          <w:rFonts w:cs="Times New Roman"/>
        </w:rPr>
      </w:pPr>
      <w:r>
        <w:rPr>
          <w:rFonts w:cs="Times New Roman"/>
        </w:rPr>
        <w:t>Data collection for inter-hospital comparison</w:t>
      </w:r>
    </w:p>
    <w:p w:rsidR="00E0132D" w:rsidRDefault="00AE21AC" w:rsidP="00F11D0D">
      <w:pPr>
        <w:pStyle w:val="02Body"/>
      </w:pPr>
      <w:r>
        <w:t>This indicator may be suitable for inter-hospital comparison. In this case, definitions, sampling methods and guidelines for audit and reporting need to be agreed in advance in consultation with the coordinating agency.</w:t>
      </w:r>
    </w:p>
    <w:p w:rsidR="00E0132D" w:rsidRDefault="00AE21AC">
      <w:pPr>
        <w:pStyle w:val="x01-h2"/>
        <w:rPr>
          <w:rFonts w:cs="Times New Roman"/>
        </w:rPr>
      </w:pPr>
      <w:r>
        <w:rPr>
          <w:rFonts w:cs="Times New Roman"/>
        </w:rPr>
        <w:t>Indicator calculation</w:t>
      </w:r>
    </w:p>
    <w:p w:rsidR="00E0132D" w:rsidRDefault="00F11D0D" w:rsidP="005A754B">
      <w:pPr>
        <w:pStyle w:val="02Body"/>
      </w:pPr>
      <w:r>
        <w:rPr>
          <w:noProof/>
          <w:lang w:val="en-US"/>
        </w:rPr>
        <w:drawing>
          <wp:inline distT="0" distB="0" distL="0" distR="0">
            <wp:extent cx="1795272" cy="652272"/>
            <wp:effectExtent l="0" t="0" r="8255" b="825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culation_v2.png"/>
                    <pic:cNvPicPr/>
                  </pic:nvPicPr>
                  <pic:blipFill>
                    <a:blip r:embed="rId7">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ve="http://schemas.openxmlformats.org/markup-compatibility/2006" val="0"/>
                        </a:ext>
                      </a:extLst>
                    </a:blip>
                    <a:stretch>
                      <a:fillRect/>
                    </a:stretch>
                  </pic:blipFill>
                  <pic:spPr>
                    <a:xfrm>
                      <a:off x="0" y="0"/>
                      <a:ext cx="1795272" cy="652272"/>
                    </a:xfrm>
                    <a:prstGeom prst="rect">
                      <a:avLst/>
                    </a:prstGeom>
                  </pic:spPr>
                </pic:pic>
              </a:graphicData>
            </a:graphic>
          </wp:inline>
        </w:drawing>
      </w:r>
    </w:p>
    <w:p w:rsidR="00E0132D" w:rsidRDefault="00AE21AC" w:rsidP="00F11D0D">
      <w:pPr>
        <w:pStyle w:val="02Body"/>
      </w:pPr>
      <w:r>
        <w:rPr>
          <w:rStyle w:val="x02-body-bold"/>
        </w:rPr>
        <w:t>Calculate the indicator separately for each procedure type</w:t>
      </w:r>
    </w:p>
    <w:p w:rsidR="00E0132D" w:rsidRDefault="00AE21AC" w:rsidP="00F11D0D">
      <w:pPr>
        <w:pStyle w:val="02Body"/>
      </w:pPr>
      <w:r>
        <w:rPr>
          <w:rStyle w:val="x02-body-bold"/>
        </w:rPr>
        <w:t>Numerator</w:t>
      </w:r>
      <w:r>
        <w:t xml:space="preserve"> = Number of patients undergoing specified surgical procedures that receive an appropriate prophylactic antibiotic regimen</w:t>
      </w:r>
    </w:p>
    <w:p w:rsidR="00E0132D" w:rsidRDefault="00AE21AC" w:rsidP="00F11D0D">
      <w:pPr>
        <w:pStyle w:val="02Body"/>
      </w:pPr>
      <w:r>
        <w:rPr>
          <w:rStyle w:val="x02-body-bold"/>
        </w:rPr>
        <w:t>Denominator</w:t>
      </w:r>
      <w:r>
        <w:t xml:space="preserve"> = Number of patients who had a specified surgical procedure in sample</w:t>
      </w:r>
    </w:p>
    <w:p w:rsidR="00E0132D" w:rsidRDefault="00AE21AC">
      <w:pPr>
        <w:pStyle w:val="x01-h2"/>
        <w:rPr>
          <w:rFonts w:cs="Times New Roman"/>
        </w:rPr>
      </w:pPr>
      <w:r>
        <w:rPr>
          <w:rFonts w:cs="Times New Roman"/>
        </w:rPr>
        <w:t>Limitations and interpretation</w:t>
      </w:r>
    </w:p>
    <w:p w:rsidR="00E0132D" w:rsidRDefault="00AE21AC" w:rsidP="00F11D0D">
      <w:pPr>
        <w:pStyle w:val="02Body"/>
      </w:pPr>
      <w:r>
        <w:t xml:space="preserve">The list of specified surgical procedures in Table 1 is not exhaustive. If desired, other procedures requiring prophylactic antibiotics can be audited using this methodology. </w:t>
      </w:r>
    </w:p>
    <w:p w:rsidR="00E0132D" w:rsidRDefault="00AE21AC" w:rsidP="00F11D0D">
      <w:pPr>
        <w:pStyle w:val="02Body"/>
      </w:pPr>
      <w:r>
        <w:t xml:space="preserve">For individual patients there may be clinical reasons why a different antibiotic regimen was chosen. Determining such circumstances retrospectively is complicated and may require clinical judgement. Since this is likely to apply for only a small number of patients, these instances are not accounted for. Where there is concern about results, it may be appropriate to look more closely at these details. </w:t>
      </w:r>
    </w:p>
    <w:p w:rsidR="00E0132D" w:rsidRDefault="00AE21AC" w:rsidP="00F11D0D">
      <w:pPr>
        <w:pStyle w:val="02Body"/>
        <w:rPr>
          <w:rStyle w:val="x02-superscript"/>
        </w:rPr>
      </w:pPr>
      <w:r>
        <w:t>This indicator does not examine situations where antibiotics were given unnecessarily in procedures that typically do not require antibiotic prophylaxis. Such use may contribute to emergence of multi-resistant organisms and should not be neglected.</w:t>
      </w:r>
      <w:r>
        <w:rPr>
          <w:rStyle w:val="x02-superscript"/>
        </w:rPr>
        <w:t>9,10</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CF1F6"/>
        <w:tblCellMar>
          <w:top w:w="57" w:type="dxa"/>
          <w:bottom w:w="57" w:type="dxa"/>
        </w:tblCellMar>
        <w:tblLook w:val="04A0"/>
      </w:tblPr>
      <w:tblGrid>
        <w:gridCol w:w="10132"/>
      </w:tblGrid>
      <w:tr w:rsidR="00F11D0D">
        <w:tc>
          <w:tcPr>
            <w:tcW w:w="10132" w:type="dxa"/>
            <w:shd w:val="clear" w:color="auto" w:fill="DCF1F6"/>
          </w:tcPr>
          <w:p w:rsidR="00F11D0D" w:rsidRDefault="00F11D0D" w:rsidP="00F11D0D">
            <w:pPr>
              <w:pStyle w:val="x01-h2"/>
              <w:rPr>
                <w:rFonts w:cs="Times New Roman"/>
              </w:rPr>
            </w:pPr>
            <w:r>
              <w:rPr>
                <w:rFonts w:cs="Times New Roman"/>
              </w:rPr>
              <w:t>Further information</w:t>
            </w:r>
          </w:p>
          <w:p w:rsidR="00F11D0D" w:rsidRDefault="00F11D0D" w:rsidP="00F11D0D">
            <w:pPr>
              <w:pStyle w:val="NormalWeb"/>
            </w:pPr>
            <w:r>
              <w:t>Medication Safety Self Assessment for Australian Hospitals</w:t>
            </w:r>
            <w:r>
              <w:rPr>
                <w:rStyle w:val="x02-superscript"/>
              </w:rPr>
              <w:t>11</w:t>
            </w:r>
            <w:r>
              <w:t xml:space="preserve"> (MSSA) can help identify potential strategies for improvement with this and other indicators. The MSSA encourages development of robust systems for safe prescribing, dispensing, administration and monitoring of medicines. The MSSA is available at </w:t>
            </w:r>
            <w:r>
              <w:br/>
            </w:r>
            <w:hyperlink r:id="rId8" w:history="1">
              <w:r w:rsidRPr="00F11D0D">
                <w:rPr>
                  <w:rStyle w:val="x02-url"/>
                </w:rPr>
                <w:t>www.cec.health.nsw.gov.au</w:t>
              </w:r>
            </w:hyperlink>
          </w:p>
          <w:p w:rsidR="00F11D0D" w:rsidRDefault="00F11D0D" w:rsidP="00F11D0D">
            <w:pPr>
              <w:pStyle w:val="NormalWeb"/>
            </w:pPr>
            <w:r>
              <w:t>This indicator can be used to assist hospitals in meeting the National Safety and Quality Health Service Standard 1 [items 1.2.1, 1.2.2, 1.5.2, 1.6.1, 1.6.2, 1.7.2], Standard 3 [items 3.1.1, 3.1.2, 3.4.1, 3.4.2, 3.4.3, 3.14.1, 3.14.3, 3.14.4] and Standard 4 [items 4.2.1, 4.2.2, 4.5.1, 4.5.2].</w:t>
            </w:r>
            <w:r>
              <w:rPr>
                <w:rStyle w:val="x02-superscript"/>
              </w:rPr>
              <w:t>12</w:t>
            </w:r>
          </w:p>
        </w:tc>
      </w:tr>
    </w:tbl>
    <w:p w:rsidR="00F11D0D" w:rsidRDefault="00F11D0D" w:rsidP="00F11D0D">
      <w:pPr>
        <w:pStyle w:val="02Body"/>
      </w:pPr>
    </w:p>
    <w:p w:rsidR="00F11D0D" w:rsidRDefault="00F11D0D">
      <w:pPr>
        <w:spacing w:after="0"/>
        <w:rPr>
          <w:rFonts w:eastAsia="Times New Roman" w:cs="HelveticaNeue-Light"/>
          <w:color w:val="000000"/>
          <w:spacing w:val="4"/>
          <w:szCs w:val="18"/>
          <w:lang w:val="en-GB"/>
        </w:rPr>
      </w:pPr>
      <w:r>
        <w:br w:type="page"/>
      </w:r>
    </w:p>
    <w:p w:rsidR="00E0132D" w:rsidRDefault="00AE21AC">
      <w:pPr>
        <w:pStyle w:val="x04-footnotes"/>
        <w:rPr>
          <w:rFonts w:cs="Times New Roman"/>
        </w:rPr>
      </w:pPr>
      <w:r>
        <w:rPr>
          <w:rStyle w:val="x02-body-bold"/>
          <w:rFonts w:cs="Times New Roman"/>
        </w:rPr>
        <w:t>References</w:t>
      </w:r>
    </w:p>
    <w:p w:rsidR="00E0132D" w:rsidRDefault="00AE21AC" w:rsidP="00C03794">
      <w:pPr>
        <w:pStyle w:val="x04-footnotes"/>
        <w:ind w:left="142" w:hanging="142"/>
        <w:rPr>
          <w:rFonts w:cs="Times New Roman"/>
        </w:rPr>
      </w:pPr>
      <w:r>
        <w:rPr>
          <w:rFonts w:cs="Times New Roman"/>
        </w:rPr>
        <w:t>1. Safer Systems Saving Lives - Preventing Surgical Site Infections Toolkit. Version 4. Department of Human Services, Victoria, 2005.</w:t>
      </w:r>
    </w:p>
    <w:p w:rsidR="00E0132D" w:rsidRDefault="00AE21AC" w:rsidP="00C03794">
      <w:pPr>
        <w:pStyle w:val="x04-footnotes"/>
        <w:ind w:left="142" w:hanging="142"/>
        <w:rPr>
          <w:rFonts w:cs="Times New Roman"/>
        </w:rPr>
      </w:pPr>
      <w:r>
        <w:rPr>
          <w:rFonts w:cs="Times New Roman"/>
        </w:rPr>
        <w:t>2. National Strategy to Address Health Care Associated Infections: Fourth Report to the Australian Health Ministers Conference. Australian Council for Safety and Quality in Health Care, 2003.</w:t>
      </w:r>
    </w:p>
    <w:p w:rsidR="00E0132D" w:rsidRDefault="00AE21AC" w:rsidP="00C03794">
      <w:pPr>
        <w:pStyle w:val="x04-footnotes"/>
        <w:ind w:left="142" w:hanging="142"/>
        <w:rPr>
          <w:rFonts w:cs="Times New Roman"/>
        </w:rPr>
      </w:pPr>
      <w:r>
        <w:rPr>
          <w:rFonts w:cs="Times New Roman"/>
        </w:rPr>
        <w:t>3. NICE Clinical Guideline 74. Surgical Site Infection. National Institute for Health and Clinical Excellence, 2008.</w:t>
      </w:r>
    </w:p>
    <w:p w:rsidR="00E0132D" w:rsidRDefault="00AE21AC" w:rsidP="00C03794">
      <w:pPr>
        <w:pStyle w:val="x04-footnotes"/>
        <w:ind w:left="142" w:hanging="142"/>
        <w:rPr>
          <w:rFonts w:cs="Times New Roman"/>
        </w:rPr>
      </w:pPr>
      <w:r>
        <w:rPr>
          <w:rFonts w:cs="Times New Roman"/>
        </w:rPr>
        <w:t>4. Spelman D. Hospital-acquired infections. Med J Aust 2002; 176: 286-291.</w:t>
      </w:r>
    </w:p>
    <w:p w:rsidR="00E0132D" w:rsidRDefault="00AE21AC" w:rsidP="00C03794">
      <w:pPr>
        <w:pStyle w:val="x04-footnotes"/>
        <w:ind w:left="142" w:hanging="142"/>
        <w:rPr>
          <w:rFonts w:cs="Times New Roman"/>
        </w:rPr>
      </w:pPr>
      <w:r>
        <w:rPr>
          <w:rFonts w:cs="Times New Roman"/>
        </w:rPr>
        <w:t>5. Bratzler D, Houck P, Richards C, et al. Use of antimicrobial prophylaxis for major surgery: baseline results from the national surgical infection project. Arch Surg 2005; 140: 174-182.</w:t>
      </w:r>
    </w:p>
    <w:p w:rsidR="00E0132D" w:rsidRDefault="00AE21AC" w:rsidP="00C03794">
      <w:pPr>
        <w:pStyle w:val="x04-footnotes"/>
        <w:ind w:left="142" w:hanging="142"/>
        <w:rPr>
          <w:rFonts w:cs="Times New Roman"/>
        </w:rPr>
      </w:pPr>
      <w:r>
        <w:rPr>
          <w:rFonts w:cs="Times New Roman"/>
        </w:rPr>
        <w:t>6. Bennett NJ, Bull AL, Dunt DR, et al. Surgical antibiotic prophylaxis in smaller hospitals. ANZ J Surg 2006; 76: 676-678.</w:t>
      </w:r>
    </w:p>
    <w:p w:rsidR="00E0132D" w:rsidRDefault="00AE21AC" w:rsidP="00C03794">
      <w:pPr>
        <w:pStyle w:val="x04-footnotes"/>
        <w:ind w:left="142" w:hanging="142"/>
        <w:rPr>
          <w:rFonts w:cs="Times New Roman"/>
        </w:rPr>
      </w:pPr>
      <w:r>
        <w:rPr>
          <w:rFonts w:cs="Times New Roman"/>
        </w:rPr>
        <w:t>7. McGrath DR, Leong DC, Gibberd R, et al. Surgeon and hospital volume and the management of colorectal cancer patients in Australia. ANZ J Surg 2005; 75: 901-910.</w:t>
      </w:r>
    </w:p>
    <w:p w:rsidR="00E0132D" w:rsidRDefault="00AE21AC" w:rsidP="00C03794">
      <w:pPr>
        <w:pStyle w:val="x04-footnotes"/>
        <w:ind w:left="142" w:hanging="142"/>
        <w:rPr>
          <w:rFonts w:cs="Times New Roman"/>
        </w:rPr>
      </w:pPr>
      <w:r>
        <w:rPr>
          <w:rFonts w:cs="Times New Roman"/>
        </w:rPr>
        <w:t>8. Bratzler D, Dellinger P, Olsen K et al. Clinical practice guidelines for antimicrobial prophylaxis in surgery. Am J Health Syst Pharm 2013; 70: 195-283.</w:t>
      </w:r>
    </w:p>
    <w:p w:rsidR="00E0132D" w:rsidRDefault="00AE21AC" w:rsidP="00C03794">
      <w:pPr>
        <w:pStyle w:val="x04-footnotes"/>
        <w:ind w:left="142" w:hanging="142"/>
        <w:rPr>
          <w:rFonts w:cs="Times New Roman"/>
        </w:rPr>
      </w:pPr>
      <w:r>
        <w:rPr>
          <w:rFonts w:cs="Times New Roman"/>
        </w:rPr>
        <w:t xml:space="preserve">9. eTG complete [Internet]. Melbourne: Therapeutic Guidelines Limited; 2013 June. </w:t>
      </w:r>
    </w:p>
    <w:p w:rsidR="00E0132D" w:rsidRDefault="00AE21AC" w:rsidP="00C03794">
      <w:pPr>
        <w:pStyle w:val="x04-footnotes"/>
        <w:ind w:left="142" w:hanging="142"/>
        <w:rPr>
          <w:rFonts w:cs="Times New Roman"/>
        </w:rPr>
      </w:pPr>
      <w:r>
        <w:rPr>
          <w:rFonts w:cs="Times New Roman"/>
        </w:rPr>
        <w:t>10. Australian Medicines Handbook. Australian Medicines Handbook Pty Ltd, 2012.</w:t>
      </w:r>
    </w:p>
    <w:p w:rsidR="00E0132D" w:rsidRDefault="00AE21AC" w:rsidP="00C03794">
      <w:pPr>
        <w:pStyle w:val="x04-footnotes"/>
        <w:ind w:left="142" w:hanging="142"/>
        <w:rPr>
          <w:rFonts w:cs="Times New Roman"/>
        </w:rPr>
      </w:pPr>
      <w:r>
        <w:rPr>
          <w:rFonts w:cs="Times New Roman"/>
        </w:rPr>
        <w:t xml:space="preserve">11. Medication Safety Self Assessment for Australian Hospitals. Institute for Safe Medication Practices USA (Adapted for Australian use by NSW Therapeutic Advisory Group and the Clinical Excellence Commission), 2007. </w:t>
      </w:r>
    </w:p>
    <w:p w:rsidR="008B244E" w:rsidRDefault="00AE21AC" w:rsidP="00BD4BBB">
      <w:pPr>
        <w:pStyle w:val="x04-footnotes"/>
        <w:ind w:left="142" w:hanging="142"/>
        <w:rPr>
          <w:rStyle w:val="white"/>
        </w:rPr>
      </w:pPr>
      <w:r>
        <w:t xml:space="preserve">12. Australian Commission on Safety and Quality in Health Care. National Safety and Quality Health Service Standards. Sydney, ACSQHC, 2012. </w:t>
      </w:r>
    </w:p>
    <w:p w:rsidR="008B244E" w:rsidRDefault="008B244E" w:rsidP="008B244E">
      <w:pPr>
        <w:pStyle w:val="x01-h5"/>
        <w:rPr>
          <w:rStyle w:val="white"/>
        </w:rPr>
      </w:pPr>
    </w:p>
    <w:p w:rsidR="008B244E" w:rsidRDefault="008B244E" w:rsidP="008B244E">
      <w:pPr>
        <w:pStyle w:val="x01-h5"/>
        <w:rPr>
          <w:rStyle w:val="white"/>
        </w:rPr>
      </w:pPr>
    </w:p>
    <w:p w:rsidR="008B244E" w:rsidRDefault="008B244E" w:rsidP="008B244E">
      <w:pPr>
        <w:pStyle w:val="x01-h5"/>
        <w:rPr>
          <w:rStyle w:val="white"/>
        </w:rPr>
      </w:pPr>
    </w:p>
    <w:p w:rsidR="008B244E" w:rsidRDefault="008B244E" w:rsidP="008B244E">
      <w:pPr>
        <w:pStyle w:val="x01-h5"/>
        <w:rPr>
          <w:rStyle w:val="white"/>
        </w:rPr>
      </w:pPr>
    </w:p>
    <w:p w:rsidR="00E0132D" w:rsidRPr="008B244E" w:rsidRDefault="009A2815" w:rsidP="008B244E">
      <w:pPr>
        <w:pStyle w:val="x01-h5"/>
        <w:rPr>
          <w:color w:val="FFFFFF" w:themeColor="background1"/>
        </w:rPr>
      </w:pPr>
      <w:r w:rsidRPr="009A2815">
        <w:rPr>
          <w:rFonts w:cs="Times New Roman"/>
          <w:noProof/>
          <w:color w:val="FFFFFF" w:themeColor="background1"/>
          <w:lang w:val="en-US"/>
        </w:rPr>
        <w:pict>
          <v:shapetype id="_x0000_t202" coordsize="21600,21600" o:spt="202" path="m0,0l0,21600,21600,21600,21600,0xe">
            <v:stroke joinstyle="miter"/>
            <v:path gradientshapeok="t" o:connecttype="rect"/>
          </v:shapetype>
          <v:shape id="Text Box 48" o:spid="_x0000_s1026" type="#_x0000_t202" style="position:absolute;margin-left:-53.95pt;margin-top:-152.95pt;width:603pt;height:83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p0QX/YCAACeBgAADgAAAGRycy9lMm9Eb2MueG1stFVLb9swDL4P2H8wdHdtZ87LqFO4CTwMKNZi&#10;7dCzIkuJMb0mKYm7Yf99lBynj+2wDttFoUmKIvl9ZM4vOsGjPTW2VbJE2VmKIiqJalq5KdHnuzqe&#10;ocg6LBvMlaQleqAWXSzevjk/6IKO1FbxhpoIgkhbHHSJts7pIkks2VKB7ZnSVIKRKSOwg0+zSRqD&#10;DxBd8GSUppPkoEyjjSLUWtCueiNahPiMUeKuGbPURbxEkJsLpwnn2p/J4hwXG4P1tiXHNPBfZCFw&#10;K+HRU6gVdjjamfaXUKIlRlnF3BlRIlGMtYSGGqCaLH1Rze0WaxpqgeZYfWqT/Xdhycf9jYnapkQ5&#10;ICWxAIzuaOeiS9VFoIL+HLQtwO1Wg6PrQA84D3oLSl92x4zwv1BQBHbo9MOpuz4aAeV0Mp5lKZgI&#10;2LJ0MprP4QseSB7va2Pde6pE5IUSGcAvtBXvr6zrXQcX/5xUdct5wJDLZwqI2WtoIEF/GxeQC4je&#10;02cVAPpeV9Vosnq3ilez+TTO13QUz+o0jy+rfJwtp9M6W01/QBYCZ3mhOSa0Z23N8eYIiTf9GSYC&#10;k2cMzrIkcKevDZJ6nttyPB1V0/E8nlTjLM6zdBZXVTqKV3WVVmleL+f55Sm3A9BYwxB4/ACm/5Uf&#10;tHZoY+K50XMgSO6BU18Al58oA1YFKnhFmGe65CbaY5hETAiVLrAoAAXe3osBmK+5ePQPLQswv+Zy&#10;T4zhZSXd6bJopTKBdi/Sbr4MKbPeH7j7pG4vum7dAZZeXKvmAUbGqH7pWE3qFlh9ha27wQa2DIwC&#10;bE53DQfj6lAidZRQtFXm2+/03h+IBlYUebhLZL/usKEo4h8krAW/4gbBDMJ6EOROLBW0P4OdrEkQ&#10;4YJxfBCZUeIeFmrlXwETlgTeKpEbxKXrdycsZEKrKjjBItPYXclbTXxoj4af0bvuHht9HGQHjPmo&#10;hn2Gixfz3Pv6m1JVO6dYG4b9sYvHRsMSDOviuLD9ln36Hbwe/1YWPwEAAP//AwBQSwMEFAAGAAgA&#10;AAAhAI/DRovhAAAADwEAAA8AAABkcnMvZG93bnJldi54bWxMj8FOwzAMhu9IvENkJG5bUibKWppO&#10;E4ITEqIrB45pk7XRGqc02VbeHu/Ebp/lX78/F5vZDexkpmA9SkiWApjB1muLnYSv+m2xBhaiQq0G&#10;j0bCrwmwKW9vCpVrf8bKnHaxY1SCIVcS+hjHnPPQ9sapsPSjQdrt/eRUpHHquJ7UmcrdwB+ESLlT&#10;FulCr0bz0pv2sDs6CdtvrF7tz0fzWe0rW9eZwPf0IOX93bx9BhbNHP/DcNEndSjJqfFH1IENEhaJ&#10;eMooS7QSj0SXjMjWCbCGaJUS8bLg13+UfwAAAP//AwBQSwECLQAUAAYACAAAACEA5JnDwPsAAADh&#10;AQAAEwAAAAAAAAAAAAAAAAAAAAAAW0NvbnRlbnRfVHlwZXNdLnhtbFBLAQItABQABgAIAAAAIQAj&#10;smrh1wAAAJQBAAALAAAAAAAAAAAAAAAAACwBAABfcmVscy8ucmVsc1BLAQItABQABgAIAAAAIQBS&#10;nRBf9gIAAJ4GAAAOAAAAAAAAAAAAAAAAACwCAABkcnMvZTJvRG9jLnhtbFBLAQItABQABgAIAAAA&#10;IQCPw0aL4QAAAA8BAAAPAAAAAAAAAAAAAAAAAE4FAABkcnMvZG93bnJldi54bWxQSwUGAAAAAAQA&#10;BADzAAAAXAYAAAAA&#10;" filled="f" stroked="f">
            <v:textbox inset="0,0,0,0">
              <w:txbxContent>
                <w:p w:rsidR="00C03794" w:rsidRDefault="00C03794"/>
              </w:txbxContent>
            </v:textbox>
          </v:shape>
        </w:pict>
      </w:r>
      <w:r w:rsidR="00AE21AC" w:rsidRPr="008B244E">
        <w:rPr>
          <w:rStyle w:val="white"/>
          <w:rFonts w:cs="Times New Roman"/>
          <w:color w:val="FFFFFF" w:themeColor="background1"/>
        </w:rPr>
        <w:t>Commission on Safety and Quality in Health Care</w:t>
      </w:r>
    </w:p>
    <w:p w:rsidR="008B244E" w:rsidRPr="008B244E" w:rsidRDefault="00AE21AC" w:rsidP="008B244E">
      <w:pPr>
        <w:pStyle w:val="NormalWeb"/>
        <w:spacing w:before="0" w:after="0"/>
        <w:rPr>
          <w:rStyle w:val="white"/>
          <w:rFonts w:cstheme="minorBidi"/>
          <w:spacing w:val="0"/>
          <w:sz w:val="22"/>
          <w:szCs w:val="22"/>
        </w:rPr>
      </w:pPr>
      <w:r w:rsidRPr="008B244E">
        <w:rPr>
          <w:rStyle w:val="white"/>
          <w:color w:val="FFFFFF" w:themeColor="background1"/>
        </w:rPr>
        <w:t>Level 5, 255 Elizabeth St, Sydney NSW 2001</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GPO Box 5480, Sydney NSW 2001</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Phone: (02) 9126 3600 (international +61 2 9126 3600)</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Fax: (02) 9126 3613 (international +61 2 9126 3613)</w:t>
      </w:r>
    </w:p>
    <w:p w:rsidR="008B244E" w:rsidRPr="008B244E" w:rsidRDefault="00AE21AC" w:rsidP="008B244E">
      <w:pPr>
        <w:pStyle w:val="NormalWeb"/>
        <w:spacing w:before="0" w:after="0"/>
        <w:rPr>
          <w:rStyle w:val="white"/>
        </w:rPr>
      </w:pPr>
      <w:r w:rsidRPr="008B244E">
        <w:rPr>
          <w:rStyle w:val="white"/>
          <w:color w:val="FFFFFF" w:themeColor="background1"/>
        </w:rPr>
        <w:t>Email: mail@safetyandquality.gov.au</w:t>
      </w:r>
    </w:p>
    <w:p w:rsidR="00E0132D" w:rsidRPr="008B244E" w:rsidRDefault="009A2815" w:rsidP="008B244E">
      <w:pPr>
        <w:pStyle w:val="NormalWeb"/>
        <w:spacing w:before="0" w:after="240"/>
        <w:rPr>
          <w:rStyle w:val="x02-url"/>
        </w:rPr>
      </w:pPr>
      <w:hyperlink r:id="rId9" w:history="1">
        <w:r w:rsidR="00AE21AC" w:rsidRPr="008B244E">
          <w:rPr>
            <w:rStyle w:val="x02-url"/>
            <w:color w:val="FFFFFF" w:themeColor="background1"/>
          </w:rPr>
          <w:t>www.safetyandquality.gov.au</w:t>
        </w:r>
      </w:hyperlink>
    </w:p>
    <w:p w:rsidR="00E0132D" w:rsidRPr="008B244E" w:rsidRDefault="00AE21AC" w:rsidP="008B244E">
      <w:pPr>
        <w:pStyle w:val="x01-h5"/>
        <w:rPr>
          <w:color w:val="FFFFFF" w:themeColor="background1"/>
        </w:rPr>
      </w:pPr>
      <w:r w:rsidRPr="008B244E">
        <w:rPr>
          <w:rStyle w:val="white"/>
          <w:rFonts w:cs="Times New Roman"/>
          <w:color w:val="FFFFFF" w:themeColor="background1"/>
        </w:rPr>
        <w:t>NSW Therapeutic Advisory Group Inc</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26 Leichhardt St, Darlinghurst NSW 2010</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PO Box 766, Darlinghurst NSW 2010</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Phone: (02) 8382 2852 (international +61 2 8382 2852)</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Fax: (02) 8382 3529 (international +61 2 8382 3529)</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Email: nswtag@stvincents.com.au</w:t>
      </w:r>
    </w:p>
    <w:p w:rsidR="00E0132D" w:rsidRPr="008B244E" w:rsidRDefault="009A2815" w:rsidP="008B244E">
      <w:pPr>
        <w:pStyle w:val="NormalWeb"/>
        <w:spacing w:before="0" w:after="0"/>
        <w:rPr>
          <w:rStyle w:val="x02-url"/>
        </w:rPr>
      </w:pPr>
      <w:hyperlink r:id="rId10" w:history="1">
        <w:r w:rsidR="00AE21AC" w:rsidRPr="008B244E">
          <w:rPr>
            <w:rStyle w:val="x02-url"/>
            <w:color w:val="FFFFFF" w:themeColor="background1"/>
          </w:rPr>
          <w:t>www.nswtag.org.au</w:t>
        </w:r>
      </w:hyperlink>
    </w:p>
    <w:sectPr w:rsidR="00E0132D" w:rsidRPr="008B244E" w:rsidSect="00EC1EC9">
      <w:headerReference w:type="default" r:id="rId11"/>
      <w:footerReference w:type="even" r:id="rId12"/>
      <w:footerReference w:type="default" r:id="rId13"/>
      <w:headerReference w:type="first" r:id="rId14"/>
      <w:pgSz w:w="11901" w:h="16840"/>
      <w:pgMar w:top="3119" w:right="851" w:bottom="964" w:left="1134" w:header="709" w:footer="709" w:gutter="0"/>
      <w:cols w:space="708"/>
      <w:titlePg/>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3794" w:rsidRDefault="00C03794" w:rsidP="00EC1EC9">
      <w:r>
        <w:separator/>
      </w:r>
    </w:p>
  </w:endnote>
  <w:endnote w:type="continuationSeparator" w:id="0">
    <w:p w:rsidR="00C03794" w:rsidRDefault="00C03794" w:rsidP="00EC1EC9">
      <w:r>
        <w:continuationSeparator/>
      </w:r>
    </w:p>
  </w:endnote>
</w:endnotes>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ＭＳ 明朝">
    <w:charset w:val="4E"/>
    <w:family w:val="auto"/>
    <w:pitch w:val="variable"/>
    <w:sig w:usb0="00000001" w:usb1="00000000" w:usb2="01000407" w:usb3="00000000" w:csb0="00020000" w:csb1="00000000"/>
  </w:font>
  <w:font w:name="Calibri">
    <w:panose1 w:val="020F0502020204030204"/>
    <w:charset w:val="00"/>
    <w:family w:val="auto"/>
    <w:pitch w:val="variable"/>
    <w:sig w:usb0="00000003" w:usb1="00000000" w:usb2="00000000" w:usb3="00000000" w:csb0="00000001" w:csb1="00000000"/>
  </w:font>
  <w:font w:name="ＭＳ ゴシック">
    <w:charset w:val="4E"/>
    <w:family w:val="auto"/>
    <w:pitch w:val="variable"/>
    <w:sig w:usb0="00000001" w:usb1="00000000" w:usb2="01000407" w:usb3="00000000" w:csb0="00020000" w:csb1="00000000"/>
  </w:font>
  <w:font w:name="Times">
    <w:panose1 w:val="02000500000000000000"/>
    <w:charset w:val="00"/>
    <w:family w:val="auto"/>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HelveticaNeue-Light">
    <w:altName w:val="Helvetica Neue Light"/>
    <w:panose1 w:val="00000000000000000000"/>
    <w:charset w:val="00"/>
    <w:family w:val="swiss"/>
    <w:notTrueType/>
    <w:pitch w:val="default"/>
    <w:sig w:usb0="00000003" w:usb1="00000000" w:usb2="00000000" w:usb3="00000000" w:csb0="00000001" w:csb1="00000000"/>
  </w:font>
  <w:font w:name="Gotham-Bold">
    <w:altName w:val="Cambria"/>
    <w:panose1 w:val="00000000000000000000"/>
    <w:charset w:val="4D"/>
    <w:family w:val="auto"/>
    <w:notTrueType/>
    <w:pitch w:val="default"/>
    <w:sig w:usb0="00000003" w:usb1="00000000" w:usb2="00000000" w:usb3="00000000" w:csb0="00000001" w:csb1="00000000"/>
  </w:font>
  <w:font w:name="HelveticaNeue-Medium">
    <w:altName w:val="Helvetica Neue Medium"/>
    <w:panose1 w:val="00000000000000000000"/>
    <w:charset w:val="00"/>
    <w:family w:val="swiss"/>
    <w:notTrueType/>
    <w:pitch w:val="default"/>
    <w:sig w:usb0="00000003" w:usb1="00000000" w:usb2="00000000" w:usb3="00000000" w:csb0="00000001" w:csb1="00000000"/>
  </w:font>
  <w:font w:name="HelveticaNeue-LightItalic">
    <w:altName w:val="Helvetica Neue Light"/>
    <w:panose1 w:val="00000000000000000000"/>
    <w:charset w:val="4D"/>
    <w:family w:val="auto"/>
    <w:notTrueType/>
    <w:pitch w:val="default"/>
    <w:sig w:usb0="00000003" w:usb1="00000000" w:usb2="00000000" w:usb3="00000000" w:csb0="00000001" w:csb1="00000000"/>
  </w:font>
  <w:font w:name="Gotham-Book">
    <w:altName w:val="Cambria"/>
    <w:panose1 w:val="00000000000000000000"/>
    <w:charset w:val="4D"/>
    <w:family w:val="auto"/>
    <w:notTrueType/>
    <w:pitch w:val="default"/>
    <w:sig w:usb0="00000003" w:usb1="00000000" w:usb2="00000000" w:usb3="00000000" w:csb0="00000001" w:csb1="00000000"/>
  </w:font>
  <w:font w:name="Gotham-Medium">
    <w:altName w:val="Cambria"/>
    <w:panose1 w:val="00000000000000000000"/>
    <w:charset w:val="4D"/>
    <w:family w:val="auto"/>
    <w:notTrueType/>
    <w:pitch w:val="default"/>
    <w:sig w:usb0="00000003" w:usb1="00000000" w:usb2="00000000" w:usb3="00000000" w:csb0="00000001" w:csb1="00000000"/>
  </w:font>
  <w:font w:name="Gotham-Light">
    <w:altName w:val="Cambria"/>
    <w:panose1 w:val="00000000000000000000"/>
    <w:charset w:val="4D"/>
    <w:family w:val="auto"/>
    <w:notTrueType/>
    <w:pitch w:val="default"/>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Default="009A2815" w:rsidP="00105798">
    <w:pPr>
      <w:pStyle w:val="Footer"/>
      <w:framePr w:wrap="around" w:vAnchor="text" w:hAnchor="margin" w:xAlign="right" w:y="1"/>
      <w:rPr>
        <w:rStyle w:val="PageNumber"/>
      </w:rPr>
    </w:pPr>
    <w:r>
      <w:rPr>
        <w:rStyle w:val="PageNumber"/>
      </w:rPr>
      <w:fldChar w:fldCharType="begin"/>
    </w:r>
    <w:r w:rsidR="00C03794">
      <w:rPr>
        <w:rStyle w:val="PageNumber"/>
      </w:rPr>
      <w:instrText xml:space="preserve">PAGE  </w:instrText>
    </w:r>
    <w:r>
      <w:rPr>
        <w:rStyle w:val="PageNumber"/>
      </w:rPr>
      <w:fldChar w:fldCharType="end"/>
    </w:r>
  </w:p>
  <w:p w:rsidR="00C03794" w:rsidRDefault="00C03794" w:rsidP="00EC1EC9">
    <w:pPr>
      <w:pStyle w:val="Footer"/>
      <w:ind w:right="360"/>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Pr="00EC1EC9" w:rsidRDefault="009A2815" w:rsidP="00EC1EC9">
    <w:pPr>
      <w:pStyle w:val="Footer"/>
      <w:framePr w:wrap="around" w:vAnchor="text" w:hAnchor="page" w:x="11035" w:y="280"/>
      <w:rPr>
        <w:rStyle w:val="PageNumber"/>
      </w:rPr>
    </w:pPr>
    <w:r w:rsidRPr="00EC1EC9">
      <w:rPr>
        <w:rStyle w:val="PageNumber"/>
      </w:rPr>
      <w:fldChar w:fldCharType="begin"/>
    </w:r>
    <w:r w:rsidR="00C03794" w:rsidRPr="00EC1EC9">
      <w:rPr>
        <w:rStyle w:val="PageNumber"/>
      </w:rPr>
      <w:instrText xml:space="preserve">PAGE  </w:instrText>
    </w:r>
    <w:r w:rsidRPr="00EC1EC9">
      <w:rPr>
        <w:rStyle w:val="PageNumber"/>
      </w:rPr>
      <w:fldChar w:fldCharType="separate"/>
    </w:r>
    <w:r w:rsidR="00BD4BBB">
      <w:rPr>
        <w:rStyle w:val="PageNumber"/>
        <w:noProof/>
      </w:rPr>
      <w:t>2</w:t>
    </w:r>
    <w:r w:rsidRPr="00EC1EC9">
      <w:rPr>
        <w:rStyle w:val="PageNumber"/>
      </w:rPr>
      <w:fldChar w:fldCharType="end"/>
    </w:r>
  </w:p>
  <w:p w:rsidR="00C03794" w:rsidRDefault="00C03794" w:rsidP="00EC1EC9">
    <w:pPr>
      <w:pStyle w:val="03footer"/>
      <w:ind w:right="360"/>
    </w:pPr>
    <w:r>
      <w:br/>
    </w:r>
    <w:r w:rsidRPr="00EC1EC9">
      <w:t>National Quality Use of Medicines Indicators for Australian Hospitals 2014</w:t>
    </w: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3794" w:rsidRDefault="00C03794" w:rsidP="00EC1EC9">
      <w:r>
        <w:separator/>
      </w:r>
    </w:p>
  </w:footnote>
  <w:footnote w:type="continuationSeparator" w:id="0">
    <w:p w:rsidR="00C03794" w:rsidRDefault="00C03794" w:rsidP="00EC1EC9">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Default="00C03794">
    <w:pPr>
      <w:pStyle w:val="Header"/>
    </w:pPr>
    <w:r>
      <w:rPr>
        <w:noProof/>
        <w:lang w:val="en-US"/>
      </w:rPr>
      <w:drawing>
        <wp:anchor distT="0" distB="0" distL="114300" distR="114300" simplePos="0" relativeHeight="251658240" behindDoc="1" locked="0" layoutInCell="1" allowOverlap="1">
          <wp:simplePos x="0" y="0"/>
          <wp:positionH relativeFrom="column">
            <wp:posOffset>-800100</wp:posOffset>
          </wp:positionH>
          <wp:positionV relativeFrom="paragraph">
            <wp:posOffset>-527050</wp:posOffset>
          </wp:positionV>
          <wp:extent cx="7710221" cy="1063264"/>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png"/>
                  <pic:cNvPicPr/>
                </pic:nvPicPr>
                <pic:blipFill>
                  <a:blip r:embed="rId1">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ve="http://schemas.openxmlformats.org/markup-compatibility/2006" val="0"/>
                      </a:ext>
                    </a:extLst>
                  </a:blip>
                  <a:stretch>
                    <a:fillRect/>
                  </a:stretch>
                </pic:blipFill>
                <pic:spPr>
                  <a:xfrm>
                    <a:off x="0" y="0"/>
                    <a:ext cx="7710221" cy="1063264"/>
                  </a:xfrm>
                  <a:prstGeom prst="rect">
                    <a:avLst/>
                  </a:prstGeom>
                  <a:extLst>
                    <a:ext uri="{FAA26D3D-D897-4be2-8F04-BA451C77F1D7}">
                      <ma14:placeholderFlag xmln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ma14="http://schemas.microsoft.com/office/mac/drawingml/2011/main" xmlns:ve="http://schemas.openxmlformats.org/markup-compatibility/2006"/>
                    </a:ext>
                  </a:extLst>
                </pic:spPr>
              </pic:pic>
            </a:graphicData>
          </a:graphic>
        </wp:anchor>
      </w:drawing>
    </w: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Default="00C03794">
    <w:pPr>
      <w:pStyle w:val="Header"/>
    </w:pPr>
    <w:r>
      <w:rPr>
        <w:noProof/>
        <w:lang w:val="en-US"/>
      </w:rPr>
      <w:drawing>
        <wp:anchor distT="0" distB="0" distL="114300" distR="114300" simplePos="0" relativeHeight="251659264" behindDoc="1" locked="0" layoutInCell="1" allowOverlap="1">
          <wp:simplePos x="0" y="0"/>
          <wp:positionH relativeFrom="column">
            <wp:posOffset>-685800</wp:posOffset>
          </wp:positionH>
          <wp:positionV relativeFrom="paragraph">
            <wp:posOffset>-412750</wp:posOffset>
          </wp:positionV>
          <wp:extent cx="7559040" cy="10692384"/>
          <wp:effectExtent l="0" t="0" r="10160" b="12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png"/>
                  <pic:cNvPicPr/>
                </pic:nvPicPr>
                <pic:blipFill>
                  <a:blip r:embed="rId1">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ve="http://schemas.openxmlformats.org/markup-compatibility/2006" val="0"/>
                      </a:ext>
                    </a:extLst>
                  </a:blip>
                  <a:stretch>
                    <a:fillRect/>
                  </a:stretch>
                </pic:blipFill>
                <pic:spPr>
                  <a:xfrm>
                    <a:off x="0" y="0"/>
                    <a:ext cx="7559040" cy="10692384"/>
                  </a:xfrm>
                  <a:prstGeom prst="rect">
                    <a:avLst/>
                  </a:prstGeom>
                  <a:extLst>
                    <a:ext uri="{FAA26D3D-D897-4be2-8F04-BA451C77F1D7}">
                      <ma14:placeholderFlag xmln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ma14="http://schemas.microsoft.com/office/mac/drawingml/2011/main" xmlns:ve="http://schemas.openxmlformats.org/markup-compatibility/2006"/>
                    </a:ext>
                  </a:extLst>
                </pic:spPr>
              </pic:pic>
            </a:graphicData>
          </a:graphic>
        </wp:anchor>
      </w:drawing>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411088"/>
    <w:multiLevelType w:val="multilevel"/>
    <w:tmpl w:val="C22E12CA"/>
    <w:lvl w:ilvl="0">
      <w:start w:val="1"/>
      <w:numFmt w:val="bullet"/>
      <w:pStyle w:val="02Bulletlevel3"/>
      <w:lvlText w:val=""/>
      <w:lvlJc w:val="left"/>
      <w:pPr>
        <w:ind w:left="2157" w:hanging="360"/>
      </w:pPr>
      <w:rPr>
        <w:rFonts w:ascii="Symbol" w:hAnsi="Symbol" w:hint="default"/>
        <w:color w:val="1D4A74"/>
        <w:sz w:val="20"/>
      </w:rPr>
    </w:lvl>
    <w:lvl w:ilvl="1">
      <w:start w:val="1"/>
      <w:numFmt w:val="bullet"/>
      <w:pStyle w:val="02Bulletlevel2"/>
      <w:lvlText w:val="o"/>
      <w:lvlJc w:val="left"/>
      <w:pPr>
        <w:tabs>
          <w:tab w:val="num" w:pos="1440"/>
        </w:tabs>
        <w:ind w:left="1440" w:hanging="360"/>
      </w:pPr>
      <w:rPr>
        <w:rFonts w:ascii="Courier New" w:hAnsi="Courier New" w:hint="default"/>
        <w:sz w:val="20"/>
      </w:rPr>
    </w:lvl>
    <w:lvl w:ilvl="2">
      <w:start w:val="1"/>
      <w:numFmt w:val="bullet"/>
      <w:pStyle w:val="02Bulletlevel3"/>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538642B"/>
    <w:multiLevelType w:val="hybridMultilevel"/>
    <w:tmpl w:val="2E060274"/>
    <w:lvl w:ilvl="0" w:tplc="E7D0CBA8">
      <w:start w:val="1"/>
      <w:numFmt w:val="bullet"/>
      <w:pStyle w:val="02Bulletlevel2"/>
      <w:lvlText w:val="–"/>
      <w:lvlJc w:val="left"/>
      <w:pPr>
        <w:ind w:left="1069" w:hanging="360"/>
      </w:pPr>
      <w:rPr>
        <w:rFonts w:ascii="Arial" w:hAnsi="Arial" w:hint="default"/>
        <w:color w:val="5E6263"/>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D3E55B4"/>
    <w:multiLevelType w:val="multilevel"/>
    <w:tmpl w:val="7BF61B4A"/>
    <w:lvl w:ilvl="0">
      <w:start w:val="1"/>
      <w:numFmt w:val="bullet"/>
      <w:pStyle w:val="02bullet"/>
      <w:lvlText w:val=""/>
      <w:lvlJc w:val="left"/>
      <w:pPr>
        <w:ind w:left="720" w:hanging="360"/>
      </w:pPr>
      <w:rPr>
        <w:rFonts w:ascii="Symbol" w:hAnsi="Symbol" w:hint="default"/>
        <w:color w:val="1D4A74"/>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IdMacAtCleanup w:val="6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oNotTrackMoves/>
  <w:defaultTabStop w:val="720"/>
  <w:noPunctuationKerning/>
  <w:characterSpacingControl w:val="doNotCompress"/>
  <w:savePreviewPicture/>
  <w:hdrShapeDefaults>
    <o:shapedefaults v:ext="edit" spidmax="2050"/>
  </w:hdrShapeDefaults>
  <w:footnotePr>
    <w:footnote w:id="-1"/>
    <w:footnote w:id="0"/>
  </w:footnotePr>
  <w:endnotePr>
    <w:endnote w:id="-1"/>
    <w:endnote w:id="0"/>
  </w:endnotePr>
  <w:compat>
    <w:doNotBreakWrappedTables/>
    <w:doNotSnapToGridInCell/>
    <w:doNotWrapTextWithPunct/>
    <w:doNotUseEastAsianBreakRules/>
    <w:growAutofit/>
  </w:compat>
  <w:rsids>
    <w:rsidRoot w:val="006174E8"/>
    <w:rsid w:val="00052C2A"/>
    <w:rsid w:val="000605B3"/>
    <w:rsid w:val="000D2E87"/>
    <w:rsid w:val="00105798"/>
    <w:rsid w:val="001139CE"/>
    <w:rsid w:val="00136A82"/>
    <w:rsid w:val="0014196D"/>
    <w:rsid w:val="00265406"/>
    <w:rsid w:val="002834FA"/>
    <w:rsid w:val="002B522B"/>
    <w:rsid w:val="002D346E"/>
    <w:rsid w:val="003001B0"/>
    <w:rsid w:val="00335EC6"/>
    <w:rsid w:val="003C578E"/>
    <w:rsid w:val="003C6D8B"/>
    <w:rsid w:val="003E78CF"/>
    <w:rsid w:val="004018B0"/>
    <w:rsid w:val="00416186"/>
    <w:rsid w:val="00446FEA"/>
    <w:rsid w:val="004B0764"/>
    <w:rsid w:val="004D04BA"/>
    <w:rsid w:val="00510CAF"/>
    <w:rsid w:val="00563638"/>
    <w:rsid w:val="0056365B"/>
    <w:rsid w:val="005A754B"/>
    <w:rsid w:val="005B61D8"/>
    <w:rsid w:val="006174E8"/>
    <w:rsid w:val="00697608"/>
    <w:rsid w:val="006E077D"/>
    <w:rsid w:val="0083412A"/>
    <w:rsid w:val="00844813"/>
    <w:rsid w:val="00852DB6"/>
    <w:rsid w:val="00856734"/>
    <w:rsid w:val="00870BAF"/>
    <w:rsid w:val="008B244E"/>
    <w:rsid w:val="009655EA"/>
    <w:rsid w:val="00977CFB"/>
    <w:rsid w:val="009873FA"/>
    <w:rsid w:val="009A2815"/>
    <w:rsid w:val="009C4991"/>
    <w:rsid w:val="009E2A33"/>
    <w:rsid w:val="009E3F64"/>
    <w:rsid w:val="009F7D89"/>
    <w:rsid w:val="00A17C2D"/>
    <w:rsid w:val="00A879BE"/>
    <w:rsid w:val="00A90A11"/>
    <w:rsid w:val="00AA51DA"/>
    <w:rsid w:val="00AE21AC"/>
    <w:rsid w:val="00AE77BF"/>
    <w:rsid w:val="00B01E77"/>
    <w:rsid w:val="00B44E16"/>
    <w:rsid w:val="00B45F6B"/>
    <w:rsid w:val="00BD4BBB"/>
    <w:rsid w:val="00BD739E"/>
    <w:rsid w:val="00C03794"/>
    <w:rsid w:val="00C10D3A"/>
    <w:rsid w:val="00C23D10"/>
    <w:rsid w:val="00C829BA"/>
    <w:rsid w:val="00C909D3"/>
    <w:rsid w:val="00CD468E"/>
    <w:rsid w:val="00D053C2"/>
    <w:rsid w:val="00D16016"/>
    <w:rsid w:val="00D47826"/>
    <w:rsid w:val="00D752D1"/>
    <w:rsid w:val="00D86BEE"/>
    <w:rsid w:val="00E0132D"/>
    <w:rsid w:val="00E21A3B"/>
    <w:rsid w:val="00E224F2"/>
    <w:rsid w:val="00E67E14"/>
    <w:rsid w:val="00E71EDF"/>
    <w:rsid w:val="00E92548"/>
    <w:rsid w:val="00E93779"/>
    <w:rsid w:val="00EC1EC9"/>
    <w:rsid w:val="00F03BA1"/>
    <w:rsid w:val="00F11D0D"/>
    <w:rsid w:val="00F16919"/>
    <w:rsid w:val="00F3116D"/>
    <w:rsid w:val="00F35D42"/>
    <w:rsid w:val="00F42F05"/>
    <w:rsid w:val="00F443A4"/>
    <w:rsid w:val="00F9019C"/>
    <w:rsid w:val="00FF0517"/>
  </w:rsids>
  <m:mathPr>
    <m:mathFont m:val="American Typewriter Light"/>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7BF"/>
    <w:pPr>
      <w:spacing w:after="120"/>
    </w:pPr>
    <w:rPr>
      <w:rFonts w:ascii="Arial" w:eastAsiaTheme="minorEastAsia" w:hAnsi="Arial" w:cstheme="minorBidi"/>
      <w:sz w:val="18"/>
    </w:rPr>
  </w:style>
  <w:style w:type="paragraph" w:styleId="Heading1">
    <w:name w:val="heading 1"/>
    <w:basedOn w:val="Normal"/>
    <w:link w:val="Heading1Char"/>
    <w:uiPriority w:val="9"/>
    <w:qFormat/>
    <w:rsid w:val="00136A82"/>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F11D0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uiPriority w:val="9"/>
    <w:rsid w:val="00136A82"/>
    <w:rPr>
      <w:rFonts w:asciiTheme="majorHAnsi" w:eastAsiaTheme="majorEastAsia" w:hAnsiTheme="majorHAnsi" w:cstheme="majorBidi"/>
      <w:b/>
      <w:bCs/>
      <w:color w:val="345A8A" w:themeColor="accent1" w:themeShade="B5"/>
      <w:sz w:val="32"/>
      <w:szCs w:val="32"/>
    </w:rPr>
  </w:style>
  <w:style w:type="paragraph" w:customStyle="1" w:styleId="x00-cover-date">
    <w:name w:val="x00-cover-date"/>
    <w:basedOn w:val="Normal"/>
    <w:rsid w:val="00105798"/>
    <w:pPr>
      <w:spacing w:before="100" w:beforeAutospacing="1" w:after="100" w:afterAutospacing="1"/>
      <w:jc w:val="right"/>
    </w:pPr>
    <w:rPr>
      <w:b/>
      <w:color w:val="1D4A74"/>
      <w:sz w:val="44"/>
      <w:szCs w:val="44"/>
    </w:rPr>
  </w:style>
  <w:style w:type="paragraph" w:styleId="NormalWeb">
    <w:name w:val="Normal (Web)"/>
    <w:basedOn w:val="Normal"/>
    <w:uiPriority w:val="99"/>
    <w:unhideWhenUsed/>
    <w:rsid w:val="004D04BA"/>
    <w:pPr>
      <w:spacing w:before="120" w:line="240" w:lineRule="exact"/>
    </w:pPr>
    <w:rPr>
      <w:rFonts w:cs="Times New Roman"/>
      <w:color w:val="000000" w:themeColor="text1"/>
      <w:spacing w:val="4"/>
      <w:szCs w:val="18"/>
    </w:rPr>
  </w:style>
  <w:style w:type="character" w:customStyle="1" w:styleId="x02-body-bold">
    <w:name w:val="x02-body-bold"/>
    <w:basedOn w:val="DefaultParagraphFont"/>
    <w:rsid w:val="00E224F2"/>
    <w:rPr>
      <w:rFonts w:ascii="Arial" w:hAnsi="Arial"/>
      <w:b/>
    </w:rPr>
  </w:style>
  <w:style w:type="character" w:customStyle="1" w:styleId="x02-body-italic">
    <w:name w:val="x02-body-italic"/>
    <w:basedOn w:val="DefaultParagraphFont"/>
    <w:rsid w:val="00AE77BF"/>
    <w:rPr>
      <w:rFonts w:ascii="Arial" w:hAnsi="Arial"/>
      <w:i/>
    </w:rPr>
  </w:style>
  <w:style w:type="character" w:customStyle="1" w:styleId="white">
    <w:name w:val="white"/>
    <w:basedOn w:val="DefaultParagraphFont"/>
    <w:rsid w:val="00CD468E"/>
    <w:rPr>
      <w:rFonts w:ascii="Arial" w:hAnsi="Arial"/>
    </w:rPr>
  </w:style>
  <w:style w:type="paragraph" w:customStyle="1" w:styleId="x03-footer">
    <w:name w:val="x03-footer"/>
    <w:basedOn w:val="Normal"/>
    <w:rsid w:val="00105798"/>
    <w:pPr>
      <w:spacing w:before="100" w:beforeAutospacing="1" w:after="100" w:afterAutospacing="1"/>
    </w:pPr>
    <w:rPr>
      <w:color w:val="1D4A74"/>
      <w:sz w:val="14"/>
      <w:szCs w:val="14"/>
    </w:rPr>
  </w:style>
  <w:style w:type="paragraph" w:customStyle="1" w:styleId="x01-h1">
    <w:name w:val="x01-h1"/>
    <w:basedOn w:val="Normal"/>
    <w:rsid w:val="00E224F2"/>
    <w:pPr>
      <w:spacing w:before="240" w:after="360"/>
    </w:pPr>
    <w:rPr>
      <w:color w:val="1D4A74"/>
      <w:sz w:val="46"/>
      <w:szCs w:val="46"/>
    </w:rPr>
  </w:style>
  <w:style w:type="paragraph" w:customStyle="1" w:styleId="x00-contents-body">
    <w:name w:val="x00-contents-body"/>
    <w:basedOn w:val="Normal"/>
    <w:rsid w:val="00D053C2"/>
    <w:pPr>
      <w:pBdr>
        <w:top w:val="dotted" w:sz="12" w:space="1" w:color="C5C0B2"/>
        <w:bottom w:val="dotted" w:sz="8" w:space="1" w:color="5E6263"/>
        <w:between w:val="dotted" w:sz="8" w:space="1" w:color="5E6263"/>
      </w:pBdr>
      <w:tabs>
        <w:tab w:val="right" w:pos="9639"/>
      </w:tabs>
      <w:spacing w:after="360"/>
    </w:pPr>
    <w:rPr>
      <w:color w:val="666967"/>
      <w:sz w:val="20"/>
    </w:rPr>
  </w:style>
  <w:style w:type="character" w:customStyle="1" w:styleId="x02-superscript">
    <w:name w:val="x02-superscript"/>
    <w:basedOn w:val="DefaultParagraphFont"/>
    <w:rsid w:val="00AE77BF"/>
    <w:rPr>
      <w:rFonts w:ascii="Arial" w:hAnsi="Arial"/>
      <w:caps w:val="0"/>
      <w:smallCaps w:val="0"/>
      <w:strike w:val="0"/>
      <w:dstrike w:val="0"/>
      <w:vanish w:val="0"/>
      <w:vertAlign w:val="superscript"/>
    </w:rPr>
  </w:style>
  <w:style w:type="paragraph" w:customStyle="1" w:styleId="x01-h2">
    <w:name w:val="x01-h2"/>
    <w:basedOn w:val="Normal"/>
    <w:rsid w:val="00510CAF"/>
    <w:pPr>
      <w:spacing w:before="240"/>
    </w:pPr>
    <w:rPr>
      <w:color w:val="1D4A74"/>
      <w:sz w:val="28"/>
      <w:szCs w:val="28"/>
    </w:rPr>
  </w:style>
  <w:style w:type="paragraph" w:customStyle="1" w:styleId="x01-h3">
    <w:name w:val="x01-h3"/>
    <w:basedOn w:val="Normal"/>
    <w:rsid w:val="003C578E"/>
    <w:pPr>
      <w:spacing w:before="120" w:after="0"/>
    </w:pPr>
    <w:rPr>
      <w:color w:val="1D4A74"/>
      <w:sz w:val="24"/>
      <w:szCs w:val="24"/>
    </w:rPr>
  </w:style>
  <w:style w:type="paragraph" w:customStyle="1" w:styleId="x03-figure-heading">
    <w:name w:val="x03-figure-heading"/>
    <w:basedOn w:val="Normal"/>
    <w:rsid w:val="00697608"/>
    <w:pPr>
      <w:spacing w:before="240"/>
    </w:pPr>
    <w:rPr>
      <w:b/>
      <w:bCs/>
      <w:color w:val="666967"/>
      <w:sz w:val="22"/>
      <w:szCs w:val="22"/>
    </w:rPr>
  </w:style>
  <w:style w:type="character" w:customStyle="1" w:styleId="x02-body-roman">
    <w:name w:val="x02-body-roman"/>
    <w:basedOn w:val="DefaultParagraphFont"/>
    <w:rsid w:val="00AE77BF"/>
    <w:rPr>
      <w:rFonts w:ascii="Arial" w:hAnsi="Arial"/>
      <w:b/>
    </w:rPr>
  </w:style>
  <w:style w:type="paragraph" w:customStyle="1" w:styleId="x01-h2-span">
    <w:name w:val="x01-h2-span"/>
    <w:basedOn w:val="Normal"/>
    <w:rsid w:val="00CD468E"/>
    <w:pPr>
      <w:spacing w:before="240"/>
    </w:pPr>
    <w:rPr>
      <w:color w:val="1D4A74"/>
      <w:sz w:val="28"/>
      <w:szCs w:val="28"/>
    </w:rPr>
  </w:style>
  <w:style w:type="paragraph" w:customStyle="1" w:styleId="x01-h4">
    <w:name w:val="x01-h4"/>
    <w:basedOn w:val="Normal"/>
    <w:rsid w:val="00CD468E"/>
    <w:pPr>
      <w:spacing w:before="120"/>
    </w:pPr>
    <w:rPr>
      <w:b/>
      <w:bCs/>
      <w:color w:val="666967"/>
      <w:sz w:val="22"/>
      <w:szCs w:val="22"/>
    </w:rPr>
  </w:style>
  <w:style w:type="character" w:customStyle="1" w:styleId="char-style-override-2">
    <w:name w:val="char-style-override-2"/>
    <w:basedOn w:val="DefaultParagraphFont"/>
    <w:rsid w:val="00136A82"/>
  </w:style>
  <w:style w:type="paragraph" w:customStyle="1" w:styleId="x01-h5">
    <w:name w:val="x01-h5"/>
    <w:basedOn w:val="Normal"/>
    <w:rsid w:val="00CD468E"/>
    <w:pPr>
      <w:spacing w:before="120" w:after="0"/>
    </w:pPr>
    <w:rPr>
      <w:color w:val="000000" w:themeColor="text1"/>
      <w:sz w:val="22"/>
      <w:szCs w:val="22"/>
    </w:rPr>
  </w:style>
  <w:style w:type="paragraph" w:customStyle="1" w:styleId="x04-table-head-l">
    <w:name w:val="x04-table-head-l"/>
    <w:basedOn w:val="Normal"/>
    <w:rsid w:val="00CD468E"/>
    <w:pPr>
      <w:spacing w:before="100" w:beforeAutospacing="1" w:after="100" w:afterAutospacing="1"/>
    </w:pPr>
    <w:rPr>
      <w:b/>
      <w:bCs/>
      <w:color w:val="FFFFFF" w:themeColor="background1"/>
      <w:szCs w:val="18"/>
    </w:rPr>
  </w:style>
  <w:style w:type="paragraph" w:customStyle="1" w:styleId="x04-footnotes">
    <w:name w:val="x04-footnotes"/>
    <w:basedOn w:val="Normal"/>
    <w:rsid w:val="00416186"/>
    <w:pPr>
      <w:spacing w:before="60" w:after="60"/>
    </w:pPr>
    <w:rPr>
      <w:sz w:val="14"/>
    </w:rPr>
  </w:style>
  <w:style w:type="character" w:customStyle="1" w:styleId="char-style-override-3">
    <w:name w:val="char-style-override-3"/>
    <w:basedOn w:val="DefaultParagraphFont"/>
    <w:rsid w:val="00136A82"/>
  </w:style>
  <w:style w:type="character" w:customStyle="1" w:styleId="char-style-override-4">
    <w:name w:val="char-style-override-4"/>
    <w:basedOn w:val="DefaultParagraphFont"/>
    <w:rsid w:val="00136A82"/>
  </w:style>
  <w:style w:type="character" w:customStyle="1" w:styleId="x02-url">
    <w:name w:val="x02-url"/>
    <w:basedOn w:val="DefaultParagraphFont"/>
    <w:rsid w:val="00CD468E"/>
    <w:rPr>
      <w:rFonts w:ascii="Arial" w:hAnsi="Arial"/>
      <w:b/>
      <w:bCs/>
      <w:color w:val="1D4A74"/>
    </w:rPr>
  </w:style>
  <w:style w:type="character" w:customStyle="1" w:styleId="x03-gotham-medium-italic">
    <w:name w:val="x03-gotham-medium-italic"/>
    <w:basedOn w:val="DefaultParagraphFont"/>
    <w:rsid w:val="00CD468E"/>
    <w:rPr>
      <w:rFonts w:ascii="Arial" w:hAnsi="Arial"/>
      <w:b/>
      <w:bCs/>
      <w:i/>
      <w:iCs/>
      <w:color w:val="1D4A74"/>
    </w:rPr>
  </w:style>
  <w:style w:type="character" w:styleId="Hyperlink">
    <w:name w:val="Hyperlink"/>
    <w:basedOn w:val="DefaultParagraphFont"/>
    <w:uiPriority w:val="99"/>
    <w:unhideWhenUsed/>
    <w:rsid w:val="00136A82"/>
    <w:rPr>
      <w:color w:val="0000FF"/>
      <w:u w:val="single"/>
    </w:rPr>
  </w:style>
  <w:style w:type="character" w:styleId="FollowedHyperlink">
    <w:name w:val="FollowedHyperlink"/>
    <w:basedOn w:val="DefaultParagraphFont"/>
    <w:uiPriority w:val="99"/>
    <w:semiHidden/>
    <w:unhideWhenUsed/>
    <w:rsid w:val="00136A82"/>
    <w:rPr>
      <w:color w:val="800080"/>
      <w:u w:val="single"/>
    </w:rPr>
  </w:style>
  <w:style w:type="character" w:customStyle="1" w:styleId="bullets">
    <w:name w:val="bullets"/>
    <w:basedOn w:val="DefaultParagraphFont"/>
    <w:rsid w:val="00E224F2"/>
    <w:rPr>
      <w:color w:val="1D4A74"/>
    </w:rPr>
  </w:style>
  <w:style w:type="paragraph" w:customStyle="1" w:styleId="x04-body-8pt">
    <w:name w:val="x04-body-8pt"/>
    <w:basedOn w:val="Normal"/>
    <w:rsid w:val="00697608"/>
    <w:pPr>
      <w:spacing w:after="100"/>
    </w:pPr>
    <w:rPr>
      <w:sz w:val="16"/>
    </w:rPr>
  </w:style>
  <w:style w:type="paragraph" w:customStyle="1" w:styleId="para-style-override-4">
    <w:name w:val="para-style-override-4"/>
    <w:basedOn w:val="Normal"/>
    <w:rsid w:val="00136A82"/>
    <w:pPr>
      <w:spacing w:before="100" w:beforeAutospacing="1" w:after="100" w:afterAutospacing="1"/>
    </w:pPr>
  </w:style>
  <w:style w:type="paragraph" w:customStyle="1" w:styleId="x02-intro">
    <w:name w:val="x02-intro"/>
    <w:basedOn w:val="Normal"/>
    <w:rsid w:val="00CD468E"/>
    <w:pPr>
      <w:spacing w:before="120" w:after="240"/>
    </w:pPr>
    <w:rPr>
      <w:color w:val="000000" w:themeColor="text1"/>
      <w:sz w:val="24"/>
      <w:szCs w:val="24"/>
    </w:rPr>
  </w:style>
  <w:style w:type="character" w:customStyle="1" w:styleId="x02-subscript">
    <w:name w:val="x02-subscript"/>
    <w:basedOn w:val="DefaultParagraphFont"/>
    <w:rsid w:val="00AE77BF"/>
    <w:rPr>
      <w:rFonts w:ascii="Arial" w:hAnsi="Arial"/>
      <w:caps w:val="0"/>
      <w:smallCaps w:val="0"/>
      <w:strike w:val="0"/>
      <w:dstrike w:val="0"/>
      <w:vanish w:val="0"/>
      <w:vertAlign w:val="subscript"/>
    </w:rPr>
  </w:style>
  <w:style w:type="paragraph" w:customStyle="1" w:styleId="x03-references">
    <w:name w:val="x03-references"/>
    <w:basedOn w:val="Normal"/>
    <w:rsid w:val="00CD468E"/>
    <w:pPr>
      <w:spacing w:before="60"/>
    </w:pPr>
    <w:rPr>
      <w:sz w:val="14"/>
    </w:rPr>
  </w:style>
  <w:style w:type="character" w:customStyle="1" w:styleId="char-style-override-9">
    <w:name w:val="char-style-override-9"/>
    <w:basedOn w:val="DefaultParagraphFont"/>
    <w:rsid w:val="00136A82"/>
  </w:style>
  <w:style w:type="paragraph" w:customStyle="1" w:styleId="para-style-override-6">
    <w:name w:val="para-style-override-6"/>
    <w:basedOn w:val="Normal"/>
    <w:rsid w:val="00136A82"/>
    <w:pPr>
      <w:spacing w:before="100" w:beforeAutospacing="1" w:after="100" w:afterAutospacing="1"/>
    </w:pPr>
  </w:style>
  <w:style w:type="character" w:customStyle="1" w:styleId="x02-body-bold-italic">
    <w:name w:val="x02-body-bold-italic"/>
    <w:basedOn w:val="DefaultParagraphFont"/>
    <w:rsid w:val="00AE77BF"/>
    <w:rPr>
      <w:rFonts w:ascii="Arial" w:hAnsi="Arial"/>
      <w:b/>
      <w:i/>
    </w:rPr>
  </w:style>
  <w:style w:type="character" w:customStyle="1" w:styleId="char-style-override-11">
    <w:name w:val="char-style-override-11"/>
    <w:basedOn w:val="DefaultParagraphFont"/>
    <w:rsid w:val="00136A82"/>
  </w:style>
  <w:style w:type="paragraph" w:customStyle="1" w:styleId="x04-appendices-graphic-body">
    <w:name w:val="x04-appendices-graphic-body"/>
    <w:basedOn w:val="Normal"/>
    <w:rsid w:val="00136A82"/>
    <w:pPr>
      <w:spacing w:before="100" w:beforeAutospacing="1" w:after="100" w:afterAutospacing="1"/>
    </w:pPr>
  </w:style>
  <w:style w:type="character" w:customStyle="1" w:styleId="grey">
    <w:name w:val="grey"/>
    <w:basedOn w:val="DefaultParagraphFont"/>
    <w:rsid w:val="00136A82"/>
  </w:style>
  <w:style w:type="paragraph" w:customStyle="1" w:styleId="para-style-override-8">
    <w:name w:val="para-style-override-8"/>
    <w:basedOn w:val="Normal"/>
    <w:rsid w:val="00136A82"/>
    <w:pPr>
      <w:spacing w:before="100" w:beforeAutospacing="1" w:after="100" w:afterAutospacing="1"/>
    </w:pPr>
  </w:style>
  <w:style w:type="paragraph" w:styleId="Header">
    <w:name w:val="header"/>
    <w:basedOn w:val="Normal"/>
    <w:link w:val="HeaderChar"/>
    <w:uiPriority w:val="99"/>
    <w:unhideWhenUsed/>
    <w:rsid w:val="00EC1EC9"/>
    <w:pPr>
      <w:tabs>
        <w:tab w:val="center" w:pos="4320"/>
        <w:tab w:val="right" w:pos="8640"/>
      </w:tabs>
    </w:pPr>
  </w:style>
  <w:style w:type="character" w:customStyle="1" w:styleId="HeaderChar">
    <w:name w:val="Header Char"/>
    <w:basedOn w:val="DefaultParagraphFont"/>
    <w:link w:val="Header"/>
    <w:uiPriority w:val="99"/>
    <w:rsid w:val="00EC1EC9"/>
    <w:rPr>
      <w:rFonts w:ascii="Times" w:eastAsiaTheme="minorEastAsia" w:hAnsi="Times" w:cstheme="minorBidi"/>
    </w:rPr>
  </w:style>
  <w:style w:type="paragraph" w:styleId="Footer">
    <w:name w:val="footer"/>
    <w:basedOn w:val="Normal"/>
    <w:link w:val="FooterChar"/>
    <w:uiPriority w:val="99"/>
    <w:unhideWhenUsed/>
    <w:rsid w:val="00EC1EC9"/>
    <w:pPr>
      <w:tabs>
        <w:tab w:val="center" w:pos="4320"/>
        <w:tab w:val="right" w:pos="8640"/>
      </w:tabs>
    </w:pPr>
  </w:style>
  <w:style w:type="character" w:customStyle="1" w:styleId="FooterChar">
    <w:name w:val="Footer Char"/>
    <w:basedOn w:val="DefaultParagraphFont"/>
    <w:link w:val="Footer"/>
    <w:uiPriority w:val="99"/>
    <w:rsid w:val="00EC1EC9"/>
    <w:rPr>
      <w:rFonts w:ascii="Times" w:eastAsiaTheme="minorEastAsia" w:hAnsi="Times" w:cstheme="minorBidi"/>
    </w:rPr>
  </w:style>
  <w:style w:type="paragraph" w:styleId="BalloonText">
    <w:name w:val="Balloon Text"/>
    <w:basedOn w:val="Normal"/>
    <w:link w:val="BalloonTextChar"/>
    <w:uiPriority w:val="99"/>
    <w:semiHidden/>
    <w:unhideWhenUsed/>
    <w:rsid w:val="00EC1EC9"/>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EC1EC9"/>
    <w:rPr>
      <w:rFonts w:ascii="Lucida Grande" w:eastAsiaTheme="minorEastAsia" w:hAnsi="Lucida Grande" w:cs="Lucida Grande"/>
      <w:sz w:val="18"/>
      <w:szCs w:val="18"/>
    </w:rPr>
  </w:style>
  <w:style w:type="paragraph" w:customStyle="1" w:styleId="03footer">
    <w:name w:val="03_footer"/>
    <w:basedOn w:val="Normal"/>
    <w:uiPriority w:val="99"/>
    <w:rsid w:val="00EC1EC9"/>
    <w:pPr>
      <w:widowControl w:val="0"/>
      <w:tabs>
        <w:tab w:val="left" w:pos="340"/>
      </w:tabs>
      <w:suppressAutoHyphens/>
      <w:autoSpaceDE w:val="0"/>
      <w:autoSpaceDN w:val="0"/>
      <w:adjustRightInd w:val="0"/>
      <w:spacing w:after="170" w:line="260" w:lineRule="atLeast"/>
      <w:textAlignment w:val="center"/>
    </w:pPr>
    <w:rPr>
      <w:rFonts w:eastAsia="Times New Roman" w:cs="HelveticaNeue-Light"/>
      <w:color w:val="1D4A74"/>
      <w:sz w:val="14"/>
      <w:szCs w:val="14"/>
      <w:lang w:val="en-GB"/>
    </w:rPr>
  </w:style>
  <w:style w:type="character" w:styleId="PageNumber">
    <w:name w:val="page number"/>
    <w:basedOn w:val="DefaultParagraphFont"/>
    <w:uiPriority w:val="99"/>
    <w:semiHidden/>
    <w:unhideWhenUsed/>
    <w:rsid w:val="00EC1EC9"/>
    <w:rPr>
      <w:rFonts w:ascii="Arial" w:hAnsi="Arial"/>
      <w:b/>
      <w:bCs/>
      <w:color w:val="1D4A74"/>
      <w:sz w:val="22"/>
      <w:szCs w:val="22"/>
    </w:rPr>
  </w:style>
  <w:style w:type="paragraph" w:customStyle="1" w:styleId="00CoverH1">
    <w:name w:val="00_Cover_H1"/>
    <w:basedOn w:val="Normal"/>
    <w:uiPriority w:val="99"/>
    <w:rsid w:val="00105798"/>
    <w:pPr>
      <w:widowControl w:val="0"/>
      <w:suppressAutoHyphens/>
      <w:autoSpaceDE w:val="0"/>
      <w:autoSpaceDN w:val="0"/>
      <w:adjustRightInd w:val="0"/>
      <w:spacing w:after="113" w:line="520" w:lineRule="atLeast"/>
      <w:jc w:val="right"/>
      <w:textAlignment w:val="center"/>
    </w:pPr>
    <w:rPr>
      <w:rFonts w:eastAsia="Times New Roman" w:cs="Gotham-Bold"/>
      <w:b/>
      <w:bCs/>
      <w:color w:val="FFFFFF"/>
      <w:spacing w:val="-5"/>
      <w:sz w:val="52"/>
      <w:szCs w:val="52"/>
      <w:lang w:val="en-GB"/>
    </w:rPr>
  </w:style>
  <w:style w:type="paragraph" w:customStyle="1" w:styleId="00Citation">
    <w:name w:val="00_Citation"/>
    <w:basedOn w:val="Normal"/>
    <w:uiPriority w:val="99"/>
    <w:rsid w:val="00E224F2"/>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line="220" w:lineRule="atLeast"/>
      <w:textAlignment w:val="center"/>
    </w:pPr>
    <w:rPr>
      <w:rFonts w:eastAsia="Times New Roman" w:cs="HelveticaNeue-Light"/>
      <w:color w:val="000000" w:themeColor="text1"/>
      <w:spacing w:val="4"/>
      <w:szCs w:val="18"/>
      <w:lang w:val="en-GB"/>
    </w:rPr>
  </w:style>
  <w:style w:type="character" w:customStyle="1" w:styleId="02bodybold">
    <w:name w:val="02_body bold"/>
    <w:uiPriority w:val="99"/>
    <w:rsid w:val="00E224F2"/>
    <w:rPr>
      <w:rFonts w:ascii="Arial" w:hAnsi="Arial" w:cs="HelveticaNeue-Medium"/>
      <w:b/>
    </w:rPr>
  </w:style>
  <w:style w:type="character" w:customStyle="1" w:styleId="02bodyitalic">
    <w:name w:val="02_body italic"/>
    <w:uiPriority w:val="99"/>
    <w:rsid w:val="00E224F2"/>
    <w:rPr>
      <w:rFonts w:ascii="HelveticaNeue-LightItalic" w:hAnsi="HelveticaNeue-LightItalic" w:cs="HelveticaNeue-LightItalic"/>
      <w:i/>
      <w:iCs/>
    </w:rPr>
  </w:style>
  <w:style w:type="paragraph" w:customStyle="1" w:styleId="00sectionhead">
    <w:name w:val="00_section head"/>
    <w:basedOn w:val="Normal"/>
    <w:uiPriority w:val="99"/>
    <w:rsid w:val="00E224F2"/>
    <w:pPr>
      <w:keepLines/>
      <w:widowControl w:val="0"/>
      <w:suppressAutoHyphens/>
      <w:autoSpaceDE w:val="0"/>
      <w:autoSpaceDN w:val="0"/>
      <w:adjustRightInd w:val="0"/>
      <w:spacing w:before="60" w:line="780" w:lineRule="atLeast"/>
      <w:textAlignment w:val="center"/>
    </w:pPr>
    <w:rPr>
      <w:rFonts w:eastAsia="Times New Roman" w:cs="Gotham-Book"/>
      <w:color w:val="1D4A74"/>
      <w:spacing w:val="-15"/>
      <w:sz w:val="74"/>
      <w:szCs w:val="74"/>
      <w:lang w:val="en-GB"/>
    </w:rPr>
  </w:style>
  <w:style w:type="character" w:customStyle="1" w:styleId="whitecolours">
    <w:name w:val="white (colours)"/>
    <w:uiPriority w:val="99"/>
    <w:rsid w:val="00E224F2"/>
    <w:rPr>
      <w:outline/>
    </w:rPr>
  </w:style>
  <w:style w:type="paragraph" w:customStyle="1" w:styleId="02Body">
    <w:name w:val="02_Body"/>
    <w:basedOn w:val="Normal"/>
    <w:uiPriority w:val="99"/>
    <w:rsid w:val="0083412A"/>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after="100" w:line="240" w:lineRule="atLeast"/>
      <w:textAlignment w:val="center"/>
    </w:pPr>
    <w:rPr>
      <w:rFonts w:eastAsia="Times New Roman" w:cs="HelveticaNeue-Light"/>
      <w:color w:val="000000"/>
      <w:spacing w:val="4"/>
      <w:szCs w:val="18"/>
      <w:lang w:val="en-GB"/>
    </w:rPr>
  </w:style>
  <w:style w:type="paragraph" w:customStyle="1" w:styleId="02bullet">
    <w:name w:val="02_bullet"/>
    <w:basedOn w:val="Normal"/>
    <w:qFormat/>
    <w:rsid w:val="009655EA"/>
    <w:pPr>
      <w:numPr>
        <w:numId w:val="1"/>
      </w:numPr>
      <w:spacing w:after="100"/>
      <w:ind w:left="714" w:hanging="357"/>
    </w:pPr>
    <w:rPr>
      <w:rFonts w:eastAsia="Times New Roman" w:cs="Times New Roman"/>
      <w:spacing w:val="4"/>
      <w:szCs w:val="18"/>
    </w:rPr>
  </w:style>
  <w:style w:type="table" w:styleId="TableGrid">
    <w:name w:val="Table Grid"/>
    <w:basedOn w:val="TableNormal"/>
    <w:uiPriority w:val="59"/>
    <w:rsid w:val="00C829B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basedOn w:val="Normal"/>
    <w:qFormat/>
    <w:rsid w:val="00C829BA"/>
    <w:pPr>
      <w:spacing w:after="100"/>
    </w:pPr>
    <w:rPr>
      <w:rFonts w:eastAsia="Times New Roman" w:cs="Times New Roman"/>
    </w:rPr>
  </w:style>
  <w:style w:type="paragraph" w:customStyle="1" w:styleId="02Bulletlevel2">
    <w:name w:val="02_Bullet level 2"/>
    <w:basedOn w:val="Normal"/>
    <w:qFormat/>
    <w:rsid w:val="00C829BA"/>
    <w:pPr>
      <w:numPr>
        <w:numId w:val="3"/>
      </w:numPr>
    </w:pPr>
    <w:rPr>
      <w:rFonts w:eastAsia="Times New Roman" w:cs="Times New Roman"/>
    </w:rPr>
  </w:style>
  <w:style w:type="paragraph" w:customStyle="1" w:styleId="02Bulletlevel3">
    <w:name w:val="02_Bullet level 3"/>
    <w:basedOn w:val="Normal"/>
    <w:qFormat/>
    <w:rsid w:val="00C829BA"/>
    <w:pPr>
      <w:numPr>
        <w:numId w:val="2"/>
      </w:numPr>
      <w:ind w:left="2154" w:hanging="357"/>
    </w:pPr>
    <w:rPr>
      <w:rFonts w:eastAsia="Times New Roman" w:cs="Times New Roman"/>
    </w:rPr>
  </w:style>
  <w:style w:type="paragraph" w:customStyle="1" w:styleId="02Bulletnoindent">
    <w:name w:val="02_Bullet no indent"/>
    <w:basedOn w:val="02bullet"/>
    <w:qFormat/>
    <w:rsid w:val="004D04BA"/>
    <w:pPr>
      <w:ind w:left="284" w:hanging="284"/>
    </w:pPr>
  </w:style>
  <w:style w:type="paragraph" w:customStyle="1" w:styleId="00IndicatorH1">
    <w:name w:val="00_Indicator H1"/>
    <w:basedOn w:val="Normal"/>
    <w:uiPriority w:val="99"/>
    <w:rsid w:val="00265406"/>
    <w:pPr>
      <w:keepLines/>
      <w:widowControl w:val="0"/>
      <w:suppressAutoHyphens/>
      <w:autoSpaceDE w:val="0"/>
      <w:autoSpaceDN w:val="0"/>
      <w:adjustRightInd w:val="0"/>
      <w:spacing w:before="120" w:line="420" w:lineRule="atLeast"/>
      <w:textAlignment w:val="center"/>
    </w:pPr>
    <w:rPr>
      <w:rFonts w:eastAsia="Times New Roman" w:cs="Gotham-Medium"/>
      <w:b/>
      <w:bCs/>
      <w:color w:val="0099C5"/>
      <w:spacing w:val="-8"/>
      <w:sz w:val="38"/>
      <w:szCs w:val="38"/>
      <w:lang w:val="en-GB"/>
    </w:rPr>
  </w:style>
  <w:style w:type="character" w:customStyle="1" w:styleId="Heading2Char">
    <w:name w:val="Heading 2 Char"/>
    <w:basedOn w:val="DefaultParagraphFont"/>
    <w:link w:val="Heading2"/>
    <w:uiPriority w:val="9"/>
    <w:rsid w:val="00F11D0D"/>
    <w:rPr>
      <w:rFonts w:asciiTheme="majorHAnsi" w:eastAsiaTheme="majorEastAsia" w:hAnsiTheme="majorHAnsi" w:cstheme="majorBidi"/>
      <w:b/>
      <w:bCs/>
      <w:color w:val="4F81BD" w:themeColor="accent1"/>
      <w:sz w:val="26"/>
      <w:szCs w:val="26"/>
    </w:rPr>
  </w:style>
  <w:style w:type="paragraph" w:customStyle="1" w:styleId="01H1">
    <w:name w:val="01_H1"/>
    <w:basedOn w:val="Normal"/>
    <w:uiPriority w:val="99"/>
    <w:rsid w:val="00335EC6"/>
    <w:pPr>
      <w:keepLines/>
      <w:widowControl w:val="0"/>
      <w:suppressAutoHyphens/>
      <w:autoSpaceDE w:val="0"/>
      <w:autoSpaceDN w:val="0"/>
      <w:adjustRightInd w:val="0"/>
      <w:spacing w:before="57" w:after="113" w:line="480" w:lineRule="atLeast"/>
      <w:textAlignment w:val="center"/>
    </w:pPr>
    <w:rPr>
      <w:rFonts w:ascii="Gotham-Book" w:eastAsia="Times New Roman" w:hAnsi="Gotham-Book" w:cs="Gotham-Book"/>
      <w:color w:val="1A659A"/>
      <w:spacing w:val="-9"/>
      <w:sz w:val="46"/>
      <w:szCs w:val="46"/>
      <w:lang w:val="en-GB"/>
    </w:rPr>
  </w:style>
  <w:style w:type="paragraph" w:customStyle="1" w:styleId="00pagetopleft">
    <w:name w:val="00_page top left"/>
    <w:basedOn w:val="Normal"/>
    <w:uiPriority w:val="99"/>
    <w:rsid w:val="00335EC6"/>
    <w:pPr>
      <w:widowControl w:val="0"/>
      <w:suppressAutoHyphens/>
      <w:autoSpaceDE w:val="0"/>
      <w:autoSpaceDN w:val="0"/>
      <w:adjustRightInd w:val="0"/>
      <w:spacing w:before="120" w:after="68" w:line="380" w:lineRule="atLeast"/>
      <w:textAlignment w:val="center"/>
    </w:pPr>
    <w:rPr>
      <w:rFonts w:eastAsia="Times New Roman" w:cs="Gotham-Bold"/>
      <w:b/>
      <w:bCs/>
      <w:color w:val="1D4A74"/>
      <w:spacing w:val="-3"/>
      <w:sz w:val="34"/>
      <w:szCs w:val="34"/>
      <w:lang w:val="en-GB"/>
    </w:rPr>
  </w:style>
  <w:style w:type="paragraph" w:customStyle="1" w:styleId="00pagetop2right">
    <w:name w:val="00_page top 2 right"/>
    <w:basedOn w:val="Normal"/>
    <w:uiPriority w:val="99"/>
    <w:rsid w:val="00563638"/>
    <w:pPr>
      <w:widowControl w:val="0"/>
      <w:suppressAutoHyphens/>
      <w:autoSpaceDE w:val="0"/>
      <w:autoSpaceDN w:val="0"/>
      <w:adjustRightInd w:val="0"/>
      <w:spacing w:before="120" w:after="240" w:line="312" w:lineRule="atLeast"/>
      <w:textAlignment w:val="center"/>
    </w:pPr>
    <w:rPr>
      <w:rFonts w:eastAsia="Times New Roman" w:cs="Gotham-Light"/>
      <w:color w:val="1D4A74"/>
      <w:spacing w:val="-3"/>
      <w:sz w:val="26"/>
      <w:szCs w:val="26"/>
      <w:lang w:val="en-GB"/>
    </w:rPr>
  </w:style>
  <w:style w:type="paragraph" w:styleId="TOC1">
    <w:name w:val="toc 1"/>
    <w:basedOn w:val="Normal"/>
    <w:next w:val="Normal"/>
    <w:autoRedefine/>
    <w:uiPriority w:val="39"/>
    <w:unhideWhenUsed/>
    <w:rsid w:val="00BD739E"/>
    <w:pPr>
      <w:spacing w:before="120" w:after="0"/>
    </w:pPr>
    <w:rPr>
      <w:rFonts w:asciiTheme="minorHAnsi" w:hAnsiTheme="minorHAnsi"/>
      <w:b/>
      <w:sz w:val="22"/>
      <w:szCs w:val="22"/>
    </w:rPr>
  </w:style>
  <w:style w:type="paragraph" w:styleId="TOC2">
    <w:name w:val="toc 2"/>
    <w:basedOn w:val="Normal"/>
    <w:next w:val="Normal"/>
    <w:autoRedefine/>
    <w:uiPriority w:val="39"/>
    <w:unhideWhenUsed/>
    <w:rsid w:val="00BD739E"/>
    <w:pPr>
      <w:spacing w:after="0"/>
      <w:ind w:left="180"/>
    </w:pPr>
    <w:rPr>
      <w:rFonts w:asciiTheme="minorHAnsi" w:hAnsiTheme="minorHAnsi"/>
      <w:i/>
      <w:sz w:val="22"/>
      <w:szCs w:val="22"/>
    </w:rPr>
  </w:style>
  <w:style w:type="paragraph" w:styleId="TOC3">
    <w:name w:val="toc 3"/>
    <w:basedOn w:val="Normal"/>
    <w:next w:val="Normal"/>
    <w:autoRedefine/>
    <w:uiPriority w:val="39"/>
    <w:unhideWhenUsed/>
    <w:rsid w:val="00BD739E"/>
    <w:pPr>
      <w:spacing w:after="0"/>
      <w:ind w:left="360"/>
    </w:pPr>
    <w:rPr>
      <w:rFonts w:asciiTheme="minorHAnsi" w:hAnsiTheme="minorHAnsi"/>
      <w:sz w:val="22"/>
      <w:szCs w:val="22"/>
    </w:rPr>
  </w:style>
  <w:style w:type="paragraph" w:styleId="TOC4">
    <w:name w:val="toc 4"/>
    <w:basedOn w:val="Normal"/>
    <w:next w:val="Normal"/>
    <w:autoRedefine/>
    <w:uiPriority w:val="39"/>
    <w:unhideWhenUsed/>
    <w:rsid w:val="00BD739E"/>
    <w:pPr>
      <w:spacing w:after="0"/>
      <w:ind w:left="540"/>
    </w:pPr>
    <w:rPr>
      <w:rFonts w:asciiTheme="minorHAnsi" w:hAnsiTheme="minorHAnsi"/>
      <w:sz w:val="20"/>
    </w:rPr>
  </w:style>
  <w:style w:type="paragraph" w:styleId="TOC5">
    <w:name w:val="toc 5"/>
    <w:basedOn w:val="Normal"/>
    <w:next w:val="Normal"/>
    <w:autoRedefine/>
    <w:uiPriority w:val="39"/>
    <w:unhideWhenUsed/>
    <w:rsid w:val="00BD739E"/>
    <w:pPr>
      <w:spacing w:after="0"/>
      <w:ind w:left="720"/>
    </w:pPr>
    <w:rPr>
      <w:rFonts w:asciiTheme="minorHAnsi" w:hAnsiTheme="minorHAnsi"/>
      <w:sz w:val="20"/>
    </w:rPr>
  </w:style>
  <w:style w:type="paragraph" w:styleId="TOC6">
    <w:name w:val="toc 6"/>
    <w:basedOn w:val="Normal"/>
    <w:next w:val="Normal"/>
    <w:autoRedefine/>
    <w:uiPriority w:val="39"/>
    <w:unhideWhenUsed/>
    <w:rsid w:val="00BD739E"/>
    <w:pPr>
      <w:spacing w:after="0"/>
      <w:ind w:left="900"/>
    </w:pPr>
    <w:rPr>
      <w:rFonts w:asciiTheme="minorHAnsi" w:hAnsiTheme="minorHAnsi"/>
      <w:sz w:val="20"/>
    </w:rPr>
  </w:style>
  <w:style w:type="paragraph" w:styleId="TOC7">
    <w:name w:val="toc 7"/>
    <w:basedOn w:val="Normal"/>
    <w:next w:val="Normal"/>
    <w:autoRedefine/>
    <w:uiPriority w:val="39"/>
    <w:unhideWhenUsed/>
    <w:rsid w:val="00BD739E"/>
    <w:pPr>
      <w:spacing w:after="0"/>
      <w:ind w:left="1080"/>
    </w:pPr>
    <w:rPr>
      <w:rFonts w:asciiTheme="minorHAnsi" w:hAnsiTheme="minorHAnsi"/>
      <w:sz w:val="20"/>
    </w:rPr>
  </w:style>
  <w:style w:type="paragraph" w:styleId="TOC8">
    <w:name w:val="toc 8"/>
    <w:basedOn w:val="Normal"/>
    <w:next w:val="Normal"/>
    <w:autoRedefine/>
    <w:uiPriority w:val="39"/>
    <w:unhideWhenUsed/>
    <w:rsid w:val="00BD739E"/>
    <w:pPr>
      <w:spacing w:after="0"/>
      <w:ind w:left="1260"/>
    </w:pPr>
    <w:rPr>
      <w:rFonts w:asciiTheme="minorHAnsi" w:hAnsiTheme="minorHAnsi"/>
      <w:sz w:val="20"/>
    </w:rPr>
  </w:style>
  <w:style w:type="paragraph" w:styleId="TOC9">
    <w:name w:val="toc 9"/>
    <w:basedOn w:val="Normal"/>
    <w:next w:val="Normal"/>
    <w:autoRedefine/>
    <w:uiPriority w:val="39"/>
    <w:unhideWhenUsed/>
    <w:rsid w:val="00BD739E"/>
    <w:pPr>
      <w:spacing w:after="0"/>
      <w:ind w:left="1440"/>
    </w:pPr>
    <w:rPr>
      <w:rFonts w:asciiTheme="minorHAnsi" w:hAnsiTheme="minorHAnsi"/>
      <w:sz w:val="20"/>
    </w:rPr>
  </w:style>
  <w:style w:type="paragraph" w:customStyle="1" w:styleId="00pagetop1">
    <w:name w:val="00_page top 1"/>
    <w:basedOn w:val="Normal"/>
    <w:uiPriority w:val="99"/>
    <w:rsid w:val="002D346E"/>
    <w:pPr>
      <w:widowControl w:val="0"/>
      <w:suppressAutoHyphens/>
      <w:autoSpaceDE w:val="0"/>
      <w:autoSpaceDN w:val="0"/>
      <w:adjustRightInd w:val="0"/>
      <w:spacing w:after="68" w:line="312" w:lineRule="atLeast"/>
      <w:textAlignment w:val="center"/>
    </w:pPr>
    <w:rPr>
      <w:rFonts w:eastAsia="Times New Roman" w:cs="Gotham-Bold"/>
      <w:b/>
      <w:bCs/>
      <w:color w:val="0099C5"/>
      <w:spacing w:val="-3"/>
      <w:sz w:val="31"/>
      <w:szCs w:val="31"/>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7BF"/>
    <w:pPr>
      <w:spacing w:after="120"/>
    </w:pPr>
    <w:rPr>
      <w:rFonts w:ascii="Arial" w:eastAsiaTheme="minorEastAsia" w:hAnsi="Arial" w:cstheme="minorBidi"/>
      <w:sz w:val="18"/>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F11D0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45A8A" w:themeColor="accent1" w:themeShade="B5"/>
      <w:sz w:val="32"/>
      <w:szCs w:val="32"/>
    </w:rPr>
  </w:style>
  <w:style w:type="paragraph" w:customStyle="1" w:styleId="x00-cover-date">
    <w:name w:val="x00-cover-date"/>
    <w:basedOn w:val="Normal"/>
    <w:rsid w:val="00105798"/>
    <w:pPr>
      <w:spacing w:before="100" w:beforeAutospacing="1" w:after="100" w:afterAutospacing="1"/>
      <w:jc w:val="right"/>
    </w:pPr>
    <w:rPr>
      <w:b/>
      <w:color w:val="1D4A74"/>
      <w:sz w:val="44"/>
      <w:szCs w:val="44"/>
    </w:rPr>
  </w:style>
  <w:style w:type="paragraph" w:styleId="NormalWeb">
    <w:name w:val="Normal (Web)"/>
    <w:basedOn w:val="Normal"/>
    <w:uiPriority w:val="99"/>
    <w:unhideWhenUsed/>
    <w:rsid w:val="004D04BA"/>
    <w:pPr>
      <w:spacing w:before="120" w:line="240" w:lineRule="exact"/>
    </w:pPr>
    <w:rPr>
      <w:rFonts w:cs="Times New Roman"/>
      <w:color w:val="000000" w:themeColor="text1"/>
      <w:spacing w:val="4"/>
      <w:szCs w:val="18"/>
    </w:rPr>
  </w:style>
  <w:style w:type="character" w:customStyle="1" w:styleId="x02-body-bold">
    <w:name w:val="x02-body-bold"/>
    <w:basedOn w:val="DefaultParagraphFont"/>
    <w:rsid w:val="00E224F2"/>
    <w:rPr>
      <w:rFonts w:ascii="Arial" w:hAnsi="Arial"/>
      <w:b/>
    </w:rPr>
  </w:style>
  <w:style w:type="character" w:customStyle="1" w:styleId="x02-body-italic">
    <w:name w:val="x02-body-italic"/>
    <w:basedOn w:val="DefaultParagraphFont"/>
    <w:rsid w:val="00AE77BF"/>
    <w:rPr>
      <w:rFonts w:ascii="Arial" w:hAnsi="Arial"/>
      <w:i/>
    </w:rPr>
  </w:style>
  <w:style w:type="character" w:customStyle="1" w:styleId="white">
    <w:name w:val="white"/>
    <w:basedOn w:val="DefaultParagraphFont"/>
    <w:rsid w:val="00CD468E"/>
    <w:rPr>
      <w:rFonts w:ascii="Arial" w:hAnsi="Arial"/>
    </w:rPr>
  </w:style>
  <w:style w:type="paragraph" w:customStyle="1" w:styleId="x03-footer">
    <w:name w:val="x03-footer"/>
    <w:basedOn w:val="Normal"/>
    <w:rsid w:val="00105798"/>
    <w:pPr>
      <w:spacing w:before="100" w:beforeAutospacing="1" w:after="100" w:afterAutospacing="1"/>
    </w:pPr>
    <w:rPr>
      <w:color w:val="1D4A74"/>
      <w:sz w:val="14"/>
      <w:szCs w:val="14"/>
    </w:rPr>
  </w:style>
  <w:style w:type="paragraph" w:customStyle="1" w:styleId="x01-h1">
    <w:name w:val="x01-h1"/>
    <w:basedOn w:val="Normal"/>
    <w:rsid w:val="00E224F2"/>
    <w:pPr>
      <w:spacing w:before="240" w:after="360"/>
    </w:pPr>
    <w:rPr>
      <w:color w:val="1D4A74"/>
      <w:sz w:val="46"/>
      <w:szCs w:val="46"/>
    </w:rPr>
  </w:style>
  <w:style w:type="paragraph" w:customStyle="1" w:styleId="x00-contents-body">
    <w:name w:val="x00-contents-body"/>
    <w:basedOn w:val="Normal"/>
    <w:rsid w:val="00D053C2"/>
    <w:pPr>
      <w:pBdr>
        <w:top w:val="dotted" w:sz="12" w:space="1" w:color="C5C0B2"/>
        <w:bottom w:val="dotted" w:sz="8" w:space="1" w:color="5E6263"/>
        <w:between w:val="dotted" w:sz="8" w:space="1" w:color="5E6263"/>
      </w:pBdr>
      <w:tabs>
        <w:tab w:val="right" w:pos="9639"/>
      </w:tabs>
      <w:spacing w:after="360"/>
    </w:pPr>
    <w:rPr>
      <w:color w:val="666967"/>
      <w:sz w:val="20"/>
    </w:rPr>
  </w:style>
  <w:style w:type="character" w:customStyle="1" w:styleId="x02-superscript">
    <w:name w:val="x02-superscript"/>
    <w:basedOn w:val="DefaultParagraphFont"/>
    <w:rsid w:val="00AE77BF"/>
    <w:rPr>
      <w:rFonts w:ascii="Arial" w:hAnsi="Arial"/>
      <w:caps w:val="0"/>
      <w:smallCaps w:val="0"/>
      <w:strike w:val="0"/>
      <w:dstrike w:val="0"/>
      <w:vanish w:val="0"/>
      <w:vertAlign w:val="superscript"/>
    </w:rPr>
  </w:style>
  <w:style w:type="paragraph" w:customStyle="1" w:styleId="x01-h2">
    <w:name w:val="x01-h2"/>
    <w:basedOn w:val="Normal"/>
    <w:rsid w:val="00510CAF"/>
    <w:pPr>
      <w:spacing w:before="240"/>
    </w:pPr>
    <w:rPr>
      <w:color w:val="1D4A74"/>
      <w:sz w:val="28"/>
      <w:szCs w:val="28"/>
    </w:rPr>
  </w:style>
  <w:style w:type="paragraph" w:customStyle="1" w:styleId="x01-h3">
    <w:name w:val="x01-h3"/>
    <w:basedOn w:val="Normal"/>
    <w:rsid w:val="003C578E"/>
    <w:pPr>
      <w:spacing w:before="120" w:after="0"/>
    </w:pPr>
    <w:rPr>
      <w:color w:val="1D4A74"/>
      <w:sz w:val="24"/>
      <w:szCs w:val="24"/>
    </w:rPr>
  </w:style>
  <w:style w:type="paragraph" w:customStyle="1" w:styleId="x03-figure-heading">
    <w:name w:val="x03-figure-heading"/>
    <w:basedOn w:val="Normal"/>
    <w:rsid w:val="00697608"/>
    <w:pPr>
      <w:spacing w:before="240"/>
    </w:pPr>
    <w:rPr>
      <w:b/>
      <w:bCs/>
      <w:color w:val="666967"/>
      <w:sz w:val="22"/>
      <w:szCs w:val="22"/>
    </w:rPr>
  </w:style>
  <w:style w:type="character" w:customStyle="1" w:styleId="x02-body-roman">
    <w:name w:val="x02-body-roman"/>
    <w:basedOn w:val="DefaultParagraphFont"/>
    <w:rsid w:val="00AE77BF"/>
    <w:rPr>
      <w:rFonts w:ascii="Arial" w:hAnsi="Arial"/>
      <w:b/>
    </w:rPr>
  </w:style>
  <w:style w:type="paragraph" w:customStyle="1" w:styleId="x01-h2-span">
    <w:name w:val="x01-h2-span"/>
    <w:basedOn w:val="Normal"/>
    <w:rsid w:val="00CD468E"/>
    <w:pPr>
      <w:spacing w:before="240"/>
    </w:pPr>
    <w:rPr>
      <w:color w:val="1D4A74"/>
      <w:sz w:val="28"/>
      <w:szCs w:val="28"/>
    </w:rPr>
  </w:style>
  <w:style w:type="paragraph" w:customStyle="1" w:styleId="x01-h4">
    <w:name w:val="x01-h4"/>
    <w:basedOn w:val="Normal"/>
    <w:rsid w:val="00CD468E"/>
    <w:pPr>
      <w:spacing w:before="120"/>
    </w:pPr>
    <w:rPr>
      <w:b/>
      <w:bCs/>
      <w:color w:val="666967"/>
      <w:sz w:val="22"/>
      <w:szCs w:val="22"/>
    </w:rPr>
  </w:style>
  <w:style w:type="character" w:customStyle="1" w:styleId="char-style-override-2">
    <w:name w:val="char-style-override-2"/>
    <w:basedOn w:val="DefaultParagraphFont"/>
  </w:style>
  <w:style w:type="paragraph" w:customStyle="1" w:styleId="x01-h5">
    <w:name w:val="x01-h5"/>
    <w:basedOn w:val="Normal"/>
    <w:rsid w:val="00CD468E"/>
    <w:pPr>
      <w:spacing w:before="120" w:after="0"/>
    </w:pPr>
    <w:rPr>
      <w:color w:val="000000" w:themeColor="text1"/>
      <w:sz w:val="22"/>
      <w:szCs w:val="22"/>
    </w:rPr>
  </w:style>
  <w:style w:type="paragraph" w:customStyle="1" w:styleId="x04-table-head-l">
    <w:name w:val="x04-table-head-l"/>
    <w:basedOn w:val="Normal"/>
    <w:rsid w:val="00CD468E"/>
    <w:pPr>
      <w:spacing w:before="100" w:beforeAutospacing="1" w:after="100" w:afterAutospacing="1"/>
    </w:pPr>
    <w:rPr>
      <w:b/>
      <w:bCs/>
      <w:color w:val="FFFFFF" w:themeColor="background1"/>
      <w:szCs w:val="18"/>
    </w:rPr>
  </w:style>
  <w:style w:type="paragraph" w:customStyle="1" w:styleId="x04-footnotes">
    <w:name w:val="x04-footnotes"/>
    <w:basedOn w:val="Normal"/>
    <w:rsid w:val="00416186"/>
    <w:pPr>
      <w:spacing w:before="60" w:after="60"/>
    </w:pPr>
    <w:rPr>
      <w:sz w:val="14"/>
    </w:rPr>
  </w:style>
  <w:style w:type="character" w:customStyle="1" w:styleId="char-style-override-3">
    <w:name w:val="char-style-override-3"/>
    <w:basedOn w:val="DefaultParagraphFont"/>
  </w:style>
  <w:style w:type="character" w:customStyle="1" w:styleId="char-style-override-4">
    <w:name w:val="char-style-override-4"/>
    <w:basedOn w:val="DefaultParagraphFont"/>
  </w:style>
  <w:style w:type="character" w:customStyle="1" w:styleId="x02-url">
    <w:name w:val="x02-url"/>
    <w:basedOn w:val="DefaultParagraphFont"/>
    <w:rsid w:val="00CD468E"/>
    <w:rPr>
      <w:rFonts w:ascii="Arial" w:hAnsi="Arial"/>
      <w:b/>
      <w:bCs/>
      <w:color w:val="1D4A74"/>
    </w:rPr>
  </w:style>
  <w:style w:type="character" w:customStyle="1" w:styleId="x03-gotham-medium-italic">
    <w:name w:val="x03-gotham-medium-italic"/>
    <w:basedOn w:val="DefaultParagraphFont"/>
    <w:rsid w:val="00CD468E"/>
    <w:rPr>
      <w:rFonts w:ascii="Arial" w:hAnsi="Arial"/>
      <w:b/>
      <w:bCs/>
      <w:i/>
      <w:iCs/>
      <w:color w:val="1D4A74"/>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customStyle="1" w:styleId="bullets">
    <w:name w:val="bullets"/>
    <w:basedOn w:val="DefaultParagraphFont"/>
    <w:rsid w:val="00E224F2"/>
    <w:rPr>
      <w:color w:val="1D4A74"/>
    </w:rPr>
  </w:style>
  <w:style w:type="paragraph" w:customStyle="1" w:styleId="x04-body-8pt">
    <w:name w:val="x04-body-8pt"/>
    <w:basedOn w:val="Normal"/>
    <w:rsid w:val="00697608"/>
    <w:pPr>
      <w:spacing w:after="100"/>
    </w:pPr>
    <w:rPr>
      <w:sz w:val="16"/>
    </w:rPr>
  </w:style>
  <w:style w:type="paragraph" w:customStyle="1" w:styleId="para-style-override-4">
    <w:name w:val="para-style-override-4"/>
    <w:basedOn w:val="Normal"/>
    <w:pPr>
      <w:spacing w:before="100" w:beforeAutospacing="1" w:after="100" w:afterAutospacing="1"/>
    </w:pPr>
  </w:style>
  <w:style w:type="paragraph" w:customStyle="1" w:styleId="x02-intro">
    <w:name w:val="x02-intro"/>
    <w:basedOn w:val="Normal"/>
    <w:rsid w:val="00CD468E"/>
    <w:pPr>
      <w:spacing w:before="120" w:after="240"/>
    </w:pPr>
    <w:rPr>
      <w:color w:val="000000" w:themeColor="text1"/>
      <w:sz w:val="24"/>
      <w:szCs w:val="24"/>
    </w:rPr>
  </w:style>
  <w:style w:type="character" w:customStyle="1" w:styleId="x02-subscript">
    <w:name w:val="x02-subscript"/>
    <w:basedOn w:val="DefaultParagraphFont"/>
    <w:rsid w:val="00AE77BF"/>
    <w:rPr>
      <w:rFonts w:ascii="Arial" w:hAnsi="Arial"/>
      <w:caps w:val="0"/>
      <w:smallCaps w:val="0"/>
      <w:strike w:val="0"/>
      <w:dstrike w:val="0"/>
      <w:vanish w:val="0"/>
      <w:vertAlign w:val="subscript"/>
    </w:rPr>
  </w:style>
  <w:style w:type="paragraph" w:customStyle="1" w:styleId="x03-references">
    <w:name w:val="x03-references"/>
    <w:basedOn w:val="Normal"/>
    <w:rsid w:val="00CD468E"/>
    <w:pPr>
      <w:spacing w:before="60"/>
    </w:pPr>
    <w:rPr>
      <w:sz w:val="14"/>
    </w:rPr>
  </w:style>
  <w:style w:type="character" w:customStyle="1" w:styleId="char-style-override-9">
    <w:name w:val="char-style-override-9"/>
    <w:basedOn w:val="DefaultParagraphFont"/>
  </w:style>
  <w:style w:type="paragraph" w:customStyle="1" w:styleId="para-style-override-6">
    <w:name w:val="para-style-override-6"/>
    <w:basedOn w:val="Normal"/>
    <w:pPr>
      <w:spacing w:before="100" w:beforeAutospacing="1" w:after="100" w:afterAutospacing="1"/>
    </w:pPr>
  </w:style>
  <w:style w:type="character" w:customStyle="1" w:styleId="x02-body-bold-italic">
    <w:name w:val="x02-body-bold-italic"/>
    <w:basedOn w:val="DefaultParagraphFont"/>
    <w:rsid w:val="00AE77BF"/>
    <w:rPr>
      <w:rFonts w:ascii="Arial" w:hAnsi="Arial"/>
      <w:b/>
      <w:i/>
    </w:rPr>
  </w:style>
  <w:style w:type="character" w:customStyle="1" w:styleId="char-style-override-11">
    <w:name w:val="char-style-override-11"/>
    <w:basedOn w:val="DefaultParagraphFont"/>
  </w:style>
  <w:style w:type="paragraph" w:customStyle="1" w:styleId="x04-appendices-graphic-body">
    <w:name w:val="x04-appendices-graphic-body"/>
    <w:basedOn w:val="Normal"/>
    <w:pPr>
      <w:spacing w:before="100" w:beforeAutospacing="1" w:after="100" w:afterAutospacing="1"/>
    </w:pPr>
  </w:style>
  <w:style w:type="character" w:customStyle="1" w:styleId="grey">
    <w:name w:val="grey"/>
    <w:basedOn w:val="DefaultParagraphFont"/>
  </w:style>
  <w:style w:type="paragraph" w:customStyle="1" w:styleId="para-style-override-8">
    <w:name w:val="para-style-override-8"/>
    <w:basedOn w:val="Normal"/>
    <w:pPr>
      <w:spacing w:before="100" w:beforeAutospacing="1" w:after="100" w:afterAutospacing="1"/>
    </w:pPr>
  </w:style>
  <w:style w:type="paragraph" w:styleId="Header">
    <w:name w:val="header"/>
    <w:basedOn w:val="Normal"/>
    <w:link w:val="HeaderChar"/>
    <w:uiPriority w:val="99"/>
    <w:unhideWhenUsed/>
    <w:rsid w:val="00EC1EC9"/>
    <w:pPr>
      <w:tabs>
        <w:tab w:val="center" w:pos="4320"/>
        <w:tab w:val="right" w:pos="8640"/>
      </w:tabs>
    </w:pPr>
  </w:style>
  <w:style w:type="character" w:customStyle="1" w:styleId="HeaderChar">
    <w:name w:val="Header Char"/>
    <w:basedOn w:val="DefaultParagraphFont"/>
    <w:link w:val="Header"/>
    <w:uiPriority w:val="99"/>
    <w:rsid w:val="00EC1EC9"/>
    <w:rPr>
      <w:rFonts w:ascii="Times" w:eastAsiaTheme="minorEastAsia" w:hAnsi="Times" w:cstheme="minorBidi"/>
    </w:rPr>
  </w:style>
  <w:style w:type="paragraph" w:styleId="Footer">
    <w:name w:val="footer"/>
    <w:basedOn w:val="Normal"/>
    <w:link w:val="FooterChar"/>
    <w:uiPriority w:val="99"/>
    <w:unhideWhenUsed/>
    <w:rsid w:val="00EC1EC9"/>
    <w:pPr>
      <w:tabs>
        <w:tab w:val="center" w:pos="4320"/>
        <w:tab w:val="right" w:pos="8640"/>
      </w:tabs>
    </w:pPr>
  </w:style>
  <w:style w:type="character" w:customStyle="1" w:styleId="FooterChar">
    <w:name w:val="Footer Char"/>
    <w:basedOn w:val="DefaultParagraphFont"/>
    <w:link w:val="Footer"/>
    <w:uiPriority w:val="99"/>
    <w:rsid w:val="00EC1EC9"/>
    <w:rPr>
      <w:rFonts w:ascii="Times" w:eastAsiaTheme="minorEastAsia" w:hAnsi="Times" w:cstheme="minorBidi"/>
    </w:rPr>
  </w:style>
  <w:style w:type="paragraph" w:styleId="BalloonText">
    <w:name w:val="Balloon Text"/>
    <w:basedOn w:val="Normal"/>
    <w:link w:val="BalloonTextChar"/>
    <w:uiPriority w:val="99"/>
    <w:semiHidden/>
    <w:unhideWhenUsed/>
    <w:rsid w:val="00EC1EC9"/>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EC1EC9"/>
    <w:rPr>
      <w:rFonts w:ascii="Lucida Grande" w:eastAsiaTheme="minorEastAsia" w:hAnsi="Lucida Grande" w:cs="Lucida Grande"/>
      <w:sz w:val="18"/>
      <w:szCs w:val="18"/>
    </w:rPr>
  </w:style>
  <w:style w:type="paragraph" w:customStyle="1" w:styleId="03footer">
    <w:name w:val="03_footer"/>
    <w:basedOn w:val="Normal"/>
    <w:uiPriority w:val="99"/>
    <w:rsid w:val="00EC1EC9"/>
    <w:pPr>
      <w:widowControl w:val="0"/>
      <w:tabs>
        <w:tab w:val="left" w:pos="340"/>
      </w:tabs>
      <w:suppressAutoHyphens/>
      <w:autoSpaceDE w:val="0"/>
      <w:autoSpaceDN w:val="0"/>
      <w:adjustRightInd w:val="0"/>
      <w:spacing w:after="170" w:line="260" w:lineRule="atLeast"/>
      <w:textAlignment w:val="center"/>
    </w:pPr>
    <w:rPr>
      <w:rFonts w:eastAsia="Times New Roman" w:cs="HelveticaNeue-Light"/>
      <w:color w:val="1D4A74"/>
      <w:sz w:val="14"/>
      <w:szCs w:val="14"/>
      <w:lang w:val="en-GB"/>
    </w:rPr>
  </w:style>
  <w:style w:type="character" w:styleId="PageNumber">
    <w:name w:val="page number"/>
    <w:basedOn w:val="DefaultParagraphFont"/>
    <w:uiPriority w:val="99"/>
    <w:semiHidden/>
    <w:unhideWhenUsed/>
    <w:rsid w:val="00EC1EC9"/>
    <w:rPr>
      <w:rFonts w:ascii="Arial" w:hAnsi="Arial"/>
      <w:b/>
      <w:bCs/>
      <w:color w:val="1D4A74"/>
      <w:sz w:val="22"/>
      <w:szCs w:val="22"/>
    </w:rPr>
  </w:style>
  <w:style w:type="paragraph" w:customStyle="1" w:styleId="00CoverH1">
    <w:name w:val="00_Cover_H1"/>
    <w:basedOn w:val="Normal"/>
    <w:uiPriority w:val="99"/>
    <w:rsid w:val="00105798"/>
    <w:pPr>
      <w:widowControl w:val="0"/>
      <w:suppressAutoHyphens/>
      <w:autoSpaceDE w:val="0"/>
      <w:autoSpaceDN w:val="0"/>
      <w:adjustRightInd w:val="0"/>
      <w:spacing w:after="113" w:line="520" w:lineRule="atLeast"/>
      <w:jc w:val="right"/>
      <w:textAlignment w:val="center"/>
    </w:pPr>
    <w:rPr>
      <w:rFonts w:eastAsia="Times New Roman" w:cs="Gotham-Bold"/>
      <w:b/>
      <w:bCs/>
      <w:color w:val="FFFFFF"/>
      <w:spacing w:val="-5"/>
      <w:sz w:val="52"/>
      <w:szCs w:val="52"/>
      <w:lang w:val="en-GB"/>
    </w:rPr>
  </w:style>
  <w:style w:type="paragraph" w:customStyle="1" w:styleId="00Citation">
    <w:name w:val="00_Citation"/>
    <w:basedOn w:val="Normal"/>
    <w:uiPriority w:val="99"/>
    <w:rsid w:val="00E224F2"/>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line="220" w:lineRule="atLeast"/>
      <w:textAlignment w:val="center"/>
    </w:pPr>
    <w:rPr>
      <w:rFonts w:eastAsia="Times New Roman" w:cs="HelveticaNeue-Light"/>
      <w:color w:val="000000" w:themeColor="text1"/>
      <w:spacing w:val="4"/>
      <w:szCs w:val="18"/>
      <w:lang w:val="en-GB"/>
    </w:rPr>
  </w:style>
  <w:style w:type="character" w:customStyle="1" w:styleId="02bodybold">
    <w:name w:val="02_body bold"/>
    <w:uiPriority w:val="99"/>
    <w:rsid w:val="00E224F2"/>
    <w:rPr>
      <w:rFonts w:ascii="Arial" w:hAnsi="Arial" w:cs="HelveticaNeue-Medium"/>
      <w:b/>
    </w:rPr>
  </w:style>
  <w:style w:type="character" w:customStyle="1" w:styleId="02bodyitalic">
    <w:name w:val="02_body italic"/>
    <w:uiPriority w:val="99"/>
    <w:rsid w:val="00E224F2"/>
    <w:rPr>
      <w:rFonts w:ascii="HelveticaNeue-LightItalic" w:hAnsi="HelveticaNeue-LightItalic" w:cs="HelveticaNeue-LightItalic"/>
      <w:i/>
      <w:iCs/>
    </w:rPr>
  </w:style>
  <w:style w:type="paragraph" w:customStyle="1" w:styleId="00sectionhead">
    <w:name w:val="00_section head"/>
    <w:basedOn w:val="Normal"/>
    <w:uiPriority w:val="99"/>
    <w:rsid w:val="00E224F2"/>
    <w:pPr>
      <w:keepLines/>
      <w:widowControl w:val="0"/>
      <w:suppressAutoHyphens/>
      <w:autoSpaceDE w:val="0"/>
      <w:autoSpaceDN w:val="0"/>
      <w:adjustRightInd w:val="0"/>
      <w:spacing w:before="60" w:line="780" w:lineRule="atLeast"/>
      <w:textAlignment w:val="center"/>
    </w:pPr>
    <w:rPr>
      <w:rFonts w:eastAsia="Times New Roman" w:cs="Gotham-Book"/>
      <w:color w:val="1D4A74"/>
      <w:spacing w:val="-15"/>
      <w:sz w:val="74"/>
      <w:szCs w:val="74"/>
      <w:lang w:val="en-GB"/>
    </w:rPr>
  </w:style>
  <w:style w:type="character" w:customStyle="1" w:styleId="whitecolours">
    <w:name w:val="white (colours)"/>
    <w:uiPriority w:val="99"/>
    <w:rsid w:val="00E224F2"/>
    <w:rPr>
      <w:outline/>
    </w:rPr>
  </w:style>
  <w:style w:type="paragraph" w:customStyle="1" w:styleId="02Body">
    <w:name w:val="02_Body"/>
    <w:basedOn w:val="Normal"/>
    <w:uiPriority w:val="99"/>
    <w:rsid w:val="0083412A"/>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after="100" w:line="240" w:lineRule="atLeast"/>
      <w:textAlignment w:val="center"/>
    </w:pPr>
    <w:rPr>
      <w:rFonts w:eastAsia="Times New Roman" w:cs="HelveticaNeue-Light"/>
      <w:color w:val="000000"/>
      <w:spacing w:val="4"/>
      <w:szCs w:val="18"/>
      <w:lang w:val="en-GB"/>
    </w:rPr>
  </w:style>
  <w:style w:type="paragraph" w:customStyle="1" w:styleId="02bullet">
    <w:name w:val="02_bullet"/>
    <w:basedOn w:val="Normal"/>
    <w:qFormat/>
    <w:rsid w:val="009655EA"/>
    <w:pPr>
      <w:numPr>
        <w:numId w:val="1"/>
      </w:numPr>
      <w:spacing w:after="100"/>
      <w:ind w:left="714" w:hanging="357"/>
    </w:pPr>
    <w:rPr>
      <w:rFonts w:eastAsia="Times New Roman" w:cs="Times New Roman"/>
      <w:spacing w:val="4"/>
      <w:szCs w:val="18"/>
    </w:rPr>
  </w:style>
  <w:style w:type="table" w:styleId="TableGrid">
    <w:name w:val="Table Grid"/>
    <w:basedOn w:val="TableNormal"/>
    <w:uiPriority w:val="59"/>
    <w:rsid w:val="00C829B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basedOn w:val="Normal"/>
    <w:qFormat/>
    <w:rsid w:val="00C829BA"/>
    <w:pPr>
      <w:spacing w:after="100"/>
    </w:pPr>
    <w:rPr>
      <w:rFonts w:eastAsia="Times New Roman" w:cs="Times New Roman"/>
    </w:rPr>
  </w:style>
  <w:style w:type="paragraph" w:customStyle="1" w:styleId="02Bulletlevel2">
    <w:name w:val="02_Bullet level 2"/>
    <w:basedOn w:val="Normal"/>
    <w:qFormat/>
    <w:rsid w:val="00C829BA"/>
    <w:pPr>
      <w:numPr>
        <w:numId w:val="71"/>
      </w:numPr>
    </w:pPr>
    <w:rPr>
      <w:rFonts w:eastAsia="Times New Roman" w:cs="Times New Roman"/>
    </w:rPr>
  </w:style>
  <w:style w:type="paragraph" w:customStyle="1" w:styleId="02Bulletlevel3">
    <w:name w:val="02_Bullet level 3"/>
    <w:basedOn w:val="Normal"/>
    <w:qFormat/>
    <w:rsid w:val="00C829BA"/>
    <w:pPr>
      <w:numPr>
        <w:numId w:val="11"/>
      </w:numPr>
      <w:ind w:left="2154" w:hanging="357"/>
    </w:pPr>
    <w:rPr>
      <w:rFonts w:eastAsia="Times New Roman" w:cs="Times New Roman"/>
    </w:rPr>
  </w:style>
  <w:style w:type="paragraph" w:customStyle="1" w:styleId="02Bulletnoindent">
    <w:name w:val="02_Bullet no indent"/>
    <w:basedOn w:val="02bullet"/>
    <w:qFormat/>
    <w:rsid w:val="004D04BA"/>
    <w:pPr>
      <w:ind w:left="284" w:hanging="284"/>
    </w:pPr>
  </w:style>
  <w:style w:type="paragraph" w:customStyle="1" w:styleId="00IndicatorH1">
    <w:name w:val="00_Indicator H1"/>
    <w:basedOn w:val="Normal"/>
    <w:uiPriority w:val="99"/>
    <w:rsid w:val="00265406"/>
    <w:pPr>
      <w:keepLines/>
      <w:widowControl w:val="0"/>
      <w:suppressAutoHyphens/>
      <w:autoSpaceDE w:val="0"/>
      <w:autoSpaceDN w:val="0"/>
      <w:adjustRightInd w:val="0"/>
      <w:spacing w:before="120" w:line="420" w:lineRule="atLeast"/>
      <w:textAlignment w:val="center"/>
    </w:pPr>
    <w:rPr>
      <w:rFonts w:eastAsia="Times New Roman" w:cs="Gotham-Medium"/>
      <w:b/>
      <w:bCs/>
      <w:color w:val="0099C5"/>
      <w:spacing w:val="-8"/>
      <w:sz w:val="38"/>
      <w:szCs w:val="38"/>
      <w:lang w:val="en-GB"/>
    </w:rPr>
  </w:style>
  <w:style w:type="character" w:customStyle="1" w:styleId="Heading2Char">
    <w:name w:val="Heading 2 Char"/>
    <w:basedOn w:val="DefaultParagraphFont"/>
    <w:link w:val="Heading2"/>
    <w:uiPriority w:val="9"/>
    <w:rsid w:val="00F11D0D"/>
    <w:rPr>
      <w:rFonts w:asciiTheme="majorHAnsi" w:eastAsiaTheme="majorEastAsia" w:hAnsiTheme="majorHAnsi" w:cstheme="majorBidi"/>
      <w:b/>
      <w:bCs/>
      <w:color w:val="4F81BD" w:themeColor="accent1"/>
      <w:sz w:val="26"/>
      <w:szCs w:val="26"/>
    </w:rPr>
  </w:style>
  <w:style w:type="paragraph" w:customStyle="1" w:styleId="01H1">
    <w:name w:val="01_H1"/>
    <w:basedOn w:val="Normal"/>
    <w:uiPriority w:val="99"/>
    <w:rsid w:val="00335EC6"/>
    <w:pPr>
      <w:keepLines/>
      <w:widowControl w:val="0"/>
      <w:suppressAutoHyphens/>
      <w:autoSpaceDE w:val="0"/>
      <w:autoSpaceDN w:val="0"/>
      <w:adjustRightInd w:val="0"/>
      <w:spacing w:before="57" w:after="113" w:line="480" w:lineRule="atLeast"/>
      <w:textAlignment w:val="center"/>
    </w:pPr>
    <w:rPr>
      <w:rFonts w:ascii="Gotham-Book" w:eastAsia="Times New Roman" w:hAnsi="Gotham-Book" w:cs="Gotham-Book"/>
      <w:color w:val="1A659A"/>
      <w:spacing w:val="-9"/>
      <w:sz w:val="46"/>
      <w:szCs w:val="46"/>
      <w:lang w:val="en-GB"/>
    </w:rPr>
  </w:style>
  <w:style w:type="paragraph" w:customStyle="1" w:styleId="00pagetopleft">
    <w:name w:val="00_page top left"/>
    <w:basedOn w:val="Normal"/>
    <w:uiPriority w:val="99"/>
    <w:rsid w:val="00335EC6"/>
    <w:pPr>
      <w:widowControl w:val="0"/>
      <w:suppressAutoHyphens/>
      <w:autoSpaceDE w:val="0"/>
      <w:autoSpaceDN w:val="0"/>
      <w:adjustRightInd w:val="0"/>
      <w:spacing w:before="120" w:after="68" w:line="380" w:lineRule="atLeast"/>
      <w:textAlignment w:val="center"/>
    </w:pPr>
    <w:rPr>
      <w:rFonts w:eastAsia="Times New Roman" w:cs="Gotham-Bold"/>
      <w:b/>
      <w:bCs/>
      <w:color w:val="1D4A74"/>
      <w:spacing w:val="-3"/>
      <w:sz w:val="34"/>
      <w:szCs w:val="34"/>
      <w:lang w:val="en-GB"/>
    </w:rPr>
  </w:style>
  <w:style w:type="paragraph" w:customStyle="1" w:styleId="00pagetop2right">
    <w:name w:val="00_page top 2 right"/>
    <w:basedOn w:val="Normal"/>
    <w:uiPriority w:val="99"/>
    <w:rsid w:val="00563638"/>
    <w:pPr>
      <w:widowControl w:val="0"/>
      <w:suppressAutoHyphens/>
      <w:autoSpaceDE w:val="0"/>
      <w:autoSpaceDN w:val="0"/>
      <w:adjustRightInd w:val="0"/>
      <w:spacing w:before="120" w:after="240" w:line="312" w:lineRule="atLeast"/>
      <w:textAlignment w:val="center"/>
    </w:pPr>
    <w:rPr>
      <w:rFonts w:eastAsia="Times New Roman" w:cs="Gotham-Light"/>
      <w:color w:val="1D4A74"/>
      <w:spacing w:val="-3"/>
      <w:sz w:val="26"/>
      <w:szCs w:val="26"/>
      <w:lang w:val="en-GB"/>
    </w:rPr>
  </w:style>
  <w:style w:type="paragraph" w:styleId="TOC1">
    <w:name w:val="toc 1"/>
    <w:basedOn w:val="Normal"/>
    <w:next w:val="Normal"/>
    <w:autoRedefine/>
    <w:uiPriority w:val="39"/>
    <w:unhideWhenUsed/>
    <w:rsid w:val="00BD739E"/>
    <w:pPr>
      <w:spacing w:before="120" w:after="0"/>
    </w:pPr>
    <w:rPr>
      <w:rFonts w:asciiTheme="minorHAnsi" w:hAnsiTheme="minorHAnsi"/>
      <w:b/>
      <w:sz w:val="22"/>
      <w:szCs w:val="22"/>
    </w:rPr>
  </w:style>
  <w:style w:type="paragraph" w:styleId="TOC2">
    <w:name w:val="toc 2"/>
    <w:basedOn w:val="Normal"/>
    <w:next w:val="Normal"/>
    <w:autoRedefine/>
    <w:uiPriority w:val="39"/>
    <w:unhideWhenUsed/>
    <w:rsid w:val="00BD739E"/>
    <w:pPr>
      <w:spacing w:after="0"/>
      <w:ind w:left="180"/>
    </w:pPr>
    <w:rPr>
      <w:rFonts w:asciiTheme="minorHAnsi" w:hAnsiTheme="minorHAnsi"/>
      <w:i/>
      <w:sz w:val="22"/>
      <w:szCs w:val="22"/>
    </w:rPr>
  </w:style>
  <w:style w:type="paragraph" w:styleId="TOC3">
    <w:name w:val="toc 3"/>
    <w:basedOn w:val="Normal"/>
    <w:next w:val="Normal"/>
    <w:autoRedefine/>
    <w:uiPriority w:val="39"/>
    <w:unhideWhenUsed/>
    <w:rsid w:val="00BD739E"/>
    <w:pPr>
      <w:spacing w:after="0"/>
      <w:ind w:left="360"/>
    </w:pPr>
    <w:rPr>
      <w:rFonts w:asciiTheme="minorHAnsi" w:hAnsiTheme="minorHAnsi"/>
      <w:sz w:val="22"/>
      <w:szCs w:val="22"/>
    </w:rPr>
  </w:style>
  <w:style w:type="paragraph" w:styleId="TOC4">
    <w:name w:val="toc 4"/>
    <w:basedOn w:val="Normal"/>
    <w:next w:val="Normal"/>
    <w:autoRedefine/>
    <w:uiPriority w:val="39"/>
    <w:unhideWhenUsed/>
    <w:rsid w:val="00BD739E"/>
    <w:pPr>
      <w:spacing w:after="0"/>
      <w:ind w:left="540"/>
    </w:pPr>
    <w:rPr>
      <w:rFonts w:asciiTheme="minorHAnsi" w:hAnsiTheme="minorHAnsi"/>
      <w:sz w:val="20"/>
    </w:rPr>
  </w:style>
  <w:style w:type="paragraph" w:styleId="TOC5">
    <w:name w:val="toc 5"/>
    <w:basedOn w:val="Normal"/>
    <w:next w:val="Normal"/>
    <w:autoRedefine/>
    <w:uiPriority w:val="39"/>
    <w:unhideWhenUsed/>
    <w:rsid w:val="00BD739E"/>
    <w:pPr>
      <w:spacing w:after="0"/>
      <w:ind w:left="720"/>
    </w:pPr>
    <w:rPr>
      <w:rFonts w:asciiTheme="minorHAnsi" w:hAnsiTheme="minorHAnsi"/>
      <w:sz w:val="20"/>
    </w:rPr>
  </w:style>
  <w:style w:type="paragraph" w:styleId="TOC6">
    <w:name w:val="toc 6"/>
    <w:basedOn w:val="Normal"/>
    <w:next w:val="Normal"/>
    <w:autoRedefine/>
    <w:uiPriority w:val="39"/>
    <w:unhideWhenUsed/>
    <w:rsid w:val="00BD739E"/>
    <w:pPr>
      <w:spacing w:after="0"/>
      <w:ind w:left="900"/>
    </w:pPr>
    <w:rPr>
      <w:rFonts w:asciiTheme="minorHAnsi" w:hAnsiTheme="minorHAnsi"/>
      <w:sz w:val="20"/>
    </w:rPr>
  </w:style>
  <w:style w:type="paragraph" w:styleId="TOC7">
    <w:name w:val="toc 7"/>
    <w:basedOn w:val="Normal"/>
    <w:next w:val="Normal"/>
    <w:autoRedefine/>
    <w:uiPriority w:val="39"/>
    <w:unhideWhenUsed/>
    <w:rsid w:val="00BD739E"/>
    <w:pPr>
      <w:spacing w:after="0"/>
      <w:ind w:left="1080"/>
    </w:pPr>
    <w:rPr>
      <w:rFonts w:asciiTheme="minorHAnsi" w:hAnsiTheme="minorHAnsi"/>
      <w:sz w:val="20"/>
    </w:rPr>
  </w:style>
  <w:style w:type="paragraph" w:styleId="TOC8">
    <w:name w:val="toc 8"/>
    <w:basedOn w:val="Normal"/>
    <w:next w:val="Normal"/>
    <w:autoRedefine/>
    <w:uiPriority w:val="39"/>
    <w:unhideWhenUsed/>
    <w:rsid w:val="00BD739E"/>
    <w:pPr>
      <w:spacing w:after="0"/>
      <w:ind w:left="1260"/>
    </w:pPr>
    <w:rPr>
      <w:rFonts w:asciiTheme="minorHAnsi" w:hAnsiTheme="minorHAnsi"/>
      <w:sz w:val="20"/>
    </w:rPr>
  </w:style>
  <w:style w:type="paragraph" w:styleId="TOC9">
    <w:name w:val="toc 9"/>
    <w:basedOn w:val="Normal"/>
    <w:next w:val="Normal"/>
    <w:autoRedefine/>
    <w:uiPriority w:val="39"/>
    <w:unhideWhenUsed/>
    <w:rsid w:val="00BD739E"/>
    <w:pPr>
      <w:spacing w:after="0"/>
      <w:ind w:left="1440"/>
    </w:pPr>
    <w:rPr>
      <w:rFonts w:asciiTheme="minorHAnsi" w:hAnsiTheme="minorHAnsi"/>
      <w:sz w:val="20"/>
    </w:rPr>
  </w:style>
  <w:style w:type="paragraph" w:customStyle="1" w:styleId="00pagetop1">
    <w:name w:val="00_page top 1"/>
    <w:basedOn w:val="Normal"/>
    <w:uiPriority w:val="99"/>
    <w:rsid w:val="002D346E"/>
    <w:pPr>
      <w:widowControl w:val="0"/>
      <w:suppressAutoHyphens/>
      <w:autoSpaceDE w:val="0"/>
      <w:autoSpaceDN w:val="0"/>
      <w:adjustRightInd w:val="0"/>
      <w:spacing w:after="68" w:line="312" w:lineRule="atLeast"/>
      <w:textAlignment w:val="center"/>
    </w:pPr>
    <w:rPr>
      <w:rFonts w:eastAsia="Times New Roman" w:cs="Gotham-Bold"/>
      <w:b/>
      <w:bCs/>
      <w:color w:val="0099C5"/>
      <w:spacing w:val="-3"/>
      <w:sz w:val="31"/>
      <w:szCs w:val="31"/>
      <w:lang w:val="en-GB"/>
    </w:rPr>
  </w:style>
</w:styles>
</file>

<file path=word/webSettings.xml><?xml version="1.0" encoding="utf-8"?>
<w:webSettings xmlns:r="http://schemas.openxmlformats.org/officeDocument/2006/relationships" xmlns:w="http://schemas.openxmlformats.org/wordprocessingml/2006/main">
  <w:divs>
    <w:div w:id="1770810128">
      <w:marLeft w:val="0"/>
      <w:marRight w:val="0"/>
      <w:marTop w:val="0"/>
      <w:marBottom w:val="0"/>
      <w:divBdr>
        <w:top w:val="none" w:sz="0" w:space="0" w:color="auto"/>
        <w:left w:val="none" w:sz="0" w:space="0" w:color="auto"/>
        <w:bottom w:val="none" w:sz="0" w:space="0" w:color="auto"/>
        <w:right w:val="none" w:sz="0" w:space="0" w:color="auto"/>
      </w:divBdr>
      <w:divsChild>
        <w:div w:id="1422870910">
          <w:marLeft w:val="0"/>
          <w:marRight w:val="0"/>
          <w:marTop w:val="0"/>
          <w:marBottom w:val="0"/>
          <w:divBdr>
            <w:top w:val="none" w:sz="0" w:space="0" w:color="auto"/>
            <w:left w:val="none" w:sz="0" w:space="0" w:color="auto"/>
            <w:bottom w:val="none" w:sz="0" w:space="0" w:color="auto"/>
            <w:right w:val="none" w:sz="0" w:space="0" w:color="auto"/>
          </w:divBdr>
        </w:div>
        <w:div w:id="235896055">
          <w:marLeft w:val="0"/>
          <w:marRight w:val="0"/>
          <w:marTop w:val="0"/>
          <w:marBottom w:val="0"/>
          <w:divBdr>
            <w:top w:val="none" w:sz="0" w:space="0" w:color="auto"/>
            <w:left w:val="none" w:sz="0" w:space="0" w:color="auto"/>
            <w:bottom w:val="none" w:sz="0" w:space="0" w:color="auto"/>
            <w:right w:val="none" w:sz="0" w:space="0" w:color="auto"/>
          </w:divBdr>
        </w:div>
        <w:div w:id="753093417">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header" Target="head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yperlink" Target="http://www.cec.health.nsw.gov.au/" TargetMode="External"/><Relationship Id="rId9" Type="http://schemas.openxmlformats.org/officeDocument/2006/relationships/hyperlink" Target="http://www.safetyandquality.gov.au" TargetMode="External"/><Relationship Id="rId104" Type="http://schemas.microsoft.com/office/2007/relationships/stylesWithEffects" Target="stylesWithEffects.xml"/><Relationship Id="rId10" Type="http://schemas.openxmlformats.org/officeDocument/2006/relationships/hyperlink" Target="http://www.nswtag.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1288</Words>
  <Characters>7347</Characters>
  <Application>Microsoft Macintosh Word</Application>
  <DocSecurity>0</DocSecurity>
  <Lines>61</Lines>
  <Paragraphs>14</Paragraphs>
  <ScaleCrop>false</ScaleCrop>
  <Company>gd</Company>
  <LinksUpToDate>false</LinksUpToDate>
  <CharactersWithSpaces>9022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SAQ127_National_QUM_Indicators_V14.html</dc:title>
  <dc:subject/>
  <dc:creator>goga dolic</dc:creator>
  <cp:keywords/>
  <dc:description/>
  <cp:lastModifiedBy>Karita Beard</cp:lastModifiedBy>
  <cp:revision>2</cp:revision>
  <dcterms:created xsi:type="dcterms:W3CDTF">2014-11-17T04:32:00Z</dcterms:created>
  <dcterms:modified xsi:type="dcterms:W3CDTF">2014-11-17T04:32:00Z</dcterms:modified>
</cp:coreProperties>
</file>